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45CE8" w14:textId="77777777" w:rsidR="00F979BB" w:rsidRPr="00841766" w:rsidRDefault="00F979BB" w:rsidP="00F979BB">
      <w:pPr>
        <w:autoSpaceDE w:val="0"/>
        <w:autoSpaceDN w:val="0"/>
        <w:adjustRightInd w:val="0"/>
        <w:jc w:val="both"/>
        <w:outlineLvl w:val="0"/>
        <w:rPr>
          <w:rFonts w:cstheme="minorHAnsi"/>
          <w:b/>
          <w:lang w:val="en-US"/>
        </w:rPr>
      </w:pPr>
    </w:p>
    <w:p w14:paraId="743F7A1D" w14:textId="77777777" w:rsidR="00E464D0" w:rsidRPr="00841766" w:rsidRDefault="00E464D0" w:rsidP="00F979BB">
      <w:pPr>
        <w:autoSpaceDE w:val="0"/>
        <w:autoSpaceDN w:val="0"/>
        <w:adjustRightInd w:val="0"/>
        <w:jc w:val="both"/>
        <w:outlineLvl w:val="0"/>
        <w:rPr>
          <w:rFonts w:cstheme="minorHAnsi"/>
          <w:b/>
          <w:lang w:val="en-US"/>
        </w:rPr>
      </w:pPr>
    </w:p>
    <w:p w14:paraId="423CB1EE" w14:textId="77777777" w:rsidR="00E464D0" w:rsidRPr="00841766" w:rsidRDefault="00E464D0" w:rsidP="00F979BB">
      <w:pPr>
        <w:autoSpaceDE w:val="0"/>
        <w:autoSpaceDN w:val="0"/>
        <w:adjustRightInd w:val="0"/>
        <w:jc w:val="both"/>
        <w:outlineLvl w:val="0"/>
        <w:rPr>
          <w:rFonts w:cstheme="minorHAnsi"/>
          <w:b/>
          <w:lang w:val="en-US"/>
        </w:rPr>
      </w:pPr>
    </w:p>
    <w:p w14:paraId="2D82D9FE" w14:textId="77777777" w:rsidR="00E464D0" w:rsidRPr="00841766" w:rsidRDefault="00E464D0" w:rsidP="00F979BB">
      <w:pPr>
        <w:autoSpaceDE w:val="0"/>
        <w:autoSpaceDN w:val="0"/>
        <w:adjustRightInd w:val="0"/>
        <w:jc w:val="both"/>
        <w:outlineLvl w:val="0"/>
        <w:rPr>
          <w:rFonts w:cstheme="minorHAnsi"/>
          <w:b/>
          <w:lang w:val="en-US"/>
        </w:rPr>
      </w:pPr>
    </w:p>
    <w:p w14:paraId="0FF1B9A5" w14:textId="77777777" w:rsidR="00E464D0" w:rsidRPr="00841766" w:rsidRDefault="00E464D0" w:rsidP="00F979BB">
      <w:pPr>
        <w:autoSpaceDE w:val="0"/>
        <w:autoSpaceDN w:val="0"/>
        <w:adjustRightInd w:val="0"/>
        <w:jc w:val="both"/>
        <w:outlineLvl w:val="0"/>
        <w:rPr>
          <w:rFonts w:cstheme="minorHAnsi"/>
          <w:b/>
          <w:lang w:val="en-US"/>
        </w:rPr>
      </w:pPr>
    </w:p>
    <w:p w14:paraId="476BB6A6" w14:textId="77777777" w:rsidR="00E464D0" w:rsidRPr="00841766" w:rsidRDefault="00E464D0" w:rsidP="00F979BB">
      <w:pPr>
        <w:autoSpaceDE w:val="0"/>
        <w:autoSpaceDN w:val="0"/>
        <w:adjustRightInd w:val="0"/>
        <w:jc w:val="both"/>
        <w:outlineLvl w:val="0"/>
        <w:rPr>
          <w:rFonts w:cstheme="minorHAnsi"/>
          <w:b/>
          <w:lang w:val="en-US"/>
        </w:rPr>
      </w:pPr>
    </w:p>
    <w:p w14:paraId="644D15F5" w14:textId="050C10FD" w:rsidR="00F979BB" w:rsidRPr="00841766" w:rsidRDefault="006444BA" w:rsidP="00F979BB">
      <w:pPr>
        <w:autoSpaceDE w:val="0"/>
        <w:autoSpaceDN w:val="0"/>
        <w:adjustRightInd w:val="0"/>
        <w:jc w:val="both"/>
        <w:rPr>
          <w:rFonts w:cstheme="minorHAnsi"/>
          <w:lang w:val="en-US"/>
        </w:rPr>
      </w:pPr>
      <w:r>
        <w:rPr>
          <w:noProof/>
        </w:rPr>
        <w:drawing>
          <wp:inline distT="0" distB="0" distL="0" distR="0" wp14:anchorId="3AF47C39" wp14:editId="3B611BE0">
            <wp:extent cx="5850505" cy="6137562"/>
            <wp:effectExtent l="0" t="0" r="4445" b="0"/>
            <wp:docPr id="334734880"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pic:nvPicPr>
                  <pic:blipFill>
                    <a:blip r:embed="rId11">
                      <a:extLst>
                        <a:ext uri="{28A0092B-C50C-407E-A947-70E740481C1C}">
                          <a14:useLocalDpi xmlns:a14="http://schemas.microsoft.com/office/drawing/2010/main" val="0"/>
                        </a:ext>
                      </a:extLst>
                    </a:blip>
                    <a:stretch>
                      <a:fillRect/>
                    </a:stretch>
                  </pic:blipFill>
                  <pic:spPr>
                    <a:xfrm>
                      <a:off x="0" y="0"/>
                      <a:ext cx="5850505" cy="6137562"/>
                    </a:xfrm>
                    <a:prstGeom prst="rect">
                      <a:avLst/>
                    </a:prstGeom>
                  </pic:spPr>
                </pic:pic>
              </a:graphicData>
            </a:graphic>
          </wp:inline>
        </w:drawing>
      </w:r>
    </w:p>
    <w:p w14:paraId="7C50447F" w14:textId="77777777" w:rsidR="00F979BB" w:rsidRPr="00841766" w:rsidRDefault="00F979BB" w:rsidP="00F979BB">
      <w:pPr>
        <w:autoSpaceDE w:val="0"/>
        <w:autoSpaceDN w:val="0"/>
        <w:adjustRightInd w:val="0"/>
        <w:jc w:val="both"/>
        <w:outlineLvl w:val="0"/>
        <w:rPr>
          <w:rFonts w:cstheme="minorHAnsi"/>
          <w:b/>
          <w:lang w:val="en-US"/>
        </w:rPr>
      </w:pPr>
    </w:p>
    <w:p w14:paraId="2E60BCF1" w14:textId="25CF0F2E" w:rsidR="00E464D0" w:rsidRPr="00841766" w:rsidRDefault="00E464D0">
      <w:pPr>
        <w:rPr>
          <w:rFonts w:cstheme="minorHAnsi"/>
          <w:b/>
          <w:lang w:val="en-US"/>
        </w:rPr>
      </w:pPr>
      <w:r w:rsidRPr="00841766">
        <w:rPr>
          <w:rFonts w:cstheme="minorHAnsi"/>
          <w:b/>
          <w:lang w:val="en-US"/>
        </w:rPr>
        <w:br w:type="page"/>
      </w:r>
    </w:p>
    <w:sdt>
      <w:sdtPr>
        <w:rPr>
          <w:rFonts w:asciiTheme="minorHAnsi" w:eastAsiaTheme="minorHAnsi" w:hAnsiTheme="minorHAnsi" w:cstheme="minorBidi"/>
          <w:b w:val="0"/>
          <w:bCs w:val="0"/>
          <w:color w:val="auto"/>
          <w:sz w:val="24"/>
          <w:szCs w:val="24"/>
          <w:lang w:val="en-US" w:eastAsia="en-US"/>
        </w:rPr>
        <w:id w:val="-1729142800"/>
        <w:docPartObj>
          <w:docPartGallery w:val="Table of Contents"/>
          <w:docPartUnique/>
        </w:docPartObj>
      </w:sdtPr>
      <w:sdtEndPr>
        <w:rPr>
          <w:noProof/>
        </w:rPr>
      </w:sdtEndPr>
      <w:sdtContent>
        <w:p w14:paraId="191D19F7" w14:textId="77777777" w:rsidR="00E464D0" w:rsidRPr="00841766" w:rsidRDefault="00E464D0" w:rsidP="00E464D0">
          <w:pPr>
            <w:pStyle w:val="TOCHeading"/>
            <w:rPr>
              <w:lang w:val="en-US"/>
            </w:rPr>
          </w:pPr>
          <w:r w:rsidRPr="00841766">
            <w:rPr>
              <w:lang w:val="en-US"/>
            </w:rPr>
            <w:t>Table of contents</w:t>
          </w:r>
        </w:p>
        <w:p w14:paraId="0C79D4AD" w14:textId="77777777" w:rsidR="00E464D0" w:rsidRPr="00841766" w:rsidRDefault="00E464D0" w:rsidP="00E464D0">
          <w:pPr>
            <w:rPr>
              <w:lang w:val="en-US" w:eastAsia="fr-FR"/>
            </w:rPr>
          </w:pPr>
        </w:p>
        <w:p w14:paraId="3092E92A" w14:textId="3896ED04" w:rsidR="00D55404" w:rsidRDefault="00E464D0">
          <w:pPr>
            <w:pStyle w:val="TOC1"/>
            <w:rPr>
              <w:rFonts w:eastAsiaTheme="minorEastAsia"/>
              <w:noProof/>
              <w:sz w:val="22"/>
              <w:szCs w:val="22"/>
              <w:lang w:val="en-US"/>
            </w:rPr>
          </w:pPr>
          <w:r w:rsidRPr="00841766">
            <w:rPr>
              <w:lang w:val="en-US"/>
            </w:rPr>
            <w:fldChar w:fldCharType="begin"/>
          </w:r>
          <w:r w:rsidRPr="00841766">
            <w:rPr>
              <w:lang w:val="en-US"/>
            </w:rPr>
            <w:instrText>TOC \o "1-3" \h \z \u</w:instrText>
          </w:r>
          <w:r w:rsidRPr="00841766">
            <w:rPr>
              <w:lang w:val="en-US"/>
            </w:rPr>
            <w:fldChar w:fldCharType="separate"/>
          </w:r>
          <w:hyperlink w:anchor="_Toc40265786" w:history="1">
            <w:r w:rsidR="00D55404" w:rsidRPr="00997814">
              <w:rPr>
                <w:rStyle w:val="Hyperlink"/>
                <w:noProof/>
                <w:lang w:val="en-US"/>
              </w:rPr>
              <w:t>Signatory Page</w:t>
            </w:r>
            <w:r w:rsidR="00D55404">
              <w:rPr>
                <w:noProof/>
                <w:webHidden/>
              </w:rPr>
              <w:tab/>
            </w:r>
            <w:r w:rsidR="00D55404">
              <w:rPr>
                <w:noProof/>
                <w:webHidden/>
              </w:rPr>
              <w:fldChar w:fldCharType="begin"/>
            </w:r>
            <w:r w:rsidR="00D55404">
              <w:rPr>
                <w:noProof/>
                <w:webHidden/>
              </w:rPr>
              <w:instrText xml:space="preserve"> PAGEREF _Toc40265786 \h </w:instrText>
            </w:r>
            <w:r w:rsidR="00D55404">
              <w:rPr>
                <w:noProof/>
                <w:webHidden/>
              </w:rPr>
            </w:r>
            <w:r w:rsidR="00D55404">
              <w:rPr>
                <w:noProof/>
                <w:webHidden/>
              </w:rPr>
              <w:fldChar w:fldCharType="separate"/>
            </w:r>
            <w:r w:rsidR="00D55404">
              <w:rPr>
                <w:noProof/>
                <w:webHidden/>
              </w:rPr>
              <w:t>3</w:t>
            </w:r>
            <w:r w:rsidR="00D55404">
              <w:rPr>
                <w:noProof/>
                <w:webHidden/>
              </w:rPr>
              <w:fldChar w:fldCharType="end"/>
            </w:r>
          </w:hyperlink>
        </w:p>
        <w:p w14:paraId="0F07AFF3" w14:textId="416AD6D4" w:rsidR="00D55404" w:rsidRDefault="002A37E3">
          <w:pPr>
            <w:pStyle w:val="TOC1"/>
            <w:rPr>
              <w:rFonts w:eastAsiaTheme="minorEastAsia"/>
              <w:noProof/>
              <w:sz w:val="22"/>
              <w:szCs w:val="22"/>
              <w:lang w:val="en-US"/>
            </w:rPr>
          </w:pPr>
          <w:hyperlink w:anchor="_Toc40265787" w:history="1">
            <w:r w:rsidR="00D55404" w:rsidRPr="00997814">
              <w:rPr>
                <w:rStyle w:val="Hyperlink"/>
                <w:noProof/>
                <w:lang w:val="en-US"/>
              </w:rPr>
              <w:t>List of Acronyms</w:t>
            </w:r>
            <w:r w:rsidR="00D55404">
              <w:rPr>
                <w:noProof/>
                <w:webHidden/>
              </w:rPr>
              <w:tab/>
            </w:r>
            <w:r w:rsidR="00D55404">
              <w:rPr>
                <w:noProof/>
                <w:webHidden/>
              </w:rPr>
              <w:fldChar w:fldCharType="begin"/>
            </w:r>
            <w:r w:rsidR="00D55404">
              <w:rPr>
                <w:noProof/>
                <w:webHidden/>
              </w:rPr>
              <w:instrText xml:space="preserve"> PAGEREF _Toc40265787 \h </w:instrText>
            </w:r>
            <w:r w:rsidR="00D55404">
              <w:rPr>
                <w:noProof/>
                <w:webHidden/>
              </w:rPr>
            </w:r>
            <w:r w:rsidR="00D55404">
              <w:rPr>
                <w:noProof/>
                <w:webHidden/>
              </w:rPr>
              <w:fldChar w:fldCharType="separate"/>
            </w:r>
            <w:r w:rsidR="00D55404">
              <w:rPr>
                <w:noProof/>
                <w:webHidden/>
              </w:rPr>
              <w:t>5</w:t>
            </w:r>
            <w:r w:rsidR="00D55404">
              <w:rPr>
                <w:noProof/>
                <w:webHidden/>
              </w:rPr>
              <w:fldChar w:fldCharType="end"/>
            </w:r>
          </w:hyperlink>
        </w:p>
        <w:p w14:paraId="34F5BFE4" w14:textId="0B1B797D" w:rsidR="00D55404" w:rsidRDefault="002A37E3">
          <w:pPr>
            <w:pStyle w:val="TOC1"/>
            <w:rPr>
              <w:rFonts w:eastAsiaTheme="minorEastAsia"/>
              <w:noProof/>
              <w:sz w:val="22"/>
              <w:szCs w:val="22"/>
              <w:lang w:val="en-US"/>
            </w:rPr>
          </w:pPr>
          <w:hyperlink w:anchor="_Toc40265788" w:history="1">
            <w:r w:rsidR="00D55404" w:rsidRPr="00997814">
              <w:rPr>
                <w:rStyle w:val="Hyperlink"/>
                <w:noProof/>
                <w:lang w:val="en-US"/>
              </w:rPr>
              <w:t>Executive Summary</w:t>
            </w:r>
            <w:r w:rsidR="00D55404">
              <w:rPr>
                <w:noProof/>
                <w:webHidden/>
              </w:rPr>
              <w:tab/>
            </w:r>
            <w:r w:rsidR="00D55404">
              <w:rPr>
                <w:noProof/>
                <w:webHidden/>
              </w:rPr>
              <w:fldChar w:fldCharType="begin"/>
            </w:r>
            <w:r w:rsidR="00D55404">
              <w:rPr>
                <w:noProof/>
                <w:webHidden/>
              </w:rPr>
              <w:instrText xml:space="preserve"> PAGEREF _Toc40265788 \h </w:instrText>
            </w:r>
            <w:r w:rsidR="00D55404">
              <w:rPr>
                <w:noProof/>
                <w:webHidden/>
              </w:rPr>
            </w:r>
            <w:r w:rsidR="00D55404">
              <w:rPr>
                <w:noProof/>
                <w:webHidden/>
              </w:rPr>
              <w:fldChar w:fldCharType="separate"/>
            </w:r>
            <w:r w:rsidR="00D55404">
              <w:rPr>
                <w:noProof/>
                <w:webHidden/>
              </w:rPr>
              <w:t>7</w:t>
            </w:r>
            <w:r w:rsidR="00D55404">
              <w:rPr>
                <w:noProof/>
                <w:webHidden/>
              </w:rPr>
              <w:fldChar w:fldCharType="end"/>
            </w:r>
          </w:hyperlink>
        </w:p>
        <w:p w14:paraId="52CF53A9" w14:textId="500CBB1B" w:rsidR="00D55404" w:rsidRDefault="002A37E3">
          <w:pPr>
            <w:pStyle w:val="TOC1"/>
            <w:rPr>
              <w:rFonts w:eastAsiaTheme="minorEastAsia"/>
              <w:noProof/>
              <w:sz w:val="22"/>
              <w:szCs w:val="22"/>
              <w:lang w:val="en-US"/>
            </w:rPr>
          </w:pPr>
          <w:hyperlink w:anchor="_Toc40265789" w:history="1">
            <w:r w:rsidR="00D55404" w:rsidRPr="00997814">
              <w:rPr>
                <w:rStyle w:val="Hyperlink"/>
                <w:noProof/>
                <w:lang w:val="en-US"/>
              </w:rPr>
              <w:t>CHAPTER 1: COUNTRY PROGRESS TOWARDS the 2030 AGENDA</w:t>
            </w:r>
            <w:r w:rsidR="00D55404">
              <w:rPr>
                <w:noProof/>
                <w:webHidden/>
              </w:rPr>
              <w:tab/>
            </w:r>
            <w:r w:rsidR="00D55404">
              <w:rPr>
                <w:noProof/>
                <w:webHidden/>
              </w:rPr>
              <w:fldChar w:fldCharType="begin"/>
            </w:r>
            <w:r w:rsidR="00D55404">
              <w:rPr>
                <w:noProof/>
                <w:webHidden/>
              </w:rPr>
              <w:instrText xml:space="preserve"> PAGEREF _Toc40265789 \h </w:instrText>
            </w:r>
            <w:r w:rsidR="00D55404">
              <w:rPr>
                <w:noProof/>
                <w:webHidden/>
              </w:rPr>
            </w:r>
            <w:r w:rsidR="00D55404">
              <w:rPr>
                <w:noProof/>
                <w:webHidden/>
              </w:rPr>
              <w:fldChar w:fldCharType="separate"/>
            </w:r>
            <w:r w:rsidR="00D55404">
              <w:rPr>
                <w:noProof/>
                <w:webHidden/>
              </w:rPr>
              <w:t>9</w:t>
            </w:r>
            <w:r w:rsidR="00D55404">
              <w:rPr>
                <w:noProof/>
                <w:webHidden/>
              </w:rPr>
              <w:fldChar w:fldCharType="end"/>
            </w:r>
          </w:hyperlink>
        </w:p>
        <w:p w14:paraId="76C95F52" w14:textId="180F62B7" w:rsidR="00D55404" w:rsidRDefault="002A37E3">
          <w:pPr>
            <w:pStyle w:val="TOC2"/>
            <w:tabs>
              <w:tab w:val="right" w:leader="dot" w:pos="9352"/>
            </w:tabs>
            <w:rPr>
              <w:rFonts w:eastAsiaTheme="minorEastAsia"/>
              <w:noProof/>
              <w:sz w:val="22"/>
              <w:szCs w:val="22"/>
              <w:lang w:val="en-US"/>
            </w:rPr>
          </w:pPr>
          <w:hyperlink w:anchor="_Toc40265790" w:history="1">
            <w:r w:rsidR="00D55404" w:rsidRPr="00997814">
              <w:rPr>
                <w:rStyle w:val="Hyperlink"/>
                <w:noProof/>
                <w:lang w:val="en-US"/>
              </w:rPr>
              <w:t>1.1. Country context</w:t>
            </w:r>
            <w:r w:rsidR="00D55404">
              <w:rPr>
                <w:noProof/>
                <w:webHidden/>
              </w:rPr>
              <w:tab/>
            </w:r>
            <w:r w:rsidR="00D55404">
              <w:rPr>
                <w:noProof/>
                <w:webHidden/>
              </w:rPr>
              <w:fldChar w:fldCharType="begin"/>
            </w:r>
            <w:r w:rsidR="00D55404">
              <w:rPr>
                <w:noProof/>
                <w:webHidden/>
              </w:rPr>
              <w:instrText xml:space="preserve"> PAGEREF _Toc40265790 \h </w:instrText>
            </w:r>
            <w:r w:rsidR="00D55404">
              <w:rPr>
                <w:noProof/>
                <w:webHidden/>
              </w:rPr>
            </w:r>
            <w:r w:rsidR="00D55404">
              <w:rPr>
                <w:noProof/>
                <w:webHidden/>
              </w:rPr>
              <w:fldChar w:fldCharType="separate"/>
            </w:r>
            <w:r w:rsidR="00D55404">
              <w:rPr>
                <w:noProof/>
                <w:webHidden/>
              </w:rPr>
              <w:t>9</w:t>
            </w:r>
            <w:r w:rsidR="00D55404">
              <w:rPr>
                <w:noProof/>
                <w:webHidden/>
              </w:rPr>
              <w:fldChar w:fldCharType="end"/>
            </w:r>
          </w:hyperlink>
        </w:p>
        <w:p w14:paraId="265AC055" w14:textId="5F2793CE" w:rsidR="00D55404" w:rsidRDefault="002A37E3">
          <w:pPr>
            <w:pStyle w:val="TOC2"/>
            <w:tabs>
              <w:tab w:val="right" w:leader="dot" w:pos="9352"/>
            </w:tabs>
            <w:rPr>
              <w:rFonts w:eastAsiaTheme="minorEastAsia"/>
              <w:noProof/>
              <w:sz w:val="22"/>
              <w:szCs w:val="22"/>
              <w:lang w:val="en-US"/>
            </w:rPr>
          </w:pPr>
          <w:hyperlink w:anchor="_Toc40265791" w:history="1">
            <w:r w:rsidR="00D55404" w:rsidRPr="00997814">
              <w:rPr>
                <w:rStyle w:val="Hyperlink"/>
                <w:noProof/>
                <w:lang w:val="en-US"/>
              </w:rPr>
              <w:t>1.2. National vision for sustainable development</w:t>
            </w:r>
            <w:r w:rsidR="00D55404">
              <w:rPr>
                <w:noProof/>
                <w:webHidden/>
              </w:rPr>
              <w:tab/>
            </w:r>
            <w:r w:rsidR="00D55404">
              <w:rPr>
                <w:noProof/>
                <w:webHidden/>
              </w:rPr>
              <w:fldChar w:fldCharType="begin"/>
            </w:r>
            <w:r w:rsidR="00D55404">
              <w:rPr>
                <w:noProof/>
                <w:webHidden/>
              </w:rPr>
              <w:instrText xml:space="preserve"> PAGEREF _Toc40265791 \h </w:instrText>
            </w:r>
            <w:r w:rsidR="00D55404">
              <w:rPr>
                <w:noProof/>
                <w:webHidden/>
              </w:rPr>
            </w:r>
            <w:r w:rsidR="00D55404">
              <w:rPr>
                <w:noProof/>
                <w:webHidden/>
              </w:rPr>
              <w:fldChar w:fldCharType="separate"/>
            </w:r>
            <w:r w:rsidR="00D55404">
              <w:rPr>
                <w:noProof/>
                <w:webHidden/>
              </w:rPr>
              <w:t>10</w:t>
            </w:r>
            <w:r w:rsidR="00D55404">
              <w:rPr>
                <w:noProof/>
                <w:webHidden/>
              </w:rPr>
              <w:fldChar w:fldCharType="end"/>
            </w:r>
          </w:hyperlink>
        </w:p>
        <w:p w14:paraId="029133F5" w14:textId="219B8D51" w:rsidR="00D55404" w:rsidRDefault="002A37E3">
          <w:pPr>
            <w:pStyle w:val="TOC2"/>
            <w:tabs>
              <w:tab w:val="right" w:leader="dot" w:pos="9352"/>
            </w:tabs>
            <w:rPr>
              <w:rFonts w:eastAsiaTheme="minorEastAsia"/>
              <w:noProof/>
              <w:sz w:val="22"/>
              <w:szCs w:val="22"/>
              <w:lang w:val="en-US"/>
            </w:rPr>
          </w:pPr>
          <w:hyperlink w:anchor="_Toc40265792" w:history="1">
            <w:r w:rsidR="00D55404" w:rsidRPr="00997814">
              <w:rPr>
                <w:rStyle w:val="Hyperlink"/>
                <w:noProof/>
                <w:lang w:val="en-US"/>
              </w:rPr>
              <w:t>1.3. Progress towards the SDGs</w:t>
            </w:r>
            <w:r w:rsidR="00D55404">
              <w:rPr>
                <w:noProof/>
                <w:webHidden/>
              </w:rPr>
              <w:tab/>
            </w:r>
            <w:r w:rsidR="00D55404">
              <w:rPr>
                <w:noProof/>
                <w:webHidden/>
              </w:rPr>
              <w:fldChar w:fldCharType="begin"/>
            </w:r>
            <w:r w:rsidR="00D55404">
              <w:rPr>
                <w:noProof/>
                <w:webHidden/>
              </w:rPr>
              <w:instrText xml:space="preserve"> PAGEREF _Toc40265792 \h </w:instrText>
            </w:r>
            <w:r w:rsidR="00D55404">
              <w:rPr>
                <w:noProof/>
                <w:webHidden/>
              </w:rPr>
            </w:r>
            <w:r w:rsidR="00D55404">
              <w:rPr>
                <w:noProof/>
                <w:webHidden/>
              </w:rPr>
              <w:fldChar w:fldCharType="separate"/>
            </w:r>
            <w:r w:rsidR="00D55404">
              <w:rPr>
                <w:noProof/>
                <w:webHidden/>
              </w:rPr>
              <w:t>12</w:t>
            </w:r>
            <w:r w:rsidR="00D55404">
              <w:rPr>
                <w:noProof/>
                <w:webHidden/>
              </w:rPr>
              <w:fldChar w:fldCharType="end"/>
            </w:r>
          </w:hyperlink>
        </w:p>
        <w:p w14:paraId="1782DE87" w14:textId="4470C6DD" w:rsidR="00D55404" w:rsidRDefault="002A37E3">
          <w:pPr>
            <w:pStyle w:val="TOC2"/>
            <w:tabs>
              <w:tab w:val="right" w:leader="dot" w:pos="9352"/>
            </w:tabs>
            <w:rPr>
              <w:rFonts w:eastAsiaTheme="minorEastAsia"/>
              <w:noProof/>
              <w:sz w:val="22"/>
              <w:szCs w:val="22"/>
              <w:lang w:val="en-US"/>
            </w:rPr>
          </w:pPr>
          <w:hyperlink w:anchor="_Toc40265793" w:history="1">
            <w:r w:rsidR="00D55404" w:rsidRPr="00997814">
              <w:rPr>
                <w:rStyle w:val="Hyperlink"/>
                <w:noProof/>
                <w:lang w:val="en-US"/>
              </w:rPr>
              <w:t>1.4. SDGs implementation challenges</w:t>
            </w:r>
            <w:r w:rsidR="00D55404">
              <w:rPr>
                <w:noProof/>
                <w:webHidden/>
              </w:rPr>
              <w:tab/>
            </w:r>
            <w:r w:rsidR="00D55404">
              <w:rPr>
                <w:noProof/>
                <w:webHidden/>
              </w:rPr>
              <w:fldChar w:fldCharType="begin"/>
            </w:r>
            <w:r w:rsidR="00D55404">
              <w:rPr>
                <w:noProof/>
                <w:webHidden/>
              </w:rPr>
              <w:instrText xml:space="preserve"> PAGEREF _Toc40265793 \h </w:instrText>
            </w:r>
            <w:r w:rsidR="00D55404">
              <w:rPr>
                <w:noProof/>
                <w:webHidden/>
              </w:rPr>
            </w:r>
            <w:r w:rsidR="00D55404">
              <w:rPr>
                <w:noProof/>
                <w:webHidden/>
              </w:rPr>
              <w:fldChar w:fldCharType="separate"/>
            </w:r>
            <w:r w:rsidR="00D55404">
              <w:rPr>
                <w:noProof/>
                <w:webHidden/>
              </w:rPr>
              <w:t>16</w:t>
            </w:r>
            <w:r w:rsidR="00D55404">
              <w:rPr>
                <w:noProof/>
                <w:webHidden/>
              </w:rPr>
              <w:fldChar w:fldCharType="end"/>
            </w:r>
          </w:hyperlink>
        </w:p>
        <w:p w14:paraId="129F8E15" w14:textId="5D786491" w:rsidR="00D55404" w:rsidRDefault="002A37E3">
          <w:pPr>
            <w:pStyle w:val="TOC1"/>
            <w:rPr>
              <w:rFonts w:eastAsiaTheme="minorEastAsia"/>
              <w:noProof/>
              <w:sz w:val="22"/>
              <w:szCs w:val="22"/>
              <w:lang w:val="en-US"/>
            </w:rPr>
          </w:pPr>
          <w:hyperlink w:anchor="_Toc40265794" w:history="1">
            <w:r w:rsidR="00D55404" w:rsidRPr="00997814">
              <w:rPr>
                <w:rStyle w:val="Hyperlink"/>
                <w:noProof/>
                <w:lang w:val="en-US"/>
              </w:rPr>
              <w:t>CHAPTER 2: UN DEVELOPMENT SYSTEM SUPPORT TO THE 2030 AGENDA</w:t>
            </w:r>
            <w:r w:rsidR="00D55404">
              <w:rPr>
                <w:noProof/>
                <w:webHidden/>
              </w:rPr>
              <w:tab/>
            </w:r>
            <w:r w:rsidR="00D55404">
              <w:rPr>
                <w:noProof/>
                <w:webHidden/>
              </w:rPr>
              <w:fldChar w:fldCharType="begin"/>
            </w:r>
            <w:r w:rsidR="00D55404">
              <w:rPr>
                <w:noProof/>
                <w:webHidden/>
              </w:rPr>
              <w:instrText xml:space="preserve"> PAGEREF _Toc40265794 \h </w:instrText>
            </w:r>
            <w:r w:rsidR="00D55404">
              <w:rPr>
                <w:noProof/>
                <w:webHidden/>
              </w:rPr>
            </w:r>
            <w:r w:rsidR="00D55404">
              <w:rPr>
                <w:noProof/>
                <w:webHidden/>
              </w:rPr>
              <w:fldChar w:fldCharType="separate"/>
            </w:r>
            <w:r w:rsidR="00D55404">
              <w:rPr>
                <w:noProof/>
                <w:webHidden/>
              </w:rPr>
              <w:t>18</w:t>
            </w:r>
            <w:r w:rsidR="00D55404">
              <w:rPr>
                <w:noProof/>
                <w:webHidden/>
              </w:rPr>
              <w:fldChar w:fldCharType="end"/>
            </w:r>
          </w:hyperlink>
        </w:p>
        <w:p w14:paraId="0E1A661E" w14:textId="602D43DF" w:rsidR="00D55404" w:rsidRDefault="002A37E3">
          <w:pPr>
            <w:pStyle w:val="TOC2"/>
            <w:tabs>
              <w:tab w:val="right" w:leader="dot" w:pos="9352"/>
            </w:tabs>
            <w:rPr>
              <w:rFonts w:eastAsiaTheme="minorEastAsia"/>
              <w:noProof/>
              <w:sz w:val="22"/>
              <w:szCs w:val="22"/>
              <w:lang w:val="en-US"/>
            </w:rPr>
          </w:pPr>
          <w:hyperlink w:anchor="_Toc40265795" w:history="1">
            <w:r w:rsidR="00D55404" w:rsidRPr="00997814">
              <w:rPr>
                <w:rStyle w:val="Hyperlink"/>
                <w:noProof/>
                <w:lang w:val="en-US"/>
              </w:rPr>
              <w:t>2.1. Overarching Theory of Change/ Rationale</w:t>
            </w:r>
            <w:r w:rsidR="00D55404">
              <w:rPr>
                <w:noProof/>
                <w:webHidden/>
              </w:rPr>
              <w:tab/>
            </w:r>
            <w:r w:rsidR="00D55404">
              <w:rPr>
                <w:noProof/>
                <w:webHidden/>
              </w:rPr>
              <w:fldChar w:fldCharType="begin"/>
            </w:r>
            <w:r w:rsidR="00D55404">
              <w:rPr>
                <w:noProof/>
                <w:webHidden/>
              </w:rPr>
              <w:instrText xml:space="preserve"> PAGEREF _Toc40265795 \h </w:instrText>
            </w:r>
            <w:r w:rsidR="00D55404">
              <w:rPr>
                <w:noProof/>
                <w:webHidden/>
              </w:rPr>
            </w:r>
            <w:r w:rsidR="00D55404">
              <w:rPr>
                <w:noProof/>
                <w:webHidden/>
              </w:rPr>
              <w:fldChar w:fldCharType="separate"/>
            </w:r>
            <w:r w:rsidR="00D55404">
              <w:rPr>
                <w:noProof/>
                <w:webHidden/>
              </w:rPr>
              <w:t>18</w:t>
            </w:r>
            <w:r w:rsidR="00D55404">
              <w:rPr>
                <w:noProof/>
                <w:webHidden/>
              </w:rPr>
              <w:fldChar w:fldCharType="end"/>
            </w:r>
          </w:hyperlink>
        </w:p>
        <w:p w14:paraId="25CC4000" w14:textId="0BD36216" w:rsidR="00D55404" w:rsidRDefault="002A37E3">
          <w:pPr>
            <w:pStyle w:val="TOC2"/>
            <w:tabs>
              <w:tab w:val="right" w:leader="dot" w:pos="9352"/>
            </w:tabs>
            <w:rPr>
              <w:rFonts w:eastAsiaTheme="minorEastAsia"/>
              <w:noProof/>
              <w:sz w:val="22"/>
              <w:szCs w:val="22"/>
              <w:lang w:val="en-US"/>
            </w:rPr>
          </w:pPr>
          <w:hyperlink w:anchor="_Toc40265796" w:history="1">
            <w:r w:rsidR="00D55404" w:rsidRPr="00997814">
              <w:rPr>
                <w:rStyle w:val="Hyperlink"/>
                <w:noProof/>
                <w:lang w:val="en-US"/>
              </w:rPr>
              <w:t>2.2. Strategic priorities for the UN development system</w:t>
            </w:r>
            <w:r w:rsidR="00D55404">
              <w:rPr>
                <w:noProof/>
                <w:webHidden/>
              </w:rPr>
              <w:tab/>
            </w:r>
            <w:r w:rsidR="00D55404">
              <w:rPr>
                <w:noProof/>
                <w:webHidden/>
              </w:rPr>
              <w:fldChar w:fldCharType="begin"/>
            </w:r>
            <w:r w:rsidR="00D55404">
              <w:rPr>
                <w:noProof/>
                <w:webHidden/>
              </w:rPr>
              <w:instrText xml:space="preserve"> PAGEREF _Toc40265796 \h </w:instrText>
            </w:r>
            <w:r w:rsidR="00D55404">
              <w:rPr>
                <w:noProof/>
                <w:webHidden/>
              </w:rPr>
            </w:r>
            <w:r w:rsidR="00D55404">
              <w:rPr>
                <w:noProof/>
                <w:webHidden/>
              </w:rPr>
              <w:fldChar w:fldCharType="separate"/>
            </w:r>
            <w:r w:rsidR="00D55404">
              <w:rPr>
                <w:noProof/>
                <w:webHidden/>
              </w:rPr>
              <w:t>20</w:t>
            </w:r>
            <w:r w:rsidR="00D55404">
              <w:rPr>
                <w:noProof/>
                <w:webHidden/>
              </w:rPr>
              <w:fldChar w:fldCharType="end"/>
            </w:r>
          </w:hyperlink>
        </w:p>
        <w:p w14:paraId="27C01532" w14:textId="1C4C19C3" w:rsidR="00D55404" w:rsidRDefault="002A37E3">
          <w:pPr>
            <w:pStyle w:val="TOC2"/>
            <w:tabs>
              <w:tab w:val="right" w:leader="dot" w:pos="9352"/>
            </w:tabs>
            <w:rPr>
              <w:rFonts w:eastAsiaTheme="minorEastAsia"/>
              <w:noProof/>
              <w:sz w:val="22"/>
              <w:szCs w:val="22"/>
              <w:lang w:val="en-US"/>
            </w:rPr>
          </w:pPr>
          <w:hyperlink w:anchor="_Toc40265797" w:history="1">
            <w:r w:rsidR="00D55404" w:rsidRPr="00997814">
              <w:rPr>
                <w:rStyle w:val="Hyperlink"/>
                <w:noProof/>
                <w:lang w:val="en-US"/>
              </w:rPr>
              <w:t>2.3. Priority outcomes and partnerships</w:t>
            </w:r>
            <w:r w:rsidR="00D55404">
              <w:rPr>
                <w:noProof/>
                <w:webHidden/>
              </w:rPr>
              <w:tab/>
            </w:r>
            <w:r w:rsidR="00D55404">
              <w:rPr>
                <w:noProof/>
                <w:webHidden/>
              </w:rPr>
              <w:fldChar w:fldCharType="begin"/>
            </w:r>
            <w:r w:rsidR="00D55404">
              <w:rPr>
                <w:noProof/>
                <w:webHidden/>
              </w:rPr>
              <w:instrText xml:space="preserve"> PAGEREF _Toc40265797 \h </w:instrText>
            </w:r>
            <w:r w:rsidR="00D55404">
              <w:rPr>
                <w:noProof/>
                <w:webHidden/>
              </w:rPr>
            </w:r>
            <w:r w:rsidR="00D55404">
              <w:rPr>
                <w:noProof/>
                <w:webHidden/>
              </w:rPr>
              <w:fldChar w:fldCharType="separate"/>
            </w:r>
            <w:r w:rsidR="00D55404">
              <w:rPr>
                <w:noProof/>
                <w:webHidden/>
              </w:rPr>
              <w:t>22</w:t>
            </w:r>
            <w:r w:rsidR="00D55404">
              <w:rPr>
                <w:noProof/>
                <w:webHidden/>
              </w:rPr>
              <w:fldChar w:fldCharType="end"/>
            </w:r>
          </w:hyperlink>
        </w:p>
        <w:p w14:paraId="0EF9E6CD" w14:textId="71335FC2" w:rsidR="00D55404" w:rsidRDefault="002A37E3">
          <w:pPr>
            <w:pStyle w:val="TOC3"/>
            <w:tabs>
              <w:tab w:val="right" w:leader="dot" w:pos="9352"/>
            </w:tabs>
            <w:rPr>
              <w:rFonts w:eastAsiaTheme="minorEastAsia"/>
              <w:noProof/>
              <w:sz w:val="22"/>
              <w:szCs w:val="22"/>
              <w:lang w:val="en-US"/>
            </w:rPr>
          </w:pPr>
          <w:hyperlink w:anchor="_Toc40265798" w:history="1">
            <w:r w:rsidR="00D55404" w:rsidRPr="00997814">
              <w:rPr>
                <w:rStyle w:val="Hyperlink"/>
                <w:noProof/>
                <w:lang w:val="en-US"/>
              </w:rPr>
              <w:t>COOPERATION FRAMEWORK OUTCOME 1: Nutrition, food security and sustainable agriculture</w:t>
            </w:r>
            <w:r w:rsidR="00D55404">
              <w:rPr>
                <w:noProof/>
                <w:webHidden/>
              </w:rPr>
              <w:tab/>
            </w:r>
            <w:r w:rsidR="00D55404">
              <w:rPr>
                <w:noProof/>
                <w:webHidden/>
              </w:rPr>
              <w:fldChar w:fldCharType="begin"/>
            </w:r>
            <w:r w:rsidR="00D55404">
              <w:rPr>
                <w:noProof/>
                <w:webHidden/>
              </w:rPr>
              <w:instrText xml:space="preserve"> PAGEREF _Toc40265798 \h </w:instrText>
            </w:r>
            <w:r w:rsidR="00D55404">
              <w:rPr>
                <w:noProof/>
                <w:webHidden/>
              </w:rPr>
            </w:r>
            <w:r w:rsidR="00D55404">
              <w:rPr>
                <w:noProof/>
                <w:webHidden/>
              </w:rPr>
              <w:fldChar w:fldCharType="separate"/>
            </w:r>
            <w:r w:rsidR="00D55404">
              <w:rPr>
                <w:noProof/>
                <w:webHidden/>
              </w:rPr>
              <w:t>22</w:t>
            </w:r>
            <w:r w:rsidR="00D55404">
              <w:rPr>
                <w:noProof/>
                <w:webHidden/>
              </w:rPr>
              <w:fldChar w:fldCharType="end"/>
            </w:r>
          </w:hyperlink>
        </w:p>
        <w:p w14:paraId="2417EC77" w14:textId="2B5AFC57" w:rsidR="00D55404" w:rsidRDefault="002A37E3">
          <w:pPr>
            <w:pStyle w:val="TOC3"/>
            <w:tabs>
              <w:tab w:val="right" w:leader="dot" w:pos="9352"/>
            </w:tabs>
            <w:rPr>
              <w:rFonts w:eastAsiaTheme="minorEastAsia"/>
              <w:noProof/>
              <w:sz w:val="22"/>
              <w:szCs w:val="22"/>
              <w:lang w:val="en-US"/>
            </w:rPr>
          </w:pPr>
          <w:hyperlink w:anchor="_Toc40265799" w:history="1">
            <w:r w:rsidR="00D55404" w:rsidRPr="00997814">
              <w:rPr>
                <w:rStyle w:val="Hyperlink"/>
                <w:noProof/>
                <w:lang w:val="en-US"/>
              </w:rPr>
              <w:t>COOPERATION FRAMEWORK OUTCOME 2: Sustainable economic opportunities and decent work for all</w:t>
            </w:r>
            <w:r w:rsidR="00D55404">
              <w:rPr>
                <w:noProof/>
                <w:webHidden/>
              </w:rPr>
              <w:tab/>
            </w:r>
            <w:r w:rsidR="00D55404">
              <w:rPr>
                <w:noProof/>
                <w:webHidden/>
              </w:rPr>
              <w:fldChar w:fldCharType="begin"/>
            </w:r>
            <w:r w:rsidR="00D55404">
              <w:rPr>
                <w:noProof/>
                <w:webHidden/>
              </w:rPr>
              <w:instrText xml:space="preserve"> PAGEREF _Toc40265799 \h </w:instrText>
            </w:r>
            <w:r w:rsidR="00D55404">
              <w:rPr>
                <w:noProof/>
                <w:webHidden/>
              </w:rPr>
            </w:r>
            <w:r w:rsidR="00D55404">
              <w:rPr>
                <w:noProof/>
                <w:webHidden/>
              </w:rPr>
              <w:fldChar w:fldCharType="separate"/>
            </w:r>
            <w:r w:rsidR="00D55404">
              <w:rPr>
                <w:noProof/>
                <w:webHidden/>
              </w:rPr>
              <w:t>26</w:t>
            </w:r>
            <w:r w:rsidR="00D55404">
              <w:rPr>
                <w:noProof/>
                <w:webHidden/>
              </w:rPr>
              <w:fldChar w:fldCharType="end"/>
            </w:r>
          </w:hyperlink>
        </w:p>
        <w:p w14:paraId="44D7483A" w14:textId="35638202" w:rsidR="00D55404" w:rsidRDefault="002A37E3">
          <w:pPr>
            <w:pStyle w:val="TOC3"/>
            <w:tabs>
              <w:tab w:val="right" w:leader="dot" w:pos="9352"/>
            </w:tabs>
            <w:rPr>
              <w:rFonts w:eastAsiaTheme="minorEastAsia"/>
              <w:noProof/>
              <w:sz w:val="22"/>
              <w:szCs w:val="22"/>
              <w:lang w:val="en-US"/>
            </w:rPr>
          </w:pPr>
          <w:hyperlink w:anchor="_Toc40265800" w:history="1">
            <w:r w:rsidR="00D55404" w:rsidRPr="00997814">
              <w:rPr>
                <w:rStyle w:val="Hyperlink"/>
                <w:noProof/>
                <w:lang w:val="en-US"/>
              </w:rPr>
              <w:t>COOPERATION FRAMEWORK OUTCOME 3:</w:t>
            </w:r>
            <w:r w:rsidR="00D55404" w:rsidRPr="00997814">
              <w:rPr>
                <w:rStyle w:val="Hyperlink"/>
                <w:rFonts w:cs="Times New Roman"/>
                <w:noProof/>
                <w:lang w:val="en-US"/>
              </w:rPr>
              <w:t xml:space="preserve"> </w:t>
            </w:r>
            <w:r w:rsidR="00D55404" w:rsidRPr="00997814">
              <w:rPr>
                <w:rStyle w:val="Hyperlink"/>
                <w:noProof/>
                <w:lang w:val="en-US"/>
              </w:rPr>
              <w:t>Access to quality education and life-long learning outcomes and skills</w:t>
            </w:r>
            <w:r w:rsidR="00D55404">
              <w:rPr>
                <w:noProof/>
                <w:webHidden/>
              </w:rPr>
              <w:tab/>
            </w:r>
            <w:r w:rsidR="00D55404">
              <w:rPr>
                <w:noProof/>
                <w:webHidden/>
              </w:rPr>
              <w:fldChar w:fldCharType="begin"/>
            </w:r>
            <w:r w:rsidR="00D55404">
              <w:rPr>
                <w:noProof/>
                <w:webHidden/>
              </w:rPr>
              <w:instrText xml:space="preserve"> PAGEREF _Toc40265800 \h </w:instrText>
            </w:r>
            <w:r w:rsidR="00D55404">
              <w:rPr>
                <w:noProof/>
                <w:webHidden/>
              </w:rPr>
            </w:r>
            <w:r w:rsidR="00D55404">
              <w:rPr>
                <w:noProof/>
                <w:webHidden/>
              </w:rPr>
              <w:fldChar w:fldCharType="separate"/>
            </w:r>
            <w:r w:rsidR="00D55404">
              <w:rPr>
                <w:noProof/>
                <w:webHidden/>
              </w:rPr>
              <w:t>29</w:t>
            </w:r>
            <w:r w:rsidR="00D55404">
              <w:rPr>
                <w:noProof/>
                <w:webHidden/>
              </w:rPr>
              <w:fldChar w:fldCharType="end"/>
            </w:r>
          </w:hyperlink>
        </w:p>
        <w:p w14:paraId="11FABF5A" w14:textId="31617C66" w:rsidR="00D55404" w:rsidRDefault="002A37E3">
          <w:pPr>
            <w:pStyle w:val="TOC3"/>
            <w:tabs>
              <w:tab w:val="right" w:leader="dot" w:pos="9352"/>
            </w:tabs>
            <w:rPr>
              <w:rFonts w:eastAsiaTheme="minorEastAsia"/>
              <w:noProof/>
              <w:sz w:val="22"/>
              <w:szCs w:val="22"/>
              <w:lang w:val="en-US"/>
            </w:rPr>
          </w:pPr>
          <w:hyperlink w:anchor="_Toc40265801" w:history="1">
            <w:r w:rsidR="00D55404" w:rsidRPr="00997814">
              <w:rPr>
                <w:rStyle w:val="Hyperlink"/>
                <w:noProof/>
                <w:lang w:val="en-US"/>
              </w:rPr>
              <w:t>COOPERATION FRAMEWORK OUTCOME 4: Quality health care and well-being</w:t>
            </w:r>
            <w:r w:rsidR="00D55404">
              <w:rPr>
                <w:noProof/>
                <w:webHidden/>
              </w:rPr>
              <w:tab/>
            </w:r>
            <w:r w:rsidR="00D55404">
              <w:rPr>
                <w:noProof/>
                <w:webHidden/>
              </w:rPr>
              <w:fldChar w:fldCharType="begin"/>
            </w:r>
            <w:r w:rsidR="00D55404">
              <w:rPr>
                <w:noProof/>
                <w:webHidden/>
              </w:rPr>
              <w:instrText xml:space="preserve"> PAGEREF _Toc40265801 \h </w:instrText>
            </w:r>
            <w:r w:rsidR="00D55404">
              <w:rPr>
                <w:noProof/>
                <w:webHidden/>
              </w:rPr>
            </w:r>
            <w:r w:rsidR="00D55404">
              <w:rPr>
                <w:noProof/>
                <w:webHidden/>
              </w:rPr>
              <w:fldChar w:fldCharType="separate"/>
            </w:r>
            <w:r w:rsidR="00D55404">
              <w:rPr>
                <w:noProof/>
                <w:webHidden/>
              </w:rPr>
              <w:t>33</w:t>
            </w:r>
            <w:r w:rsidR="00D55404">
              <w:rPr>
                <w:noProof/>
                <w:webHidden/>
              </w:rPr>
              <w:fldChar w:fldCharType="end"/>
            </w:r>
          </w:hyperlink>
        </w:p>
        <w:p w14:paraId="5B8B90D9" w14:textId="361F2856" w:rsidR="00D55404" w:rsidRDefault="002A37E3">
          <w:pPr>
            <w:pStyle w:val="TOC3"/>
            <w:tabs>
              <w:tab w:val="right" w:leader="dot" w:pos="9352"/>
            </w:tabs>
            <w:rPr>
              <w:rFonts w:eastAsiaTheme="minorEastAsia"/>
              <w:noProof/>
              <w:sz w:val="22"/>
              <w:szCs w:val="22"/>
              <w:lang w:val="en-US"/>
            </w:rPr>
          </w:pPr>
          <w:hyperlink w:anchor="_Toc40265802" w:history="1">
            <w:r w:rsidR="00D55404" w:rsidRPr="00997814">
              <w:rPr>
                <w:rStyle w:val="Hyperlink"/>
                <w:rFonts w:cstheme="minorHAnsi"/>
                <w:noProof/>
                <w:lang w:val="en-US"/>
              </w:rPr>
              <w:t>COOPERATION FRAMEWORK OUTCOME 5: A</w:t>
            </w:r>
            <w:r w:rsidR="00D55404" w:rsidRPr="00997814">
              <w:rPr>
                <w:rStyle w:val="Hyperlink"/>
                <w:rFonts w:eastAsia="Times New Roman"/>
                <w:noProof/>
                <w:lang w:val="en-US" w:eastAsia="fr-FR"/>
              </w:rPr>
              <w:t>ccountable, Inclusive and Participatory Governance and Quality Public Services</w:t>
            </w:r>
            <w:r w:rsidR="00D55404">
              <w:rPr>
                <w:noProof/>
                <w:webHidden/>
              </w:rPr>
              <w:tab/>
            </w:r>
            <w:r w:rsidR="00D55404">
              <w:rPr>
                <w:noProof/>
                <w:webHidden/>
              </w:rPr>
              <w:fldChar w:fldCharType="begin"/>
            </w:r>
            <w:r w:rsidR="00D55404">
              <w:rPr>
                <w:noProof/>
                <w:webHidden/>
              </w:rPr>
              <w:instrText xml:space="preserve"> PAGEREF _Toc40265802 \h </w:instrText>
            </w:r>
            <w:r w:rsidR="00D55404">
              <w:rPr>
                <w:noProof/>
                <w:webHidden/>
              </w:rPr>
            </w:r>
            <w:r w:rsidR="00D55404">
              <w:rPr>
                <w:noProof/>
                <w:webHidden/>
              </w:rPr>
              <w:fldChar w:fldCharType="separate"/>
            </w:r>
            <w:r w:rsidR="00D55404">
              <w:rPr>
                <w:noProof/>
                <w:webHidden/>
              </w:rPr>
              <w:t>36</w:t>
            </w:r>
            <w:r w:rsidR="00D55404">
              <w:rPr>
                <w:noProof/>
                <w:webHidden/>
              </w:rPr>
              <w:fldChar w:fldCharType="end"/>
            </w:r>
          </w:hyperlink>
        </w:p>
        <w:p w14:paraId="1440B4AB" w14:textId="6F200236" w:rsidR="00D55404" w:rsidRDefault="002A37E3">
          <w:pPr>
            <w:pStyle w:val="TOC3"/>
            <w:tabs>
              <w:tab w:val="right" w:leader="dot" w:pos="9352"/>
            </w:tabs>
            <w:rPr>
              <w:rFonts w:eastAsiaTheme="minorEastAsia"/>
              <w:noProof/>
              <w:sz w:val="22"/>
              <w:szCs w:val="22"/>
              <w:lang w:val="en-US"/>
            </w:rPr>
          </w:pPr>
          <w:hyperlink w:anchor="_Toc40265803" w:history="1">
            <w:r w:rsidR="00D55404" w:rsidRPr="00997814">
              <w:rPr>
                <w:rStyle w:val="Hyperlink"/>
                <w:rFonts w:cstheme="minorHAnsi"/>
                <w:noProof/>
                <w:lang w:val="en-US"/>
              </w:rPr>
              <w:t xml:space="preserve">COOPERATION FRAMEWORK OUTCOME 6: </w:t>
            </w:r>
            <w:r w:rsidR="00D55404" w:rsidRPr="00997814">
              <w:rPr>
                <w:rStyle w:val="Hyperlink"/>
                <w:rFonts w:eastAsia="Times New Roman"/>
                <w:noProof/>
                <w:lang w:val="en-US" w:eastAsia="fr-FR"/>
              </w:rPr>
              <w:t>Sustainable Management of Natural Resources and resilience to Climate change</w:t>
            </w:r>
            <w:r w:rsidR="00D55404">
              <w:rPr>
                <w:noProof/>
                <w:webHidden/>
              </w:rPr>
              <w:tab/>
            </w:r>
            <w:r w:rsidR="00D55404">
              <w:rPr>
                <w:noProof/>
                <w:webHidden/>
              </w:rPr>
              <w:fldChar w:fldCharType="begin"/>
            </w:r>
            <w:r w:rsidR="00D55404">
              <w:rPr>
                <w:noProof/>
                <w:webHidden/>
              </w:rPr>
              <w:instrText xml:space="preserve"> PAGEREF _Toc40265803 \h </w:instrText>
            </w:r>
            <w:r w:rsidR="00D55404">
              <w:rPr>
                <w:noProof/>
                <w:webHidden/>
              </w:rPr>
            </w:r>
            <w:r w:rsidR="00D55404">
              <w:rPr>
                <w:noProof/>
                <w:webHidden/>
              </w:rPr>
              <w:fldChar w:fldCharType="separate"/>
            </w:r>
            <w:r w:rsidR="00D55404">
              <w:rPr>
                <w:noProof/>
                <w:webHidden/>
              </w:rPr>
              <w:t>40</w:t>
            </w:r>
            <w:r w:rsidR="00D55404">
              <w:rPr>
                <w:noProof/>
                <w:webHidden/>
              </w:rPr>
              <w:fldChar w:fldCharType="end"/>
            </w:r>
          </w:hyperlink>
        </w:p>
        <w:p w14:paraId="115FC3D0" w14:textId="028E9F64" w:rsidR="00D55404" w:rsidRDefault="002A37E3">
          <w:pPr>
            <w:pStyle w:val="TOC2"/>
            <w:tabs>
              <w:tab w:val="right" w:leader="dot" w:pos="9352"/>
            </w:tabs>
            <w:rPr>
              <w:rFonts w:eastAsiaTheme="minorEastAsia"/>
              <w:noProof/>
              <w:sz w:val="22"/>
              <w:szCs w:val="22"/>
              <w:lang w:val="en-US"/>
            </w:rPr>
          </w:pPr>
          <w:hyperlink w:anchor="_Toc40265804" w:history="1">
            <w:r w:rsidR="00D55404" w:rsidRPr="00997814">
              <w:rPr>
                <w:rStyle w:val="Hyperlink"/>
                <w:noProof/>
                <w:lang w:val="en-US"/>
              </w:rPr>
              <w:t>2.4. Synergies between Cooperation Framework outcomes</w:t>
            </w:r>
            <w:r w:rsidR="00D55404">
              <w:rPr>
                <w:noProof/>
                <w:webHidden/>
              </w:rPr>
              <w:tab/>
            </w:r>
            <w:r w:rsidR="00D55404">
              <w:rPr>
                <w:noProof/>
                <w:webHidden/>
              </w:rPr>
              <w:fldChar w:fldCharType="begin"/>
            </w:r>
            <w:r w:rsidR="00D55404">
              <w:rPr>
                <w:noProof/>
                <w:webHidden/>
              </w:rPr>
              <w:instrText xml:space="preserve"> PAGEREF _Toc40265804 \h </w:instrText>
            </w:r>
            <w:r w:rsidR="00D55404">
              <w:rPr>
                <w:noProof/>
                <w:webHidden/>
              </w:rPr>
            </w:r>
            <w:r w:rsidR="00D55404">
              <w:rPr>
                <w:noProof/>
                <w:webHidden/>
              </w:rPr>
              <w:fldChar w:fldCharType="separate"/>
            </w:r>
            <w:r w:rsidR="00D55404">
              <w:rPr>
                <w:noProof/>
                <w:webHidden/>
              </w:rPr>
              <w:t>43</w:t>
            </w:r>
            <w:r w:rsidR="00D55404">
              <w:rPr>
                <w:noProof/>
                <w:webHidden/>
              </w:rPr>
              <w:fldChar w:fldCharType="end"/>
            </w:r>
          </w:hyperlink>
        </w:p>
        <w:p w14:paraId="21E7C52D" w14:textId="397D4809" w:rsidR="00D55404" w:rsidRDefault="002A37E3">
          <w:pPr>
            <w:pStyle w:val="TOC2"/>
            <w:tabs>
              <w:tab w:val="right" w:leader="dot" w:pos="9352"/>
            </w:tabs>
            <w:rPr>
              <w:rFonts w:eastAsiaTheme="minorEastAsia"/>
              <w:noProof/>
              <w:sz w:val="22"/>
              <w:szCs w:val="22"/>
              <w:lang w:val="en-US"/>
            </w:rPr>
          </w:pPr>
          <w:hyperlink w:anchor="_Toc40265805" w:history="1">
            <w:r w:rsidR="00D55404" w:rsidRPr="00997814">
              <w:rPr>
                <w:rStyle w:val="Hyperlink"/>
                <w:noProof/>
                <w:lang w:val="en-US"/>
              </w:rPr>
              <w:t>2.5. Sustainability</w:t>
            </w:r>
            <w:r w:rsidR="00D55404">
              <w:rPr>
                <w:noProof/>
                <w:webHidden/>
              </w:rPr>
              <w:tab/>
            </w:r>
            <w:r w:rsidR="00D55404">
              <w:rPr>
                <w:noProof/>
                <w:webHidden/>
              </w:rPr>
              <w:fldChar w:fldCharType="begin"/>
            </w:r>
            <w:r w:rsidR="00D55404">
              <w:rPr>
                <w:noProof/>
                <w:webHidden/>
              </w:rPr>
              <w:instrText xml:space="preserve"> PAGEREF _Toc40265805 \h </w:instrText>
            </w:r>
            <w:r w:rsidR="00D55404">
              <w:rPr>
                <w:noProof/>
                <w:webHidden/>
              </w:rPr>
            </w:r>
            <w:r w:rsidR="00D55404">
              <w:rPr>
                <w:noProof/>
                <w:webHidden/>
              </w:rPr>
              <w:fldChar w:fldCharType="separate"/>
            </w:r>
            <w:r w:rsidR="00D55404">
              <w:rPr>
                <w:noProof/>
                <w:webHidden/>
              </w:rPr>
              <w:t>44</w:t>
            </w:r>
            <w:r w:rsidR="00D55404">
              <w:rPr>
                <w:noProof/>
                <w:webHidden/>
              </w:rPr>
              <w:fldChar w:fldCharType="end"/>
            </w:r>
          </w:hyperlink>
        </w:p>
        <w:p w14:paraId="5384152E" w14:textId="677121AB" w:rsidR="00D55404" w:rsidRDefault="002A37E3">
          <w:pPr>
            <w:pStyle w:val="TOC2"/>
            <w:tabs>
              <w:tab w:val="right" w:leader="dot" w:pos="9352"/>
            </w:tabs>
            <w:rPr>
              <w:rFonts w:eastAsiaTheme="minorEastAsia"/>
              <w:noProof/>
              <w:sz w:val="22"/>
              <w:szCs w:val="22"/>
              <w:lang w:val="en-US"/>
            </w:rPr>
          </w:pPr>
          <w:hyperlink w:anchor="_Toc40265806" w:history="1">
            <w:r w:rsidR="00D55404" w:rsidRPr="00997814">
              <w:rPr>
                <w:rStyle w:val="Hyperlink"/>
                <w:noProof/>
                <w:lang w:val="en-US"/>
              </w:rPr>
              <w:t>2.6. UN Comparative Advantages and UNCT configuration</w:t>
            </w:r>
            <w:r w:rsidR="00D55404">
              <w:rPr>
                <w:noProof/>
                <w:webHidden/>
              </w:rPr>
              <w:tab/>
            </w:r>
            <w:r w:rsidR="00D55404">
              <w:rPr>
                <w:noProof/>
                <w:webHidden/>
              </w:rPr>
              <w:fldChar w:fldCharType="begin"/>
            </w:r>
            <w:r w:rsidR="00D55404">
              <w:rPr>
                <w:noProof/>
                <w:webHidden/>
              </w:rPr>
              <w:instrText xml:space="preserve"> PAGEREF _Toc40265806 \h </w:instrText>
            </w:r>
            <w:r w:rsidR="00D55404">
              <w:rPr>
                <w:noProof/>
                <w:webHidden/>
              </w:rPr>
            </w:r>
            <w:r w:rsidR="00D55404">
              <w:rPr>
                <w:noProof/>
                <w:webHidden/>
              </w:rPr>
              <w:fldChar w:fldCharType="separate"/>
            </w:r>
            <w:r w:rsidR="00D55404">
              <w:rPr>
                <w:noProof/>
                <w:webHidden/>
              </w:rPr>
              <w:t>44</w:t>
            </w:r>
            <w:r w:rsidR="00D55404">
              <w:rPr>
                <w:noProof/>
                <w:webHidden/>
              </w:rPr>
              <w:fldChar w:fldCharType="end"/>
            </w:r>
          </w:hyperlink>
        </w:p>
        <w:p w14:paraId="0D2D6AA5" w14:textId="1C9D85C9" w:rsidR="00D55404" w:rsidRDefault="002A37E3">
          <w:pPr>
            <w:pStyle w:val="TOC1"/>
            <w:rPr>
              <w:rFonts w:eastAsiaTheme="minorEastAsia"/>
              <w:noProof/>
              <w:sz w:val="22"/>
              <w:szCs w:val="22"/>
              <w:lang w:val="en-US"/>
            </w:rPr>
          </w:pPr>
          <w:hyperlink w:anchor="_Toc40265807" w:history="1">
            <w:r w:rsidR="00D55404" w:rsidRPr="00997814">
              <w:rPr>
                <w:rStyle w:val="Hyperlink"/>
                <w:noProof/>
                <w:lang w:val="en-US"/>
              </w:rPr>
              <w:t>CHAPTER 3: COOPERATION FRAMEWORK IMPLEMENTATION PLAN</w:t>
            </w:r>
            <w:r w:rsidR="00D55404">
              <w:rPr>
                <w:noProof/>
                <w:webHidden/>
              </w:rPr>
              <w:tab/>
            </w:r>
            <w:r w:rsidR="00D55404">
              <w:rPr>
                <w:noProof/>
                <w:webHidden/>
              </w:rPr>
              <w:fldChar w:fldCharType="begin"/>
            </w:r>
            <w:r w:rsidR="00D55404">
              <w:rPr>
                <w:noProof/>
                <w:webHidden/>
              </w:rPr>
              <w:instrText xml:space="preserve"> PAGEREF _Toc40265807 \h </w:instrText>
            </w:r>
            <w:r w:rsidR="00D55404">
              <w:rPr>
                <w:noProof/>
                <w:webHidden/>
              </w:rPr>
            </w:r>
            <w:r w:rsidR="00D55404">
              <w:rPr>
                <w:noProof/>
                <w:webHidden/>
              </w:rPr>
              <w:fldChar w:fldCharType="separate"/>
            </w:r>
            <w:r w:rsidR="00D55404">
              <w:rPr>
                <w:noProof/>
                <w:webHidden/>
              </w:rPr>
              <w:t>45</w:t>
            </w:r>
            <w:r w:rsidR="00D55404">
              <w:rPr>
                <w:noProof/>
                <w:webHidden/>
              </w:rPr>
              <w:fldChar w:fldCharType="end"/>
            </w:r>
          </w:hyperlink>
        </w:p>
        <w:p w14:paraId="2260E2C2" w14:textId="18ED053B" w:rsidR="00D55404" w:rsidRDefault="002A37E3">
          <w:pPr>
            <w:pStyle w:val="TOC2"/>
            <w:tabs>
              <w:tab w:val="right" w:leader="dot" w:pos="9352"/>
            </w:tabs>
            <w:rPr>
              <w:rFonts w:eastAsiaTheme="minorEastAsia"/>
              <w:noProof/>
              <w:sz w:val="22"/>
              <w:szCs w:val="22"/>
              <w:lang w:val="en-US"/>
            </w:rPr>
          </w:pPr>
          <w:hyperlink w:anchor="_Toc40265808" w:history="1">
            <w:r w:rsidR="00D55404" w:rsidRPr="00997814">
              <w:rPr>
                <w:rStyle w:val="Hyperlink"/>
                <w:noProof/>
                <w:lang w:val="en-US"/>
              </w:rPr>
              <w:t>3.1. Implementation strategy and strategic partnerships</w:t>
            </w:r>
            <w:r w:rsidR="00D55404">
              <w:rPr>
                <w:noProof/>
                <w:webHidden/>
              </w:rPr>
              <w:tab/>
            </w:r>
            <w:r w:rsidR="00D55404">
              <w:rPr>
                <w:noProof/>
                <w:webHidden/>
              </w:rPr>
              <w:fldChar w:fldCharType="begin"/>
            </w:r>
            <w:r w:rsidR="00D55404">
              <w:rPr>
                <w:noProof/>
                <w:webHidden/>
              </w:rPr>
              <w:instrText xml:space="preserve"> PAGEREF _Toc40265808 \h </w:instrText>
            </w:r>
            <w:r w:rsidR="00D55404">
              <w:rPr>
                <w:noProof/>
                <w:webHidden/>
              </w:rPr>
            </w:r>
            <w:r w:rsidR="00D55404">
              <w:rPr>
                <w:noProof/>
                <w:webHidden/>
              </w:rPr>
              <w:fldChar w:fldCharType="separate"/>
            </w:r>
            <w:r w:rsidR="00D55404">
              <w:rPr>
                <w:noProof/>
                <w:webHidden/>
              </w:rPr>
              <w:t>45</w:t>
            </w:r>
            <w:r w:rsidR="00D55404">
              <w:rPr>
                <w:noProof/>
                <w:webHidden/>
              </w:rPr>
              <w:fldChar w:fldCharType="end"/>
            </w:r>
          </w:hyperlink>
        </w:p>
        <w:p w14:paraId="79E7E365" w14:textId="56A074A4" w:rsidR="00D55404" w:rsidRDefault="002A37E3">
          <w:pPr>
            <w:pStyle w:val="TOC2"/>
            <w:tabs>
              <w:tab w:val="right" w:leader="dot" w:pos="9352"/>
            </w:tabs>
            <w:rPr>
              <w:rFonts w:eastAsiaTheme="minorEastAsia"/>
              <w:noProof/>
              <w:sz w:val="22"/>
              <w:szCs w:val="22"/>
              <w:lang w:val="en-US"/>
            </w:rPr>
          </w:pPr>
          <w:hyperlink w:anchor="_Toc40265809" w:history="1">
            <w:r w:rsidR="00D55404" w:rsidRPr="00997814">
              <w:rPr>
                <w:rStyle w:val="Hyperlink"/>
                <w:noProof/>
                <w:lang w:val="en-US"/>
              </w:rPr>
              <w:t>3.2. Joint workplans</w:t>
            </w:r>
            <w:r w:rsidR="00D55404">
              <w:rPr>
                <w:noProof/>
                <w:webHidden/>
              </w:rPr>
              <w:tab/>
            </w:r>
            <w:r w:rsidR="00D55404">
              <w:rPr>
                <w:noProof/>
                <w:webHidden/>
              </w:rPr>
              <w:fldChar w:fldCharType="begin"/>
            </w:r>
            <w:r w:rsidR="00D55404">
              <w:rPr>
                <w:noProof/>
                <w:webHidden/>
              </w:rPr>
              <w:instrText xml:space="preserve"> PAGEREF _Toc40265809 \h </w:instrText>
            </w:r>
            <w:r w:rsidR="00D55404">
              <w:rPr>
                <w:noProof/>
                <w:webHidden/>
              </w:rPr>
            </w:r>
            <w:r w:rsidR="00D55404">
              <w:rPr>
                <w:noProof/>
                <w:webHidden/>
              </w:rPr>
              <w:fldChar w:fldCharType="separate"/>
            </w:r>
            <w:r w:rsidR="00D55404">
              <w:rPr>
                <w:noProof/>
                <w:webHidden/>
              </w:rPr>
              <w:t>46</w:t>
            </w:r>
            <w:r w:rsidR="00D55404">
              <w:rPr>
                <w:noProof/>
                <w:webHidden/>
              </w:rPr>
              <w:fldChar w:fldCharType="end"/>
            </w:r>
          </w:hyperlink>
        </w:p>
        <w:p w14:paraId="500B9F5D" w14:textId="495D114C" w:rsidR="00D55404" w:rsidRDefault="002A37E3">
          <w:pPr>
            <w:pStyle w:val="TOC2"/>
            <w:tabs>
              <w:tab w:val="right" w:leader="dot" w:pos="9352"/>
            </w:tabs>
            <w:rPr>
              <w:rFonts w:eastAsiaTheme="minorEastAsia"/>
              <w:noProof/>
              <w:sz w:val="22"/>
              <w:szCs w:val="22"/>
              <w:lang w:val="en-US"/>
            </w:rPr>
          </w:pPr>
          <w:hyperlink w:anchor="_Toc40265810" w:history="1">
            <w:r w:rsidR="00D55404" w:rsidRPr="00997814">
              <w:rPr>
                <w:rStyle w:val="Hyperlink"/>
                <w:noProof/>
                <w:lang w:val="en-US"/>
              </w:rPr>
              <w:t>3.3. Governance</w:t>
            </w:r>
            <w:r w:rsidR="00D55404">
              <w:rPr>
                <w:noProof/>
                <w:webHidden/>
              </w:rPr>
              <w:tab/>
            </w:r>
            <w:r w:rsidR="00D55404">
              <w:rPr>
                <w:noProof/>
                <w:webHidden/>
              </w:rPr>
              <w:fldChar w:fldCharType="begin"/>
            </w:r>
            <w:r w:rsidR="00D55404">
              <w:rPr>
                <w:noProof/>
                <w:webHidden/>
              </w:rPr>
              <w:instrText xml:space="preserve"> PAGEREF _Toc40265810 \h </w:instrText>
            </w:r>
            <w:r w:rsidR="00D55404">
              <w:rPr>
                <w:noProof/>
                <w:webHidden/>
              </w:rPr>
            </w:r>
            <w:r w:rsidR="00D55404">
              <w:rPr>
                <w:noProof/>
                <w:webHidden/>
              </w:rPr>
              <w:fldChar w:fldCharType="separate"/>
            </w:r>
            <w:r w:rsidR="00D55404">
              <w:rPr>
                <w:noProof/>
                <w:webHidden/>
              </w:rPr>
              <w:t>47</w:t>
            </w:r>
            <w:r w:rsidR="00D55404">
              <w:rPr>
                <w:noProof/>
                <w:webHidden/>
              </w:rPr>
              <w:fldChar w:fldCharType="end"/>
            </w:r>
          </w:hyperlink>
        </w:p>
        <w:p w14:paraId="68ED8E6C" w14:textId="3DE5A4B6" w:rsidR="00D55404" w:rsidRDefault="002A37E3">
          <w:pPr>
            <w:pStyle w:val="TOC1"/>
            <w:rPr>
              <w:rFonts w:eastAsiaTheme="minorEastAsia"/>
              <w:noProof/>
              <w:sz w:val="22"/>
              <w:szCs w:val="22"/>
              <w:lang w:val="en-US"/>
            </w:rPr>
          </w:pPr>
          <w:hyperlink w:anchor="_Toc40265811" w:history="1">
            <w:r w:rsidR="00D55404" w:rsidRPr="00997814">
              <w:rPr>
                <w:rStyle w:val="Hyperlink"/>
                <w:noProof/>
                <w:lang w:val="en-US"/>
              </w:rPr>
              <w:t>CHAPTER 4: MONITORING AND EVALUATION PLAN</w:t>
            </w:r>
            <w:r w:rsidR="00D55404">
              <w:rPr>
                <w:noProof/>
                <w:webHidden/>
              </w:rPr>
              <w:tab/>
            </w:r>
            <w:r w:rsidR="00D55404">
              <w:rPr>
                <w:noProof/>
                <w:webHidden/>
              </w:rPr>
              <w:fldChar w:fldCharType="begin"/>
            </w:r>
            <w:r w:rsidR="00D55404">
              <w:rPr>
                <w:noProof/>
                <w:webHidden/>
              </w:rPr>
              <w:instrText xml:space="preserve"> PAGEREF _Toc40265811 \h </w:instrText>
            </w:r>
            <w:r w:rsidR="00D55404">
              <w:rPr>
                <w:noProof/>
                <w:webHidden/>
              </w:rPr>
            </w:r>
            <w:r w:rsidR="00D55404">
              <w:rPr>
                <w:noProof/>
                <w:webHidden/>
              </w:rPr>
              <w:fldChar w:fldCharType="separate"/>
            </w:r>
            <w:r w:rsidR="00D55404">
              <w:rPr>
                <w:noProof/>
                <w:webHidden/>
              </w:rPr>
              <w:t>48</w:t>
            </w:r>
            <w:r w:rsidR="00D55404">
              <w:rPr>
                <w:noProof/>
                <w:webHidden/>
              </w:rPr>
              <w:fldChar w:fldCharType="end"/>
            </w:r>
          </w:hyperlink>
        </w:p>
        <w:p w14:paraId="7C7DA4B1" w14:textId="2B436E42" w:rsidR="00D55404" w:rsidRDefault="002A37E3">
          <w:pPr>
            <w:pStyle w:val="TOC2"/>
            <w:tabs>
              <w:tab w:val="right" w:leader="dot" w:pos="9352"/>
            </w:tabs>
            <w:rPr>
              <w:rFonts w:eastAsiaTheme="minorEastAsia"/>
              <w:noProof/>
              <w:sz w:val="22"/>
              <w:szCs w:val="22"/>
              <w:lang w:val="en-US"/>
            </w:rPr>
          </w:pPr>
          <w:hyperlink w:anchor="_Toc40265812" w:history="1">
            <w:r w:rsidR="00D55404" w:rsidRPr="00997814">
              <w:rPr>
                <w:rStyle w:val="Hyperlink"/>
                <w:rFonts w:ascii="Calibri" w:hAnsi="Calibri" w:cs="Calibri"/>
                <w:noProof/>
              </w:rPr>
              <w:t>4.1. Monitoring plan</w:t>
            </w:r>
            <w:r w:rsidR="00D55404">
              <w:rPr>
                <w:noProof/>
                <w:webHidden/>
              </w:rPr>
              <w:tab/>
            </w:r>
            <w:r w:rsidR="00D55404">
              <w:rPr>
                <w:noProof/>
                <w:webHidden/>
              </w:rPr>
              <w:fldChar w:fldCharType="begin"/>
            </w:r>
            <w:r w:rsidR="00D55404">
              <w:rPr>
                <w:noProof/>
                <w:webHidden/>
              </w:rPr>
              <w:instrText xml:space="preserve"> PAGEREF _Toc40265812 \h </w:instrText>
            </w:r>
            <w:r w:rsidR="00D55404">
              <w:rPr>
                <w:noProof/>
                <w:webHidden/>
              </w:rPr>
            </w:r>
            <w:r w:rsidR="00D55404">
              <w:rPr>
                <w:noProof/>
                <w:webHidden/>
              </w:rPr>
              <w:fldChar w:fldCharType="separate"/>
            </w:r>
            <w:r w:rsidR="00D55404">
              <w:rPr>
                <w:noProof/>
                <w:webHidden/>
              </w:rPr>
              <w:t>48</w:t>
            </w:r>
            <w:r w:rsidR="00D55404">
              <w:rPr>
                <w:noProof/>
                <w:webHidden/>
              </w:rPr>
              <w:fldChar w:fldCharType="end"/>
            </w:r>
          </w:hyperlink>
        </w:p>
        <w:p w14:paraId="7B2403DF" w14:textId="0A06319A" w:rsidR="00D55404" w:rsidRDefault="002A37E3">
          <w:pPr>
            <w:pStyle w:val="TOC2"/>
            <w:tabs>
              <w:tab w:val="right" w:leader="dot" w:pos="9352"/>
            </w:tabs>
            <w:rPr>
              <w:rFonts w:eastAsiaTheme="minorEastAsia"/>
              <w:noProof/>
              <w:sz w:val="22"/>
              <w:szCs w:val="22"/>
              <w:lang w:val="en-US"/>
            </w:rPr>
          </w:pPr>
          <w:hyperlink w:anchor="_Toc40265813" w:history="1">
            <w:r w:rsidR="00D55404" w:rsidRPr="00997814">
              <w:rPr>
                <w:rStyle w:val="Hyperlink"/>
                <w:noProof/>
                <w:lang w:val="en-US"/>
              </w:rPr>
              <w:t>Annex 1: RESULTS MATRIX</w:t>
            </w:r>
            <w:r w:rsidR="00D55404">
              <w:rPr>
                <w:noProof/>
                <w:webHidden/>
              </w:rPr>
              <w:tab/>
            </w:r>
            <w:r w:rsidR="00D55404">
              <w:rPr>
                <w:noProof/>
                <w:webHidden/>
              </w:rPr>
              <w:fldChar w:fldCharType="begin"/>
            </w:r>
            <w:r w:rsidR="00D55404">
              <w:rPr>
                <w:noProof/>
                <w:webHidden/>
              </w:rPr>
              <w:instrText xml:space="preserve"> PAGEREF _Toc40265813 \h </w:instrText>
            </w:r>
            <w:r w:rsidR="00D55404">
              <w:rPr>
                <w:noProof/>
                <w:webHidden/>
              </w:rPr>
            </w:r>
            <w:r w:rsidR="00D55404">
              <w:rPr>
                <w:noProof/>
                <w:webHidden/>
              </w:rPr>
              <w:fldChar w:fldCharType="separate"/>
            </w:r>
            <w:r w:rsidR="00D55404">
              <w:rPr>
                <w:noProof/>
                <w:webHidden/>
              </w:rPr>
              <w:t>56</w:t>
            </w:r>
            <w:r w:rsidR="00D55404">
              <w:rPr>
                <w:noProof/>
                <w:webHidden/>
              </w:rPr>
              <w:fldChar w:fldCharType="end"/>
            </w:r>
          </w:hyperlink>
        </w:p>
        <w:p w14:paraId="2FB57FAB" w14:textId="4116FC13" w:rsidR="00D55404" w:rsidRDefault="002A37E3">
          <w:pPr>
            <w:pStyle w:val="TOC2"/>
            <w:tabs>
              <w:tab w:val="right" w:leader="dot" w:pos="9352"/>
            </w:tabs>
            <w:rPr>
              <w:rFonts w:eastAsiaTheme="minorEastAsia"/>
              <w:noProof/>
              <w:sz w:val="22"/>
              <w:szCs w:val="22"/>
              <w:lang w:val="en-US"/>
            </w:rPr>
          </w:pPr>
          <w:hyperlink w:anchor="_Toc40265814" w:history="1">
            <w:r w:rsidR="00D55404" w:rsidRPr="00997814">
              <w:rPr>
                <w:rStyle w:val="Hyperlink"/>
                <w:noProof/>
                <w:lang w:val="en-US"/>
              </w:rPr>
              <w:t>Annex 2: LEGAL CLAUSES</w:t>
            </w:r>
            <w:r w:rsidR="00D55404">
              <w:rPr>
                <w:noProof/>
                <w:webHidden/>
              </w:rPr>
              <w:tab/>
            </w:r>
            <w:r w:rsidR="00D55404">
              <w:rPr>
                <w:noProof/>
                <w:webHidden/>
              </w:rPr>
              <w:fldChar w:fldCharType="begin"/>
            </w:r>
            <w:r w:rsidR="00D55404">
              <w:rPr>
                <w:noProof/>
                <w:webHidden/>
              </w:rPr>
              <w:instrText xml:space="preserve"> PAGEREF _Toc40265814 \h </w:instrText>
            </w:r>
            <w:r w:rsidR="00D55404">
              <w:rPr>
                <w:noProof/>
                <w:webHidden/>
              </w:rPr>
            </w:r>
            <w:r w:rsidR="00D55404">
              <w:rPr>
                <w:noProof/>
                <w:webHidden/>
              </w:rPr>
              <w:fldChar w:fldCharType="separate"/>
            </w:r>
            <w:r w:rsidR="00D55404">
              <w:rPr>
                <w:noProof/>
                <w:webHidden/>
              </w:rPr>
              <w:t>93</w:t>
            </w:r>
            <w:r w:rsidR="00D55404">
              <w:rPr>
                <w:noProof/>
                <w:webHidden/>
              </w:rPr>
              <w:fldChar w:fldCharType="end"/>
            </w:r>
          </w:hyperlink>
        </w:p>
        <w:p w14:paraId="2C1A5554" w14:textId="60EF8E1F" w:rsidR="00E464D0" w:rsidRPr="00841766" w:rsidRDefault="00E464D0" w:rsidP="00E230FC">
          <w:pPr>
            <w:pStyle w:val="TOC1"/>
            <w:rPr>
              <w:noProof/>
              <w:lang w:val="en-US"/>
            </w:rPr>
          </w:pPr>
          <w:r w:rsidRPr="00841766">
            <w:rPr>
              <w:b/>
              <w:bCs/>
              <w:noProof/>
              <w:lang w:val="en-US"/>
            </w:rPr>
            <w:fldChar w:fldCharType="end"/>
          </w:r>
        </w:p>
      </w:sdtContent>
    </w:sdt>
    <w:p w14:paraId="79B397F5" w14:textId="4C63B9DD" w:rsidR="00F057B7" w:rsidRPr="00841766" w:rsidRDefault="00F057B7" w:rsidP="00F057B7">
      <w:pPr>
        <w:pStyle w:val="Heading1"/>
        <w:rPr>
          <w:lang w:val="en-US"/>
        </w:rPr>
      </w:pPr>
      <w:bookmarkStart w:id="0" w:name="_Toc40265786"/>
      <w:r>
        <w:rPr>
          <w:lang w:val="en-US"/>
        </w:rPr>
        <w:lastRenderedPageBreak/>
        <w:t>Signatory Page</w:t>
      </w:r>
      <w:bookmarkEnd w:id="0"/>
    </w:p>
    <w:p w14:paraId="3D3EE0BD" w14:textId="00CEC004" w:rsidR="009553CF" w:rsidRDefault="009553CF" w:rsidP="00193BDD">
      <w:pPr>
        <w:rPr>
          <w:lang w:val="en-US"/>
        </w:rPr>
      </w:pPr>
    </w:p>
    <w:p w14:paraId="4FBEE7B6" w14:textId="77777777" w:rsidR="00F057B7" w:rsidRDefault="00F057B7" w:rsidP="00193BDD">
      <w:pPr>
        <w:rPr>
          <w:b/>
          <w:bCs/>
          <w:lang w:val="en-US"/>
        </w:rPr>
      </w:pPr>
    </w:p>
    <w:p w14:paraId="55E0F2C0" w14:textId="77777777" w:rsidR="00F057B7" w:rsidRDefault="00F057B7" w:rsidP="00193BDD">
      <w:pPr>
        <w:rPr>
          <w:b/>
          <w:bCs/>
          <w:lang w:val="en-US"/>
        </w:rPr>
      </w:pPr>
    </w:p>
    <w:p w14:paraId="16A8FB19" w14:textId="69CC18D1" w:rsidR="00F057B7" w:rsidRPr="00F057B7" w:rsidRDefault="00F057B7" w:rsidP="00193BDD">
      <w:pPr>
        <w:rPr>
          <w:b/>
          <w:bCs/>
          <w:lang w:val="en-US"/>
        </w:rPr>
      </w:pPr>
      <w:r w:rsidRPr="00F057B7">
        <w:rPr>
          <w:b/>
          <w:bCs/>
          <w:lang w:val="en-US"/>
        </w:rPr>
        <w:t>Preamble</w:t>
      </w:r>
    </w:p>
    <w:p w14:paraId="3E389819" w14:textId="24448A73" w:rsidR="009553CF" w:rsidRDefault="00F057B7" w:rsidP="006C70F3">
      <w:pPr>
        <w:jc w:val="both"/>
        <w:rPr>
          <w:lang w:val="en-US"/>
        </w:rPr>
      </w:pPr>
      <w:r w:rsidRPr="00F057B7">
        <w:rPr>
          <w:lang w:val="en-US"/>
        </w:rPr>
        <w:t xml:space="preserve">The United Nations in </w:t>
      </w:r>
      <w:r>
        <w:rPr>
          <w:lang w:val="en-US"/>
        </w:rPr>
        <w:t>Timor-Leste</w:t>
      </w:r>
      <w:r w:rsidRPr="00F057B7">
        <w:rPr>
          <w:lang w:val="en-US"/>
        </w:rPr>
        <w:t xml:space="preserve"> is committed to working with the Government and people of </w:t>
      </w:r>
      <w:r>
        <w:rPr>
          <w:lang w:val="en-US"/>
        </w:rPr>
        <w:t>Timor-Leste</w:t>
      </w:r>
      <w:r w:rsidRPr="00F057B7">
        <w:rPr>
          <w:lang w:val="en-US"/>
        </w:rPr>
        <w:t xml:space="preserve">, together with other development partners, to improve the lives of all people in the country, especially the most marginalized and vulnerable, and to achieve the Sustainable Development Goals. </w:t>
      </w:r>
      <w:r w:rsidR="006C70F3">
        <w:rPr>
          <w:lang w:val="en-US"/>
        </w:rPr>
        <w:t xml:space="preserve"> </w:t>
      </w:r>
      <w:r w:rsidRPr="00F057B7">
        <w:rPr>
          <w:lang w:val="en-US"/>
        </w:rPr>
        <w:t xml:space="preserve">The United </w:t>
      </w:r>
      <w:r>
        <w:rPr>
          <w:lang w:val="en-US"/>
        </w:rPr>
        <w:t xml:space="preserve">Nations </w:t>
      </w:r>
      <w:r w:rsidR="006C70F3">
        <w:rPr>
          <w:lang w:val="en-US"/>
        </w:rPr>
        <w:t xml:space="preserve">Sustainable Development </w:t>
      </w:r>
      <w:r>
        <w:rPr>
          <w:lang w:val="en-US"/>
        </w:rPr>
        <w:t xml:space="preserve">Cooperation Framework </w:t>
      </w:r>
      <w:r w:rsidR="006C70F3">
        <w:rPr>
          <w:lang w:val="en-US"/>
        </w:rPr>
        <w:t xml:space="preserve">(2021-2025) </w:t>
      </w:r>
      <w:r w:rsidRPr="00F057B7">
        <w:rPr>
          <w:lang w:val="en-US"/>
        </w:rPr>
        <w:t xml:space="preserve">reflects the shared commitment of the Government of </w:t>
      </w:r>
      <w:r>
        <w:rPr>
          <w:lang w:val="en-US"/>
        </w:rPr>
        <w:t>Timor-Leste</w:t>
      </w:r>
      <w:r w:rsidRPr="00F057B7">
        <w:rPr>
          <w:lang w:val="en-US"/>
        </w:rPr>
        <w:t xml:space="preserve"> and the U</w:t>
      </w:r>
      <w:r w:rsidR="00D55404">
        <w:rPr>
          <w:lang w:val="en-US"/>
        </w:rPr>
        <w:t xml:space="preserve">nited </w:t>
      </w:r>
      <w:r w:rsidRPr="00F057B7">
        <w:rPr>
          <w:lang w:val="en-US"/>
        </w:rPr>
        <w:t>N</w:t>
      </w:r>
      <w:r w:rsidR="00D55404">
        <w:rPr>
          <w:lang w:val="en-US"/>
        </w:rPr>
        <w:t>ations</w:t>
      </w:r>
      <w:r w:rsidRPr="00F057B7">
        <w:rPr>
          <w:lang w:val="en-US"/>
        </w:rPr>
        <w:t xml:space="preserve"> </w:t>
      </w:r>
      <w:r w:rsidR="006C70F3">
        <w:rPr>
          <w:lang w:val="en-US"/>
        </w:rPr>
        <w:t xml:space="preserve">development </w:t>
      </w:r>
      <w:r w:rsidRPr="00F057B7">
        <w:rPr>
          <w:lang w:val="en-US"/>
        </w:rPr>
        <w:t xml:space="preserve">system to maximize our efforts in support of national priorities, </w:t>
      </w:r>
      <w:r>
        <w:rPr>
          <w:lang w:val="en-US"/>
        </w:rPr>
        <w:t>including the Strategic Development Plan (2011-2030).</w:t>
      </w:r>
    </w:p>
    <w:p w14:paraId="10EFDEFB" w14:textId="31CD8E03" w:rsidR="00F057B7" w:rsidRDefault="00F057B7" w:rsidP="00193BDD">
      <w:pPr>
        <w:rPr>
          <w:lang w:val="en-US"/>
        </w:rPr>
      </w:pPr>
    </w:p>
    <w:p w14:paraId="35CDCFE6" w14:textId="33AD76FC" w:rsidR="00F057B7" w:rsidRDefault="00F057B7" w:rsidP="00193BDD">
      <w:pPr>
        <w:rPr>
          <w:lang w:val="en-US"/>
        </w:rPr>
      </w:pPr>
    </w:p>
    <w:p w14:paraId="20BA5F84" w14:textId="28EF06BF" w:rsidR="00F057B7" w:rsidRDefault="00F057B7" w:rsidP="00193BDD">
      <w:pPr>
        <w:rPr>
          <w:lang w:val="en-US"/>
        </w:rPr>
      </w:pPr>
    </w:p>
    <w:p w14:paraId="74E2A546" w14:textId="35EB711B" w:rsidR="00F057B7" w:rsidRDefault="00F057B7" w:rsidP="00193BDD">
      <w:pPr>
        <w:rPr>
          <w:lang w:val="en-US"/>
        </w:rPr>
      </w:pPr>
    </w:p>
    <w:p w14:paraId="245EEA42" w14:textId="62186C13" w:rsidR="00F057B7" w:rsidRDefault="00F057B7" w:rsidP="00193BDD">
      <w:pPr>
        <w:rPr>
          <w:lang w:val="en-US"/>
        </w:rPr>
      </w:pPr>
    </w:p>
    <w:p w14:paraId="5DF6FE06" w14:textId="77777777" w:rsidR="00D55404" w:rsidRDefault="00D55404" w:rsidP="00193BDD">
      <w:pPr>
        <w:rPr>
          <w:lang w:val="en-US"/>
        </w:rPr>
      </w:pPr>
    </w:p>
    <w:p w14:paraId="06914B76" w14:textId="77777777" w:rsidR="00F057B7" w:rsidRDefault="00F057B7" w:rsidP="00193BDD">
      <w:pPr>
        <w:rPr>
          <w:lang w:val="en-US"/>
        </w:rPr>
      </w:pPr>
    </w:p>
    <w:p w14:paraId="7BA4EAC0" w14:textId="77777777" w:rsidR="00F057B7" w:rsidRDefault="00F057B7" w:rsidP="00193BDD">
      <w:pPr>
        <w:rPr>
          <w:lang w:val="en-US"/>
        </w:rPr>
      </w:pPr>
    </w:p>
    <w:p w14:paraId="70865802" w14:textId="6CEB28AE" w:rsidR="009553CF" w:rsidRDefault="009553CF" w:rsidP="00193BDD">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F057B7" w14:paraId="544D5737" w14:textId="77777777" w:rsidTr="00F057B7">
        <w:tc>
          <w:tcPr>
            <w:tcW w:w="4676" w:type="dxa"/>
          </w:tcPr>
          <w:p w14:paraId="1B7AB766" w14:textId="12C3915C" w:rsidR="00F057B7" w:rsidRPr="00F057B7" w:rsidRDefault="00F057B7" w:rsidP="00F057B7">
            <w:pPr>
              <w:jc w:val="center"/>
              <w:rPr>
                <w:b/>
                <w:bCs/>
                <w:lang w:val="en-US"/>
              </w:rPr>
            </w:pPr>
            <w:r>
              <w:rPr>
                <w:b/>
                <w:bCs/>
                <w:lang w:val="en-US"/>
              </w:rPr>
              <w:t>Roy Trivedy</w:t>
            </w:r>
          </w:p>
          <w:p w14:paraId="108286E8" w14:textId="3099B171" w:rsidR="00F057B7" w:rsidRDefault="00F057B7" w:rsidP="00F057B7">
            <w:pPr>
              <w:jc w:val="center"/>
              <w:rPr>
                <w:lang w:val="en-US"/>
              </w:rPr>
            </w:pPr>
            <w:r>
              <w:rPr>
                <w:lang w:val="en-US"/>
              </w:rPr>
              <w:t>United Nations Resident Coordinator</w:t>
            </w:r>
          </w:p>
        </w:tc>
        <w:tc>
          <w:tcPr>
            <w:tcW w:w="4676" w:type="dxa"/>
          </w:tcPr>
          <w:p w14:paraId="5485B8FF" w14:textId="31D9171E" w:rsidR="00F057B7" w:rsidRPr="00F057B7" w:rsidRDefault="00F057B7" w:rsidP="00F057B7">
            <w:pPr>
              <w:jc w:val="center"/>
              <w:rPr>
                <w:b/>
                <w:bCs/>
                <w:lang w:val="pt-PT"/>
              </w:rPr>
            </w:pPr>
            <w:r w:rsidRPr="00F057B7">
              <w:rPr>
                <w:b/>
                <w:bCs/>
                <w:lang w:val="pt-PT"/>
              </w:rPr>
              <w:t>H.E. Dr. Dionísio Babo Soares</w:t>
            </w:r>
          </w:p>
          <w:p w14:paraId="7A7E248E" w14:textId="540BEEE1" w:rsidR="00F057B7" w:rsidRDefault="00F057B7" w:rsidP="00F057B7">
            <w:pPr>
              <w:jc w:val="center"/>
              <w:rPr>
                <w:lang w:val="en-US"/>
              </w:rPr>
            </w:pPr>
            <w:r>
              <w:rPr>
                <w:lang w:val="en-US"/>
              </w:rPr>
              <w:t>Minister of Foreign Affairs and Cooperation</w:t>
            </w:r>
          </w:p>
        </w:tc>
      </w:tr>
    </w:tbl>
    <w:p w14:paraId="1484810B" w14:textId="3A5730C7" w:rsidR="009553CF" w:rsidRDefault="009553CF" w:rsidP="00193BDD">
      <w:pPr>
        <w:rPr>
          <w:lang w:val="en-US"/>
        </w:rPr>
      </w:pPr>
    </w:p>
    <w:p w14:paraId="3DF71B75" w14:textId="26CDC096" w:rsidR="00E350C7" w:rsidRDefault="00E350C7">
      <w:pPr>
        <w:rPr>
          <w:lang w:val="en-US"/>
        </w:rPr>
      </w:pPr>
      <w:r>
        <w:rPr>
          <w:lang w:val="en-US"/>
        </w:rPr>
        <w:br w:type="page"/>
      </w:r>
    </w:p>
    <w:p w14:paraId="3E61F383" w14:textId="426BB553" w:rsidR="009553CF" w:rsidRPr="00D55404" w:rsidRDefault="00E350C7" w:rsidP="00193BDD">
      <w:pPr>
        <w:rPr>
          <w:b/>
          <w:bCs/>
          <w:lang w:val="en-US"/>
        </w:rPr>
      </w:pPr>
      <w:r w:rsidRPr="00D55404">
        <w:rPr>
          <w:b/>
          <w:bCs/>
          <w:lang w:val="en-US"/>
        </w:rPr>
        <w:lastRenderedPageBreak/>
        <w:t xml:space="preserve">United Nations </w:t>
      </w:r>
      <w:r w:rsidR="006C70F3">
        <w:rPr>
          <w:b/>
          <w:bCs/>
          <w:lang w:val="en-US"/>
        </w:rPr>
        <w:t xml:space="preserve">Country Team </w:t>
      </w:r>
      <w:r w:rsidRPr="00D55404">
        <w:rPr>
          <w:b/>
          <w:bCs/>
          <w:lang w:val="en-US"/>
        </w:rPr>
        <w:t>in Timor-Leste</w:t>
      </w:r>
    </w:p>
    <w:p w14:paraId="65CAC5C6" w14:textId="77777777" w:rsidR="00D55404" w:rsidRDefault="00D55404" w:rsidP="00193BDD">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E350C7" w:rsidRPr="000128C4" w14:paraId="32911DE0" w14:textId="77777777" w:rsidTr="00D55404">
        <w:tc>
          <w:tcPr>
            <w:tcW w:w="4676" w:type="dxa"/>
          </w:tcPr>
          <w:p w14:paraId="5DD46F81" w14:textId="77777777" w:rsidR="00E350C7" w:rsidRDefault="00E350C7" w:rsidP="00E350C7">
            <w:pPr>
              <w:rPr>
                <w:b/>
                <w:bCs/>
                <w:lang w:val="en-US"/>
              </w:rPr>
            </w:pPr>
          </w:p>
          <w:p w14:paraId="0FBB2472" w14:textId="6853E161" w:rsidR="00E350C7" w:rsidRDefault="00E350C7" w:rsidP="00E350C7">
            <w:pPr>
              <w:rPr>
                <w:b/>
                <w:bCs/>
                <w:lang w:val="en-US"/>
              </w:rPr>
            </w:pPr>
          </w:p>
          <w:p w14:paraId="74FA2F5C" w14:textId="733F4C5A" w:rsidR="00E350C7" w:rsidRDefault="00E350C7" w:rsidP="00E350C7">
            <w:pPr>
              <w:rPr>
                <w:b/>
                <w:bCs/>
                <w:lang w:val="en-US"/>
              </w:rPr>
            </w:pPr>
          </w:p>
          <w:p w14:paraId="5E61100E" w14:textId="77777777" w:rsidR="00D55404" w:rsidRDefault="00D55404" w:rsidP="00E350C7">
            <w:pPr>
              <w:rPr>
                <w:b/>
                <w:bCs/>
                <w:lang w:val="en-US"/>
              </w:rPr>
            </w:pPr>
          </w:p>
          <w:p w14:paraId="3CC8F58C" w14:textId="2778AC3E" w:rsidR="00E350C7" w:rsidRDefault="00E350C7" w:rsidP="00E350C7">
            <w:pPr>
              <w:rPr>
                <w:b/>
                <w:bCs/>
                <w:lang w:val="en-US"/>
              </w:rPr>
            </w:pPr>
            <w:r>
              <w:rPr>
                <w:b/>
                <w:bCs/>
                <w:lang w:val="en-US"/>
              </w:rPr>
              <w:t xml:space="preserve">FAO </w:t>
            </w:r>
          </w:p>
          <w:p w14:paraId="449DF19D" w14:textId="6CCEC865" w:rsidR="00E350C7" w:rsidRDefault="00E350C7" w:rsidP="00E350C7">
            <w:pPr>
              <w:rPr>
                <w:lang w:val="en-US"/>
              </w:rPr>
            </w:pPr>
            <w:r w:rsidRPr="00E350C7">
              <w:rPr>
                <w:lang w:val="en-US"/>
              </w:rPr>
              <w:t>Steph</w:t>
            </w:r>
            <w:r w:rsidR="006C70F3">
              <w:rPr>
                <w:lang w:val="en-US"/>
              </w:rPr>
              <w:t>e</w:t>
            </w:r>
            <w:r w:rsidRPr="00E350C7">
              <w:rPr>
                <w:lang w:val="en-US"/>
              </w:rPr>
              <w:t xml:space="preserve">n </w:t>
            </w:r>
            <w:r>
              <w:rPr>
                <w:lang w:val="en-US"/>
              </w:rPr>
              <w:t>Rudgard</w:t>
            </w:r>
          </w:p>
          <w:p w14:paraId="105A6CBB" w14:textId="4762A99E" w:rsidR="00E350C7" w:rsidRPr="00E350C7" w:rsidRDefault="00E350C7" w:rsidP="00E350C7">
            <w:pPr>
              <w:rPr>
                <w:lang w:val="en-US"/>
              </w:rPr>
            </w:pPr>
            <w:r>
              <w:rPr>
                <w:lang w:val="en-US"/>
              </w:rPr>
              <w:t>Representative</w:t>
            </w:r>
          </w:p>
        </w:tc>
        <w:tc>
          <w:tcPr>
            <w:tcW w:w="4676" w:type="dxa"/>
          </w:tcPr>
          <w:p w14:paraId="1202E67C" w14:textId="77777777" w:rsidR="000128C4" w:rsidRDefault="000128C4" w:rsidP="000128C4">
            <w:pPr>
              <w:rPr>
                <w:b/>
                <w:bCs/>
                <w:lang w:val="sv-SE"/>
              </w:rPr>
            </w:pPr>
          </w:p>
          <w:p w14:paraId="1450D04E" w14:textId="77777777" w:rsidR="000128C4" w:rsidRDefault="000128C4" w:rsidP="000128C4">
            <w:pPr>
              <w:rPr>
                <w:b/>
                <w:bCs/>
                <w:lang w:val="sv-SE"/>
              </w:rPr>
            </w:pPr>
          </w:p>
          <w:p w14:paraId="7B540F15" w14:textId="13CC7C2A" w:rsidR="000128C4" w:rsidRDefault="000128C4" w:rsidP="000128C4">
            <w:pPr>
              <w:rPr>
                <w:b/>
                <w:bCs/>
                <w:lang w:val="sv-SE"/>
              </w:rPr>
            </w:pPr>
          </w:p>
          <w:p w14:paraId="26C4165A" w14:textId="77777777" w:rsidR="00D55404" w:rsidRDefault="00D55404" w:rsidP="000128C4">
            <w:pPr>
              <w:rPr>
                <w:b/>
                <w:bCs/>
                <w:lang w:val="sv-SE"/>
              </w:rPr>
            </w:pPr>
          </w:p>
          <w:p w14:paraId="62D39528" w14:textId="77777777" w:rsidR="000128C4" w:rsidRPr="00E350C7" w:rsidRDefault="000128C4" w:rsidP="000128C4">
            <w:pPr>
              <w:rPr>
                <w:b/>
                <w:bCs/>
                <w:lang w:val="sv-SE"/>
              </w:rPr>
            </w:pPr>
            <w:r w:rsidRPr="00E350C7">
              <w:rPr>
                <w:b/>
                <w:bCs/>
                <w:lang w:val="sv-SE"/>
              </w:rPr>
              <w:t xml:space="preserve">UNFPA </w:t>
            </w:r>
          </w:p>
          <w:p w14:paraId="6A0E1B89" w14:textId="70F72927" w:rsidR="000128C4" w:rsidRDefault="000128C4" w:rsidP="000128C4">
            <w:pPr>
              <w:rPr>
                <w:lang w:val="sv-SE"/>
              </w:rPr>
            </w:pPr>
            <w:r w:rsidRPr="00E350C7">
              <w:rPr>
                <w:lang w:val="sv-SE"/>
              </w:rPr>
              <w:t>Ronny Lindstr</w:t>
            </w:r>
            <w:r>
              <w:rPr>
                <w:lang w:val="sv-SE"/>
              </w:rPr>
              <w:t>öm</w:t>
            </w:r>
          </w:p>
          <w:p w14:paraId="7809FF39" w14:textId="3A434836" w:rsidR="00E350C7" w:rsidRPr="000128C4" w:rsidRDefault="000128C4" w:rsidP="000128C4">
            <w:pPr>
              <w:rPr>
                <w:b/>
                <w:bCs/>
                <w:lang w:val="sv-SE"/>
              </w:rPr>
            </w:pPr>
            <w:r>
              <w:rPr>
                <w:lang w:val="sv-SE"/>
              </w:rPr>
              <w:t>Representative</w:t>
            </w:r>
          </w:p>
        </w:tc>
      </w:tr>
      <w:tr w:rsidR="00E350C7" w:rsidRPr="00E350C7" w14:paraId="2E6787A7" w14:textId="77777777" w:rsidTr="00D55404">
        <w:tc>
          <w:tcPr>
            <w:tcW w:w="4676" w:type="dxa"/>
          </w:tcPr>
          <w:p w14:paraId="401729CB" w14:textId="77777777" w:rsidR="00E350C7" w:rsidRPr="000128C4" w:rsidRDefault="00E350C7" w:rsidP="00E350C7">
            <w:pPr>
              <w:rPr>
                <w:b/>
                <w:bCs/>
                <w:lang w:val="sv-SE"/>
              </w:rPr>
            </w:pPr>
          </w:p>
          <w:p w14:paraId="68E98A06" w14:textId="4CB1D090" w:rsidR="00E350C7" w:rsidRDefault="00E350C7" w:rsidP="00E350C7">
            <w:pPr>
              <w:rPr>
                <w:b/>
                <w:bCs/>
                <w:lang w:val="sv-SE"/>
              </w:rPr>
            </w:pPr>
          </w:p>
          <w:p w14:paraId="5C9AF83B" w14:textId="77777777" w:rsidR="00D55404" w:rsidRPr="000128C4" w:rsidRDefault="00D55404" w:rsidP="00E350C7">
            <w:pPr>
              <w:rPr>
                <w:b/>
                <w:bCs/>
                <w:lang w:val="sv-SE"/>
              </w:rPr>
            </w:pPr>
          </w:p>
          <w:p w14:paraId="54A8FE15" w14:textId="77777777" w:rsidR="00E350C7" w:rsidRPr="000128C4" w:rsidRDefault="00E350C7" w:rsidP="00E350C7">
            <w:pPr>
              <w:rPr>
                <w:b/>
                <w:bCs/>
                <w:lang w:val="sv-SE"/>
              </w:rPr>
            </w:pPr>
          </w:p>
          <w:p w14:paraId="4B060102" w14:textId="53AB2CFB" w:rsidR="00E350C7" w:rsidRDefault="00E350C7" w:rsidP="00E350C7">
            <w:pPr>
              <w:rPr>
                <w:b/>
                <w:bCs/>
                <w:lang w:val="en-US"/>
              </w:rPr>
            </w:pPr>
            <w:r>
              <w:rPr>
                <w:b/>
                <w:bCs/>
                <w:lang w:val="en-US"/>
              </w:rPr>
              <w:t>ILO</w:t>
            </w:r>
          </w:p>
          <w:p w14:paraId="5DCA6297" w14:textId="77777777" w:rsidR="00E350C7" w:rsidRDefault="00E350C7" w:rsidP="00E350C7">
            <w:pPr>
              <w:rPr>
                <w:lang w:val="en-US"/>
              </w:rPr>
            </w:pPr>
            <w:r>
              <w:rPr>
                <w:lang w:val="en-US"/>
              </w:rPr>
              <w:t>Michiko Miyamoto</w:t>
            </w:r>
          </w:p>
          <w:p w14:paraId="0433F112" w14:textId="1670975C" w:rsidR="00E350C7" w:rsidRPr="00E350C7" w:rsidRDefault="006C70F3" w:rsidP="00E350C7">
            <w:pPr>
              <w:rPr>
                <w:lang w:val="en-US"/>
              </w:rPr>
            </w:pPr>
            <w:r>
              <w:rPr>
                <w:lang w:val="en-US"/>
              </w:rPr>
              <w:t>Director</w:t>
            </w:r>
          </w:p>
        </w:tc>
        <w:tc>
          <w:tcPr>
            <w:tcW w:w="4676" w:type="dxa"/>
          </w:tcPr>
          <w:p w14:paraId="1DD79CDF" w14:textId="77777777" w:rsidR="000128C4" w:rsidRDefault="000128C4" w:rsidP="000128C4">
            <w:pPr>
              <w:rPr>
                <w:b/>
                <w:bCs/>
                <w:lang w:val="en-US"/>
              </w:rPr>
            </w:pPr>
          </w:p>
          <w:p w14:paraId="73A9E7C8" w14:textId="77777777" w:rsidR="000128C4" w:rsidRDefault="000128C4" w:rsidP="000128C4">
            <w:pPr>
              <w:rPr>
                <w:b/>
                <w:bCs/>
                <w:lang w:val="en-US"/>
              </w:rPr>
            </w:pPr>
          </w:p>
          <w:p w14:paraId="582DDC84" w14:textId="6FBEB2AD" w:rsidR="000128C4" w:rsidRDefault="000128C4" w:rsidP="000128C4">
            <w:pPr>
              <w:rPr>
                <w:b/>
                <w:bCs/>
                <w:lang w:val="en-US"/>
              </w:rPr>
            </w:pPr>
          </w:p>
          <w:p w14:paraId="01D998ED" w14:textId="77777777" w:rsidR="00D55404" w:rsidRDefault="00D55404" w:rsidP="000128C4">
            <w:pPr>
              <w:rPr>
                <w:b/>
                <w:bCs/>
                <w:lang w:val="en-US"/>
              </w:rPr>
            </w:pPr>
          </w:p>
          <w:p w14:paraId="72718D57" w14:textId="77777777" w:rsidR="000128C4" w:rsidRDefault="000128C4" w:rsidP="000128C4">
            <w:pPr>
              <w:rPr>
                <w:b/>
                <w:bCs/>
                <w:lang w:val="en-US"/>
              </w:rPr>
            </w:pPr>
            <w:r w:rsidRPr="00E350C7">
              <w:rPr>
                <w:b/>
                <w:bCs/>
                <w:lang w:val="en-US"/>
              </w:rPr>
              <w:t>UNICEF</w:t>
            </w:r>
          </w:p>
          <w:p w14:paraId="09483733" w14:textId="77777777" w:rsidR="000128C4" w:rsidRDefault="000128C4" w:rsidP="000128C4">
            <w:pPr>
              <w:rPr>
                <w:lang w:val="en-US"/>
              </w:rPr>
            </w:pPr>
            <w:r>
              <w:rPr>
                <w:lang w:val="en-US"/>
              </w:rPr>
              <w:t>Valerie Taton</w:t>
            </w:r>
          </w:p>
          <w:p w14:paraId="57B3F915" w14:textId="17B2B75A" w:rsidR="00E350C7" w:rsidRPr="000128C4" w:rsidRDefault="000128C4" w:rsidP="000128C4">
            <w:pPr>
              <w:rPr>
                <w:b/>
                <w:bCs/>
                <w:lang w:val="en-US"/>
              </w:rPr>
            </w:pPr>
            <w:r>
              <w:rPr>
                <w:lang w:val="en-US"/>
              </w:rPr>
              <w:t>Representative</w:t>
            </w:r>
          </w:p>
        </w:tc>
      </w:tr>
      <w:tr w:rsidR="000128C4" w14:paraId="7C6875D9" w14:textId="77777777" w:rsidTr="00D55404">
        <w:tc>
          <w:tcPr>
            <w:tcW w:w="4676" w:type="dxa"/>
          </w:tcPr>
          <w:p w14:paraId="3CF64705" w14:textId="77777777" w:rsidR="000128C4" w:rsidRPr="00495856" w:rsidRDefault="000128C4" w:rsidP="000128C4">
            <w:pPr>
              <w:rPr>
                <w:b/>
                <w:bCs/>
                <w:lang w:val="en-US"/>
              </w:rPr>
            </w:pPr>
          </w:p>
          <w:p w14:paraId="1AD4E6E1" w14:textId="4031DA0F" w:rsidR="000128C4" w:rsidRPr="00495856" w:rsidRDefault="000128C4" w:rsidP="000128C4">
            <w:pPr>
              <w:rPr>
                <w:b/>
                <w:bCs/>
                <w:lang w:val="en-US"/>
              </w:rPr>
            </w:pPr>
          </w:p>
          <w:p w14:paraId="53873722" w14:textId="77777777" w:rsidR="00D55404" w:rsidRPr="00495856" w:rsidRDefault="00D55404" w:rsidP="000128C4">
            <w:pPr>
              <w:rPr>
                <w:b/>
                <w:bCs/>
                <w:lang w:val="en-US"/>
              </w:rPr>
            </w:pPr>
          </w:p>
          <w:p w14:paraId="7D914FF0" w14:textId="77777777" w:rsidR="000128C4" w:rsidRPr="00495856" w:rsidRDefault="000128C4" w:rsidP="000128C4">
            <w:pPr>
              <w:rPr>
                <w:b/>
                <w:bCs/>
                <w:lang w:val="en-US"/>
              </w:rPr>
            </w:pPr>
          </w:p>
          <w:p w14:paraId="0587EEDC" w14:textId="4F0F58F7" w:rsidR="000128C4" w:rsidRDefault="000128C4" w:rsidP="000128C4">
            <w:pPr>
              <w:rPr>
                <w:b/>
                <w:bCs/>
                <w:lang w:val="en-US"/>
              </w:rPr>
            </w:pPr>
            <w:r w:rsidRPr="00E350C7">
              <w:rPr>
                <w:b/>
                <w:bCs/>
                <w:lang w:val="en-US"/>
              </w:rPr>
              <w:t>IOM</w:t>
            </w:r>
          </w:p>
          <w:p w14:paraId="6DA7E903" w14:textId="77777777" w:rsidR="000128C4" w:rsidRDefault="000128C4" w:rsidP="000128C4">
            <w:pPr>
              <w:rPr>
                <w:lang w:val="en-US"/>
              </w:rPr>
            </w:pPr>
            <w:r>
              <w:rPr>
                <w:lang w:val="en-US"/>
              </w:rPr>
              <w:t>Wonesai Sithole</w:t>
            </w:r>
          </w:p>
          <w:p w14:paraId="54CBD028" w14:textId="000D24D9" w:rsidR="000128C4" w:rsidRPr="00E350C7" w:rsidRDefault="000128C4" w:rsidP="000128C4">
            <w:pPr>
              <w:rPr>
                <w:lang w:val="en-US"/>
              </w:rPr>
            </w:pPr>
            <w:r>
              <w:rPr>
                <w:lang w:val="en-US"/>
              </w:rPr>
              <w:t>Chief of Mission</w:t>
            </w:r>
          </w:p>
        </w:tc>
        <w:tc>
          <w:tcPr>
            <w:tcW w:w="4676" w:type="dxa"/>
          </w:tcPr>
          <w:p w14:paraId="1C0F4FC6" w14:textId="77777777" w:rsidR="000128C4" w:rsidRDefault="000128C4" w:rsidP="000128C4">
            <w:pPr>
              <w:rPr>
                <w:b/>
                <w:bCs/>
                <w:lang w:val="en-US"/>
              </w:rPr>
            </w:pPr>
          </w:p>
          <w:p w14:paraId="127418DA" w14:textId="4B9A42ED" w:rsidR="000128C4" w:rsidRDefault="000128C4" w:rsidP="000128C4">
            <w:pPr>
              <w:rPr>
                <w:b/>
                <w:bCs/>
                <w:lang w:val="en-US"/>
              </w:rPr>
            </w:pPr>
          </w:p>
          <w:p w14:paraId="78065BD4" w14:textId="77777777" w:rsidR="00D55404" w:rsidRDefault="00D55404" w:rsidP="000128C4">
            <w:pPr>
              <w:rPr>
                <w:b/>
                <w:bCs/>
                <w:lang w:val="en-US"/>
              </w:rPr>
            </w:pPr>
          </w:p>
          <w:p w14:paraId="0AEA2656" w14:textId="77777777" w:rsidR="000128C4" w:rsidRDefault="000128C4" w:rsidP="000128C4">
            <w:pPr>
              <w:rPr>
                <w:b/>
                <w:bCs/>
                <w:lang w:val="en-US"/>
              </w:rPr>
            </w:pPr>
          </w:p>
          <w:p w14:paraId="53CD5B20" w14:textId="77777777" w:rsidR="000128C4" w:rsidRDefault="000128C4" w:rsidP="000128C4">
            <w:pPr>
              <w:rPr>
                <w:b/>
                <w:bCs/>
                <w:lang w:val="en-US"/>
              </w:rPr>
            </w:pPr>
            <w:r w:rsidRPr="00E350C7">
              <w:rPr>
                <w:b/>
                <w:bCs/>
                <w:lang w:val="en-US"/>
              </w:rPr>
              <w:t>UN Women</w:t>
            </w:r>
          </w:p>
          <w:p w14:paraId="082DC913" w14:textId="77777777" w:rsidR="000128C4" w:rsidRDefault="000128C4" w:rsidP="000128C4">
            <w:pPr>
              <w:rPr>
                <w:lang w:val="en-US"/>
              </w:rPr>
            </w:pPr>
            <w:r>
              <w:rPr>
                <w:lang w:val="en-US"/>
              </w:rPr>
              <w:t xml:space="preserve">Sunita </w:t>
            </w:r>
            <w:proofErr w:type="spellStart"/>
            <w:r>
              <w:rPr>
                <w:lang w:val="en-US"/>
              </w:rPr>
              <w:t>Caminha</w:t>
            </w:r>
            <w:proofErr w:type="spellEnd"/>
          </w:p>
          <w:p w14:paraId="29FD7B1B" w14:textId="5F878756" w:rsidR="000128C4" w:rsidRPr="00E350C7" w:rsidRDefault="000128C4" w:rsidP="000128C4">
            <w:pPr>
              <w:rPr>
                <w:b/>
                <w:bCs/>
                <w:lang w:val="en-US"/>
              </w:rPr>
            </w:pPr>
            <w:r>
              <w:rPr>
                <w:lang w:val="en-US"/>
              </w:rPr>
              <w:t>Head of Office</w:t>
            </w:r>
          </w:p>
        </w:tc>
      </w:tr>
      <w:tr w:rsidR="000128C4" w14:paraId="79A9EF5F" w14:textId="77777777" w:rsidTr="00D55404">
        <w:tc>
          <w:tcPr>
            <w:tcW w:w="4676" w:type="dxa"/>
          </w:tcPr>
          <w:p w14:paraId="3C149340" w14:textId="229E7A6F" w:rsidR="000128C4" w:rsidRDefault="000128C4" w:rsidP="000128C4">
            <w:pPr>
              <w:rPr>
                <w:b/>
                <w:bCs/>
                <w:lang w:val="en-US"/>
              </w:rPr>
            </w:pPr>
          </w:p>
          <w:p w14:paraId="34CBC0E7" w14:textId="77777777" w:rsidR="000128C4" w:rsidRDefault="000128C4" w:rsidP="000128C4">
            <w:pPr>
              <w:rPr>
                <w:b/>
                <w:bCs/>
                <w:lang w:val="en-US"/>
              </w:rPr>
            </w:pPr>
          </w:p>
          <w:p w14:paraId="5066BF21" w14:textId="055AEA59" w:rsidR="000128C4" w:rsidRDefault="000128C4" w:rsidP="000128C4">
            <w:pPr>
              <w:rPr>
                <w:b/>
                <w:bCs/>
                <w:lang w:val="en-US"/>
              </w:rPr>
            </w:pPr>
          </w:p>
          <w:p w14:paraId="0BDD0764" w14:textId="77777777" w:rsidR="00D55404" w:rsidRDefault="00D55404" w:rsidP="000128C4">
            <w:pPr>
              <w:rPr>
                <w:b/>
                <w:bCs/>
                <w:lang w:val="en-US"/>
              </w:rPr>
            </w:pPr>
          </w:p>
          <w:p w14:paraId="2B8D71F3" w14:textId="7C61D64A" w:rsidR="000128C4" w:rsidRDefault="000128C4" w:rsidP="000128C4">
            <w:pPr>
              <w:rPr>
                <w:b/>
                <w:bCs/>
                <w:lang w:val="en-US"/>
              </w:rPr>
            </w:pPr>
            <w:r w:rsidRPr="00E350C7">
              <w:rPr>
                <w:b/>
                <w:bCs/>
                <w:lang w:val="en-US"/>
              </w:rPr>
              <w:t>UNDP</w:t>
            </w:r>
          </w:p>
          <w:p w14:paraId="1EC7A4FE" w14:textId="41F03A06" w:rsidR="000128C4" w:rsidRDefault="00495856" w:rsidP="000128C4">
            <w:pPr>
              <w:rPr>
                <w:lang w:val="en-US"/>
              </w:rPr>
            </w:pPr>
            <w:proofErr w:type="spellStart"/>
            <w:r w:rsidRPr="00495856">
              <w:rPr>
                <w:lang w:val="en-US"/>
              </w:rPr>
              <w:t>Munkhtuya</w:t>
            </w:r>
            <w:proofErr w:type="spellEnd"/>
            <w:r>
              <w:rPr>
                <w:lang w:val="en-US"/>
              </w:rPr>
              <w:t xml:space="preserve"> </w:t>
            </w:r>
            <w:proofErr w:type="spellStart"/>
            <w:r w:rsidR="000128C4">
              <w:rPr>
                <w:lang w:val="en-US"/>
              </w:rPr>
              <w:t>Altangerel</w:t>
            </w:r>
            <w:proofErr w:type="spellEnd"/>
          </w:p>
          <w:p w14:paraId="4E7E0B21" w14:textId="58C457FA" w:rsidR="000128C4" w:rsidRPr="00E350C7" w:rsidRDefault="000128C4" w:rsidP="000128C4">
            <w:pPr>
              <w:rPr>
                <w:lang w:val="en-US"/>
              </w:rPr>
            </w:pPr>
            <w:r>
              <w:rPr>
                <w:lang w:val="en-US"/>
              </w:rPr>
              <w:t>Resident Representative</w:t>
            </w:r>
          </w:p>
        </w:tc>
        <w:tc>
          <w:tcPr>
            <w:tcW w:w="4676" w:type="dxa"/>
          </w:tcPr>
          <w:p w14:paraId="13873DF1" w14:textId="26FDDD23" w:rsidR="000128C4" w:rsidRDefault="000128C4" w:rsidP="000128C4">
            <w:pPr>
              <w:rPr>
                <w:b/>
                <w:bCs/>
                <w:lang w:val="en-US"/>
              </w:rPr>
            </w:pPr>
          </w:p>
          <w:p w14:paraId="74194AC6" w14:textId="77777777" w:rsidR="00D55404" w:rsidRDefault="00D55404" w:rsidP="000128C4">
            <w:pPr>
              <w:rPr>
                <w:b/>
                <w:bCs/>
                <w:lang w:val="en-US"/>
              </w:rPr>
            </w:pPr>
          </w:p>
          <w:p w14:paraId="6B18EF70" w14:textId="77777777" w:rsidR="000128C4" w:rsidRDefault="000128C4" w:rsidP="000128C4">
            <w:pPr>
              <w:rPr>
                <w:b/>
                <w:bCs/>
                <w:lang w:val="en-US"/>
              </w:rPr>
            </w:pPr>
          </w:p>
          <w:p w14:paraId="2CF17708" w14:textId="77777777" w:rsidR="000128C4" w:rsidRDefault="000128C4" w:rsidP="000128C4">
            <w:pPr>
              <w:rPr>
                <w:b/>
                <w:bCs/>
                <w:lang w:val="en-US"/>
              </w:rPr>
            </w:pPr>
          </w:p>
          <w:p w14:paraId="6D5FD93D" w14:textId="36A682B7" w:rsidR="000128C4" w:rsidRDefault="000128C4" w:rsidP="000128C4">
            <w:pPr>
              <w:rPr>
                <w:b/>
                <w:bCs/>
                <w:lang w:val="en-US"/>
              </w:rPr>
            </w:pPr>
            <w:r>
              <w:rPr>
                <w:b/>
                <w:bCs/>
                <w:lang w:val="en-US"/>
              </w:rPr>
              <w:t>WFP</w:t>
            </w:r>
          </w:p>
          <w:p w14:paraId="111DE1B0" w14:textId="77777777" w:rsidR="000128C4" w:rsidRDefault="000128C4" w:rsidP="000128C4">
            <w:pPr>
              <w:rPr>
                <w:lang w:val="en-US"/>
              </w:rPr>
            </w:pPr>
            <w:r>
              <w:rPr>
                <w:lang w:val="en-US"/>
              </w:rPr>
              <w:t>Dageng Liu</w:t>
            </w:r>
          </w:p>
          <w:p w14:paraId="547DD039" w14:textId="4267DF66" w:rsidR="000128C4" w:rsidRPr="00E350C7" w:rsidRDefault="000128C4" w:rsidP="000128C4">
            <w:pPr>
              <w:rPr>
                <w:b/>
                <w:bCs/>
                <w:lang w:val="en-US"/>
              </w:rPr>
            </w:pPr>
            <w:r>
              <w:rPr>
                <w:lang w:val="en-US"/>
              </w:rPr>
              <w:t>Country Director and Representative</w:t>
            </w:r>
          </w:p>
        </w:tc>
      </w:tr>
      <w:tr w:rsidR="000128C4" w14:paraId="3961A437" w14:textId="77777777" w:rsidTr="00D55404">
        <w:tc>
          <w:tcPr>
            <w:tcW w:w="4676" w:type="dxa"/>
          </w:tcPr>
          <w:p w14:paraId="248019BC" w14:textId="77777777" w:rsidR="000128C4" w:rsidRDefault="000128C4" w:rsidP="000128C4">
            <w:pPr>
              <w:rPr>
                <w:b/>
                <w:bCs/>
                <w:lang w:val="en-US"/>
              </w:rPr>
            </w:pPr>
          </w:p>
          <w:p w14:paraId="6167F778" w14:textId="39713D81" w:rsidR="000128C4" w:rsidRDefault="000128C4" w:rsidP="000128C4">
            <w:pPr>
              <w:rPr>
                <w:b/>
                <w:bCs/>
                <w:lang w:val="en-US"/>
              </w:rPr>
            </w:pPr>
          </w:p>
          <w:p w14:paraId="48513DDA" w14:textId="77777777" w:rsidR="00D55404" w:rsidRDefault="00D55404" w:rsidP="000128C4">
            <w:pPr>
              <w:rPr>
                <w:b/>
                <w:bCs/>
                <w:lang w:val="en-US"/>
              </w:rPr>
            </w:pPr>
          </w:p>
          <w:p w14:paraId="067FE538" w14:textId="77777777" w:rsidR="00FF2568" w:rsidRDefault="00FF2568" w:rsidP="000128C4">
            <w:pPr>
              <w:rPr>
                <w:b/>
                <w:bCs/>
                <w:lang w:val="en-US"/>
              </w:rPr>
            </w:pPr>
          </w:p>
          <w:p w14:paraId="7389381C" w14:textId="77777777" w:rsidR="00FF2568" w:rsidRDefault="00FF2568" w:rsidP="00FF2568">
            <w:pPr>
              <w:rPr>
                <w:b/>
                <w:bCs/>
                <w:lang w:val="en-US"/>
              </w:rPr>
            </w:pPr>
            <w:r w:rsidRPr="00E350C7">
              <w:rPr>
                <w:b/>
                <w:bCs/>
                <w:lang w:val="en-US"/>
              </w:rPr>
              <w:t>UNESCO</w:t>
            </w:r>
          </w:p>
          <w:p w14:paraId="723A6ECC" w14:textId="786B6262" w:rsidR="00FF2568" w:rsidRDefault="00FF2568" w:rsidP="00FF2568">
            <w:pPr>
              <w:rPr>
                <w:lang w:val="en-US"/>
              </w:rPr>
            </w:pPr>
            <w:proofErr w:type="spellStart"/>
            <w:r w:rsidRPr="00FF2568">
              <w:rPr>
                <w:lang w:val="en-US"/>
              </w:rPr>
              <w:t>Shab</w:t>
            </w:r>
            <w:r w:rsidR="006C70F3">
              <w:rPr>
                <w:lang w:val="en-US"/>
              </w:rPr>
              <w:t>h</w:t>
            </w:r>
            <w:r w:rsidRPr="00FF2568">
              <w:rPr>
                <w:lang w:val="en-US"/>
              </w:rPr>
              <w:t>az</w:t>
            </w:r>
            <w:proofErr w:type="spellEnd"/>
            <w:r w:rsidRPr="00FF2568">
              <w:rPr>
                <w:lang w:val="en-US"/>
              </w:rPr>
              <w:t xml:space="preserve"> Khan</w:t>
            </w:r>
          </w:p>
          <w:p w14:paraId="46B98637" w14:textId="34004A1F" w:rsidR="00FF2568" w:rsidRDefault="006C70F3" w:rsidP="00FF2568">
            <w:pPr>
              <w:rPr>
                <w:lang w:val="en-US"/>
              </w:rPr>
            </w:pPr>
            <w:r>
              <w:rPr>
                <w:lang w:val="en-US"/>
              </w:rPr>
              <w:t>Director</w:t>
            </w:r>
          </w:p>
          <w:p w14:paraId="07511975" w14:textId="1C9E7875" w:rsidR="00FF2568" w:rsidRPr="00CE0A40" w:rsidRDefault="00FF2568" w:rsidP="000128C4">
            <w:pPr>
              <w:rPr>
                <w:b/>
                <w:bCs/>
                <w:lang w:val="en-US"/>
              </w:rPr>
            </w:pPr>
          </w:p>
        </w:tc>
        <w:tc>
          <w:tcPr>
            <w:tcW w:w="4676" w:type="dxa"/>
          </w:tcPr>
          <w:p w14:paraId="3676046D" w14:textId="77777777" w:rsidR="000128C4" w:rsidRDefault="000128C4" w:rsidP="000128C4">
            <w:pPr>
              <w:rPr>
                <w:b/>
                <w:bCs/>
                <w:lang w:val="en-US"/>
              </w:rPr>
            </w:pPr>
          </w:p>
          <w:p w14:paraId="2909D477" w14:textId="77777777" w:rsidR="000128C4" w:rsidRDefault="000128C4" w:rsidP="000128C4">
            <w:pPr>
              <w:rPr>
                <w:b/>
                <w:bCs/>
                <w:lang w:val="en-US"/>
              </w:rPr>
            </w:pPr>
          </w:p>
          <w:p w14:paraId="26EC67EC" w14:textId="09567D94" w:rsidR="000128C4" w:rsidRDefault="000128C4" w:rsidP="000128C4">
            <w:pPr>
              <w:rPr>
                <w:b/>
                <w:bCs/>
                <w:lang w:val="en-US"/>
              </w:rPr>
            </w:pPr>
          </w:p>
          <w:p w14:paraId="561C3CC1" w14:textId="77777777" w:rsidR="00D55404" w:rsidRDefault="00D55404" w:rsidP="000128C4">
            <w:pPr>
              <w:rPr>
                <w:b/>
                <w:bCs/>
                <w:lang w:val="en-US"/>
              </w:rPr>
            </w:pPr>
          </w:p>
          <w:p w14:paraId="25F22A51" w14:textId="7928A26F" w:rsidR="000128C4" w:rsidRDefault="000128C4" w:rsidP="000128C4">
            <w:pPr>
              <w:rPr>
                <w:b/>
                <w:bCs/>
                <w:lang w:val="en-US"/>
              </w:rPr>
            </w:pPr>
            <w:r>
              <w:rPr>
                <w:b/>
                <w:bCs/>
                <w:lang w:val="en-US"/>
              </w:rPr>
              <w:t>WHO</w:t>
            </w:r>
          </w:p>
          <w:p w14:paraId="564E2C3B" w14:textId="5FF1BFB3" w:rsidR="000128C4" w:rsidRDefault="000128C4" w:rsidP="000128C4">
            <w:pPr>
              <w:rPr>
                <w:lang w:val="en-US"/>
              </w:rPr>
            </w:pPr>
            <w:r>
              <w:rPr>
                <w:lang w:val="en-US"/>
              </w:rPr>
              <w:t xml:space="preserve">Rajesh </w:t>
            </w:r>
            <w:proofErr w:type="spellStart"/>
            <w:r>
              <w:rPr>
                <w:lang w:val="en-US"/>
              </w:rPr>
              <w:t>Pandav</w:t>
            </w:r>
            <w:proofErr w:type="spellEnd"/>
          </w:p>
          <w:p w14:paraId="4D4A606A" w14:textId="1003C63A" w:rsidR="000128C4" w:rsidRDefault="000128C4" w:rsidP="000128C4">
            <w:pPr>
              <w:rPr>
                <w:lang w:val="en-US"/>
              </w:rPr>
            </w:pPr>
            <w:r>
              <w:rPr>
                <w:lang w:val="en-US"/>
              </w:rPr>
              <w:t>Representative</w:t>
            </w:r>
          </w:p>
        </w:tc>
      </w:tr>
    </w:tbl>
    <w:p w14:paraId="3383048E" w14:textId="44528670" w:rsidR="009553CF" w:rsidRDefault="009553CF" w:rsidP="00193BDD">
      <w:pPr>
        <w:rPr>
          <w:lang w:val="en-US"/>
        </w:rPr>
      </w:pPr>
    </w:p>
    <w:p w14:paraId="30021A81" w14:textId="77777777" w:rsidR="003510CA" w:rsidRDefault="003510CA">
      <w:pPr>
        <w:rPr>
          <w:lang w:val="en-US"/>
        </w:rPr>
      </w:pPr>
      <w:r>
        <w:rPr>
          <w:lang w:val="en-US"/>
        </w:rPr>
        <w:br w:type="page"/>
      </w:r>
    </w:p>
    <w:p w14:paraId="6DF5D81F" w14:textId="2DBC0528" w:rsidR="00193BDD" w:rsidRPr="003510CA" w:rsidRDefault="003510CA">
      <w:pPr>
        <w:rPr>
          <w:rFonts w:asciiTheme="majorHAnsi" w:eastAsiaTheme="majorEastAsia" w:hAnsiTheme="majorHAnsi" w:cstheme="majorBidi"/>
          <w:b/>
          <w:bCs/>
          <w:color w:val="2F5496" w:themeColor="accent1" w:themeShade="BF"/>
          <w:sz w:val="32"/>
          <w:szCs w:val="32"/>
          <w:lang w:val="en-US"/>
        </w:rPr>
      </w:pPr>
      <w:r w:rsidRPr="003510CA">
        <w:rPr>
          <w:b/>
          <w:bCs/>
          <w:lang w:val="en-US"/>
        </w:rPr>
        <w:lastRenderedPageBreak/>
        <w:t>Non-Resident Agencies</w:t>
      </w:r>
      <w:r w:rsidR="00193BDD" w:rsidRPr="003510CA">
        <w:rPr>
          <w:b/>
          <w:bCs/>
          <w:lang w:val="en-US"/>
        </w:rPr>
        <w:br w:type="page"/>
      </w:r>
    </w:p>
    <w:p w14:paraId="70FDE0B0" w14:textId="2E28CAB9" w:rsidR="004B7039" w:rsidRPr="00841766" w:rsidRDefault="004B7039" w:rsidP="00DE62CE">
      <w:pPr>
        <w:pStyle w:val="Heading1"/>
        <w:rPr>
          <w:lang w:val="en-US"/>
        </w:rPr>
      </w:pPr>
      <w:bookmarkStart w:id="1" w:name="_Toc40265787"/>
      <w:r w:rsidRPr="00841766">
        <w:rPr>
          <w:lang w:val="en-US"/>
        </w:rPr>
        <w:lastRenderedPageBreak/>
        <w:t>List of Acronyms</w:t>
      </w:r>
      <w:bookmarkEnd w:id="1"/>
      <w:r w:rsidRPr="00841766">
        <w:rPr>
          <w:lang w:val="en-US"/>
        </w:rPr>
        <w:t xml:space="preserve">  </w:t>
      </w:r>
    </w:p>
    <w:p w14:paraId="56A1A29E" w14:textId="77777777" w:rsidR="004B7039" w:rsidRPr="00841766" w:rsidRDefault="004B7039" w:rsidP="004B7039">
      <w:pPr>
        <w:rPr>
          <w:rFonts w:cstheme="minorHAnsi"/>
          <w:b/>
          <w:color w:val="000000" w:themeColor="text1"/>
          <w:sz w:val="22"/>
          <w:szCs w:val="22"/>
          <w:lang w:val="en-US"/>
        </w:rPr>
      </w:pPr>
    </w:p>
    <w:p w14:paraId="33FB1FCC" w14:textId="606554A8" w:rsidR="00590E0B" w:rsidRPr="006C2D7C" w:rsidRDefault="00590E0B" w:rsidP="004B7039">
      <w:pPr>
        <w:rPr>
          <w:rFonts w:cstheme="minorHAnsi"/>
          <w:color w:val="000000" w:themeColor="text1"/>
          <w:sz w:val="22"/>
          <w:szCs w:val="22"/>
          <w:lang w:val="en-US"/>
        </w:rPr>
      </w:pPr>
      <w:r>
        <w:rPr>
          <w:rFonts w:cstheme="minorHAnsi"/>
          <w:color w:val="000000" w:themeColor="text1"/>
          <w:sz w:val="22"/>
          <w:szCs w:val="22"/>
          <w:lang w:val="en-US"/>
        </w:rPr>
        <w:t>ADB</w:t>
      </w:r>
      <w:r w:rsidR="008530B2" w:rsidRPr="00841766">
        <w:rPr>
          <w:rFonts w:eastAsia="Times New Roman" w:cstheme="minorHAnsi"/>
          <w:color w:val="000000" w:themeColor="text1"/>
          <w:sz w:val="22"/>
          <w:szCs w:val="22"/>
          <w:lang w:val="en-US"/>
        </w:rPr>
        <w:tab/>
      </w:r>
      <w:r w:rsidR="008530B2" w:rsidRPr="00841766">
        <w:rPr>
          <w:rFonts w:eastAsia="Times New Roman" w:cstheme="minorHAnsi"/>
          <w:color w:val="000000" w:themeColor="text1"/>
          <w:sz w:val="22"/>
          <w:szCs w:val="22"/>
          <w:lang w:val="en-US"/>
        </w:rPr>
        <w:tab/>
      </w:r>
      <w:r w:rsidRPr="006C2D7C">
        <w:rPr>
          <w:rFonts w:cstheme="minorHAnsi"/>
          <w:color w:val="000000" w:themeColor="text1"/>
          <w:sz w:val="22"/>
          <w:szCs w:val="22"/>
          <w:lang w:val="en-US"/>
        </w:rPr>
        <w:t>Asian Development Bank</w:t>
      </w:r>
    </w:p>
    <w:p w14:paraId="11E869C8" w14:textId="26C6CEE0" w:rsidR="004B7039" w:rsidRPr="006C2D7C" w:rsidRDefault="004B7039" w:rsidP="004B7039">
      <w:pPr>
        <w:rPr>
          <w:rFonts w:eastAsia="Times New Roman" w:cstheme="minorHAnsi"/>
          <w:color w:val="000000" w:themeColor="text1"/>
          <w:sz w:val="22"/>
          <w:szCs w:val="22"/>
          <w:shd w:val="clear" w:color="auto" w:fill="FFFFFF"/>
          <w:lang w:val="en-US"/>
        </w:rPr>
      </w:pPr>
      <w:r w:rsidRPr="006C2D7C">
        <w:rPr>
          <w:rFonts w:cstheme="minorHAnsi"/>
          <w:color w:val="000000" w:themeColor="text1"/>
          <w:sz w:val="22"/>
          <w:szCs w:val="22"/>
          <w:lang w:val="en-US"/>
        </w:rPr>
        <w:t>ASEAN</w:t>
      </w:r>
      <w:r w:rsidRPr="006C2D7C">
        <w:rPr>
          <w:rFonts w:cstheme="minorHAnsi"/>
          <w:color w:val="000000" w:themeColor="text1"/>
          <w:sz w:val="22"/>
          <w:szCs w:val="22"/>
          <w:lang w:val="en-US"/>
        </w:rPr>
        <w:tab/>
      </w:r>
      <w:r w:rsidRPr="006C2D7C">
        <w:rPr>
          <w:rFonts w:cstheme="minorHAnsi"/>
          <w:color w:val="000000" w:themeColor="text1"/>
          <w:sz w:val="22"/>
          <w:szCs w:val="22"/>
          <w:lang w:val="en-US"/>
        </w:rPr>
        <w:tab/>
      </w:r>
      <w:r w:rsidRPr="006C2D7C">
        <w:rPr>
          <w:rFonts w:eastAsia="Times New Roman" w:cstheme="minorHAnsi"/>
          <w:color w:val="000000" w:themeColor="text1"/>
          <w:sz w:val="22"/>
          <w:szCs w:val="22"/>
          <w:shd w:val="clear" w:color="auto" w:fill="FFFFFF"/>
          <w:lang w:val="en-US"/>
        </w:rPr>
        <w:t>Association of Southeast Asian Nations</w:t>
      </w:r>
    </w:p>
    <w:p w14:paraId="4DF1164E" w14:textId="77777777" w:rsidR="004B7039" w:rsidRPr="00841766" w:rsidRDefault="004B7039" w:rsidP="004B7039">
      <w:pPr>
        <w:rPr>
          <w:rFonts w:eastAsia="Times New Roman" w:cstheme="minorHAnsi"/>
          <w:color w:val="000000" w:themeColor="text1"/>
          <w:sz w:val="22"/>
          <w:szCs w:val="22"/>
          <w:shd w:val="clear" w:color="auto" w:fill="FFFFFF"/>
          <w:lang w:val="en-US"/>
        </w:rPr>
      </w:pPr>
      <w:r w:rsidRPr="006C2D7C">
        <w:rPr>
          <w:rFonts w:cstheme="minorHAnsi"/>
          <w:color w:val="000000" w:themeColor="text1"/>
          <w:sz w:val="22"/>
          <w:szCs w:val="22"/>
          <w:lang w:val="en-US"/>
        </w:rPr>
        <w:t>CCA</w:t>
      </w:r>
      <w:r w:rsidRPr="006C2D7C">
        <w:rPr>
          <w:rFonts w:cstheme="minorHAnsi"/>
          <w:color w:val="000000" w:themeColor="text1"/>
          <w:sz w:val="22"/>
          <w:szCs w:val="22"/>
          <w:lang w:val="en-US"/>
        </w:rPr>
        <w:tab/>
      </w:r>
      <w:r w:rsidRPr="006C2D7C">
        <w:rPr>
          <w:rFonts w:cstheme="minorHAnsi"/>
          <w:color w:val="000000" w:themeColor="text1"/>
          <w:sz w:val="22"/>
          <w:szCs w:val="22"/>
          <w:lang w:val="en-US"/>
        </w:rPr>
        <w:tab/>
      </w:r>
      <w:r w:rsidRPr="006C2D7C">
        <w:rPr>
          <w:rFonts w:eastAsia="Times New Roman" w:cstheme="minorHAnsi"/>
          <w:color w:val="000000" w:themeColor="text1"/>
          <w:sz w:val="22"/>
          <w:szCs w:val="22"/>
          <w:shd w:val="clear" w:color="auto" w:fill="FFFFFF"/>
          <w:lang w:val="en-US"/>
        </w:rPr>
        <w:t>Common Country Assessment</w:t>
      </w:r>
      <w:r w:rsidRPr="00841766">
        <w:rPr>
          <w:rFonts w:eastAsia="Times New Roman" w:cstheme="minorHAnsi"/>
          <w:color w:val="000000" w:themeColor="text1"/>
          <w:sz w:val="22"/>
          <w:szCs w:val="22"/>
          <w:shd w:val="clear" w:color="auto" w:fill="FFFFFF"/>
          <w:lang w:val="en-US"/>
        </w:rPr>
        <w:t> </w:t>
      </w:r>
    </w:p>
    <w:p w14:paraId="34F180E8" w14:textId="77777777" w:rsidR="004B7039" w:rsidRPr="00841766" w:rsidRDefault="004B7039" w:rsidP="004B7039">
      <w:pPr>
        <w:ind w:left="1440" w:hanging="1440"/>
        <w:rPr>
          <w:rFonts w:cstheme="minorHAnsi"/>
          <w:color w:val="000000" w:themeColor="text1"/>
          <w:sz w:val="22"/>
          <w:szCs w:val="22"/>
          <w:lang w:val="en-US"/>
        </w:rPr>
      </w:pPr>
      <w:r w:rsidRPr="00841766">
        <w:rPr>
          <w:rFonts w:cstheme="minorHAnsi"/>
          <w:color w:val="000000" w:themeColor="text1"/>
          <w:sz w:val="22"/>
          <w:szCs w:val="22"/>
          <w:lang w:val="en-US"/>
        </w:rPr>
        <w:t>CCI-TL</w:t>
      </w:r>
      <w:r w:rsidRPr="00841766">
        <w:rPr>
          <w:rFonts w:cstheme="minorHAnsi"/>
          <w:color w:val="000000" w:themeColor="text1"/>
          <w:sz w:val="22"/>
          <w:szCs w:val="22"/>
          <w:lang w:val="en-US"/>
        </w:rPr>
        <w:tab/>
        <w:t>East Timor Chamber of Commerce and Industry (</w:t>
      </w:r>
      <w:proofErr w:type="spellStart"/>
      <w:r w:rsidRPr="00841766">
        <w:rPr>
          <w:rFonts w:cstheme="minorHAnsi"/>
          <w:color w:val="000000" w:themeColor="text1"/>
          <w:sz w:val="22"/>
          <w:szCs w:val="22"/>
          <w:lang w:val="en-US"/>
        </w:rPr>
        <w:t>Camara</w:t>
      </w:r>
      <w:proofErr w:type="spellEnd"/>
      <w:r w:rsidRPr="00841766">
        <w:rPr>
          <w:rFonts w:cstheme="minorHAnsi"/>
          <w:color w:val="000000" w:themeColor="text1"/>
          <w:sz w:val="22"/>
          <w:szCs w:val="22"/>
          <w:lang w:val="en-US"/>
        </w:rPr>
        <w:t xml:space="preserve"> do Comercio e </w:t>
      </w:r>
      <w:proofErr w:type="spellStart"/>
      <w:r w:rsidRPr="00841766">
        <w:rPr>
          <w:rFonts w:cstheme="minorHAnsi"/>
          <w:color w:val="000000" w:themeColor="text1"/>
          <w:sz w:val="22"/>
          <w:szCs w:val="22"/>
          <w:lang w:val="en-US"/>
        </w:rPr>
        <w:t>Industria</w:t>
      </w:r>
      <w:proofErr w:type="spellEnd"/>
      <w:r w:rsidRPr="00841766">
        <w:rPr>
          <w:rFonts w:cstheme="minorHAnsi"/>
          <w:color w:val="000000" w:themeColor="text1"/>
          <w:sz w:val="22"/>
          <w:szCs w:val="22"/>
          <w:lang w:val="en-US"/>
        </w:rPr>
        <w:t xml:space="preserve"> de Timor-Leste</w:t>
      </w:r>
    </w:p>
    <w:p w14:paraId="2FEB2491" w14:textId="2F0F8A39" w:rsidR="004B7039" w:rsidRPr="00841766" w:rsidRDefault="004B7039" w:rsidP="004B7039">
      <w:pPr>
        <w:ind w:left="1440" w:hanging="1440"/>
        <w:rPr>
          <w:rFonts w:eastAsia="Times New Roman" w:cstheme="minorHAnsi"/>
          <w:color w:val="000000" w:themeColor="text1"/>
          <w:sz w:val="22"/>
          <w:szCs w:val="22"/>
          <w:shd w:val="clear" w:color="auto" w:fill="FFFFFF"/>
          <w:lang w:val="en-US"/>
        </w:rPr>
      </w:pPr>
      <w:r w:rsidRPr="00841766">
        <w:rPr>
          <w:rFonts w:cstheme="minorHAnsi"/>
          <w:color w:val="000000" w:themeColor="text1"/>
          <w:sz w:val="22"/>
          <w:szCs w:val="22"/>
          <w:lang w:val="en-US"/>
        </w:rPr>
        <w:t>CEDAW</w:t>
      </w:r>
      <w:r w:rsidR="00227E6F" w:rsidRPr="00841766">
        <w:rPr>
          <w:rFonts w:cstheme="minorHAnsi"/>
          <w:color w:val="000000" w:themeColor="text1"/>
          <w:sz w:val="22"/>
          <w:szCs w:val="22"/>
          <w:lang w:val="en-US"/>
        </w:rPr>
        <w:tab/>
      </w:r>
      <w:r w:rsidRPr="00841766">
        <w:rPr>
          <w:rFonts w:eastAsia="Times New Roman" w:cstheme="minorHAnsi"/>
          <w:color w:val="000000" w:themeColor="text1"/>
          <w:sz w:val="22"/>
          <w:szCs w:val="22"/>
          <w:shd w:val="clear" w:color="auto" w:fill="FFFFFF"/>
          <w:lang w:val="en-US"/>
        </w:rPr>
        <w:t>Convention on the Elimination of all Forms of Discrimination Against Women</w:t>
      </w:r>
    </w:p>
    <w:p w14:paraId="6AE691CF" w14:textId="77777777" w:rsidR="004B7039" w:rsidRPr="003C699A" w:rsidRDefault="004B7039" w:rsidP="004B7039">
      <w:pPr>
        <w:ind w:left="1440" w:hanging="1440"/>
        <w:rPr>
          <w:rFonts w:eastAsia="Times New Roman" w:cstheme="minorHAnsi"/>
          <w:bCs/>
          <w:color w:val="000000" w:themeColor="text1"/>
          <w:sz w:val="22"/>
          <w:szCs w:val="22"/>
          <w:shd w:val="clear" w:color="auto" w:fill="FFFFFF"/>
          <w:lang w:val="pt-PT"/>
        </w:rPr>
      </w:pPr>
      <w:r w:rsidRPr="003C699A">
        <w:rPr>
          <w:rFonts w:cstheme="minorHAnsi"/>
          <w:color w:val="000000" w:themeColor="text1"/>
          <w:sz w:val="22"/>
          <w:szCs w:val="22"/>
          <w:lang w:val="pt-PT"/>
        </w:rPr>
        <w:t>CPLP</w:t>
      </w:r>
      <w:r w:rsidRPr="003C699A">
        <w:rPr>
          <w:rFonts w:cstheme="minorHAnsi"/>
          <w:color w:val="000000" w:themeColor="text1"/>
          <w:sz w:val="22"/>
          <w:szCs w:val="22"/>
          <w:lang w:val="pt-PT"/>
        </w:rPr>
        <w:tab/>
      </w:r>
      <w:r w:rsidRPr="003C699A">
        <w:rPr>
          <w:rFonts w:eastAsia="Times New Roman" w:cstheme="minorHAnsi"/>
          <w:color w:val="000000" w:themeColor="text1"/>
          <w:sz w:val="22"/>
          <w:szCs w:val="22"/>
          <w:shd w:val="clear" w:color="auto" w:fill="FFFFFF"/>
          <w:lang w:val="pt-PT"/>
        </w:rPr>
        <w:t>Community of Portuguese Language Countries</w:t>
      </w:r>
      <w:r w:rsidRPr="003C699A">
        <w:rPr>
          <w:rFonts w:eastAsia="Times New Roman" w:cstheme="minorHAnsi"/>
          <w:color w:val="000000" w:themeColor="text1"/>
          <w:sz w:val="22"/>
          <w:szCs w:val="22"/>
          <w:lang w:val="pt-PT"/>
        </w:rPr>
        <w:t xml:space="preserve"> (</w:t>
      </w:r>
      <w:r w:rsidRPr="003C699A">
        <w:rPr>
          <w:rFonts w:eastAsia="Times New Roman" w:cstheme="minorHAnsi"/>
          <w:bCs/>
          <w:color w:val="000000" w:themeColor="text1"/>
          <w:sz w:val="22"/>
          <w:szCs w:val="22"/>
          <w:shd w:val="clear" w:color="auto" w:fill="FFFFFF"/>
          <w:lang w:val="pt-PT"/>
        </w:rPr>
        <w:t>Comunidade dos Países de Língua Portuguesa)</w:t>
      </w:r>
    </w:p>
    <w:p w14:paraId="2A74A8D0" w14:textId="4ED67A89" w:rsidR="004B7039" w:rsidRPr="00841766" w:rsidRDefault="004B7039" w:rsidP="00227E6F">
      <w:pPr>
        <w:ind w:left="1418" w:hanging="1418"/>
        <w:rPr>
          <w:rFonts w:eastAsia="Times New Roman" w:cstheme="minorHAnsi"/>
          <w:bCs/>
          <w:color w:val="000000" w:themeColor="text1"/>
          <w:sz w:val="22"/>
          <w:szCs w:val="22"/>
          <w:shd w:val="clear" w:color="auto" w:fill="FFFFFF"/>
          <w:lang w:val="en-US"/>
        </w:rPr>
      </w:pPr>
      <w:r w:rsidRPr="00841766">
        <w:rPr>
          <w:rFonts w:eastAsia="Times New Roman" w:cstheme="minorHAnsi"/>
          <w:color w:val="000000" w:themeColor="text1"/>
          <w:sz w:val="22"/>
          <w:szCs w:val="22"/>
          <w:lang w:val="en-US"/>
        </w:rPr>
        <w:t>CPRD</w:t>
      </w:r>
      <w:r w:rsidR="00227E6F" w:rsidRPr="00841766">
        <w:rPr>
          <w:rFonts w:eastAsia="Times New Roman" w:cstheme="minorHAnsi"/>
          <w:color w:val="000000" w:themeColor="text1"/>
          <w:sz w:val="22"/>
          <w:szCs w:val="22"/>
          <w:lang w:val="en-US"/>
        </w:rPr>
        <w:tab/>
      </w:r>
      <w:r w:rsidRPr="00841766">
        <w:rPr>
          <w:rFonts w:eastAsia="Times New Roman" w:cstheme="minorHAnsi"/>
          <w:color w:val="000000" w:themeColor="text1"/>
          <w:sz w:val="22"/>
          <w:szCs w:val="22"/>
          <w:shd w:val="clear" w:color="auto" w:fill="FFFFFF"/>
          <w:lang w:val="en-US"/>
        </w:rPr>
        <w:t>Convention on the Rights of Persons with Disabilities</w:t>
      </w:r>
    </w:p>
    <w:p w14:paraId="587CFBB8" w14:textId="77777777" w:rsidR="004B7039" w:rsidRPr="00841766" w:rsidRDefault="004B7039" w:rsidP="004B7039">
      <w:pPr>
        <w:rPr>
          <w:rFonts w:eastAsia="Times New Roman" w:cstheme="minorHAnsi"/>
          <w:color w:val="000000" w:themeColor="text1"/>
          <w:sz w:val="22"/>
          <w:szCs w:val="22"/>
          <w:shd w:val="clear" w:color="auto" w:fill="FFFFFF"/>
          <w:lang w:val="en-US"/>
        </w:rPr>
      </w:pPr>
      <w:r w:rsidRPr="00841766">
        <w:rPr>
          <w:rFonts w:cstheme="minorHAnsi"/>
          <w:color w:val="000000" w:themeColor="text1"/>
          <w:sz w:val="22"/>
          <w:szCs w:val="22"/>
          <w:lang w:val="en-US"/>
        </w:rPr>
        <w:t>CRC</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r>
      <w:r w:rsidRPr="00841766">
        <w:rPr>
          <w:rFonts w:eastAsia="Times New Roman" w:cstheme="minorHAnsi"/>
          <w:color w:val="000000" w:themeColor="text1"/>
          <w:sz w:val="22"/>
          <w:szCs w:val="22"/>
          <w:shd w:val="clear" w:color="auto" w:fill="FFFFFF"/>
          <w:lang w:val="en-US"/>
        </w:rPr>
        <w:t>Convention on the Rights of the Child </w:t>
      </w:r>
    </w:p>
    <w:p w14:paraId="5861945B" w14:textId="2A6D9F41" w:rsidR="003C63E3" w:rsidRPr="00385D62" w:rsidRDefault="003C63E3" w:rsidP="004B7039">
      <w:pPr>
        <w:rPr>
          <w:rFonts w:cstheme="minorHAnsi"/>
          <w:color w:val="000000" w:themeColor="text1"/>
          <w:sz w:val="22"/>
          <w:szCs w:val="22"/>
          <w:lang w:val="en-US"/>
        </w:rPr>
      </w:pPr>
      <w:r w:rsidRPr="00385D62">
        <w:rPr>
          <w:rFonts w:cstheme="minorHAnsi"/>
          <w:color w:val="000000" w:themeColor="text1"/>
          <w:sz w:val="22"/>
          <w:szCs w:val="22"/>
          <w:lang w:val="en-US"/>
        </w:rPr>
        <w:t>DFAT</w:t>
      </w:r>
      <w:r w:rsidR="008530B2" w:rsidRPr="00841766">
        <w:rPr>
          <w:rFonts w:eastAsia="Times New Roman" w:cstheme="minorHAnsi"/>
          <w:color w:val="000000" w:themeColor="text1"/>
          <w:sz w:val="22"/>
          <w:szCs w:val="22"/>
          <w:lang w:val="en-US"/>
        </w:rPr>
        <w:tab/>
      </w:r>
      <w:r w:rsidR="008530B2" w:rsidRPr="00841766">
        <w:rPr>
          <w:rFonts w:eastAsia="Times New Roman" w:cstheme="minorHAnsi"/>
          <w:color w:val="000000" w:themeColor="text1"/>
          <w:sz w:val="22"/>
          <w:szCs w:val="22"/>
          <w:lang w:val="en-US"/>
        </w:rPr>
        <w:tab/>
      </w:r>
      <w:r w:rsidRPr="00385D62">
        <w:rPr>
          <w:rFonts w:cstheme="minorHAnsi"/>
          <w:color w:val="000000" w:themeColor="text1"/>
          <w:sz w:val="22"/>
          <w:szCs w:val="22"/>
          <w:lang w:val="en-US"/>
        </w:rPr>
        <w:t xml:space="preserve">Department for Foreign </w:t>
      </w:r>
      <w:r w:rsidR="00914158" w:rsidRPr="00385D62">
        <w:rPr>
          <w:rFonts w:cstheme="minorHAnsi"/>
          <w:color w:val="000000" w:themeColor="text1"/>
          <w:sz w:val="22"/>
          <w:szCs w:val="22"/>
          <w:lang w:val="en-US"/>
        </w:rPr>
        <w:t>Affairs</w:t>
      </w:r>
      <w:r w:rsidRPr="00385D62">
        <w:rPr>
          <w:rFonts w:cstheme="minorHAnsi"/>
          <w:color w:val="000000" w:themeColor="text1"/>
          <w:sz w:val="22"/>
          <w:szCs w:val="22"/>
          <w:lang w:val="en-US"/>
        </w:rPr>
        <w:t xml:space="preserve"> and Trade (Australia)</w:t>
      </w:r>
    </w:p>
    <w:p w14:paraId="4DD1989C" w14:textId="6C6ACDAF" w:rsidR="004B7039" w:rsidRPr="003C699A" w:rsidRDefault="004B7039" w:rsidP="004B7039">
      <w:pPr>
        <w:rPr>
          <w:rFonts w:cstheme="minorHAnsi"/>
          <w:color w:val="000000" w:themeColor="text1"/>
          <w:sz w:val="22"/>
          <w:szCs w:val="22"/>
          <w:lang w:val="pt-PT"/>
        </w:rPr>
      </w:pPr>
      <w:r w:rsidRPr="003C699A">
        <w:rPr>
          <w:rFonts w:cstheme="minorHAnsi"/>
          <w:color w:val="000000" w:themeColor="text1"/>
          <w:sz w:val="22"/>
          <w:szCs w:val="22"/>
          <w:lang w:val="pt-PT"/>
        </w:rPr>
        <w:t>DNPC</w:t>
      </w:r>
      <w:r w:rsidRPr="003C699A">
        <w:rPr>
          <w:rFonts w:cstheme="minorHAnsi"/>
          <w:color w:val="000000" w:themeColor="text1"/>
          <w:sz w:val="22"/>
          <w:szCs w:val="22"/>
          <w:lang w:val="pt-PT"/>
        </w:rPr>
        <w:tab/>
      </w:r>
      <w:r w:rsidRPr="003C699A">
        <w:rPr>
          <w:rFonts w:cstheme="minorHAnsi"/>
          <w:color w:val="000000" w:themeColor="text1"/>
          <w:sz w:val="22"/>
          <w:szCs w:val="22"/>
          <w:lang w:val="pt-PT"/>
        </w:rPr>
        <w:tab/>
        <w:t xml:space="preserve">Civil Protection National Directorate (Diracao Nacional Protecao Civil) </w:t>
      </w:r>
    </w:p>
    <w:p w14:paraId="7CD87F8C" w14:textId="3439D35C"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 xml:space="preserve">ECD </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t xml:space="preserve">Early Childhood Development </w:t>
      </w:r>
    </w:p>
    <w:p w14:paraId="18A206C3" w14:textId="77777777" w:rsidR="004B7039" w:rsidRPr="00841766" w:rsidRDefault="004B7039" w:rsidP="004B7039">
      <w:pPr>
        <w:rPr>
          <w:rFonts w:eastAsia="Times New Roman" w:cstheme="minorHAnsi"/>
          <w:color w:val="000000" w:themeColor="text1"/>
          <w:sz w:val="22"/>
          <w:szCs w:val="22"/>
          <w:lang w:val="en-US"/>
        </w:rPr>
      </w:pPr>
      <w:r w:rsidRPr="00841766">
        <w:rPr>
          <w:rFonts w:eastAsia="Times New Roman" w:cstheme="minorHAnsi"/>
          <w:color w:val="000000" w:themeColor="text1"/>
          <w:sz w:val="22"/>
          <w:szCs w:val="22"/>
          <w:lang w:val="en-US"/>
        </w:rPr>
        <w:t>ECE</w:t>
      </w:r>
      <w:r w:rsidRPr="00841766">
        <w:rPr>
          <w:rFonts w:eastAsia="Times New Roman" w:cstheme="minorHAnsi"/>
          <w:color w:val="000000" w:themeColor="text1"/>
          <w:sz w:val="22"/>
          <w:szCs w:val="22"/>
          <w:lang w:val="en-US"/>
        </w:rPr>
        <w:tab/>
      </w:r>
      <w:r w:rsidRPr="00841766">
        <w:rPr>
          <w:rFonts w:eastAsia="Times New Roman" w:cstheme="minorHAnsi"/>
          <w:color w:val="000000" w:themeColor="text1"/>
          <w:sz w:val="22"/>
          <w:szCs w:val="22"/>
          <w:lang w:val="en-US"/>
        </w:rPr>
        <w:tab/>
        <w:t>Credential Evaluation Report</w:t>
      </w:r>
    </w:p>
    <w:p w14:paraId="1AEA25B5" w14:textId="77777777"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EU</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t xml:space="preserve">European Union </w:t>
      </w:r>
    </w:p>
    <w:p w14:paraId="23B55371" w14:textId="77777777"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EVAWG</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t xml:space="preserve">Ending Violence Against Women and Girls </w:t>
      </w:r>
    </w:p>
    <w:p w14:paraId="7E4EE2D9" w14:textId="77777777"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FAO</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t xml:space="preserve">Food and Agriculture Organization </w:t>
      </w:r>
    </w:p>
    <w:p w14:paraId="3361A601" w14:textId="77777777" w:rsidR="004B7039" w:rsidRPr="00841766" w:rsidRDefault="004B7039" w:rsidP="004B7039">
      <w:pPr>
        <w:ind w:left="1440" w:hanging="1440"/>
        <w:rPr>
          <w:rFonts w:cstheme="minorHAnsi"/>
          <w:color w:val="000000" w:themeColor="text1"/>
          <w:sz w:val="22"/>
          <w:szCs w:val="22"/>
          <w:lang w:val="en-US"/>
        </w:rPr>
      </w:pPr>
      <w:r w:rsidRPr="00841766">
        <w:rPr>
          <w:rFonts w:cstheme="minorHAnsi"/>
          <w:color w:val="000000" w:themeColor="text1"/>
          <w:sz w:val="22"/>
          <w:szCs w:val="22"/>
          <w:lang w:val="en-US"/>
        </w:rPr>
        <w:t>FOKUPERS</w:t>
      </w:r>
      <w:r w:rsidRPr="00841766">
        <w:rPr>
          <w:rFonts w:cstheme="minorHAnsi"/>
          <w:color w:val="000000" w:themeColor="text1"/>
          <w:sz w:val="22"/>
          <w:szCs w:val="22"/>
          <w:lang w:val="en-US"/>
        </w:rPr>
        <w:tab/>
        <w:t xml:space="preserve">Communication Forum for Timorese Women (Forum </w:t>
      </w:r>
      <w:proofErr w:type="spellStart"/>
      <w:r w:rsidRPr="00841766">
        <w:rPr>
          <w:rFonts w:cstheme="minorHAnsi"/>
          <w:color w:val="000000" w:themeColor="text1"/>
          <w:sz w:val="22"/>
          <w:szCs w:val="22"/>
          <w:lang w:val="en-US"/>
        </w:rPr>
        <w:t>Komunikasi</w:t>
      </w:r>
      <w:proofErr w:type="spellEnd"/>
      <w:r w:rsidRPr="00841766">
        <w:rPr>
          <w:rFonts w:cstheme="minorHAnsi"/>
          <w:color w:val="000000" w:themeColor="text1"/>
          <w:sz w:val="22"/>
          <w:szCs w:val="22"/>
          <w:lang w:val="en-US"/>
        </w:rPr>
        <w:t xml:space="preserve"> Perempuan Loro-</w:t>
      </w:r>
      <w:proofErr w:type="spellStart"/>
      <w:r w:rsidRPr="00841766">
        <w:rPr>
          <w:rFonts w:cstheme="minorHAnsi"/>
          <w:color w:val="000000" w:themeColor="text1"/>
          <w:sz w:val="22"/>
          <w:szCs w:val="22"/>
          <w:lang w:val="en-US"/>
        </w:rPr>
        <w:t>sae</w:t>
      </w:r>
      <w:proofErr w:type="spellEnd"/>
      <w:r w:rsidRPr="00841766">
        <w:rPr>
          <w:rFonts w:cstheme="minorHAnsi"/>
          <w:color w:val="000000" w:themeColor="text1"/>
          <w:sz w:val="22"/>
          <w:szCs w:val="22"/>
          <w:lang w:val="en-US"/>
        </w:rPr>
        <w:t>)</w:t>
      </w:r>
    </w:p>
    <w:p w14:paraId="442A41EA" w14:textId="77777777"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GDP</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t xml:space="preserve">Gross Domestic Product </w:t>
      </w:r>
    </w:p>
    <w:p w14:paraId="242F87C6" w14:textId="77777777" w:rsidR="004B7039" w:rsidRPr="00841766" w:rsidRDefault="004B7039" w:rsidP="004B7039">
      <w:pPr>
        <w:rPr>
          <w:rFonts w:cstheme="minorHAnsi"/>
          <w:color w:val="000000" w:themeColor="text1"/>
          <w:sz w:val="22"/>
          <w:szCs w:val="22"/>
          <w:lang w:val="en-US"/>
        </w:rPr>
      </w:pPr>
      <w:r w:rsidRPr="00841766">
        <w:rPr>
          <w:rFonts w:eastAsia="Times New Roman" w:cstheme="minorHAnsi"/>
          <w:color w:val="000000" w:themeColor="text1"/>
          <w:sz w:val="22"/>
          <w:szCs w:val="22"/>
          <w:lang w:val="en-US"/>
        </w:rPr>
        <w:t>GTG</w:t>
      </w:r>
      <w:r w:rsidRPr="00841766">
        <w:rPr>
          <w:rFonts w:eastAsia="Times New Roman" w:cstheme="minorHAnsi"/>
          <w:color w:val="000000" w:themeColor="text1"/>
          <w:sz w:val="22"/>
          <w:szCs w:val="22"/>
          <w:lang w:val="en-US"/>
        </w:rPr>
        <w:tab/>
      </w:r>
      <w:r w:rsidRPr="00841766">
        <w:rPr>
          <w:rFonts w:eastAsia="Times New Roman" w:cstheme="minorHAnsi"/>
          <w:color w:val="000000" w:themeColor="text1"/>
          <w:sz w:val="22"/>
          <w:szCs w:val="22"/>
          <w:lang w:val="en-US"/>
        </w:rPr>
        <w:tab/>
      </w:r>
      <w:r w:rsidRPr="00841766">
        <w:rPr>
          <w:rFonts w:cstheme="minorHAnsi"/>
          <w:color w:val="000000" w:themeColor="text1"/>
          <w:sz w:val="22"/>
          <w:szCs w:val="22"/>
          <w:lang w:val="en-US"/>
        </w:rPr>
        <w:t>Gender Theme Group</w:t>
      </w:r>
    </w:p>
    <w:p w14:paraId="4E7881A2" w14:textId="6D81D85F" w:rsidR="004B7039" w:rsidRPr="00841766" w:rsidRDefault="004B7039" w:rsidP="004B7039">
      <w:pPr>
        <w:ind w:left="1440" w:hanging="1440"/>
        <w:rPr>
          <w:rFonts w:cstheme="minorHAnsi"/>
          <w:sz w:val="22"/>
          <w:szCs w:val="22"/>
          <w:lang w:val="en-US"/>
        </w:rPr>
      </w:pPr>
      <w:r w:rsidRPr="00841766">
        <w:rPr>
          <w:rFonts w:cstheme="minorHAnsi"/>
          <w:sz w:val="22"/>
          <w:szCs w:val="22"/>
          <w:lang w:val="en-US"/>
        </w:rPr>
        <w:t>HASATIL</w:t>
      </w:r>
      <w:r w:rsidRPr="00841766">
        <w:rPr>
          <w:rFonts w:cstheme="minorHAnsi"/>
          <w:sz w:val="22"/>
          <w:szCs w:val="22"/>
          <w:lang w:val="en-US"/>
        </w:rPr>
        <w:tab/>
        <w:t>Sustainable Agriculture CSO Networks (</w:t>
      </w:r>
      <w:proofErr w:type="spellStart"/>
      <w:r w:rsidRPr="00841766">
        <w:rPr>
          <w:rFonts w:cstheme="minorHAnsi"/>
          <w:sz w:val="22"/>
          <w:szCs w:val="22"/>
          <w:lang w:val="en-US"/>
        </w:rPr>
        <w:t>Hadomi</w:t>
      </w:r>
      <w:proofErr w:type="spellEnd"/>
      <w:r w:rsidRPr="00841766">
        <w:rPr>
          <w:rFonts w:cstheme="minorHAnsi"/>
          <w:sz w:val="22"/>
          <w:szCs w:val="22"/>
          <w:lang w:val="en-US"/>
        </w:rPr>
        <w:t xml:space="preserve"> Agricultura </w:t>
      </w:r>
      <w:proofErr w:type="spellStart"/>
      <w:r w:rsidRPr="00841766">
        <w:rPr>
          <w:rFonts w:cstheme="minorHAnsi"/>
          <w:sz w:val="22"/>
          <w:szCs w:val="22"/>
          <w:lang w:val="en-US"/>
        </w:rPr>
        <w:t>Sustentavel</w:t>
      </w:r>
      <w:proofErr w:type="spellEnd"/>
      <w:r w:rsidRPr="00841766">
        <w:rPr>
          <w:rFonts w:cstheme="minorHAnsi"/>
          <w:sz w:val="22"/>
          <w:szCs w:val="22"/>
          <w:lang w:val="en-US"/>
        </w:rPr>
        <w:t xml:space="preserve"> Timor-Leste</w:t>
      </w:r>
    </w:p>
    <w:p w14:paraId="0012015E" w14:textId="77777777" w:rsidR="004B7039" w:rsidRPr="00841766" w:rsidRDefault="004B7039" w:rsidP="004B7039">
      <w:pPr>
        <w:ind w:left="1440" w:right="-279" w:hanging="1440"/>
        <w:rPr>
          <w:rFonts w:eastAsia="Times New Roman" w:cstheme="minorHAnsi"/>
          <w:color w:val="000000" w:themeColor="text1"/>
          <w:sz w:val="22"/>
          <w:szCs w:val="22"/>
          <w:shd w:val="clear" w:color="auto" w:fill="FFFFFF"/>
          <w:lang w:val="en-US"/>
        </w:rPr>
      </w:pPr>
      <w:r w:rsidRPr="00841766">
        <w:rPr>
          <w:rFonts w:cstheme="minorHAnsi"/>
          <w:color w:val="000000" w:themeColor="text1"/>
          <w:sz w:val="22"/>
          <w:szCs w:val="22"/>
          <w:lang w:val="en-US"/>
        </w:rPr>
        <w:t>HIV/AIDS</w:t>
      </w:r>
      <w:r w:rsidRPr="00841766">
        <w:rPr>
          <w:rFonts w:cstheme="minorHAnsi"/>
          <w:color w:val="000000" w:themeColor="text1"/>
          <w:sz w:val="22"/>
          <w:szCs w:val="22"/>
          <w:lang w:val="en-US"/>
        </w:rPr>
        <w:tab/>
      </w:r>
      <w:r w:rsidRPr="00841766">
        <w:rPr>
          <w:rFonts w:eastAsia="Times New Roman" w:cstheme="minorHAnsi"/>
          <w:color w:val="000000" w:themeColor="text1"/>
          <w:sz w:val="22"/>
          <w:szCs w:val="22"/>
          <w:shd w:val="clear" w:color="auto" w:fill="FFFFFF"/>
          <w:lang w:val="en-US"/>
        </w:rPr>
        <w:t>Human immunodeficiency virus infection and acquired immune deficiency syndrome</w:t>
      </w:r>
    </w:p>
    <w:p w14:paraId="4DCB1AA3" w14:textId="77777777" w:rsidR="004B7039" w:rsidRPr="00841766" w:rsidRDefault="004B7039" w:rsidP="004B7039">
      <w:pPr>
        <w:rPr>
          <w:rFonts w:eastAsia="Times New Roman" w:cstheme="minorHAnsi"/>
          <w:color w:val="000000" w:themeColor="text1"/>
          <w:sz w:val="22"/>
          <w:szCs w:val="22"/>
          <w:shd w:val="clear" w:color="auto" w:fill="FFFFFF"/>
          <w:lang w:val="en-US"/>
        </w:rPr>
      </w:pPr>
      <w:r w:rsidRPr="00841766">
        <w:rPr>
          <w:rFonts w:cstheme="minorHAnsi"/>
          <w:color w:val="000000" w:themeColor="text1"/>
          <w:sz w:val="22"/>
          <w:szCs w:val="22"/>
          <w:lang w:val="en-US"/>
        </w:rPr>
        <w:t>ICT</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r>
      <w:r w:rsidRPr="00841766">
        <w:rPr>
          <w:rFonts w:eastAsia="Times New Roman" w:cstheme="minorHAnsi"/>
          <w:color w:val="000000" w:themeColor="text1"/>
          <w:sz w:val="22"/>
          <w:szCs w:val="22"/>
          <w:shd w:val="clear" w:color="auto" w:fill="FFFFFF"/>
          <w:lang w:val="en-US"/>
        </w:rPr>
        <w:t>Information and Communications Technology</w:t>
      </w:r>
    </w:p>
    <w:p w14:paraId="03C9AE7F" w14:textId="77777777" w:rsidR="004B7039" w:rsidRPr="00841766" w:rsidRDefault="004B7039" w:rsidP="004B7039">
      <w:pPr>
        <w:rPr>
          <w:rFonts w:cstheme="minorHAnsi"/>
          <w:sz w:val="22"/>
          <w:szCs w:val="22"/>
          <w:lang w:val="en-US"/>
        </w:rPr>
      </w:pPr>
      <w:r w:rsidRPr="00841766">
        <w:rPr>
          <w:rFonts w:cstheme="minorHAnsi"/>
          <w:sz w:val="22"/>
          <w:szCs w:val="22"/>
          <w:lang w:val="en-US"/>
        </w:rPr>
        <w:t xml:space="preserve">ILO </w:t>
      </w:r>
      <w:r w:rsidRPr="00841766">
        <w:rPr>
          <w:rFonts w:cstheme="minorHAnsi"/>
          <w:sz w:val="22"/>
          <w:szCs w:val="22"/>
          <w:lang w:val="en-US"/>
        </w:rPr>
        <w:tab/>
      </w:r>
      <w:r w:rsidRPr="00841766">
        <w:rPr>
          <w:rFonts w:cstheme="minorHAnsi"/>
          <w:sz w:val="22"/>
          <w:szCs w:val="22"/>
          <w:lang w:val="en-US"/>
        </w:rPr>
        <w:tab/>
        <w:t xml:space="preserve">International </w:t>
      </w:r>
      <w:proofErr w:type="spellStart"/>
      <w:r w:rsidRPr="00841766">
        <w:rPr>
          <w:rFonts w:cstheme="minorHAnsi"/>
          <w:sz w:val="22"/>
          <w:szCs w:val="22"/>
          <w:lang w:val="en-US"/>
        </w:rPr>
        <w:t>Labour</w:t>
      </w:r>
      <w:proofErr w:type="spellEnd"/>
      <w:r w:rsidRPr="00841766">
        <w:rPr>
          <w:rFonts w:cstheme="minorHAnsi"/>
          <w:sz w:val="22"/>
          <w:szCs w:val="22"/>
          <w:lang w:val="en-US"/>
        </w:rPr>
        <w:t xml:space="preserve"> Organization </w:t>
      </w:r>
    </w:p>
    <w:p w14:paraId="6B37DFA1" w14:textId="77777777" w:rsidR="004B7039" w:rsidRPr="00841766" w:rsidRDefault="004B7039" w:rsidP="004B7039">
      <w:pPr>
        <w:ind w:left="1440" w:hanging="1440"/>
        <w:rPr>
          <w:rFonts w:cstheme="minorHAnsi"/>
          <w:color w:val="000000" w:themeColor="text1"/>
          <w:sz w:val="22"/>
          <w:szCs w:val="22"/>
          <w:lang w:val="en-US"/>
        </w:rPr>
      </w:pPr>
      <w:r w:rsidRPr="00841766">
        <w:rPr>
          <w:rFonts w:cstheme="minorHAnsi"/>
          <w:color w:val="000000" w:themeColor="text1"/>
          <w:sz w:val="22"/>
          <w:szCs w:val="22"/>
          <w:lang w:val="en-US"/>
        </w:rPr>
        <w:t xml:space="preserve">IOM </w:t>
      </w:r>
      <w:r w:rsidRPr="00841766">
        <w:rPr>
          <w:rFonts w:cstheme="minorHAnsi"/>
          <w:color w:val="000000" w:themeColor="text1"/>
          <w:sz w:val="22"/>
          <w:szCs w:val="22"/>
          <w:lang w:val="en-US"/>
        </w:rPr>
        <w:tab/>
        <w:t xml:space="preserve">International Organization for Migration </w:t>
      </w:r>
    </w:p>
    <w:p w14:paraId="598B04BE" w14:textId="78DF1CB5" w:rsidR="004B7039" w:rsidRDefault="004B7039" w:rsidP="004B7039">
      <w:pPr>
        <w:ind w:left="1440" w:hanging="1440"/>
        <w:rPr>
          <w:rFonts w:cstheme="minorHAnsi"/>
          <w:color w:val="000000" w:themeColor="text1"/>
          <w:sz w:val="22"/>
          <w:szCs w:val="22"/>
          <w:lang w:val="en-US"/>
        </w:rPr>
      </w:pPr>
      <w:r w:rsidRPr="00841766">
        <w:rPr>
          <w:rFonts w:cstheme="minorHAnsi"/>
          <w:color w:val="000000" w:themeColor="text1"/>
          <w:sz w:val="22"/>
          <w:szCs w:val="22"/>
          <w:lang w:val="en-US"/>
        </w:rPr>
        <w:t>INSS</w:t>
      </w:r>
      <w:r w:rsidRPr="00841766">
        <w:rPr>
          <w:rFonts w:cstheme="minorHAnsi"/>
          <w:color w:val="000000" w:themeColor="text1"/>
          <w:sz w:val="22"/>
          <w:szCs w:val="22"/>
          <w:lang w:val="en-US"/>
        </w:rPr>
        <w:tab/>
        <w:t xml:space="preserve">National Institute for Social Security </w:t>
      </w:r>
    </w:p>
    <w:p w14:paraId="225D4810" w14:textId="4A833B82" w:rsidR="003C63E3" w:rsidRPr="00841766" w:rsidRDefault="003C63E3" w:rsidP="004B7039">
      <w:pPr>
        <w:ind w:left="1440" w:hanging="1440"/>
        <w:rPr>
          <w:rFonts w:cstheme="minorHAnsi"/>
          <w:color w:val="000000" w:themeColor="text1"/>
          <w:sz w:val="22"/>
          <w:szCs w:val="22"/>
          <w:lang w:val="en-US"/>
        </w:rPr>
      </w:pPr>
      <w:r>
        <w:rPr>
          <w:rFonts w:cstheme="minorHAnsi"/>
          <w:color w:val="000000" w:themeColor="text1"/>
          <w:sz w:val="22"/>
          <w:szCs w:val="22"/>
          <w:lang w:val="en-US"/>
        </w:rPr>
        <w:t>JICA</w:t>
      </w:r>
      <w:r w:rsidR="008530B2" w:rsidRPr="00841766">
        <w:rPr>
          <w:rFonts w:cstheme="minorHAnsi"/>
          <w:sz w:val="22"/>
          <w:szCs w:val="22"/>
          <w:lang w:val="en-US"/>
        </w:rPr>
        <w:tab/>
      </w:r>
      <w:r>
        <w:rPr>
          <w:rFonts w:cstheme="minorHAnsi"/>
          <w:color w:val="000000" w:themeColor="text1"/>
          <w:sz w:val="22"/>
          <w:szCs w:val="22"/>
          <w:lang w:val="en-US"/>
        </w:rPr>
        <w:t>Japan International Cooperation Agency</w:t>
      </w:r>
    </w:p>
    <w:p w14:paraId="4541E489" w14:textId="77777777" w:rsidR="004B7039" w:rsidRPr="00841766" w:rsidRDefault="004B7039" w:rsidP="004B7039">
      <w:pPr>
        <w:rPr>
          <w:rFonts w:cstheme="minorHAnsi"/>
          <w:color w:val="000000" w:themeColor="text1"/>
          <w:sz w:val="22"/>
          <w:szCs w:val="22"/>
          <w:lang w:val="en-US"/>
        </w:rPr>
      </w:pPr>
      <w:r w:rsidRPr="00841766">
        <w:rPr>
          <w:rFonts w:eastAsia="Times New Roman" w:cstheme="minorHAnsi"/>
          <w:color w:val="000000" w:themeColor="text1"/>
          <w:sz w:val="22"/>
          <w:szCs w:val="22"/>
          <w:lang w:val="en-US"/>
        </w:rPr>
        <w:t>JSC</w:t>
      </w:r>
      <w:r w:rsidRPr="00841766">
        <w:rPr>
          <w:rFonts w:eastAsia="Times New Roman" w:cstheme="minorHAnsi"/>
          <w:color w:val="000000" w:themeColor="text1"/>
          <w:sz w:val="22"/>
          <w:szCs w:val="22"/>
          <w:lang w:val="en-US"/>
        </w:rPr>
        <w:tab/>
      </w:r>
      <w:r w:rsidRPr="00841766">
        <w:rPr>
          <w:rFonts w:eastAsia="Times New Roman" w:cstheme="minorHAnsi"/>
          <w:color w:val="000000" w:themeColor="text1"/>
          <w:sz w:val="22"/>
          <w:szCs w:val="22"/>
          <w:lang w:val="en-US"/>
        </w:rPr>
        <w:tab/>
      </w:r>
      <w:r w:rsidRPr="00841766">
        <w:rPr>
          <w:rFonts w:cstheme="minorHAnsi"/>
          <w:color w:val="000000" w:themeColor="text1"/>
          <w:sz w:val="22"/>
          <w:szCs w:val="22"/>
          <w:lang w:val="en-US"/>
        </w:rPr>
        <w:t>Joint Steering Committee</w:t>
      </w:r>
    </w:p>
    <w:p w14:paraId="20029B04" w14:textId="77777777" w:rsidR="003C63E3" w:rsidRDefault="004B7039" w:rsidP="004B7039">
      <w:pPr>
        <w:ind w:left="1440" w:hanging="1440"/>
        <w:rPr>
          <w:rFonts w:cstheme="minorHAnsi"/>
          <w:color w:val="000000" w:themeColor="text1"/>
          <w:sz w:val="22"/>
          <w:szCs w:val="22"/>
          <w:lang w:val="en-US"/>
        </w:rPr>
      </w:pPr>
      <w:r w:rsidRPr="00841766">
        <w:rPr>
          <w:rFonts w:cstheme="minorHAnsi"/>
          <w:color w:val="000000" w:themeColor="text1"/>
          <w:sz w:val="22"/>
          <w:szCs w:val="22"/>
          <w:lang w:val="en-US"/>
        </w:rPr>
        <w:t>KFP</w:t>
      </w:r>
      <w:r w:rsidRPr="00841766">
        <w:rPr>
          <w:rFonts w:cstheme="minorHAnsi"/>
          <w:color w:val="000000" w:themeColor="text1"/>
          <w:sz w:val="22"/>
          <w:szCs w:val="22"/>
          <w:lang w:val="en-US"/>
        </w:rPr>
        <w:tab/>
        <w:t>Civil Service Commission (</w:t>
      </w:r>
      <w:proofErr w:type="spellStart"/>
      <w:r w:rsidRPr="00841766">
        <w:rPr>
          <w:rFonts w:cstheme="minorHAnsi"/>
          <w:color w:val="000000" w:themeColor="text1"/>
          <w:sz w:val="22"/>
          <w:szCs w:val="22"/>
          <w:lang w:val="en-US"/>
        </w:rPr>
        <w:t>Comicao</w:t>
      </w:r>
      <w:proofErr w:type="spellEnd"/>
      <w:r w:rsidRPr="00841766">
        <w:rPr>
          <w:rFonts w:cstheme="minorHAnsi"/>
          <w:color w:val="000000" w:themeColor="text1"/>
          <w:sz w:val="22"/>
          <w:szCs w:val="22"/>
          <w:lang w:val="en-US"/>
        </w:rPr>
        <w:t xml:space="preserve"> de </w:t>
      </w:r>
      <w:proofErr w:type="spellStart"/>
      <w:r w:rsidRPr="00841766">
        <w:rPr>
          <w:rFonts w:cstheme="minorHAnsi"/>
          <w:color w:val="000000" w:themeColor="text1"/>
          <w:sz w:val="22"/>
          <w:szCs w:val="22"/>
          <w:lang w:val="en-US"/>
        </w:rPr>
        <w:t>Fungsaun</w:t>
      </w:r>
      <w:proofErr w:type="spellEnd"/>
      <w:r w:rsidRPr="00841766">
        <w:rPr>
          <w:rFonts w:cstheme="minorHAnsi"/>
          <w:color w:val="000000" w:themeColor="text1"/>
          <w:sz w:val="22"/>
          <w:szCs w:val="22"/>
          <w:lang w:val="en-US"/>
        </w:rPr>
        <w:t xml:space="preserve"> Publica)</w:t>
      </w:r>
    </w:p>
    <w:p w14:paraId="0BE92ABF" w14:textId="29B1611C" w:rsidR="004B7039" w:rsidRPr="00841766" w:rsidRDefault="003C63E3" w:rsidP="004B7039">
      <w:pPr>
        <w:ind w:left="1440" w:hanging="1440"/>
        <w:rPr>
          <w:rFonts w:cstheme="minorHAnsi"/>
          <w:color w:val="000000" w:themeColor="text1"/>
          <w:sz w:val="22"/>
          <w:szCs w:val="22"/>
          <w:lang w:val="en-US"/>
        </w:rPr>
      </w:pPr>
      <w:r>
        <w:rPr>
          <w:rFonts w:cstheme="minorHAnsi"/>
          <w:color w:val="000000" w:themeColor="text1"/>
          <w:sz w:val="22"/>
          <w:szCs w:val="22"/>
          <w:lang w:val="en-US"/>
        </w:rPr>
        <w:t>KOICA</w:t>
      </w:r>
      <w:r w:rsidR="008530B2" w:rsidRPr="00841766">
        <w:rPr>
          <w:rFonts w:cstheme="minorHAnsi"/>
          <w:sz w:val="22"/>
          <w:szCs w:val="22"/>
          <w:lang w:val="en-US"/>
        </w:rPr>
        <w:tab/>
      </w:r>
      <w:r>
        <w:rPr>
          <w:rFonts w:cstheme="minorHAnsi"/>
          <w:color w:val="000000" w:themeColor="text1"/>
          <w:sz w:val="22"/>
          <w:szCs w:val="22"/>
          <w:lang w:val="en-US"/>
        </w:rPr>
        <w:t>Korean International Cooperation Agency</w:t>
      </w:r>
    </w:p>
    <w:p w14:paraId="0B19A619" w14:textId="77777777" w:rsidR="004B7039" w:rsidRPr="00714227" w:rsidRDefault="004B7039" w:rsidP="004B7039">
      <w:pPr>
        <w:ind w:left="1440" w:hanging="1440"/>
        <w:rPr>
          <w:rFonts w:cstheme="minorHAnsi"/>
          <w:color w:val="000000" w:themeColor="text1"/>
          <w:sz w:val="22"/>
          <w:szCs w:val="22"/>
          <w:lang w:val="pt-PT"/>
        </w:rPr>
      </w:pPr>
      <w:r w:rsidRPr="00714227">
        <w:rPr>
          <w:rFonts w:cstheme="minorHAnsi"/>
          <w:color w:val="000000" w:themeColor="text1"/>
          <w:sz w:val="22"/>
          <w:szCs w:val="22"/>
          <w:lang w:val="pt-PT"/>
        </w:rPr>
        <w:t>KS-TL</w:t>
      </w:r>
      <w:r w:rsidRPr="00714227">
        <w:rPr>
          <w:rFonts w:cstheme="minorHAnsi"/>
          <w:color w:val="000000" w:themeColor="text1"/>
          <w:sz w:val="22"/>
          <w:szCs w:val="22"/>
          <w:lang w:val="pt-PT"/>
        </w:rPr>
        <w:tab/>
        <w:t xml:space="preserve">East Timor Syndicate Council (Konselho Sindikato de Timor-Leste) </w:t>
      </w:r>
    </w:p>
    <w:p w14:paraId="7205D636" w14:textId="77777777" w:rsidR="004B7039" w:rsidRPr="00841766" w:rsidRDefault="004B7039" w:rsidP="004B7039">
      <w:pPr>
        <w:rPr>
          <w:rFonts w:eastAsia="Times New Roman" w:cstheme="minorHAnsi"/>
          <w:color w:val="000000" w:themeColor="text1"/>
          <w:sz w:val="22"/>
          <w:szCs w:val="22"/>
          <w:shd w:val="clear" w:color="auto" w:fill="FFFFFF"/>
          <w:lang w:val="en-US"/>
        </w:rPr>
      </w:pPr>
      <w:r w:rsidRPr="00841766">
        <w:rPr>
          <w:rFonts w:eastAsia="Times New Roman" w:cstheme="minorHAnsi"/>
          <w:color w:val="000000" w:themeColor="text1"/>
          <w:sz w:val="22"/>
          <w:szCs w:val="22"/>
          <w:shd w:val="clear" w:color="auto" w:fill="FFFFFF"/>
          <w:lang w:val="en-US"/>
        </w:rPr>
        <w:t>LGBT</w:t>
      </w:r>
      <w:r w:rsidRPr="00841766">
        <w:rPr>
          <w:rFonts w:eastAsia="Times New Roman" w:cstheme="minorHAnsi"/>
          <w:color w:val="000000" w:themeColor="text1"/>
          <w:sz w:val="22"/>
          <w:szCs w:val="22"/>
          <w:shd w:val="clear" w:color="auto" w:fill="FFFFFF"/>
          <w:lang w:val="en-US"/>
        </w:rPr>
        <w:tab/>
      </w:r>
      <w:r w:rsidRPr="00841766">
        <w:rPr>
          <w:rFonts w:eastAsia="Times New Roman" w:cstheme="minorHAnsi"/>
          <w:color w:val="000000" w:themeColor="text1"/>
          <w:sz w:val="22"/>
          <w:szCs w:val="22"/>
          <w:shd w:val="clear" w:color="auto" w:fill="FFFFFF"/>
          <w:lang w:val="en-US"/>
        </w:rPr>
        <w:tab/>
        <w:t>Lesbian, Gay, Bisexual, and Transgender</w:t>
      </w:r>
    </w:p>
    <w:p w14:paraId="64F7BA3E" w14:textId="77777777" w:rsidR="004B7039" w:rsidRPr="00841766" w:rsidRDefault="004B7039" w:rsidP="004B7039">
      <w:pPr>
        <w:rPr>
          <w:rFonts w:cstheme="minorHAnsi"/>
          <w:bCs/>
          <w:color w:val="000000" w:themeColor="text1"/>
          <w:sz w:val="22"/>
          <w:szCs w:val="22"/>
          <w:lang w:val="en-US"/>
        </w:rPr>
      </w:pPr>
      <w:r w:rsidRPr="00841766">
        <w:rPr>
          <w:rFonts w:cstheme="minorHAnsi"/>
          <w:bCs/>
          <w:color w:val="000000" w:themeColor="text1"/>
          <w:sz w:val="22"/>
          <w:szCs w:val="22"/>
          <w:lang w:val="en-US"/>
        </w:rPr>
        <w:t>LFPR</w:t>
      </w:r>
      <w:r w:rsidRPr="00841766">
        <w:rPr>
          <w:rFonts w:cstheme="minorHAnsi"/>
          <w:bCs/>
          <w:color w:val="000000" w:themeColor="text1"/>
          <w:sz w:val="22"/>
          <w:szCs w:val="22"/>
          <w:lang w:val="en-US"/>
        </w:rPr>
        <w:tab/>
      </w:r>
      <w:r w:rsidRPr="00841766">
        <w:rPr>
          <w:rFonts w:cstheme="minorHAnsi"/>
          <w:bCs/>
          <w:color w:val="000000" w:themeColor="text1"/>
          <w:sz w:val="22"/>
          <w:szCs w:val="22"/>
          <w:lang w:val="en-US"/>
        </w:rPr>
        <w:tab/>
      </w:r>
      <w:proofErr w:type="spellStart"/>
      <w:r w:rsidRPr="00841766">
        <w:rPr>
          <w:rFonts w:cstheme="minorHAnsi"/>
          <w:bCs/>
          <w:color w:val="000000" w:themeColor="text1"/>
          <w:sz w:val="22"/>
          <w:szCs w:val="22"/>
          <w:lang w:val="en-US"/>
        </w:rPr>
        <w:t>Labour</w:t>
      </w:r>
      <w:proofErr w:type="spellEnd"/>
      <w:r w:rsidRPr="00841766">
        <w:rPr>
          <w:rFonts w:cstheme="minorHAnsi"/>
          <w:bCs/>
          <w:color w:val="000000" w:themeColor="text1"/>
          <w:sz w:val="22"/>
          <w:szCs w:val="22"/>
          <w:lang w:val="en-US"/>
        </w:rPr>
        <w:t xml:space="preserve"> force participation rate</w:t>
      </w:r>
    </w:p>
    <w:p w14:paraId="0EB0DAA2" w14:textId="77777777"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MAE</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t>Ministry of State Administration (</w:t>
      </w:r>
      <w:proofErr w:type="spellStart"/>
      <w:r w:rsidRPr="00841766">
        <w:rPr>
          <w:rFonts w:cstheme="minorHAnsi"/>
          <w:color w:val="000000" w:themeColor="text1"/>
          <w:sz w:val="22"/>
          <w:szCs w:val="22"/>
          <w:lang w:val="en-US"/>
        </w:rPr>
        <w:t>MInisterio</w:t>
      </w:r>
      <w:proofErr w:type="spellEnd"/>
      <w:r w:rsidRPr="00841766">
        <w:rPr>
          <w:rFonts w:cstheme="minorHAnsi"/>
          <w:color w:val="000000" w:themeColor="text1"/>
          <w:sz w:val="22"/>
          <w:szCs w:val="22"/>
          <w:lang w:val="en-US"/>
        </w:rPr>
        <w:t xml:space="preserve"> de </w:t>
      </w:r>
      <w:proofErr w:type="spellStart"/>
      <w:r w:rsidRPr="00841766">
        <w:rPr>
          <w:rFonts w:cstheme="minorHAnsi"/>
          <w:color w:val="000000" w:themeColor="text1"/>
          <w:sz w:val="22"/>
          <w:szCs w:val="22"/>
          <w:lang w:val="en-US"/>
        </w:rPr>
        <w:t>Administracao</w:t>
      </w:r>
      <w:proofErr w:type="spellEnd"/>
      <w:r w:rsidRPr="00841766">
        <w:rPr>
          <w:rFonts w:cstheme="minorHAnsi"/>
          <w:color w:val="000000" w:themeColor="text1"/>
          <w:sz w:val="22"/>
          <w:szCs w:val="22"/>
          <w:lang w:val="en-US"/>
        </w:rPr>
        <w:t xml:space="preserve"> </w:t>
      </w:r>
      <w:proofErr w:type="spellStart"/>
      <w:r w:rsidRPr="00841766">
        <w:rPr>
          <w:rFonts w:cstheme="minorHAnsi"/>
          <w:color w:val="000000" w:themeColor="text1"/>
          <w:sz w:val="22"/>
          <w:szCs w:val="22"/>
          <w:lang w:val="en-US"/>
        </w:rPr>
        <w:t>Estatal</w:t>
      </w:r>
      <w:proofErr w:type="spellEnd"/>
      <w:r w:rsidRPr="00841766">
        <w:rPr>
          <w:rFonts w:cstheme="minorHAnsi"/>
          <w:color w:val="000000" w:themeColor="text1"/>
          <w:sz w:val="22"/>
          <w:szCs w:val="22"/>
          <w:lang w:val="en-US"/>
        </w:rPr>
        <w:t>)</w:t>
      </w:r>
    </w:p>
    <w:p w14:paraId="31C020DD" w14:textId="77777777" w:rsidR="004B7039" w:rsidRPr="00841766" w:rsidRDefault="004B7039" w:rsidP="004B7039">
      <w:pPr>
        <w:rPr>
          <w:rFonts w:cstheme="minorHAnsi"/>
          <w:sz w:val="22"/>
          <w:szCs w:val="22"/>
          <w:lang w:val="en-US"/>
        </w:rPr>
      </w:pPr>
      <w:r w:rsidRPr="00841766">
        <w:rPr>
          <w:rFonts w:cstheme="minorHAnsi"/>
          <w:sz w:val="22"/>
          <w:szCs w:val="22"/>
          <w:lang w:val="en-US"/>
        </w:rPr>
        <w:t>MAF</w:t>
      </w:r>
      <w:r w:rsidRPr="00841766">
        <w:rPr>
          <w:rFonts w:cstheme="minorHAnsi"/>
          <w:sz w:val="22"/>
          <w:szCs w:val="22"/>
          <w:lang w:val="en-US"/>
        </w:rPr>
        <w:tab/>
      </w:r>
      <w:r w:rsidRPr="00841766">
        <w:rPr>
          <w:rFonts w:cstheme="minorHAnsi"/>
          <w:sz w:val="22"/>
          <w:szCs w:val="22"/>
          <w:lang w:val="en-US"/>
        </w:rPr>
        <w:tab/>
        <w:t>Ministry of Agriculture and Fisheries (</w:t>
      </w:r>
      <w:proofErr w:type="spellStart"/>
      <w:r w:rsidRPr="00841766">
        <w:rPr>
          <w:rFonts w:cstheme="minorHAnsi"/>
          <w:sz w:val="22"/>
          <w:szCs w:val="22"/>
          <w:lang w:val="en-US"/>
        </w:rPr>
        <w:t>Ministerio</w:t>
      </w:r>
      <w:proofErr w:type="spellEnd"/>
      <w:r w:rsidRPr="00841766">
        <w:rPr>
          <w:rFonts w:cstheme="minorHAnsi"/>
          <w:sz w:val="22"/>
          <w:szCs w:val="22"/>
          <w:lang w:val="en-US"/>
        </w:rPr>
        <w:t xml:space="preserve"> de Agricultura e </w:t>
      </w:r>
      <w:proofErr w:type="spellStart"/>
      <w:r w:rsidRPr="00841766">
        <w:rPr>
          <w:rFonts w:cstheme="minorHAnsi"/>
          <w:sz w:val="22"/>
          <w:szCs w:val="22"/>
          <w:lang w:val="en-US"/>
        </w:rPr>
        <w:t>Peskas</w:t>
      </w:r>
      <w:proofErr w:type="spellEnd"/>
      <w:r w:rsidRPr="00841766">
        <w:rPr>
          <w:rFonts w:cstheme="minorHAnsi"/>
          <w:sz w:val="22"/>
          <w:szCs w:val="22"/>
          <w:lang w:val="en-US"/>
        </w:rPr>
        <w:t xml:space="preserve">) </w:t>
      </w:r>
    </w:p>
    <w:p w14:paraId="714BD14B" w14:textId="77777777" w:rsidR="003C63E3" w:rsidRDefault="004B7039" w:rsidP="004B7039">
      <w:pPr>
        <w:ind w:left="1440" w:hanging="1440"/>
        <w:rPr>
          <w:rFonts w:cstheme="minorHAnsi"/>
          <w:color w:val="000000" w:themeColor="text1"/>
          <w:sz w:val="22"/>
          <w:szCs w:val="22"/>
          <w:lang w:val="en-US"/>
        </w:rPr>
      </w:pPr>
      <w:r w:rsidRPr="00841766">
        <w:rPr>
          <w:rFonts w:cstheme="minorHAnsi"/>
          <w:color w:val="000000" w:themeColor="text1"/>
          <w:sz w:val="22"/>
          <w:szCs w:val="22"/>
          <w:lang w:val="en-US"/>
        </w:rPr>
        <w:t>ME</w:t>
      </w:r>
      <w:r w:rsidRPr="00841766">
        <w:rPr>
          <w:rFonts w:cstheme="minorHAnsi"/>
          <w:color w:val="000000" w:themeColor="text1"/>
          <w:sz w:val="22"/>
          <w:szCs w:val="22"/>
          <w:lang w:val="en-US"/>
        </w:rPr>
        <w:tab/>
        <w:t>Monitoring and Evaluation</w:t>
      </w:r>
    </w:p>
    <w:p w14:paraId="32B997FA" w14:textId="05FA6002" w:rsidR="004B7039" w:rsidRPr="00841766" w:rsidRDefault="003C63E3" w:rsidP="004B7039">
      <w:pPr>
        <w:ind w:left="1440" w:hanging="1440"/>
        <w:rPr>
          <w:rFonts w:cstheme="minorHAnsi"/>
          <w:color w:val="000000" w:themeColor="text1"/>
          <w:sz w:val="22"/>
          <w:szCs w:val="22"/>
          <w:lang w:val="en-US"/>
        </w:rPr>
      </w:pPr>
      <w:r>
        <w:rPr>
          <w:rFonts w:cstheme="minorHAnsi"/>
          <w:color w:val="000000" w:themeColor="text1"/>
          <w:sz w:val="22"/>
          <w:szCs w:val="22"/>
          <w:lang w:val="en-US"/>
        </w:rPr>
        <w:t>MFAT</w:t>
      </w:r>
      <w:r w:rsidR="008530B2" w:rsidRPr="00841766">
        <w:rPr>
          <w:rFonts w:cstheme="minorHAnsi"/>
          <w:sz w:val="22"/>
          <w:szCs w:val="22"/>
          <w:lang w:val="en-US"/>
        </w:rPr>
        <w:tab/>
      </w:r>
      <w:r>
        <w:rPr>
          <w:rFonts w:cstheme="minorHAnsi"/>
          <w:color w:val="000000" w:themeColor="text1"/>
          <w:sz w:val="22"/>
          <w:szCs w:val="22"/>
          <w:lang w:val="en-US"/>
        </w:rPr>
        <w:t xml:space="preserve">Ministry of Foreign Affairs and Trade (New Zealand) </w:t>
      </w:r>
    </w:p>
    <w:p w14:paraId="37AB865A" w14:textId="7141F208" w:rsidR="00101950" w:rsidRDefault="00101950" w:rsidP="00A52946">
      <w:pPr>
        <w:ind w:left="1440" w:hanging="1440"/>
        <w:jc w:val="both"/>
        <w:rPr>
          <w:rFonts w:cstheme="minorHAnsi"/>
          <w:sz w:val="22"/>
          <w:szCs w:val="22"/>
          <w:lang w:val="en-US"/>
        </w:rPr>
      </w:pPr>
      <w:r>
        <w:rPr>
          <w:rFonts w:cstheme="minorHAnsi"/>
          <w:sz w:val="22"/>
          <w:szCs w:val="22"/>
          <w:lang w:val="en-US"/>
        </w:rPr>
        <w:t>MCC</w:t>
      </w:r>
      <w:r w:rsidR="008530B2" w:rsidRPr="00841766">
        <w:rPr>
          <w:rFonts w:cstheme="minorHAnsi"/>
          <w:sz w:val="22"/>
          <w:szCs w:val="22"/>
          <w:lang w:val="en-US"/>
        </w:rPr>
        <w:tab/>
      </w:r>
      <w:r>
        <w:rPr>
          <w:rFonts w:cstheme="minorHAnsi"/>
          <w:sz w:val="22"/>
          <w:szCs w:val="22"/>
          <w:lang w:val="en-US"/>
        </w:rPr>
        <w:t>Millennium Challenge Corporation (United States)</w:t>
      </w:r>
    </w:p>
    <w:p w14:paraId="1508158F" w14:textId="7E0F9A9D" w:rsidR="004B7039" w:rsidRPr="00841766" w:rsidRDefault="004B7039" w:rsidP="004B7039">
      <w:pPr>
        <w:ind w:left="1440" w:hanging="1440"/>
        <w:rPr>
          <w:rFonts w:cstheme="minorHAnsi"/>
          <w:color w:val="000000" w:themeColor="text1"/>
          <w:sz w:val="22"/>
          <w:szCs w:val="22"/>
          <w:lang w:val="en-US"/>
        </w:rPr>
      </w:pPr>
      <w:r w:rsidRPr="00841766">
        <w:rPr>
          <w:rFonts w:cstheme="minorHAnsi"/>
          <w:sz w:val="22"/>
          <w:szCs w:val="22"/>
          <w:lang w:val="en-US"/>
        </w:rPr>
        <w:t>MJ</w:t>
      </w:r>
      <w:r w:rsidRPr="00841766">
        <w:rPr>
          <w:rFonts w:cstheme="minorHAnsi"/>
          <w:sz w:val="22"/>
          <w:szCs w:val="22"/>
          <w:lang w:val="en-US"/>
        </w:rPr>
        <w:tab/>
        <w:t>Ministry of Justice</w:t>
      </w:r>
    </w:p>
    <w:p w14:paraId="722FCA37" w14:textId="25D05E9B" w:rsidR="004B7039" w:rsidRPr="00841766" w:rsidRDefault="004B7039" w:rsidP="004B7039">
      <w:pPr>
        <w:ind w:left="1440" w:hanging="1440"/>
        <w:rPr>
          <w:rFonts w:cstheme="minorHAnsi"/>
          <w:color w:val="000000" w:themeColor="text1"/>
          <w:sz w:val="22"/>
          <w:szCs w:val="22"/>
          <w:lang w:val="en-US"/>
        </w:rPr>
      </w:pPr>
      <w:proofErr w:type="spellStart"/>
      <w:r w:rsidRPr="00841766">
        <w:rPr>
          <w:rFonts w:cstheme="minorHAnsi"/>
          <w:color w:val="000000" w:themeColor="text1"/>
          <w:sz w:val="22"/>
          <w:szCs w:val="22"/>
          <w:lang w:val="en-US"/>
        </w:rPr>
        <w:t>MoEY</w:t>
      </w:r>
      <w:r w:rsidR="003C63E3">
        <w:rPr>
          <w:rFonts w:cstheme="minorHAnsi"/>
          <w:color w:val="000000" w:themeColor="text1"/>
          <w:sz w:val="22"/>
          <w:szCs w:val="22"/>
          <w:lang w:val="en-US"/>
        </w:rPr>
        <w:t>S</w:t>
      </w:r>
      <w:proofErr w:type="spellEnd"/>
      <w:r w:rsidRPr="00841766">
        <w:rPr>
          <w:rFonts w:cstheme="minorHAnsi"/>
          <w:color w:val="000000" w:themeColor="text1"/>
          <w:sz w:val="22"/>
          <w:szCs w:val="22"/>
          <w:lang w:val="en-US"/>
        </w:rPr>
        <w:tab/>
        <w:t>Ministry of Education, Youth and Sport</w:t>
      </w:r>
      <w:r w:rsidR="003C63E3">
        <w:rPr>
          <w:rFonts w:cstheme="minorHAnsi"/>
          <w:color w:val="000000" w:themeColor="text1"/>
          <w:sz w:val="22"/>
          <w:szCs w:val="22"/>
          <w:lang w:val="en-US"/>
        </w:rPr>
        <w:t>s</w:t>
      </w:r>
      <w:r w:rsidRPr="00841766">
        <w:rPr>
          <w:rFonts w:cstheme="minorHAnsi"/>
          <w:color w:val="000000" w:themeColor="text1"/>
          <w:sz w:val="22"/>
          <w:szCs w:val="22"/>
          <w:lang w:val="en-US"/>
        </w:rPr>
        <w:t xml:space="preserve"> (</w:t>
      </w:r>
      <w:proofErr w:type="spellStart"/>
      <w:r w:rsidRPr="00841766">
        <w:rPr>
          <w:rFonts w:cstheme="minorHAnsi"/>
          <w:color w:val="000000" w:themeColor="text1"/>
          <w:sz w:val="22"/>
          <w:szCs w:val="22"/>
          <w:lang w:val="en-US"/>
        </w:rPr>
        <w:t>Ministerio</w:t>
      </w:r>
      <w:proofErr w:type="spellEnd"/>
      <w:r w:rsidRPr="00841766">
        <w:rPr>
          <w:rFonts w:cstheme="minorHAnsi"/>
          <w:color w:val="000000" w:themeColor="text1"/>
          <w:sz w:val="22"/>
          <w:szCs w:val="22"/>
          <w:lang w:val="en-US"/>
        </w:rPr>
        <w:t xml:space="preserve"> de </w:t>
      </w:r>
      <w:proofErr w:type="spellStart"/>
      <w:r w:rsidRPr="00841766">
        <w:rPr>
          <w:rFonts w:cstheme="minorHAnsi"/>
          <w:color w:val="000000" w:themeColor="text1"/>
          <w:sz w:val="22"/>
          <w:szCs w:val="22"/>
          <w:lang w:val="en-US"/>
        </w:rPr>
        <w:t>Educacao</w:t>
      </w:r>
      <w:proofErr w:type="spellEnd"/>
      <w:r w:rsidRPr="00841766">
        <w:rPr>
          <w:rFonts w:cstheme="minorHAnsi"/>
          <w:color w:val="000000" w:themeColor="text1"/>
          <w:sz w:val="22"/>
          <w:szCs w:val="22"/>
          <w:lang w:val="en-US"/>
        </w:rPr>
        <w:t xml:space="preserve">, </w:t>
      </w:r>
      <w:proofErr w:type="spellStart"/>
      <w:r w:rsidRPr="00841766">
        <w:rPr>
          <w:rFonts w:cstheme="minorHAnsi"/>
          <w:color w:val="000000" w:themeColor="text1"/>
          <w:sz w:val="22"/>
          <w:szCs w:val="22"/>
          <w:lang w:val="en-US"/>
        </w:rPr>
        <w:t>Juventude</w:t>
      </w:r>
      <w:proofErr w:type="spellEnd"/>
      <w:r w:rsidRPr="00841766">
        <w:rPr>
          <w:rFonts w:cstheme="minorHAnsi"/>
          <w:color w:val="000000" w:themeColor="text1"/>
          <w:sz w:val="22"/>
          <w:szCs w:val="22"/>
          <w:lang w:val="en-US"/>
        </w:rPr>
        <w:t xml:space="preserve"> e </w:t>
      </w:r>
      <w:proofErr w:type="spellStart"/>
      <w:r w:rsidRPr="00841766">
        <w:rPr>
          <w:rFonts w:cstheme="minorHAnsi"/>
          <w:color w:val="000000" w:themeColor="text1"/>
          <w:sz w:val="22"/>
          <w:szCs w:val="22"/>
          <w:lang w:val="en-US"/>
        </w:rPr>
        <w:t>Desporto</w:t>
      </w:r>
      <w:proofErr w:type="spellEnd"/>
    </w:p>
    <w:p w14:paraId="2E6D93D2" w14:textId="77777777" w:rsidR="004B7039" w:rsidRPr="00841766" w:rsidRDefault="004B7039" w:rsidP="004B7039">
      <w:pPr>
        <w:rPr>
          <w:rFonts w:eastAsia="Times New Roman" w:cstheme="minorHAnsi"/>
          <w:color w:val="000000" w:themeColor="text1"/>
          <w:sz w:val="22"/>
          <w:szCs w:val="22"/>
          <w:lang w:val="en-US"/>
        </w:rPr>
      </w:pPr>
      <w:proofErr w:type="spellStart"/>
      <w:r w:rsidRPr="00841766">
        <w:rPr>
          <w:rFonts w:eastAsia="Times New Roman" w:cstheme="minorHAnsi"/>
          <w:color w:val="000000" w:themeColor="text1"/>
          <w:sz w:val="22"/>
          <w:szCs w:val="22"/>
          <w:lang w:val="en-US"/>
        </w:rPr>
        <w:t>MoH</w:t>
      </w:r>
      <w:proofErr w:type="spellEnd"/>
      <w:r w:rsidRPr="00841766">
        <w:rPr>
          <w:rFonts w:eastAsia="Times New Roman" w:cstheme="minorHAnsi"/>
          <w:color w:val="000000" w:themeColor="text1"/>
          <w:sz w:val="22"/>
          <w:szCs w:val="22"/>
          <w:lang w:val="en-US"/>
        </w:rPr>
        <w:tab/>
      </w:r>
      <w:r w:rsidRPr="00841766">
        <w:rPr>
          <w:rFonts w:eastAsia="Times New Roman" w:cstheme="minorHAnsi"/>
          <w:color w:val="000000" w:themeColor="text1"/>
          <w:sz w:val="22"/>
          <w:szCs w:val="22"/>
          <w:lang w:val="en-US"/>
        </w:rPr>
        <w:tab/>
        <w:t xml:space="preserve">Ministry of Health </w:t>
      </w:r>
    </w:p>
    <w:p w14:paraId="3CCCB23C" w14:textId="77777777"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MOP</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t>Ministry of Public Works (</w:t>
      </w:r>
      <w:proofErr w:type="spellStart"/>
      <w:r w:rsidRPr="00841766">
        <w:rPr>
          <w:rFonts w:cstheme="minorHAnsi"/>
          <w:color w:val="000000" w:themeColor="text1"/>
          <w:sz w:val="22"/>
          <w:szCs w:val="22"/>
          <w:lang w:val="en-US"/>
        </w:rPr>
        <w:t>Ministerio</w:t>
      </w:r>
      <w:proofErr w:type="spellEnd"/>
      <w:r w:rsidRPr="00841766">
        <w:rPr>
          <w:rFonts w:cstheme="minorHAnsi"/>
          <w:color w:val="000000" w:themeColor="text1"/>
          <w:sz w:val="22"/>
          <w:szCs w:val="22"/>
          <w:lang w:val="en-US"/>
        </w:rPr>
        <w:t xml:space="preserve"> </w:t>
      </w:r>
      <w:proofErr w:type="spellStart"/>
      <w:r w:rsidRPr="00841766">
        <w:rPr>
          <w:rFonts w:cstheme="minorHAnsi"/>
          <w:color w:val="000000" w:themeColor="text1"/>
          <w:sz w:val="22"/>
          <w:szCs w:val="22"/>
          <w:lang w:val="en-US"/>
        </w:rPr>
        <w:t>Obras</w:t>
      </w:r>
      <w:proofErr w:type="spellEnd"/>
      <w:r w:rsidRPr="00841766">
        <w:rPr>
          <w:rFonts w:cstheme="minorHAnsi"/>
          <w:color w:val="000000" w:themeColor="text1"/>
          <w:sz w:val="22"/>
          <w:szCs w:val="22"/>
          <w:lang w:val="en-US"/>
        </w:rPr>
        <w:t xml:space="preserve"> </w:t>
      </w:r>
      <w:proofErr w:type="spellStart"/>
      <w:r w:rsidRPr="00841766">
        <w:rPr>
          <w:rFonts w:cstheme="minorHAnsi"/>
          <w:color w:val="000000" w:themeColor="text1"/>
          <w:sz w:val="22"/>
          <w:szCs w:val="22"/>
          <w:lang w:val="en-US"/>
        </w:rPr>
        <w:t>Publicas</w:t>
      </w:r>
      <w:proofErr w:type="spellEnd"/>
      <w:r w:rsidRPr="00841766">
        <w:rPr>
          <w:rFonts w:cstheme="minorHAnsi"/>
          <w:color w:val="000000" w:themeColor="text1"/>
          <w:sz w:val="22"/>
          <w:szCs w:val="22"/>
          <w:lang w:val="en-US"/>
        </w:rPr>
        <w:t xml:space="preserve">) </w:t>
      </w:r>
    </w:p>
    <w:p w14:paraId="13DE8490" w14:textId="77777777" w:rsidR="004B7039" w:rsidRPr="00841766" w:rsidRDefault="004B7039" w:rsidP="004B7039">
      <w:pPr>
        <w:ind w:left="1440" w:hanging="1440"/>
        <w:rPr>
          <w:rFonts w:cstheme="minorHAnsi"/>
          <w:color w:val="000000" w:themeColor="text1"/>
          <w:sz w:val="22"/>
          <w:szCs w:val="22"/>
          <w:lang w:val="en-US"/>
        </w:rPr>
      </w:pPr>
      <w:r w:rsidRPr="00841766">
        <w:rPr>
          <w:rFonts w:cstheme="minorHAnsi"/>
          <w:color w:val="000000" w:themeColor="text1"/>
          <w:sz w:val="22"/>
          <w:szCs w:val="22"/>
          <w:lang w:val="en-US"/>
        </w:rPr>
        <w:t>MPIE</w:t>
      </w:r>
      <w:r w:rsidRPr="00841766">
        <w:rPr>
          <w:rFonts w:cstheme="minorHAnsi"/>
          <w:color w:val="000000" w:themeColor="text1"/>
          <w:sz w:val="22"/>
          <w:szCs w:val="22"/>
          <w:lang w:val="en-US"/>
        </w:rPr>
        <w:tab/>
        <w:t xml:space="preserve">Ministry of Planning and Strategic Investment (Ministry do </w:t>
      </w:r>
      <w:proofErr w:type="spellStart"/>
      <w:r w:rsidRPr="00841766">
        <w:rPr>
          <w:rFonts w:cstheme="minorHAnsi"/>
          <w:color w:val="000000" w:themeColor="text1"/>
          <w:sz w:val="22"/>
          <w:szCs w:val="22"/>
          <w:lang w:val="en-US"/>
        </w:rPr>
        <w:t>Planeamento</w:t>
      </w:r>
      <w:proofErr w:type="spellEnd"/>
      <w:r w:rsidRPr="00841766">
        <w:rPr>
          <w:rFonts w:cstheme="minorHAnsi"/>
          <w:color w:val="000000" w:themeColor="text1"/>
          <w:sz w:val="22"/>
          <w:szCs w:val="22"/>
          <w:lang w:val="en-US"/>
        </w:rPr>
        <w:t xml:space="preserve"> e </w:t>
      </w:r>
      <w:proofErr w:type="spellStart"/>
      <w:r w:rsidRPr="00841766">
        <w:rPr>
          <w:rFonts w:cstheme="minorHAnsi"/>
          <w:color w:val="000000" w:themeColor="text1"/>
          <w:sz w:val="22"/>
          <w:szCs w:val="22"/>
          <w:lang w:val="en-US"/>
        </w:rPr>
        <w:t>Investimento</w:t>
      </w:r>
      <w:proofErr w:type="spellEnd"/>
      <w:r w:rsidRPr="00841766">
        <w:rPr>
          <w:rFonts w:cstheme="minorHAnsi"/>
          <w:color w:val="000000" w:themeColor="text1"/>
          <w:sz w:val="22"/>
          <w:szCs w:val="22"/>
          <w:lang w:val="en-US"/>
        </w:rPr>
        <w:t xml:space="preserve"> </w:t>
      </w:r>
      <w:proofErr w:type="spellStart"/>
      <w:r w:rsidRPr="00841766">
        <w:rPr>
          <w:rFonts w:cstheme="minorHAnsi"/>
          <w:color w:val="000000" w:themeColor="text1"/>
          <w:sz w:val="22"/>
          <w:szCs w:val="22"/>
          <w:lang w:val="en-US"/>
        </w:rPr>
        <w:t>Estrategico</w:t>
      </w:r>
      <w:proofErr w:type="spellEnd"/>
    </w:p>
    <w:p w14:paraId="5A9036D7" w14:textId="77777777" w:rsidR="004B7039" w:rsidRPr="00841766" w:rsidRDefault="004B7039" w:rsidP="004B7039">
      <w:pPr>
        <w:ind w:left="1440" w:hanging="1440"/>
        <w:rPr>
          <w:rFonts w:cstheme="minorHAnsi"/>
          <w:color w:val="000000" w:themeColor="text1"/>
          <w:sz w:val="22"/>
          <w:szCs w:val="22"/>
          <w:lang w:val="en-US"/>
        </w:rPr>
      </w:pPr>
      <w:r w:rsidRPr="00841766">
        <w:rPr>
          <w:rFonts w:cstheme="minorHAnsi"/>
          <w:color w:val="000000" w:themeColor="text1"/>
          <w:sz w:val="22"/>
          <w:szCs w:val="22"/>
          <w:lang w:val="en-US"/>
        </w:rPr>
        <w:t>MRLAP</w:t>
      </w:r>
      <w:r w:rsidRPr="00841766">
        <w:rPr>
          <w:rFonts w:cstheme="minorHAnsi"/>
          <w:color w:val="000000" w:themeColor="text1"/>
          <w:sz w:val="22"/>
          <w:szCs w:val="22"/>
          <w:lang w:val="en-US"/>
        </w:rPr>
        <w:tab/>
        <w:t>Ministry of Legislative Reform and Parliamentary Affairs (</w:t>
      </w:r>
      <w:proofErr w:type="spellStart"/>
      <w:r w:rsidRPr="00841766">
        <w:rPr>
          <w:rFonts w:cstheme="minorHAnsi"/>
          <w:color w:val="000000" w:themeColor="text1"/>
          <w:sz w:val="22"/>
          <w:szCs w:val="22"/>
          <w:lang w:val="en-US"/>
        </w:rPr>
        <w:t>Ministerio</w:t>
      </w:r>
      <w:proofErr w:type="spellEnd"/>
      <w:r w:rsidRPr="00841766">
        <w:rPr>
          <w:rFonts w:cstheme="minorHAnsi"/>
          <w:color w:val="000000" w:themeColor="text1"/>
          <w:sz w:val="22"/>
          <w:szCs w:val="22"/>
          <w:lang w:val="en-US"/>
        </w:rPr>
        <w:t xml:space="preserve"> </w:t>
      </w:r>
      <w:proofErr w:type="spellStart"/>
      <w:r w:rsidRPr="00841766">
        <w:rPr>
          <w:rFonts w:cstheme="minorHAnsi"/>
          <w:color w:val="000000" w:themeColor="text1"/>
          <w:sz w:val="22"/>
          <w:szCs w:val="22"/>
          <w:lang w:val="en-US"/>
        </w:rPr>
        <w:t>Reforma</w:t>
      </w:r>
      <w:proofErr w:type="spellEnd"/>
      <w:r w:rsidRPr="00841766">
        <w:rPr>
          <w:rFonts w:cstheme="minorHAnsi"/>
          <w:color w:val="000000" w:themeColor="text1"/>
          <w:sz w:val="22"/>
          <w:szCs w:val="22"/>
          <w:lang w:val="en-US"/>
        </w:rPr>
        <w:t xml:space="preserve"> </w:t>
      </w:r>
      <w:proofErr w:type="spellStart"/>
      <w:r w:rsidRPr="00841766">
        <w:rPr>
          <w:rFonts w:cstheme="minorHAnsi"/>
          <w:color w:val="000000" w:themeColor="text1"/>
          <w:sz w:val="22"/>
          <w:szCs w:val="22"/>
          <w:lang w:val="en-US"/>
        </w:rPr>
        <w:t>Legislativa</w:t>
      </w:r>
      <w:proofErr w:type="spellEnd"/>
      <w:r w:rsidRPr="00841766">
        <w:rPr>
          <w:rFonts w:cstheme="minorHAnsi"/>
          <w:color w:val="000000" w:themeColor="text1"/>
          <w:sz w:val="22"/>
          <w:szCs w:val="22"/>
          <w:lang w:val="en-US"/>
        </w:rPr>
        <w:t xml:space="preserve"> e </w:t>
      </w:r>
      <w:proofErr w:type="spellStart"/>
      <w:r w:rsidRPr="00841766">
        <w:rPr>
          <w:rFonts w:cstheme="minorHAnsi"/>
          <w:color w:val="000000" w:themeColor="text1"/>
          <w:sz w:val="22"/>
          <w:szCs w:val="22"/>
          <w:lang w:val="en-US"/>
        </w:rPr>
        <w:t>Assunto</w:t>
      </w:r>
      <w:proofErr w:type="spellEnd"/>
      <w:r w:rsidRPr="00841766">
        <w:rPr>
          <w:rFonts w:cstheme="minorHAnsi"/>
          <w:color w:val="000000" w:themeColor="text1"/>
          <w:sz w:val="22"/>
          <w:szCs w:val="22"/>
          <w:lang w:val="en-US"/>
        </w:rPr>
        <w:t xml:space="preserve"> </w:t>
      </w:r>
      <w:proofErr w:type="spellStart"/>
      <w:r w:rsidRPr="00841766">
        <w:rPr>
          <w:rFonts w:cstheme="minorHAnsi"/>
          <w:color w:val="000000" w:themeColor="text1"/>
          <w:sz w:val="22"/>
          <w:szCs w:val="22"/>
          <w:lang w:val="en-US"/>
        </w:rPr>
        <w:t>Parlamentar</w:t>
      </w:r>
      <w:proofErr w:type="spellEnd"/>
    </w:p>
    <w:p w14:paraId="6994CE97" w14:textId="77777777"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MSSI</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t>Ministry of Social Solidarity and Inclusion (</w:t>
      </w:r>
      <w:proofErr w:type="spellStart"/>
      <w:r w:rsidRPr="00841766">
        <w:rPr>
          <w:rFonts w:cstheme="minorHAnsi"/>
          <w:color w:val="000000" w:themeColor="text1"/>
          <w:sz w:val="22"/>
          <w:szCs w:val="22"/>
          <w:lang w:val="en-US"/>
        </w:rPr>
        <w:t>Ministerio</w:t>
      </w:r>
      <w:proofErr w:type="spellEnd"/>
      <w:r w:rsidRPr="00841766">
        <w:rPr>
          <w:rFonts w:cstheme="minorHAnsi"/>
          <w:color w:val="000000" w:themeColor="text1"/>
          <w:sz w:val="22"/>
          <w:szCs w:val="22"/>
          <w:lang w:val="en-US"/>
        </w:rPr>
        <w:t xml:space="preserve"> </w:t>
      </w:r>
      <w:proofErr w:type="spellStart"/>
      <w:r w:rsidRPr="00841766">
        <w:rPr>
          <w:rFonts w:cstheme="minorHAnsi"/>
          <w:color w:val="000000" w:themeColor="text1"/>
          <w:sz w:val="22"/>
          <w:szCs w:val="22"/>
          <w:lang w:val="en-US"/>
        </w:rPr>
        <w:t>Solidaridade</w:t>
      </w:r>
      <w:proofErr w:type="spellEnd"/>
      <w:r w:rsidRPr="00841766">
        <w:rPr>
          <w:rFonts w:cstheme="minorHAnsi"/>
          <w:color w:val="000000" w:themeColor="text1"/>
          <w:sz w:val="22"/>
          <w:szCs w:val="22"/>
          <w:lang w:val="en-US"/>
        </w:rPr>
        <w:t xml:space="preserve"> Social e </w:t>
      </w:r>
      <w:proofErr w:type="spellStart"/>
      <w:r w:rsidRPr="00841766">
        <w:rPr>
          <w:rFonts w:cstheme="minorHAnsi"/>
          <w:color w:val="000000" w:themeColor="text1"/>
          <w:sz w:val="22"/>
          <w:szCs w:val="22"/>
          <w:lang w:val="en-US"/>
        </w:rPr>
        <w:t>Incluzaun</w:t>
      </w:r>
      <w:proofErr w:type="spellEnd"/>
      <w:r w:rsidRPr="00841766">
        <w:rPr>
          <w:rFonts w:cstheme="minorHAnsi"/>
          <w:color w:val="000000" w:themeColor="text1"/>
          <w:sz w:val="22"/>
          <w:szCs w:val="22"/>
          <w:lang w:val="en-US"/>
        </w:rPr>
        <w:t xml:space="preserve">) </w:t>
      </w:r>
    </w:p>
    <w:p w14:paraId="0CC653B2" w14:textId="77777777" w:rsidR="004B7039" w:rsidRPr="00841766" w:rsidRDefault="004B7039" w:rsidP="004B7039">
      <w:pPr>
        <w:ind w:left="1440" w:hanging="1440"/>
        <w:rPr>
          <w:rFonts w:cstheme="minorHAnsi"/>
          <w:color w:val="000000" w:themeColor="text1"/>
          <w:sz w:val="22"/>
          <w:szCs w:val="22"/>
          <w:lang w:val="en-US"/>
        </w:rPr>
      </w:pPr>
      <w:r w:rsidRPr="00841766">
        <w:rPr>
          <w:rFonts w:cstheme="minorHAnsi"/>
          <w:color w:val="000000" w:themeColor="text1"/>
          <w:sz w:val="22"/>
          <w:szCs w:val="22"/>
          <w:lang w:val="en-US"/>
        </w:rPr>
        <w:t>MTCI</w:t>
      </w:r>
      <w:r w:rsidRPr="00841766">
        <w:rPr>
          <w:rFonts w:cstheme="minorHAnsi"/>
          <w:color w:val="000000" w:themeColor="text1"/>
          <w:sz w:val="22"/>
          <w:szCs w:val="22"/>
          <w:lang w:val="en-US"/>
        </w:rPr>
        <w:tab/>
        <w:t>Ministry of Tourism, Commerce and Industry (</w:t>
      </w:r>
      <w:proofErr w:type="spellStart"/>
      <w:r w:rsidRPr="00841766">
        <w:rPr>
          <w:rFonts w:cstheme="minorHAnsi"/>
          <w:color w:val="000000" w:themeColor="text1"/>
          <w:sz w:val="22"/>
          <w:szCs w:val="22"/>
          <w:lang w:val="en-US"/>
        </w:rPr>
        <w:t>Ministerio</w:t>
      </w:r>
      <w:proofErr w:type="spellEnd"/>
      <w:r w:rsidRPr="00841766">
        <w:rPr>
          <w:rFonts w:cstheme="minorHAnsi"/>
          <w:color w:val="000000" w:themeColor="text1"/>
          <w:sz w:val="22"/>
          <w:szCs w:val="22"/>
          <w:lang w:val="en-US"/>
        </w:rPr>
        <w:t xml:space="preserve"> do </w:t>
      </w:r>
      <w:proofErr w:type="spellStart"/>
      <w:r w:rsidRPr="00841766">
        <w:rPr>
          <w:rFonts w:cstheme="minorHAnsi"/>
          <w:color w:val="000000" w:themeColor="text1"/>
          <w:sz w:val="22"/>
          <w:szCs w:val="22"/>
          <w:lang w:val="en-US"/>
        </w:rPr>
        <w:t>Turizmo</w:t>
      </w:r>
      <w:proofErr w:type="spellEnd"/>
      <w:r w:rsidRPr="00841766">
        <w:rPr>
          <w:rFonts w:cstheme="minorHAnsi"/>
          <w:color w:val="000000" w:themeColor="text1"/>
          <w:sz w:val="22"/>
          <w:szCs w:val="22"/>
          <w:lang w:val="en-US"/>
        </w:rPr>
        <w:t xml:space="preserve">, </w:t>
      </w:r>
      <w:proofErr w:type="spellStart"/>
      <w:r w:rsidRPr="00841766">
        <w:rPr>
          <w:rFonts w:cstheme="minorHAnsi"/>
          <w:color w:val="000000" w:themeColor="text1"/>
          <w:sz w:val="22"/>
          <w:szCs w:val="22"/>
          <w:lang w:val="en-US"/>
        </w:rPr>
        <w:t>Commercio</w:t>
      </w:r>
      <w:proofErr w:type="spellEnd"/>
      <w:r w:rsidRPr="00841766">
        <w:rPr>
          <w:rFonts w:cstheme="minorHAnsi"/>
          <w:color w:val="000000" w:themeColor="text1"/>
          <w:sz w:val="22"/>
          <w:szCs w:val="22"/>
          <w:lang w:val="en-US"/>
        </w:rPr>
        <w:t xml:space="preserve"> e </w:t>
      </w:r>
      <w:proofErr w:type="spellStart"/>
      <w:r w:rsidRPr="00841766">
        <w:rPr>
          <w:rFonts w:cstheme="minorHAnsi"/>
          <w:color w:val="000000" w:themeColor="text1"/>
          <w:sz w:val="22"/>
          <w:szCs w:val="22"/>
          <w:lang w:val="en-US"/>
        </w:rPr>
        <w:t>Industria</w:t>
      </w:r>
      <w:proofErr w:type="spellEnd"/>
      <w:r w:rsidRPr="00841766">
        <w:rPr>
          <w:rFonts w:cstheme="minorHAnsi"/>
          <w:color w:val="000000" w:themeColor="text1"/>
          <w:sz w:val="22"/>
          <w:szCs w:val="22"/>
          <w:lang w:val="en-US"/>
        </w:rPr>
        <w:t xml:space="preserve"> </w:t>
      </w:r>
    </w:p>
    <w:p w14:paraId="2F85892A" w14:textId="77777777" w:rsidR="004B7039" w:rsidRPr="006C2D7C" w:rsidRDefault="004B7039" w:rsidP="004B7039">
      <w:pPr>
        <w:ind w:left="1440" w:hanging="1440"/>
        <w:rPr>
          <w:rFonts w:cstheme="minorHAnsi"/>
          <w:color w:val="000000" w:themeColor="text1"/>
          <w:sz w:val="22"/>
          <w:szCs w:val="22"/>
          <w:lang w:val="en-US"/>
        </w:rPr>
      </w:pPr>
      <w:r w:rsidRPr="00841766">
        <w:rPr>
          <w:rFonts w:cstheme="minorHAnsi"/>
          <w:color w:val="000000" w:themeColor="text1"/>
          <w:sz w:val="22"/>
          <w:szCs w:val="22"/>
          <w:lang w:val="en-US"/>
        </w:rPr>
        <w:lastRenderedPageBreak/>
        <w:t>MTT</w:t>
      </w:r>
      <w:r w:rsidRPr="00841766">
        <w:rPr>
          <w:rFonts w:cstheme="minorHAnsi"/>
          <w:color w:val="000000" w:themeColor="text1"/>
          <w:sz w:val="22"/>
          <w:szCs w:val="22"/>
          <w:lang w:val="en-US"/>
        </w:rPr>
        <w:tab/>
        <w:t>Ministry of Transport and Telecommunication (</w:t>
      </w:r>
      <w:proofErr w:type="spellStart"/>
      <w:r w:rsidRPr="00841766">
        <w:rPr>
          <w:rFonts w:cstheme="minorHAnsi"/>
          <w:color w:val="000000" w:themeColor="text1"/>
          <w:sz w:val="22"/>
          <w:szCs w:val="22"/>
          <w:lang w:val="en-US"/>
        </w:rPr>
        <w:t>Ministerio</w:t>
      </w:r>
      <w:proofErr w:type="spellEnd"/>
      <w:r w:rsidRPr="00841766">
        <w:rPr>
          <w:rFonts w:cstheme="minorHAnsi"/>
          <w:color w:val="000000" w:themeColor="text1"/>
          <w:sz w:val="22"/>
          <w:szCs w:val="22"/>
          <w:lang w:val="en-US"/>
        </w:rPr>
        <w:t xml:space="preserve"> de </w:t>
      </w:r>
      <w:proofErr w:type="spellStart"/>
      <w:r w:rsidRPr="00841766">
        <w:rPr>
          <w:rFonts w:cstheme="minorHAnsi"/>
          <w:color w:val="000000" w:themeColor="text1"/>
          <w:sz w:val="22"/>
          <w:szCs w:val="22"/>
          <w:lang w:val="en-US"/>
        </w:rPr>
        <w:t>Transporte</w:t>
      </w:r>
      <w:proofErr w:type="spellEnd"/>
      <w:r w:rsidRPr="00841766">
        <w:rPr>
          <w:rFonts w:cstheme="minorHAnsi"/>
          <w:color w:val="000000" w:themeColor="text1"/>
          <w:sz w:val="22"/>
          <w:szCs w:val="22"/>
          <w:lang w:val="en-US"/>
        </w:rPr>
        <w:t xml:space="preserve"> e </w:t>
      </w:r>
      <w:proofErr w:type="spellStart"/>
      <w:r w:rsidRPr="006C2D7C">
        <w:rPr>
          <w:rFonts w:cstheme="minorHAnsi"/>
          <w:color w:val="000000" w:themeColor="text1"/>
          <w:sz w:val="22"/>
          <w:szCs w:val="22"/>
          <w:lang w:val="en-US"/>
        </w:rPr>
        <w:t>Telecomunicao</w:t>
      </w:r>
      <w:proofErr w:type="spellEnd"/>
      <w:r w:rsidRPr="006C2D7C">
        <w:rPr>
          <w:rFonts w:cstheme="minorHAnsi"/>
          <w:color w:val="000000" w:themeColor="text1"/>
          <w:sz w:val="22"/>
          <w:szCs w:val="22"/>
          <w:lang w:val="en-US"/>
        </w:rPr>
        <w:t>)</w:t>
      </w:r>
    </w:p>
    <w:p w14:paraId="30EBDE42" w14:textId="4059FE8C" w:rsidR="004B7039" w:rsidRPr="006C2D7C" w:rsidRDefault="004B7039" w:rsidP="004B7039">
      <w:pPr>
        <w:rPr>
          <w:rFonts w:eastAsia="Times New Roman" w:cstheme="minorHAnsi"/>
          <w:bCs/>
          <w:color w:val="000000" w:themeColor="text1"/>
          <w:sz w:val="22"/>
          <w:szCs w:val="22"/>
          <w:shd w:val="clear" w:color="auto" w:fill="FFFFFF"/>
          <w:lang w:val="en-US"/>
        </w:rPr>
      </w:pPr>
      <w:r w:rsidRPr="006C2D7C">
        <w:rPr>
          <w:rFonts w:cstheme="minorHAnsi"/>
          <w:color w:val="000000" w:themeColor="text1"/>
          <w:sz w:val="22"/>
          <w:szCs w:val="22"/>
          <w:lang w:val="en-US"/>
        </w:rPr>
        <w:t>NCDs</w:t>
      </w:r>
      <w:r w:rsidRPr="006C2D7C">
        <w:rPr>
          <w:rFonts w:cstheme="minorHAnsi"/>
          <w:color w:val="000000" w:themeColor="text1"/>
          <w:sz w:val="22"/>
          <w:szCs w:val="22"/>
          <w:lang w:val="en-US"/>
        </w:rPr>
        <w:tab/>
      </w:r>
      <w:r w:rsidRPr="006C2D7C">
        <w:rPr>
          <w:rFonts w:cstheme="minorHAnsi"/>
          <w:color w:val="000000" w:themeColor="text1"/>
          <w:sz w:val="22"/>
          <w:szCs w:val="22"/>
          <w:lang w:val="en-US"/>
        </w:rPr>
        <w:tab/>
      </w:r>
      <w:r w:rsidRPr="006C2D7C">
        <w:rPr>
          <w:rFonts w:eastAsia="Times New Roman" w:cstheme="minorHAnsi"/>
          <w:bCs/>
          <w:color w:val="000000" w:themeColor="text1"/>
          <w:sz w:val="22"/>
          <w:szCs w:val="22"/>
          <w:shd w:val="clear" w:color="auto" w:fill="FFFFFF"/>
          <w:lang w:val="en-US"/>
        </w:rPr>
        <w:t>Non-communicable diseases</w:t>
      </w:r>
    </w:p>
    <w:p w14:paraId="57DA2D02" w14:textId="09EF1DC9" w:rsidR="00437985" w:rsidRPr="006C2D7C" w:rsidRDefault="00437985" w:rsidP="004B7039">
      <w:pPr>
        <w:rPr>
          <w:rFonts w:eastAsia="Times New Roman" w:cstheme="minorHAnsi"/>
          <w:bCs/>
          <w:color w:val="000000" w:themeColor="text1"/>
          <w:sz w:val="22"/>
          <w:szCs w:val="22"/>
          <w:shd w:val="clear" w:color="auto" w:fill="FFFFFF"/>
          <w:lang w:val="en-US"/>
        </w:rPr>
      </w:pPr>
      <w:r w:rsidRPr="006C2D7C">
        <w:rPr>
          <w:rFonts w:eastAsia="Times New Roman" w:cstheme="minorHAnsi"/>
          <w:bCs/>
          <w:color w:val="000000" w:themeColor="text1"/>
          <w:sz w:val="22"/>
          <w:szCs w:val="22"/>
          <w:shd w:val="clear" w:color="auto" w:fill="FFFFFF"/>
          <w:lang w:val="en-US"/>
        </w:rPr>
        <w:t>OCHA</w:t>
      </w:r>
      <w:r w:rsidR="008530B2" w:rsidRPr="00841766">
        <w:rPr>
          <w:rFonts w:cstheme="minorHAnsi"/>
          <w:sz w:val="22"/>
          <w:szCs w:val="22"/>
          <w:lang w:val="en-US"/>
        </w:rPr>
        <w:tab/>
      </w:r>
      <w:r w:rsidR="008530B2" w:rsidRPr="00841766">
        <w:rPr>
          <w:rFonts w:cstheme="minorHAnsi"/>
          <w:sz w:val="22"/>
          <w:szCs w:val="22"/>
          <w:lang w:val="en-US"/>
        </w:rPr>
        <w:tab/>
      </w:r>
      <w:r w:rsidRPr="006C2D7C">
        <w:rPr>
          <w:rFonts w:eastAsia="Times New Roman" w:cstheme="minorHAnsi"/>
          <w:bCs/>
          <w:color w:val="000000" w:themeColor="text1"/>
          <w:sz w:val="22"/>
          <w:szCs w:val="22"/>
          <w:shd w:val="clear" w:color="auto" w:fill="FFFFFF"/>
          <w:lang w:val="en-US"/>
        </w:rPr>
        <w:t>Office of Coordination of Humanitarian Affairs (UN)</w:t>
      </w:r>
    </w:p>
    <w:p w14:paraId="22198741" w14:textId="35566BAE" w:rsidR="00437985" w:rsidRPr="006C2D7C" w:rsidRDefault="00437985" w:rsidP="00437985">
      <w:pPr>
        <w:rPr>
          <w:rFonts w:eastAsia="Times New Roman" w:cstheme="minorHAnsi"/>
          <w:bCs/>
          <w:color w:val="000000" w:themeColor="text1"/>
          <w:sz w:val="22"/>
          <w:szCs w:val="22"/>
          <w:shd w:val="clear" w:color="auto" w:fill="FFFFFF"/>
          <w:lang w:val="en-US"/>
        </w:rPr>
      </w:pPr>
      <w:r w:rsidRPr="006C2D7C">
        <w:rPr>
          <w:rFonts w:eastAsia="Times New Roman" w:cstheme="minorHAnsi"/>
          <w:bCs/>
          <w:color w:val="000000" w:themeColor="text1"/>
          <w:sz w:val="22"/>
          <w:szCs w:val="22"/>
          <w:shd w:val="clear" w:color="auto" w:fill="FFFFFF"/>
          <w:lang w:val="en-US"/>
        </w:rPr>
        <w:t>OHCHR</w:t>
      </w:r>
      <w:r w:rsidR="008530B2" w:rsidRPr="00841766">
        <w:rPr>
          <w:rFonts w:cstheme="minorHAnsi"/>
          <w:sz w:val="22"/>
          <w:szCs w:val="22"/>
          <w:lang w:val="en-US"/>
        </w:rPr>
        <w:tab/>
      </w:r>
      <w:r w:rsidR="008530B2" w:rsidRPr="00841766">
        <w:rPr>
          <w:rFonts w:cstheme="minorHAnsi"/>
          <w:sz w:val="22"/>
          <w:szCs w:val="22"/>
          <w:lang w:val="en-US"/>
        </w:rPr>
        <w:tab/>
      </w:r>
      <w:r w:rsidRPr="006C2D7C">
        <w:rPr>
          <w:rFonts w:eastAsia="Times New Roman" w:cstheme="minorHAnsi"/>
          <w:bCs/>
          <w:color w:val="000000" w:themeColor="text1"/>
          <w:sz w:val="22"/>
          <w:szCs w:val="22"/>
          <w:shd w:val="clear" w:color="auto" w:fill="FFFFFF"/>
          <w:lang w:val="en-US"/>
        </w:rPr>
        <w:t>Office of the High Commissioner for Human Rights</w:t>
      </w:r>
    </w:p>
    <w:p w14:paraId="63BA672F" w14:textId="4F6DCCE0" w:rsidR="004B7039" w:rsidRPr="006C2D7C" w:rsidRDefault="004B7039" w:rsidP="00437985">
      <w:pPr>
        <w:rPr>
          <w:rFonts w:eastAsia="Times New Roman" w:cstheme="minorHAnsi"/>
          <w:bCs/>
          <w:color w:val="000000" w:themeColor="text1"/>
          <w:sz w:val="22"/>
          <w:szCs w:val="22"/>
          <w:shd w:val="clear" w:color="auto" w:fill="FFFFFF"/>
          <w:lang w:val="en-US"/>
        </w:rPr>
      </w:pPr>
      <w:r w:rsidRPr="006C2D7C">
        <w:rPr>
          <w:rFonts w:cstheme="minorHAnsi"/>
          <w:color w:val="000000" w:themeColor="text1"/>
          <w:sz w:val="22"/>
          <w:szCs w:val="22"/>
          <w:lang w:val="en-US"/>
        </w:rPr>
        <w:t>PDHJ</w:t>
      </w:r>
      <w:r w:rsidRPr="006C2D7C">
        <w:rPr>
          <w:rFonts w:cstheme="minorHAnsi"/>
          <w:color w:val="000000" w:themeColor="text1"/>
          <w:sz w:val="22"/>
          <w:szCs w:val="22"/>
          <w:lang w:val="en-US"/>
        </w:rPr>
        <w:tab/>
      </w:r>
      <w:r w:rsidR="008530B2" w:rsidRPr="00841766">
        <w:rPr>
          <w:rFonts w:cstheme="minorHAnsi"/>
          <w:sz w:val="22"/>
          <w:szCs w:val="22"/>
          <w:lang w:val="en-US"/>
        </w:rPr>
        <w:tab/>
      </w:r>
      <w:r w:rsidRPr="006C2D7C">
        <w:rPr>
          <w:rFonts w:cstheme="minorHAnsi"/>
          <w:color w:val="000000" w:themeColor="text1"/>
          <w:sz w:val="22"/>
          <w:szCs w:val="22"/>
          <w:lang w:val="en-US"/>
        </w:rPr>
        <w:t xml:space="preserve">Office of the </w:t>
      </w:r>
      <w:proofErr w:type="spellStart"/>
      <w:r w:rsidRPr="006C2D7C">
        <w:rPr>
          <w:rFonts w:cstheme="minorHAnsi"/>
          <w:color w:val="000000" w:themeColor="text1"/>
          <w:sz w:val="22"/>
          <w:szCs w:val="22"/>
          <w:lang w:val="en-US"/>
        </w:rPr>
        <w:t>Provedor</w:t>
      </w:r>
      <w:proofErr w:type="spellEnd"/>
      <w:r w:rsidRPr="006C2D7C">
        <w:rPr>
          <w:rFonts w:cstheme="minorHAnsi"/>
          <w:color w:val="000000" w:themeColor="text1"/>
          <w:sz w:val="22"/>
          <w:szCs w:val="22"/>
          <w:lang w:val="en-US"/>
        </w:rPr>
        <w:t xml:space="preserve"> for Human Rights and Justice (</w:t>
      </w:r>
      <w:proofErr w:type="spellStart"/>
      <w:r w:rsidRPr="006C2D7C">
        <w:rPr>
          <w:rFonts w:cstheme="minorHAnsi"/>
          <w:color w:val="000000" w:themeColor="text1"/>
          <w:sz w:val="22"/>
          <w:szCs w:val="22"/>
          <w:lang w:val="en-US"/>
        </w:rPr>
        <w:t>Provedor</w:t>
      </w:r>
      <w:proofErr w:type="spellEnd"/>
      <w:r w:rsidRPr="006C2D7C">
        <w:rPr>
          <w:rFonts w:cstheme="minorHAnsi"/>
          <w:color w:val="000000" w:themeColor="text1"/>
          <w:sz w:val="22"/>
          <w:szCs w:val="22"/>
          <w:lang w:val="en-US"/>
        </w:rPr>
        <w:t xml:space="preserve"> </w:t>
      </w:r>
      <w:proofErr w:type="spellStart"/>
      <w:r w:rsidRPr="006C2D7C">
        <w:rPr>
          <w:rFonts w:cstheme="minorHAnsi"/>
          <w:color w:val="000000" w:themeColor="text1"/>
          <w:sz w:val="22"/>
          <w:szCs w:val="22"/>
          <w:lang w:val="en-US"/>
        </w:rPr>
        <w:t>Direitos</w:t>
      </w:r>
      <w:proofErr w:type="spellEnd"/>
      <w:r w:rsidRPr="006C2D7C">
        <w:rPr>
          <w:rFonts w:cstheme="minorHAnsi"/>
          <w:color w:val="000000" w:themeColor="text1"/>
          <w:sz w:val="22"/>
          <w:szCs w:val="22"/>
          <w:lang w:val="en-US"/>
        </w:rPr>
        <w:t xml:space="preserve"> </w:t>
      </w:r>
      <w:proofErr w:type="spellStart"/>
      <w:r w:rsidRPr="006C2D7C">
        <w:rPr>
          <w:rFonts w:cstheme="minorHAnsi"/>
          <w:color w:val="000000" w:themeColor="text1"/>
          <w:sz w:val="22"/>
          <w:szCs w:val="22"/>
          <w:lang w:val="en-US"/>
        </w:rPr>
        <w:t>Humanus</w:t>
      </w:r>
      <w:proofErr w:type="spellEnd"/>
      <w:r w:rsidRPr="006C2D7C">
        <w:rPr>
          <w:rFonts w:cstheme="minorHAnsi"/>
          <w:color w:val="000000" w:themeColor="text1"/>
          <w:sz w:val="22"/>
          <w:szCs w:val="22"/>
          <w:lang w:val="en-US"/>
        </w:rPr>
        <w:t xml:space="preserve"> e </w:t>
      </w:r>
      <w:proofErr w:type="spellStart"/>
      <w:r w:rsidRPr="006C2D7C">
        <w:rPr>
          <w:rFonts w:cstheme="minorHAnsi"/>
          <w:color w:val="000000" w:themeColor="text1"/>
          <w:sz w:val="22"/>
          <w:szCs w:val="22"/>
          <w:lang w:val="en-US"/>
        </w:rPr>
        <w:t>Justica</w:t>
      </w:r>
      <w:proofErr w:type="spellEnd"/>
      <w:r w:rsidRPr="006C2D7C">
        <w:rPr>
          <w:rFonts w:cstheme="minorHAnsi"/>
          <w:color w:val="000000" w:themeColor="text1"/>
          <w:sz w:val="22"/>
          <w:szCs w:val="22"/>
          <w:lang w:val="en-US"/>
        </w:rPr>
        <w:t xml:space="preserve">) </w:t>
      </w:r>
    </w:p>
    <w:p w14:paraId="011574C8" w14:textId="77777777" w:rsidR="004B7039" w:rsidRPr="006C2D7C" w:rsidRDefault="004B7039" w:rsidP="004B7039">
      <w:pPr>
        <w:rPr>
          <w:rFonts w:eastAsia="Times New Roman" w:cstheme="minorHAnsi"/>
          <w:color w:val="000000" w:themeColor="text1"/>
          <w:sz w:val="22"/>
          <w:szCs w:val="22"/>
          <w:lang w:val="en-US"/>
        </w:rPr>
      </w:pPr>
      <w:r w:rsidRPr="006C2D7C">
        <w:rPr>
          <w:rFonts w:eastAsia="Times New Roman" w:cstheme="minorHAnsi"/>
          <w:color w:val="000000" w:themeColor="text1"/>
          <w:sz w:val="22"/>
          <w:szCs w:val="22"/>
          <w:lang w:val="en-US"/>
        </w:rPr>
        <w:t>PHC</w:t>
      </w:r>
      <w:r w:rsidRPr="006C2D7C">
        <w:rPr>
          <w:rFonts w:eastAsia="Times New Roman" w:cstheme="minorHAnsi"/>
          <w:color w:val="000000" w:themeColor="text1"/>
          <w:sz w:val="22"/>
          <w:szCs w:val="22"/>
          <w:lang w:val="en-US"/>
        </w:rPr>
        <w:tab/>
      </w:r>
      <w:r w:rsidRPr="006C2D7C">
        <w:rPr>
          <w:rFonts w:eastAsia="Times New Roman" w:cstheme="minorHAnsi"/>
          <w:color w:val="000000" w:themeColor="text1"/>
          <w:sz w:val="22"/>
          <w:szCs w:val="22"/>
          <w:lang w:val="en-US"/>
        </w:rPr>
        <w:tab/>
        <w:t xml:space="preserve">Primary Health Care </w:t>
      </w:r>
    </w:p>
    <w:p w14:paraId="2F2DD60D" w14:textId="77777777" w:rsidR="004B7039" w:rsidRPr="006C2D7C" w:rsidRDefault="004B7039" w:rsidP="004B7039">
      <w:pPr>
        <w:ind w:left="1440" w:hanging="1440"/>
        <w:rPr>
          <w:rFonts w:cstheme="minorHAnsi"/>
          <w:color w:val="000000" w:themeColor="text1"/>
          <w:sz w:val="22"/>
          <w:szCs w:val="22"/>
          <w:lang w:val="en-US"/>
        </w:rPr>
      </w:pPr>
      <w:r w:rsidRPr="006C2D7C">
        <w:rPr>
          <w:rFonts w:cstheme="minorHAnsi"/>
          <w:color w:val="000000" w:themeColor="text1"/>
          <w:sz w:val="22"/>
          <w:szCs w:val="22"/>
          <w:lang w:val="en-US"/>
        </w:rPr>
        <w:t>PNTL</w:t>
      </w:r>
      <w:r w:rsidRPr="006C2D7C">
        <w:rPr>
          <w:rFonts w:cstheme="minorHAnsi"/>
          <w:color w:val="000000" w:themeColor="text1"/>
          <w:sz w:val="22"/>
          <w:szCs w:val="22"/>
          <w:lang w:val="en-US"/>
        </w:rPr>
        <w:tab/>
        <w:t>East Timor National Police (</w:t>
      </w:r>
      <w:proofErr w:type="spellStart"/>
      <w:r w:rsidRPr="006C2D7C">
        <w:rPr>
          <w:rFonts w:cstheme="minorHAnsi"/>
          <w:color w:val="000000" w:themeColor="text1"/>
          <w:sz w:val="22"/>
          <w:szCs w:val="22"/>
          <w:lang w:val="en-US"/>
        </w:rPr>
        <w:t>Policia</w:t>
      </w:r>
      <w:proofErr w:type="spellEnd"/>
      <w:r w:rsidRPr="006C2D7C">
        <w:rPr>
          <w:rFonts w:cstheme="minorHAnsi"/>
          <w:color w:val="000000" w:themeColor="text1"/>
          <w:sz w:val="22"/>
          <w:szCs w:val="22"/>
          <w:lang w:val="en-US"/>
        </w:rPr>
        <w:t xml:space="preserve"> National de Timor-Leste) </w:t>
      </w:r>
    </w:p>
    <w:p w14:paraId="0C798FD0" w14:textId="55171A7C" w:rsidR="004B7039" w:rsidRPr="006C2D7C" w:rsidRDefault="004B7039" w:rsidP="004B7039">
      <w:pPr>
        <w:rPr>
          <w:rFonts w:cstheme="minorHAnsi"/>
          <w:color w:val="000000" w:themeColor="text1"/>
          <w:sz w:val="22"/>
          <w:szCs w:val="22"/>
          <w:lang w:val="en-US"/>
        </w:rPr>
      </w:pPr>
      <w:r w:rsidRPr="006C2D7C">
        <w:rPr>
          <w:rFonts w:cstheme="minorHAnsi"/>
          <w:color w:val="000000" w:themeColor="text1"/>
          <w:sz w:val="22"/>
          <w:szCs w:val="22"/>
          <w:lang w:val="en-US"/>
        </w:rPr>
        <w:t>RC</w:t>
      </w:r>
      <w:r w:rsidRPr="006C2D7C">
        <w:rPr>
          <w:rFonts w:cstheme="minorHAnsi"/>
          <w:color w:val="000000" w:themeColor="text1"/>
          <w:sz w:val="22"/>
          <w:szCs w:val="22"/>
          <w:lang w:val="en-US"/>
        </w:rPr>
        <w:tab/>
      </w:r>
      <w:r w:rsidRPr="006C2D7C">
        <w:rPr>
          <w:rFonts w:cstheme="minorHAnsi"/>
          <w:color w:val="000000" w:themeColor="text1"/>
          <w:sz w:val="22"/>
          <w:szCs w:val="22"/>
          <w:lang w:val="en-US"/>
        </w:rPr>
        <w:tab/>
      </w:r>
      <w:r w:rsidR="003C63E3" w:rsidRPr="006C2D7C">
        <w:rPr>
          <w:rFonts w:cstheme="minorHAnsi"/>
          <w:color w:val="000000" w:themeColor="text1"/>
          <w:sz w:val="22"/>
          <w:szCs w:val="22"/>
          <w:lang w:val="en-US"/>
        </w:rPr>
        <w:t xml:space="preserve">UN </w:t>
      </w:r>
      <w:r w:rsidRPr="006C2D7C">
        <w:rPr>
          <w:rFonts w:cstheme="minorHAnsi"/>
          <w:color w:val="000000" w:themeColor="text1"/>
          <w:sz w:val="22"/>
          <w:szCs w:val="22"/>
          <w:lang w:val="en-US"/>
        </w:rPr>
        <w:t>Residen</w:t>
      </w:r>
      <w:r w:rsidR="003C63E3" w:rsidRPr="006C2D7C">
        <w:rPr>
          <w:rFonts w:cstheme="minorHAnsi"/>
          <w:color w:val="000000" w:themeColor="text1"/>
          <w:sz w:val="22"/>
          <w:szCs w:val="22"/>
          <w:lang w:val="en-US"/>
        </w:rPr>
        <w:t>t</w:t>
      </w:r>
      <w:r w:rsidRPr="006C2D7C">
        <w:rPr>
          <w:rFonts w:cstheme="minorHAnsi"/>
          <w:color w:val="000000" w:themeColor="text1"/>
          <w:sz w:val="22"/>
          <w:szCs w:val="22"/>
          <w:lang w:val="en-US"/>
        </w:rPr>
        <w:t xml:space="preserve"> Coordinator </w:t>
      </w:r>
    </w:p>
    <w:p w14:paraId="2E8ECA6F" w14:textId="77777777" w:rsidR="004B7039" w:rsidRPr="006C2D7C" w:rsidRDefault="004B7039" w:rsidP="004B7039">
      <w:pPr>
        <w:rPr>
          <w:rFonts w:cstheme="minorHAnsi"/>
          <w:color w:val="000000" w:themeColor="text1"/>
          <w:sz w:val="22"/>
          <w:szCs w:val="22"/>
          <w:lang w:val="en-US"/>
        </w:rPr>
      </w:pPr>
      <w:r w:rsidRPr="006C2D7C">
        <w:rPr>
          <w:rFonts w:cstheme="minorHAnsi"/>
          <w:color w:val="000000" w:themeColor="text1"/>
          <w:sz w:val="22"/>
          <w:szCs w:val="22"/>
          <w:lang w:val="en-US"/>
        </w:rPr>
        <w:t>SDGS</w:t>
      </w:r>
      <w:r w:rsidRPr="006C2D7C">
        <w:rPr>
          <w:rFonts w:cstheme="minorHAnsi"/>
          <w:color w:val="000000" w:themeColor="text1"/>
          <w:sz w:val="22"/>
          <w:szCs w:val="22"/>
          <w:lang w:val="en-US"/>
        </w:rPr>
        <w:tab/>
      </w:r>
      <w:r w:rsidRPr="006C2D7C">
        <w:rPr>
          <w:rFonts w:cstheme="minorHAnsi"/>
          <w:color w:val="000000" w:themeColor="text1"/>
          <w:sz w:val="22"/>
          <w:szCs w:val="22"/>
          <w:lang w:val="en-US"/>
        </w:rPr>
        <w:tab/>
        <w:t>Sustainable Development Goals</w:t>
      </w:r>
    </w:p>
    <w:p w14:paraId="36F8D86F" w14:textId="77777777" w:rsidR="004B7039" w:rsidRPr="006C2D7C" w:rsidRDefault="004B7039" w:rsidP="004B7039">
      <w:pPr>
        <w:rPr>
          <w:rFonts w:cstheme="minorHAnsi"/>
          <w:bCs/>
          <w:color w:val="000000" w:themeColor="text1"/>
          <w:sz w:val="22"/>
          <w:szCs w:val="22"/>
          <w:lang w:val="en-US"/>
        </w:rPr>
      </w:pPr>
      <w:r w:rsidRPr="006C2D7C">
        <w:rPr>
          <w:rFonts w:cstheme="minorHAnsi"/>
          <w:color w:val="000000" w:themeColor="text1"/>
          <w:sz w:val="22"/>
          <w:szCs w:val="22"/>
          <w:lang w:val="en-US"/>
        </w:rPr>
        <w:t>SDP</w:t>
      </w:r>
      <w:r w:rsidRPr="006C2D7C">
        <w:rPr>
          <w:rFonts w:cstheme="minorHAnsi"/>
          <w:color w:val="000000" w:themeColor="text1"/>
          <w:sz w:val="22"/>
          <w:szCs w:val="22"/>
          <w:lang w:val="en-US"/>
        </w:rPr>
        <w:tab/>
      </w:r>
      <w:r w:rsidRPr="006C2D7C">
        <w:rPr>
          <w:rFonts w:cstheme="minorHAnsi"/>
          <w:color w:val="000000" w:themeColor="text1"/>
          <w:sz w:val="22"/>
          <w:szCs w:val="22"/>
          <w:lang w:val="en-US"/>
        </w:rPr>
        <w:tab/>
      </w:r>
      <w:r w:rsidRPr="006C2D7C">
        <w:rPr>
          <w:rFonts w:cstheme="minorHAnsi"/>
          <w:bCs/>
          <w:color w:val="000000" w:themeColor="text1"/>
          <w:sz w:val="22"/>
          <w:szCs w:val="22"/>
          <w:lang w:val="en-US"/>
        </w:rPr>
        <w:t>Strategic Development Plan</w:t>
      </w:r>
    </w:p>
    <w:p w14:paraId="1B575F6F" w14:textId="42597EF9" w:rsidR="00395A14" w:rsidRPr="00F72508" w:rsidRDefault="00395A14" w:rsidP="004B7039">
      <w:pPr>
        <w:ind w:left="1440" w:hanging="1440"/>
        <w:rPr>
          <w:rFonts w:cstheme="minorHAnsi"/>
          <w:bCs/>
          <w:color w:val="000000" w:themeColor="text1"/>
          <w:sz w:val="22"/>
          <w:szCs w:val="22"/>
          <w:lang w:val="en-US"/>
        </w:rPr>
      </w:pPr>
      <w:r w:rsidRPr="00F72508">
        <w:rPr>
          <w:rFonts w:cstheme="minorHAnsi"/>
          <w:color w:val="000000" w:themeColor="text1"/>
          <w:sz w:val="22"/>
          <w:szCs w:val="22"/>
          <w:lang w:val="en-US"/>
        </w:rPr>
        <w:t>SEFOPE</w:t>
      </w:r>
      <w:r w:rsidR="008530B2" w:rsidRPr="00F72508">
        <w:rPr>
          <w:rFonts w:cstheme="minorHAnsi"/>
          <w:sz w:val="22"/>
          <w:szCs w:val="22"/>
          <w:lang w:val="en-US"/>
        </w:rPr>
        <w:tab/>
      </w:r>
      <w:proofErr w:type="spellStart"/>
      <w:r w:rsidRPr="00F72508">
        <w:rPr>
          <w:rFonts w:cstheme="minorHAnsi"/>
          <w:bCs/>
          <w:color w:val="000000" w:themeColor="text1"/>
          <w:sz w:val="22"/>
          <w:szCs w:val="22"/>
          <w:lang w:val="en-US"/>
        </w:rPr>
        <w:t>Sekretaria</w:t>
      </w:r>
      <w:proofErr w:type="spellEnd"/>
      <w:r w:rsidRPr="00F72508">
        <w:rPr>
          <w:rFonts w:cstheme="minorHAnsi"/>
          <w:bCs/>
          <w:color w:val="000000" w:themeColor="text1"/>
          <w:sz w:val="22"/>
          <w:szCs w:val="22"/>
          <w:lang w:val="en-US"/>
        </w:rPr>
        <w:t xml:space="preserve"> </w:t>
      </w:r>
      <w:proofErr w:type="spellStart"/>
      <w:r w:rsidRPr="00F72508">
        <w:rPr>
          <w:rFonts w:cstheme="minorHAnsi"/>
          <w:bCs/>
          <w:color w:val="000000" w:themeColor="text1"/>
          <w:sz w:val="22"/>
          <w:szCs w:val="22"/>
          <w:lang w:val="en-US"/>
        </w:rPr>
        <w:t>Estadu</w:t>
      </w:r>
      <w:proofErr w:type="spellEnd"/>
      <w:r w:rsidRPr="00F72508">
        <w:rPr>
          <w:rFonts w:cstheme="minorHAnsi"/>
          <w:bCs/>
          <w:color w:val="000000" w:themeColor="text1"/>
          <w:sz w:val="22"/>
          <w:szCs w:val="22"/>
          <w:lang w:val="en-US"/>
        </w:rPr>
        <w:t xml:space="preserve"> </w:t>
      </w:r>
      <w:proofErr w:type="spellStart"/>
      <w:r w:rsidRPr="00F72508">
        <w:rPr>
          <w:rFonts w:cstheme="minorHAnsi"/>
          <w:bCs/>
          <w:color w:val="000000" w:themeColor="text1"/>
          <w:sz w:val="22"/>
          <w:szCs w:val="22"/>
          <w:lang w:val="en-US"/>
        </w:rPr>
        <w:t>Formasaun</w:t>
      </w:r>
      <w:proofErr w:type="spellEnd"/>
      <w:r w:rsidRPr="00F72508">
        <w:rPr>
          <w:rFonts w:cstheme="minorHAnsi"/>
          <w:bCs/>
          <w:color w:val="000000" w:themeColor="text1"/>
          <w:sz w:val="22"/>
          <w:szCs w:val="22"/>
          <w:lang w:val="en-US"/>
        </w:rPr>
        <w:t xml:space="preserve"> </w:t>
      </w:r>
      <w:proofErr w:type="spellStart"/>
      <w:r w:rsidRPr="00F72508">
        <w:rPr>
          <w:rFonts w:cstheme="minorHAnsi"/>
          <w:bCs/>
          <w:color w:val="000000" w:themeColor="text1"/>
          <w:sz w:val="22"/>
          <w:szCs w:val="22"/>
          <w:lang w:val="en-US"/>
        </w:rPr>
        <w:t>Profisionál</w:t>
      </w:r>
      <w:proofErr w:type="spellEnd"/>
      <w:r w:rsidRPr="00F72508">
        <w:rPr>
          <w:rFonts w:cstheme="minorHAnsi"/>
          <w:bCs/>
          <w:color w:val="000000" w:themeColor="text1"/>
          <w:sz w:val="22"/>
          <w:szCs w:val="22"/>
          <w:lang w:val="en-US"/>
        </w:rPr>
        <w:t xml:space="preserve"> no </w:t>
      </w:r>
      <w:proofErr w:type="spellStart"/>
      <w:r w:rsidRPr="00F72508">
        <w:rPr>
          <w:rFonts w:cstheme="minorHAnsi"/>
          <w:bCs/>
          <w:color w:val="000000" w:themeColor="text1"/>
          <w:sz w:val="22"/>
          <w:szCs w:val="22"/>
          <w:lang w:val="en-US"/>
        </w:rPr>
        <w:t>Empregu</w:t>
      </w:r>
      <w:proofErr w:type="spellEnd"/>
      <w:r w:rsidRPr="00F72508">
        <w:rPr>
          <w:rFonts w:cstheme="minorHAnsi"/>
          <w:bCs/>
          <w:color w:val="000000" w:themeColor="text1"/>
          <w:sz w:val="22"/>
          <w:szCs w:val="22"/>
          <w:lang w:val="en-US"/>
        </w:rPr>
        <w:t xml:space="preserve"> </w:t>
      </w:r>
    </w:p>
    <w:p w14:paraId="0393DCD4" w14:textId="23DAC8D5" w:rsidR="004B7039" w:rsidRPr="006C2D7C" w:rsidRDefault="004B7039" w:rsidP="004B7039">
      <w:pPr>
        <w:ind w:left="1440" w:hanging="1440"/>
        <w:rPr>
          <w:rFonts w:cstheme="minorHAnsi"/>
          <w:color w:val="000000" w:themeColor="text1"/>
          <w:sz w:val="22"/>
          <w:szCs w:val="22"/>
          <w:lang w:val="en-US"/>
        </w:rPr>
      </w:pPr>
      <w:r w:rsidRPr="006C2D7C">
        <w:rPr>
          <w:rFonts w:cstheme="minorHAnsi"/>
          <w:color w:val="000000" w:themeColor="text1"/>
          <w:sz w:val="22"/>
          <w:szCs w:val="22"/>
          <w:lang w:val="en-US"/>
        </w:rPr>
        <w:t>SEPC</w:t>
      </w:r>
      <w:r w:rsidRPr="006C2D7C">
        <w:rPr>
          <w:rFonts w:cstheme="minorHAnsi"/>
          <w:color w:val="000000" w:themeColor="text1"/>
          <w:sz w:val="22"/>
          <w:szCs w:val="22"/>
          <w:lang w:val="en-US"/>
        </w:rPr>
        <w:tab/>
        <w:t xml:space="preserve">Secretary of State for Civil Protection (State Secretary for Civil Protection) </w:t>
      </w:r>
    </w:p>
    <w:p w14:paraId="5A8B592D" w14:textId="7CFF7E8B" w:rsidR="004B7039" w:rsidRPr="006C2D7C" w:rsidRDefault="004B7039" w:rsidP="004B7039">
      <w:pPr>
        <w:ind w:left="1440" w:hanging="1440"/>
        <w:rPr>
          <w:rFonts w:cstheme="minorHAnsi"/>
          <w:color w:val="000000" w:themeColor="text1"/>
          <w:sz w:val="22"/>
          <w:szCs w:val="22"/>
          <w:lang w:val="en-US"/>
        </w:rPr>
      </w:pPr>
      <w:r w:rsidRPr="006C2D7C">
        <w:rPr>
          <w:rFonts w:cstheme="minorHAnsi"/>
          <w:color w:val="000000" w:themeColor="text1"/>
          <w:sz w:val="22"/>
          <w:szCs w:val="22"/>
          <w:lang w:val="en-US"/>
        </w:rPr>
        <w:t>S</w:t>
      </w:r>
      <w:r w:rsidR="00757F1B">
        <w:rPr>
          <w:rFonts w:cstheme="minorHAnsi"/>
          <w:color w:val="000000" w:themeColor="text1"/>
          <w:sz w:val="22"/>
          <w:szCs w:val="22"/>
          <w:lang w:val="en-US"/>
        </w:rPr>
        <w:t>E</w:t>
      </w:r>
      <w:r w:rsidRPr="006C2D7C">
        <w:rPr>
          <w:rFonts w:cstheme="minorHAnsi"/>
          <w:color w:val="000000" w:themeColor="text1"/>
          <w:sz w:val="22"/>
          <w:szCs w:val="22"/>
          <w:lang w:val="en-US"/>
        </w:rPr>
        <w:t>II</w:t>
      </w:r>
      <w:r w:rsidRPr="006C2D7C">
        <w:rPr>
          <w:rFonts w:cstheme="minorHAnsi"/>
          <w:color w:val="000000" w:themeColor="text1"/>
          <w:sz w:val="22"/>
          <w:szCs w:val="22"/>
          <w:lang w:val="en-US"/>
        </w:rPr>
        <w:tab/>
        <w:t xml:space="preserve">Secretary of State for Equality and Inclusion </w:t>
      </w:r>
    </w:p>
    <w:p w14:paraId="2EE8FAFA" w14:textId="77777777" w:rsidR="004B7039" w:rsidRPr="006C2D7C" w:rsidRDefault="004B7039" w:rsidP="004B7039">
      <w:pPr>
        <w:rPr>
          <w:rFonts w:cstheme="minorHAnsi"/>
          <w:color w:val="000000" w:themeColor="text1"/>
          <w:sz w:val="22"/>
          <w:szCs w:val="22"/>
          <w:lang w:val="en-US"/>
        </w:rPr>
      </w:pPr>
      <w:r w:rsidRPr="006C2D7C">
        <w:rPr>
          <w:rFonts w:cstheme="minorHAnsi"/>
          <w:color w:val="000000" w:themeColor="text1"/>
          <w:sz w:val="22"/>
          <w:szCs w:val="22"/>
          <w:lang w:val="en-US"/>
        </w:rPr>
        <w:t>TVET</w:t>
      </w:r>
      <w:r w:rsidRPr="006C2D7C">
        <w:rPr>
          <w:rFonts w:cstheme="minorHAnsi"/>
          <w:color w:val="000000" w:themeColor="text1"/>
          <w:sz w:val="22"/>
          <w:szCs w:val="22"/>
          <w:lang w:val="en-US"/>
        </w:rPr>
        <w:tab/>
      </w:r>
      <w:r w:rsidRPr="006C2D7C">
        <w:rPr>
          <w:rFonts w:cstheme="minorHAnsi"/>
          <w:color w:val="000000" w:themeColor="text1"/>
          <w:sz w:val="22"/>
          <w:szCs w:val="22"/>
          <w:lang w:val="en-US"/>
        </w:rPr>
        <w:tab/>
        <w:t>Technical vocational education, and training</w:t>
      </w:r>
    </w:p>
    <w:p w14:paraId="651D80CC" w14:textId="7E68E8E0" w:rsidR="003C63E3" w:rsidRPr="006C2D7C" w:rsidRDefault="003C63E3" w:rsidP="004B7039">
      <w:pPr>
        <w:rPr>
          <w:rFonts w:eastAsia="Times New Roman" w:cstheme="minorHAnsi"/>
          <w:color w:val="000000" w:themeColor="text1"/>
          <w:sz w:val="22"/>
          <w:szCs w:val="22"/>
          <w:shd w:val="clear" w:color="auto" w:fill="FFFFFF"/>
          <w:lang w:val="en-US"/>
        </w:rPr>
      </w:pPr>
      <w:r w:rsidRPr="006C2D7C">
        <w:rPr>
          <w:rFonts w:eastAsia="Times New Roman" w:cstheme="minorHAnsi"/>
          <w:color w:val="000000" w:themeColor="text1"/>
          <w:sz w:val="22"/>
          <w:szCs w:val="22"/>
          <w:shd w:val="clear" w:color="auto" w:fill="FFFFFF"/>
          <w:lang w:val="en-US"/>
        </w:rPr>
        <w:t>USAID</w:t>
      </w:r>
      <w:r w:rsidR="008530B2" w:rsidRPr="00841766">
        <w:rPr>
          <w:rFonts w:cstheme="minorHAnsi"/>
          <w:sz w:val="22"/>
          <w:szCs w:val="22"/>
          <w:lang w:val="en-US"/>
        </w:rPr>
        <w:tab/>
      </w:r>
      <w:r w:rsidR="008530B2" w:rsidRPr="00841766">
        <w:rPr>
          <w:rFonts w:cstheme="minorHAnsi"/>
          <w:sz w:val="22"/>
          <w:szCs w:val="22"/>
          <w:lang w:val="en-US"/>
        </w:rPr>
        <w:tab/>
      </w:r>
      <w:r w:rsidRPr="006C2D7C">
        <w:rPr>
          <w:rFonts w:eastAsia="Times New Roman" w:cstheme="minorHAnsi"/>
          <w:color w:val="000000" w:themeColor="text1"/>
          <w:sz w:val="22"/>
          <w:szCs w:val="22"/>
          <w:shd w:val="clear" w:color="auto" w:fill="FFFFFF"/>
          <w:lang w:val="en-US"/>
        </w:rPr>
        <w:t>United States Agency for I</w:t>
      </w:r>
      <w:r w:rsidR="00101950" w:rsidRPr="006C2D7C">
        <w:rPr>
          <w:rFonts w:eastAsia="Times New Roman" w:cstheme="minorHAnsi"/>
          <w:color w:val="000000" w:themeColor="text1"/>
          <w:sz w:val="22"/>
          <w:szCs w:val="22"/>
          <w:shd w:val="clear" w:color="auto" w:fill="FFFFFF"/>
          <w:lang w:val="en-US"/>
        </w:rPr>
        <w:t>nternational Development</w:t>
      </w:r>
    </w:p>
    <w:p w14:paraId="3AF10450" w14:textId="725FED3F" w:rsidR="004B7039" w:rsidRPr="006C2D7C" w:rsidRDefault="004B7039" w:rsidP="004B7039">
      <w:pPr>
        <w:rPr>
          <w:rFonts w:eastAsia="Times New Roman" w:cstheme="minorHAnsi"/>
          <w:color w:val="000000" w:themeColor="text1"/>
          <w:sz w:val="22"/>
          <w:szCs w:val="22"/>
          <w:shd w:val="clear" w:color="auto" w:fill="FFFFFF"/>
          <w:lang w:val="en-US"/>
        </w:rPr>
      </w:pPr>
      <w:r w:rsidRPr="006C2D7C">
        <w:rPr>
          <w:rFonts w:eastAsia="Times New Roman" w:cstheme="minorHAnsi"/>
          <w:color w:val="000000" w:themeColor="text1"/>
          <w:sz w:val="22"/>
          <w:szCs w:val="22"/>
          <w:shd w:val="clear" w:color="auto" w:fill="FFFFFF"/>
          <w:lang w:val="en-US"/>
        </w:rPr>
        <w:t>UNCT</w:t>
      </w:r>
      <w:r w:rsidRPr="006C2D7C">
        <w:rPr>
          <w:rFonts w:eastAsia="Times New Roman" w:cstheme="minorHAnsi"/>
          <w:color w:val="000000" w:themeColor="text1"/>
          <w:sz w:val="22"/>
          <w:szCs w:val="22"/>
          <w:shd w:val="clear" w:color="auto" w:fill="FFFFFF"/>
          <w:lang w:val="en-US"/>
        </w:rPr>
        <w:tab/>
      </w:r>
      <w:r w:rsidRPr="006C2D7C">
        <w:rPr>
          <w:rFonts w:eastAsia="Times New Roman" w:cstheme="minorHAnsi"/>
          <w:color w:val="000000" w:themeColor="text1"/>
          <w:sz w:val="22"/>
          <w:szCs w:val="22"/>
          <w:shd w:val="clear" w:color="auto" w:fill="FFFFFF"/>
          <w:lang w:val="en-US"/>
        </w:rPr>
        <w:tab/>
        <w:t>The United Nations Country Team</w:t>
      </w:r>
    </w:p>
    <w:p w14:paraId="4B3F5371" w14:textId="77777777" w:rsidR="004B7039" w:rsidRPr="006C2D7C" w:rsidRDefault="004B7039" w:rsidP="004B7039">
      <w:pPr>
        <w:rPr>
          <w:rFonts w:eastAsia="Times New Roman" w:cstheme="minorHAnsi"/>
          <w:color w:val="000000" w:themeColor="text1"/>
          <w:sz w:val="22"/>
          <w:szCs w:val="22"/>
          <w:shd w:val="clear" w:color="auto" w:fill="FFFFFF"/>
          <w:lang w:val="en-US"/>
        </w:rPr>
      </w:pPr>
      <w:r w:rsidRPr="006C2D7C">
        <w:rPr>
          <w:rFonts w:cstheme="minorHAnsi"/>
          <w:color w:val="000000" w:themeColor="text1"/>
          <w:sz w:val="22"/>
          <w:szCs w:val="22"/>
          <w:lang w:val="en-US"/>
        </w:rPr>
        <w:t>UNDAF</w:t>
      </w:r>
      <w:r w:rsidRPr="006C2D7C">
        <w:rPr>
          <w:rFonts w:cstheme="minorHAnsi"/>
          <w:color w:val="000000" w:themeColor="text1"/>
          <w:sz w:val="22"/>
          <w:szCs w:val="22"/>
          <w:lang w:val="en-US"/>
        </w:rPr>
        <w:tab/>
      </w:r>
      <w:r w:rsidRPr="006C2D7C">
        <w:rPr>
          <w:rFonts w:cstheme="minorHAnsi"/>
          <w:color w:val="000000" w:themeColor="text1"/>
          <w:sz w:val="22"/>
          <w:szCs w:val="22"/>
          <w:lang w:val="en-US"/>
        </w:rPr>
        <w:tab/>
      </w:r>
      <w:r w:rsidRPr="006C2D7C">
        <w:rPr>
          <w:rFonts w:eastAsia="Times New Roman" w:cstheme="minorHAnsi"/>
          <w:color w:val="000000" w:themeColor="text1"/>
          <w:sz w:val="22"/>
          <w:szCs w:val="22"/>
          <w:shd w:val="clear" w:color="auto" w:fill="FFFFFF"/>
          <w:lang w:val="en-US"/>
        </w:rPr>
        <w:t>United Nations Development Assistance Framework</w:t>
      </w:r>
    </w:p>
    <w:p w14:paraId="577102D8" w14:textId="77777777" w:rsidR="004B7039" w:rsidRPr="006C2D7C" w:rsidRDefault="004B7039" w:rsidP="004B7039">
      <w:pPr>
        <w:rPr>
          <w:rFonts w:cstheme="minorHAnsi"/>
          <w:bCs/>
          <w:color w:val="000000" w:themeColor="text1"/>
          <w:sz w:val="22"/>
          <w:szCs w:val="22"/>
          <w:lang w:val="en-US"/>
        </w:rPr>
      </w:pPr>
      <w:r w:rsidRPr="006C2D7C">
        <w:rPr>
          <w:rFonts w:cstheme="minorHAnsi"/>
          <w:bCs/>
          <w:color w:val="000000" w:themeColor="text1"/>
          <w:sz w:val="22"/>
          <w:szCs w:val="22"/>
          <w:lang w:val="en-US"/>
        </w:rPr>
        <w:t>UNDP</w:t>
      </w:r>
      <w:r w:rsidRPr="006C2D7C">
        <w:rPr>
          <w:rFonts w:cstheme="minorHAnsi"/>
          <w:bCs/>
          <w:color w:val="000000" w:themeColor="text1"/>
          <w:sz w:val="22"/>
          <w:szCs w:val="22"/>
          <w:lang w:val="en-US"/>
        </w:rPr>
        <w:tab/>
      </w:r>
      <w:r w:rsidRPr="006C2D7C">
        <w:rPr>
          <w:rFonts w:cstheme="minorHAnsi"/>
          <w:bCs/>
          <w:color w:val="000000" w:themeColor="text1"/>
          <w:sz w:val="22"/>
          <w:szCs w:val="22"/>
          <w:lang w:val="en-US"/>
        </w:rPr>
        <w:tab/>
        <w:t xml:space="preserve">United Nations Development Program </w:t>
      </w:r>
    </w:p>
    <w:p w14:paraId="5793FDF0" w14:textId="19BAD216" w:rsidR="00474A37" w:rsidRPr="006C2D7C" w:rsidRDefault="00474A37" w:rsidP="004B7039">
      <w:pPr>
        <w:rPr>
          <w:rFonts w:cstheme="minorHAnsi"/>
          <w:sz w:val="22"/>
          <w:szCs w:val="22"/>
          <w:lang w:val="en-US"/>
        </w:rPr>
      </w:pPr>
      <w:r w:rsidRPr="006C2D7C">
        <w:rPr>
          <w:rFonts w:cstheme="minorHAnsi"/>
          <w:sz w:val="22"/>
          <w:szCs w:val="22"/>
          <w:lang w:val="en-US"/>
        </w:rPr>
        <w:t>UNDESA</w:t>
      </w:r>
      <w:r w:rsidR="008530B2" w:rsidRPr="00841766">
        <w:rPr>
          <w:rFonts w:cstheme="minorHAnsi"/>
          <w:sz w:val="22"/>
          <w:szCs w:val="22"/>
          <w:lang w:val="en-US"/>
        </w:rPr>
        <w:tab/>
      </w:r>
      <w:r w:rsidRPr="006C2D7C">
        <w:rPr>
          <w:rFonts w:cstheme="minorHAnsi"/>
          <w:sz w:val="22"/>
          <w:szCs w:val="22"/>
          <w:lang w:val="en-US"/>
        </w:rPr>
        <w:t>United Nations Department for Economic and Social Affairs</w:t>
      </w:r>
    </w:p>
    <w:p w14:paraId="25870EC8" w14:textId="11FAA4E1" w:rsidR="004B7039" w:rsidRPr="006C2D7C" w:rsidRDefault="004B7039" w:rsidP="004B7039">
      <w:pPr>
        <w:rPr>
          <w:rFonts w:cstheme="minorHAnsi"/>
          <w:sz w:val="22"/>
          <w:szCs w:val="22"/>
          <w:lang w:val="en-US"/>
        </w:rPr>
      </w:pPr>
      <w:r w:rsidRPr="006C2D7C">
        <w:rPr>
          <w:rFonts w:cstheme="minorHAnsi"/>
          <w:sz w:val="22"/>
          <w:szCs w:val="22"/>
          <w:lang w:val="en-US"/>
        </w:rPr>
        <w:t>UNEG</w:t>
      </w:r>
      <w:r w:rsidRPr="006C2D7C">
        <w:rPr>
          <w:rFonts w:cstheme="minorHAnsi"/>
          <w:sz w:val="22"/>
          <w:szCs w:val="22"/>
          <w:lang w:val="en-US"/>
        </w:rPr>
        <w:tab/>
      </w:r>
      <w:r w:rsidRPr="006C2D7C">
        <w:rPr>
          <w:rFonts w:cstheme="minorHAnsi"/>
          <w:sz w:val="22"/>
          <w:szCs w:val="22"/>
          <w:lang w:val="en-US"/>
        </w:rPr>
        <w:tab/>
        <w:t xml:space="preserve">United Nations Evaluation Group </w:t>
      </w:r>
    </w:p>
    <w:p w14:paraId="5252D141" w14:textId="2F1A6172" w:rsidR="00474A37" w:rsidRPr="006C2D7C" w:rsidRDefault="00474A37" w:rsidP="004B7039">
      <w:pPr>
        <w:rPr>
          <w:rFonts w:cstheme="minorHAnsi"/>
          <w:color w:val="000000" w:themeColor="text1"/>
          <w:sz w:val="22"/>
          <w:szCs w:val="22"/>
          <w:lang w:val="en-US"/>
        </w:rPr>
      </w:pPr>
      <w:r w:rsidRPr="006C2D7C">
        <w:rPr>
          <w:rFonts w:cstheme="minorHAnsi"/>
          <w:color w:val="000000" w:themeColor="text1"/>
          <w:sz w:val="22"/>
          <w:szCs w:val="22"/>
          <w:lang w:val="en-US"/>
        </w:rPr>
        <w:t>UNESCAP</w:t>
      </w:r>
      <w:r w:rsidR="008530B2" w:rsidRPr="00841766">
        <w:rPr>
          <w:rFonts w:cstheme="minorHAnsi"/>
          <w:sz w:val="22"/>
          <w:szCs w:val="22"/>
          <w:lang w:val="en-US"/>
        </w:rPr>
        <w:tab/>
      </w:r>
      <w:r w:rsidRPr="006C2D7C">
        <w:rPr>
          <w:rFonts w:cstheme="minorHAnsi"/>
          <w:color w:val="000000" w:themeColor="text1"/>
          <w:sz w:val="22"/>
          <w:szCs w:val="22"/>
          <w:lang w:val="en-US"/>
        </w:rPr>
        <w:t xml:space="preserve">United Nations Economic and Social Commission for Asia and the Pacific </w:t>
      </w:r>
    </w:p>
    <w:p w14:paraId="494EE13A" w14:textId="45AB290E" w:rsidR="004B7039" w:rsidRPr="006C2D7C" w:rsidRDefault="004B7039" w:rsidP="004B7039">
      <w:pPr>
        <w:rPr>
          <w:rFonts w:cstheme="minorHAnsi"/>
          <w:color w:val="000000" w:themeColor="text1"/>
          <w:sz w:val="22"/>
          <w:szCs w:val="22"/>
          <w:lang w:val="en-US"/>
        </w:rPr>
      </w:pPr>
      <w:r w:rsidRPr="006C2D7C">
        <w:rPr>
          <w:rFonts w:cstheme="minorHAnsi"/>
          <w:color w:val="000000" w:themeColor="text1"/>
          <w:sz w:val="22"/>
          <w:szCs w:val="22"/>
          <w:lang w:val="en-US"/>
        </w:rPr>
        <w:t>UNESCO</w:t>
      </w:r>
      <w:r w:rsidRPr="006C2D7C">
        <w:rPr>
          <w:rFonts w:cstheme="minorHAnsi"/>
          <w:color w:val="000000" w:themeColor="text1"/>
          <w:sz w:val="22"/>
          <w:szCs w:val="22"/>
          <w:lang w:val="en-US"/>
        </w:rPr>
        <w:tab/>
        <w:t>United Nations Educational, Scientific and Cultural Organization</w:t>
      </w:r>
    </w:p>
    <w:p w14:paraId="72234E5A" w14:textId="77777777" w:rsidR="004B7039" w:rsidRPr="006C2D7C" w:rsidRDefault="004B7039" w:rsidP="004B7039">
      <w:pPr>
        <w:rPr>
          <w:rFonts w:cstheme="minorHAnsi"/>
          <w:color w:val="000000" w:themeColor="text1"/>
          <w:sz w:val="22"/>
          <w:szCs w:val="22"/>
          <w:lang w:val="en-US"/>
        </w:rPr>
      </w:pPr>
      <w:r w:rsidRPr="006C2D7C">
        <w:rPr>
          <w:rFonts w:cstheme="minorHAnsi"/>
          <w:color w:val="000000" w:themeColor="text1"/>
          <w:sz w:val="22"/>
          <w:szCs w:val="22"/>
          <w:lang w:val="en-US"/>
        </w:rPr>
        <w:t>UNFPA</w:t>
      </w:r>
      <w:r w:rsidRPr="006C2D7C">
        <w:rPr>
          <w:rFonts w:cstheme="minorHAnsi"/>
          <w:color w:val="000000" w:themeColor="text1"/>
          <w:sz w:val="22"/>
          <w:szCs w:val="22"/>
          <w:lang w:val="en-US"/>
        </w:rPr>
        <w:tab/>
      </w:r>
      <w:r w:rsidRPr="006C2D7C">
        <w:rPr>
          <w:rFonts w:cstheme="minorHAnsi"/>
          <w:color w:val="000000" w:themeColor="text1"/>
          <w:sz w:val="22"/>
          <w:szCs w:val="22"/>
          <w:lang w:val="en-US"/>
        </w:rPr>
        <w:tab/>
        <w:t xml:space="preserve">United Nations Population Fund </w:t>
      </w:r>
    </w:p>
    <w:p w14:paraId="4F81BC32" w14:textId="0507AFF3" w:rsidR="004B7039" w:rsidRPr="006C2D7C" w:rsidRDefault="004B7039" w:rsidP="004B7039">
      <w:pPr>
        <w:rPr>
          <w:rFonts w:eastAsia="Times New Roman" w:cstheme="minorHAnsi"/>
          <w:color w:val="222222"/>
          <w:sz w:val="22"/>
          <w:szCs w:val="22"/>
          <w:shd w:val="clear" w:color="auto" w:fill="FFFFFF"/>
          <w:lang w:val="en-US"/>
        </w:rPr>
      </w:pPr>
      <w:r w:rsidRPr="006C2D7C">
        <w:rPr>
          <w:rFonts w:cstheme="minorHAnsi"/>
          <w:color w:val="000000" w:themeColor="text1"/>
          <w:sz w:val="22"/>
          <w:szCs w:val="22"/>
          <w:lang w:val="en-US"/>
        </w:rPr>
        <w:t>UNICEF</w:t>
      </w:r>
      <w:r w:rsidRPr="006C2D7C">
        <w:rPr>
          <w:rFonts w:cstheme="minorHAnsi"/>
          <w:color w:val="000000" w:themeColor="text1"/>
          <w:sz w:val="22"/>
          <w:szCs w:val="22"/>
          <w:lang w:val="en-US"/>
        </w:rPr>
        <w:tab/>
      </w:r>
      <w:r w:rsidRPr="006C2D7C">
        <w:rPr>
          <w:rFonts w:cstheme="minorHAnsi"/>
          <w:color w:val="000000" w:themeColor="text1"/>
          <w:sz w:val="22"/>
          <w:szCs w:val="22"/>
          <w:lang w:val="en-US"/>
        </w:rPr>
        <w:tab/>
      </w:r>
      <w:r w:rsidRPr="006C2D7C">
        <w:rPr>
          <w:rFonts w:eastAsia="Times New Roman" w:cstheme="minorHAnsi"/>
          <w:color w:val="222222"/>
          <w:sz w:val="22"/>
          <w:szCs w:val="22"/>
          <w:shd w:val="clear" w:color="auto" w:fill="FFFFFF"/>
          <w:lang w:val="en-US"/>
        </w:rPr>
        <w:t>United Nations Children's</w:t>
      </w:r>
      <w:r w:rsidR="006444BA" w:rsidRPr="006C2D7C">
        <w:rPr>
          <w:rFonts w:eastAsia="Times New Roman" w:cstheme="minorHAnsi"/>
          <w:color w:val="222222"/>
          <w:sz w:val="22"/>
          <w:szCs w:val="22"/>
          <w:shd w:val="clear" w:color="auto" w:fill="FFFFFF"/>
          <w:lang w:val="en-US"/>
        </w:rPr>
        <w:t xml:space="preserve"> Fund</w:t>
      </w:r>
    </w:p>
    <w:p w14:paraId="5785163B" w14:textId="221928E2" w:rsidR="00474A37" w:rsidRPr="006C2D7C" w:rsidRDefault="00474A37" w:rsidP="004B7039">
      <w:pPr>
        <w:rPr>
          <w:rFonts w:cstheme="minorHAnsi"/>
          <w:color w:val="000000" w:themeColor="text1"/>
          <w:sz w:val="22"/>
          <w:szCs w:val="22"/>
          <w:lang w:val="en-US"/>
        </w:rPr>
      </w:pPr>
      <w:r w:rsidRPr="006C2D7C">
        <w:rPr>
          <w:rFonts w:cstheme="minorHAnsi"/>
          <w:color w:val="000000" w:themeColor="text1"/>
          <w:sz w:val="22"/>
          <w:szCs w:val="22"/>
          <w:lang w:val="en-US"/>
        </w:rPr>
        <w:t>UNIDO</w:t>
      </w:r>
      <w:r w:rsidR="008530B2" w:rsidRPr="00841766">
        <w:rPr>
          <w:rFonts w:cstheme="minorHAnsi"/>
          <w:sz w:val="22"/>
          <w:szCs w:val="22"/>
          <w:lang w:val="en-US"/>
        </w:rPr>
        <w:tab/>
      </w:r>
      <w:r w:rsidR="008530B2" w:rsidRPr="00841766">
        <w:rPr>
          <w:rFonts w:cstheme="minorHAnsi"/>
          <w:sz w:val="22"/>
          <w:szCs w:val="22"/>
          <w:lang w:val="en-US"/>
        </w:rPr>
        <w:tab/>
      </w:r>
      <w:r w:rsidRPr="006C2D7C">
        <w:rPr>
          <w:rFonts w:cstheme="minorHAnsi"/>
          <w:color w:val="000000" w:themeColor="text1"/>
          <w:sz w:val="22"/>
          <w:szCs w:val="22"/>
          <w:lang w:val="en-US"/>
        </w:rPr>
        <w:t xml:space="preserve">United Nations Industrial Development </w:t>
      </w:r>
      <w:proofErr w:type="spellStart"/>
      <w:r w:rsidRPr="006C2D7C">
        <w:rPr>
          <w:rFonts w:cstheme="minorHAnsi"/>
          <w:color w:val="000000" w:themeColor="text1"/>
          <w:sz w:val="22"/>
          <w:szCs w:val="22"/>
          <w:lang w:val="en-US"/>
        </w:rPr>
        <w:t>Organisation</w:t>
      </w:r>
      <w:proofErr w:type="spellEnd"/>
    </w:p>
    <w:p w14:paraId="3F1D9A6A" w14:textId="56355830" w:rsidR="004B7039" w:rsidRPr="006C2D7C" w:rsidRDefault="004B7039" w:rsidP="004B7039">
      <w:pPr>
        <w:rPr>
          <w:rFonts w:cstheme="minorHAnsi"/>
          <w:color w:val="000000" w:themeColor="text1"/>
          <w:sz w:val="22"/>
          <w:szCs w:val="22"/>
          <w:lang w:val="en-US"/>
        </w:rPr>
      </w:pPr>
      <w:r w:rsidRPr="006C2D7C">
        <w:rPr>
          <w:rFonts w:cstheme="minorHAnsi"/>
          <w:color w:val="000000" w:themeColor="text1"/>
          <w:sz w:val="22"/>
          <w:szCs w:val="22"/>
          <w:lang w:val="en-US"/>
        </w:rPr>
        <w:t>UNMIT</w:t>
      </w:r>
      <w:r w:rsidRPr="006C2D7C">
        <w:rPr>
          <w:rFonts w:cstheme="minorHAnsi"/>
          <w:color w:val="000000" w:themeColor="text1"/>
          <w:sz w:val="22"/>
          <w:szCs w:val="22"/>
          <w:lang w:val="en-US"/>
        </w:rPr>
        <w:tab/>
      </w:r>
      <w:r w:rsidRPr="006C2D7C">
        <w:rPr>
          <w:rFonts w:cstheme="minorHAnsi"/>
          <w:color w:val="000000" w:themeColor="text1"/>
          <w:sz w:val="22"/>
          <w:szCs w:val="22"/>
          <w:lang w:val="en-US"/>
        </w:rPr>
        <w:tab/>
        <w:t>United Nations Integrated Mission in Timor-Leste</w:t>
      </w:r>
    </w:p>
    <w:p w14:paraId="43DF966B" w14:textId="1E9A2E1C" w:rsidR="004A1DE8" w:rsidRDefault="004A1DE8" w:rsidP="004B7039">
      <w:pPr>
        <w:rPr>
          <w:rFonts w:cstheme="minorHAnsi"/>
          <w:color w:val="000000" w:themeColor="text1"/>
          <w:sz w:val="22"/>
          <w:szCs w:val="22"/>
          <w:lang w:val="en-US"/>
        </w:rPr>
      </w:pPr>
      <w:r w:rsidRPr="006C2D7C">
        <w:rPr>
          <w:rFonts w:cstheme="minorHAnsi"/>
          <w:color w:val="000000" w:themeColor="text1"/>
          <w:sz w:val="22"/>
          <w:szCs w:val="22"/>
          <w:lang w:val="en-US"/>
        </w:rPr>
        <w:t xml:space="preserve">UPMA   </w:t>
      </w:r>
      <w:r w:rsidRPr="006C2D7C">
        <w:rPr>
          <w:rFonts w:cstheme="minorHAnsi"/>
          <w:color w:val="000000" w:themeColor="text1"/>
          <w:sz w:val="22"/>
          <w:szCs w:val="22"/>
          <w:lang w:val="en-US"/>
        </w:rPr>
        <w:tab/>
        <w:t>Unit of Planning, Monitoring and Evaluation</w:t>
      </w:r>
    </w:p>
    <w:p w14:paraId="6DB99C96" w14:textId="654C86E3"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UNSDCF</w:t>
      </w:r>
      <w:r w:rsidRPr="00841766">
        <w:rPr>
          <w:rFonts w:cstheme="minorHAnsi"/>
          <w:color w:val="000000" w:themeColor="text1"/>
          <w:sz w:val="22"/>
          <w:szCs w:val="22"/>
          <w:lang w:val="en-US"/>
        </w:rPr>
        <w:tab/>
      </w:r>
      <w:r w:rsidRPr="00841766">
        <w:rPr>
          <w:rFonts w:eastAsia="Times New Roman" w:cstheme="minorHAnsi"/>
          <w:bCs/>
          <w:color w:val="000000" w:themeColor="text1"/>
          <w:sz w:val="22"/>
          <w:szCs w:val="22"/>
          <w:shd w:val="clear" w:color="auto" w:fill="FFFFFF"/>
          <w:lang w:val="en-US"/>
        </w:rPr>
        <w:t>United Nations Sustainable Development Cooperation Framework</w:t>
      </w:r>
    </w:p>
    <w:p w14:paraId="04B91CA8" w14:textId="77777777" w:rsidR="004B7039" w:rsidRPr="00841766" w:rsidRDefault="004B7039" w:rsidP="004B7039">
      <w:pPr>
        <w:rPr>
          <w:rFonts w:eastAsia="Times New Roman" w:cstheme="minorHAnsi"/>
          <w:color w:val="000000" w:themeColor="text1"/>
          <w:sz w:val="22"/>
          <w:szCs w:val="22"/>
          <w:shd w:val="clear" w:color="auto" w:fill="FFFFFF"/>
          <w:lang w:val="en-US"/>
        </w:rPr>
      </w:pPr>
      <w:r w:rsidRPr="00841766">
        <w:rPr>
          <w:rFonts w:eastAsia="Times New Roman" w:cstheme="minorHAnsi"/>
          <w:color w:val="000000" w:themeColor="text1"/>
          <w:sz w:val="22"/>
          <w:szCs w:val="22"/>
          <w:lang w:val="en-US"/>
        </w:rPr>
        <w:t>UPR</w:t>
      </w:r>
      <w:r w:rsidRPr="00841766">
        <w:rPr>
          <w:rFonts w:eastAsia="Times New Roman" w:cstheme="minorHAnsi"/>
          <w:color w:val="000000" w:themeColor="text1"/>
          <w:sz w:val="22"/>
          <w:szCs w:val="22"/>
          <w:lang w:val="en-US"/>
        </w:rPr>
        <w:tab/>
      </w:r>
      <w:r w:rsidRPr="00841766">
        <w:rPr>
          <w:rFonts w:eastAsia="Times New Roman" w:cstheme="minorHAnsi"/>
          <w:color w:val="000000" w:themeColor="text1"/>
          <w:sz w:val="22"/>
          <w:szCs w:val="22"/>
          <w:lang w:val="en-US"/>
        </w:rPr>
        <w:tab/>
      </w:r>
      <w:r w:rsidRPr="00841766">
        <w:rPr>
          <w:rFonts w:eastAsia="Times New Roman" w:cstheme="minorHAnsi"/>
          <w:color w:val="000000" w:themeColor="text1"/>
          <w:sz w:val="22"/>
          <w:szCs w:val="22"/>
          <w:shd w:val="clear" w:color="auto" w:fill="FFFFFF"/>
          <w:lang w:val="en-US"/>
        </w:rPr>
        <w:t>Universal Periodic Review</w:t>
      </w:r>
    </w:p>
    <w:p w14:paraId="4C8D1DBD" w14:textId="77777777"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VNR</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t xml:space="preserve">Voluntary National Review </w:t>
      </w:r>
    </w:p>
    <w:p w14:paraId="5CBACB27" w14:textId="77777777"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WB</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t xml:space="preserve">The World Bank </w:t>
      </w:r>
    </w:p>
    <w:p w14:paraId="05107BCD" w14:textId="1EB83735"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WFP</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t>World Food Program</w:t>
      </w:r>
      <w:r w:rsidR="00A01A60">
        <w:rPr>
          <w:rFonts w:cstheme="minorHAnsi"/>
          <w:color w:val="000000" w:themeColor="text1"/>
          <w:sz w:val="22"/>
          <w:szCs w:val="22"/>
          <w:lang w:val="en-US"/>
        </w:rPr>
        <w:t>me</w:t>
      </w:r>
      <w:r w:rsidRPr="00841766">
        <w:rPr>
          <w:rFonts w:cstheme="minorHAnsi"/>
          <w:color w:val="000000" w:themeColor="text1"/>
          <w:sz w:val="22"/>
          <w:szCs w:val="22"/>
          <w:lang w:val="en-US"/>
        </w:rPr>
        <w:t xml:space="preserve"> </w:t>
      </w:r>
    </w:p>
    <w:p w14:paraId="646A18C6" w14:textId="77777777"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WHO</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t xml:space="preserve">World Health Organization </w:t>
      </w:r>
    </w:p>
    <w:p w14:paraId="554551B3" w14:textId="77777777" w:rsidR="004B7039" w:rsidRPr="00841766" w:rsidRDefault="004B7039" w:rsidP="004B7039">
      <w:pPr>
        <w:rPr>
          <w:rFonts w:cstheme="minorHAnsi"/>
          <w:color w:val="000000" w:themeColor="text1"/>
          <w:sz w:val="22"/>
          <w:szCs w:val="22"/>
          <w:lang w:val="en-US"/>
        </w:rPr>
      </w:pPr>
      <w:r w:rsidRPr="00841766">
        <w:rPr>
          <w:rFonts w:cstheme="minorHAnsi"/>
          <w:color w:val="000000" w:themeColor="text1"/>
          <w:sz w:val="22"/>
          <w:szCs w:val="22"/>
          <w:lang w:val="en-US"/>
        </w:rPr>
        <w:t>WTO</w:t>
      </w:r>
      <w:r w:rsidRPr="00841766">
        <w:rPr>
          <w:rFonts w:cstheme="minorHAnsi"/>
          <w:color w:val="000000" w:themeColor="text1"/>
          <w:sz w:val="22"/>
          <w:szCs w:val="22"/>
          <w:lang w:val="en-US"/>
        </w:rPr>
        <w:tab/>
      </w:r>
      <w:r w:rsidRPr="00841766">
        <w:rPr>
          <w:rFonts w:cstheme="minorHAnsi"/>
          <w:color w:val="000000" w:themeColor="text1"/>
          <w:sz w:val="22"/>
          <w:szCs w:val="22"/>
          <w:lang w:val="en-US"/>
        </w:rPr>
        <w:tab/>
        <w:t>World Trade Organization</w:t>
      </w:r>
    </w:p>
    <w:p w14:paraId="6BF18477" w14:textId="77777777" w:rsidR="004B7039" w:rsidRPr="00841766" w:rsidRDefault="004B7039">
      <w:pPr>
        <w:rPr>
          <w:rFonts w:cstheme="minorHAnsi"/>
          <w:b/>
          <w:sz w:val="28"/>
          <w:lang w:val="en-US"/>
        </w:rPr>
      </w:pPr>
      <w:r w:rsidRPr="00841766">
        <w:rPr>
          <w:rFonts w:cstheme="minorHAnsi"/>
          <w:b/>
          <w:sz w:val="28"/>
          <w:lang w:val="en-US"/>
        </w:rPr>
        <w:br w:type="page"/>
      </w:r>
    </w:p>
    <w:p w14:paraId="3C0B5806" w14:textId="77777777" w:rsidR="00CD6FDF" w:rsidRPr="00841766" w:rsidRDefault="00CD6FDF" w:rsidP="00CD6FDF">
      <w:pPr>
        <w:pStyle w:val="Heading1"/>
        <w:rPr>
          <w:lang w:val="en-US"/>
        </w:rPr>
      </w:pPr>
      <w:bookmarkStart w:id="2" w:name="_Toc40265788"/>
      <w:r w:rsidRPr="00841766">
        <w:rPr>
          <w:lang w:val="en-US"/>
        </w:rPr>
        <w:lastRenderedPageBreak/>
        <w:t>Executive Summary</w:t>
      </w:r>
      <w:bookmarkEnd w:id="2"/>
    </w:p>
    <w:p w14:paraId="629404EA" w14:textId="77777777" w:rsidR="002A5201" w:rsidRDefault="002A5201" w:rsidP="002A5201">
      <w:pPr>
        <w:jc w:val="both"/>
      </w:pPr>
    </w:p>
    <w:p w14:paraId="0AB19BA1" w14:textId="77777777" w:rsidR="00757F1B" w:rsidRPr="00A01A60" w:rsidRDefault="00757F1B" w:rsidP="00757F1B">
      <w:pPr>
        <w:jc w:val="both"/>
        <w:rPr>
          <w:sz w:val="22"/>
          <w:szCs w:val="22"/>
          <w:lang w:val="en-US"/>
        </w:rPr>
      </w:pPr>
      <w:r w:rsidRPr="00A01A60">
        <w:rPr>
          <w:sz w:val="22"/>
          <w:szCs w:val="22"/>
          <w:lang w:val="en-US"/>
        </w:rPr>
        <w:t xml:space="preserve">Twenty years since the Popular Consultation that led to the country’s independence in 2002, Timor-Leste has made significant progress.  With a continued show of resilience and resolve, Timor-Leste has demonstrated strong commitments to reconciliation and reconstruction, as well as to human rights and democracy.  </w:t>
      </w:r>
    </w:p>
    <w:p w14:paraId="5AAC3804" w14:textId="77777777" w:rsidR="00757F1B" w:rsidRPr="00A01A60" w:rsidRDefault="00757F1B" w:rsidP="00757F1B">
      <w:pPr>
        <w:jc w:val="both"/>
        <w:rPr>
          <w:rFonts w:cs="Arial"/>
          <w:color w:val="000000" w:themeColor="text1"/>
          <w:sz w:val="22"/>
          <w:szCs w:val="22"/>
          <w:lang w:val="en-US"/>
        </w:rPr>
      </w:pPr>
    </w:p>
    <w:p w14:paraId="1BEDEB10" w14:textId="0FCB518A" w:rsidR="00757F1B" w:rsidRPr="00A01A60" w:rsidRDefault="00757F1B" w:rsidP="00757F1B">
      <w:pPr>
        <w:jc w:val="both"/>
        <w:rPr>
          <w:rFonts w:cs="Arial"/>
          <w:color w:val="000000" w:themeColor="text1"/>
          <w:sz w:val="22"/>
          <w:szCs w:val="22"/>
          <w:lang w:val="en-US"/>
        </w:rPr>
      </w:pPr>
      <w:r w:rsidRPr="00A01A60">
        <w:rPr>
          <w:rFonts w:cs="Arial"/>
          <w:color w:val="000000" w:themeColor="text1"/>
          <w:sz w:val="22"/>
          <w:szCs w:val="22"/>
          <w:lang w:val="en-US"/>
        </w:rPr>
        <w:t xml:space="preserve">As the country’s primary vehicle for achieving the </w:t>
      </w:r>
      <w:r w:rsidRPr="00A01A60">
        <w:rPr>
          <w:sz w:val="22"/>
          <w:szCs w:val="22"/>
          <w:lang w:val="en-US"/>
        </w:rPr>
        <w:t>Sustainable Development Goals (</w:t>
      </w:r>
      <w:r w:rsidRPr="00A01A60">
        <w:rPr>
          <w:rFonts w:cs="Arial"/>
          <w:color w:val="000000" w:themeColor="text1"/>
          <w:sz w:val="22"/>
          <w:szCs w:val="22"/>
          <w:lang w:val="en-US"/>
        </w:rPr>
        <w:t xml:space="preserve">SDGs), the Strategic Development Plan (SDP) (2011-2030) outlines Timor-Leste’s ambition to transition from a Least Developed Country (LDC) to an upper middle-income country by 2030.  </w:t>
      </w:r>
      <w:r w:rsidRPr="00A01A60">
        <w:rPr>
          <w:sz w:val="22"/>
          <w:szCs w:val="22"/>
          <w:lang w:val="en-US"/>
        </w:rPr>
        <w:t xml:space="preserve">Despite the important gains made over the past two decades, however, </w:t>
      </w:r>
      <w:r w:rsidRPr="00A01A60">
        <w:rPr>
          <w:b/>
          <w:bCs/>
          <w:sz w:val="22"/>
          <w:szCs w:val="22"/>
          <w:lang w:val="en-US"/>
        </w:rPr>
        <w:t>Timor-Leste’s progress towards the SDGs require</w:t>
      </w:r>
      <w:r w:rsidR="00984D05">
        <w:rPr>
          <w:b/>
          <w:bCs/>
          <w:sz w:val="22"/>
          <w:szCs w:val="22"/>
          <w:lang w:val="en-US"/>
        </w:rPr>
        <w:t>s</w:t>
      </w:r>
      <w:r w:rsidRPr="00A01A60">
        <w:rPr>
          <w:b/>
          <w:bCs/>
          <w:sz w:val="22"/>
          <w:szCs w:val="22"/>
          <w:lang w:val="en-US"/>
        </w:rPr>
        <w:t xml:space="preserve"> consolidation and rapid acceleration</w:t>
      </w:r>
      <w:r w:rsidRPr="00A01A60">
        <w:rPr>
          <w:sz w:val="22"/>
          <w:szCs w:val="22"/>
          <w:lang w:val="en-US"/>
        </w:rPr>
        <w:t xml:space="preserve">.  </w:t>
      </w:r>
      <w:r w:rsidRPr="00A01A60">
        <w:rPr>
          <w:rFonts w:cs="Arial"/>
          <w:color w:val="000000" w:themeColor="text1"/>
          <w:sz w:val="22"/>
          <w:szCs w:val="22"/>
          <w:lang w:val="en-US"/>
        </w:rPr>
        <w:t xml:space="preserve">Poverty levels remain high in all their dimensions, and inequality in accessing quality services and opportunities continues to be a challenge, with rural communities, women, early adolescent girls and boys, children under 5, and people with disabilities being the most vulnerable to exclusion and marginalization. </w:t>
      </w:r>
    </w:p>
    <w:p w14:paraId="115F9716" w14:textId="77777777" w:rsidR="00757F1B" w:rsidRPr="00A01A60" w:rsidRDefault="00757F1B" w:rsidP="00757F1B">
      <w:pPr>
        <w:jc w:val="both"/>
        <w:rPr>
          <w:rFonts w:cs="Arial"/>
          <w:color w:val="000000" w:themeColor="text1"/>
          <w:sz w:val="22"/>
          <w:szCs w:val="22"/>
          <w:lang w:val="en-US"/>
        </w:rPr>
      </w:pPr>
    </w:p>
    <w:p w14:paraId="1B33EB67" w14:textId="38778346" w:rsidR="00757F1B" w:rsidRPr="00A01A60" w:rsidRDefault="00984D05" w:rsidP="00757F1B">
      <w:pPr>
        <w:jc w:val="both"/>
        <w:rPr>
          <w:sz w:val="22"/>
          <w:szCs w:val="22"/>
          <w:lang w:val="en-US"/>
        </w:rPr>
      </w:pPr>
      <w:r>
        <w:rPr>
          <w:rFonts w:cs="Arial"/>
          <w:color w:val="000000" w:themeColor="text1"/>
          <w:sz w:val="22"/>
          <w:szCs w:val="22"/>
          <w:lang w:val="en-US"/>
        </w:rPr>
        <w:t>The U</w:t>
      </w:r>
      <w:r w:rsidR="008C09B0">
        <w:rPr>
          <w:rFonts w:cs="Arial"/>
          <w:color w:val="000000" w:themeColor="text1"/>
          <w:sz w:val="22"/>
          <w:szCs w:val="22"/>
          <w:lang w:val="en-US"/>
        </w:rPr>
        <w:t xml:space="preserve">N believes </w:t>
      </w:r>
      <w:r w:rsidR="00757F1B" w:rsidRPr="00A01A60">
        <w:rPr>
          <w:rFonts w:cs="Arial"/>
          <w:color w:val="000000" w:themeColor="text1"/>
          <w:sz w:val="22"/>
          <w:szCs w:val="22"/>
          <w:lang w:val="en-US"/>
        </w:rPr>
        <w:t xml:space="preserve">that </w:t>
      </w:r>
      <w:r w:rsidR="00757F1B" w:rsidRPr="00A01A60">
        <w:rPr>
          <w:rFonts w:cs="Arial"/>
          <w:b/>
          <w:bCs/>
          <w:color w:val="000000" w:themeColor="text1"/>
          <w:sz w:val="22"/>
          <w:szCs w:val="22"/>
          <w:lang w:val="en-US"/>
        </w:rPr>
        <w:t>the actions taken in the next five years will shape the country</w:t>
      </w:r>
      <w:r w:rsidR="008C09B0">
        <w:rPr>
          <w:rFonts w:cs="Arial"/>
          <w:b/>
          <w:bCs/>
          <w:color w:val="000000" w:themeColor="text1"/>
          <w:sz w:val="22"/>
          <w:szCs w:val="22"/>
          <w:lang w:val="en-US"/>
        </w:rPr>
        <w:t>’s development achievement</w:t>
      </w:r>
      <w:r w:rsidR="00757F1B" w:rsidRPr="00A01A60">
        <w:rPr>
          <w:rFonts w:cs="Arial"/>
          <w:b/>
          <w:bCs/>
          <w:color w:val="000000" w:themeColor="text1"/>
          <w:sz w:val="22"/>
          <w:szCs w:val="22"/>
          <w:lang w:val="en-US"/>
        </w:rPr>
        <w:t xml:space="preserve"> in 2030</w:t>
      </w:r>
      <w:r w:rsidR="00FE6E93" w:rsidRPr="00FE6E93">
        <w:rPr>
          <w:rFonts w:cs="Arial"/>
          <w:color w:val="000000" w:themeColor="text1"/>
          <w:sz w:val="22"/>
          <w:szCs w:val="22"/>
          <w:lang w:val="en-US"/>
        </w:rPr>
        <w:t>.</w:t>
      </w:r>
      <w:r w:rsidR="00757F1B" w:rsidRPr="00FE6E93">
        <w:rPr>
          <w:rFonts w:cs="Arial"/>
          <w:color w:val="000000" w:themeColor="text1"/>
          <w:sz w:val="22"/>
          <w:szCs w:val="22"/>
          <w:lang w:val="en-US"/>
        </w:rPr>
        <w:t xml:space="preserve"> </w:t>
      </w:r>
      <w:r w:rsidR="00FE6E93" w:rsidRPr="00FE6E93">
        <w:rPr>
          <w:rFonts w:cs="Arial"/>
          <w:color w:val="000000" w:themeColor="text1"/>
          <w:sz w:val="22"/>
          <w:szCs w:val="22"/>
          <w:lang w:val="en-US"/>
        </w:rPr>
        <w:t xml:space="preserve"> </w:t>
      </w:r>
      <w:r w:rsidR="00FE6E93">
        <w:rPr>
          <w:rFonts w:cs="Arial"/>
          <w:color w:val="000000" w:themeColor="text1"/>
          <w:sz w:val="22"/>
          <w:szCs w:val="22"/>
          <w:lang w:val="en-US"/>
        </w:rPr>
        <w:t>I</w:t>
      </w:r>
      <w:r w:rsidR="00757F1B" w:rsidRPr="00A01A60">
        <w:rPr>
          <w:rFonts w:cs="Arial"/>
          <w:color w:val="000000" w:themeColor="text1"/>
          <w:sz w:val="22"/>
          <w:szCs w:val="22"/>
          <w:lang w:val="en-US"/>
        </w:rPr>
        <w:t xml:space="preserve">n response to the demands from the stakeholders for </w:t>
      </w:r>
      <w:r w:rsidR="00757F1B" w:rsidRPr="00A01A60">
        <w:rPr>
          <w:rFonts w:cs="Arial"/>
          <w:b/>
          <w:bCs/>
          <w:color w:val="000000" w:themeColor="text1"/>
          <w:sz w:val="22"/>
          <w:szCs w:val="22"/>
          <w:lang w:val="en-US"/>
        </w:rPr>
        <w:t>more strategic, transformative and integrated UN support</w:t>
      </w:r>
      <w:r w:rsidR="00757F1B" w:rsidRPr="00A01A60">
        <w:rPr>
          <w:rFonts w:cs="Arial"/>
          <w:color w:val="000000" w:themeColor="text1"/>
          <w:sz w:val="22"/>
          <w:szCs w:val="22"/>
          <w:lang w:val="en-US"/>
        </w:rPr>
        <w:t>, the UN Timor-Leste has developed t</w:t>
      </w:r>
      <w:r w:rsidR="00757F1B" w:rsidRPr="00A01A60">
        <w:rPr>
          <w:sz w:val="22"/>
          <w:szCs w:val="22"/>
          <w:lang w:val="en-US"/>
        </w:rPr>
        <w:t>he UN Sustainable Development Cooperation Framework (2021-2025) (UNSDCF)</w:t>
      </w:r>
      <w:r w:rsidR="00FE6E93">
        <w:rPr>
          <w:sz w:val="22"/>
          <w:szCs w:val="22"/>
          <w:lang w:val="en-US"/>
        </w:rPr>
        <w:t xml:space="preserve"> through a consultative and a participatory process involving the Government, the civil society and the development partners</w:t>
      </w:r>
      <w:r w:rsidR="00757F1B" w:rsidRPr="00A01A60">
        <w:rPr>
          <w:sz w:val="22"/>
          <w:szCs w:val="22"/>
          <w:lang w:val="en-US"/>
        </w:rPr>
        <w:t>.</w:t>
      </w:r>
    </w:p>
    <w:p w14:paraId="31DAA20A" w14:textId="77777777" w:rsidR="00757F1B" w:rsidRPr="00A01A60" w:rsidRDefault="00757F1B" w:rsidP="00757F1B">
      <w:pPr>
        <w:jc w:val="both"/>
        <w:rPr>
          <w:sz w:val="22"/>
          <w:szCs w:val="22"/>
          <w:lang w:val="en-US"/>
        </w:rPr>
      </w:pPr>
    </w:p>
    <w:p w14:paraId="2B872862" w14:textId="742ABB0E" w:rsidR="00757F1B" w:rsidRPr="00A01A60" w:rsidRDefault="00757F1B" w:rsidP="00757F1B">
      <w:pPr>
        <w:jc w:val="both"/>
        <w:rPr>
          <w:sz w:val="22"/>
          <w:szCs w:val="22"/>
          <w:lang w:val="en-US"/>
        </w:rPr>
      </w:pPr>
      <w:r w:rsidRPr="00A01A60">
        <w:rPr>
          <w:sz w:val="22"/>
          <w:szCs w:val="22"/>
          <w:lang w:val="en-US"/>
        </w:rPr>
        <w:t xml:space="preserve">The UNSDCF is a </w:t>
      </w:r>
      <w:r w:rsidRPr="00A01A60">
        <w:rPr>
          <w:b/>
          <w:bCs/>
          <w:sz w:val="22"/>
          <w:szCs w:val="22"/>
          <w:lang w:val="en-US"/>
        </w:rPr>
        <w:t>centerpiece of the UN development system reform in Timor-Leste</w:t>
      </w:r>
      <w:r w:rsidRPr="00A01A60">
        <w:rPr>
          <w:sz w:val="22"/>
          <w:szCs w:val="22"/>
          <w:lang w:val="en-US"/>
        </w:rPr>
        <w:t xml:space="preserve">.  It is the UN Timor-Leste’s </w:t>
      </w:r>
      <w:r w:rsidRPr="00A01A60">
        <w:rPr>
          <w:b/>
          <w:bCs/>
          <w:sz w:val="22"/>
          <w:szCs w:val="22"/>
          <w:lang w:val="en-US"/>
        </w:rPr>
        <w:t>collective value proposition</w:t>
      </w:r>
      <w:r w:rsidRPr="00A01A60">
        <w:rPr>
          <w:sz w:val="22"/>
          <w:szCs w:val="22"/>
          <w:lang w:val="en-US"/>
        </w:rPr>
        <w:t xml:space="preserve"> to support </w:t>
      </w:r>
      <w:r w:rsidR="00FE6E93">
        <w:rPr>
          <w:sz w:val="22"/>
          <w:szCs w:val="22"/>
          <w:lang w:val="en-US"/>
        </w:rPr>
        <w:t xml:space="preserve">and </w:t>
      </w:r>
      <w:r w:rsidRPr="00A01A60">
        <w:rPr>
          <w:sz w:val="22"/>
          <w:szCs w:val="22"/>
          <w:lang w:val="en-US"/>
        </w:rPr>
        <w:t xml:space="preserve">accelerate Timor-Leste’s progress towards achieving the SDGs and </w:t>
      </w:r>
      <w:r w:rsidR="00FE6E93">
        <w:rPr>
          <w:sz w:val="22"/>
          <w:szCs w:val="22"/>
          <w:lang w:val="en-US"/>
        </w:rPr>
        <w:t xml:space="preserve">its </w:t>
      </w:r>
      <w:r w:rsidRPr="00A01A60">
        <w:rPr>
          <w:sz w:val="22"/>
          <w:szCs w:val="22"/>
          <w:lang w:val="en-US"/>
        </w:rPr>
        <w:t xml:space="preserve">national development priorities. </w:t>
      </w:r>
    </w:p>
    <w:p w14:paraId="7B250DC4" w14:textId="77777777" w:rsidR="00757F1B" w:rsidRPr="00A01A60" w:rsidRDefault="00757F1B" w:rsidP="00757F1B">
      <w:pPr>
        <w:autoSpaceDE w:val="0"/>
        <w:autoSpaceDN w:val="0"/>
        <w:adjustRightInd w:val="0"/>
        <w:jc w:val="both"/>
        <w:rPr>
          <w:sz w:val="22"/>
          <w:szCs w:val="22"/>
          <w:lang w:val="en-US"/>
        </w:rPr>
      </w:pPr>
    </w:p>
    <w:p w14:paraId="578E140F" w14:textId="77777777" w:rsidR="00757F1B" w:rsidRPr="00A01A60" w:rsidRDefault="00757F1B" w:rsidP="00757F1B">
      <w:pPr>
        <w:autoSpaceDE w:val="0"/>
        <w:autoSpaceDN w:val="0"/>
        <w:adjustRightInd w:val="0"/>
        <w:jc w:val="both"/>
        <w:rPr>
          <w:rFonts w:cs="Times New Roman"/>
          <w:sz w:val="22"/>
          <w:szCs w:val="22"/>
          <w:lang w:val="en-US"/>
        </w:rPr>
      </w:pPr>
      <w:r w:rsidRPr="00A01A60">
        <w:rPr>
          <w:sz w:val="22"/>
          <w:szCs w:val="22"/>
          <w:lang w:val="en-US"/>
        </w:rPr>
        <w:t xml:space="preserve">In the coming five years, the </w:t>
      </w:r>
      <w:r w:rsidRPr="00A01A60">
        <w:rPr>
          <w:rFonts w:ascii="Calibri" w:hAnsi="Calibri" w:cs="Calibri"/>
          <w:sz w:val="22"/>
          <w:szCs w:val="22"/>
          <w:lang w:val="en-US"/>
        </w:rPr>
        <w:t xml:space="preserve">UN Timor-Leste will focus on: </w:t>
      </w:r>
      <w:r w:rsidRPr="00A01A60">
        <w:rPr>
          <w:rFonts w:ascii="Calibri" w:hAnsi="Calibri" w:cs="Calibri"/>
          <w:b/>
          <w:bCs/>
          <w:sz w:val="22"/>
          <w:szCs w:val="22"/>
          <w:lang w:val="en-US"/>
        </w:rPr>
        <w:t>building human capital</w:t>
      </w:r>
      <w:r w:rsidRPr="00A01A60">
        <w:rPr>
          <w:rFonts w:ascii="Calibri" w:hAnsi="Calibri" w:cs="Calibri"/>
          <w:sz w:val="22"/>
          <w:szCs w:val="22"/>
          <w:lang w:val="en-US"/>
        </w:rPr>
        <w:t xml:space="preserve"> starting from very early years and taking a life-cycle approach, particularly of those most at-risk of behind left behind, through strategic investments in systems and institutions; frontloading catalytic support that contributes towards </w:t>
      </w:r>
      <w:r w:rsidRPr="00A01A60">
        <w:rPr>
          <w:rFonts w:ascii="Calibri" w:hAnsi="Calibri" w:cs="Calibri"/>
          <w:b/>
          <w:bCs/>
          <w:sz w:val="22"/>
          <w:szCs w:val="22"/>
          <w:lang w:val="en-US"/>
        </w:rPr>
        <w:t>economic diversification and economic transformation</w:t>
      </w:r>
      <w:r w:rsidRPr="00A01A60">
        <w:rPr>
          <w:rFonts w:ascii="Calibri" w:hAnsi="Calibri" w:cs="Calibri"/>
          <w:sz w:val="22"/>
          <w:szCs w:val="22"/>
          <w:lang w:val="en-US"/>
        </w:rPr>
        <w:t xml:space="preserve">; addressing </w:t>
      </w:r>
      <w:r w:rsidRPr="00A01A60">
        <w:rPr>
          <w:rFonts w:ascii="Calibri" w:hAnsi="Calibri" w:cs="Calibri"/>
          <w:b/>
          <w:bCs/>
          <w:sz w:val="22"/>
          <w:szCs w:val="22"/>
          <w:lang w:val="en-US"/>
        </w:rPr>
        <w:t>root causes</w:t>
      </w:r>
      <w:r w:rsidRPr="00A01A60">
        <w:rPr>
          <w:rFonts w:ascii="Calibri" w:hAnsi="Calibri" w:cs="Calibri"/>
          <w:sz w:val="22"/>
          <w:szCs w:val="22"/>
          <w:lang w:val="en-US"/>
        </w:rPr>
        <w:t xml:space="preserve"> of climate, conflict and other risks; and establishing pre-conditions for a </w:t>
      </w:r>
      <w:r w:rsidRPr="00A01A60">
        <w:rPr>
          <w:rFonts w:ascii="Calibri" w:hAnsi="Calibri" w:cs="Calibri"/>
          <w:b/>
          <w:bCs/>
          <w:sz w:val="22"/>
          <w:szCs w:val="22"/>
          <w:lang w:val="en-US"/>
        </w:rPr>
        <w:t>peaceful, inclusive and resilient society</w:t>
      </w:r>
      <w:r w:rsidRPr="00A01A60">
        <w:rPr>
          <w:rFonts w:ascii="Calibri" w:hAnsi="Calibri" w:cs="Calibri"/>
          <w:sz w:val="22"/>
          <w:szCs w:val="22"/>
          <w:lang w:val="en-US"/>
        </w:rPr>
        <w:t xml:space="preserve">.  Specifically, the UN will support national efforts across six strategic priority areas, </w:t>
      </w:r>
      <w:r w:rsidRPr="00A01A60">
        <w:rPr>
          <w:rFonts w:cs="Times New Roman"/>
          <w:sz w:val="22"/>
          <w:szCs w:val="22"/>
          <w:lang w:val="en-US"/>
        </w:rPr>
        <w:t>to ensure that by 2025:</w:t>
      </w:r>
    </w:p>
    <w:p w14:paraId="00A46708" w14:textId="77777777" w:rsidR="00757F1B" w:rsidRPr="00A01A60" w:rsidRDefault="00757F1B" w:rsidP="00757F1B">
      <w:pPr>
        <w:autoSpaceDE w:val="0"/>
        <w:autoSpaceDN w:val="0"/>
        <w:adjustRightInd w:val="0"/>
        <w:jc w:val="both"/>
        <w:rPr>
          <w:rFonts w:cs="Times New Roman"/>
          <w:sz w:val="22"/>
          <w:szCs w:val="22"/>
          <w:lang w:val="en-US"/>
        </w:rPr>
      </w:pPr>
    </w:p>
    <w:p w14:paraId="3E1160BE" w14:textId="77777777" w:rsidR="00757F1B" w:rsidRPr="00A01A60" w:rsidRDefault="00757F1B" w:rsidP="00757F1B">
      <w:pPr>
        <w:pStyle w:val="ListParagraph"/>
        <w:numPr>
          <w:ilvl w:val="0"/>
          <w:numId w:val="31"/>
        </w:numPr>
        <w:jc w:val="both"/>
        <w:rPr>
          <w:sz w:val="22"/>
          <w:szCs w:val="22"/>
          <w:lang w:val="en-US"/>
        </w:rPr>
      </w:pPr>
      <w:r w:rsidRPr="00A01A60">
        <w:rPr>
          <w:rFonts w:cs="Calibri"/>
          <w:b/>
          <w:bCs/>
          <w:color w:val="000000"/>
          <w:sz w:val="22"/>
          <w:szCs w:val="22"/>
          <w:lang w:val="en-US"/>
        </w:rPr>
        <w:t>Nutrition, food security and agricultural productivity</w:t>
      </w:r>
      <w:r w:rsidRPr="00A01A60">
        <w:rPr>
          <w:rFonts w:cs="Calibri"/>
          <w:color w:val="000000"/>
          <w:sz w:val="22"/>
          <w:szCs w:val="22"/>
          <w:lang w:val="en-US"/>
        </w:rPr>
        <w:t xml:space="preserve"> have improved for all, irrespective of the individual ability, gender, age, socio-economic status and geographical location;</w:t>
      </w:r>
    </w:p>
    <w:p w14:paraId="3BB933C3" w14:textId="77777777" w:rsidR="00757F1B" w:rsidRPr="00A01A60" w:rsidRDefault="00757F1B" w:rsidP="00757F1B">
      <w:pPr>
        <w:pStyle w:val="ListParagraph"/>
        <w:numPr>
          <w:ilvl w:val="0"/>
          <w:numId w:val="31"/>
        </w:numPr>
        <w:jc w:val="both"/>
        <w:rPr>
          <w:sz w:val="22"/>
          <w:szCs w:val="22"/>
          <w:lang w:val="en-US"/>
        </w:rPr>
      </w:pPr>
      <w:r w:rsidRPr="00A01A60">
        <w:rPr>
          <w:rFonts w:cs="Calibri"/>
          <w:color w:val="000000"/>
          <w:sz w:val="22"/>
          <w:szCs w:val="22"/>
          <w:lang w:val="en-US"/>
        </w:rPr>
        <w:t>P</w:t>
      </w:r>
      <w:r w:rsidRPr="00A01A60">
        <w:rPr>
          <w:rFonts w:eastAsia="Times New Roman" w:cs="Calibri"/>
          <w:color w:val="000000"/>
          <w:sz w:val="22"/>
          <w:szCs w:val="22"/>
          <w:lang w:val="en-US" w:eastAsia="fr-FR"/>
        </w:rPr>
        <w:t xml:space="preserve">eople throughout Timor-Leste in all their diversity, especially women and youth, benefit from </w:t>
      </w:r>
      <w:r w:rsidRPr="00A01A60">
        <w:rPr>
          <w:rFonts w:eastAsia="Times New Roman" w:cs="Calibri"/>
          <w:b/>
          <w:bCs/>
          <w:color w:val="000000"/>
          <w:sz w:val="22"/>
          <w:szCs w:val="22"/>
          <w:lang w:val="en-US" w:eastAsia="fr-FR"/>
        </w:rPr>
        <w:t>sustainable economic opportunities and decent work</w:t>
      </w:r>
      <w:r w:rsidRPr="00A01A60">
        <w:rPr>
          <w:rFonts w:eastAsia="Times New Roman" w:cs="Calibri"/>
          <w:color w:val="000000"/>
          <w:sz w:val="22"/>
          <w:szCs w:val="22"/>
          <w:lang w:val="en-US" w:eastAsia="fr-FR"/>
        </w:rPr>
        <w:t xml:space="preserve">; </w:t>
      </w:r>
    </w:p>
    <w:p w14:paraId="4B03A3DE" w14:textId="77777777" w:rsidR="00757F1B" w:rsidRPr="00A01A60" w:rsidRDefault="00757F1B" w:rsidP="00757F1B">
      <w:pPr>
        <w:pStyle w:val="ListParagraph"/>
        <w:numPr>
          <w:ilvl w:val="0"/>
          <w:numId w:val="31"/>
        </w:numPr>
        <w:jc w:val="both"/>
        <w:rPr>
          <w:sz w:val="22"/>
          <w:szCs w:val="22"/>
          <w:lang w:val="en-US"/>
        </w:rPr>
      </w:pPr>
      <w:r w:rsidRPr="00A01A60">
        <w:rPr>
          <w:rFonts w:eastAsia="Times New Roman" w:cs="Calibri"/>
          <w:color w:val="000000"/>
          <w:sz w:val="22"/>
          <w:szCs w:val="22"/>
          <w:lang w:val="en-US" w:eastAsia="fr-FR"/>
        </w:rPr>
        <w:t xml:space="preserve">All people of Timor-Leste, particularly excluded and disadvantaged groups, have </w:t>
      </w:r>
      <w:r w:rsidRPr="00A01A60">
        <w:rPr>
          <w:rFonts w:eastAsia="Times New Roman" w:cs="Calibri"/>
          <w:b/>
          <w:bCs/>
          <w:color w:val="000000"/>
          <w:sz w:val="22"/>
          <w:szCs w:val="22"/>
          <w:lang w:val="en-US" w:eastAsia="fr-FR"/>
        </w:rPr>
        <w:t>increased access to quality formal and innovative learning pathways</w:t>
      </w:r>
      <w:r w:rsidRPr="00A01A60">
        <w:rPr>
          <w:rFonts w:eastAsia="Times New Roman" w:cs="Calibri"/>
          <w:color w:val="000000"/>
          <w:sz w:val="22"/>
          <w:szCs w:val="22"/>
          <w:lang w:val="en-US" w:eastAsia="fr-FR"/>
        </w:rPr>
        <w:t xml:space="preserve"> (from early childhood though lifelong learning) and acquire foundational, transferable, digital and job-specific skills;</w:t>
      </w:r>
    </w:p>
    <w:p w14:paraId="65B2684B" w14:textId="10753D24" w:rsidR="00757F1B" w:rsidRPr="00A01A60" w:rsidRDefault="00757F1B" w:rsidP="00757F1B">
      <w:pPr>
        <w:pStyle w:val="ListParagraph"/>
        <w:numPr>
          <w:ilvl w:val="0"/>
          <w:numId w:val="31"/>
        </w:numPr>
        <w:jc w:val="both"/>
        <w:rPr>
          <w:sz w:val="22"/>
          <w:szCs w:val="22"/>
          <w:lang w:val="en-US"/>
        </w:rPr>
      </w:pPr>
      <w:r w:rsidRPr="00A01A60">
        <w:rPr>
          <w:rFonts w:eastAsia="Times New Roman" w:cs="Calibri"/>
          <w:color w:val="000000"/>
          <w:sz w:val="22"/>
          <w:szCs w:val="22"/>
          <w:lang w:val="en-US" w:eastAsia="fr-FR"/>
        </w:rPr>
        <w:t xml:space="preserve">The people of Timor-Leste increasingly demand and have access to gender-responsive equitable, high quality, resilient and inclusive </w:t>
      </w:r>
      <w:r w:rsidRPr="00A01A60">
        <w:rPr>
          <w:rFonts w:eastAsia="Times New Roman" w:cs="Calibri"/>
          <w:b/>
          <w:bCs/>
          <w:color w:val="000000"/>
          <w:sz w:val="22"/>
          <w:szCs w:val="22"/>
          <w:lang w:val="en-US" w:eastAsia="fr-FR"/>
        </w:rPr>
        <w:t>Primary Health Care and strengthened social protection</w:t>
      </w:r>
      <w:r w:rsidRPr="00A01A60">
        <w:rPr>
          <w:rFonts w:eastAsia="Times New Roman" w:cs="Calibri"/>
          <w:color w:val="000000"/>
          <w:sz w:val="22"/>
          <w:szCs w:val="22"/>
          <w:lang w:val="en-US" w:eastAsia="fr-FR"/>
        </w:rPr>
        <w:t>, including in time</w:t>
      </w:r>
      <w:r w:rsidR="00C73FB3">
        <w:rPr>
          <w:rFonts w:eastAsia="Times New Roman" w:cs="Calibri"/>
          <w:color w:val="000000"/>
          <w:sz w:val="22"/>
          <w:szCs w:val="22"/>
          <w:lang w:val="en-US" w:eastAsia="fr-FR"/>
        </w:rPr>
        <w:t>s</w:t>
      </w:r>
      <w:r w:rsidRPr="00A01A60">
        <w:rPr>
          <w:rFonts w:eastAsia="Times New Roman" w:cs="Calibri"/>
          <w:color w:val="000000"/>
          <w:sz w:val="22"/>
          <w:szCs w:val="22"/>
          <w:lang w:val="en-US" w:eastAsia="fr-FR"/>
        </w:rPr>
        <w:t xml:space="preserve"> of emergencies;</w:t>
      </w:r>
    </w:p>
    <w:p w14:paraId="0857EDA0" w14:textId="77777777" w:rsidR="00757F1B" w:rsidRPr="00A01A60" w:rsidRDefault="00757F1B" w:rsidP="00757F1B">
      <w:pPr>
        <w:pStyle w:val="ListParagraph"/>
        <w:numPr>
          <w:ilvl w:val="0"/>
          <w:numId w:val="31"/>
        </w:numPr>
        <w:jc w:val="both"/>
        <w:rPr>
          <w:sz w:val="22"/>
          <w:szCs w:val="22"/>
          <w:lang w:val="en-US"/>
        </w:rPr>
      </w:pPr>
      <w:r w:rsidRPr="00A01A60">
        <w:rPr>
          <w:rFonts w:eastAsia="Times New Roman" w:cs="Calibri"/>
          <w:color w:val="000000"/>
          <w:sz w:val="22"/>
          <w:szCs w:val="22"/>
          <w:lang w:val="en-US" w:eastAsia="fr-FR"/>
        </w:rPr>
        <w:t>T</w:t>
      </w:r>
      <w:r w:rsidRPr="00A01A60">
        <w:rPr>
          <w:rFonts w:cs="Calibri"/>
          <w:color w:val="000000"/>
          <w:sz w:val="22"/>
          <w:szCs w:val="22"/>
          <w:lang w:val="en-US"/>
        </w:rPr>
        <w:t>he people of Timor-Leste, especially the most excluded are empowered to claim their rights, </w:t>
      </w:r>
      <w:r w:rsidRPr="00A01A60">
        <w:rPr>
          <w:rFonts w:cs="Calibri"/>
          <w:iCs/>
          <w:color w:val="000000"/>
          <w:sz w:val="22"/>
          <w:szCs w:val="22"/>
          <w:lang w:val="en-US"/>
        </w:rPr>
        <w:t>including freedom from violence</w:t>
      </w:r>
      <w:r w:rsidRPr="00A01A60">
        <w:rPr>
          <w:rFonts w:cs="Calibri"/>
          <w:i/>
          <w:iCs/>
          <w:color w:val="000000"/>
          <w:sz w:val="22"/>
          <w:szCs w:val="22"/>
          <w:lang w:val="en-US"/>
        </w:rPr>
        <w:t>,</w:t>
      </w:r>
      <w:r w:rsidRPr="00A01A60">
        <w:rPr>
          <w:rFonts w:cs="Calibri"/>
          <w:color w:val="000000"/>
          <w:sz w:val="22"/>
          <w:szCs w:val="22"/>
          <w:lang w:val="en-US"/>
        </w:rPr>
        <w:t xml:space="preserve"> through </w:t>
      </w:r>
      <w:r w:rsidRPr="00A01A60">
        <w:rPr>
          <w:rFonts w:cs="Calibri"/>
          <w:b/>
          <w:bCs/>
          <w:color w:val="000000"/>
          <w:sz w:val="22"/>
          <w:szCs w:val="22"/>
          <w:lang w:val="en-US"/>
        </w:rPr>
        <w:t>accessible, accountable and gender responsive governance systems, institutions and services</w:t>
      </w:r>
      <w:r w:rsidRPr="00A01A60">
        <w:rPr>
          <w:rFonts w:cs="Calibri"/>
          <w:color w:val="000000"/>
          <w:sz w:val="22"/>
          <w:szCs w:val="22"/>
          <w:lang w:val="en-US"/>
        </w:rPr>
        <w:t xml:space="preserve"> at national and subnational levels; and,</w:t>
      </w:r>
    </w:p>
    <w:p w14:paraId="3043C793" w14:textId="77777777" w:rsidR="00757F1B" w:rsidRPr="00A01A60" w:rsidRDefault="00757F1B" w:rsidP="00757F1B">
      <w:pPr>
        <w:pStyle w:val="ListParagraph"/>
        <w:numPr>
          <w:ilvl w:val="0"/>
          <w:numId w:val="31"/>
        </w:numPr>
        <w:jc w:val="both"/>
        <w:rPr>
          <w:sz w:val="22"/>
          <w:szCs w:val="22"/>
          <w:lang w:val="en-US"/>
        </w:rPr>
      </w:pPr>
      <w:r w:rsidRPr="00A01A60">
        <w:rPr>
          <w:rFonts w:cs="Calibri"/>
          <w:color w:val="000000"/>
          <w:sz w:val="22"/>
          <w:szCs w:val="22"/>
          <w:lang w:val="en-US"/>
        </w:rPr>
        <w:t xml:space="preserve">National and sub-national institutions and communities (particularly at-risk populations including women and children) in Timor-Leste are better able to </w:t>
      </w:r>
      <w:r w:rsidRPr="00A01A60">
        <w:rPr>
          <w:rFonts w:cs="Calibri"/>
          <w:b/>
          <w:bCs/>
          <w:color w:val="000000"/>
          <w:sz w:val="22"/>
          <w:szCs w:val="22"/>
          <w:lang w:val="en-US"/>
        </w:rPr>
        <w:t>manage natural resources and achieve enhanced resilience</w:t>
      </w:r>
      <w:r w:rsidRPr="00A01A60">
        <w:rPr>
          <w:rFonts w:cs="Calibri"/>
          <w:color w:val="000000"/>
          <w:sz w:val="22"/>
          <w:szCs w:val="22"/>
          <w:lang w:val="en-US"/>
        </w:rPr>
        <w:t xml:space="preserve"> to impacts of climate change, natural and human-induced hazards, and environmental degradation, inclusively and sustainably.</w:t>
      </w:r>
    </w:p>
    <w:p w14:paraId="334C31F0" w14:textId="77777777" w:rsidR="00757F1B" w:rsidRPr="00A01A60" w:rsidRDefault="00757F1B" w:rsidP="00757F1B">
      <w:pPr>
        <w:jc w:val="both"/>
        <w:rPr>
          <w:sz w:val="22"/>
          <w:szCs w:val="22"/>
          <w:lang w:val="en-US"/>
        </w:rPr>
      </w:pPr>
    </w:p>
    <w:p w14:paraId="74616B24" w14:textId="6F14F6F5" w:rsidR="00FE6E93" w:rsidRDefault="00FE6E93" w:rsidP="00757F1B">
      <w:pPr>
        <w:jc w:val="both"/>
        <w:rPr>
          <w:sz w:val="22"/>
          <w:szCs w:val="22"/>
          <w:lang w:val="en-US"/>
        </w:rPr>
      </w:pPr>
      <w:r>
        <w:rPr>
          <w:sz w:val="22"/>
          <w:szCs w:val="22"/>
          <w:lang w:val="en-US"/>
        </w:rPr>
        <w:lastRenderedPageBreak/>
        <w:t xml:space="preserve">These outcomes will only be achieved through close partnership with the Government and other key stakeholders.  The UN intends to </w:t>
      </w:r>
      <w:r w:rsidRPr="009644C5">
        <w:rPr>
          <w:b/>
          <w:bCs/>
          <w:sz w:val="22"/>
          <w:szCs w:val="22"/>
          <w:lang w:val="en-US"/>
        </w:rPr>
        <w:t>maximize all its human, financial and other resources</w:t>
      </w:r>
      <w:r>
        <w:rPr>
          <w:sz w:val="22"/>
          <w:szCs w:val="22"/>
          <w:lang w:val="en-US"/>
        </w:rPr>
        <w:t xml:space="preserve"> to help achieve the UNSDCF outcomes.</w:t>
      </w:r>
    </w:p>
    <w:p w14:paraId="26FE0B92" w14:textId="77777777" w:rsidR="00FE6E93" w:rsidRDefault="00FE6E93" w:rsidP="00757F1B">
      <w:pPr>
        <w:jc w:val="both"/>
        <w:rPr>
          <w:sz w:val="22"/>
          <w:szCs w:val="22"/>
          <w:lang w:val="en-US"/>
        </w:rPr>
      </w:pPr>
    </w:p>
    <w:p w14:paraId="0D248E5F" w14:textId="15F86753" w:rsidR="00757F1B" w:rsidRPr="00A01A60" w:rsidRDefault="00FE6E93" w:rsidP="00757F1B">
      <w:pPr>
        <w:jc w:val="both"/>
        <w:rPr>
          <w:sz w:val="22"/>
          <w:szCs w:val="22"/>
          <w:lang w:val="en-US"/>
        </w:rPr>
      </w:pPr>
      <w:r>
        <w:rPr>
          <w:sz w:val="22"/>
          <w:szCs w:val="22"/>
          <w:lang w:val="en-US"/>
        </w:rPr>
        <w:t>T</w:t>
      </w:r>
      <w:r w:rsidR="00757F1B" w:rsidRPr="00A01A60">
        <w:rPr>
          <w:sz w:val="22"/>
          <w:szCs w:val="22"/>
          <w:lang w:val="en-US"/>
        </w:rPr>
        <w:t xml:space="preserve">he UNSDCF </w:t>
      </w:r>
      <w:r>
        <w:rPr>
          <w:sz w:val="22"/>
          <w:szCs w:val="22"/>
          <w:lang w:val="en-US"/>
        </w:rPr>
        <w:t>represents the</w:t>
      </w:r>
      <w:r w:rsidR="00757F1B" w:rsidRPr="00A01A60">
        <w:rPr>
          <w:sz w:val="22"/>
          <w:szCs w:val="22"/>
          <w:lang w:val="en-US"/>
        </w:rPr>
        <w:t xml:space="preserve"> UN Timor-Leste’s commitment </w:t>
      </w:r>
      <w:r w:rsidR="00757F1B" w:rsidRPr="00A01A60">
        <w:rPr>
          <w:b/>
          <w:bCs/>
          <w:sz w:val="22"/>
          <w:szCs w:val="22"/>
          <w:lang w:val="en-US"/>
        </w:rPr>
        <w:t>to the Government and people of Timor-Leste</w:t>
      </w:r>
      <w:r>
        <w:rPr>
          <w:sz w:val="22"/>
          <w:szCs w:val="22"/>
          <w:lang w:val="en-US"/>
        </w:rPr>
        <w:t>.  To measure progress, u</w:t>
      </w:r>
      <w:r w:rsidR="00757F1B" w:rsidRPr="00A01A60">
        <w:rPr>
          <w:sz w:val="22"/>
          <w:szCs w:val="22"/>
          <w:lang w:val="en-US"/>
        </w:rPr>
        <w:t xml:space="preserve">nder each strategic priority, measurable indicators have been identified to accelerate progress towards achieving the SDGs.  The UNSDCF intends to </w:t>
      </w:r>
      <w:r w:rsidR="00757F1B" w:rsidRPr="00A01A60">
        <w:rPr>
          <w:b/>
          <w:bCs/>
          <w:sz w:val="22"/>
          <w:szCs w:val="22"/>
          <w:lang w:val="en-US"/>
        </w:rPr>
        <w:t>contribute to 67 out of the 169 global SDG targets across 15 SDGs</w:t>
      </w:r>
      <w:r w:rsidR="00757F1B" w:rsidRPr="00A01A60">
        <w:rPr>
          <w:sz w:val="22"/>
          <w:szCs w:val="22"/>
          <w:lang w:val="en-US"/>
        </w:rPr>
        <w:t xml:space="preserve">.  Key development indicators covered by the six priority areas include: prevalence of undernourishment; GDP per employed person per sector; proportion of children under 5 years developmentally on health track; proportion of births attended by skilled health personnel; proportions of positions in national and local institutions including legislatures and judiciary; and direct economic loss, damage to critical infrastructure and number of disruptions to basic services, attributed to disasters. </w:t>
      </w:r>
    </w:p>
    <w:p w14:paraId="4E767F3E" w14:textId="77777777" w:rsidR="00757F1B" w:rsidRPr="00A01A60" w:rsidRDefault="00757F1B" w:rsidP="00757F1B">
      <w:pPr>
        <w:jc w:val="both"/>
        <w:rPr>
          <w:sz w:val="22"/>
          <w:szCs w:val="22"/>
          <w:lang w:val="en-US"/>
        </w:rPr>
      </w:pPr>
    </w:p>
    <w:p w14:paraId="1756101B" w14:textId="77777777" w:rsidR="009644C5" w:rsidRDefault="00757F1B" w:rsidP="00757F1B">
      <w:pPr>
        <w:jc w:val="both"/>
        <w:rPr>
          <w:sz w:val="22"/>
          <w:szCs w:val="22"/>
          <w:lang w:val="en-US"/>
        </w:rPr>
      </w:pPr>
      <w:r w:rsidRPr="00A01A60">
        <w:rPr>
          <w:sz w:val="22"/>
          <w:szCs w:val="22"/>
          <w:lang w:val="en-US"/>
        </w:rPr>
        <w:t xml:space="preserve">As a nationally owned instrument for planning, implementation, monitoring, evaluation and reporting of UN activities in Timor-Leste, the UNSDCF is founded on the spirit of continued </w:t>
      </w:r>
      <w:r w:rsidRPr="00A01A60">
        <w:rPr>
          <w:b/>
          <w:bCs/>
          <w:sz w:val="22"/>
          <w:szCs w:val="22"/>
          <w:lang w:val="en-US"/>
        </w:rPr>
        <w:t>strong partnership with the Government of Timor-Leste as well as with the civil society, academia, private sector and other development partners</w:t>
      </w:r>
      <w:r w:rsidRPr="00A01A60">
        <w:rPr>
          <w:sz w:val="22"/>
          <w:szCs w:val="22"/>
          <w:lang w:val="en-US"/>
        </w:rPr>
        <w:t>.</w:t>
      </w:r>
    </w:p>
    <w:p w14:paraId="3AE0BE8F" w14:textId="77777777" w:rsidR="009644C5" w:rsidRDefault="009644C5" w:rsidP="00757F1B">
      <w:pPr>
        <w:jc w:val="both"/>
        <w:rPr>
          <w:sz w:val="22"/>
          <w:szCs w:val="22"/>
          <w:lang w:val="en-US"/>
        </w:rPr>
      </w:pPr>
    </w:p>
    <w:p w14:paraId="32FC5839" w14:textId="35861777" w:rsidR="00757F1B" w:rsidRPr="00A01A60" w:rsidRDefault="009644C5" w:rsidP="00757F1B">
      <w:pPr>
        <w:jc w:val="both"/>
        <w:rPr>
          <w:sz w:val="22"/>
          <w:szCs w:val="22"/>
          <w:lang w:val="en-US"/>
        </w:rPr>
      </w:pPr>
      <w:r>
        <w:rPr>
          <w:sz w:val="22"/>
          <w:szCs w:val="22"/>
          <w:lang w:val="en-US"/>
        </w:rPr>
        <w:t xml:space="preserve">The UN believes that </w:t>
      </w:r>
      <w:r w:rsidRPr="007C6978">
        <w:rPr>
          <w:b/>
          <w:bCs/>
          <w:sz w:val="22"/>
          <w:szCs w:val="22"/>
          <w:lang w:val="en-US"/>
        </w:rPr>
        <w:t>together we can achieve the transformation</w:t>
      </w:r>
      <w:r>
        <w:rPr>
          <w:sz w:val="22"/>
          <w:szCs w:val="22"/>
          <w:lang w:val="en-US"/>
        </w:rPr>
        <w:t xml:space="preserve"> required that </w:t>
      </w:r>
      <w:r w:rsidR="007C6978">
        <w:rPr>
          <w:sz w:val="22"/>
          <w:szCs w:val="22"/>
          <w:lang w:val="en-US"/>
        </w:rPr>
        <w:t xml:space="preserve">would </w:t>
      </w:r>
      <w:r>
        <w:rPr>
          <w:sz w:val="22"/>
          <w:szCs w:val="22"/>
          <w:lang w:val="en-US"/>
        </w:rPr>
        <w:t xml:space="preserve">enable </w:t>
      </w:r>
      <w:r w:rsidR="007C6978">
        <w:rPr>
          <w:sz w:val="22"/>
          <w:szCs w:val="22"/>
          <w:lang w:val="en-US"/>
        </w:rPr>
        <w:t xml:space="preserve">the girls, boys, women and men of </w:t>
      </w:r>
      <w:r>
        <w:rPr>
          <w:sz w:val="22"/>
          <w:szCs w:val="22"/>
          <w:lang w:val="en-US"/>
        </w:rPr>
        <w:t xml:space="preserve">Timor-Leste to </w:t>
      </w:r>
      <w:r w:rsidR="007C6978">
        <w:rPr>
          <w:sz w:val="22"/>
          <w:szCs w:val="22"/>
          <w:lang w:val="en-US"/>
        </w:rPr>
        <w:t xml:space="preserve">realize </w:t>
      </w:r>
      <w:r>
        <w:rPr>
          <w:sz w:val="22"/>
          <w:szCs w:val="22"/>
          <w:lang w:val="en-US"/>
        </w:rPr>
        <w:t xml:space="preserve">their full potential and contribute to a </w:t>
      </w:r>
      <w:r w:rsidR="007C6978">
        <w:rPr>
          <w:sz w:val="22"/>
          <w:szCs w:val="22"/>
          <w:lang w:val="en-US"/>
        </w:rPr>
        <w:t>strong and prosperous Timor-Leste that leaves no one behind.</w:t>
      </w:r>
      <w:r w:rsidR="00757F1B" w:rsidRPr="00A01A60">
        <w:rPr>
          <w:sz w:val="22"/>
          <w:szCs w:val="22"/>
          <w:lang w:val="en-US"/>
        </w:rPr>
        <w:t xml:space="preserve">  </w:t>
      </w:r>
    </w:p>
    <w:p w14:paraId="1A3CA18B" w14:textId="77777777" w:rsidR="00CD6FDF" w:rsidRPr="00A01A60" w:rsidRDefault="00CD6FDF" w:rsidP="00CD6FDF">
      <w:pPr>
        <w:pStyle w:val="Heading3"/>
        <w:rPr>
          <w:color w:val="000000" w:themeColor="text1"/>
          <w:lang w:val="en-US"/>
        </w:rPr>
      </w:pPr>
    </w:p>
    <w:p w14:paraId="768D6215" w14:textId="28F8A948" w:rsidR="00CD6FDF" w:rsidRPr="00A01A60" w:rsidRDefault="00E230FC">
      <w:pPr>
        <w:rPr>
          <w:rFonts w:asciiTheme="majorHAnsi" w:eastAsiaTheme="majorEastAsia" w:hAnsiTheme="majorHAnsi" w:cstheme="majorBidi"/>
          <w:color w:val="2F5496" w:themeColor="accent1" w:themeShade="BF"/>
          <w:sz w:val="32"/>
          <w:szCs w:val="32"/>
          <w:lang w:val="en-US"/>
        </w:rPr>
      </w:pPr>
      <w:r w:rsidRPr="00A01A60">
        <w:rPr>
          <w:rFonts w:asciiTheme="majorHAnsi" w:eastAsiaTheme="majorEastAsia" w:hAnsiTheme="majorHAnsi" w:cstheme="majorBidi"/>
          <w:color w:val="2F5496" w:themeColor="accent1" w:themeShade="BF"/>
          <w:sz w:val="32"/>
          <w:szCs w:val="32"/>
          <w:lang w:val="en-US"/>
        </w:rPr>
        <w:br w:type="page"/>
      </w:r>
    </w:p>
    <w:p w14:paraId="182B821D" w14:textId="77A42555" w:rsidR="00B254D7" w:rsidRPr="00841766" w:rsidRDefault="00910DAF" w:rsidP="00DE62CE">
      <w:pPr>
        <w:pStyle w:val="Heading1"/>
        <w:rPr>
          <w:lang w:val="en-US"/>
        </w:rPr>
      </w:pPr>
      <w:bookmarkStart w:id="3" w:name="_Toc40265789"/>
      <w:r w:rsidRPr="00841766">
        <w:rPr>
          <w:lang w:val="en-US"/>
        </w:rPr>
        <w:lastRenderedPageBreak/>
        <w:t>C</w:t>
      </w:r>
      <w:r w:rsidR="00B254D7" w:rsidRPr="00841766">
        <w:rPr>
          <w:lang w:val="en-US"/>
        </w:rPr>
        <w:t>HAPTER 1: COUNTRY PROGRESS TOWARDS the 2030 AGENDA</w:t>
      </w:r>
      <w:bookmarkEnd w:id="3"/>
    </w:p>
    <w:p w14:paraId="582B4257" w14:textId="77777777" w:rsidR="00B254D7" w:rsidRPr="00841766" w:rsidRDefault="00B254D7" w:rsidP="00B254D7">
      <w:pPr>
        <w:autoSpaceDE w:val="0"/>
        <w:autoSpaceDN w:val="0"/>
        <w:adjustRightInd w:val="0"/>
        <w:jc w:val="both"/>
        <w:rPr>
          <w:rFonts w:cs="Times New Roman"/>
          <w:sz w:val="22"/>
          <w:szCs w:val="22"/>
          <w:lang w:val="en-US"/>
        </w:rPr>
      </w:pPr>
    </w:p>
    <w:p w14:paraId="0E9CD91A" w14:textId="77777777" w:rsidR="00B254D7" w:rsidRPr="00841766" w:rsidRDefault="00B254D7" w:rsidP="00A52946">
      <w:pPr>
        <w:pStyle w:val="Heading2"/>
        <w:rPr>
          <w:rFonts w:asciiTheme="minorHAnsi" w:hAnsiTheme="minorHAnsi"/>
          <w:sz w:val="28"/>
          <w:lang w:val="en-US"/>
        </w:rPr>
      </w:pPr>
      <w:bookmarkStart w:id="4" w:name="_Toc40265790"/>
      <w:r w:rsidRPr="00841766">
        <w:rPr>
          <w:rFonts w:asciiTheme="minorHAnsi" w:hAnsiTheme="minorHAnsi"/>
          <w:sz w:val="28"/>
          <w:lang w:val="en-US"/>
        </w:rPr>
        <w:t>1.1. Country context</w:t>
      </w:r>
      <w:bookmarkEnd w:id="4"/>
    </w:p>
    <w:p w14:paraId="689CB493" w14:textId="3837D00B" w:rsidR="00ED1B1A" w:rsidRPr="00841766" w:rsidRDefault="00C36F90" w:rsidP="00914158">
      <w:pPr>
        <w:spacing w:after="120"/>
        <w:jc w:val="both"/>
        <w:rPr>
          <w:sz w:val="22"/>
          <w:szCs w:val="22"/>
          <w:lang w:val="en-US"/>
        </w:rPr>
      </w:pPr>
      <w:r w:rsidRPr="00B23657">
        <w:rPr>
          <w:sz w:val="22"/>
          <w:szCs w:val="22"/>
          <w:lang w:val="en-US"/>
        </w:rPr>
        <w:t xml:space="preserve">Twenty years since the Popular Consultation that led to the country’s independence in 2002, and seven years since the closure of the fifth and last United Nations (UN) peacekeeping operation – UN integrated Mission in Timor-Leste (UNMIT) - in 2012, Timor-Leste has made significant progress.  With </w:t>
      </w:r>
      <w:r w:rsidR="00D628A6">
        <w:rPr>
          <w:sz w:val="22"/>
          <w:szCs w:val="22"/>
          <w:lang w:val="en-US"/>
        </w:rPr>
        <w:t xml:space="preserve">a </w:t>
      </w:r>
      <w:r w:rsidRPr="00B23657">
        <w:rPr>
          <w:sz w:val="22"/>
          <w:szCs w:val="22"/>
          <w:lang w:val="en-US"/>
        </w:rPr>
        <w:t>continued show of resilience and resolve, Timor-Leste has demonstrated strong commitments to reconciliation and reconstruction, as well as to human rights and democracy.  The democratic system of checks and balances – albeit fragile – has matured, ensuring peaceful democratic processes</w:t>
      </w:r>
      <w:r w:rsidR="00ED1B1A" w:rsidRPr="00841766">
        <w:rPr>
          <w:sz w:val="22"/>
          <w:szCs w:val="22"/>
          <w:lang w:val="en-US"/>
        </w:rPr>
        <w:t xml:space="preserve"> and allow</w:t>
      </w:r>
      <w:r>
        <w:rPr>
          <w:sz w:val="22"/>
          <w:szCs w:val="22"/>
          <w:lang w:val="en-US"/>
        </w:rPr>
        <w:t>ing</w:t>
      </w:r>
      <w:r w:rsidR="00ED1B1A" w:rsidRPr="00841766">
        <w:rPr>
          <w:sz w:val="22"/>
          <w:szCs w:val="22"/>
          <w:lang w:val="en-US"/>
        </w:rPr>
        <w:t xml:space="preserve"> </w:t>
      </w:r>
      <w:r w:rsidR="00ED1B1A" w:rsidRPr="00841766">
        <w:rPr>
          <w:rFonts w:cs="Arial"/>
          <w:sz w:val="22"/>
          <w:szCs w:val="22"/>
          <w:lang w:val="en-US"/>
        </w:rPr>
        <w:t>considerable improvements in electoral process and pluralism, civil liberties, the functioning of government, political participation and political culture</w:t>
      </w:r>
      <w:r w:rsidR="00ED1B1A" w:rsidRPr="00841766">
        <w:rPr>
          <w:rStyle w:val="FootnoteReference"/>
          <w:rFonts w:cs="Arial"/>
          <w:sz w:val="22"/>
          <w:szCs w:val="22"/>
          <w:lang w:val="en-US"/>
        </w:rPr>
        <w:footnoteReference w:id="1"/>
      </w:r>
      <w:r w:rsidR="00ED1B1A" w:rsidRPr="00841766">
        <w:rPr>
          <w:rFonts w:cs="Arial"/>
          <w:sz w:val="22"/>
          <w:szCs w:val="22"/>
          <w:lang w:val="en-US"/>
        </w:rPr>
        <w:t xml:space="preserve">. </w:t>
      </w:r>
    </w:p>
    <w:p w14:paraId="75009014" w14:textId="676C73A8" w:rsidR="001D1FDE" w:rsidRDefault="00ED1B1A" w:rsidP="00914158">
      <w:pPr>
        <w:spacing w:after="120"/>
        <w:jc w:val="both"/>
        <w:rPr>
          <w:rFonts w:cstheme="minorHAnsi"/>
          <w:sz w:val="22"/>
          <w:szCs w:val="22"/>
          <w:lang w:val="en-GB"/>
        </w:rPr>
      </w:pPr>
      <w:r w:rsidRPr="00841766">
        <w:rPr>
          <w:rFonts w:cs="Arial"/>
          <w:sz w:val="22"/>
          <w:szCs w:val="22"/>
          <w:lang w:val="en-US"/>
        </w:rPr>
        <w:t xml:space="preserve">However, </w:t>
      </w:r>
      <w:r w:rsidR="000B196D">
        <w:rPr>
          <w:rFonts w:cs="Arial"/>
          <w:sz w:val="22"/>
          <w:szCs w:val="22"/>
          <w:lang w:val="en-US"/>
        </w:rPr>
        <w:t>dynamic</w:t>
      </w:r>
      <w:r w:rsidRPr="00841766">
        <w:rPr>
          <w:sz w:val="22"/>
          <w:szCs w:val="22"/>
          <w:lang w:val="en-US"/>
        </w:rPr>
        <w:t xml:space="preserve">s between the country’s historic leaders still shape day-to-day politics. </w:t>
      </w:r>
      <w:r w:rsidR="000B196D">
        <w:rPr>
          <w:sz w:val="22"/>
          <w:szCs w:val="22"/>
          <w:lang w:val="en-US"/>
        </w:rPr>
        <w:t xml:space="preserve"> </w:t>
      </w:r>
      <w:r w:rsidR="001D1FDE" w:rsidRPr="003A3689">
        <w:rPr>
          <w:rFonts w:cstheme="minorHAnsi"/>
          <w:sz w:val="22"/>
          <w:szCs w:val="22"/>
          <w:lang w:val="en-GB"/>
        </w:rPr>
        <w:t xml:space="preserve">Obstacles persist to allow for more regular dialogue between the Government and </w:t>
      </w:r>
      <w:r w:rsidR="001D1FDE">
        <w:rPr>
          <w:rFonts w:cstheme="minorHAnsi"/>
          <w:sz w:val="22"/>
          <w:szCs w:val="22"/>
          <w:lang w:val="en-GB"/>
        </w:rPr>
        <w:t xml:space="preserve">the </w:t>
      </w:r>
      <w:r w:rsidR="001D1FDE" w:rsidRPr="003A3689">
        <w:rPr>
          <w:rFonts w:cstheme="minorHAnsi"/>
          <w:sz w:val="22"/>
          <w:szCs w:val="22"/>
          <w:lang w:val="en-GB"/>
        </w:rPr>
        <w:t>opposition, particularly regarding Timor-Leste’s economic development and related use of natural resources.  The big test in the coming years will be the</w:t>
      </w:r>
      <w:r w:rsidR="001D1FDE">
        <w:rPr>
          <w:rFonts w:cstheme="minorHAnsi"/>
          <w:sz w:val="22"/>
          <w:szCs w:val="22"/>
          <w:lang w:val="en-GB"/>
        </w:rPr>
        <w:t xml:space="preserve"> outcomes of the</w:t>
      </w:r>
      <w:r w:rsidR="001D1FDE" w:rsidRPr="003A3689">
        <w:rPr>
          <w:rFonts w:cstheme="minorHAnsi"/>
          <w:sz w:val="22"/>
          <w:szCs w:val="22"/>
          <w:lang w:val="en-GB"/>
        </w:rPr>
        <w:t xml:space="preserve"> </w:t>
      </w:r>
      <w:r w:rsidR="001D1FDE">
        <w:rPr>
          <w:rFonts w:cstheme="minorHAnsi"/>
          <w:sz w:val="22"/>
          <w:szCs w:val="22"/>
          <w:lang w:val="en-GB"/>
        </w:rPr>
        <w:t xml:space="preserve">significant oil and gas project - </w:t>
      </w:r>
      <w:proofErr w:type="spellStart"/>
      <w:r w:rsidR="001D1FDE" w:rsidRPr="003A3689">
        <w:rPr>
          <w:rFonts w:cstheme="minorHAnsi"/>
          <w:sz w:val="22"/>
          <w:szCs w:val="22"/>
          <w:lang w:val="en-GB"/>
        </w:rPr>
        <w:t>Tasi</w:t>
      </w:r>
      <w:proofErr w:type="spellEnd"/>
      <w:r w:rsidR="001D1FDE" w:rsidRPr="003A3689">
        <w:rPr>
          <w:rFonts w:cstheme="minorHAnsi"/>
          <w:sz w:val="22"/>
          <w:szCs w:val="22"/>
          <w:lang w:val="en-GB"/>
        </w:rPr>
        <w:t xml:space="preserve"> Mane </w:t>
      </w:r>
      <w:r w:rsidR="001D1FDE">
        <w:rPr>
          <w:rFonts w:cstheme="minorHAnsi"/>
          <w:sz w:val="22"/>
          <w:szCs w:val="22"/>
          <w:lang w:val="en-GB"/>
        </w:rPr>
        <w:t>-</w:t>
      </w:r>
      <w:r w:rsidR="001D1FDE" w:rsidRPr="003A3689">
        <w:rPr>
          <w:rFonts w:cstheme="minorHAnsi"/>
          <w:sz w:val="22"/>
          <w:szCs w:val="22"/>
          <w:lang w:val="en-GB"/>
        </w:rPr>
        <w:t xml:space="preserve"> and whether it succeeds and turns Timor-Leste into a middle-income country by 2030, as envisioned in its </w:t>
      </w:r>
      <w:r w:rsidR="001D1FDE">
        <w:rPr>
          <w:rFonts w:cstheme="minorHAnsi"/>
          <w:sz w:val="22"/>
          <w:szCs w:val="22"/>
          <w:lang w:val="en-GB"/>
        </w:rPr>
        <w:t>S</w:t>
      </w:r>
      <w:r w:rsidR="001D1FDE" w:rsidRPr="003A3689">
        <w:rPr>
          <w:rFonts w:cstheme="minorHAnsi"/>
          <w:sz w:val="22"/>
          <w:szCs w:val="22"/>
          <w:lang w:val="en-GB"/>
        </w:rPr>
        <w:t xml:space="preserve">trategic </w:t>
      </w:r>
      <w:r w:rsidR="001D1FDE">
        <w:rPr>
          <w:rFonts w:cstheme="minorHAnsi"/>
          <w:sz w:val="22"/>
          <w:szCs w:val="22"/>
          <w:lang w:val="en-GB"/>
        </w:rPr>
        <w:t>D</w:t>
      </w:r>
      <w:r w:rsidR="001D1FDE" w:rsidRPr="003A3689">
        <w:rPr>
          <w:rFonts w:cstheme="minorHAnsi"/>
          <w:sz w:val="22"/>
          <w:szCs w:val="22"/>
          <w:lang w:val="en-GB"/>
        </w:rPr>
        <w:t xml:space="preserve">evelopment </w:t>
      </w:r>
      <w:r w:rsidR="001D1FDE">
        <w:rPr>
          <w:rFonts w:cstheme="minorHAnsi"/>
          <w:sz w:val="22"/>
          <w:szCs w:val="22"/>
          <w:lang w:val="en-GB"/>
        </w:rPr>
        <w:t>P</w:t>
      </w:r>
      <w:r w:rsidR="001D1FDE" w:rsidRPr="003A3689">
        <w:rPr>
          <w:rFonts w:cstheme="minorHAnsi"/>
          <w:sz w:val="22"/>
          <w:szCs w:val="22"/>
          <w:lang w:val="en-GB"/>
        </w:rPr>
        <w:t>lan (SDP)</w:t>
      </w:r>
      <w:r w:rsidR="001D1FDE">
        <w:rPr>
          <w:rFonts w:cstheme="minorHAnsi"/>
          <w:sz w:val="22"/>
          <w:szCs w:val="22"/>
          <w:lang w:val="en-GB"/>
        </w:rPr>
        <w:t>.</w:t>
      </w:r>
      <w:r w:rsidR="009A25F1">
        <w:rPr>
          <w:rFonts w:cstheme="minorHAnsi"/>
          <w:sz w:val="22"/>
          <w:szCs w:val="22"/>
          <w:lang w:val="en-GB"/>
        </w:rPr>
        <w:t xml:space="preserve">  Another key milestone that will shape the country’s long-term prospects is whether Timor-Leste’s application for full membership of ASEAN is accepted in the next 5 years.</w:t>
      </w:r>
    </w:p>
    <w:p w14:paraId="48F1D532" w14:textId="204CA852" w:rsidR="00ED1B1A" w:rsidRPr="00841766" w:rsidRDefault="00060C26" w:rsidP="00914158">
      <w:pPr>
        <w:spacing w:after="120"/>
        <w:jc w:val="both"/>
        <w:rPr>
          <w:rFonts w:cs="Arial"/>
          <w:sz w:val="22"/>
          <w:szCs w:val="22"/>
          <w:lang w:val="en-US"/>
        </w:rPr>
      </w:pPr>
      <w:r>
        <w:rPr>
          <w:rFonts w:cstheme="minorHAnsi"/>
          <w:sz w:val="22"/>
          <w:szCs w:val="22"/>
          <w:lang w:val="en-GB"/>
        </w:rPr>
        <w:t xml:space="preserve">The political stalemate </w:t>
      </w:r>
      <w:r w:rsidR="00197E94">
        <w:rPr>
          <w:rFonts w:cstheme="minorHAnsi"/>
          <w:sz w:val="22"/>
          <w:szCs w:val="22"/>
          <w:lang w:val="en-GB"/>
        </w:rPr>
        <w:t xml:space="preserve">since 2017 </w:t>
      </w:r>
      <w:r>
        <w:rPr>
          <w:rFonts w:cstheme="minorHAnsi"/>
          <w:sz w:val="22"/>
          <w:szCs w:val="22"/>
          <w:lang w:val="en-GB"/>
        </w:rPr>
        <w:t xml:space="preserve">has had negative impact on the economy and the country’s development progress.  </w:t>
      </w:r>
      <w:r w:rsidR="00ED1B1A" w:rsidRPr="00841766">
        <w:rPr>
          <w:rFonts w:cs="Arial"/>
          <w:sz w:val="22"/>
          <w:szCs w:val="22"/>
          <w:lang w:val="en-US"/>
        </w:rPr>
        <w:t>The economy contracted in 2017</w:t>
      </w:r>
      <w:r>
        <w:rPr>
          <w:rFonts w:cs="Arial"/>
          <w:sz w:val="22"/>
          <w:szCs w:val="22"/>
          <w:lang w:val="en-US"/>
        </w:rPr>
        <w:t xml:space="preserve"> and 2018,</w:t>
      </w:r>
      <w:r w:rsidR="00ED1B1A" w:rsidRPr="00841766">
        <w:rPr>
          <w:rFonts w:cs="Arial"/>
          <w:sz w:val="22"/>
          <w:szCs w:val="22"/>
          <w:lang w:val="en-US"/>
        </w:rPr>
        <w:t xml:space="preserve"> due to the political impasse and a reduction in public spending</w:t>
      </w:r>
      <w:r>
        <w:rPr>
          <w:rFonts w:cs="Arial"/>
          <w:sz w:val="22"/>
          <w:szCs w:val="22"/>
          <w:lang w:val="en-US"/>
        </w:rPr>
        <w:t xml:space="preserve">.  The </w:t>
      </w:r>
      <w:r w:rsidR="00ED1B1A" w:rsidRPr="00841766">
        <w:rPr>
          <w:rFonts w:cs="Arial"/>
          <w:sz w:val="22"/>
          <w:szCs w:val="22"/>
          <w:lang w:val="en-US"/>
        </w:rPr>
        <w:t>GDP declin</w:t>
      </w:r>
      <w:r>
        <w:rPr>
          <w:rFonts w:cs="Arial"/>
          <w:sz w:val="22"/>
          <w:szCs w:val="22"/>
          <w:lang w:val="en-US"/>
        </w:rPr>
        <w:t>ed</w:t>
      </w:r>
      <w:r w:rsidR="00ED1B1A" w:rsidRPr="00841766">
        <w:rPr>
          <w:rFonts w:cs="Arial"/>
          <w:sz w:val="22"/>
          <w:szCs w:val="22"/>
          <w:lang w:val="en-US"/>
        </w:rPr>
        <w:t xml:space="preserve"> by 0.8% in 2018</w:t>
      </w:r>
      <w:r w:rsidR="00ED1B1A" w:rsidRPr="00841766">
        <w:rPr>
          <w:rStyle w:val="FootnoteReference"/>
          <w:rFonts w:cs="Arial"/>
          <w:sz w:val="22"/>
          <w:szCs w:val="22"/>
          <w:lang w:val="en-US"/>
        </w:rPr>
        <w:footnoteReference w:id="2"/>
      </w:r>
      <w:r>
        <w:rPr>
          <w:rFonts w:cs="Arial"/>
          <w:sz w:val="22"/>
          <w:szCs w:val="22"/>
          <w:lang w:val="en-US"/>
        </w:rPr>
        <w:t>,</w:t>
      </w:r>
      <w:r w:rsidR="00ED1B1A" w:rsidRPr="00841766">
        <w:rPr>
          <w:rFonts w:cs="Arial"/>
          <w:sz w:val="22"/>
          <w:szCs w:val="22"/>
          <w:lang w:val="en-US"/>
        </w:rPr>
        <w:t xml:space="preserve"> </w:t>
      </w:r>
      <w:r w:rsidR="00A32229">
        <w:rPr>
          <w:rFonts w:cs="Arial"/>
          <w:sz w:val="22"/>
          <w:szCs w:val="22"/>
          <w:lang w:val="en-US"/>
        </w:rPr>
        <w:t xml:space="preserve"> </w:t>
      </w:r>
      <w:r w:rsidR="00ED1B1A" w:rsidRPr="00841766">
        <w:rPr>
          <w:rFonts w:cs="Arial"/>
          <w:sz w:val="22"/>
          <w:szCs w:val="22"/>
          <w:lang w:val="en-US"/>
        </w:rPr>
        <w:t xml:space="preserve">due to the economic and political uncertainty caused by the delay in approving the 2018 state budget, which was not passed until September 2018. </w:t>
      </w:r>
      <w:r w:rsidR="00A32229">
        <w:rPr>
          <w:rFonts w:cs="Arial"/>
          <w:sz w:val="22"/>
          <w:szCs w:val="22"/>
          <w:lang w:val="en-US"/>
        </w:rPr>
        <w:t xml:space="preserve"> </w:t>
      </w:r>
      <w:r w:rsidR="00ED1B1A" w:rsidRPr="00841766">
        <w:rPr>
          <w:rFonts w:cs="Arial"/>
          <w:sz w:val="22"/>
          <w:szCs w:val="22"/>
          <w:lang w:val="en-US"/>
        </w:rPr>
        <w:t>Although the economy was expected to start recovering in 2019, the</w:t>
      </w:r>
      <w:r w:rsidR="00A32229">
        <w:rPr>
          <w:rFonts w:cs="Arial"/>
          <w:sz w:val="22"/>
          <w:szCs w:val="22"/>
          <w:lang w:val="en-US"/>
        </w:rPr>
        <w:t xml:space="preserve"> 2020 budget once again did not pass in January 2020, and </w:t>
      </w:r>
      <w:r w:rsidR="00197E94" w:rsidRPr="00C36DFD">
        <w:rPr>
          <w:rFonts w:cs="Arial"/>
          <w:sz w:val="22"/>
          <w:szCs w:val="22"/>
          <w:lang w:val="en-US"/>
        </w:rPr>
        <w:t xml:space="preserve">a further continuation of the political impasse will </w:t>
      </w:r>
      <w:r w:rsidR="00A32229" w:rsidRPr="00C36DFD">
        <w:rPr>
          <w:rFonts w:cs="Arial"/>
          <w:sz w:val="22"/>
          <w:szCs w:val="22"/>
          <w:lang w:val="en-US"/>
        </w:rPr>
        <w:t xml:space="preserve">negatively impact </w:t>
      </w:r>
      <w:r w:rsidR="00197E94" w:rsidRPr="00C36DFD">
        <w:rPr>
          <w:rFonts w:cs="Arial"/>
          <w:sz w:val="22"/>
          <w:szCs w:val="22"/>
          <w:lang w:val="en-US"/>
        </w:rPr>
        <w:t xml:space="preserve">on </w:t>
      </w:r>
      <w:r w:rsidR="00A32229" w:rsidRPr="00C36DFD">
        <w:rPr>
          <w:rFonts w:cs="Arial"/>
          <w:sz w:val="22"/>
          <w:szCs w:val="22"/>
          <w:lang w:val="en-US"/>
        </w:rPr>
        <w:t>economic recovery</w:t>
      </w:r>
      <w:r w:rsidR="00197E94" w:rsidRPr="00C36DFD">
        <w:rPr>
          <w:rFonts w:cs="Arial"/>
          <w:sz w:val="22"/>
          <w:szCs w:val="22"/>
          <w:lang w:val="en-US"/>
        </w:rPr>
        <w:t xml:space="preserve"> and development progress</w:t>
      </w:r>
      <w:r w:rsidR="00ED1B1A" w:rsidRPr="00C36DFD">
        <w:rPr>
          <w:rFonts w:cs="Arial"/>
          <w:sz w:val="22"/>
          <w:szCs w:val="22"/>
          <w:lang w:val="en-US"/>
        </w:rPr>
        <w:t>.</w:t>
      </w:r>
    </w:p>
    <w:p w14:paraId="20012DDB" w14:textId="4AA9021E" w:rsidR="00A63B4D" w:rsidRPr="00044248" w:rsidRDefault="00ED1B1A" w:rsidP="00914158">
      <w:pPr>
        <w:spacing w:after="120"/>
        <w:jc w:val="both"/>
        <w:rPr>
          <w:rFonts w:cs="Arial"/>
          <w:sz w:val="22"/>
          <w:szCs w:val="22"/>
          <w:lang w:val="en-US"/>
        </w:rPr>
      </w:pPr>
      <w:r w:rsidRPr="00841766">
        <w:rPr>
          <w:rFonts w:cs="Arial"/>
          <w:bCs/>
          <w:sz w:val="22"/>
          <w:szCs w:val="22"/>
          <w:lang w:val="en-US"/>
        </w:rPr>
        <w:t>Timor-Leste’s economy is highly dependent on revenues from</w:t>
      </w:r>
      <w:r w:rsidR="00FC7C54">
        <w:rPr>
          <w:rFonts w:cs="Arial"/>
          <w:bCs/>
          <w:sz w:val="22"/>
          <w:szCs w:val="22"/>
          <w:lang w:val="en-US"/>
        </w:rPr>
        <w:t xml:space="preserve"> oil and gas</w:t>
      </w:r>
      <w:r w:rsidR="00E11ACB">
        <w:rPr>
          <w:rFonts w:cs="Arial"/>
          <w:bCs/>
          <w:sz w:val="22"/>
          <w:szCs w:val="22"/>
          <w:lang w:val="en-US"/>
        </w:rPr>
        <w:t xml:space="preserve">. </w:t>
      </w:r>
      <w:r w:rsidR="00EF6929">
        <w:rPr>
          <w:rFonts w:cs="Arial"/>
          <w:bCs/>
          <w:sz w:val="22"/>
          <w:szCs w:val="22"/>
          <w:lang w:val="en-US"/>
        </w:rPr>
        <w:t xml:space="preserve"> </w:t>
      </w:r>
      <w:r w:rsidR="00E11ACB">
        <w:rPr>
          <w:rFonts w:cs="Arial"/>
          <w:bCs/>
          <w:sz w:val="22"/>
          <w:szCs w:val="22"/>
          <w:lang w:val="en-US"/>
        </w:rPr>
        <w:t xml:space="preserve">The country has established a </w:t>
      </w:r>
      <w:r w:rsidR="00E31651">
        <w:rPr>
          <w:rFonts w:cs="Arial"/>
          <w:bCs/>
          <w:sz w:val="22"/>
          <w:szCs w:val="22"/>
          <w:lang w:val="en-US"/>
        </w:rPr>
        <w:t>sovereign wealth fund</w:t>
      </w:r>
      <w:r w:rsidR="00E11ACB">
        <w:rPr>
          <w:rFonts w:cs="Arial"/>
          <w:bCs/>
          <w:sz w:val="22"/>
          <w:szCs w:val="22"/>
          <w:lang w:val="en-US"/>
        </w:rPr>
        <w:t xml:space="preserve"> </w:t>
      </w:r>
      <w:r w:rsidR="00EF6929">
        <w:rPr>
          <w:rFonts w:cs="Arial"/>
          <w:bCs/>
          <w:sz w:val="22"/>
          <w:szCs w:val="22"/>
          <w:lang w:val="en-US"/>
        </w:rPr>
        <w:t xml:space="preserve">- </w:t>
      </w:r>
      <w:r w:rsidR="00E31651">
        <w:rPr>
          <w:rFonts w:cs="Arial"/>
          <w:bCs/>
          <w:sz w:val="22"/>
          <w:szCs w:val="22"/>
          <w:lang w:val="en-US"/>
        </w:rPr>
        <w:t>the Petroleum Fund</w:t>
      </w:r>
      <w:r w:rsidR="00EF6929">
        <w:rPr>
          <w:rFonts w:cs="Arial"/>
          <w:bCs/>
          <w:sz w:val="22"/>
          <w:szCs w:val="22"/>
          <w:lang w:val="en-US"/>
        </w:rPr>
        <w:t xml:space="preserve"> -</w:t>
      </w:r>
      <w:r w:rsidR="00E11ACB">
        <w:rPr>
          <w:rFonts w:cs="Arial"/>
          <w:bCs/>
          <w:sz w:val="22"/>
          <w:szCs w:val="22"/>
          <w:lang w:val="en-US"/>
        </w:rPr>
        <w:t xml:space="preserve"> that currently has US</w:t>
      </w:r>
      <w:r w:rsidR="00EF6929">
        <w:rPr>
          <w:rFonts w:cs="Arial"/>
          <w:bCs/>
          <w:sz w:val="22"/>
          <w:szCs w:val="22"/>
          <w:lang w:val="en-US"/>
        </w:rPr>
        <w:t>D</w:t>
      </w:r>
      <w:r w:rsidR="00E11ACB">
        <w:rPr>
          <w:rFonts w:cs="Arial"/>
          <w:bCs/>
          <w:sz w:val="22"/>
          <w:szCs w:val="22"/>
          <w:lang w:val="en-US"/>
        </w:rPr>
        <w:t xml:space="preserve"> 17</w:t>
      </w:r>
      <w:r w:rsidR="00EF6929">
        <w:rPr>
          <w:rFonts w:cs="Arial"/>
          <w:bCs/>
          <w:sz w:val="22"/>
          <w:szCs w:val="22"/>
          <w:lang w:val="en-US"/>
        </w:rPr>
        <w:t xml:space="preserve"> billion</w:t>
      </w:r>
      <w:r w:rsidR="00E11ACB">
        <w:rPr>
          <w:rFonts w:cs="Arial"/>
          <w:bCs/>
          <w:sz w:val="22"/>
          <w:szCs w:val="22"/>
          <w:lang w:val="en-US"/>
        </w:rPr>
        <w:t xml:space="preserve"> savings</w:t>
      </w:r>
      <w:r w:rsidR="00EF6929">
        <w:rPr>
          <w:rFonts w:cs="Arial"/>
          <w:bCs/>
          <w:sz w:val="22"/>
          <w:szCs w:val="22"/>
          <w:lang w:val="en-US"/>
        </w:rPr>
        <w:t>,</w:t>
      </w:r>
      <w:r w:rsidR="00E11ACB">
        <w:rPr>
          <w:rFonts w:cs="Arial"/>
          <w:bCs/>
          <w:sz w:val="22"/>
          <w:szCs w:val="22"/>
          <w:lang w:val="en-US"/>
        </w:rPr>
        <w:t xml:space="preserve"> whic</w:t>
      </w:r>
      <w:r w:rsidR="00EF6929">
        <w:rPr>
          <w:rFonts w:cs="Arial"/>
          <w:bCs/>
          <w:sz w:val="22"/>
          <w:szCs w:val="22"/>
          <w:lang w:val="en-US"/>
        </w:rPr>
        <w:t>h</w:t>
      </w:r>
      <w:r w:rsidR="00E11ACB">
        <w:rPr>
          <w:rFonts w:cs="Arial"/>
          <w:bCs/>
          <w:sz w:val="22"/>
          <w:szCs w:val="22"/>
          <w:lang w:val="en-US"/>
        </w:rPr>
        <w:t xml:space="preserve"> </w:t>
      </w:r>
      <w:r w:rsidR="00C65140">
        <w:rPr>
          <w:rFonts w:cs="Arial"/>
          <w:bCs/>
          <w:sz w:val="22"/>
          <w:szCs w:val="22"/>
          <w:lang w:val="en-US"/>
        </w:rPr>
        <w:t>ha</w:t>
      </w:r>
      <w:r w:rsidR="00D628A6">
        <w:rPr>
          <w:rFonts w:cs="Arial"/>
          <w:bCs/>
          <w:sz w:val="22"/>
          <w:szCs w:val="22"/>
          <w:lang w:val="en-US"/>
        </w:rPr>
        <w:t xml:space="preserve">ve </w:t>
      </w:r>
      <w:r w:rsidR="00C65140">
        <w:rPr>
          <w:rFonts w:cs="Arial"/>
          <w:bCs/>
          <w:sz w:val="22"/>
          <w:szCs w:val="22"/>
          <w:lang w:val="en-US"/>
        </w:rPr>
        <w:t xml:space="preserve">been </w:t>
      </w:r>
      <w:r w:rsidR="00E11ACB">
        <w:rPr>
          <w:rFonts w:cs="Arial"/>
          <w:bCs/>
          <w:sz w:val="22"/>
          <w:szCs w:val="22"/>
          <w:lang w:val="en-US"/>
        </w:rPr>
        <w:t xml:space="preserve">utilized </w:t>
      </w:r>
      <w:r w:rsidR="00C65140">
        <w:rPr>
          <w:rFonts w:cs="Arial"/>
          <w:bCs/>
          <w:sz w:val="22"/>
          <w:szCs w:val="22"/>
          <w:lang w:val="en-US"/>
        </w:rPr>
        <w:t xml:space="preserve">by successive governments </w:t>
      </w:r>
      <w:r w:rsidR="00E11ACB">
        <w:rPr>
          <w:rFonts w:cs="Arial"/>
          <w:bCs/>
          <w:sz w:val="22"/>
          <w:szCs w:val="22"/>
          <w:lang w:val="en-US"/>
        </w:rPr>
        <w:t xml:space="preserve">to meet annual public expenditure priorities </w:t>
      </w:r>
      <w:r w:rsidR="00C65140">
        <w:rPr>
          <w:rFonts w:cs="Arial"/>
          <w:bCs/>
          <w:sz w:val="22"/>
          <w:szCs w:val="22"/>
          <w:lang w:val="en-US"/>
        </w:rPr>
        <w:t xml:space="preserve">and </w:t>
      </w:r>
      <w:r w:rsidR="00E11ACB">
        <w:rPr>
          <w:rFonts w:cs="Arial"/>
          <w:bCs/>
          <w:sz w:val="22"/>
          <w:szCs w:val="22"/>
          <w:lang w:val="en-US"/>
        </w:rPr>
        <w:t>provid</w:t>
      </w:r>
      <w:r w:rsidR="00C65140">
        <w:rPr>
          <w:rFonts w:cs="Arial"/>
          <w:bCs/>
          <w:sz w:val="22"/>
          <w:szCs w:val="22"/>
          <w:lang w:val="en-US"/>
        </w:rPr>
        <w:t xml:space="preserve">e </w:t>
      </w:r>
      <w:r w:rsidR="00E11ACB">
        <w:rPr>
          <w:rFonts w:cs="Arial"/>
          <w:bCs/>
          <w:sz w:val="22"/>
          <w:szCs w:val="22"/>
          <w:lang w:val="en-US"/>
        </w:rPr>
        <w:t>a cushion for future</w:t>
      </w:r>
      <w:r w:rsidR="00C65140">
        <w:rPr>
          <w:rFonts w:cs="Arial"/>
          <w:bCs/>
          <w:sz w:val="22"/>
          <w:szCs w:val="22"/>
          <w:lang w:val="en-US"/>
        </w:rPr>
        <w:t xml:space="preserve"> generations</w:t>
      </w:r>
      <w:r w:rsidRPr="00841766">
        <w:rPr>
          <w:rFonts w:cs="Arial"/>
          <w:bCs/>
          <w:sz w:val="22"/>
          <w:szCs w:val="22"/>
          <w:lang w:val="en-US"/>
        </w:rPr>
        <w:t xml:space="preserve">. </w:t>
      </w:r>
      <w:r w:rsidR="00A32229">
        <w:rPr>
          <w:rFonts w:cs="Arial"/>
          <w:bCs/>
          <w:sz w:val="22"/>
          <w:szCs w:val="22"/>
          <w:lang w:val="en-US"/>
        </w:rPr>
        <w:t xml:space="preserve"> </w:t>
      </w:r>
      <w:r w:rsidR="00C65140">
        <w:rPr>
          <w:rFonts w:cs="Arial"/>
          <w:bCs/>
          <w:sz w:val="22"/>
          <w:szCs w:val="22"/>
          <w:lang w:val="en-US"/>
        </w:rPr>
        <w:t xml:space="preserve">Over the next few years, the country is expected to see a </w:t>
      </w:r>
      <w:r w:rsidR="00C65140">
        <w:rPr>
          <w:sz w:val="22"/>
          <w:szCs w:val="22"/>
          <w:lang w:val="en-US"/>
        </w:rPr>
        <w:t>d</w:t>
      </w:r>
      <w:r w:rsidR="00FC7C54" w:rsidRPr="00841766">
        <w:rPr>
          <w:sz w:val="22"/>
          <w:szCs w:val="22"/>
          <w:lang w:val="en-US"/>
        </w:rPr>
        <w:t xml:space="preserve">ecline </w:t>
      </w:r>
      <w:r w:rsidR="00FC7C54">
        <w:rPr>
          <w:sz w:val="22"/>
          <w:szCs w:val="22"/>
          <w:lang w:val="en-US"/>
        </w:rPr>
        <w:t>in oil</w:t>
      </w:r>
      <w:r w:rsidR="00C65140">
        <w:rPr>
          <w:sz w:val="22"/>
          <w:szCs w:val="22"/>
          <w:lang w:val="en-US"/>
        </w:rPr>
        <w:t xml:space="preserve"> and gas revenues from the offshore </w:t>
      </w:r>
      <w:proofErr w:type="spellStart"/>
      <w:r w:rsidR="00C65140">
        <w:rPr>
          <w:sz w:val="22"/>
          <w:szCs w:val="22"/>
          <w:lang w:val="en-US"/>
        </w:rPr>
        <w:t>Bayu-Undan</w:t>
      </w:r>
      <w:proofErr w:type="spellEnd"/>
      <w:r w:rsidR="00C65140">
        <w:rPr>
          <w:sz w:val="22"/>
          <w:szCs w:val="22"/>
          <w:lang w:val="en-US"/>
        </w:rPr>
        <w:t xml:space="preserve"> field</w:t>
      </w:r>
      <w:r w:rsidR="00D628A6">
        <w:rPr>
          <w:sz w:val="22"/>
          <w:szCs w:val="22"/>
          <w:lang w:val="en-US"/>
        </w:rPr>
        <w:t>,</w:t>
      </w:r>
      <w:r w:rsidR="00C65140">
        <w:rPr>
          <w:sz w:val="22"/>
          <w:szCs w:val="22"/>
          <w:lang w:val="en-US"/>
        </w:rPr>
        <w:t xml:space="preserve"> which is </w:t>
      </w:r>
      <w:r w:rsidR="00C9090A">
        <w:rPr>
          <w:sz w:val="22"/>
          <w:szCs w:val="22"/>
          <w:lang w:val="en-US"/>
        </w:rPr>
        <w:t xml:space="preserve">likely </w:t>
      </w:r>
      <w:r w:rsidR="00C65140">
        <w:rPr>
          <w:sz w:val="22"/>
          <w:szCs w:val="22"/>
          <w:lang w:val="en-US"/>
        </w:rPr>
        <w:t xml:space="preserve">to see </w:t>
      </w:r>
      <w:r w:rsidR="00C9090A" w:rsidRPr="00841766">
        <w:rPr>
          <w:rFonts w:cs="Arial"/>
          <w:bCs/>
          <w:sz w:val="22"/>
          <w:szCs w:val="22"/>
          <w:lang w:val="en-US"/>
        </w:rPr>
        <w:t>production end in 2022</w:t>
      </w:r>
      <w:r w:rsidR="00D628A6">
        <w:rPr>
          <w:rFonts w:cs="Arial"/>
          <w:bCs/>
          <w:sz w:val="22"/>
          <w:szCs w:val="22"/>
          <w:lang w:val="en-US"/>
        </w:rPr>
        <w:t>/3</w:t>
      </w:r>
      <w:r w:rsidR="00C65140">
        <w:rPr>
          <w:rFonts w:cs="Arial"/>
          <w:bCs/>
          <w:sz w:val="22"/>
          <w:szCs w:val="22"/>
          <w:lang w:val="en-US"/>
        </w:rPr>
        <w:t xml:space="preserve">. </w:t>
      </w:r>
      <w:r w:rsidR="00EF6929">
        <w:rPr>
          <w:rFonts w:cs="Arial"/>
          <w:bCs/>
          <w:sz w:val="22"/>
          <w:szCs w:val="22"/>
          <w:lang w:val="en-US"/>
        </w:rPr>
        <w:t xml:space="preserve"> </w:t>
      </w:r>
      <w:r w:rsidR="00E34882">
        <w:rPr>
          <w:rFonts w:cs="Arial"/>
          <w:bCs/>
          <w:sz w:val="22"/>
          <w:szCs w:val="22"/>
          <w:lang w:val="en-US"/>
        </w:rPr>
        <w:t>Thereafter the country is expecting to benefit from the Greater Sunrise field (expected to generate additional revenue from 2027/</w:t>
      </w:r>
      <w:r w:rsidR="00914158">
        <w:rPr>
          <w:rFonts w:cs="Arial"/>
          <w:bCs/>
          <w:sz w:val="22"/>
          <w:szCs w:val="22"/>
          <w:lang w:val="en-US"/>
        </w:rPr>
        <w:t>0</w:t>
      </w:r>
      <w:r w:rsidR="00E34882">
        <w:rPr>
          <w:rFonts w:cs="Arial"/>
          <w:bCs/>
          <w:sz w:val="22"/>
          <w:szCs w:val="22"/>
          <w:lang w:val="en-US"/>
        </w:rPr>
        <w:t>8</w:t>
      </w:r>
      <w:r w:rsidR="00EF6929">
        <w:rPr>
          <w:rFonts w:cs="Arial"/>
          <w:bCs/>
          <w:sz w:val="22"/>
          <w:szCs w:val="22"/>
          <w:lang w:val="en-US"/>
        </w:rPr>
        <w:t>)</w:t>
      </w:r>
      <w:r w:rsidR="00914158">
        <w:rPr>
          <w:rFonts w:cs="Arial"/>
          <w:bCs/>
          <w:sz w:val="22"/>
          <w:szCs w:val="22"/>
          <w:lang w:val="en-US"/>
        </w:rPr>
        <w:t>,</w:t>
      </w:r>
      <w:r w:rsidR="00E34882">
        <w:rPr>
          <w:rFonts w:cs="Arial"/>
          <w:bCs/>
          <w:sz w:val="22"/>
          <w:szCs w:val="22"/>
          <w:lang w:val="en-US"/>
        </w:rPr>
        <w:t xml:space="preserve"> and there are possibilities for Timor-Leste to derive benefits from four other off-shore field</w:t>
      </w:r>
      <w:r w:rsidR="00D628A6">
        <w:rPr>
          <w:rFonts w:cs="Arial"/>
          <w:bCs/>
          <w:sz w:val="22"/>
          <w:szCs w:val="22"/>
          <w:lang w:val="en-US"/>
        </w:rPr>
        <w:t>s</w:t>
      </w:r>
      <w:r w:rsidR="00E34882">
        <w:rPr>
          <w:rFonts w:cs="Arial"/>
          <w:bCs/>
          <w:sz w:val="22"/>
          <w:szCs w:val="22"/>
          <w:lang w:val="en-US"/>
        </w:rPr>
        <w:t xml:space="preserve"> in the next </w:t>
      </w:r>
      <w:r w:rsidR="00914158">
        <w:rPr>
          <w:rFonts w:cs="Arial"/>
          <w:bCs/>
          <w:sz w:val="22"/>
          <w:szCs w:val="22"/>
          <w:lang w:val="en-US"/>
        </w:rPr>
        <w:t>five to ten</w:t>
      </w:r>
      <w:r w:rsidR="00E34882">
        <w:rPr>
          <w:rFonts w:cs="Arial"/>
          <w:bCs/>
          <w:sz w:val="22"/>
          <w:szCs w:val="22"/>
          <w:lang w:val="en-US"/>
        </w:rPr>
        <w:t xml:space="preserve"> years. </w:t>
      </w:r>
      <w:r w:rsidR="00EF6929">
        <w:rPr>
          <w:rFonts w:cs="Arial"/>
          <w:bCs/>
          <w:sz w:val="22"/>
          <w:szCs w:val="22"/>
          <w:lang w:val="en-US"/>
        </w:rPr>
        <w:t xml:space="preserve"> </w:t>
      </w:r>
      <w:r w:rsidR="00E34882">
        <w:rPr>
          <w:sz w:val="22"/>
          <w:szCs w:val="22"/>
          <w:lang w:val="en-US"/>
        </w:rPr>
        <w:t>During this period</w:t>
      </w:r>
      <w:r w:rsidR="00EF6929">
        <w:rPr>
          <w:sz w:val="22"/>
          <w:szCs w:val="22"/>
          <w:lang w:val="en-US"/>
        </w:rPr>
        <w:t>,</w:t>
      </w:r>
      <w:r w:rsidR="00E34882">
        <w:rPr>
          <w:sz w:val="22"/>
          <w:szCs w:val="22"/>
          <w:lang w:val="en-US"/>
        </w:rPr>
        <w:t xml:space="preserve"> however</w:t>
      </w:r>
      <w:r w:rsidR="00EF6929">
        <w:rPr>
          <w:sz w:val="22"/>
          <w:szCs w:val="22"/>
          <w:lang w:val="en-US"/>
        </w:rPr>
        <w:t>,</w:t>
      </w:r>
      <w:r w:rsidR="00C76823">
        <w:rPr>
          <w:sz w:val="22"/>
          <w:szCs w:val="22"/>
          <w:lang w:val="en-US"/>
        </w:rPr>
        <w:t xml:space="preserve"> w</w:t>
      </w:r>
      <w:r w:rsidR="00FC7C54" w:rsidRPr="00841766">
        <w:rPr>
          <w:sz w:val="22"/>
          <w:szCs w:val="22"/>
          <w:lang w:val="en-US"/>
        </w:rPr>
        <w:t>ith</w:t>
      </w:r>
      <w:r w:rsidR="00FC7C54" w:rsidRPr="00841766">
        <w:rPr>
          <w:rFonts w:cs="Arial"/>
          <w:sz w:val="22"/>
          <w:szCs w:val="22"/>
          <w:lang w:val="en-US"/>
        </w:rPr>
        <w:t xml:space="preserve">drawals from the Petroleum Fund </w:t>
      </w:r>
      <w:r w:rsidR="00C9090A">
        <w:rPr>
          <w:rFonts w:cs="Arial"/>
          <w:sz w:val="22"/>
          <w:szCs w:val="22"/>
          <w:lang w:val="en-US"/>
        </w:rPr>
        <w:t xml:space="preserve">would likely continue to </w:t>
      </w:r>
      <w:r w:rsidR="00FC7C54" w:rsidRPr="00841766">
        <w:rPr>
          <w:rFonts w:cs="Arial"/>
          <w:sz w:val="22"/>
          <w:szCs w:val="22"/>
          <w:lang w:val="en-US"/>
        </w:rPr>
        <w:t>exceed the Estimated Sustainable Income (ESI)</w:t>
      </w:r>
      <w:r w:rsidR="00FC7C54" w:rsidRPr="00841766">
        <w:rPr>
          <w:rStyle w:val="FootnoteReference"/>
          <w:rFonts w:cs="Arial"/>
          <w:sz w:val="22"/>
          <w:szCs w:val="22"/>
          <w:lang w:val="en-US"/>
        </w:rPr>
        <w:footnoteReference w:id="3"/>
      </w:r>
      <w:r w:rsidR="00EF6929">
        <w:rPr>
          <w:rFonts w:cs="Arial"/>
          <w:sz w:val="22"/>
          <w:szCs w:val="22"/>
          <w:lang w:val="en-US"/>
        </w:rPr>
        <w:t>,</w:t>
      </w:r>
      <w:r w:rsidR="00E34882">
        <w:rPr>
          <w:rFonts w:cs="Arial"/>
          <w:sz w:val="22"/>
          <w:szCs w:val="22"/>
          <w:lang w:val="en-US"/>
        </w:rPr>
        <w:t xml:space="preserve"> which </w:t>
      </w:r>
      <w:r w:rsidR="00A3399D">
        <w:rPr>
          <w:rFonts w:cs="Arial"/>
          <w:sz w:val="22"/>
          <w:szCs w:val="22"/>
          <w:lang w:val="en-US"/>
        </w:rPr>
        <w:t>threaten fiscal sustainability</w:t>
      </w:r>
      <w:r w:rsidR="00C9090A" w:rsidRPr="00841766">
        <w:rPr>
          <w:rFonts w:cs="Arial"/>
          <w:bCs/>
          <w:sz w:val="22"/>
          <w:szCs w:val="22"/>
          <w:lang w:val="en-US"/>
        </w:rPr>
        <w:t xml:space="preserve">. </w:t>
      </w:r>
      <w:r w:rsidR="00A63B4D">
        <w:rPr>
          <w:rFonts w:cs="Arial"/>
          <w:bCs/>
          <w:sz w:val="22"/>
          <w:szCs w:val="22"/>
          <w:lang w:val="en-US"/>
        </w:rPr>
        <w:t xml:space="preserve"> </w:t>
      </w:r>
    </w:p>
    <w:p w14:paraId="37535E5F" w14:textId="3EDCB434" w:rsidR="00DF69B7" w:rsidRPr="00841766" w:rsidRDefault="00DF69B7" w:rsidP="00914158">
      <w:pPr>
        <w:spacing w:after="120"/>
        <w:jc w:val="both"/>
        <w:rPr>
          <w:rFonts w:cs="Arial"/>
          <w:sz w:val="22"/>
          <w:szCs w:val="22"/>
          <w:lang w:val="en-US"/>
        </w:rPr>
      </w:pPr>
      <w:r w:rsidRPr="007916BB">
        <w:rPr>
          <w:rFonts w:cs="Arial"/>
          <w:sz w:val="22"/>
          <w:shd w:val="clear" w:color="auto" w:fill="FFFFFF"/>
          <w:lang w:val="en-US"/>
        </w:rPr>
        <w:lastRenderedPageBreak/>
        <w:t>Timor-Leste's Human Development Index (HDI)</w:t>
      </w:r>
      <w:r>
        <w:rPr>
          <w:rStyle w:val="FootnoteReference"/>
          <w:rFonts w:cs="Arial"/>
          <w:sz w:val="22"/>
          <w:shd w:val="clear" w:color="auto" w:fill="FFFFFF"/>
        </w:rPr>
        <w:footnoteReference w:id="4"/>
      </w:r>
      <w:r w:rsidRPr="007916BB">
        <w:rPr>
          <w:rFonts w:cs="Arial"/>
          <w:sz w:val="22"/>
          <w:shd w:val="clear" w:color="auto" w:fill="FFFFFF"/>
          <w:lang w:val="en-US"/>
        </w:rPr>
        <w:t> has</w:t>
      </w:r>
      <w:r>
        <w:rPr>
          <w:rFonts w:cs="Arial"/>
          <w:sz w:val="22"/>
          <w:shd w:val="clear" w:color="auto" w:fill="FFFFFF"/>
          <w:lang w:val="en-US"/>
        </w:rPr>
        <w:t xml:space="preserve"> nevertheless</w:t>
      </w:r>
      <w:r w:rsidRPr="007916BB">
        <w:rPr>
          <w:rFonts w:cs="Arial"/>
          <w:sz w:val="22"/>
          <w:shd w:val="clear" w:color="auto" w:fill="FFFFFF"/>
          <w:lang w:val="en-US"/>
        </w:rPr>
        <w:t xml:space="preserve"> improved significantly. </w:t>
      </w:r>
      <w:r>
        <w:rPr>
          <w:rFonts w:cs="Arial"/>
          <w:sz w:val="22"/>
          <w:shd w:val="clear" w:color="auto" w:fill="FFFFFF"/>
          <w:lang w:val="en-US"/>
        </w:rPr>
        <w:t xml:space="preserve"> </w:t>
      </w:r>
      <w:r w:rsidRPr="007916BB">
        <w:rPr>
          <w:rFonts w:cs="Arial"/>
          <w:sz w:val="22"/>
          <w:shd w:val="clear" w:color="auto" w:fill="FFFFFF"/>
          <w:lang w:val="en-US"/>
        </w:rPr>
        <w:t>Between 2000 and 2017, the country’s HDI value increased from 0.507 to 0.625, a total increase of 23.</w:t>
      </w:r>
      <w:r>
        <w:rPr>
          <w:rFonts w:cs="Arial"/>
          <w:sz w:val="22"/>
          <w:shd w:val="clear" w:color="auto" w:fill="FFFFFF"/>
          <w:lang w:val="en-US"/>
        </w:rPr>
        <w:t>3%</w:t>
      </w:r>
      <w:r w:rsidRPr="005B71FA">
        <w:rPr>
          <w:rStyle w:val="FootnoteReference"/>
          <w:rFonts w:cs="Arial"/>
          <w:sz w:val="22"/>
          <w:shd w:val="clear" w:color="auto" w:fill="FFFFFF"/>
        </w:rPr>
        <w:footnoteReference w:id="5"/>
      </w:r>
      <w:r w:rsidRPr="007916BB">
        <w:rPr>
          <w:rFonts w:cs="Arial"/>
          <w:sz w:val="22"/>
          <w:shd w:val="clear" w:color="auto" w:fill="FFFFFF"/>
          <w:lang w:val="en-US"/>
        </w:rPr>
        <w:t>.</w:t>
      </w:r>
      <w:r w:rsidRPr="007916BB">
        <w:rPr>
          <w:rFonts w:cs="Arial"/>
          <w:sz w:val="22"/>
          <w:lang w:val="en-US"/>
        </w:rPr>
        <w:t xml:space="preserve"> </w:t>
      </w:r>
      <w:r w:rsidRPr="007916BB">
        <w:rPr>
          <w:rFonts w:cs="Arial"/>
          <w:sz w:val="22"/>
          <w:shd w:val="clear" w:color="auto" w:fill="FFFFFF"/>
          <w:lang w:val="en-US"/>
        </w:rPr>
        <w:t>Timor-Leste's</w:t>
      </w:r>
      <w:r w:rsidRPr="007916BB">
        <w:rPr>
          <w:rFonts w:cs="Arial"/>
          <w:sz w:val="22"/>
          <w:lang w:val="en-US"/>
        </w:rPr>
        <w:t xml:space="preserve"> HDI </w:t>
      </w:r>
      <w:r w:rsidRPr="007916BB">
        <w:rPr>
          <w:rFonts w:cs="Arial"/>
          <w:sz w:val="22"/>
          <w:shd w:val="clear" w:color="auto" w:fill="FFFFFF"/>
          <w:lang w:val="en-US"/>
        </w:rPr>
        <w:t xml:space="preserve">value for 2019 </w:t>
      </w:r>
      <w:r>
        <w:rPr>
          <w:rFonts w:cs="Arial"/>
          <w:sz w:val="22"/>
          <w:shd w:val="clear" w:color="auto" w:fill="FFFFFF"/>
          <w:lang w:val="en-US"/>
        </w:rPr>
        <w:t>is</w:t>
      </w:r>
      <w:r w:rsidRPr="007916BB">
        <w:rPr>
          <w:rFonts w:cs="Arial"/>
          <w:sz w:val="22"/>
          <w:shd w:val="clear" w:color="auto" w:fill="FFFFFF"/>
          <w:lang w:val="en-US"/>
        </w:rPr>
        <w:t xml:space="preserve"> 0.626, which puts the country in the medium human development category, positioning </w:t>
      </w:r>
      <w:r>
        <w:rPr>
          <w:rFonts w:cs="Arial"/>
          <w:sz w:val="22"/>
          <w:shd w:val="clear" w:color="auto" w:fill="FFFFFF"/>
          <w:lang w:val="en-US"/>
        </w:rPr>
        <w:t xml:space="preserve">the country </w:t>
      </w:r>
      <w:r w:rsidRPr="007916BB">
        <w:rPr>
          <w:rFonts w:cs="Arial"/>
          <w:sz w:val="22"/>
          <w:shd w:val="clear" w:color="auto" w:fill="FFFFFF"/>
          <w:lang w:val="en-US"/>
        </w:rPr>
        <w:t>at 131 out of 189 countries and territories</w:t>
      </w:r>
      <w:r w:rsidRPr="005B71FA">
        <w:rPr>
          <w:rStyle w:val="FootnoteReference"/>
          <w:rFonts w:cs="Arial"/>
          <w:sz w:val="22"/>
          <w:shd w:val="clear" w:color="auto" w:fill="FFFFFF"/>
        </w:rPr>
        <w:footnoteReference w:id="6"/>
      </w:r>
      <w:r w:rsidRPr="007916BB">
        <w:rPr>
          <w:rFonts w:cs="Arial"/>
          <w:sz w:val="22"/>
          <w:shd w:val="clear" w:color="auto" w:fill="FFFFFF"/>
          <w:lang w:val="en-US"/>
        </w:rPr>
        <w:t xml:space="preserve">. </w:t>
      </w:r>
    </w:p>
    <w:p w14:paraId="5018BE51" w14:textId="5581B4FE" w:rsidR="00A63B4D" w:rsidRDefault="00DF69B7" w:rsidP="00914158">
      <w:pPr>
        <w:spacing w:after="120"/>
        <w:jc w:val="both"/>
        <w:rPr>
          <w:rFonts w:cs="Arial"/>
          <w:color w:val="000000" w:themeColor="text1"/>
          <w:sz w:val="22"/>
          <w:szCs w:val="22"/>
          <w:lang w:val="en-US"/>
        </w:rPr>
      </w:pPr>
      <w:r>
        <w:rPr>
          <w:rFonts w:cs="Arial"/>
          <w:color w:val="000000" w:themeColor="text1"/>
          <w:sz w:val="22"/>
          <w:szCs w:val="22"/>
          <w:lang w:val="en-US"/>
        </w:rPr>
        <w:t>The increase in HDI value, however, masks the in</w:t>
      </w:r>
      <w:r w:rsidR="00D94130">
        <w:rPr>
          <w:rFonts w:cs="Arial"/>
          <w:color w:val="000000" w:themeColor="text1"/>
          <w:sz w:val="22"/>
          <w:szCs w:val="22"/>
          <w:lang w:val="en-US"/>
        </w:rPr>
        <w:t xml:space="preserve">equitable distribution of economic wealth.  </w:t>
      </w:r>
      <w:r w:rsidR="00ED1B1A" w:rsidRPr="00841766">
        <w:rPr>
          <w:rFonts w:cs="Arial"/>
          <w:color w:val="000000" w:themeColor="text1"/>
          <w:sz w:val="22"/>
          <w:szCs w:val="22"/>
          <w:lang w:val="en-US"/>
        </w:rPr>
        <w:t xml:space="preserve">Poverty levels have decreased significantly </w:t>
      </w:r>
      <w:r w:rsidR="00E34882">
        <w:rPr>
          <w:rFonts w:cs="Arial"/>
          <w:color w:val="000000" w:themeColor="text1"/>
          <w:sz w:val="22"/>
          <w:szCs w:val="22"/>
          <w:lang w:val="en-US"/>
        </w:rPr>
        <w:t xml:space="preserve">over the past 20 years </w:t>
      </w:r>
      <w:r w:rsidR="00ED1B1A" w:rsidRPr="00841766">
        <w:rPr>
          <w:rFonts w:cs="Arial"/>
          <w:color w:val="000000" w:themeColor="text1"/>
          <w:sz w:val="22"/>
          <w:szCs w:val="22"/>
          <w:lang w:val="en-US"/>
        </w:rPr>
        <w:t>but remain high in all their dimensions</w:t>
      </w:r>
      <w:r w:rsidR="00D94130">
        <w:rPr>
          <w:rFonts w:cs="Arial"/>
          <w:color w:val="000000" w:themeColor="text1"/>
          <w:sz w:val="22"/>
          <w:szCs w:val="22"/>
          <w:lang w:val="en-US"/>
        </w:rPr>
        <w:t xml:space="preserve">, </w:t>
      </w:r>
      <w:r w:rsidR="00ED1B1A" w:rsidRPr="00841766">
        <w:rPr>
          <w:rFonts w:cs="Arial"/>
          <w:color w:val="000000" w:themeColor="text1"/>
          <w:sz w:val="22"/>
          <w:szCs w:val="22"/>
          <w:lang w:val="en-US"/>
        </w:rPr>
        <w:t>particular</w:t>
      </w:r>
      <w:r w:rsidR="00E34882">
        <w:rPr>
          <w:rFonts w:cs="Arial"/>
          <w:color w:val="000000" w:themeColor="text1"/>
          <w:sz w:val="22"/>
          <w:szCs w:val="22"/>
          <w:lang w:val="en-US"/>
        </w:rPr>
        <w:t>ly</w:t>
      </w:r>
      <w:r w:rsidR="00ED1B1A" w:rsidRPr="00841766">
        <w:rPr>
          <w:rFonts w:cs="Arial"/>
          <w:color w:val="000000" w:themeColor="text1"/>
          <w:sz w:val="22"/>
          <w:szCs w:val="22"/>
          <w:lang w:val="en-US"/>
        </w:rPr>
        <w:t xml:space="preserve"> </w:t>
      </w:r>
      <w:r w:rsidR="00E34882">
        <w:rPr>
          <w:rFonts w:cs="Arial"/>
          <w:color w:val="000000" w:themeColor="text1"/>
          <w:sz w:val="22"/>
          <w:szCs w:val="22"/>
          <w:lang w:val="en-US"/>
        </w:rPr>
        <w:t>affecting</w:t>
      </w:r>
      <w:r w:rsidR="00ED1B1A" w:rsidRPr="00841766">
        <w:rPr>
          <w:rFonts w:cs="Arial"/>
          <w:color w:val="000000" w:themeColor="text1"/>
          <w:sz w:val="22"/>
          <w:szCs w:val="22"/>
          <w:lang w:val="en-US"/>
        </w:rPr>
        <w:t xml:space="preserve"> children</w:t>
      </w:r>
      <w:r w:rsidR="00C73AB0" w:rsidRPr="00841766">
        <w:rPr>
          <w:rStyle w:val="FootnoteReference"/>
          <w:rFonts w:cs="Arial"/>
          <w:color w:val="000000" w:themeColor="text1"/>
          <w:sz w:val="22"/>
          <w:szCs w:val="22"/>
          <w:lang w:val="en-US"/>
        </w:rPr>
        <w:footnoteReference w:id="7"/>
      </w:r>
      <w:r w:rsidR="00C73AB0" w:rsidRPr="00841766">
        <w:rPr>
          <w:rFonts w:cs="Arial"/>
          <w:color w:val="000000" w:themeColor="text1"/>
          <w:sz w:val="22"/>
          <w:szCs w:val="22"/>
          <w:lang w:val="en-US"/>
        </w:rPr>
        <w:t xml:space="preserve">. </w:t>
      </w:r>
      <w:r w:rsidR="00B825AC">
        <w:rPr>
          <w:rFonts w:cs="Arial"/>
          <w:color w:val="000000" w:themeColor="text1"/>
          <w:sz w:val="22"/>
          <w:szCs w:val="22"/>
          <w:lang w:val="en-US"/>
        </w:rPr>
        <w:t xml:space="preserve"> </w:t>
      </w:r>
      <w:r w:rsidR="00F32DD7">
        <w:rPr>
          <w:rFonts w:cs="Arial"/>
          <w:color w:val="000000" w:themeColor="text1"/>
          <w:sz w:val="22"/>
          <w:szCs w:val="22"/>
          <w:lang w:val="en-US"/>
        </w:rPr>
        <w:t>While a</w:t>
      </w:r>
      <w:r w:rsidR="00ED1B1A" w:rsidRPr="00841766">
        <w:rPr>
          <w:rFonts w:cs="Arial"/>
          <w:color w:val="000000" w:themeColor="text1"/>
          <w:sz w:val="22"/>
          <w:szCs w:val="22"/>
          <w:lang w:val="en-US"/>
        </w:rPr>
        <w:t xml:space="preserve">ccess to most services has </w:t>
      </w:r>
      <w:r w:rsidR="00E34882">
        <w:rPr>
          <w:rFonts w:cs="Arial"/>
          <w:color w:val="000000" w:themeColor="text1"/>
          <w:sz w:val="22"/>
          <w:szCs w:val="22"/>
          <w:lang w:val="en-US"/>
        </w:rPr>
        <w:t xml:space="preserve">significantly </w:t>
      </w:r>
      <w:r w:rsidR="00ED1B1A" w:rsidRPr="00841766">
        <w:rPr>
          <w:rFonts w:cs="Arial"/>
          <w:color w:val="000000" w:themeColor="text1"/>
          <w:sz w:val="22"/>
          <w:szCs w:val="22"/>
          <w:lang w:val="en-US"/>
        </w:rPr>
        <w:t>improved</w:t>
      </w:r>
      <w:r w:rsidR="00F32DD7">
        <w:rPr>
          <w:rFonts w:cs="Arial"/>
          <w:color w:val="000000" w:themeColor="text1"/>
          <w:sz w:val="22"/>
          <w:szCs w:val="22"/>
          <w:lang w:val="en-US"/>
        </w:rPr>
        <w:t>,</w:t>
      </w:r>
      <w:r w:rsidR="00ED1B1A" w:rsidRPr="00841766">
        <w:rPr>
          <w:rFonts w:cs="Arial"/>
          <w:color w:val="000000" w:themeColor="text1"/>
          <w:sz w:val="22"/>
          <w:szCs w:val="22"/>
          <w:lang w:val="en-US"/>
        </w:rPr>
        <w:t xml:space="preserve"> inequality in accessing </w:t>
      </w:r>
      <w:r w:rsidR="00D94130">
        <w:rPr>
          <w:rFonts w:cs="Arial"/>
          <w:color w:val="000000" w:themeColor="text1"/>
          <w:sz w:val="22"/>
          <w:szCs w:val="22"/>
          <w:lang w:val="en-US"/>
        </w:rPr>
        <w:t xml:space="preserve">quality </w:t>
      </w:r>
      <w:r w:rsidR="00ED1B1A" w:rsidRPr="00841766">
        <w:rPr>
          <w:rFonts w:cs="Arial"/>
          <w:color w:val="000000" w:themeColor="text1"/>
          <w:sz w:val="22"/>
          <w:szCs w:val="22"/>
          <w:lang w:val="en-US"/>
        </w:rPr>
        <w:t xml:space="preserve">services and opportunities </w:t>
      </w:r>
      <w:r w:rsidR="00E34882">
        <w:rPr>
          <w:rFonts w:cs="Arial"/>
          <w:color w:val="000000" w:themeColor="text1"/>
          <w:sz w:val="22"/>
          <w:szCs w:val="22"/>
          <w:lang w:val="en-US"/>
        </w:rPr>
        <w:t xml:space="preserve">remain as </w:t>
      </w:r>
      <w:r w:rsidR="00ED1B1A" w:rsidRPr="00841766">
        <w:rPr>
          <w:rFonts w:cs="Arial"/>
          <w:color w:val="000000" w:themeColor="text1"/>
          <w:sz w:val="22"/>
          <w:szCs w:val="22"/>
          <w:lang w:val="en-US"/>
        </w:rPr>
        <w:t xml:space="preserve">key </w:t>
      </w:r>
      <w:r w:rsidR="00F32DD7">
        <w:rPr>
          <w:rFonts w:cs="Arial"/>
          <w:color w:val="000000" w:themeColor="text1"/>
          <w:sz w:val="22"/>
          <w:szCs w:val="22"/>
          <w:lang w:val="en-US"/>
        </w:rPr>
        <w:t xml:space="preserve">development </w:t>
      </w:r>
      <w:r w:rsidR="004431BB">
        <w:rPr>
          <w:rFonts w:cs="Arial"/>
          <w:color w:val="000000" w:themeColor="text1"/>
          <w:sz w:val="22"/>
          <w:szCs w:val="22"/>
          <w:lang w:val="en-US"/>
        </w:rPr>
        <w:t xml:space="preserve">and human rights </w:t>
      </w:r>
      <w:r w:rsidR="00F32DD7">
        <w:rPr>
          <w:rFonts w:cs="Arial"/>
          <w:color w:val="000000" w:themeColor="text1"/>
          <w:sz w:val="22"/>
          <w:szCs w:val="22"/>
          <w:lang w:val="en-US"/>
        </w:rPr>
        <w:t xml:space="preserve">challenges </w:t>
      </w:r>
      <w:r w:rsidR="00ED1B1A" w:rsidRPr="00841766">
        <w:rPr>
          <w:rFonts w:cs="Arial"/>
          <w:color w:val="000000" w:themeColor="text1"/>
          <w:sz w:val="22"/>
          <w:szCs w:val="22"/>
          <w:lang w:val="en-US"/>
        </w:rPr>
        <w:t>in Timor-Leste</w:t>
      </w:r>
      <w:r w:rsidR="00ED1B1A" w:rsidRPr="00841766">
        <w:rPr>
          <w:rStyle w:val="FootnoteReference"/>
          <w:rFonts w:cs="Arial"/>
          <w:color w:val="000000" w:themeColor="text1"/>
          <w:sz w:val="22"/>
          <w:szCs w:val="22"/>
          <w:lang w:val="en-US"/>
        </w:rPr>
        <w:footnoteReference w:id="8"/>
      </w:r>
      <w:r w:rsidR="00ED1B1A" w:rsidRPr="00841766">
        <w:rPr>
          <w:rFonts w:cs="Arial"/>
          <w:color w:val="000000" w:themeColor="text1"/>
          <w:sz w:val="22"/>
          <w:szCs w:val="22"/>
          <w:lang w:val="en-US"/>
        </w:rPr>
        <w:t xml:space="preserve">. </w:t>
      </w:r>
      <w:r w:rsidR="00B825AC">
        <w:rPr>
          <w:rFonts w:cs="Arial"/>
          <w:color w:val="000000" w:themeColor="text1"/>
          <w:sz w:val="22"/>
          <w:szCs w:val="22"/>
          <w:lang w:val="en-US"/>
        </w:rPr>
        <w:t xml:space="preserve"> </w:t>
      </w:r>
      <w:r w:rsidR="00B3412F">
        <w:rPr>
          <w:rFonts w:cs="Arial"/>
          <w:color w:val="000000" w:themeColor="text1"/>
          <w:sz w:val="22"/>
          <w:szCs w:val="22"/>
          <w:lang w:val="en-US"/>
        </w:rPr>
        <w:t xml:space="preserve">There are significant disparities between rural and urban communities, and women, early adolescent girls and boys, children under 5, and people with disabilities are most vulnerable to exclusion and marginalization. </w:t>
      </w:r>
    </w:p>
    <w:p w14:paraId="3F2028D9" w14:textId="4B9EA8FB" w:rsidR="00B254D7" w:rsidRPr="00B23657" w:rsidRDefault="00A63B4D" w:rsidP="00914158">
      <w:pPr>
        <w:spacing w:after="120"/>
        <w:jc w:val="both"/>
        <w:rPr>
          <w:rFonts w:cs="Arial"/>
          <w:sz w:val="22"/>
          <w:szCs w:val="22"/>
          <w:lang w:val="en-US"/>
        </w:rPr>
      </w:pPr>
      <w:r w:rsidRPr="00841766">
        <w:rPr>
          <w:rFonts w:cs="Arial"/>
          <w:sz w:val="22"/>
          <w:szCs w:val="22"/>
          <w:lang w:val="en-US"/>
        </w:rPr>
        <w:t xml:space="preserve">The possibility of stagnating economic growth, the demographic “youth bulge” with </w:t>
      </w:r>
      <w:r w:rsidR="009A2E65">
        <w:rPr>
          <w:rFonts w:cs="Arial"/>
          <w:sz w:val="22"/>
          <w:szCs w:val="22"/>
          <w:lang w:val="en-US"/>
        </w:rPr>
        <w:t xml:space="preserve">limited </w:t>
      </w:r>
      <w:r w:rsidRPr="00841766">
        <w:rPr>
          <w:rFonts w:cs="Arial"/>
          <w:sz w:val="22"/>
          <w:szCs w:val="22"/>
          <w:lang w:val="en-US"/>
        </w:rPr>
        <w:t xml:space="preserve">employment opportunities, </w:t>
      </w:r>
      <w:r w:rsidR="002E1255">
        <w:rPr>
          <w:rFonts w:cs="Arial"/>
          <w:sz w:val="22"/>
          <w:szCs w:val="22"/>
          <w:lang w:val="en-US"/>
        </w:rPr>
        <w:t>and exclusion and marginalization</w:t>
      </w:r>
      <w:r w:rsidR="009A2E65">
        <w:rPr>
          <w:rFonts w:cs="Arial"/>
          <w:sz w:val="22"/>
          <w:szCs w:val="22"/>
          <w:lang w:val="en-US"/>
        </w:rPr>
        <w:t xml:space="preserve"> of vulnerable groups</w:t>
      </w:r>
      <w:r w:rsidRPr="00841766">
        <w:rPr>
          <w:rFonts w:cs="Arial"/>
          <w:sz w:val="22"/>
          <w:szCs w:val="22"/>
          <w:lang w:val="en-US"/>
        </w:rPr>
        <w:t xml:space="preserve">, all constitute drivers of potential </w:t>
      </w:r>
      <w:r>
        <w:rPr>
          <w:rFonts w:cs="Arial"/>
          <w:sz w:val="22"/>
          <w:szCs w:val="22"/>
          <w:lang w:val="en-US"/>
        </w:rPr>
        <w:t xml:space="preserve">instability </w:t>
      </w:r>
      <w:r w:rsidRPr="00841766">
        <w:rPr>
          <w:rFonts w:cs="Arial"/>
          <w:sz w:val="22"/>
          <w:szCs w:val="22"/>
          <w:lang w:val="en-US"/>
        </w:rPr>
        <w:t>and violence</w:t>
      </w:r>
      <w:r w:rsidRPr="00841766">
        <w:rPr>
          <w:rStyle w:val="FootnoteReference"/>
          <w:rFonts w:cs="Arial"/>
          <w:sz w:val="22"/>
          <w:szCs w:val="22"/>
          <w:lang w:val="en-US"/>
        </w:rPr>
        <w:footnoteReference w:id="9"/>
      </w:r>
      <w:r w:rsidRPr="00841766">
        <w:rPr>
          <w:rFonts w:cs="Arial"/>
          <w:sz w:val="22"/>
          <w:szCs w:val="22"/>
          <w:lang w:val="en-US"/>
        </w:rPr>
        <w:t>.</w:t>
      </w:r>
    </w:p>
    <w:p w14:paraId="0970ADE7" w14:textId="6BDEAF91" w:rsidR="007916BB" w:rsidRPr="009D595C" w:rsidRDefault="009A2E65" w:rsidP="00914158">
      <w:pPr>
        <w:ind w:right="-11"/>
        <w:jc w:val="both"/>
        <w:rPr>
          <w:rFonts w:cs="Arial"/>
          <w:sz w:val="22"/>
          <w:shd w:val="clear" w:color="auto" w:fill="FFFFFF"/>
          <w:lang w:val="en-US"/>
        </w:rPr>
      </w:pPr>
      <w:r>
        <w:rPr>
          <w:rFonts w:eastAsia="MS Mincho" w:cstheme="minorHAnsi"/>
          <w:bCs/>
          <w:sz w:val="22"/>
          <w:lang w:val="en-US" w:eastAsia="ja-JP"/>
        </w:rPr>
        <w:t>Furthermore, a</w:t>
      </w:r>
      <w:r w:rsidR="000C3A28">
        <w:rPr>
          <w:rFonts w:eastAsia="MS Mincho" w:cstheme="minorHAnsi"/>
          <w:bCs/>
          <w:sz w:val="22"/>
          <w:lang w:val="en-US" w:eastAsia="ja-JP"/>
        </w:rPr>
        <w:t xml:space="preserve">s a Small Island Developing State (SIDS), </w:t>
      </w:r>
      <w:r w:rsidR="001B61D4" w:rsidRPr="009D595C">
        <w:rPr>
          <w:rFonts w:eastAsia="MS Mincho" w:cstheme="minorHAnsi"/>
          <w:bCs/>
          <w:sz w:val="22"/>
          <w:lang w:val="en-US" w:eastAsia="ja-JP"/>
        </w:rPr>
        <w:t xml:space="preserve">Timor-Leste is </w:t>
      </w:r>
      <w:r w:rsidR="001B61D4" w:rsidRPr="009D595C">
        <w:rPr>
          <w:bCs/>
          <w:sz w:val="22"/>
          <w:lang w:val="en-US"/>
        </w:rPr>
        <w:t xml:space="preserve">highly vulnerable to natural disasters </w:t>
      </w:r>
      <w:r w:rsidR="00F81A1E">
        <w:rPr>
          <w:bCs/>
          <w:sz w:val="22"/>
          <w:lang w:val="en-US"/>
        </w:rPr>
        <w:t xml:space="preserve">including </w:t>
      </w:r>
      <w:r w:rsidR="000C3A28">
        <w:rPr>
          <w:bCs/>
          <w:sz w:val="22"/>
          <w:lang w:val="en-US"/>
        </w:rPr>
        <w:t xml:space="preserve">floods, landslides, </w:t>
      </w:r>
      <w:r w:rsidR="001B61D4" w:rsidRPr="009D595C">
        <w:rPr>
          <w:bCs/>
          <w:sz w:val="22"/>
          <w:lang w:val="en-US"/>
        </w:rPr>
        <w:t>cyclones,</w:t>
      </w:r>
      <w:r w:rsidR="000C3A28">
        <w:rPr>
          <w:bCs/>
          <w:sz w:val="22"/>
          <w:lang w:val="en-US"/>
        </w:rPr>
        <w:t xml:space="preserve"> droughts, forest fires and</w:t>
      </w:r>
      <w:r w:rsidR="001B61D4" w:rsidRPr="009D595C">
        <w:rPr>
          <w:bCs/>
          <w:sz w:val="22"/>
          <w:lang w:val="en-US"/>
        </w:rPr>
        <w:t xml:space="preserve"> earthquakes</w:t>
      </w:r>
      <w:r w:rsidR="001B61D4" w:rsidRPr="009D595C">
        <w:rPr>
          <w:rStyle w:val="FootnoteReference"/>
          <w:bCs/>
          <w:sz w:val="22"/>
        </w:rPr>
        <w:footnoteReference w:id="10"/>
      </w:r>
      <w:r w:rsidR="000C3A28">
        <w:rPr>
          <w:bCs/>
          <w:sz w:val="22"/>
          <w:lang w:val="en-US"/>
        </w:rPr>
        <w:t>,</w:t>
      </w:r>
      <w:r w:rsidR="001B61D4" w:rsidRPr="009D595C">
        <w:rPr>
          <w:bCs/>
          <w:sz w:val="22"/>
          <w:lang w:val="en-US"/>
        </w:rPr>
        <w:t xml:space="preserve"> as well as the consequences of rising sea levels due to climate change</w:t>
      </w:r>
      <w:r w:rsidR="000C3A28">
        <w:rPr>
          <w:bCs/>
          <w:sz w:val="22"/>
          <w:lang w:val="en-US"/>
        </w:rPr>
        <w:t xml:space="preserve">.  The country </w:t>
      </w:r>
      <w:r w:rsidR="001B61D4" w:rsidRPr="009D595C">
        <w:rPr>
          <w:bCs/>
          <w:sz w:val="22"/>
          <w:lang w:val="en-US"/>
        </w:rPr>
        <w:t>has limited capacity to cope with</w:t>
      </w:r>
      <w:r w:rsidR="00F81A1E">
        <w:rPr>
          <w:bCs/>
          <w:sz w:val="22"/>
          <w:lang w:val="en-US"/>
        </w:rPr>
        <w:t>,</w:t>
      </w:r>
      <w:r w:rsidR="001B61D4" w:rsidRPr="009D595C">
        <w:rPr>
          <w:bCs/>
          <w:sz w:val="22"/>
          <w:lang w:val="en-US"/>
        </w:rPr>
        <w:t xml:space="preserve"> and adapt to</w:t>
      </w:r>
      <w:r w:rsidR="00F81A1E">
        <w:rPr>
          <w:bCs/>
          <w:sz w:val="22"/>
          <w:lang w:val="en-US"/>
        </w:rPr>
        <w:t>,</w:t>
      </w:r>
      <w:r w:rsidR="001B61D4" w:rsidRPr="009D595C">
        <w:rPr>
          <w:bCs/>
          <w:sz w:val="22"/>
          <w:lang w:val="en-US"/>
        </w:rPr>
        <w:t xml:space="preserve"> the</w:t>
      </w:r>
      <w:r w:rsidR="000C3A28">
        <w:rPr>
          <w:bCs/>
          <w:sz w:val="22"/>
          <w:lang w:val="en-US"/>
        </w:rPr>
        <w:t xml:space="preserve"> food security, livelihoods,</w:t>
      </w:r>
      <w:r w:rsidR="001B61D4" w:rsidRPr="009D595C">
        <w:rPr>
          <w:bCs/>
          <w:sz w:val="22"/>
          <w:lang w:val="en-US"/>
        </w:rPr>
        <w:t xml:space="preserve"> health and environment</w:t>
      </w:r>
      <w:r w:rsidR="000C3A28">
        <w:rPr>
          <w:bCs/>
          <w:sz w:val="22"/>
          <w:lang w:val="en-US"/>
        </w:rPr>
        <w:t>al</w:t>
      </w:r>
      <w:r w:rsidR="001B61D4" w:rsidRPr="009D595C">
        <w:rPr>
          <w:bCs/>
          <w:sz w:val="22"/>
          <w:lang w:val="en-US"/>
        </w:rPr>
        <w:t xml:space="preserve"> impact of</w:t>
      </w:r>
      <w:r w:rsidR="008E3CA3">
        <w:rPr>
          <w:bCs/>
          <w:sz w:val="22"/>
          <w:lang w:val="en-US"/>
        </w:rPr>
        <w:t xml:space="preserve"> climate change</w:t>
      </w:r>
      <w:r w:rsidR="0054417E">
        <w:rPr>
          <w:bCs/>
          <w:sz w:val="22"/>
          <w:lang w:val="en-US"/>
        </w:rPr>
        <w:t>,</w:t>
      </w:r>
      <w:r w:rsidR="008E56AF">
        <w:rPr>
          <w:bCs/>
          <w:sz w:val="22"/>
          <w:lang w:val="en-US"/>
        </w:rPr>
        <w:t xml:space="preserve"> as well as to respond to large-scale disasters</w:t>
      </w:r>
      <w:r w:rsidR="001B61D4" w:rsidRPr="009D595C">
        <w:rPr>
          <w:bCs/>
          <w:sz w:val="22"/>
          <w:lang w:val="en-US"/>
        </w:rPr>
        <w:t>.</w:t>
      </w:r>
    </w:p>
    <w:p w14:paraId="443A3E31" w14:textId="77777777" w:rsidR="007916BB" w:rsidRPr="00EF61FD" w:rsidRDefault="007916BB" w:rsidP="00914158">
      <w:pPr>
        <w:pStyle w:val="CommentText"/>
        <w:jc w:val="both"/>
        <w:rPr>
          <w:rFonts w:asciiTheme="minorHAnsi" w:hAnsiTheme="minorHAnsi" w:cs="Arial"/>
          <w:color w:val="000000" w:themeColor="text1"/>
          <w:sz w:val="22"/>
          <w:szCs w:val="22"/>
          <w:lang w:val="en-US"/>
        </w:rPr>
      </w:pPr>
    </w:p>
    <w:p w14:paraId="4FCBD1D7" w14:textId="77777777" w:rsidR="00B254D7" w:rsidRPr="00841766" w:rsidRDefault="00B254D7" w:rsidP="00914158">
      <w:pPr>
        <w:pStyle w:val="Heading2"/>
        <w:jc w:val="both"/>
        <w:rPr>
          <w:rFonts w:asciiTheme="minorHAnsi" w:hAnsiTheme="minorHAnsi"/>
          <w:sz w:val="28"/>
          <w:lang w:val="en-US"/>
        </w:rPr>
      </w:pPr>
      <w:bookmarkStart w:id="7" w:name="_Toc40265791"/>
      <w:r w:rsidRPr="00841766">
        <w:rPr>
          <w:rFonts w:asciiTheme="minorHAnsi" w:hAnsiTheme="minorHAnsi"/>
          <w:sz w:val="28"/>
          <w:lang w:val="en-US"/>
        </w:rPr>
        <w:t>1.2. National vision for sustainable development</w:t>
      </w:r>
      <w:bookmarkEnd w:id="7"/>
      <w:r w:rsidRPr="00841766">
        <w:rPr>
          <w:rFonts w:asciiTheme="minorHAnsi" w:hAnsiTheme="minorHAnsi"/>
          <w:sz w:val="28"/>
          <w:lang w:val="en-US"/>
        </w:rPr>
        <w:t xml:space="preserve"> </w:t>
      </w:r>
    </w:p>
    <w:p w14:paraId="0BBD07F0" w14:textId="17FC46C2" w:rsidR="00F63535" w:rsidRPr="00841766" w:rsidRDefault="00F63535" w:rsidP="00914158">
      <w:pPr>
        <w:autoSpaceDE w:val="0"/>
        <w:autoSpaceDN w:val="0"/>
        <w:adjustRightInd w:val="0"/>
        <w:spacing w:after="120"/>
        <w:ind w:right="-11"/>
        <w:jc w:val="both"/>
        <w:rPr>
          <w:rFonts w:cs="Arial"/>
          <w:sz w:val="22"/>
          <w:lang w:val="en-US"/>
        </w:rPr>
      </w:pPr>
      <w:r w:rsidRPr="00841766">
        <w:rPr>
          <w:rFonts w:cs="Arial"/>
          <w:b/>
          <w:bCs/>
          <w:sz w:val="22"/>
          <w:lang w:val="en-US"/>
        </w:rPr>
        <w:t>Timor-Leste’s visio</w:t>
      </w:r>
      <w:r w:rsidR="009430BA" w:rsidRPr="00841766">
        <w:rPr>
          <w:rFonts w:cs="Arial"/>
          <w:b/>
          <w:bCs/>
          <w:sz w:val="22"/>
          <w:lang w:val="en-US"/>
        </w:rPr>
        <w:t>n for sustainable development</w:t>
      </w:r>
      <w:r w:rsidRPr="00841766">
        <w:rPr>
          <w:rFonts w:cs="Arial"/>
          <w:b/>
          <w:bCs/>
          <w:sz w:val="22"/>
          <w:lang w:val="en-US"/>
        </w:rPr>
        <w:t xml:space="preserve"> is outlined in the Strategic Development Plan (SDP) 2011-2030</w:t>
      </w:r>
      <w:r w:rsidRPr="00841766">
        <w:rPr>
          <w:rFonts w:cs="Arial"/>
          <w:sz w:val="22"/>
          <w:lang w:val="en-US"/>
        </w:rPr>
        <w:t xml:space="preserve">. </w:t>
      </w:r>
      <w:r w:rsidR="00B13B91">
        <w:rPr>
          <w:rFonts w:cs="Arial"/>
          <w:sz w:val="22"/>
          <w:lang w:val="en-US"/>
        </w:rPr>
        <w:t xml:space="preserve"> </w:t>
      </w:r>
      <w:r w:rsidRPr="00841766">
        <w:rPr>
          <w:rFonts w:cs="Arial"/>
          <w:sz w:val="22"/>
          <w:lang w:val="en-US"/>
        </w:rPr>
        <w:t>It states the country’s a</w:t>
      </w:r>
      <w:r w:rsidR="00B13B91">
        <w:rPr>
          <w:rFonts w:cs="Arial"/>
          <w:sz w:val="22"/>
          <w:lang w:val="en-US"/>
        </w:rPr>
        <w:t>mbition</w:t>
      </w:r>
      <w:r w:rsidRPr="00841766">
        <w:rPr>
          <w:rFonts w:cs="Arial"/>
          <w:sz w:val="22"/>
          <w:lang w:val="en-US"/>
        </w:rPr>
        <w:t xml:space="preserve"> to transition from a low income to an upper middle-income country by 2030, </w:t>
      </w:r>
      <w:r w:rsidRPr="00841766">
        <w:rPr>
          <w:rStyle w:val="A6"/>
          <w:rFonts w:cs="Arial"/>
          <w:sz w:val="22"/>
          <w:lang w:val="en-US"/>
        </w:rPr>
        <w:t>with a healthy, well-educated and safe population</w:t>
      </w:r>
      <w:r w:rsidRPr="00841766">
        <w:rPr>
          <w:rStyle w:val="FootnoteReference"/>
          <w:rFonts w:cs="Arial"/>
          <w:sz w:val="22"/>
          <w:lang w:val="en-US"/>
        </w:rPr>
        <w:footnoteReference w:id="11"/>
      </w:r>
      <w:r w:rsidRPr="00841766">
        <w:rPr>
          <w:rFonts w:cs="Arial"/>
          <w:sz w:val="22"/>
          <w:lang w:val="en-US"/>
        </w:rPr>
        <w:t xml:space="preserve">. </w:t>
      </w:r>
      <w:r w:rsidR="00B13B91">
        <w:rPr>
          <w:rFonts w:cs="Arial"/>
          <w:sz w:val="22"/>
          <w:lang w:val="en-US"/>
        </w:rPr>
        <w:t xml:space="preserve"> It </w:t>
      </w:r>
      <w:r w:rsidRPr="00841766">
        <w:rPr>
          <w:rFonts w:cs="Arial"/>
          <w:sz w:val="22"/>
          <w:lang w:val="en-US"/>
        </w:rPr>
        <w:t xml:space="preserve">places state-building, social inclusion, and economic growth at the core. </w:t>
      </w:r>
      <w:r w:rsidR="00B13B91">
        <w:rPr>
          <w:rFonts w:cs="Arial"/>
          <w:sz w:val="22"/>
          <w:lang w:val="en-US"/>
        </w:rPr>
        <w:t xml:space="preserve"> </w:t>
      </w:r>
      <w:r w:rsidRPr="00841766">
        <w:rPr>
          <w:rFonts w:cs="Arial"/>
          <w:sz w:val="22"/>
          <w:lang w:val="en-US"/>
        </w:rPr>
        <w:t>Capitalizing on four main pillars – social capital, infrastructure, economic development and institutional framework</w:t>
      </w:r>
      <w:r w:rsidR="00B13B91">
        <w:rPr>
          <w:rFonts w:cs="Arial"/>
          <w:sz w:val="22"/>
          <w:lang w:val="en-US"/>
        </w:rPr>
        <w:t xml:space="preserve"> -</w:t>
      </w:r>
      <w:r w:rsidRPr="00841766">
        <w:rPr>
          <w:rFonts w:cs="Arial"/>
          <w:sz w:val="22"/>
          <w:lang w:val="en-US"/>
        </w:rPr>
        <w:t xml:space="preserve"> the SDP provides the roadmap for the country to achieve its vision. </w:t>
      </w:r>
      <w:r w:rsidR="00B13B91">
        <w:rPr>
          <w:rFonts w:cs="Arial"/>
          <w:sz w:val="22"/>
          <w:lang w:val="en-US"/>
        </w:rPr>
        <w:t xml:space="preserve"> </w:t>
      </w:r>
      <w:r w:rsidR="00ED1B1A" w:rsidRPr="00841766">
        <w:rPr>
          <w:rFonts w:cs="Arial"/>
          <w:sz w:val="22"/>
          <w:lang w:val="en-US"/>
        </w:rPr>
        <w:t xml:space="preserve">Gender equality is included in the SDP as a cross-cutting issue. </w:t>
      </w:r>
      <w:r w:rsidR="00B13B91">
        <w:rPr>
          <w:rFonts w:cs="Arial"/>
          <w:sz w:val="22"/>
          <w:lang w:val="en-US"/>
        </w:rPr>
        <w:t xml:space="preserve"> </w:t>
      </w:r>
      <w:r w:rsidRPr="00841766">
        <w:rPr>
          <w:rFonts w:cs="Arial"/>
          <w:sz w:val="22"/>
          <w:lang w:val="en-US"/>
        </w:rPr>
        <w:t>Developed through a national consultation process, the SDP has been designed to be delivered in three implementation phases</w:t>
      </w:r>
      <w:r w:rsidR="00B13B91">
        <w:rPr>
          <w:rFonts w:cs="Arial"/>
          <w:sz w:val="22"/>
          <w:lang w:val="en-US"/>
        </w:rPr>
        <w:t>:</w:t>
      </w:r>
      <w:r w:rsidRPr="00841766">
        <w:rPr>
          <w:rFonts w:cs="Arial"/>
          <w:sz w:val="22"/>
          <w:lang w:val="en-US"/>
        </w:rPr>
        <w:t xml:space="preserve"> phase 1 (2011-2019)</w:t>
      </w:r>
      <w:r w:rsidR="00F1335A">
        <w:rPr>
          <w:rFonts w:cs="Arial"/>
          <w:sz w:val="22"/>
          <w:lang w:val="en-US"/>
        </w:rPr>
        <w:t>;</w:t>
      </w:r>
      <w:r w:rsidRPr="00841766">
        <w:rPr>
          <w:rFonts w:cs="Arial"/>
          <w:sz w:val="22"/>
          <w:lang w:val="en-US"/>
        </w:rPr>
        <w:t xml:space="preserve"> phase 2 (2019-2025)</w:t>
      </w:r>
      <w:r w:rsidR="00F1335A">
        <w:rPr>
          <w:rFonts w:cs="Arial"/>
          <w:sz w:val="22"/>
          <w:lang w:val="en-US"/>
        </w:rPr>
        <w:t>;</w:t>
      </w:r>
      <w:r w:rsidRPr="00841766">
        <w:rPr>
          <w:rFonts w:cs="Arial"/>
          <w:sz w:val="22"/>
          <w:lang w:val="en-US"/>
        </w:rPr>
        <w:t xml:space="preserve"> and phase 3 (</w:t>
      </w:r>
      <w:r w:rsidR="00B13B91">
        <w:rPr>
          <w:rFonts w:cs="Arial"/>
          <w:sz w:val="22"/>
          <w:lang w:val="en-US"/>
        </w:rPr>
        <w:t>2026-</w:t>
      </w:r>
      <w:r w:rsidRPr="00841766">
        <w:rPr>
          <w:rFonts w:cs="Arial"/>
          <w:sz w:val="22"/>
          <w:lang w:val="en-US"/>
        </w:rPr>
        <w:t xml:space="preserve">2030). </w:t>
      </w:r>
      <w:r w:rsidR="00B13B91">
        <w:rPr>
          <w:rFonts w:cs="Arial"/>
          <w:sz w:val="22"/>
          <w:lang w:val="en-US"/>
        </w:rPr>
        <w:t xml:space="preserve"> </w:t>
      </w:r>
      <w:r w:rsidRPr="00841766">
        <w:rPr>
          <w:rFonts w:cs="Arial"/>
          <w:sz w:val="22"/>
          <w:lang w:val="en-US"/>
        </w:rPr>
        <w:t>However, effective implementation of the SDP only started at the end of 2012</w:t>
      </w:r>
      <w:r w:rsidRPr="00841766">
        <w:rPr>
          <w:rStyle w:val="FootnoteReference"/>
          <w:rFonts w:cs="Arial"/>
          <w:sz w:val="22"/>
          <w:lang w:val="en-US"/>
        </w:rPr>
        <w:footnoteReference w:id="12"/>
      </w:r>
      <w:r w:rsidRPr="00841766">
        <w:rPr>
          <w:rFonts w:cs="Arial"/>
          <w:sz w:val="22"/>
          <w:lang w:val="en-US"/>
        </w:rPr>
        <w:t>.</w:t>
      </w:r>
    </w:p>
    <w:p w14:paraId="6DE64159" w14:textId="1C9F9E95" w:rsidR="00F63535" w:rsidRPr="00841766" w:rsidRDefault="0089646E" w:rsidP="00811EFE">
      <w:pPr>
        <w:autoSpaceDE w:val="0"/>
        <w:autoSpaceDN w:val="0"/>
        <w:adjustRightInd w:val="0"/>
        <w:ind w:right="-11"/>
        <w:jc w:val="center"/>
        <w:rPr>
          <w:rFonts w:cs="Arial"/>
          <w:sz w:val="22"/>
          <w:lang w:val="en-US"/>
        </w:rPr>
      </w:pPr>
      <w:r>
        <w:rPr>
          <w:noProof/>
        </w:rPr>
        <w:lastRenderedPageBreak/>
        <w:drawing>
          <wp:inline distT="0" distB="0" distL="0" distR="0" wp14:anchorId="12073DC5" wp14:editId="4169D903">
            <wp:extent cx="4119010" cy="2986964"/>
            <wp:effectExtent l="0" t="0" r="0" b="4445"/>
            <wp:docPr id="5648410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4119010" cy="2986964"/>
                    </a:xfrm>
                    <a:prstGeom prst="rect">
                      <a:avLst/>
                    </a:prstGeom>
                  </pic:spPr>
                </pic:pic>
              </a:graphicData>
            </a:graphic>
          </wp:inline>
        </w:drawing>
      </w:r>
    </w:p>
    <w:p w14:paraId="59AD95D5" w14:textId="723B7A8B" w:rsidR="00F63535" w:rsidRPr="00841766" w:rsidRDefault="00F63535" w:rsidP="00A52946">
      <w:pPr>
        <w:autoSpaceDE w:val="0"/>
        <w:autoSpaceDN w:val="0"/>
        <w:adjustRightInd w:val="0"/>
        <w:ind w:right="-11"/>
        <w:jc w:val="center"/>
        <w:rPr>
          <w:rFonts w:cs="Arial"/>
          <w:sz w:val="22"/>
          <w:lang w:val="en-US"/>
        </w:rPr>
      </w:pPr>
    </w:p>
    <w:p w14:paraId="1D35E966" w14:textId="77777777" w:rsidR="00B13B91" w:rsidRDefault="00B13B91" w:rsidP="00C974B1">
      <w:pPr>
        <w:autoSpaceDE w:val="0"/>
        <w:autoSpaceDN w:val="0"/>
        <w:adjustRightInd w:val="0"/>
        <w:ind w:right="-11"/>
        <w:jc w:val="both"/>
        <w:rPr>
          <w:rFonts w:cs="Arial"/>
          <w:b/>
          <w:bCs/>
          <w:sz w:val="22"/>
          <w:lang w:val="en-US"/>
        </w:rPr>
      </w:pPr>
    </w:p>
    <w:p w14:paraId="7359E132" w14:textId="4845EF01" w:rsidR="00F63535" w:rsidRPr="00841766" w:rsidRDefault="00F63535" w:rsidP="00914158">
      <w:pPr>
        <w:autoSpaceDE w:val="0"/>
        <w:autoSpaceDN w:val="0"/>
        <w:adjustRightInd w:val="0"/>
        <w:ind w:right="-11"/>
        <w:jc w:val="both"/>
        <w:rPr>
          <w:rFonts w:cs="Arial"/>
          <w:sz w:val="22"/>
          <w:lang w:val="en-US"/>
        </w:rPr>
      </w:pPr>
      <w:r w:rsidRPr="00841766">
        <w:rPr>
          <w:rFonts w:cs="Arial"/>
          <w:b/>
          <w:bCs/>
          <w:sz w:val="22"/>
          <w:lang w:val="en-US"/>
        </w:rPr>
        <w:t xml:space="preserve">Timor-Leste has embraced the 2030 Agenda for Sustainable Development since </w:t>
      </w:r>
      <w:r w:rsidR="00994649">
        <w:rPr>
          <w:rFonts w:cs="Arial"/>
          <w:b/>
          <w:bCs/>
          <w:sz w:val="22"/>
          <w:lang w:val="en-US"/>
        </w:rPr>
        <w:t>the</w:t>
      </w:r>
      <w:r w:rsidR="00994649" w:rsidRPr="00841766">
        <w:rPr>
          <w:rFonts w:cs="Arial"/>
          <w:b/>
          <w:bCs/>
          <w:sz w:val="22"/>
          <w:lang w:val="en-US"/>
        </w:rPr>
        <w:t xml:space="preserve"> </w:t>
      </w:r>
      <w:r w:rsidRPr="00841766">
        <w:rPr>
          <w:rFonts w:cs="Arial"/>
          <w:b/>
          <w:bCs/>
          <w:sz w:val="22"/>
          <w:lang w:val="en-US"/>
        </w:rPr>
        <w:t>inception.</w:t>
      </w:r>
      <w:r w:rsidRPr="00841766">
        <w:rPr>
          <w:rFonts w:cs="Arial"/>
          <w:sz w:val="22"/>
          <w:lang w:val="en-US"/>
        </w:rPr>
        <w:t xml:space="preserve"> </w:t>
      </w:r>
      <w:r w:rsidR="00EC4B46">
        <w:rPr>
          <w:rFonts w:cs="Arial"/>
          <w:sz w:val="22"/>
          <w:lang w:val="en-US"/>
        </w:rPr>
        <w:t xml:space="preserve"> </w:t>
      </w:r>
      <w:r w:rsidRPr="00841766">
        <w:rPr>
          <w:rFonts w:cs="Arial"/>
          <w:sz w:val="22"/>
          <w:lang w:val="en-US"/>
        </w:rPr>
        <w:t xml:space="preserve">The Government adopted the 2030 Agenda and Sustainable Development Goals </w:t>
      </w:r>
      <w:r w:rsidR="00914158">
        <w:rPr>
          <w:rFonts w:cs="Arial"/>
          <w:sz w:val="22"/>
          <w:lang w:val="en-US"/>
        </w:rPr>
        <w:t xml:space="preserve">(SDGs) </w:t>
      </w:r>
      <w:r w:rsidRPr="00841766">
        <w:rPr>
          <w:rFonts w:cs="Arial"/>
          <w:sz w:val="22"/>
          <w:lang w:val="en-US"/>
        </w:rPr>
        <w:t xml:space="preserve">through a resolution two days before they were adopted internationally at the UN Sustainable Development Summit. </w:t>
      </w:r>
      <w:r w:rsidR="00EC4B46">
        <w:rPr>
          <w:rFonts w:cs="Arial"/>
          <w:sz w:val="22"/>
          <w:lang w:val="en-US"/>
        </w:rPr>
        <w:t xml:space="preserve"> </w:t>
      </w:r>
      <w:r w:rsidRPr="00841766">
        <w:rPr>
          <w:rFonts w:cs="Arial"/>
          <w:sz w:val="22"/>
          <w:lang w:val="en-US"/>
        </w:rPr>
        <w:t>The SDGs were subsequently ratified by a resolution of the National Parliament followed by a formal executive directive to establish a SDGs Working Group chaired by the Prime Minister’s Office to ov</w:t>
      </w:r>
      <w:r w:rsidR="009D25A2" w:rsidRPr="00841766">
        <w:rPr>
          <w:rFonts w:cs="Arial"/>
          <w:sz w:val="22"/>
          <w:lang w:val="en-US"/>
        </w:rPr>
        <w:t xml:space="preserve">ersee implementation. </w:t>
      </w:r>
      <w:r w:rsidR="00EC4B46">
        <w:rPr>
          <w:rFonts w:cs="Arial"/>
          <w:sz w:val="22"/>
          <w:lang w:val="en-US"/>
        </w:rPr>
        <w:t xml:space="preserve"> In e</w:t>
      </w:r>
      <w:r w:rsidRPr="00841766">
        <w:rPr>
          <w:rFonts w:cs="Arial"/>
          <w:sz w:val="22"/>
          <w:lang w:val="en-US"/>
        </w:rPr>
        <w:t>arly 2016</w:t>
      </w:r>
      <w:r w:rsidR="009D25A2" w:rsidRPr="00841766">
        <w:rPr>
          <w:rFonts w:cs="Arial"/>
          <w:sz w:val="22"/>
          <w:lang w:val="en-US"/>
        </w:rPr>
        <w:t>,</w:t>
      </w:r>
      <w:r w:rsidRPr="00841766">
        <w:rPr>
          <w:rFonts w:cs="Arial"/>
          <w:sz w:val="22"/>
          <w:lang w:val="en-US"/>
        </w:rPr>
        <w:t xml:space="preserve"> a government decree mandated for the SDGs to be reflected in annual plans and budgets. </w:t>
      </w:r>
      <w:r w:rsidR="00EC4B46">
        <w:rPr>
          <w:rFonts w:cs="Arial"/>
          <w:sz w:val="22"/>
          <w:lang w:val="en-US"/>
        </w:rPr>
        <w:t xml:space="preserve"> </w:t>
      </w:r>
      <w:r w:rsidRPr="00841766">
        <w:rPr>
          <w:rFonts w:cs="Arial"/>
          <w:sz w:val="22"/>
          <w:lang w:val="en-US"/>
        </w:rPr>
        <w:t xml:space="preserve">Line ministries then committed to developing their own strategies to achieve the </w:t>
      </w:r>
      <w:r w:rsidR="00914158">
        <w:rPr>
          <w:rFonts w:cs="Arial"/>
          <w:sz w:val="22"/>
          <w:lang w:val="en-US"/>
        </w:rPr>
        <w:t>SDG</w:t>
      </w:r>
      <w:r w:rsidRPr="00841766">
        <w:rPr>
          <w:rFonts w:cs="Arial"/>
          <w:sz w:val="22"/>
          <w:lang w:val="en-US"/>
        </w:rPr>
        <w:t xml:space="preserve">s by focusing on targets related to their respective mandates. </w:t>
      </w:r>
      <w:r w:rsidR="00EC4B46">
        <w:rPr>
          <w:rFonts w:cs="Arial"/>
          <w:sz w:val="22"/>
          <w:lang w:val="en-US"/>
        </w:rPr>
        <w:t xml:space="preserve"> </w:t>
      </w:r>
      <w:r w:rsidRPr="00841766">
        <w:rPr>
          <w:rFonts w:cs="Arial"/>
          <w:sz w:val="22"/>
          <w:lang w:val="en-US"/>
        </w:rPr>
        <w:t xml:space="preserve">The </w:t>
      </w:r>
      <w:r w:rsidR="00D60572">
        <w:rPr>
          <w:rFonts w:cs="Arial"/>
          <w:sz w:val="22"/>
          <w:lang w:val="en-US"/>
        </w:rPr>
        <w:t>G</w:t>
      </w:r>
      <w:r w:rsidRPr="00841766">
        <w:rPr>
          <w:rFonts w:cs="Arial"/>
          <w:sz w:val="22"/>
          <w:lang w:val="en-US"/>
        </w:rPr>
        <w:t xml:space="preserve">overnment, using a whole of government approach, </w:t>
      </w:r>
      <w:bookmarkStart w:id="8" w:name="_Hlk34378882"/>
      <w:r w:rsidRPr="00841766">
        <w:rPr>
          <w:rFonts w:cs="Arial"/>
          <w:sz w:val="22"/>
          <w:lang w:val="en-US"/>
        </w:rPr>
        <w:t xml:space="preserve">developed a roadmap for the implementation of the 2030 Agenda and the SDGs </w:t>
      </w:r>
      <w:bookmarkEnd w:id="8"/>
      <w:r w:rsidRPr="00841766">
        <w:rPr>
          <w:rFonts w:cs="Arial"/>
          <w:sz w:val="22"/>
          <w:lang w:val="en-US"/>
        </w:rPr>
        <w:t xml:space="preserve">in 2017. </w:t>
      </w:r>
      <w:r w:rsidR="00EC4B46">
        <w:rPr>
          <w:rFonts w:cs="Arial"/>
          <w:sz w:val="22"/>
          <w:lang w:val="en-US"/>
        </w:rPr>
        <w:t xml:space="preserve"> </w:t>
      </w:r>
      <w:bookmarkStart w:id="9" w:name="_Hlk34378293"/>
      <w:r w:rsidRPr="00841766">
        <w:rPr>
          <w:rFonts w:cs="Arial"/>
          <w:sz w:val="22"/>
          <w:lang w:val="en-US"/>
        </w:rPr>
        <w:t>The SDP and the national SDG roadmap have become the basis for all government programs since the formation of the 7</w:t>
      </w:r>
      <w:r w:rsidRPr="00841766">
        <w:rPr>
          <w:rFonts w:cs="Arial"/>
          <w:sz w:val="22"/>
          <w:vertAlign w:val="superscript"/>
          <w:lang w:val="en-US"/>
        </w:rPr>
        <w:t>th</w:t>
      </w:r>
      <w:r w:rsidRPr="00841766">
        <w:rPr>
          <w:rFonts w:cs="Arial"/>
          <w:sz w:val="22"/>
          <w:lang w:val="en-US"/>
        </w:rPr>
        <w:t xml:space="preserve"> Constitutional Government in 2017.</w:t>
      </w:r>
      <w:bookmarkEnd w:id="9"/>
    </w:p>
    <w:p w14:paraId="5A212CAE" w14:textId="77777777" w:rsidR="00F63535" w:rsidRPr="00841766" w:rsidRDefault="00F63535" w:rsidP="00914158">
      <w:pPr>
        <w:autoSpaceDE w:val="0"/>
        <w:autoSpaceDN w:val="0"/>
        <w:adjustRightInd w:val="0"/>
        <w:ind w:right="-11"/>
        <w:jc w:val="both"/>
        <w:rPr>
          <w:rFonts w:cs="Arial"/>
          <w:b/>
          <w:bCs/>
          <w:sz w:val="22"/>
          <w:lang w:val="en-US"/>
        </w:rPr>
      </w:pPr>
    </w:p>
    <w:p w14:paraId="16B83A55" w14:textId="3A386AAF" w:rsidR="00761EBE" w:rsidRPr="00841766" w:rsidRDefault="00F63535" w:rsidP="00914158">
      <w:pPr>
        <w:autoSpaceDE w:val="0"/>
        <w:autoSpaceDN w:val="0"/>
        <w:adjustRightInd w:val="0"/>
        <w:spacing w:after="120"/>
        <w:ind w:right="-11"/>
        <w:jc w:val="both"/>
        <w:rPr>
          <w:rFonts w:cs="Arial"/>
          <w:sz w:val="22"/>
          <w:lang w:val="en-US"/>
        </w:rPr>
      </w:pPr>
      <w:bookmarkStart w:id="10" w:name="_Hlk34378411"/>
      <w:r w:rsidRPr="00841766">
        <w:rPr>
          <w:rFonts w:cs="Arial"/>
          <w:b/>
          <w:bCs/>
          <w:sz w:val="22"/>
          <w:lang w:val="en-US"/>
        </w:rPr>
        <w:t xml:space="preserve">Although the SDP pre-dates the creation of the SDGs, the SDP is the country’s primary </w:t>
      </w:r>
      <w:r w:rsidR="00C05462">
        <w:rPr>
          <w:rFonts w:cs="Arial"/>
          <w:b/>
          <w:bCs/>
          <w:sz w:val="22"/>
          <w:lang w:val="en-US"/>
        </w:rPr>
        <w:t>vehicle</w:t>
      </w:r>
      <w:r w:rsidRPr="00841766">
        <w:rPr>
          <w:rFonts w:cs="Arial"/>
          <w:b/>
          <w:bCs/>
          <w:sz w:val="22"/>
          <w:lang w:val="en-US"/>
        </w:rPr>
        <w:t xml:space="preserve"> for achieving the SDGs.</w:t>
      </w:r>
      <w:r w:rsidRPr="00841766">
        <w:rPr>
          <w:rFonts w:cs="Arial"/>
          <w:sz w:val="22"/>
          <w:lang w:val="en-US"/>
        </w:rPr>
        <w:t xml:space="preserve"> </w:t>
      </w:r>
      <w:r w:rsidR="0010090D">
        <w:rPr>
          <w:rFonts w:cs="Arial"/>
          <w:sz w:val="22"/>
          <w:lang w:val="en-US"/>
        </w:rPr>
        <w:t xml:space="preserve"> </w:t>
      </w:r>
      <w:bookmarkEnd w:id="10"/>
      <w:r w:rsidR="0010090D" w:rsidRPr="008F7F79">
        <w:rPr>
          <w:rFonts w:cs="Arial"/>
          <w:b/>
          <w:bCs/>
          <w:sz w:val="22"/>
          <w:lang w:val="en-US"/>
        </w:rPr>
        <w:t xml:space="preserve">Taking a three-phased </w:t>
      </w:r>
      <w:r w:rsidRPr="008F7F79">
        <w:rPr>
          <w:rFonts w:cs="Arial"/>
          <w:b/>
          <w:bCs/>
          <w:sz w:val="22"/>
          <w:lang w:val="en-US"/>
        </w:rPr>
        <w:t>approach</w:t>
      </w:r>
      <w:r w:rsidR="0010090D" w:rsidRPr="008F7F79">
        <w:rPr>
          <w:rFonts w:cs="Arial"/>
          <w:b/>
          <w:bCs/>
          <w:sz w:val="22"/>
          <w:lang w:val="en-US"/>
        </w:rPr>
        <w:t>, SDG targets and indicators are</w:t>
      </w:r>
      <w:r w:rsidRPr="008F7F79">
        <w:rPr>
          <w:rFonts w:cs="Arial"/>
          <w:b/>
          <w:bCs/>
          <w:sz w:val="22"/>
          <w:lang w:val="en-US"/>
        </w:rPr>
        <w:t xml:space="preserve"> </w:t>
      </w:r>
      <w:r w:rsidR="00032398" w:rsidRPr="008F7F79">
        <w:rPr>
          <w:rFonts w:cs="Arial"/>
          <w:b/>
          <w:bCs/>
          <w:sz w:val="22"/>
          <w:lang w:val="en-US"/>
        </w:rPr>
        <w:t xml:space="preserve">prioritized and </w:t>
      </w:r>
      <w:r w:rsidRPr="008F7F79">
        <w:rPr>
          <w:rFonts w:cs="Arial"/>
          <w:b/>
          <w:bCs/>
          <w:sz w:val="22"/>
          <w:lang w:val="en-US"/>
        </w:rPr>
        <w:t>sequence</w:t>
      </w:r>
      <w:r w:rsidR="0010090D" w:rsidRPr="008F7F79">
        <w:rPr>
          <w:rFonts w:cs="Arial"/>
          <w:b/>
          <w:bCs/>
          <w:sz w:val="22"/>
          <w:lang w:val="en-US"/>
        </w:rPr>
        <w:t>d</w:t>
      </w:r>
      <w:r w:rsidR="0010090D" w:rsidRPr="00D07E6D">
        <w:rPr>
          <w:rFonts w:cs="Arial"/>
          <w:b/>
          <w:bCs/>
          <w:sz w:val="22"/>
          <w:lang w:val="en-US"/>
        </w:rPr>
        <w:t>,</w:t>
      </w:r>
      <w:r w:rsidR="0010090D" w:rsidRPr="00841766">
        <w:rPr>
          <w:rFonts w:cs="Arial"/>
          <w:b/>
          <w:bCs/>
          <w:sz w:val="22"/>
          <w:lang w:val="en-US"/>
        </w:rPr>
        <w:t xml:space="preserve"> with the ultimate goal of building the conditions necessary to eradicate poverty and transitioning the country to</w:t>
      </w:r>
      <w:r w:rsidR="00F1335A">
        <w:rPr>
          <w:rFonts w:cs="Arial"/>
          <w:b/>
          <w:bCs/>
          <w:sz w:val="22"/>
          <w:lang w:val="en-US"/>
        </w:rPr>
        <w:t xml:space="preserve"> achieve </w:t>
      </w:r>
      <w:r w:rsidR="0010090D" w:rsidRPr="00841766">
        <w:rPr>
          <w:rFonts w:cs="Arial"/>
          <w:b/>
          <w:bCs/>
          <w:sz w:val="22"/>
          <w:lang w:val="en-US"/>
        </w:rPr>
        <w:t xml:space="preserve">upper middle-income </w:t>
      </w:r>
      <w:r w:rsidR="00F1335A">
        <w:rPr>
          <w:rFonts w:cs="Arial"/>
          <w:b/>
          <w:bCs/>
          <w:sz w:val="22"/>
          <w:lang w:val="en-US"/>
        </w:rPr>
        <w:t>status by 2030</w:t>
      </w:r>
      <w:r w:rsidR="0010090D" w:rsidRPr="00841766">
        <w:rPr>
          <w:rFonts w:cs="Arial"/>
          <w:b/>
          <w:bCs/>
          <w:sz w:val="22"/>
          <w:lang w:val="en-US"/>
        </w:rPr>
        <w:t>.</w:t>
      </w:r>
      <w:r w:rsidR="0010090D" w:rsidRPr="00841766">
        <w:rPr>
          <w:rFonts w:cs="Arial"/>
          <w:sz w:val="22"/>
          <w:lang w:val="en-US"/>
        </w:rPr>
        <w:t xml:space="preserve"> </w:t>
      </w:r>
      <w:r w:rsidRPr="00841766">
        <w:rPr>
          <w:rFonts w:cs="Arial"/>
          <w:sz w:val="22"/>
          <w:lang w:val="en-US"/>
        </w:rPr>
        <w:t xml:space="preserve"> </w:t>
      </w:r>
      <w:r w:rsidR="00761EBE" w:rsidRPr="00841766">
        <w:rPr>
          <w:rFonts w:cs="Arial"/>
          <w:sz w:val="22"/>
          <w:lang w:val="en-US"/>
        </w:rPr>
        <w:t xml:space="preserve">The sequencing of SDGs implementation </w:t>
      </w:r>
      <w:r w:rsidR="00761EBE">
        <w:rPr>
          <w:rFonts w:cs="Arial"/>
          <w:sz w:val="22"/>
          <w:lang w:val="en-US"/>
        </w:rPr>
        <w:t>was</w:t>
      </w:r>
      <w:r w:rsidR="00761EBE" w:rsidRPr="00841766">
        <w:rPr>
          <w:rFonts w:cs="Arial"/>
          <w:sz w:val="22"/>
          <w:lang w:val="en-US"/>
        </w:rPr>
        <w:t xml:space="preserve"> guided by </w:t>
      </w:r>
      <w:r w:rsidR="00761EBE">
        <w:rPr>
          <w:rFonts w:cs="Arial"/>
          <w:sz w:val="22"/>
          <w:lang w:val="en-US"/>
        </w:rPr>
        <w:t xml:space="preserve">an understanding </w:t>
      </w:r>
      <w:r w:rsidR="00761EBE" w:rsidRPr="00841766">
        <w:rPr>
          <w:rFonts w:cs="Arial"/>
          <w:sz w:val="22"/>
          <w:lang w:val="en-US"/>
        </w:rPr>
        <w:t>that human resource capacity is a necessary condition towards achieving economic development and effective protection of the environment.</w:t>
      </w:r>
    </w:p>
    <w:p w14:paraId="45BBF03E" w14:textId="057F8D94" w:rsidR="00F63535" w:rsidRPr="00E55F10" w:rsidRDefault="00F63535" w:rsidP="00914158">
      <w:pPr>
        <w:autoSpaceDE w:val="0"/>
        <w:autoSpaceDN w:val="0"/>
        <w:adjustRightInd w:val="0"/>
        <w:ind w:right="-11"/>
        <w:jc w:val="both"/>
        <w:rPr>
          <w:rFonts w:cs="Arial"/>
          <w:sz w:val="22"/>
          <w:szCs w:val="22"/>
          <w:lang w:val="en-US"/>
        </w:rPr>
      </w:pPr>
      <w:r w:rsidRPr="00E55F10">
        <w:rPr>
          <w:rFonts w:cs="Arial"/>
          <w:sz w:val="22"/>
          <w:szCs w:val="22"/>
          <w:lang w:val="en-US"/>
        </w:rPr>
        <w:t xml:space="preserve">Phase 1 of the </w:t>
      </w:r>
      <w:r w:rsidR="0010090D" w:rsidRPr="00E55F10">
        <w:rPr>
          <w:rFonts w:cs="Arial"/>
          <w:sz w:val="22"/>
          <w:szCs w:val="22"/>
          <w:lang w:val="en-US"/>
        </w:rPr>
        <w:t xml:space="preserve">SDP </w:t>
      </w:r>
      <w:r w:rsidR="006E70FE" w:rsidRPr="00E55F10">
        <w:rPr>
          <w:rFonts w:cs="Arial"/>
          <w:sz w:val="22"/>
          <w:szCs w:val="22"/>
          <w:lang w:val="en-US"/>
        </w:rPr>
        <w:t>prioritizes</w:t>
      </w:r>
      <w:r w:rsidRPr="00E55F10">
        <w:rPr>
          <w:rFonts w:cs="Arial"/>
          <w:sz w:val="22"/>
          <w:szCs w:val="22"/>
          <w:lang w:val="en-US"/>
        </w:rPr>
        <w:t xml:space="preserve"> the </w:t>
      </w:r>
      <w:r w:rsidR="006E70FE" w:rsidRPr="00E55F10">
        <w:rPr>
          <w:rFonts w:cs="Arial"/>
          <w:i/>
          <w:iCs/>
          <w:sz w:val="22"/>
          <w:szCs w:val="22"/>
          <w:lang w:val="en-US"/>
        </w:rPr>
        <w:t>People</w:t>
      </w:r>
      <w:r w:rsidR="006E70FE" w:rsidRPr="00E55F10">
        <w:rPr>
          <w:rFonts w:cs="Arial"/>
          <w:sz w:val="22"/>
          <w:szCs w:val="22"/>
          <w:lang w:val="en-US"/>
        </w:rPr>
        <w:t xml:space="preserve"> goals of the SDGs and creating an enabling environment for economic diversification, focusing on </w:t>
      </w:r>
      <w:r w:rsidRPr="00E55F10">
        <w:rPr>
          <w:rFonts w:cs="Arial"/>
          <w:sz w:val="22"/>
          <w:szCs w:val="22"/>
          <w:lang w:val="en-US"/>
        </w:rPr>
        <w:t xml:space="preserve">development of human resources, infrastructure and institutions. </w:t>
      </w:r>
      <w:r w:rsidR="0010090D" w:rsidRPr="00E55F10">
        <w:rPr>
          <w:rFonts w:cs="Arial"/>
          <w:sz w:val="22"/>
          <w:szCs w:val="22"/>
          <w:lang w:val="en-US"/>
        </w:rPr>
        <w:t xml:space="preserve"> </w:t>
      </w:r>
      <w:r w:rsidR="006E70FE" w:rsidRPr="00E55F10">
        <w:rPr>
          <w:rFonts w:cs="Arial"/>
          <w:sz w:val="22"/>
          <w:szCs w:val="22"/>
          <w:lang w:val="en-US"/>
        </w:rPr>
        <w:t>P</w:t>
      </w:r>
      <w:r w:rsidRPr="00E55F10">
        <w:rPr>
          <w:rFonts w:cs="Arial"/>
          <w:sz w:val="22"/>
          <w:szCs w:val="22"/>
          <w:lang w:val="en-US"/>
        </w:rPr>
        <w:t>hase 2</w:t>
      </w:r>
      <w:r w:rsidR="006E70FE" w:rsidRPr="00E55F10">
        <w:rPr>
          <w:rFonts w:cs="Arial"/>
          <w:sz w:val="22"/>
          <w:szCs w:val="22"/>
          <w:lang w:val="en-US"/>
        </w:rPr>
        <w:t xml:space="preserve"> prioritizes the </w:t>
      </w:r>
      <w:r w:rsidR="006E70FE" w:rsidRPr="00E55F10">
        <w:rPr>
          <w:rFonts w:cs="Arial"/>
          <w:i/>
          <w:iCs/>
          <w:sz w:val="22"/>
          <w:szCs w:val="22"/>
          <w:lang w:val="en-US"/>
        </w:rPr>
        <w:t>Prosperity</w:t>
      </w:r>
      <w:r w:rsidR="006E70FE" w:rsidRPr="00E55F10">
        <w:rPr>
          <w:rFonts w:cs="Arial"/>
          <w:sz w:val="22"/>
          <w:szCs w:val="22"/>
          <w:lang w:val="en-US"/>
        </w:rPr>
        <w:t xml:space="preserve"> goals</w:t>
      </w:r>
      <w:r w:rsidRPr="00E55F10">
        <w:rPr>
          <w:rFonts w:cs="Arial"/>
          <w:sz w:val="22"/>
          <w:szCs w:val="22"/>
          <w:lang w:val="en-US"/>
        </w:rPr>
        <w:t xml:space="preserve">, </w:t>
      </w:r>
      <w:r w:rsidR="006E70FE" w:rsidRPr="00E55F10">
        <w:rPr>
          <w:rFonts w:cs="Arial"/>
          <w:sz w:val="22"/>
          <w:szCs w:val="22"/>
          <w:lang w:val="en-US"/>
        </w:rPr>
        <w:t>with a focus</w:t>
      </w:r>
      <w:r w:rsidRPr="00E55F10">
        <w:rPr>
          <w:rFonts w:cs="Arial"/>
          <w:sz w:val="22"/>
          <w:szCs w:val="22"/>
          <w:lang w:val="en-US"/>
        </w:rPr>
        <w:t xml:space="preserve"> on economic competitiveness, and</w:t>
      </w:r>
      <w:r w:rsidR="006E70FE" w:rsidRPr="00E55F10">
        <w:rPr>
          <w:rFonts w:cs="Arial"/>
          <w:sz w:val="22"/>
          <w:szCs w:val="22"/>
          <w:lang w:val="en-US"/>
        </w:rPr>
        <w:t xml:space="preserve"> P</w:t>
      </w:r>
      <w:r w:rsidRPr="00E55F10">
        <w:rPr>
          <w:rFonts w:cs="Arial"/>
          <w:sz w:val="22"/>
          <w:szCs w:val="22"/>
          <w:lang w:val="en-US"/>
        </w:rPr>
        <w:t>hase 3</w:t>
      </w:r>
      <w:r w:rsidR="006E70FE" w:rsidRPr="00E55F10">
        <w:rPr>
          <w:rFonts w:cs="Arial"/>
          <w:sz w:val="22"/>
          <w:szCs w:val="22"/>
          <w:lang w:val="en-US"/>
        </w:rPr>
        <w:t xml:space="preserve"> prioritizes</w:t>
      </w:r>
      <w:r w:rsidRPr="00E55F10">
        <w:rPr>
          <w:rFonts w:cs="Arial"/>
          <w:sz w:val="22"/>
          <w:szCs w:val="22"/>
          <w:lang w:val="en-US"/>
        </w:rPr>
        <w:t xml:space="preserve"> </w:t>
      </w:r>
      <w:r w:rsidR="006E70FE" w:rsidRPr="00E55F10">
        <w:rPr>
          <w:rFonts w:cs="Arial"/>
          <w:i/>
          <w:iCs/>
          <w:sz w:val="22"/>
          <w:szCs w:val="22"/>
          <w:lang w:val="en-US"/>
        </w:rPr>
        <w:t xml:space="preserve">Planet </w:t>
      </w:r>
      <w:r w:rsidR="006E70FE" w:rsidRPr="00E55F10">
        <w:rPr>
          <w:rFonts w:cs="Arial"/>
          <w:sz w:val="22"/>
          <w:szCs w:val="22"/>
          <w:lang w:val="en-US"/>
        </w:rPr>
        <w:t>goals, with a</w:t>
      </w:r>
      <w:r w:rsidRPr="00E55F10">
        <w:rPr>
          <w:rFonts w:cs="Arial"/>
          <w:sz w:val="22"/>
          <w:szCs w:val="22"/>
          <w:lang w:val="en-US"/>
        </w:rPr>
        <w:t xml:space="preserve"> focus on ending poverty, diversifying the economy and strengthening the private sector.</w:t>
      </w:r>
    </w:p>
    <w:p w14:paraId="55FC5CFA" w14:textId="77777777" w:rsidR="00F63535" w:rsidRPr="00E55F10" w:rsidRDefault="00F63535" w:rsidP="00914158">
      <w:pPr>
        <w:autoSpaceDE w:val="0"/>
        <w:autoSpaceDN w:val="0"/>
        <w:adjustRightInd w:val="0"/>
        <w:ind w:right="-11"/>
        <w:jc w:val="both"/>
        <w:rPr>
          <w:rFonts w:cs="Arial"/>
          <w:sz w:val="22"/>
          <w:szCs w:val="22"/>
          <w:lang w:val="en-US"/>
        </w:rPr>
      </w:pPr>
    </w:p>
    <w:p w14:paraId="6FDC6F0C" w14:textId="610FD9EE" w:rsidR="00B04C86" w:rsidRPr="00E55F10" w:rsidRDefault="00E55F10" w:rsidP="00914158">
      <w:pPr>
        <w:autoSpaceDE w:val="0"/>
        <w:autoSpaceDN w:val="0"/>
        <w:adjustRightInd w:val="0"/>
        <w:ind w:right="-11"/>
        <w:jc w:val="both"/>
        <w:rPr>
          <w:rFonts w:cs="Arial"/>
          <w:sz w:val="22"/>
          <w:szCs w:val="22"/>
          <w:lang w:val="en-US"/>
        </w:rPr>
      </w:pPr>
      <w:r w:rsidRPr="00E55F10">
        <w:rPr>
          <w:rFonts w:cs="Arial"/>
          <w:sz w:val="22"/>
          <w:szCs w:val="22"/>
          <w:lang w:val="en-US"/>
        </w:rPr>
        <w:t>SDG</w:t>
      </w:r>
      <w:r w:rsidR="00F63535" w:rsidRPr="00E55F10">
        <w:rPr>
          <w:rFonts w:cs="Arial"/>
          <w:sz w:val="22"/>
          <w:szCs w:val="22"/>
          <w:lang w:val="en-US"/>
        </w:rPr>
        <w:t xml:space="preserve"> 16 is over</w:t>
      </w:r>
      <w:r w:rsidR="00F1335A">
        <w:rPr>
          <w:rFonts w:cs="Arial"/>
          <w:sz w:val="22"/>
          <w:szCs w:val="22"/>
          <w:lang w:val="en-US"/>
        </w:rPr>
        <w:t>-</w:t>
      </w:r>
      <w:r w:rsidR="00F63535" w:rsidRPr="00E55F10">
        <w:rPr>
          <w:rFonts w:cs="Arial"/>
          <w:sz w:val="22"/>
          <w:szCs w:val="22"/>
          <w:lang w:val="en-US"/>
        </w:rPr>
        <w:t xml:space="preserve">arching and its achievement will also depend on the successful attainment of the rest of the </w:t>
      </w:r>
      <w:r w:rsidR="00914158">
        <w:rPr>
          <w:rFonts w:cs="Arial"/>
          <w:sz w:val="22"/>
          <w:szCs w:val="22"/>
          <w:lang w:val="en-US"/>
        </w:rPr>
        <w:t>SDGs</w:t>
      </w:r>
      <w:r w:rsidR="00062690" w:rsidRPr="00E55F10">
        <w:rPr>
          <w:rFonts w:cs="Arial"/>
          <w:sz w:val="22"/>
          <w:szCs w:val="22"/>
          <w:lang w:val="en-US"/>
        </w:rPr>
        <w:t xml:space="preserve">.  </w:t>
      </w:r>
      <w:r w:rsidR="00B04C86" w:rsidRPr="00E55F10">
        <w:rPr>
          <w:rFonts w:cs="Arial"/>
          <w:sz w:val="22"/>
          <w:szCs w:val="22"/>
          <w:lang w:val="en-US"/>
        </w:rPr>
        <w:t xml:space="preserve">SDG 5 and SDG 17 are also identified in Timor-Leste’s </w:t>
      </w:r>
      <w:r>
        <w:rPr>
          <w:rFonts w:cs="Arial"/>
          <w:sz w:val="22"/>
          <w:szCs w:val="22"/>
          <w:lang w:val="en-US"/>
        </w:rPr>
        <w:t xml:space="preserve">SDG </w:t>
      </w:r>
      <w:r w:rsidR="00B04C86" w:rsidRPr="00E55F10">
        <w:rPr>
          <w:rFonts w:cs="Arial"/>
          <w:sz w:val="22"/>
          <w:szCs w:val="22"/>
          <w:lang w:val="en-US"/>
        </w:rPr>
        <w:t xml:space="preserve">Roadmap as cross-cutting areas that accompany all phases of SDG implementation. </w:t>
      </w:r>
      <w:r w:rsidR="00062690" w:rsidRPr="00E55F10">
        <w:rPr>
          <w:rFonts w:cs="Arial"/>
          <w:sz w:val="22"/>
          <w:szCs w:val="22"/>
          <w:lang w:val="en-US"/>
        </w:rPr>
        <w:t xml:space="preserve"> </w:t>
      </w:r>
      <w:r w:rsidR="00B04C86" w:rsidRPr="00E55F10">
        <w:rPr>
          <w:rFonts w:cs="Arial"/>
          <w:sz w:val="22"/>
          <w:szCs w:val="22"/>
          <w:lang w:val="en-US"/>
        </w:rPr>
        <w:t xml:space="preserve">With successful implementation of each phase, </w:t>
      </w:r>
      <w:r w:rsidR="00F1335A">
        <w:rPr>
          <w:rFonts w:cs="Arial"/>
          <w:sz w:val="22"/>
          <w:szCs w:val="22"/>
          <w:lang w:val="en-US"/>
        </w:rPr>
        <w:t xml:space="preserve">each of the </w:t>
      </w:r>
      <w:r w:rsidR="00914158">
        <w:rPr>
          <w:rFonts w:cs="Arial"/>
          <w:sz w:val="22"/>
          <w:szCs w:val="22"/>
          <w:lang w:val="en-US"/>
        </w:rPr>
        <w:t>SDGs</w:t>
      </w:r>
      <w:r w:rsidR="00B04C86" w:rsidRPr="00E55F10">
        <w:rPr>
          <w:rFonts w:cs="Arial"/>
          <w:sz w:val="22"/>
          <w:szCs w:val="22"/>
          <w:lang w:val="en-US"/>
        </w:rPr>
        <w:t xml:space="preserve"> are further consolidated, which </w:t>
      </w:r>
      <w:r w:rsidR="00F1335A">
        <w:rPr>
          <w:rFonts w:cs="Arial"/>
          <w:sz w:val="22"/>
          <w:szCs w:val="22"/>
          <w:lang w:val="en-US"/>
        </w:rPr>
        <w:t xml:space="preserve">in turn is expected to </w:t>
      </w:r>
      <w:r w:rsidR="00B04C86" w:rsidRPr="00E55F10">
        <w:rPr>
          <w:rFonts w:cs="Arial"/>
          <w:sz w:val="22"/>
          <w:szCs w:val="22"/>
          <w:lang w:val="en-US"/>
        </w:rPr>
        <w:t xml:space="preserve">secure the achievement of the other </w:t>
      </w:r>
      <w:r w:rsidR="00914158">
        <w:rPr>
          <w:rFonts w:cs="Arial"/>
          <w:sz w:val="22"/>
          <w:szCs w:val="22"/>
          <w:lang w:val="en-US"/>
        </w:rPr>
        <w:t>SDGs</w:t>
      </w:r>
      <w:r w:rsidR="00B04C86" w:rsidRPr="00E55F10">
        <w:rPr>
          <w:rFonts w:cs="Arial"/>
          <w:sz w:val="22"/>
          <w:szCs w:val="22"/>
          <w:lang w:val="en-US"/>
        </w:rPr>
        <w:t xml:space="preserve"> according to the </w:t>
      </w:r>
      <w:r>
        <w:rPr>
          <w:rFonts w:cs="Arial"/>
          <w:sz w:val="22"/>
          <w:szCs w:val="22"/>
          <w:lang w:val="en-US"/>
        </w:rPr>
        <w:t>R</w:t>
      </w:r>
      <w:r w:rsidR="00B04C86" w:rsidRPr="00E55F10">
        <w:rPr>
          <w:rFonts w:cs="Arial"/>
          <w:sz w:val="22"/>
          <w:szCs w:val="22"/>
          <w:lang w:val="en-US"/>
        </w:rPr>
        <w:t>oadmap, creating a virtuous loop.</w:t>
      </w:r>
    </w:p>
    <w:p w14:paraId="6F400451" w14:textId="77777777" w:rsidR="00F63535" w:rsidRPr="00E55F10" w:rsidRDefault="00F63535" w:rsidP="00914158">
      <w:pPr>
        <w:autoSpaceDE w:val="0"/>
        <w:autoSpaceDN w:val="0"/>
        <w:adjustRightInd w:val="0"/>
        <w:ind w:right="-11"/>
        <w:jc w:val="both"/>
        <w:rPr>
          <w:rFonts w:cs="Arial"/>
          <w:sz w:val="22"/>
          <w:szCs w:val="22"/>
          <w:lang w:val="en-US"/>
        </w:rPr>
      </w:pPr>
    </w:p>
    <w:p w14:paraId="05F290BD" w14:textId="77777777" w:rsidR="00F63535" w:rsidRPr="00841766" w:rsidRDefault="00F63535" w:rsidP="00F211FB">
      <w:pPr>
        <w:autoSpaceDE w:val="0"/>
        <w:autoSpaceDN w:val="0"/>
        <w:adjustRightInd w:val="0"/>
        <w:ind w:right="-11"/>
        <w:jc w:val="center"/>
        <w:rPr>
          <w:rFonts w:cs="Arial"/>
          <w:sz w:val="22"/>
          <w:lang w:val="en-US"/>
        </w:rPr>
      </w:pPr>
      <w:r w:rsidRPr="00841766">
        <w:rPr>
          <w:rFonts w:cs="Arial"/>
          <w:noProof/>
          <w:sz w:val="22"/>
          <w:lang w:val="en-US"/>
        </w:rPr>
        <w:lastRenderedPageBreak/>
        <mc:AlternateContent>
          <mc:Choice Requires="wps">
            <w:drawing>
              <wp:anchor distT="45720" distB="45720" distL="114300" distR="114300" simplePos="0" relativeHeight="251660288" behindDoc="0" locked="0" layoutInCell="1" allowOverlap="1" wp14:anchorId="3AFEE79A" wp14:editId="6007E42C">
                <wp:simplePos x="0" y="0"/>
                <wp:positionH relativeFrom="margin">
                  <wp:posOffset>1909710</wp:posOffset>
                </wp:positionH>
                <wp:positionV relativeFrom="paragraph">
                  <wp:posOffset>583300</wp:posOffset>
                </wp:positionV>
                <wp:extent cx="692590" cy="27093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0" cy="270934"/>
                        </a:xfrm>
                        <a:prstGeom prst="rect">
                          <a:avLst/>
                        </a:prstGeom>
                        <a:noFill/>
                        <a:ln w="9525">
                          <a:noFill/>
                          <a:miter lim="800000"/>
                          <a:headEnd/>
                          <a:tailEnd/>
                        </a:ln>
                      </wps:spPr>
                      <wps:txbx>
                        <w:txbxContent>
                          <w:p w14:paraId="0034B93F" w14:textId="05126B6C" w:rsidR="006C70F3" w:rsidRPr="00C06B38" w:rsidRDefault="006C70F3" w:rsidP="00F63535">
                            <w:pPr>
                              <w:rPr>
                                <w:rFonts w:ascii="Arial Nova" w:hAnsi="Arial Nova"/>
                                <w:b/>
                                <w:bCs/>
                                <w:sz w:val="11"/>
                                <w:szCs w:val="11"/>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EE79A" id="_x0000_t202" coordsize="21600,21600" o:spt="202" path="m,l,21600r21600,l21600,xe">
                <v:stroke joinstyle="miter"/>
                <v:path gradientshapeok="t" o:connecttype="rect"/>
              </v:shapetype>
              <v:shape id="Text Box 2" o:spid="_x0000_s1026" type="#_x0000_t202" style="position:absolute;left:0;text-align:left;margin-left:150.35pt;margin-top:45.95pt;width:54.55pt;height:21.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" filled="f" stroked="f">
                <v:textbox>
                  <w:txbxContent>
                    <w:p w14:paraId="0034B93F" w14:textId="05126B6C" w:rsidR="006C70F3" w:rsidRPr="00C06B38" w:rsidRDefault="006C70F3" w:rsidP="00F63535">
                      <w:pPr>
                        <w:rPr>
                          <w:rFonts w:ascii="Arial Nova" w:hAnsi="Arial Nova"/>
                          <w:b/>
                          <w:bCs/>
                          <w:sz w:val="11"/>
                          <w:szCs w:val="11"/>
                          <w:lang w:val="en-US"/>
                        </w:rPr>
                      </w:pPr>
                    </w:p>
                  </w:txbxContent>
                </v:textbox>
                <w10:wrap anchorx="margin"/>
              </v:shape>
            </w:pict>
          </mc:Fallback>
        </mc:AlternateContent>
      </w:r>
      <w:r w:rsidRPr="00841766">
        <w:rPr>
          <w:rFonts w:cs="Arial"/>
          <w:noProof/>
          <w:sz w:val="22"/>
          <w:lang w:val="en-US"/>
        </w:rPr>
        <mc:AlternateContent>
          <mc:Choice Requires="wps">
            <w:drawing>
              <wp:anchor distT="0" distB="0" distL="114300" distR="114300" simplePos="0" relativeHeight="251659264" behindDoc="0" locked="0" layoutInCell="1" allowOverlap="1" wp14:anchorId="29C95509" wp14:editId="2BD00713">
                <wp:simplePos x="0" y="0"/>
                <wp:positionH relativeFrom="column">
                  <wp:posOffset>2027948</wp:posOffset>
                </wp:positionH>
                <wp:positionV relativeFrom="paragraph">
                  <wp:posOffset>633909</wp:posOffset>
                </wp:positionV>
                <wp:extent cx="207564" cy="95305"/>
                <wp:effectExtent l="0" t="0" r="2540" b="0"/>
                <wp:wrapNone/>
                <wp:docPr id="5" name="Rectangle 5"/>
                <wp:cNvGraphicFramePr/>
                <a:graphic xmlns:a="http://schemas.openxmlformats.org/drawingml/2006/main">
                  <a:graphicData uri="http://schemas.microsoft.com/office/word/2010/wordprocessingShape">
                    <wps:wsp>
                      <wps:cNvSpPr/>
                      <wps:spPr>
                        <a:xfrm>
                          <a:off x="0" y="0"/>
                          <a:ext cx="207564" cy="95305"/>
                        </a:xfrm>
                        <a:prstGeom prst="rect">
                          <a:avLst/>
                        </a:prstGeom>
                        <a:solidFill>
                          <a:srgbClr val="E4ED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96B92" id="Rectangle 5" o:spid="_x0000_s1026" style="position:absolute;margin-left:159.7pt;margin-top:49.9pt;width:16.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" fillcolor="#e4edf6" stroked="f" strokeweight="1pt"/>
            </w:pict>
          </mc:Fallback>
        </mc:AlternateContent>
      </w:r>
      <w:r w:rsidRPr="00841766">
        <w:rPr>
          <w:noProof/>
          <w:lang w:val="en-US"/>
        </w:rPr>
        <w:drawing>
          <wp:inline distT="0" distB="0" distL="0" distR="0" wp14:anchorId="66AC1E58" wp14:editId="79CA3462">
            <wp:extent cx="4159727" cy="247840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9849" t="13348" r="22461" b="7423"/>
                    <a:stretch/>
                  </pic:blipFill>
                  <pic:spPr bwMode="auto">
                    <a:xfrm>
                      <a:off x="0" y="0"/>
                      <a:ext cx="4185162" cy="2493559"/>
                    </a:xfrm>
                    <a:prstGeom prst="rect">
                      <a:avLst/>
                    </a:prstGeom>
                    <a:ln>
                      <a:noFill/>
                    </a:ln>
                    <a:extLst>
                      <a:ext uri="{53640926-AAD7-44D8-BBD7-CCE9431645EC}">
                        <a14:shadowObscured xmlns:a14="http://schemas.microsoft.com/office/drawing/2010/main"/>
                      </a:ext>
                    </a:extLst>
                  </pic:spPr>
                </pic:pic>
              </a:graphicData>
            </a:graphic>
          </wp:inline>
        </w:drawing>
      </w:r>
    </w:p>
    <w:p w14:paraId="45A75922" w14:textId="77777777" w:rsidR="00F63535" w:rsidRPr="00841766" w:rsidRDefault="00F63535" w:rsidP="00C974B1">
      <w:pPr>
        <w:autoSpaceDE w:val="0"/>
        <w:autoSpaceDN w:val="0"/>
        <w:adjustRightInd w:val="0"/>
        <w:ind w:right="-11"/>
        <w:jc w:val="both"/>
        <w:rPr>
          <w:rFonts w:cs="Arial"/>
          <w:sz w:val="22"/>
          <w:lang w:val="en-US"/>
        </w:rPr>
      </w:pPr>
    </w:p>
    <w:p w14:paraId="1482CA66" w14:textId="6FF798B6" w:rsidR="00F63535" w:rsidRDefault="00F63535" w:rsidP="00914158">
      <w:pPr>
        <w:autoSpaceDE w:val="0"/>
        <w:autoSpaceDN w:val="0"/>
        <w:adjustRightInd w:val="0"/>
        <w:spacing w:after="240"/>
        <w:ind w:right="-11"/>
        <w:jc w:val="both"/>
        <w:rPr>
          <w:rFonts w:cs="Arial"/>
          <w:sz w:val="22"/>
          <w:lang w:val="en-US"/>
        </w:rPr>
      </w:pPr>
      <w:r w:rsidRPr="00841766">
        <w:rPr>
          <w:rFonts w:cs="Arial"/>
          <w:b/>
          <w:bCs/>
          <w:sz w:val="22"/>
          <w:lang w:val="en-US"/>
        </w:rPr>
        <w:t>In July 2019, Timor-Leste presented its first Voluntary National Review (VNR) at the High Level Political Forum</w:t>
      </w:r>
      <w:r w:rsidR="00227F1A">
        <w:rPr>
          <w:rFonts w:cs="Arial"/>
          <w:b/>
          <w:bCs/>
          <w:sz w:val="22"/>
          <w:lang w:val="en-US"/>
        </w:rPr>
        <w:t xml:space="preserve"> on Sustainable Development</w:t>
      </w:r>
      <w:r w:rsidRPr="00841766">
        <w:rPr>
          <w:rFonts w:cs="Arial"/>
          <w:b/>
          <w:bCs/>
          <w:sz w:val="22"/>
          <w:lang w:val="en-US"/>
        </w:rPr>
        <w:t xml:space="preserve"> in New York.</w:t>
      </w:r>
      <w:r w:rsidRPr="00841766">
        <w:rPr>
          <w:rFonts w:cs="Arial"/>
          <w:sz w:val="22"/>
          <w:lang w:val="en-US"/>
        </w:rPr>
        <w:t xml:space="preserve"> </w:t>
      </w:r>
      <w:r w:rsidR="00C05462">
        <w:rPr>
          <w:rFonts w:cs="Arial"/>
          <w:sz w:val="22"/>
          <w:lang w:val="en-US"/>
        </w:rPr>
        <w:t xml:space="preserve"> </w:t>
      </w:r>
      <w:r w:rsidRPr="00841766">
        <w:rPr>
          <w:rFonts w:cs="Arial"/>
          <w:sz w:val="22"/>
          <w:lang w:val="en-US"/>
        </w:rPr>
        <w:t>The VNR process was an important opportunity for Timor-Leste to take stock of the progress made on the SDGs</w:t>
      </w:r>
      <w:r w:rsidR="00C05462">
        <w:rPr>
          <w:rFonts w:cs="Arial"/>
          <w:sz w:val="22"/>
          <w:lang w:val="en-US"/>
        </w:rPr>
        <w:t xml:space="preserve"> through </w:t>
      </w:r>
      <w:r w:rsidRPr="00841766">
        <w:rPr>
          <w:rFonts w:cs="Arial"/>
          <w:sz w:val="22"/>
          <w:lang w:val="en-US"/>
        </w:rPr>
        <w:t>the SDP</w:t>
      </w:r>
      <w:r w:rsidR="00C05462">
        <w:rPr>
          <w:rFonts w:cs="Arial"/>
          <w:sz w:val="22"/>
          <w:lang w:val="en-US"/>
        </w:rPr>
        <w:t xml:space="preserve"> implementation</w:t>
      </w:r>
      <w:r w:rsidRPr="00841766">
        <w:rPr>
          <w:rFonts w:cs="Arial"/>
          <w:sz w:val="22"/>
          <w:lang w:val="en-US"/>
        </w:rPr>
        <w:t xml:space="preserve"> and </w:t>
      </w:r>
      <w:r w:rsidR="00C05462">
        <w:rPr>
          <w:rFonts w:cs="Arial"/>
          <w:sz w:val="22"/>
          <w:lang w:val="en-US"/>
        </w:rPr>
        <w:t xml:space="preserve">to </w:t>
      </w:r>
      <w:r w:rsidRPr="00841766">
        <w:rPr>
          <w:rFonts w:cs="Arial"/>
          <w:sz w:val="22"/>
          <w:lang w:val="en-US"/>
        </w:rPr>
        <w:t xml:space="preserve">identify where efforts need to be accelerated. </w:t>
      </w:r>
      <w:r w:rsidR="00C05462">
        <w:rPr>
          <w:rFonts w:cs="Arial"/>
          <w:sz w:val="22"/>
          <w:lang w:val="en-US"/>
        </w:rPr>
        <w:t xml:space="preserve"> </w:t>
      </w:r>
      <w:r w:rsidR="00D02FA7" w:rsidRPr="00841766">
        <w:rPr>
          <w:rFonts w:cs="Arial"/>
          <w:sz w:val="22"/>
          <w:lang w:val="en-US"/>
        </w:rPr>
        <w:t xml:space="preserve">The </w:t>
      </w:r>
      <w:r w:rsidRPr="00841766">
        <w:rPr>
          <w:rFonts w:cs="Arial"/>
          <w:sz w:val="22"/>
          <w:lang w:val="en-US"/>
        </w:rPr>
        <w:t xml:space="preserve">VNR focused only on the SDGs aligned with </w:t>
      </w:r>
      <w:r w:rsidR="00C05462">
        <w:rPr>
          <w:rFonts w:cs="Arial"/>
          <w:sz w:val="22"/>
          <w:lang w:val="en-US"/>
        </w:rPr>
        <w:t>SDP P</w:t>
      </w:r>
      <w:r w:rsidRPr="00841766">
        <w:rPr>
          <w:rFonts w:cs="Arial"/>
          <w:sz w:val="22"/>
          <w:lang w:val="en-US"/>
        </w:rPr>
        <w:t>hase 1</w:t>
      </w:r>
      <w:r w:rsidR="00C05462">
        <w:rPr>
          <w:rFonts w:cs="Arial"/>
          <w:sz w:val="22"/>
          <w:lang w:val="en-US"/>
        </w:rPr>
        <w:t>, including SDGs 16 and 17</w:t>
      </w:r>
      <w:r w:rsidRPr="00841766">
        <w:rPr>
          <w:rFonts w:cs="Arial"/>
          <w:sz w:val="22"/>
          <w:lang w:val="en-US"/>
        </w:rPr>
        <w:t>.</w:t>
      </w:r>
      <w:r w:rsidR="00C05462">
        <w:rPr>
          <w:rFonts w:cs="Arial"/>
          <w:sz w:val="22"/>
          <w:lang w:val="en-US"/>
        </w:rPr>
        <w:t xml:space="preserve">  </w:t>
      </w:r>
      <w:r w:rsidRPr="00841766">
        <w:rPr>
          <w:rFonts w:cs="Arial"/>
          <w:sz w:val="22"/>
          <w:lang w:val="en-US"/>
        </w:rPr>
        <w:t xml:space="preserve">As a bridge to </w:t>
      </w:r>
      <w:r w:rsidR="005F013D">
        <w:rPr>
          <w:rFonts w:cs="Arial"/>
          <w:sz w:val="22"/>
          <w:lang w:val="en-US"/>
        </w:rPr>
        <w:t>SDP P</w:t>
      </w:r>
      <w:r w:rsidRPr="00841766">
        <w:rPr>
          <w:rFonts w:cs="Arial"/>
          <w:sz w:val="22"/>
          <w:lang w:val="en-US"/>
        </w:rPr>
        <w:t xml:space="preserve">hase 2, the </w:t>
      </w:r>
      <w:r w:rsidR="005F013D">
        <w:rPr>
          <w:rFonts w:cs="Arial"/>
          <w:sz w:val="22"/>
          <w:lang w:val="en-US"/>
        </w:rPr>
        <w:t xml:space="preserve">VNR </w:t>
      </w:r>
      <w:r w:rsidRPr="00841766">
        <w:rPr>
          <w:rFonts w:cs="Arial"/>
          <w:sz w:val="22"/>
          <w:lang w:val="en-US"/>
        </w:rPr>
        <w:t xml:space="preserve">also assessed progress for SDG 8. </w:t>
      </w:r>
      <w:r w:rsidR="005F013D">
        <w:rPr>
          <w:rFonts w:cs="Arial"/>
          <w:sz w:val="22"/>
          <w:lang w:val="en-US"/>
        </w:rPr>
        <w:t xml:space="preserve"> The VNR </w:t>
      </w:r>
      <w:r w:rsidRPr="00841766">
        <w:rPr>
          <w:rFonts w:cs="Arial"/>
          <w:sz w:val="22"/>
          <w:lang w:val="en-US"/>
        </w:rPr>
        <w:t>identified</w:t>
      </w:r>
      <w:r w:rsidR="005F013D">
        <w:rPr>
          <w:rFonts w:cs="Arial"/>
          <w:sz w:val="22"/>
          <w:lang w:val="en-US"/>
        </w:rPr>
        <w:t xml:space="preserve"> four</w:t>
      </w:r>
      <w:r w:rsidRPr="00841766">
        <w:rPr>
          <w:rFonts w:cs="Arial"/>
          <w:sz w:val="22"/>
          <w:lang w:val="en-US"/>
        </w:rPr>
        <w:t xml:space="preserve"> key accelerators to achieve the SDGs: </w:t>
      </w:r>
      <w:r w:rsidR="00F1335A">
        <w:rPr>
          <w:rFonts w:cs="Arial"/>
          <w:sz w:val="22"/>
          <w:lang w:val="en-US"/>
        </w:rPr>
        <w:t>(</w:t>
      </w:r>
      <w:r w:rsidRPr="00841766">
        <w:rPr>
          <w:rFonts w:cs="Arial"/>
          <w:sz w:val="22"/>
          <w:lang w:val="en-US"/>
        </w:rPr>
        <w:t xml:space="preserve">1) </w:t>
      </w:r>
      <w:r w:rsidR="005F013D">
        <w:rPr>
          <w:rFonts w:cs="Arial"/>
          <w:sz w:val="22"/>
          <w:lang w:val="en-US"/>
        </w:rPr>
        <w:t>b</w:t>
      </w:r>
      <w:r w:rsidRPr="00841766">
        <w:rPr>
          <w:rFonts w:cs="Arial"/>
          <w:sz w:val="22"/>
          <w:lang w:val="en-US"/>
        </w:rPr>
        <w:t>uilding human capital</w:t>
      </w:r>
      <w:r w:rsidR="00240009">
        <w:rPr>
          <w:rFonts w:cs="Arial"/>
          <w:sz w:val="22"/>
          <w:lang w:val="en-US"/>
        </w:rPr>
        <w:t xml:space="preserve"> and </w:t>
      </w:r>
      <w:r w:rsidR="00E55F10">
        <w:rPr>
          <w:rFonts w:cs="Arial"/>
          <w:sz w:val="22"/>
          <w:lang w:val="en-US"/>
        </w:rPr>
        <w:t xml:space="preserve">promoting </w:t>
      </w:r>
      <w:r w:rsidR="005F013D">
        <w:rPr>
          <w:rFonts w:cs="Arial"/>
          <w:sz w:val="22"/>
          <w:lang w:val="en-US"/>
        </w:rPr>
        <w:t>s</w:t>
      </w:r>
      <w:r w:rsidRPr="00841766">
        <w:rPr>
          <w:rFonts w:cs="Arial"/>
          <w:sz w:val="22"/>
          <w:lang w:val="en-US"/>
        </w:rPr>
        <w:t xml:space="preserve">ustainable </w:t>
      </w:r>
      <w:r w:rsidR="005F013D">
        <w:rPr>
          <w:rFonts w:cs="Arial"/>
          <w:sz w:val="22"/>
          <w:lang w:val="en-US"/>
        </w:rPr>
        <w:t>g</w:t>
      </w:r>
      <w:r w:rsidRPr="00841766">
        <w:rPr>
          <w:rFonts w:cs="Arial"/>
          <w:sz w:val="22"/>
          <w:lang w:val="en-US"/>
        </w:rPr>
        <w:t>rowth</w:t>
      </w:r>
      <w:r w:rsidR="005F013D">
        <w:rPr>
          <w:rFonts w:cs="Arial"/>
          <w:sz w:val="22"/>
          <w:lang w:val="en-US"/>
        </w:rPr>
        <w:t>;</w:t>
      </w:r>
      <w:r w:rsidRPr="00841766">
        <w:rPr>
          <w:rFonts w:cs="Arial"/>
          <w:sz w:val="22"/>
          <w:lang w:val="en-US"/>
        </w:rPr>
        <w:t xml:space="preserve"> </w:t>
      </w:r>
      <w:r w:rsidR="00F1335A">
        <w:rPr>
          <w:rFonts w:cs="Arial"/>
          <w:sz w:val="22"/>
          <w:lang w:val="en-US"/>
        </w:rPr>
        <w:t>(</w:t>
      </w:r>
      <w:r w:rsidR="00240009">
        <w:rPr>
          <w:rFonts w:cs="Arial"/>
          <w:sz w:val="22"/>
          <w:lang w:val="en-US"/>
        </w:rPr>
        <w:t>2</w:t>
      </w:r>
      <w:r w:rsidRPr="00841766">
        <w:rPr>
          <w:rFonts w:cs="Arial"/>
          <w:sz w:val="22"/>
          <w:lang w:val="en-US"/>
        </w:rPr>
        <w:t xml:space="preserve">) </w:t>
      </w:r>
      <w:r w:rsidR="00E55F10">
        <w:rPr>
          <w:rFonts w:cs="Arial"/>
          <w:sz w:val="22"/>
          <w:lang w:val="en-US"/>
        </w:rPr>
        <w:t>consolidating peace and addressing municipal and rural-urban disparities</w:t>
      </w:r>
      <w:r w:rsidR="005F013D">
        <w:rPr>
          <w:rFonts w:cs="Arial"/>
          <w:sz w:val="22"/>
          <w:lang w:val="en-US"/>
        </w:rPr>
        <w:t>; and,</w:t>
      </w:r>
      <w:r w:rsidRPr="00841766">
        <w:rPr>
          <w:rFonts w:cs="Arial"/>
          <w:sz w:val="22"/>
          <w:lang w:val="en-US"/>
        </w:rPr>
        <w:t xml:space="preserve"> </w:t>
      </w:r>
      <w:r w:rsidR="00F1335A">
        <w:rPr>
          <w:rFonts w:cs="Arial"/>
          <w:sz w:val="22"/>
          <w:lang w:val="en-US"/>
        </w:rPr>
        <w:t>(</w:t>
      </w:r>
      <w:r w:rsidR="00240009">
        <w:rPr>
          <w:rFonts w:cs="Arial"/>
          <w:sz w:val="22"/>
          <w:lang w:val="en-US"/>
        </w:rPr>
        <w:t>3</w:t>
      </w:r>
      <w:r w:rsidRPr="00841766">
        <w:rPr>
          <w:rFonts w:cs="Arial"/>
          <w:sz w:val="22"/>
          <w:lang w:val="en-US"/>
        </w:rPr>
        <w:t xml:space="preserve">) </w:t>
      </w:r>
      <w:r w:rsidR="005F013D">
        <w:rPr>
          <w:rFonts w:cs="Arial"/>
          <w:sz w:val="22"/>
          <w:lang w:val="en-US"/>
        </w:rPr>
        <w:t>s</w:t>
      </w:r>
      <w:r w:rsidRPr="00841766">
        <w:rPr>
          <w:rFonts w:cs="Arial"/>
          <w:sz w:val="22"/>
          <w:lang w:val="en-US"/>
        </w:rPr>
        <w:t xml:space="preserve">trengthening </w:t>
      </w:r>
      <w:r w:rsidR="00240009">
        <w:rPr>
          <w:rFonts w:cs="Arial"/>
          <w:sz w:val="22"/>
          <w:lang w:val="en-US"/>
        </w:rPr>
        <w:t xml:space="preserve">institutional capacity and prioritizing and resourcing inclusive interventions to target the furthest behind first; and, </w:t>
      </w:r>
      <w:r w:rsidR="00F1335A">
        <w:rPr>
          <w:rFonts w:cs="Arial"/>
          <w:sz w:val="22"/>
          <w:lang w:val="en-US"/>
        </w:rPr>
        <w:t>(</w:t>
      </w:r>
      <w:r w:rsidR="00240009">
        <w:rPr>
          <w:rFonts w:cs="Arial"/>
          <w:sz w:val="22"/>
          <w:lang w:val="en-US"/>
        </w:rPr>
        <w:t xml:space="preserve">4) improvements in </w:t>
      </w:r>
      <w:r w:rsidRPr="00841766">
        <w:rPr>
          <w:rFonts w:cs="Arial"/>
          <w:sz w:val="22"/>
          <w:lang w:val="en-US"/>
        </w:rPr>
        <w:t>data collection and analysis</w:t>
      </w:r>
      <w:r w:rsidRPr="00841766">
        <w:rPr>
          <w:rStyle w:val="FootnoteReference"/>
          <w:rFonts w:cs="Arial"/>
          <w:sz w:val="22"/>
          <w:lang w:val="en-US"/>
        </w:rPr>
        <w:footnoteReference w:id="13"/>
      </w:r>
      <w:r w:rsidRPr="00841766">
        <w:rPr>
          <w:rFonts w:cs="Arial"/>
          <w:sz w:val="22"/>
          <w:lang w:val="en-US"/>
        </w:rPr>
        <w:t xml:space="preserve">. </w:t>
      </w:r>
    </w:p>
    <w:p w14:paraId="236B553D" w14:textId="2D0913AD" w:rsidR="00240009" w:rsidRDefault="00F1335A" w:rsidP="00914158">
      <w:pPr>
        <w:autoSpaceDE w:val="0"/>
        <w:autoSpaceDN w:val="0"/>
        <w:adjustRightInd w:val="0"/>
        <w:spacing w:after="240"/>
        <w:ind w:right="-11"/>
        <w:jc w:val="both"/>
        <w:rPr>
          <w:rFonts w:cs="Arial"/>
          <w:sz w:val="22"/>
          <w:lang w:val="en-US"/>
        </w:rPr>
      </w:pPr>
      <w:r>
        <w:rPr>
          <w:rFonts w:cs="Arial"/>
          <w:sz w:val="22"/>
          <w:lang w:val="en-US"/>
        </w:rPr>
        <w:t>T</w:t>
      </w:r>
      <w:r w:rsidR="00240009">
        <w:rPr>
          <w:rFonts w:cs="Arial"/>
          <w:sz w:val="22"/>
          <w:lang w:val="en-US"/>
        </w:rPr>
        <w:t>he Government has identified five key steps to accelerate SDGs implementation</w:t>
      </w:r>
      <w:r>
        <w:rPr>
          <w:rFonts w:cs="Arial"/>
          <w:sz w:val="22"/>
          <w:lang w:val="en-US"/>
        </w:rPr>
        <w:t xml:space="preserve"> over the next few years</w:t>
      </w:r>
      <w:r w:rsidR="00240009">
        <w:rPr>
          <w:rFonts w:cs="Arial"/>
          <w:sz w:val="22"/>
          <w:lang w:val="en-US"/>
        </w:rPr>
        <w:t>:</w:t>
      </w:r>
    </w:p>
    <w:p w14:paraId="30490638" w14:textId="6748A343" w:rsidR="00240009" w:rsidRDefault="00240009" w:rsidP="00914158">
      <w:pPr>
        <w:pStyle w:val="ListParagraph"/>
        <w:numPr>
          <w:ilvl w:val="0"/>
          <w:numId w:val="39"/>
        </w:numPr>
        <w:autoSpaceDE w:val="0"/>
        <w:autoSpaceDN w:val="0"/>
        <w:adjustRightInd w:val="0"/>
        <w:spacing w:after="240"/>
        <w:ind w:right="-11"/>
        <w:jc w:val="both"/>
        <w:rPr>
          <w:rFonts w:cs="Arial"/>
          <w:sz w:val="22"/>
          <w:lang w:val="en-US"/>
        </w:rPr>
      </w:pPr>
      <w:r>
        <w:rPr>
          <w:rFonts w:cs="Arial"/>
          <w:sz w:val="22"/>
          <w:lang w:val="en-US"/>
        </w:rPr>
        <w:t>Increasing public understanding and encouraging active participation of citizens in implementing the SDGs;</w:t>
      </w:r>
    </w:p>
    <w:p w14:paraId="68AC419D" w14:textId="1B4C3B37" w:rsidR="00240009" w:rsidRDefault="00240009" w:rsidP="00914158">
      <w:pPr>
        <w:pStyle w:val="ListParagraph"/>
        <w:numPr>
          <w:ilvl w:val="0"/>
          <w:numId w:val="39"/>
        </w:numPr>
        <w:autoSpaceDE w:val="0"/>
        <w:autoSpaceDN w:val="0"/>
        <w:adjustRightInd w:val="0"/>
        <w:spacing w:after="240"/>
        <w:ind w:right="-11"/>
        <w:jc w:val="both"/>
        <w:rPr>
          <w:rFonts w:cs="Arial"/>
          <w:sz w:val="22"/>
          <w:lang w:val="en-US"/>
        </w:rPr>
      </w:pPr>
      <w:r>
        <w:rPr>
          <w:rFonts w:cs="Arial"/>
          <w:sz w:val="22"/>
          <w:lang w:val="en-US"/>
        </w:rPr>
        <w:t>Integrating SDGs into Government budgeting, policies and programmes of line ministries to inform medium-term planning and expenditure frameworks;</w:t>
      </w:r>
    </w:p>
    <w:p w14:paraId="56887BE1" w14:textId="506B4349" w:rsidR="00240009" w:rsidRDefault="00240009" w:rsidP="00914158">
      <w:pPr>
        <w:pStyle w:val="ListParagraph"/>
        <w:numPr>
          <w:ilvl w:val="0"/>
          <w:numId w:val="39"/>
        </w:numPr>
        <w:autoSpaceDE w:val="0"/>
        <w:autoSpaceDN w:val="0"/>
        <w:adjustRightInd w:val="0"/>
        <w:spacing w:after="240"/>
        <w:ind w:right="-11"/>
        <w:jc w:val="both"/>
        <w:rPr>
          <w:rFonts w:cs="Arial"/>
          <w:sz w:val="22"/>
          <w:lang w:val="en-US"/>
        </w:rPr>
      </w:pPr>
      <w:r>
        <w:rPr>
          <w:rFonts w:cs="Arial"/>
          <w:sz w:val="22"/>
          <w:lang w:val="en-US"/>
        </w:rPr>
        <w:t>Enhancing Government capacity for data collection, analysis and monitoring;</w:t>
      </w:r>
    </w:p>
    <w:p w14:paraId="3E01324B" w14:textId="5FF41718" w:rsidR="00240009" w:rsidRDefault="00240009" w:rsidP="00914158">
      <w:pPr>
        <w:pStyle w:val="ListParagraph"/>
        <w:numPr>
          <w:ilvl w:val="0"/>
          <w:numId w:val="39"/>
        </w:numPr>
        <w:autoSpaceDE w:val="0"/>
        <w:autoSpaceDN w:val="0"/>
        <w:adjustRightInd w:val="0"/>
        <w:spacing w:after="240"/>
        <w:ind w:right="-11"/>
        <w:jc w:val="both"/>
        <w:rPr>
          <w:rFonts w:cs="Arial"/>
          <w:sz w:val="22"/>
          <w:lang w:val="en-US"/>
        </w:rPr>
      </w:pPr>
      <w:r>
        <w:rPr>
          <w:rFonts w:cs="Arial"/>
          <w:sz w:val="22"/>
          <w:lang w:val="en-US"/>
        </w:rPr>
        <w:t>Piloting an integrated mechanism for national reporting to the various UN bodies; and,</w:t>
      </w:r>
    </w:p>
    <w:p w14:paraId="3226DA99" w14:textId="55C726A9" w:rsidR="00240009" w:rsidRPr="00B23657" w:rsidRDefault="002E0EEA" w:rsidP="00914158">
      <w:pPr>
        <w:pStyle w:val="ListParagraph"/>
        <w:numPr>
          <w:ilvl w:val="0"/>
          <w:numId w:val="39"/>
        </w:numPr>
        <w:autoSpaceDE w:val="0"/>
        <w:autoSpaceDN w:val="0"/>
        <w:adjustRightInd w:val="0"/>
        <w:spacing w:after="240"/>
        <w:ind w:right="-11"/>
        <w:jc w:val="both"/>
        <w:rPr>
          <w:rFonts w:cs="Arial"/>
          <w:sz w:val="22"/>
          <w:lang w:val="en-US"/>
        </w:rPr>
      </w:pPr>
      <w:r>
        <w:rPr>
          <w:rFonts w:cs="Arial"/>
          <w:sz w:val="22"/>
          <w:lang w:val="en-US"/>
        </w:rPr>
        <w:t>Strengthening existing and new partnerships and a</w:t>
      </w:r>
      <w:r w:rsidR="00240009">
        <w:rPr>
          <w:rFonts w:cs="Arial"/>
          <w:sz w:val="22"/>
          <w:lang w:val="en-US"/>
        </w:rPr>
        <w:t xml:space="preserve">dvocating for </w:t>
      </w:r>
      <w:r>
        <w:rPr>
          <w:rFonts w:cs="Arial"/>
          <w:sz w:val="22"/>
          <w:lang w:val="en-US"/>
        </w:rPr>
        <w:t xml:space="preserve">financing for </w:t>
      </w:r>
      <w:r w:rsidR="00240009">
        <w:rPr>
          <w:rFonts w:cs="Arial"/>
          <w:sz w:val="22"/>
          <w:lang w:val="en-US"/>
        </w:rPr>
        <w:t>sustainable development</w:t>
      </w:r>
      <w:r>
        <w:rPr>
          <w:rFonts w:cs="Arial"/>
          <w:sz w:val="22"/>
          <w:lang w:val="en-US"/>
        </w:rPr>
        <w:t xml:space="preserve"> </w:t>
      </w:r>
      <w:r w:rsidR="00D628A6">
        <w:rPr>
          <w:rFonts w:cs="Arial"/>
          <w:sz w:val="22"/>
          <w:lang w:val="en-US"/>
        </w:rPr>
        <w:t xml:space="preserve">as part of the </w:t>
      </w:r>
      <w:r>
        <w:rPr>
          <w:rFonts w:cs="Arial"/>
          <w:sz w:val="22"/>
          <w:lang w:val="en-US"/>
        </w:rPr>
        <w:t>exit strateg</w:t>
      </w:r>
      <w:r w:rsidR="00D628A6">
        <w:rPr>
          <w:rFonts w:cs="Arial"/>
          <w:sz w:val="22"/>
          <w:lang w:val="en-US"/>
        </w:rPr>
        <w:t>y</w:t>
      </w:r>
      <w:r>
        <w:rPr>
          <w:rFonts w:cs="Arial"/>
          <w:sz w:val="22"/>
          <w:lang w:val="en-US"/>
        </w:rPr>
        <w:t xml:space="preserve"> for Timor-Leste’s Least Developed Country (LDC) graduation</w:t>
      </w:r>
      <w:r w:rsidR="00240009">
        <w:rPr>
          <w:rFonts w:cs="Arial"/>
          <w:sz w:val="22"/>
          <w:lang w:val="en-US"/>
        </w:rPr>
        <w:t>.</w:t>
      </w:r>
    </w:p>
    <w:p w14:paraId="3C16A851" w14:textId="0B8B77BB" w:rsidR="00B254D7" w:rsidRPr="00841766" w:rsidRDefault="00197E94" w:rsidP="00914158">
      <w:pPr>
        <w:autoSpaceDE w:val="0"/>
        <w:autoSpaceDN w:val="0"/>
        <w:adjustRightInd w:val="0"/>
        <w:jc w:val="both"/>
        <w:rPr>
          <w:rFonts w:cs="Times New Roman"/>
          <w:sz w:val="22"/>
          <w:szCs w:val="22"/>
          <w:lang w:val="en-US"/>
        </w:rPr>
      </w:pPr>
      <w:r>
        <w:rPr>
          <w:rFonts w:cs="Times New Roman"/>
          <w:sz w:val="22"/>
          <w:szCs w:val="22"/>
          <w:lang w:val="en-US"/>
        </w:rPr>
        <w:t xml:space="preserve">The UN will work with all partners in the period 2021-2025 to </w:t>
      </w:r>
      <w:r w:rsidR="00914158">
        <w:rPr>
          <w:rFonts w:cs="Times New Roman"/>
          <w:sz w:val="22"/>
          <w:szCs w:val="22"/>
          <w:lang w:val="en-US"/>
        </w:rPr>
        <w:t xml:space="preserve">support the Government to </w:t>
      </w:r>
      <w:r>
        <w:rPr>
          <w:rFonts w:cs="Times New Roman"/>
          <w:sz w:val="22"/>
          <w:szCs w:val="22"/>
          <w:lang w:val="en-US"/>
        </w:rPr>
        <w:t>make progress on each of the five areas mentioned above.</w:t>
      </w:r>
    </w:p>
    <w:p w14:paraId="4C440497" w14:textId="77777777" w:rsidR="00B254D7" w:rsidRPr="00841766" w:rsidRDefault="00B254D7" w:rsidP="00914158">
      <w:pPr>
        <w:pStyle w:val="Heading2"/>
        <w:jc w:val="both"/>
        <w:rPr>
          <w:rStyle w:val="fontstyle01"/>
          <w:rFonts w:asciiTheme="minorHAnsi" w:hAnsiTheme="minorHAnsi"/>
          <w:color w:val="auto"/>
          <w:sz w:val="28"/>
          <w:szCs w:val="36"/>
          <w:lang w:val="en-US"/>
        </w:rPr>
      </w:pPr>
      <w:bookmarkStart w:id="12" w:name="_Toc40265792"/>
      <w:r w:rsidRPr="00841766">
        <w:rPr>
          <w:rStyle w:val="fontstyle01"/>
          <w:rFonts w:asciiTheme="minorHAnsi" w:hAnsiTheme="minorHAnsi"/>
          <w:color w:val="auto"/>
          <w:sz w:val="28"/>
          <w:szCs w:val="36"/>
          <w:lang w:val="en-US"/>
        </w:rPr>
        <w:t>1.3. Progress towards the SDGs</w:t>
      </w:r>
      <w:bookmarkEnd w:id="12"/>
    </w:p>
    <w:p w14:paraId="6870F489" w14:textId="70709869" w:rsidR="00B254D7" w:rsidRPr="00841766" w:rsidRDefault="00B254D7" w:rsidP="00914158">
      <w:pPr>
        <w:spacing w:after="120"/>
        <w:jc w:val="both"/>
        <w:rPr>
          <w:rFonts w:cs="Arial"/>
          <w:sz w:val="22"/>
          <w:szCs w:val="22"/>
          <w:lang w:val="en-US"/>
        </w:rPr>
      </w:pPr>
      <w:r w:rsidRPr="00841766">
        <w:rPr>
          <w:rFonts w:cs="Arial"/>
          <w:color w:val="000000"/>
          <w:sz w:val="22"/>
          <w:szCs w:val="22"/>
          <w:lang w:val="en-US"/>
        </w:rPr>
        <w:t xml:space="preserve">The </w:t>
      </w:r>
      <w:r w:rsidR="001925C5">
        <w:rPr>
          <w:rFonts w:cs="Arial"/>
          <w:color w:val="000000"/>
          <w:sz w:val="22"/>
          <w:szCs w:val="22"/>
          <w:lang w:val="en-US"/>
        </w:rPr>
        <w:t xml:space="preserve">UN </w:t>
      </w:r>
      <w:r w:rsidRPr="00841766">
        <w:rPr>
          <w:rFonts w:cs="Arial"/>
          <w:color w:val="000000"/>
          <w:sz w:val="22"/>
          <w:szCs w:val="22"/>
          <w:lang w:val="en-US"/>
        </w:rPr>
        <w:t xml:space="preserve">Common Country Analysis (CCA) and the VNR </w:t>
      </w:r>
      <w:r w:rsidR="006D6848" w:rsidRPr="00841766">
        <w:rPr>
          <w:rFonts w:cs="Arial"/>
          <w:color w:val="000000"/>
          <w:sz w:val="22"/>
          <w:szCs w:val="22"/>
          <w:lang w:val="en-US"/>
        </w:rPr>
        <w:t>concur</w:t>
      </w:r>
      <w:r w:rsidRPr="00841766">
        <w:rPr>
          <w:rFonts w:cs="Arial"/>
          <w:color w:val="000000"/>
          <w:sz w:val="22"/>
          <w:szCs w:val="22"/>
          <w:lang w:val="en-US"/>
        </w:rPr>
        <w:t xml:space="preserve"> that </w:t>
      </w:r>
      <w:r w:rsidR="00927A3B" w:rsidRPr="00841766">
        <w:rPr>
          <w:rFonts w:cs="Arial"/>
          <w:color w:val="000000"/>
          <w:sz w:val="22"/>
          <w:szCs w:val="22"/>
          <w:lang w:val="en-US"/>
        </w:rPr>
        <w:t>Timor-Leste</w:t>
      </w:r>
      <w:r w:rsidR="0066552C" w:rsidRPr="00841766">
        <w:rPr>
          <w:rFonts w:cs="Arial"/>
          <w:bCs/>
          <w:sz w:val="22"/>
          <w:szCs w:val="22"/>
          <w:lang w:val="en-US"/>
        </w:rPr>
        <w:t xml:space="preserve"> </w:t>
      </w:r>
      <w:r w:rsidR="00E55F10">
        <w:rPr>
          <w:rFonts w:cs="Arial"/>
          <w:bCs/>
          <w:sz w:val="22"/>
          <w:szCs w:val="22"/>
          <w:lang w:val="en-US"/>
        </w:rPr>
        <w:t>has made important gains that must be sustained</w:t>
      </w:r>
      <w:r w:rsidRPr="00841766">
        <w:rPr>
          <w:rFonts w:cs="Arial"/>
          <w:bCs/>
          <w:sz w:val="22"/>
          <w:szCs w:val="22"/>
          <w:lang w:val="en-US"/>
        </w:rPr>
        <w:t>.</w:t>
      </w:r>
      <w:r w:rsidRPr="00841766">
        <w:rPr>
          <w:rFonts w:cs="Arial"/>
          <w:b/>
          <w:bCs/>
          <w:sz w:val="22"/>
          <w:szCs w:val="22"/>
          <w:lang w:val="en-US"/>
        </w:rPr>
        <w:t xml:space="preserve"> </w:t>
      </w:r>
      <w:r w:rsidR="00642F28">
        <w:rPr>
          <w:rFonts w:cs="Arial"/>
          <w:b/>
          <w:bCs/>
          <w:sz w:val="22"/>
          <w:szCs w:val="22"/>
          <w:lang w:val="en-US"/>
        </w:rPr>
        <w:t xml:space="preserve"> </w:t>
      </w:r>
      <w:r w:rsidR="002E0EEA">
        <w:rPr>
          <w:rFonts w:cs="Arial"/>
          <w:bCs/>
          <w:sz w:val="22"/>
          <w:szCs w:val="22"/>
          <w:lang w:val="en-US"/>
        </w:rPr>
        <w:t>E</w:t>
      </w:r>
      <w:r w:rsidRPr="00841766">
        <w:rPr>
          <w:rFonts w:cs="Arial"/>
          <w:bCs/>
          <w:sz w:val="22"/>
          <w:szCs w:val="22"/>
          <w:lang w:val="en-US"/>
        </w:rPr>
        <w:t xml:space="preserve">vidence shows that over the past twenty years, the country has made substantial progress in the areas of education, </w:t>
      </w:r>
      <w:r w:rsidRPr="00841766">
        <w:rPr>
          <w:rFonts w:cs="Arial"/>
          <w:sz w:val="22"/>
          <w:szCs w:val="22"/>
          <w:lang w:val="en-US"/>
        </w:rPr>
        <w:t xml:space="preserve">and health and well-being, with </w:t>
      </w:r>
      <w:r w:rsidR="00A52946">
        <w:rPr>
          <w:rFonts w:cs="Arial"/>
          <w:sz w:val="22"/>
          <w:szCs w:val="22"/>
          <w:lang w:val="en-US"/>
        </w:rPr>
        <w:t xml:space="preserve">the </w:t>
      </w:r>
      <w:r w:rsidRPr="00841766">
        <w:rPr>
          <w:rFonts w:cs="Arial"/>
          <w:sz w:val="22"/>
          <w:szCs w:val="22"/>
          <w:lang w:val="en-US"/>
        </w:rPr>
        <w:t xml:space="preserve">main gains made in school attendance, child and maternal health, and electricity access. </w:t>
      </w:r>
      <w:r w:rsidR="00642F28">
        <w:rPr>
          <w:rFonts w:cs="Arial"/>
          <w:sz w:val="22"/>
          <w:szCs w:val="22"/>
          <w:lang w:val="en-US"/>
        </w:rPr>
        <w:t xml:space="preserve"> </w:t>
      </w:r>
      <w:r w:rsidRPr="00841766">
        <w:rPr>
          <w:rFonts w:cs="Arial"/>
          <w:sz w:val="22"/>
          <w:szCs w:val="22"/>
          <w:lang w:val="en-US"/>
        </w:rPr>
        <w:t xml:space="preserve">However, at the current pace of progress, Timor-Leste is unlikely to fully achieve any of the SDGs by 2030, unless </w:t>
      </w:r>
      <w:r w:rsidR="00A52946">
        <w:rPr>
          <w:rFonts w:cs="Arial"/>
          <w:sz w:val="22"/>
          <w:szCs w:val="22"/>
          <w:lang w:val="en-US"/>
        </w:rPr>
        <w:t xml:space="preserve">the gains that have been made are protected and </w:t>
      </w:r>
      <w:r w:rsidRPr="00841766">
        <w:rPr>
          <w:rFonts w:cs="Arial"/>
          <w:sz w:val="22"/>
          <w:szCs w:val="22"/>
          <w:lang w:val="en-US"/>
        </w:rPr>
        <w:t xml:space="preserve">progress in lagging areas is rapidly accelerated. </w:t>
      </w:r>
    </w:p>
    <w:p w14:paraId="50622A3F" w14:textId="5C1B7BEB" w:rsidR="00B254D7" w:rsidRPr="00841766" w:rsidRDefault="006D6848" w:rsidP="00914158">
      <w:pPr>
        <w:jc w:val="both"/>
        <w:rPr>
          <w:rFonts w:cs="Arial"/>
          <w:sz w:val="22"/>
          <w:szCs w:val="22"/>
          <w:lang w:val="en-US"/>
        </w:rPr>
      </w:pPr>
      <w:r w:rsidRPr="00841766">
        <w:rPr>
          <w:rFonts w:eastAsia="Times New Roman" w:cs="Arial"/>
          <w:sz w:val="22"/>
          <w:szCs w:val="22"/>
          <w:lang w:val="en-US"/>
        </w:rPr>
        <w:lastRenderedPageBreak/>
        <w:t xml:space="preserve">Based on a </w:t>
      </w:r>
      <w:r w:rsidR="00B254D7" w:rsidRPr="00841766">
        <w:rPr>
          <w:rFonts w:eastAsia="Times New Roman" w:cs="Arial"/>
          <w:sz w:val="22"/>
          <w:szCs w:val="22"/>
          <w:lang w:val="en-US"/>
        </w:rPr>
        <w:t>participatory analysis of the challenges, root</w:t>
      </w:r>
      <w:r w:rsidR="00670BE9">
        <w:rPr>
          <w:rFonts w:eastAsia="Times New Roman" w:cs="Arial"/>
          <w:sz w:val="22"/>
          <w:szCs w:val="22"/>
          <w:lang w:val="en-US"/>
        </w:rPr>
        <w:t xml:space="preserve"> </w:t>
      </w:r>
      <w:r w:rsidR="00B254D7" w:rsidRPr="00841766">
        <w:rPr>
          <w:rFonts w:eastAsia="Times New Roman" w:cs="Arial"/>
          <w:sz w:val="22"/>
          <w:szCs w:val="22"/>
          <w:lang w:val="en-US"/>
        </w:rPr>
        <w:t>causes and risks of the areas where the SDGs targets in Timor-Leste are lagging behind, including the specific groups that are most vulnerable or at</w:t>
      </w:r>
      <w:r w:rsidR="00670BE9">
        <w:rPr>
          <w:rFonts w:eastAsia="Times New Roman" w:cs="Arial"/>
          <w:sz w:val="22"/>
          <w:szCs w:val="22"/>
          <w:lang w:val="en-US"/>
        </w:rPr>
        <w:t>-</w:t>
      </w:r>
      <w:r w:rsidR="00B254D7" w:rsidRPr="00841766">
        <w:rPr>
          <w:rFonts w:eastAsia="Times New Roman" w:cs="Arial"/>
          <w:sz w:val="22"/>
          <w:szCs w:val="22"/>
          <w:lang w:val="en-US"/>
        </w:rPr>
        <w:t xml:space="preserve">risk of being left behind, the following areas were identified as the </w:t>
      </w:r>
      <w:r w:rsidR="00670BE9">
        <w:rPr>
          <w:rFonts w:eastAsia="Times New Roman" w:cs="Arial"/>
          <w:sz w:val="22"/>
          <w:szCs w:val="22"/>
          <w:lang w:val="en-US"/>
        </w:rPr>
        <w:t xml:space="preserve">priority </w:t>
      </w:r>
      <w:r w:rsidR="00B254D7" w:rsidRPr="00841766">
        <w:rPr>
          <w:rFonts w:eastAsia="Times New Roman" w:cs="Arial"/>
          <w:sz w:val="22"/>
          <w:szCs w:val="22"/>
          <w:lang w:val="en-US"/>
        </w:rPr>
        <w:t xml:space="preserve">challenges </w:t>
      </w:r>
      <w:r w:rsidR="00670BE9">
        <w:rPr>
          <w:rFonts w:eastAsia="Times New Roman" w:cs="Arial"/>
          <w:sz w:val="22"/>
          <w:szCs w:val="22"/>
          <w:lang w:val="en-US"/>
        </w:rPr>
        <w:t xml:space="preserve">that require </w:t>
      </w:r>
      <w:r w:rsidR="00B254D7" w:rsidRPr="00841766">
        <w:rPr>
          <w:rFonts w:eastAsia="Times New Roman" w:cs="Arial"/>
          <w:sz w:val="22"/>
          <w:szCs w:val="22"/>
          <w:lang w:val="en-US"/>
        </w:rPr>
        <w:t xml:space="preserve"> consolidation and acceleration of progress:  </w:t>
      </w:r>
    </w:p>
    <w:p w14:paraId="2ADE7851" w14:textId="77777777" w:rsidR="00FC7C84" w:rsidRPr="00841766" w:rsidRDefault="00FC7C84" w:rsidP="00914158">
      <w:pPr>
        <w:pStyle w:val="ListParagraph"/>
        <w:numPr>
          <w:ilvl w:val="0"/>
          <w:numId w:val="17"/>
        </w:numPr>
        <w:spacing w:after="120"/>
        <w:ind w:left="567" w:hanging="426"/>
        <w:jc w:val="both"/>
        <w:rPr>
          <w:rFonts w:eastAsia="Times New Roman" w:cs="Arial"/>
          <w:sz w:val="22"/>
          <w:szCs w:val="22"/>
          <w:lang w:val="en-US"/>
        </w:rPr>
      </w:pPr>
      <w:r w:rsidRPr="00841766">
        <w:rPr>
          <w:rFonts w:eastAsia="Times New Roman" w:cs="Arial"/>
          <w:sz w:val="22"/>
          <w:szCs w:val="22"/>
          <w:lang w:val="en-US"/>
        </w:rPr>
        <w:t>Poverty reduction and social protection (SDG 1)</w:t>
      </w:r>
    </w:p>
    <w:p w14:paraId="106A9AD0" w14:textId="77777777" w:rsidR="003B5E3F" w:rsidRPr="00841766" w:rsidRDefault="003B5E3F" w:rsidP="00914158">
      <w:pPr>
        <w:pStyle w:val="ListParagraph"/>
        <w:numPr>
          <w:ilvl w:val="0"/>
          <w:numId w:val="17"/>
        </w:numPr>
        <w:spacing w:after="120"/>
        <w:ind w:left="567" w:hanging="426"/>
        <w:jc w:val="both"/>
        <w:rPr>
          <w:rFonts w:eastAsia="Times New Roman" w:cs="Arial"/>
          <w:sz w:val="22"/>
          <w:szCs w:val="22"/>
          <w:lang w:val="en-US"/>
        </w:rPr>
      </w:pPr>
      <w:r w:rsidRPr="00841766">
        <w:rPr>
          <w:rFonts w:eastAsia="Times New Roman" w:cs="Arial"/>
          <w:sz w:val="22"/>
          <w:szCs w:val="22"/>
          <w:lang w:val="en-US"/>
        </w:rPr>
        <w:t>Nutrition and food security (SDG 2)</w:t>
      </w:r>
    </w:p>
    <w:p w14:paraId="40409337" w14:textId="77777777" w:rsidR="00FC7C84" w:rsidRDefault="00FC7C84" w:rsidP="00914158">
      <w:pPr>
        <w:pStyle w:val="ListParagraph"/>
        <w:numPr>
          <w:ilvl w:val="0"/>
          <w:numId w:val="17"/>
        </w:numPr>
        <w:spacing w:after="120"/>
        <w:ind w:left="567" w:hanging="426"/>
        <w:jc w:val="both"/>
        <w:rPr>
          <w:rFonts w:eastAsia="Times New Roman" w:cs="Arial"/>
          <w:sz w:val="22"/>
          <w:szCs w:val="22"/>
          <w:lang w:val="en-US"/>
        </w:rPr>
      </w:pPr>
      <w:r w:rsidRPr="00841766">
        <w:rPr>
          <w:rFonts w:cs="Arial"/>
          <w:color w:val="000000" w:themeColor="text1"/>
          <w:sz w:val="22"/>
          <w:szCs w:val="22"/>
          <w:lang w:val="en-US"/>
        </w:rPr>
        <w:t>Availability of and access to quality health</w:t>
      </w:r>
      <w:r>
        <w:rPr>
          <w:rFonts w:cs="Arial"/>
          <w:color w:val="000000" w:themeColor="text1"/>
          <w:sz w:val="22"/>
          <w:szCs w:val="22"/>
          <w:lang w:val="en-US"/>
        </w:rPr>
        <w:t xml:space="preserve"> </w:t>
      </w:r>
      <w:r w:rsidRPr="00841766">
        <w:rPr>
          <w:rFonts w:cs="Arial"/>
          <w:color w:val="000000" w:themeColor="text1"/>
          <w:sz w:val="22"/>
          <w:szCs w:val="22"/>
          <w:lang w:val="en-US"/>
        </w:rPr>
        <w:t>care and health promotion</w:t>
      </w:r>
      <w:r w:rsidRPr="00841766" w:rsidDel="00495318">
        <w:rPr>
          <w:rFonts w:eastAsia="Times New Roman" w:cs="Arial"/>
          <w:sz w:val="22"/>
          <w:szCs w:val="22"/>
          <w:lang w:val="en-US"/>
        </w:rPr>
        <w:t xml:space="preserve"> </w:t>
      </w:r>
      <w:r w:rsidRPr="00841766">
        <w:rPr>
          <w:rFonts w:eastAsia="Times New Roman" w:cs="Arial"/>
          <w:sz w:val="22"/>
          <w:szCs w:val="22"/>
          <w:lang w:val="en-US"/>
        </w:rPr>
        <w:t>(SDG 3)</w:t>
      </w:r>
    </w:p>
    <w:p w14:paraId="5E0DD671" w14:textId="77777777" w:rsidR="00FC7C84" w:rsidRPr="00841766" w:rsidRDefault="00FC7C84" w:rsidP="00914158">
      <w:pPr>
        <w:pStyle w:val="ListParagraph"/>
        <w:numPr>
          <w:ilvl w:val="0"/>
          <w:numId w:val="17"/>
        </w:numPr>
        <w:spacing w:after="120"/>
        <w:ind w:left="567" w:hanging="426"/>
        <w:jc w:val="both"/>
        <w:rPr>
          <w:rFonts w:eastAsia="Times New Roman" w:cs="Arial"/>
          <w:sz w:val="22"/>
          <w:szCs w:val="22"/>
          <w:lang w:val="en-US"/>
        </w:rPr>
      </w:pPr>
      <w:r w:rsidRPr="00841766">
        <w:rPr>
          <w:rFonts w:eastAsia="Times New Roman" w:cs="Arial"/>
          <w:sz w:val="22"/>
          <w:szCs w:val="22"/>
          <w:lang w:val="en-US"/>
        </w:rPr>
        <w:t>Early childhood education and development, learning skills and development (SDG 4)</w:t>
      </w:r>
    </w:p>
    <w:p w14:paraId="3D11966E" w14:textId="77777777" w:rsidR="00FC7C84" w:rsidRPr="00841766" w:rsidRDefault="00FC7C84" w:rsidP="00914158">
      <w:pPr>
        <w:pStyle w:val="ListParagraph"/>
        <w:numPr>
          <w:ilvl w:val="0"/>
          <w:numId w:val="17"/>
        </w:numPr>
        <w:spacing w:after="120"/>
        <w:ind w:left="567" w:hanging="426"/>
        <w:jc w:val="both"/>
        <w:rPr>
          <w:rFonts w:eastAsia="Times New Roman" w:cs="Arial"/>
          <w:sz w:val="22"/>
          <w:szCs w:val="22"/>
          <w:lang w:val="en-US"/>
        </w:rPr>
      </w:pPr>
      <w:r w:rsidRPr="00841766">
        <w:rPr>
          <w:rFonts w:eastAsia="Times New Roman" w:cs="Arial"/>
          <w:sz w:val="22"/>
          <w:szCs w:val="22"/>
          <w:lang w:val="en-US"/>
        </w:rPr>
        <w:t>Gender equality and women’s empowerment (SDG 5)</w:t>
      </w:r>
    </w:p>
    <w:p w14:paraId="55BBCF15" w14:textId="420598E0" w:rsidR="003B5E3F" w:rsidRPr="00841766" w:rsidRDefault="003B5E3F" w:rsidP="00914158">
      <w:pPr>
        <w:pStyle w:val="ListParagraph"/>
        <w:numPr>
          <w:ilvl w:val="0"/>
          <w:numId w:val="17"/>
        </w:numPr>
        <w:spacing w:after="120"/>
        <w:ind w:left="567" w:hanging="426"/>
        <w:jc w:val="both"/>
        <w:rPr>
          <w:rFonts w:eastAsia="Times New Roman" w:cs="Arial"/>
          <w:sz w:val="22"/>
          <w:szCs w:val="22"/>
          <w:lang w:val="en-US"/>
        </w:rPr>
      </w:pPr>
      <w:r w:rsidRPr="00841766">
        <w:rPr>
          <w:rFonts w:eastAsia="Times New Roman" w:cs="Arial"/>
          <w:sz w:val="22"/>
          <w:szCs w:val="22"/>
          <w:lang w:val="en-US"/>
        </w:rPr>
        <w:t>Access to water and sanitation (SDG 6)</w:t>
      </w:r>
    </w:p>
    <w:p w14:paraId="1ECA44D3" w14:textId="27C8B038" w:rsidR="003B5E3F" w:rsidRPr="00841766" w:rsidRDefault="003B5E3F" w:rsidP="00914158">
      <w:pPr>
        <w:pStyle w:val="ListParagraph"/>
        <w:numPr>
          <w:ilvl w:val="0"/>
          <w:numId w:val="17"/>
        </w:numPr>
        <w:spacing w:after="120"/>
        <w:ind w:left="567" w:hanging="426"/>
        <w:jc w:val="both"/>
        <w:rPr>
          <w:rFonts w:eastAsia="Times New Roman" w:cs="Arial"/>
          <w:sz w:val="22"/>
          <w:szCs w:val="22"/>
          <w:lang w:val="en-US"/>
        </w:rPr>
      </w:pPr>
      <w:r w:rsidRPr="00841766">
        <w:rPr>
          <w:rFonts w:eastAsia="Times New Roman" w:cs="Arial"/>
          <w:sz w:val="22"/>
          <w:szCs w:val="22"/>
          <w:lang w:val="en-US"/>
        </w:rPr>
        <w:t xml:space="preserve">Sustainable economic opportunities, and decent jobs for all, </w:t>
      </w:r>
      <w:r>
        <w:rPr>
          <w:rFonts w:eastAsia="Times New Roman" w:cs="Arial"/>
          <w:sz w:val="22"/>
          <w:szCs w:val="22"/>
          <w:lang w:val="en-US"/>
        </w:rPr>
        <w:t xml:space="preserve">with a focus on </w:t>
      </w:r>
      <w:r w:rsidRPr="00841766">
        <w:rPr>
          <w:rFonts w:eastAsia="Times New Roman" w:cs="Arial"/>
          <w:sz w:val="22"/>
          <w:szCs w:val="22"/>
          <w:lang w:val="en-US"/>
        </w:rPr>
        <w:t>youth (SDG 8)</w:t>
      </w:r>
    </w:p>
    <w:p w14:paraId="0394737A" w14:textId="44680D3D" w:rsidR="003B5E3F" w:rsidRPr="00841766" w:rsidRDefault="003B5E3F" w:rsidP="00914158">
      <w:pPr>
        <w:pStyle w:val="ListParagraph"/>
        <w:numPr>
          <w:ilvl w:val="0"/>
          <w:numId w:val="17"/>
        </w:numPr>
        <w:spacing w:after="120"/>
        <w:ind w:left="567" w:hanging="426"/>
        <w:jc w:val="both"/>
        <w:rPr>
          <w:rFonts w:eastAsia="Times New Roman" w:cs="Arial"/>
          <w:sz w:val="22"/>
          <w:szCs w:val="22"/>
          <w:lang w:val="en-US"/>
        </w:rPr>
      </w:pPr>
      <w:r>
        <w:rPr>
          <w:rFonts w:eastAsia="Times New Roman" w:cs="Arial"/>
          <w:sz w:val="22"/>
          <w:szCs w:val="22"/>
          <w:lang w:val="en-US"/>
        </w:rPr>
        <w:t>Resilient industry, innovation and i</w:t>
      </w:r>
      <w:r w:rsidRPr="00841766">
        <w:rPr>
          <w:rFonts w:eastAsia="Times New Roman" w:cs="Arial"/>
          <w:sz w:val="22"/>
          <w:szCs w:val="22"/>
          <w:lang w:val="en-US"/>
        </w:rPr>
        <w:t>nfrastructure</w:t>
      </w:r>
      <w:r w:rsidR="00FC7C84">
        <w:rPr>
          <w:rFonts w:eastAsia="Times New Roman" w:cs="Arial"/>
          <w:sz w:val="22"/>
          <w:szCs w:val="22"/>
          <w:lang w:val="en-US"/>
        </w:rPr>
        <w:t xml:space="preserve"> </w:t>
      </w:r>
      <w:r>
        <w:rPr>
          <w:rFonts w:eastAsia="Times New Roman" w:cs="Arial"/>
          <w:sz w:val="22"/>
          <w:szCs w:val="22"/>
          <w:lang w:val="en-US"/>
        </w:rPr>
        <w:t>connectivity</w:t>
      </w:r>
      <w:r w:rsidR="00EF6929">
        <w:rPr>
          <w:rFonts w:eastAsia="Times New Roman" w:cs="Arial"/>
          <w:sz w:val="22"/>
          <w:szCs w:val="22"/>
          <w:lang w:val="en-US"/>
        </w:rPr>
        <w:t xml:space="preserve"> </w:t>
      </w:r>
      <w:r w:rsidRPr="00841766">
        <w:rPr>
          <w:rFonts w:eastAsia="Times New Roman" w:cs="Arial"/>
          <w:sz w:val="22"/>
          <w:szCs w:val="22"/>
          <w:lang w:val="en-US"/>
        </w:rPr>
        <w:t>(SDG 9)</w:t>
      </w:r>
    </w:p>
    <w:p w14:paraId="293906A6" w14:textId="77777777" w:rsidR="00FC7C84" w:rsidRPr="00841766" w:rsidRDefault="00FC7C84" w:rsidP="00914158">
      <w:pPr>
        <w:pStyle w:val="ListParagraph"/>
        <w:numPr>
          <w:ilvl w:val="0"/>
          <w:numId w:val="17"/>
        </w:numPr>
        <w:spacing w:after="120"/>
        <w:ind w:left="567" w:hanging="426"/>
        <w:jc w:val="both"/>
        <w:rPr>
          <w:rFonts w:eastAsia="Times New Roman" w:cs="Arial"/>
          <w:sz w:val="22"/>
          <w:szCs w:val="22"/>
          <w:lang w:val="en-US"/>
        </w:rPr>
      </w:pPr>
      <w:r w:rsidRPr="00841766">
        <w:rPr>
          <w:rFonts w:eastAsia="Times New Roman" w:cs="Arial"/>
          <w:sz w:val="22"/>
          <w:szCs w:val="22"/>
          <w:lang w:val="en-US"/>
        </w:rPr>
        <w:t>Resilience to climate change and management of natural resources (SDG 11, SDG 13, SDG 14, SDG 15)</w:t>
      </w:r>
    </w:p>
    <w:p w14:paraId="0839DF90" w14:textId="77777777" w:rsidR="00242171" w:rsidRDefault="00242171" w:rsidP="00914158">
      <w:pPr>
        <w:pStyle w:val="ListParagraph"/>
        <w:numPr>
          <w:ilvl w:val="0"/>
          <w:numId w:val="17"/>
        </w:numPr>
        <w:spacing w:after="120"/>
        <w:ind w:left="567" w:hanging="426"/>
        <w:jc w:val="both"/>
        <w:rPr>
          <w:rFonts w:eastAsia="Times New Roman" w:cs="Arial"/>
          <w:sz w:val="22"/>
          <w:szCs w:val="22"/>
          <w:lang w:val="en-US"/>
        </w:rPr>
      </w:pPr>
      <w:r w:rsidRPr="00841766">
        <w:rPr>
          <w:rFonts w:cs="Arial"/>
          <w:color w:val="000000" w:themeColor="text1"/>
          <w:sz w:val="22"/>
          <w:szCs w:val="22"/>
          <w:lang w:val="en-US"/>
        </w:rPr>
        <w:t>Social cohesion, inclusive and participatory governance through institutions building</w:t>
      </w:r>
      <w:r w:rsidRPr="00841766" w:rsidDel="00495318">
        <w:rPr>
          <w:rFonts w:eastAsia="Times New Roman" w:cs="Arial"/>
          <w:sz w:val="22"/>
          <w:szCs w:val="22"/>
          <w:lang w:val="en-US"/>
        </w:rPr>
        <w:t xml:space="preserve"> </w:t>
      </w:r>
      <w:r w:rsidRPr="00841766">
        <w:rPr>
          <w:rFonts w:eastAsia="Times New Roman" w:cs="Arial"/>
          <w:sz w:val="22"/>
          <w:szCs w:val="22"/>
          <w:lang w:val="en-US"/>
        </w:rPr>
        <w:t>(SDG 16)</w:t>
      </w:r>
    </w:p>
    <w:p w14:paraId="260DE8D9" w14:textId="2E2FB755" w:rsidR="006D6848" w:rsidRPr="00841766" w:rsidRDefault="00B254D7" w:rsidP="00914158">
      <w:pPr>
        <w:spacing w:after="120"/>
        <w:ind w:right="-11"/>
        <w:jc w:val="both"/>
        <w:rPr>
          <w:rFonts w:cs="Arial"/>
          <w:sz w:val="22"/>
          <w:szCs w:val="22"/>
          <w:lang w:val="en-US"/>
        </w:rPr>
      </w:pPr>
      <w:r w:rsidRPr="00841766">
        <w:rPr>
          <w:rFonts w:cs="Arial"/>
          <w:sz w:val="22"/>
          <w:szCs w:val="22"/>
          <w:lang w:val="en-US"/>
        </w:rPr>
        <w:t xml:space="preserve">According to all indicators and measures of poverty (SDG 1), Timor-Leste has achieved a significant decline in poverty rates over the last decade. </w:t>
      </w:r>
      <w:r w:rsidR="00990A56">
        <w:rPr>
          <w:rFonts w:cs="Arial"/>
          <w:sz w:val="22"/>
          <w:szCs w:val="22"/>
          <w:lang w:val="en-US"/>
        </w:rPr>
        <w:t xml:space="preserve"> </w:t>
      </w:r>
      <w:r w:rsidR="00292208">
        <w:rPr>
          <w:rFonts w:cs="Arial"/>
          <w:sz w:val="22"/>
          <w:szCs w:val="22"/>
          <w:lang w:val="en-US"/>
        </w:rPr>
        <w:t>T</w:t>
      </w:r>
      <w:r w:rsidRPr="00841766">
        <w:rPr>
          <w:rFonts w:cs="Arial"/>
          <w:sz w:val="22"/>
          <w:szCs w:val="22"/>
          <w:lang w:val="en-US"/>
        </w:rPr>
        <w:t xml:space="preserve">he </w:t>
      </w:r>
      <w:r w:rsidR="00901F3D" w:rsidRPr="00841766">
        <w:rPr>
          <w:rFonts w:cs="Arial"/>
          <w:sz w:val="22"/>
          <w:szCs w:val="22"/>
          <w:lang w:val="en-US"/>
        </w:rPr>
        <w:t>proportions</w:t>
      </w:r>
      <w:r w:rsidRPr="00841766">
        <w:rPr>
          <w:rFonts w:cs="Arial"/>
          <w:sz w:val="22"/>
          <w:szCs w:val="22"/>
          <w:lang w:val="en-US"/>
        </w:rPr>
        <w:t xml:space="preserve"> of the population living below the national poverty line ha</w:t>
      </w:r>
      <w:r w:rsidR="00901F3D">
        <w:rPr>
          <w:rFonts w:cs="Arial"/>
          <w:sz w:val="22"/>
          <w:szCs w:val="22"/>
          <w:lang w:val="en-US"/>
        </w:rPr>
        <w:t>ve</w:t>
      </w:r>
      <w:r w:rsidRPr="00841766">
        <w:rPr>
          <w:rFonts w:cs="Arial"/>
          <w:sz w:val="22"/>
          <w:szCs w:val="22"/>
          <w:lang w:val="en-US"/>
        </w:rPr>
        <w:t xml:space="preserve"> dropped from 50.4 % in 2007 to 41.8 % in 2014</w:t>
      </w:r>
      <w:r w:rsidRPr="00841766">
        <w:rPr>
          <w:rStyle w:val="FootnoteReference"/>
          <w:rFonts w:cs="Arial"/>
          <w:sz w:val="22"/>
          <w:szCs w:val="22"/>
          <w:lang w:val="en-US"/>
        </w:rPr>
        <w:footnoteReference w:id="14"/>
      </w:r>
      <w:r w:rsidR="00292208">
        <w:rPr>
          <w:rFonts w:cs="Arial"/>
          <w:sz w:val="22"/>
          <w:szCs w:val="22"/>
          <w:lang w:val="en-US"/>
        </w:rPr>
        <w:t>.</w:t>
      </w:r>
      <w:r w:rsidRPr="00841766">
        <w:rPr>
          <w:rFonts w:cs="Arial"/>
          <w:sz w:val="22"/>
          <w:szCs w:val="22"/>
          <w:lang w:val="en-US"/>
        </w:rPr>
        <w:t xml:space="preserve"> </w:t>
      </w:r>
      <w:r w:rsidR="00292208">
        <w:rPr>
          <w:rFonts w:cs="Arial"/>
          <w:sz w:val="22"/>
          <w:szCs w:val="22"/>
          <w:lang w:val="en-US"/>
        </w:rPr>
        <w:t xml:space="preserve"> T</w:t>
      </w:r>
      <w:r w:rsidR="00990A56" w:rsidRPr="00841766">
        <w:rPr>
          <w:rFonts w:cs="Arial"/>
          <w:sz w:val="22"/>
          <w:szCs w:val="22"/>
          <w:lang w:val="en-US"/>
        </w:rPr>
        <w:t>he rate</w:t>
      </w:r>
      <w:r w:rsidR="00292208">
        <w:rPr>
          <w:rFonts w:cs="Arial"/>
          <w:sz w:val="22"/>
          <w:szCs w:val="22"/>
          <w:lang w:val="en-US"/>
        </w:rPr>
        <w:t>, however,</w:t>
      </w:r>
      <w:r w:rsidR="00990A56" w:rsidRPr="00841766">
        <w:rPr>
          <w:rFonts w:cs="Arial"/>
          <w:sz w:val="22"/>
          <w:szCs w:val="22"/>
          <w:lang w:val="en-US"/>
        </w:rPr>
        <w:t xml:space="preserve"> is still not fast enough to eliminate poverty by 2030. </w:t>
      </w:r>
      <w:r w:rsidR="00990A56">
        <w:rPr>
          <w:rFonts w:cs="Arial"/>
          <w:sz w:val="22"/>
          <w:szCs w:val="22"/>
          <w:lang w:val="en-US"/>
        </w:rPr>
        <w:t xml:space="preserve"> </w:t>
      </w:r>
      <w:r w:rsidR="00292208">
        <w:rPr>
          <w:rFonts w:cs="Arial"/>
          <w:sz w:val="22"/>
          <w:szCs w:val="22"/>
          <w:lang w:val="en-US"/>
        </w:rPr>
        <w:t>Furthermore, e</w:t>
      </w:r>
      <w:r w:rsidRPr="00841766">
        <w:rPr>
          <w:rFonts w:cs="Arial"/>
          <w:sz w:val="22"/>
          <w:szCs w:val="22"/>
          <w:lang w:val="en-US"/>
        </w:rPr>
        <w:t xml:space="preserve">ven accounting for population growth over this period, </w:t>
      </w:r>
      <w:r w:rsidR="00990A56">
        <w:rPr>
          <w:rFonts w:cs="Arial"/>
          <w:sz w:val="22"/>
          <w:szCs w:val="22"/>
          <w:lang w:val="en-US"/>
        </w:rPr>
        <w:t xml:space="preserve">poverty reduction </w:t>
      </w:r>
      <w:r w:rsidRPr="00841766">
        <w:rPr>
          <w:rFonts w:cs="Arial"/>
          <w:sz w:val="22"/>
          <w:szCs w:val="22"/>
          <w:lang w:val="en-US"/>
        </w:rPr>
        <w:t xml:space="preserve">has been </w:t>
      </w:r>
      <w:r w:rsidR="00893441" w:rsidRPr="00841766">
        <w:rPr>
          <w:sz w:val="22"/>
          <w:szCs w:val="22"/>
          <w:lang w:val="en-US"/>
        </w:rPr>
        <w:t>uneven among geographic areas</w:t>
      </w:r>
      <w:r w:rsidR="00F22507">
        <w:rPr>
          <w:sz w:val="22"/>
          <w:szCs w:val="22"/>
          <w:lang w:val="en-US"/>
        </w:rPr>
        <w:t>, between male and female</w:t>
      </w:r>
      <w:r w:rsidR="00893441" w:rsidRPr="00841766">
        <w:rPr>
          <w:sz w:val="22"/>
          <w:szCs w:val="22"/>
          <w:lang w:val="en-US"/>
        </w:rPr>
        <w:t xml:space="preserve"> and age groups, with 48.6% of </w:t>
      </w:r>
      <w:r w:rsidR="00893441" w:rsidRPr="00914158">
        <w:rPr>
          <w:sz w:val="22"/>
          <w:szCs w:val="22"/>
          <w:lang w:val="en-US"/>
        </w:rPr>
        <w:t>children under 1</w:t>
      </w:r>
      <w:r w:rsidR="00914158" w:rsidRPr="00914158">
        <w:rPr>
          <w:sz w:val="22"/>
          <w:szCs w:val="22"/>
          <w:lang w:val="en-US"/>
        </w:rPr>
        <w:t>5</w:t>
      </w:r>
      <w:r w:rsidR="00893441" w:rsidRPr="00841766">
        <w:rPr>
          <w:sz w:val="22"/>
          <w:szCs w:val="22"/>
          <w:lang w:val="en-US"/>
        </w:rPr>
        <w:t xml:space="preserve"> </w:t>
      </w:r>
      <w:r w:rsidR="00990A56">
        <w:rPr>
          <w:sz w:val="22"/>
          <w:szCs w:val="22"/>
          <w:lang w:val="en-US"/>
        </w:rPr>
        <w:t xml:space="preserve">living </w:t>
      </w:r>
      <w:r w:rsidR="00893441" w:rsidRPr="00841766">
        <w:rPr>
          <w:sz w:val="22"/>
          <w:szCs w:val="22"/>
          <w:lang w:val="en-US"/>
        </w:rPr>
        <w:t>below the poverty line</w:t>
      </w:r>
      <w:r w:rsidR="00990A56">
        <w:rPr>
          <w:rFonts w:cs="Arial"/>
          <w:sz w:val="22"/>
          <w:szCs w:val="22"/>
          <w:lang w:val="en-US"/>
        </w:rPr>
        <w:t>.</w:t>
      </w:r>
      <w:r w:rsidRPr="00841766">
        <w:rPr>
          <w:rFonts w:cs="Arial"/>
          <w:sz w:val="22"/>
          <w:szCs w:val="22"/>
          <w:lang w:val="en-US"/>
        </w:rPr>
        <w:t xml:space="preserve"> </w:t>
      </w:r>
      <w:r w:rsidR="00990A56">
        <w:rPr>
          <w:rFonts w:cs="Arial"/>
          <w:sz w:val="22"/>
          <w:szCs w:val="22"/>
          <w:lang w:val="en-US"/>
        </w:rPr>
        <w:t xml:space="preserve"> T</w:t>
      </w:r>
      <w:r w:rsidRPr="00841766">
        <w:rPr>
          <w:rFonts w:cs="Arial"/>
          <w:sz w:val="22"/>
          <w:szCs w:val="22"/>
          <w:lang w:val="en-US"/>
        </w:rPr>
        <w:t xml:space="preserve">he country has the highest multidimensional poverty rate among South-East Asian </w:t>
      </w:r>
      <w:r w:rsidRPr="003B44D8">
        <w:rPr>
          <w:rFonts w:cs="Arial"/>
          <w:sz w:val="22"/>
          <w:szCs w:val="22"/>
          <w:lang w:val="en-US"/>
        </w:rPr>
        <w:t>countries</w:t>
      </w:r>
      <w:r w:rsidR="00C156FA" w:rsidRPr="00841766">
        <w:rPr>
          <w:rFonts w:cs="Arial"/>
          <w:sz w:val="22"/>
          <w:szCs w:val="22"/>
          <w:lang w:val="en-US"/>
        </w:rPr>
        <w:t xml:space="preserve"> with 4</w:t>
      </w:r>
      <w:r w:rsidR="00504B20">
        <w:rPr>
          <w:rFonts w:cs="Arial"/>
          <w:sz w:val="22"/>
          <w:szCs w:val="22"/>
          <w:lang w:val="en-US"/>
        </w:rPr>
        <w:t>5.8</w:t>
      </w:r>
      <w:r w:rsidRPr="00841766">
        <w:rPr>
          <w:rFonts w:cs="Arial"/>
          <w:sz w:val="22"/>
          <w:szCs w:val="22"/>
          <w:lang w:val="en-US"/>
        </w:rPr>
        <w:t>% of the population being multidimensionally poor</w:t>
      </w:r>
      <w:r w:rsidRPr="00841766">
        <w:rPr>
          <w:rStyle w:val="FootnoteReference"/>
          <w:rFonts w:cs="Arial"/>
          <w:sz w:val="22"/>
          <w:szCs w:val="22"/>
          <w:lang w:val="en-US"/>
        </w:rPr>
        <w:footnoteReference w:id="15"/>
      </w:r>
      <w:r w:rsidRPr="00841766">
        <w:rPr>
          <w:rFonts w:cs="Arial"/>
          <w:sz w:val="22"/>
          <w:szCs w:val="22"/>
          <w:lang w:val="en-US"/>
        </w:rPr>
        <w:t xml:space="preserve">. </w:t>
      </w:r>
    </w:p>
    <w:p w14:paraId="32346FA1" w14:textId="425E69D9" w:rsidR="00292208" w:rsidRDefault="00B254D7" w:rsidP="00914158">
      <w:pPr>
        <w:spacing w:after="120"/>
        <w:ind w:right="-11"/>
        <w:jc w:val="both"/>
        <w:rPr>
          <w:rFonts w:cs="Arial"/>
          <w:iCs/>
          <w:color w:val="000000" w:themeColor="text1"/>
          <w:sz w:val="22"/>
          <w:szCs w:val="22"/>
          <w:lang w:val="en-US"/>
        </w:rPr>
      </w:pPr>
      <w:r w:rsidRPr="00841766">
        <w:rPr>
          <w:rFonts w:cs="Arial"/>
          <w:iCs/>
          <w:color w:val="000000" w:themeColor="text1"/>
          <w:sz w:val="22"/>
          <w:szCs w:val="22"/>
          <w:lang w:val="en-US"/>
        </w:rPr>
        <w:t xml:space="preserve">Food insecurity and malnutrition remain among the most prevalent challenges in Timor-Leste (SDG 2). Despite the progress made in tackling malnutrition since 2010, </w:t>
      </w:r>
      <w:r w:rsidR="00F22507">
        <w:rPr>
          <w:rFonts w:cs="Arial"/>
          <w:iCs/>
          <w:color w:val="000000" w:themeColor="text1"/>
          <w:sz w:val="22"/>
          <w:szCs w:val="22"/>
          <w:lang w:val="en-US"/>
        </w:rPr>
        <w:t xml:space="preserve">the </w:t>
      </w:r>
      <w:r w:rsidRPr="00841766">
        <w:rPr>
          <w:rFonts w:cs="Arial"/>
          <w:iCs/>
          <w:color w:val="000000" w:themeColor="text1"/>
          <w:sz w:val="22"/>
          <w:szCs w:val="22"/>
          <w:lang w:val="en-US"/>
        </w:rPr>
        <w:t>malnutrition rate remains one of the highest in the world</w:t>
      </w:r>
      <w:bookmarkStart w:id="13" w:name="_Hlk25680675"/>
      <w:r w:rsidRPr="00841766">
        <w:rPr>
          <w:rStyle w:val="FootnoteReference"/>
          <w:rFonts w:cs="Arial"/>
          <w:iCs/>
          <w:color w:val="000000" w:themeColor="text1"/>
          <w:sz w:val="22"/>
          <w:szCs w:val="22"/>
          <w:lang w:val="en-US"/>
        </w:rPr>
        <w:footnoteReference w:id="16"/>
      </w:r>
      <w:r w:rsidRPr="00841766">
        <w:rPr>
          <w:rFonts w:cs="Arial"/>
          <w:iCs/>
          <w:color w:val="000000" w:themeColor="text1"/>
          <w:sz w:val="22"/>
          <w:szCs w:val="22"/>
          <w:lang w:val="en-US"/>
        </w:rPr>
        <w:t xml:space="preserve">. </w:t>
      </w:r>
      <w:bookmarkEnd w:id="13"/>
      <w:r w:rsidR="009326C2">
        <w:rPr>
          <w:rFonts w:cs="Arial"/>
          <w:iCs/>
          <w:color w:val="000000" w:themeColor="text1"/>
          <w:sz w:val="22"/>
          <w:szCs w:val="22"/>
          <w:lang w:val="en-US"/>
        </w:rPr>
        <w:t xml:space="preserve"> </w:t>
      </w:r>
      <w:r w:rsidR="00292208">
        <w:rPr>
          <w:rFonts w:cs="Arial"/>
          <w:iCs/>
          <w:color w:val="000000" w:themeColor="text1"/>
          <w:sz w:val="22"/>
          <w:szCs w:val="22"/>
          <w:lang w:val="en-US"/>
        </w:rPr>
        <w:t>The prevalence</w:t>
      </w:r>
      <w:r w:rsidRPr="00841766">
        <w:rPr>
          <w:rFonts w:cs="Arial"/>
          <w:iCs/>
          <w:color w:val="000000" w:themeColor="text1"/>
          <w:sz w:val="22"/>
          <w:szCs w:val="22"/>
          <w:lang w:val="en-US"/>
        </w:rPr>
        <w:t xml:space="preserve"> of food insecurity</w:t>
      </w:r>
      <w:r w:rsidR="00292208">
        <w:rPr>
          <w:rFonts w:cs="Arial"/>
          <w:iCs/>
          <w:color w:val="000000" w:themeColor="text1"/>
          <w:sz w:val="22"/>
          <w:szCs w:val="22"/>
          <w:lang w:val="en-US"/>
        </w:rPr>
        <w:t xml:space="preserve"> is high, with </w:t>
      </w:r>
      <w:r w:rsidRPr="00841766">
        <w:rPr>
          <w:rFonts w:cs="Arial"/>
          <w:sz w:val="22"/>
          <w:szCs w:val="22"/>
          <w:lang w:val="en-US"/>
        </w:rPr>
        <w:t>36% of the population suffer</w:t>
      </w:r>
      <w:r w:rsidR="00292208">
        <w:rPr>
          <w:rFonts w:cs="Arial"/>
          <w:sz w:val="22"/>
          <w:szCs w:val="22"/>
          <w:lang w:val="en-US"/>
        </w:rPr>
        <w:t>ing</w:t>
      </w:r>
      <w:r w:rsidRPr="00841766">
        <w:rPr>
          <w:rFonts w:cs="Arial"/>
          <w:sz w:val="22"/>
          <w:szCs w:val="22"/>
          <w:lang w:val="en-US"/>
        </w:rPr>
        <w:t xml:space="preserve"> chronic food insecurity</w:t>
      </w:r>
      <w:r w:rsidR="003B421C" w:rsidRPr="00841766">
        <w:rPr>
          <w:rStyle w:val="FootnoteReference"/>
          <w:rFonts w:cs="Arial"/>
          <w:sz w:val="22"/>
          <w:szCs w:val="22"/>
          <w:lang w:val="en-US"/>
        </w:rPr>
        <w:footnoteReference w:id="17"/>
      </w:r>
      <w:r w:rsidR="00292208">
        <w:rPr>
          <w:rFonts w:cs="Arial"/>
          <w:iCs/>
          <w:color w:val="000000" w:themeColor="text1"/>
          <w:sz w:val="22"/>
          <w:szCs w:val="22"/>
          <w:lang w:val="en-US"/>
        </w:rPr>
        <w:t>.</w:t>
      </w:r>
      <w:r w:rsidRPr="00841766">
        <w:rPr>
          <w:rFonts w:cs="Arial"/>
          <w:iCs/>
          <w:color w:val="000000" w:themeColor="text1"/>
          <w:sz w:val="22"/>
          <w:szCs w:val="22"/>
          <w:lang w:val="en-US"/>
        </w:rPr>
        <w:t xml:space="preserve"> </w:t>
      </w:r>
      <w:r w:rsidR="00292208">
        <w:rPr>
          <w:rFonts w:cs="Arial"/>
          <w:iCs/>
          <w:color w:val="000000" w:themeColor="text1"/>
          <w:sz w:val="22"/>
          <w:szCs w:val="22"/>
          <w:lang w:val="en-US"/>
        </w:rPr>
        <w:t xml:space="preserve"> S</w:t>
      </w:r>
      <w:r w:rsidRPr="00841766">
        <w:rPr>
          <w:rFonts w:cs="Arial"/>
          <w:iCs/>
          <w:color w:val="000000" w:themeColor="text1"/>
          <w:sz w:val="22"/>
          <w:szCs w:val="22"/>
          <w:lang w:val="en-US"/>
        </w:rPr>
        <w:t xml:space="preserve">tunting among children under 5 </w:t>
      </w:r>
      <w:r w:rsidR="00292208">
        <w:rPr>
          <w:rFonts w:cs="Arial"/>
          <w:iCs/>
          <w:color w:val="000000" w:themeColor="text1"/>
          <w:sz w:val="22"/>
          <w:szCs w:val="22"/>
          <w:lang w:val="en-US"/>
        </w:rPr>
        <w:t>is high:</w:t>
      </w:r>
      <w:r w:rsidRPr="00841766">
        <w:rPr>
          <w:rFonts w:cs="Arial"/>
          <w:iCs/>
          <w:color w:val="000000" w:themeColor="text1"/>
          <w:sz w:val="22"/>
          <w:szCs w:val="22"/>
          <w:lang w:val="en-US"/>
        </w:rPr>
        <w:t xml:space="preserve"> </w:t>
      </w:r>
      <w:bookmarkStart w:id="14" w:name="_Hlk25680702"/>
      <w:bookmarkStart w:id="15" w:name="_Hlk26267322"/>
      <w:r w:rsidR="00117E62" w:rsidRPr="00841766">
        <w:rPr>
          <w:rFonts w:cs="Arial"/>
          <w:bCs/>
          <w:sz w:val="22"/>
          <w:szCs w:val="22"/>
          <w:lang w:val="en-US"/>
        </w:rPr>
        <w:t>in 2013, 50</w:t>
      </w:r>
      <w:r w:rsidRPr="00841766">
        <w:rPr>
          <w:rFonts w:cs="Arial"/>
          <w:bCs/>
          <w:sz w:val="22"/>
          <w:szCs w:val="22"/>
          <w:lang w:val="en-US"/>
        </w:rPr>
        <w:t>% of all children under 5 were stunted</w:t>
      </w:r>
      <w:bookmarkEnd w:id="14"/>
      <w:bookmarkEnd w:id="15"/>
      <w:r w:rsidRPr="00841766">
        <w:rPr>
          <w:rStyle w:val="FootnoteReference"/>
          <w:rFonts w:cs="Arial"/>
          <w:sz w:val="22"/>
          <w:szCs w:val="22"/>
          <w:lang w:val="en-US"/>
        </w:rPr>
        <w:footnoteReference w:id="18"/>
      </w:r>
      <w:r w:rsidR="00292208">
        <w:rPr>
          <w:rFonts w:cs="Arial"/>
          <w:bCs/>
          <w:sz w:val="22"/>
          <w:szCs w:val="22"/>
          <w:lang w:val="en-US"/>
        </w:rPr>
        <w:t xml:space="preserve">, with </w:t>
      </w:r>
      <w:r w:rsidR="00001576">
        <w:rPr>
          <w:rFonts w:cs="Arial"/>
          <w:color w:val="000000" w:themeColor="text1"/>
          <w:sz w:val="22"/>
          <w:szCs w:val="22"/>
          <w:lang w:val="en-US"/>
        </w:rPr>
        <w:t xml:space="preserve">no significant difference between stunting rates of boys and girls, </w:t>
      </w:r>
      <w:r w:rsidR="00292208">
        <w:rPr>
          <w:rFonts w:cs="Arial"/>
          <w:color w:val="000000" w:themeColor="text1"/>
          <w:sz w:val="22"/>
          <w:szCs w:val="22"/>
          <w:lang w:val="en-US"/>
        </w:rPr>
        <w:t xml:space="preserve">while the </w:t>
      </w:r>
      <w:r w:rsidR="00001576" w:rsidRPr="00D12D8C">
        <w:rPr>
          <w:rFonts w:cs="Arial"/>
          <w:color w:val="000000" w:themeColor="text1"/>
          <w:sz w:val="22"/>
          <w:szCs w:val="22"/>
          <w:lang w:val="en-US"/>
        </w:rPr>
        <w:t xml:space="preserve">prevalence </w:t>
      </w:r>
      <w:r w:rsidR="00914158">
        <w:rPr>
          <w:rFonts w:cs="Arial"/>
          <w:color w:val="000000" w:themeColor="text1"/>
          <w:sz w:val="22"/>
          <w:szCs w:val="22"/>
          <w:lang w:val="en-US"/>
        </w:rPr>
        <w:t>was</w:t>
      </w:r>
      <w:r w:rsidR="00001576" w:rsidRPr="00D12D8C">
        <w:rPr>
          <w:rFonts w:cs="Arial"/>
          <w:color w:val="000000" w:themeColor="text1"/>
          <w:sz w:val="22"/>
          <w:szCs w:val="22"/>
          <w:lang w:val="en-US"/>
        </w:rPr>
        <w:t xml:space="preserve"> higher in rural</w:t>
      </w:r>
      <w:r w:rsidR="00001576">
        <w:rPr>
          <w:rFonts w:cs="Arial"/>
          <w:color w:val="000000" w:themeColor="text1"/>
          <w:sz w:val="22"/>
          <w:szCs w:val="22"/>
          <w:lang w:val="en-US"/>
        </w:rPr>
        <w:t xml:space="preserve"> areas</w:t>
      </w:r>
      <w:r w:rsidR="00001576" w:rsidRPr="00D12D8C">
        <w:rPr>
          <w:rFonts w:cs="Arial"/>
          <w:color w:val="000000" w:themeColor="text1"/>
          <w:sz w:val="22"/>
          <w:szCs w:val="22"/>
          <w:lang w:val="en-US"/>
        </w:rPr>
        <w:t xml:space="preserve"> (54.5%) than </w:t>
      </w:r>
      <w:r w:rsidR="00001576">
        <w:rPr>
          <w:rFonts w:cs="Arial"/>
          <w:color w:val="000000" w:themeColor="text1"/>
          <w:sz w:val="22"/>
          <w:szCs w:val="22"/>
          <w:lang w:val="en-US"/>
        </w:rPr>
        <w:t xml:space="preserve">in </w:t>
      </w:r>
      <w:r w:rsidR="00001576" w:rsidRPr="00D12D8C">
        <w:rPr>
          <w:rFonts w:cs="Arial"/>
          <w:color w:val="000000" w:themeColor="text1"/>
          <w:sz w:val="22"/>
          <w:szCs w:val="22"/>
          <w:lang w:val="en-US"/>
        </w:rPr>
        <w:t xml:space="preserve">urban </w:t>
      </w:r>
      <w:r w:rsidR="00001576">
        <w:rPr>
          <w:rFonts w:cs="Arial"/>
          <w:color w:val="000000" w:themeColor="text1"/>
          <w:sz w:val="22"/>
          <w:szCs w:val="22"/>
          <w:lang w:val="en-US"/>
        </w:rPr>
        <w:t>areas (38.9%)</w:t>
      </w:r>
      <w:r w:rsidR="00001576">
        <w:rPr>
          <w:rStyle w:val="FootnoteReference"/>
          <w:rFonts w:cs="Arial"/>
          <w:color w:val="000000" w:themeColor="text1"/>
          <w:sz w:val="22"/>
          <w:szCs w:val="22"/>
          <w:lang w:val="en-US"/>
        </w:rPr>
        <w:footnoteReference w:id="19"/>
      </w:r>
      <w:r w:rsidR="00001576" w:rsidRPr="00D12D8C">
        <w:rPr>
          <w:rFonts w:cs="Arial"/>
          <w:color w:val="000000" w:themeColor="text1"/>
          <w:sz w:val="22"/>
          <w:szCs w:val="22"/>
          <w:lang w:val="en-US"/>
        </w:rPr>
        <w:t>.</w:t>
      </w:r>
      <w:r w:rsidRPr="00841766">
        <w:rPr>
          <w:rFonts w:cs="Arial"/>
          <w:iCs/>
          <w:color w:val="000000" w:themeColor="text1"/>
          <w:sz w:val="22"/>
          <w:szCs w:val="22"/>
          <w:lang w:val="en-US"/>
        </w:rPr>
        <w:t xml:space="preserve"> </w:t>
      </w:r>
      <w:r w:rsidR="00001576">
        <w:rPr>
          <w:rFonts w:cs="Arial"/>
          <w:iCs/>
          <w:color w:val="000000" w:themeColor="text1"/>
          <w:sz w:val="22"/>
          <w:szCs w:val="22"/>
          <w:lang w:val="en-US"/>
        </w:rPr>
        <w:t xml:space="preserve"> Prevalence of moderate to severe a</w:t>
      </w:r>
      <w:r w:rsidRPr="00841766">
        <w:rPr>
          <w:rFonts w:cs="Arial"/>
          <w:iCs/>
          <w:color w:val="000000" w:themeColor="text1"/>
          <w:sz w:val="22"/>
          <w:szCs w:val="22"/>
          <w:lang w:val="en-US"/>
        </w:rPr>
        <w:t xml:space="preserve">nemia among </w:t>
      </w:r>
      <w:r w:rsidR="00001576">
        <w:rPr>
          <w:rFonts w:cs="Arial"/>
          <w:iCs/>
          <w:color w:val="000000" w:themeColor="text1"/>
          <w:sz w:val="22"/>
          <w:szCs w:val="22"/>
          <w:lang w:val="en-US"/>
        </w:rPr>
        <w:t xml:space="preserve">children and </w:t>
      </w:r>
      <w:r w:rsidRPr="00841766">
        <w:rPr>
          <w:rFonts w:cs="Arial"/>
          <w:iCs/>
          <w:color w:val="000000" w:themeColor="text1"/>
          <w:sz w:val="22"/>
          <w:szCs w:val="22"/>
          <w:lang w:val="en-US"/>
        </w:rPr>
        <w:t>women of reproductive age</w:t>
      </w:r>
      <w:r w:rsidR="00001576">
        <w:rPr>
          <w:rFonts w:cs="Arial"/>
          <w:iCs/>
          <w:color w:val="000000" w:themeColor="text1"/>
          <w:sz w:val="22"/>
          <w:szCs w:val="22"/>
          <w:lang w:val="en-US"/>
        </w:rPr>
        <w:t xml:space="preserve"> is high and</w:t>
      </w:r>
      <w:r w:rsidR="009326C2">
        <w:rPr>
          <w:rFonts w:cs="Arial"/>
          <w:iCs/>
          <w:color w:val="000000" w:themeColor="text1"/>
          <w:sz w:val="22"/>
          <w:szCs w:val="22"/>
          <w:lang w:val="en-US"/>
        </w:rPr>
        <w:t xml:space="preserve"> </w:t>
      </w:r>
      <w:r w:rsidR="00001576">
        <w:rPr>
          <w:rFonts w:cs="Arial"/>
          <w:color w:val="000000" w:themeColor="text1"/>
          <w:sz w:val="22"/>
          <w:szCs w:val="22"/>
          <w:lang w:val="en-US"/>
        </w:rPr>
        <w:t>has been rising from 2013 to 2016</w:t>
      </w:r>
      <w:r w:rsidR="00001576">
        <w:rPr>
          <w:rStyle w:val="FootnoteReference"/>
          <w:rFonts w:cs="Arial"/>
          <w:color w:val="000000" w:themeColor="text1"/>
          <w:sz w:val="22"/>
          <w:szCs w:val="22"/>
          <w:lang w:val="en-US"/>
        </w:rPr>
        <w:footnoteReference w:id="20"/>
      </w:r>
      <w:r w:rsidR="00001576">
        <w:rPr>
          <w:rFonts w:cs="Arial"/>
          <w:color w:val="000000" w:themeColor="text1"/>
          <w:sz w:val="22"/>
          <w:szCs w:val="22"/>
          <w:lang w:val="en-US"/>
        </w:rPr>
        <w:t xml:space="preserve">.  </w:t>
      </w:r>
      <w:r w:rsidR="007C2B09">
        <w:rPr>
          <w:rFonts w:cs="Arial"/>
          <w:color w:val="000000" w:themeColor="text1"/>
          <w:sz w:val="22"/>
          <w:szCs w:val="22"/>
          <w:lang w:val="en-US"/>
        </w:rPr>
        <w:t>At the current pace of progress,</w:t>
      </w:r>
      <w:r w:rsidRPr="00841766">
        <w:rPr>
          <w:rFonts w:cs="Arial"/>
          <w:iCs/>
          <w:color w:val="000000" w:themeColor="text1"/>
          <w:sz w:val="22"/>
          <w:szCs w:val="22"/>
          <w:lang w:val="en-US"/>
        </w:rPr>
        <w:t xml:space="preserve"> Timor-Leste is unlikely to achieve SDG 2 by 2030, with negative consequences on potential progress on </w:t>
      </w:r>
      <w:r w:rsidR="00722FF0" w:rsidRPr="00841766">
        <w:rPr>
          <w:rFonts w:cs="Arial"/>
          <w:iCs/>
          <w:color w:val="000000" w:themeColor="text1"/>
          <w:sz w:val="22"/>
          <w:szCs w:val="22"/>
          <w:lang w:val="en-US"/>
        </w:rPr>
        <w:t>health</w:t>
      </w:r>
      <w:r w:rsidR="00001576">
        <w:rPr>
          <w:rFonts w:cs="Arial"/>
          <w:iCs/>
          <w:color w:val="000000" w:themeColor="text1"/>
          <w:sz w:val="22"/>
          <w:szCs w:val="22"/>
          <w:lang w:val="en-US"/>
        </w:rPr>
        <w:t>,</w:t>
      </w:r>
      <w:r w:rsidR="00722FF0" w:rsidRPr="00841766">
        <w:rPr>
          <w:rFonts w:cs="Arial"/>
          <w:iCs/>
          <w:color w:val="000000" w:themeColor="text1"/>
          <w:sz w:val="22"/>
          <w:szCs w:val="22"/>
          <w:lang w:val="en-US"/>
        </w:rPr>
        <w:t xml:space="preserve"> education</w:t>
      </w:r>
      <w:r w:rsidR="00001576">
        <w:rPr>
          <w:rFonts w:cs="Arial"/>
          <w:iCs/>
          <w:color w:val="000000" w:themeColor="text1"/>
          <w:sz w:val="22"/>
          <w:szCs w:val="22"/>
          <w:lang w:val="en-US"/>
        </w:rPr>
        <w:t xml:space="preserve"> and economic</w:t>
      </w:r>
      <w:r w:rsidR="00722FF0" w:rsidRPr="00841766">
        <w:rPr>
          <w:rFonts w:cs="Arial"/>
          <w:iCs/>
          <w:color w:val="000000" w:themeColor="text1"/>
          <w:sz w:val="22"/>
          <w:szCs w:val="22"/>
          <w:lang w:val="en-US"/>
        </w:rPr>
        <w:t xml:space="preserve"> </w:t>
      </w:r>
      <w:r w:rsidRPr="00841766">
        <w:rPr>
          <w:rFonts w:cs="Arial"/>
          <w:iCs/>
          <w:color w:val="000000" w:themeColor="text1"/>
          <w:sz w:val="22"/>
          <w:szCs w:val="22"/>
          <w:lang w:val="en-US"/>
        </w:rPr>
        <w:t>outcomes (SDG</w:t>
      </w:r>
      <w:r w:rsidR="009326C2">
        <w:rPr>
          <w:rFonts w:cs="Arial"/>
          <w:iCs/>
          <w:color w:val="000000" w:themeColor="text1"/>
          <w:sz w:val="22"/>
          <w:szCs w:val="22"/>
          <w:lang w:val="en-US"/>
        </w:rPr>
        <w:t>s</w:t>
      </w:r>
      <w:r w:rsidRPr="00841766">
        <w:rPr>
          <w:rFonts w:cs="Arial"/>
          <w:iCs/>
          <w:color w:val="000000" w:themeColor="text1"/>
          <w:sz w:val="22"/>
          <w:szCs w:val="22"/>
          <w:lang w:val="en-US"/>
        </w:rPr>
        <w:t xml:space="preserve"> 3</w:t>
      </w:r>
      <w:r w:rsidR="00001576">
        <w:rPr>
          <w:rFonts w:cs="Arial"/>
          <w:iCs/>
          <w:color w:val="000000" w:themeColor="text1"/>
          <w:sz w:val="22"/>
          <w:szCs w:val="22"/>
          <w:lang w:val="en-US"/>
        </w:rPr>
        <w:t>, 4</w:t>
      </w:r>
      <w:r w:rsidRPr="00841766">
        <w:rPr>
          <w:rFonts w:cs="Arial"/>
          <w:iCs/>
          <w:color w:val="000000" w:themeColor="text1"/>
          <w:sz w:val="22"/>
          <w:szCs w:val="22"/>
          <w:lang w:val="en-US"/>
        </w:rPr>
        <w:t xml:space="preserve"> and </w:t>
      </w:r>
      <w:r w:rsidR="00001576">
        <w:rPr>
          <w:rFonts w:cs="Arial"/>
          <w:iCs/>
          <w:color w:val="000000" w:themeColor="text1"/>
          <w:sz w:val="22"/>
          <w:szCs w:val="22"/>
          <w:lang w:val="en-US"/>
        </w:rPr>
        <w:t>8</w:t>
      </w:r>
      <w:r w:rsidRPr="00841766">
        <w:rPr>
          <w:rFonts w:cs="Arial"/>
          <w:iCs/>
          <w:color w:val="000000" w:themeColor="text1"/>
          <w:sz w:val="22"/>
          <w:szCs w:val="22"/>
          <w:lang w:val="en-US"/>
        </w:rPr>
        <w:t>)</w:t>
      </w:r>
      <w:r w:rsidR="00393F05" w:rsidRPr="00841766">
        <w:rPr>
          <w:rFonts w:cs="Arial"/>
          <w:iCs/>
          <w:color w:val="000000" w:themeColor="text1"/>
          <w:sz w:val="22"/>
          <w:szCs w:val="22"/>
          <w:lang w:val="en-US"/>
        </w:rPr>
        <w:t xml:space="preserve">. </w:t>
      </w:r>
      <w:r w:rsidR="009326C2">
        <w:rPr>
          <w:rFonts w:cs="Arial"/>
          <w:iCs/>
          <w:color w:val="000000" w:themeColor="text1"/>
          <w:sz w:val="22"/>
          <w:szCs w:val="22"/>
          <w:lang w:val="en-US"/>
        </w:rPr>
        <w:t xml:space="preserve"> </w:t>
      </w:r>
    </w:p>
    <w:p w14:paraId="5B496DD9" w14:textId="2F710096" w:rsidR="00B254D7" w:rsidRDefault="00393F05" w:rsidP="00914158">
      <w:pPr>
        <w:spacing w:after="120"/>
        <w:ind w:right="-11"/>
        <w:jc w:val="both"/>
        <w:rPr>
          <w:rFonts w:cs="Arial"/>
          <w:bCs/>
          <w:sz w:val="22"/>
          <w:lang w:val="en-US"/>
        </w:rPr>
      </w:pPr>
      <w:r w:rsidRPr="00841766">
        <w:rPr>
          <w:rFonts w:cs="Arial"/>
          <w:bCs/>
          <w:sz w:val="22"/>
          <w:lang w:val="en-US"/>
        </w:rPr>
        <w:t xml:space="preserve">Agriculture </w:t>
      </w:r>
      <w:r w:rsidR="003905E1">
        <w:rPr>
          <w:rFonts w:cs="Arial"/>
          <w:bCs/>
          <w:sz w:val="22"/>
          <w:lang w:val="en-US"/>
        </w:rPr>
        <w:t xml:space="preserve">and </w:t>
      </w:r>
      <w:r w:rsidR="005E4F6F">
        <w:rPr>
          <w:rFonts w:cs="Arial"/>
          <w:bCs/>
          <w:sz w:val="22"/>
          <w:lang w:val="en-US"/>
        </w:rPr>
        <w:t xml:space="preserve">fisheries provide </w:t>
      </w:r>
      <w:r w:rsidRPr="00841766">
        <w:rPr>
          <w:rFonts w:cs="Arial"/>
          <w:bCs/>
          <w:sz w:val="22"/>
          <w:lang w:val="en-US"/>
        </w:rPr>
        <w:t xml:space="preserve">the backbone of Timor-Leste’s </w:t>
      </w:r>
      <w:r w:rsidR="00796387">
        <w:rPr>
          <w:rFonts w:cs="Arial"/>
          <w:bCs/>
          <w:sz w:val="22"/>
          <w:lang w:val="en-US"/>
        </w:rPr>
        <w:t xml:space="preserve">household </w:t>
      </w:r>
      <w:r w:rsidRPr="00841766">
        <w:rPr>
          <w:rFonts w:cs="Arial"/>
          <w:bCs/>
          <w:sz w:val="22"/>
          <w:lang w:val="en-US"/>
        </w:rPr>
        <w:t>economy</w:t>
      </w:r>
      <w:r w:rsidR="009326C2">
        <w:rPr>
          <w:rFonts w:cs="Arial"/>
          <w:bCs/>
          <w:sz w:val="22"/>
          <w:lang w:val="en-US"/>
        </w:rPr>
        <w:t>,</w:t>
      </w:r>
      <w:r w:rsidR="006D6848" w:rsidRPr="00841766">
        <w:rPr>
          <w:rFonts w:cs="Arial"/>
          <w:bCs/>
          <w:sz w:val="22"/>
          <w:lang w:val="en-US"/>
        </w:rPr>
        <w:t xml:space="preserve"> with 70% of households depending on </w:t>
      </w:r>
      <w:r w:rsidR="00F22507">
        <w:rPr>
          <w:rFonts w:cs="Arial"/>
          <w:bCs/>
          <w:sz w:val="22"/>
          <w:lang w:val="en-US"/>
        </w:rPr>
        <w:t xml:space="preserve">subsistence </w:t>
      </w:r>
      <w:r w:rsidR="006D6848" w:rsidRPr="00841766">
        <w:rPr>
          <w:rFonts w:cs="Arial"/>
          <w:bCs/>
          <w:sz w:val="22"/>
          <w:lang w:val="en-US"/>
        </w:rPr>
        <w:t xml:space="preserve">agriculture </w:t>
      </w:r>
      <w:r w:rsidR="005E4F6F">
        <w:rPr>
          <w:rFonts w:cs="Arial"/>
          <w:bCs/>
          <w:sz w:val="22"/>
          <w:lang w:val="en-US"/>
        </w:rPr>
        <w:t xml:space="preserve">and fishing </w:t>
      </w:r>
      <w:r w:rsidR="006D6848" w:rsidRPr="00841766">
        <w:rPr>
          <w:rFonts w:cs="Arial"/>
          <w:bCs/>
          <w:sz w:val="22"/>
          <w:lang w:val="en-US"/>
        </w:rPr>
        <w:t>for their livelihood</w:t>
      </w:r>
      <w:r w:rsidR="00F22507">
        <w:rPr>
          <w:rFonts w:cs="Arial"/>
          <w:bCs/>
          <w:sz w:val="22"/>
          <w:lang w:val="en-US"/>
        </w:rPr>
        <w:t>s</w:t>
      </w:r>
      <w:r w:rsidR="006D6848" w:rsidRPr="00841766">
        <w:rPr>
          <w:rStyle w:val="FootnoteReference"/>
          <w:rFonts w:cs="Arial"/>
          <w:bCs/>
          <w:sz w:val="22"/>
          <w:lang w:val="en-US"/>
        </w:rPr>
        <w:footnoteReference w:id="21"/>
      </w:r>
      <w:r w:rsidR="006D6848" w:rsidRPr="00841766">
        <w:rPr>
          <w:rFonts w:cs="Arial"/>
          <w:bCs/>
          <w:sz w:val="22"/>
          <w:lang w:val="en-US"/>
        </w:rPr>
        <w:t xml:space="preserve">. </w:t>
      </w:r>
      <w:r w:rsidR="009326C2">
        <w:rPr>
          <w:rFonts w:cs="Arial"/>
          <w:bCs/>
          <w:sz w:val="22"/>
          <w:lang w:val="en-US"/>
        </w:rPr>
        <w:t xml:space="preserve"> </w:t>
      </w:r>
      <w:r w:rsidR="006D6848" w:rsidRPr="00841766">
        <w:rPr>
          <w:rFonts w:cs="Arial"/>
          <w:bCs/>
          <w:sz w:val="22"/>
          <w:lang w:val="en-US"/>
        </w:rPr>
        <w:t>However, the sector only</w:t>
      </w:r>
      <w:r w:rsidRPr="00841766">
        <w:rPr>
          <w:rFonts w:cs="Arial"/>
          <w:bCs/>
          <w:sz w:val="22"/>
          <w:lang w:val="en-US"/>
        </w:rPr>
        <w:t xml:space="preserve"> c</w:t>
      </w:r>
      <w:r w:rsidR="006D6848" w:rsidRPr="00841766">
        <w:rPr>
          <w:rFonts w:cs="Arial"/>
          <w:bCs/>
          <w:sz w:val="22"/>
          <w:lang w:val="en-US"/>
        </w:rPr>
        <w:t>ontributes to 17% of</w:t>
      </w:r>
      <w:r w:rsidRPr="00841766">
        <w:rPr>
          <w:rFonts w:cs="Arial"/>
          <w:bCs/>
          <w:sz w:val="22"/>
          <w:lang w:val="en-US"/>
        </w:rPr>
        <w:t xml:space="preserve"> </w:t>
      </w:r>
      <w:r w:rsidR="0078306D">
        <w:rPr>
          <w:rFonts w:cs="Arial"/>
          <w:bCs/>
          <w:sz w:val="22"/>
          <w:lang w:val="en-US"/>
        </w:rPr>
        <w:t xml:space="preserve">non-oil </w:t>
      </w:r>
      <w:r w:rsidRPr="00841766">
        <w:rPr>
          <w:rFonts w:cs="Arial"/>
          <w:bCs/>
          <w:sz w:val="22"/>
          <w:lang w:val="en-US"/>
        </w:rPr>
        <w:t>GDP</w:t>
      </w:r>
      <w:r w:rsidRPr="00841766">
        <w:rPr>
          <w:rStyle w:val="FootnoteReference"/>
          <w:rFonts w:cs="Arial"/>
          <w:bCs/>
          <w:sz w:val="22"/>
          <w:lang w:val="en-US"/>
        </w:rPr>
        <w:footnoteReference w:id="22"/>
      </w:r>
      <w:r w:rsidR="003950EA">
        <w:rPr>
          <w:rFonts w:cs="Arial"/>
          <w:bCs/>
          <w:sz w:val="22"/>
          <w:lang w:val="en-US"/>
        </w:rPr>
        <w:t>.</w:t>
      </w:r>
      <w:r w:rsidRPr="00841766">
        <w:rPr>
          <w:rFonts w:cs="Arial"/>
          <w:bCs/>
          <w:sz w:val="22"/>
          <w:lang w:val="en-US"/>
        </w:rPr>
        <w:t xml:space="preserve"> </w:t>
      </w:r>
      <w:r w:rsidR="003950EA">
        <w:rPr>
          <w:rFonts w:cs="Arial"/>
          <w:bCs/>
          <w:sz w:val="22"/>
          <w:lang w:val="en-US"/>
        </w:rPr>
        <w:t xml:space="preserve"> Agricultural p</w:t>
      </w:r>
      <w:r w:rsidRPr="00841766">
        <w:rPr>
          <w:rFonts w:cs="Arial"/>
          <w:bCs/>
          <w:sz w:val="22"/>
          <w:lang w:val="en-US"/>
        </w:rPr>
        <w:t>roductivity is low</w:t>
      </w:r>
      <w:r w:rsidR="003950EA">
        <w:rPr>
          <w:rFonts w:cs="Arial"/>
          <w:bCs/>
          <w:sz w:val="22"/>
          <w:lang w:val="en-US"/>
        </w:rPr>
        <w:t xml:space="preserve"> </w:t>
      </w:r>
      <w:r w:rsidR="003950EA">
        <w:rPr>
          <w:rFonts w:cs="Arial"/>
          <w:sz w:val="22"/>
          <w:szCs w:val="22"/>
          <w:lang w:val="en-US"/>
        </w:rPr>
        <w:t>(lowest in Southeast Asia for rice and maize</w:t>
      </w:r>
      <w:r w:rsidR="00F22507">
        <w:rPr>
          <w:rFonts w:cs="Arial"/>
          <w:sz w:val="22"/>
          <w:szCs w:val="22"/>
          <w:lang w:val="en-US"/>
        </w:rPr>
        <w:t xml:space="preserve"> production</w:t>
      </w:r>
      <w:r w:rsidR="003950EA">
        <w:rPr>
          <w:rFonts w:cs="Arial"/>
          <w:sz w:val="22"/>
          <w:szCs w:val="22"/>
          <w:lang w:val="en-US"/>
        </w:rPr>
        <w:t>),</w:t>
      </w:r>
      <w:r w:rsidR="003950EA" w:rsidRPr="00DA7004">
        <w:rPr>
          <w:lang w:val="en-US"/>
        </w:rPr>
        <w:t xml:space="preserve"> </w:t>
      </w:r>
      <w:r w:rsidR="003950EA" w:rsidRPr="007F23F8">
        <w:rPr>
          <w:rFonts w:cs="Arial"/>
          <w:sz w:val="22"/>
          <w:szCs w:val="22"/>
          <w:lang w:val="en-US"/>
        </w:rPr>
        <w:t xml:space="preserve">and the sector is highly vulnerable to climate change due to </w:t>
      </w:r>
      <w:r w:rsidR="00F22507">
        <w:rPr>
          <w:rFonts w:cs="Arial"/>
          <w:sz w:val="22"/>
          <w:szCs w:val="22"/>
          <w:lang w:val="en-US"/>
        </w:rPr>
        <w:t xml:space="preserve">lack of irrigation, </w:t>
      </w:r>
      <w:r w:rsidR="003950EA" w:rsidRPr="007F23F8">
        <w:rPr>
          <w:rFonts w:cs="Arial"/>
          <w:sz w:val="22"/>
          <w:szCs w:val="22"/>
          <w:lang w:val="en-US"/>
        </w:rPr>
        <w:t>unsustainable practice</w:t>
      </w:r>
      <w:r w:rsidR="003950EA">
        <w:rPr>
          <w:rFonts w:cs="Arial"/>
          <w:sz w:val="22"/>
          <w:szCs w:val="22"/>
          <w:lang w:val="en-US"/>
        </w:rPr>
        <w:t>s,</w:t>
      </w:r>
      <w:r w:rsidR="003950EA" w:rsidRPr="007F23F8">
        <w:rPr>
          <w:rFonts w:cs="Arial"/>
          <w:sz w:val="22"/>
          <w:szCs w:val="22"/>
          <w:lang w:val="en-US"/>
        </w:rPr>
        <w:t xml:space="preserve"> </w:t>
      </w:r>
      <w:r w:rsidR="003950EA">
        <w:rPr>
          <w:rFonts w:cs="Arial"/>
          <w:sz w:val="22"/>
          <w:szCs w:val="22"/>
          <w:lang w:val="en-US"/>
        </w:rPr>
        <w:t>as well as</w:t>
      </w:r>
      <w:r w:rsidR="003950EA" w:rsidRPr="007F23F8">
        <w:rPr>
          <w:rFonts w:cs="Arial"/>
          <w:sz w:val="22"/>
          <w:szCs w:val="22"/>
          <w:lang w:val="en-US"/>
        </w:rPr>
        <w:t xml:space="preserve"> volatile global food prices </w:t>
      </w:r>
      <w:r w:rsidR="003950EA">
        <w:rPr>
          <w:rFonts w:cs="Arial"/>
          <w:sz w:val="22"/>
          <w:szCs w:val="22"/>
          <w:lang w:val="en-US"/>
        </w:rPr>
        <w:t xml:space="preserve">that affect the competitiveness of domestic </w:t>
      </w:r>
      <w:r w:rsidR="003950EA">
        <w:rPr>
          <w:rFonts w:cs="Arial"/>
          <w:sz w:val="22"/>
          <w:szCs w:val="22"/>
          <w:lang w:val="en-US"/>
        </w:rPr>
        <w:lastRenderedPageBreak/>
        <w:t>produce, resulting</w:t>
      </w:r>
      <w:r w:rsidR="003950EA" w:rsidRPr="007F23F8">
        <w:rPr>
          <w:rFonts w:cs="Arial"/>
          <w:sz w:val="22"/>
          <w:szCs w:val="22"/>
          <w:lang w:val="en-US"/>
        </w:rPr>
        <w:t xml:space="preserve"> </w:t>
      </w:r>
      <w:r w:rsidR="003950EA">
        <w:rPr>
          <w:rFonts w:cs="Arial"/>
          <w:sz w:val="22"/>
          <w:szCs w:val="22"/>
          <w:lang w:val="en-US"/>
        </w:rPr>
        <w:t>in</w:t>
      </w:r>
      <w:r w:rsidR="003950EA" w:rsidRPr="007F23F8">
        <w:rPr>
          <w:rFonts w:cs="Arial"/>
          <w:sz w:val="22"/>
          <w:szCs w:val="22"/>
          <w:lang w:val="en-US"/>
        </w:rPr>
        <w:t xml:space="preserve"> heavy reliance on food imports.</w:t>
      </w:r>
      <w:r w:rsidR="003950EA">
        <w:rPr>
          <w:rFonts w:cs="Arial"/>
          <w:sz w:val="22"/>
          <w:szCs w:val="22"/>
          <w:lang w:val="en-US"/>
        </w:rPr>
        <w:t xml:space="preserve"> </w:t>
      </w:r>
      <w:r w:rsidR="003950EA" w:rsidRPr="007F23F8">
        <w:rPr>
          <w:rFonts w:cs="Arial"/>
          <w:sz w:val="22"/>
          <w:szCs w:val="22"/>
          <w:lang w:val="en-US"/>
        </w:rPr>
        <w:t xml:space="preserve"> </w:t>
      </w:r>
      <w:r w:rsidR="003950EA">
        <w:rPr>
          <w:rFonts w:cs="Arial"/>
          <w:sz w:val="22"/>
          <w:szCs w:val="22"/>
          <w:lang w:val="en-US"/>
        </w:rPr>
        <w:t>Female</w:t>
      </w:r>
      <w:r w:rsidR="003950EA" w:rsidRPr="007F23F8">
        <w:rPr>
          <w:rFonts w:cs="Arial"/>
          <w:sz w:val="22"/>
          <w:szCs w:val="22"/>
          <w:lang w:val="en-US"/>
        </w:rPr>
        <w:t xml:space="preserve"> farmers are 15% less productive than men</w:t>
      </w:r>
      <w:r w:rsidR="003950EA">
        <w:rPr>
          <w:rStyle w:val="FootnoteReference"/>
          <w:rFonts w:cs="Arial"/>
          <w:sz w:val="22"/>
          <w:szCs w:val="22"/>
          <w:lang w:val="en-US"/>
        </w:rPr>
        <w:footnoteReference w:id="23"/>
      </w:r>
      <w:r w:rsidR="003950EA">
        <w:rPr>
          <w:rFonts w:cs="Arial"/>
          <w:sz w:val="22"/>
          <w:szCs w:val="22"/>
          <w:lang w:val="en-US"/>
        </w:rPr>
        <w:t>,</w:t>
      </w:r>
      <w:r w:rsidR="003950EA" w:rsidRPr="007F23F8">
        <w:rPr>
          <w:rFonts w:cs="Arial"/>
          <w:sz w:val="22"/>
          <w:szCs w:val="22"/>
          <w:lang w:val="en-US"/>
        </w:rPr>
        <w:t xml:space="preserve"> </w:t>
      </w:r>
      <w:r w:rsidR="003950EA">
        <w:rPr>
          <w:rFonts w:cs="Arial"/>
          <w:sz w:val="22"/>
          <w:szCs w:val="22"/>
          <w:lang w:val="en-US"/>
        </w:rPr>
        <w:t xml:space="preserve">due to </w:t>
      </w:r>
      <w:r w:rsidR="003950EA" w:rsidRPr="007F23F8">
        <w:rPr>
          <w:rFonts w:cs="Arial"/>
          <w:sz w:val="22"/>
          <w:szCs w:val="22"/>
          <w:lang w:val="en-US"/>
        </w:rPr>
        <w:t>hav</w:t>
      </w:r>
      <w:r w:rsidR="003950EA">
        <w:rPr>
          <w:rFonts w:cs="Arial"/>
          <w:sz w:val="22"/>
          <w:szCs w:val="22"/>
          <w:lang w:val="en-US"/>
        </w:rPr>
        <w:t>ing</w:t>
      </w:r>
      <w:r w:rsidR="003950EA" w:rsidRPr="007F23F8">
        <w:rPr>
          <w:rFonts w:cs="Arial"/>
          <w:sz w:val="22"/>
          <w:szCs w:val="22"/>
          <w:lang w:val="en-US"/>
        </w:rPr>
        <w:t xml:space="preserve"> less access to </w:t>
      </w:r>
      <w:r w:rsidR="00F22507">
        <w:rPr>
          <w:rFonts w:cs="Arial"/>
          <w:sz w:val="22"/>
          <w:szCs w:val="22"/>
          <w:lang w:val="en-US"/>
        </w:rPr>
        <w:t xml:space="preserve">land and other </w:t>
      </w:r>
      <w:r w:rsidR="003950EA" w:rsidRPr="007F23F8">
        <w:rPr>
          <w:rFonts w:cs="Arial"/>
          <w:sz w:val="22"/>
          <w:szCs w:val="22"/>
          <w:lang w:val="en-US"/>
        </w:rPr>
        <w:t>assets, services, technologies and education</w:t>
      </w:r>
      <w:r w:rsidR="003950EA">
        <w:rPr>
          <w:rFonts w:cs="Arial"/>
          <w:sz w:val="22"/>
          <w:szCs w:val="22"/>
          <w:lang w:val="en-US"/>
        </w:rPr>
        <w:t>.</w:t>
      </w:r>
      <w:r w:rsidRPr="00841766">
        <w:rPr>
          <w:rFonts w:cs="Arial"/>
          <w:bCs/>
          <w:sz w:val="22"/>
          <w:lang w:val="en-US"/>
        </w:rPr>
        <w:t xml:space="preserve"> </w:t>
      </w:r>
      <w:r w:rsidR="00796387">
        <w:rPr>
          <w:rFonts w:cs="Arial"/>
          <w:bCs/>
          <w:sz w:val="22"/>
          <w:lang w:val="en-US"/>
        </w:rPr>
        <w:t xml:space="preserve"> </w:t>
      </w:r>
    </w:p>
    <w:p w14:paraId="17CCC8F9" w14:textId="18A8828A" w:rsidR="00C07DC8" w:rsidRPr="00841766" w:rsidRDefault="00C07DC8" w:rsidP="00914158">
      <w:pPr>
        <w:spacing w:after="120"/>
        <w:ind w:right="-11"/>
        <w:jc w:val="both"/>
        <w:rPr>
          <w:rFonts w:cs="Arial"/>
          <w:sz w:val="22"/>
          <w:szCs w:val="22"/>
          <w:lang w:val="en-US"/>
        </w:rPr>
      </w:pPr>
      <w:r w:rsidRPr="00841766">
        <w:rPr>
          <w:rFonts w:cs="Arial"/>
          <w:bCs/>
          <w:iCs/>
          <w:sz w:val="22"/>
          <w:szCs w:val="22"/>
          <w:lang w:val="en-US"/>
        </w:rPr>
        <w:t>While</w:t>
      </w:r>
      <w:r>
        <w:rPr>
          <w:rFonts w:cs="Arial"/>
          <w:bCs/>
          <w:iCs/>
          <w:sz w:val="22"/>
          <w:szCs w:val="22"/>
          <w:lang w:val="en-US"/>
        </w:rPr>
        <w:t xml:space="preserve"> non-oil GDP is projected to grow in 2019</w:t>
      </w:r>
      <w:r w:rsidRPr="00841766">
        <w:rPr>
          <w:rFonts w:cs="Arial"/>
          <w:bCs/>
          <w:iCs/>
          <w:sz w:val="22"/>
          <w:szCs w:val="22"/>
          <w:lang w:val="en-US"/>
        </w:rPr>
        <w:t xml:space="preserve">, there are serious concerns about fiscal sustainability, economic diversification, and the lack of decent jobs in the </w:t>
      </w:r>
      <w:proofErr w:type="spellStart"/>
      <w:r w:rsidRPr="00841766">
        <w:rPr>
          <w:rFonts w:cs="Arial"/>
          <w:bCs/>
          <w:iCs/>
          <w:sz w:val="22"/>
          <w:szCs w:val="22"/>
          <w:lang w:val="en-US"/>
        </w:rPr>
        <w:t>labour</w:t>
      </w:r>
      <w:proofErr w:type="spellEnd"/>
      <w:r w:rsidRPr="00841766">
        <w:rPr>
          <w:rFonts w:cs="Arial"/>
          <w:bCs/>
          <w:iCs/>
          <w:sz w:val="22"/>
          <w:szCs w:val="22"/>
          <w:lang w:val="en-US"/>
        </w:rPr>
        <w:t xml:space="preserve"> </w:t>
      </w:r>
      <w:r w:rsidRPr="00841766">
        <w:rPr>
          <w:rFonts w:cs="Arial"/>
          <w:sz w:val="22"/>
          <w:szCs w:val="22"/>
          <w:lang w:val="en-US"/>
        </w:rPr>
        <w:t xml:space="preserve">market </w:t>
      </w:r>
      <w:r>
        <w:rPr>
          <w:rFonts w:cs="Arial"/>
          <w:sz w:val="22"/>
          <w:szCs w:val="22"/>
          <w:lang w:val="en-US"/>
        </w:rPr>
        <w:t xml:space="preserve">particularly </w:t>
      </w:r>
      <w:r w:rsidRPr="00841766">
        <w:rPr>
          <w:rFonts w:cs="Arial"/>
          <w:sz w:val="22"/>
          <w:szCs w:val="22"/>
          <w:lang w:val="en-US"/>
        </w:rPr>
        <w:t xml:space="preserve">for young people. </w:t>
      </w:r>
      <w:r>
        <w:rPr>
          <w:rFonts w:cs="Arial"/>
          <w:sz w:val="22"/>
          <w:szCs w:val="22"/>
          <w:lang w:val="en-US"/>
        </w:rPr>
        <w:t xml:space="preserve"> </w:t>
      </w:r>
      <w:r w:rsidRPr="00841766">
        <w:rPr>
          <w:rFonts w:cs="Arial"/>
          <w:sz w:val="22"/>
          <w:szCs w:val="22"/>
          <w:lang w:val="en-US"/>
        </w:rPr>
        <w:t>Timor-Leste could miss its potential demographic dividend if it does not</w:t>
      </w:r>
      <w:r w:rsidRPr="00806595">
        <w:rPr>
          <w:rFonts w:ascii="Arial" w:hAnsi="Arial" w:cs="Arial"/>
          <w:sz w:val="22"/>
          <w:lang w:val="en-US"/>
        </w:rPr>
        <w:t xml:space="preserve"> </w:t>
      </w:r>
      <w:r w:rsidRPr="00841766">
        <w:rPr>
          <w:rFonts w:cs="Arial"/>
          <w:sz w:val="22"/>
          <w:szCs w:val="22"/>
          <w:lang w:val="en-US"/>
        </w:rPr>
        <w:t xml:space="preserve">invest appropriately to </w:t>
      </w:r>
      <w:r>
        <w:rPr>
          <w:rFonts w:cs="Arial"/>
          <w:sz w:val="22"/>
          <w:szCs w:val="22"/>
          <w:lang w:val="en-US"/>
        </w:rPr>
        <w:t>accelerate the decrease in the fertility rate</w:t>
      </w:r>
      <w:r>
        <w:rPr>
          <w:rStyle w:val="FootnoteReference"/>
          <w:rFonts w:cs="Arial"/>
          <w:sz w:val="22"/>
          <w:szCs w:val="22"/>
          <w:lang w:val="en-US"/>
        </w:rPr>
        <w:footnoteReference w:id="24"/>
      </w:r>
      <w:r>
        <w:rPr>
          <w:rFonts w:cs="Arial"/>
          <w:sz w:val="22"/>
          <w:szCs w:val="22"/>
          <w:lang w:val="en-US"/>
        </w:rPr>
        <w:t xml:space="preserve"> and to</w:t>
      </w:r>
      <w:r>
        <w:rPr>
          <w:rFonts w:ascii="Arial" w:hAnsi="Arial" w:cs="Arial"/>
          <w:lang w:val="en-US"/>
        </w:rPr>
        <w:t xml:space="preserve"> </w:t>
      </w:r>
      <w:r w:rsidRPr="00841766">
        <w:rPr>
          <w:rFonts w:cs="Arial"/>
          <w:sz w:val="22"/>
          <w:szCs w:val="22"/>
          <w:lang w:val="en-US"/>
        </w:rPr>
        <w:t xml:space="preserve">improve the well-being of its young men and women </w:t>
      </w:r>
      <w:r>
        <w:rPr>
          <w:rFonts w:cs="Arial"/>
          <w:sz w:val="22"/>
          <w:szCs w:val="22"/>
          <w:lang w:val="en-US"/>
        </w:rPr>
        <w:t>who</w:t>
      </w:r>
      <w:r w:rsidRPr="00841766">
        <w:rPr>
          <w:rFonts w:cs="Arial"/>
          <w:sz w:val="22"/>
          <w:szCs w:val="22"/>
          <w:lang w:val="en-US"/>
        </w:rPr>
        <w:t xml:space="preserve"> face major deprivations in the domains of education</w:t>
      </w:r>
      <w:r>
        <w:rPr>
          <w:rFonts w:cs="Arial"/>
          <w:sz w:val="22"/>
          <w:szCs w:val="22"/>
          <w:lang w:val="en-US"/>
        </w:rPr>
        <w:t>, training, employment</w:t>
      </w:r>
      <w:r w:rsidRPr="00841766">
        <w:rPr>
          <w:rFonts w:cs="Arial"/>
          <w:sz w:val="22"/>
          <w:szCs w:val="22"/>
          <w:lang w:val="en-US"/>
        </w:rPr>
        <w:t xml:space="preserve"> and community vitality</w:t>
      </w:r>
      <w:r>
        <w:rPr>
          <w:rStyle w:val="FootnoteReference"/>
          <w:rFonts w:cs="Arial"/>
          <w:sz w:val="22"/>
          <w:szCs w:val="22"/>
          <w:lang w:val="en-US"/>
        </w:rPr>
        <w:footnoteReference w:id="25"/>
      </w:r>
      <w:r>
        <w:rPr>
          <w:rFonts w:cs="Arial"/>
          <w:sz w:val="22"/>
          <w:szCs w:val="22"/>
          <w:lang w:val="en-US"/>
        </w:rPr>
        <w:t xml:space="preserve"> as highlighted by the 2016 Timor-Leste Youth Well-being Survey</w:t>
      </w:r>
      <w:r w:rsidRPr="00841766">
        <w:rPr>
          <w:rStyle w:val="FootnoteReference"/>
          <w:rFonts w:cs="Arial"/>
          <w:sz w:val="22"/>
          <w:szCs w:val="22"/>
          <w:lang w:val="en-US"/>
        </w:rPr>
        <w:footnoteReference w:id="26"/>
      </w:r>
      <w:r w:rsidRPr="00841766">
        <w:rPr>
          <w:rFonts w:cs="Arial"/>
          <w:sz w:val="22"/>
          <w:szCs w:val="22"/>
          <w:lang w:val="en-US"/>
        </w:rPr>
        <w:t xml:space="preserve">. </w:t>
      </w:r>
      <w:r>
        <w:rPr>
          <w:rFonts w:cs="Arial"/>
          <w:sz w:val="22"/>
          <w:szCs w:val="22"/>
          <w:lang w:val="en-US"/>
        </w:rPr>
        <w:t xml:space="preserve"> </w:t>
      </w:r>
      <w:r w:rsidRPr="00841766">
        <w:rPr>
          <w:rFonts w:cs="Arial"/>
          <w:bCs/>
          <w:sz w:val="22"/>
          <w:szCs w:val="22"/>
          <w:lang w:val="en-US"/>
        </w:rPr>
        <w:t xml:space="preserve">While the </w:t>
      </w:r>
      <w:proofErr w:type="spellStart"/>
      <w:r w:rsidRPr="00841766">
        <w:rPr>
          <w:rFonts w:cs="Arial"/>
          <w:bCs/>
          <w:sz w:val="22"/>
          <w:szCs w:val="22"/>
          <w:lang w:val="en-US"/>
        </w:rPr>
        <w:t>labour</w:t>
      </w:r>
      <w:proofErr w:type="spellEnd"/>
      <w:r w:rsidRPr="00841766">
        <w:rPr>
          <w:rFonts w:cs="Arial"/>
          <w:bCs/>
          <w:sz w:val="22"/>
          <w:szCs w:val="22"/>
          <w:lang w:val="en-US"/>
        </w:rPr>
        <w:t xml:space="preserve"> force participation rate (LFPR)</w:t>
      </w:r>
      <w:r w:rsidRPr="00841766">
        <w:rPr>
          <w:rStyle w:val="FootnoteReference"/>
          <w:rFonts w:cs="Arial"/>
          <w:sz w:val="22"/>
          <w:szCs w:val="22"/>
          <w:lang w:val="en-US"/>
        </w:rPr>
        <w:footnoteReference w:id="27"/>
      </w:r>
      <w:r w:rsidRPr="00841766">
        <w:rPr>
          <w:rFonts w:cs="Arial"/>
          <w:bCs/>
          <w:sz w:val="22"/>
          <w:szCs w:val="22"/>
          <w:lang w:val="en-US"/>
        </w:rPr>
        <w:t xml:space="preserve"> more than doubled from 24% in 2010 to 46.9% in 2016, </w:t>
      </w:r>
      <w:r w:rsidR="00385C96">
        <w:rPr>
          <w:rFonts w:cs="Arial"/>
          <w:bCs/>
          <w:sz w:val="22"/>
          <w:szCs w:val="22"/>
          <w:lang w:val="en-US"/>
        </w:rPr>
        <w:t>notably</w:t>
      </w:r>
      <w:r w:rsidRPr="00841766">
        <w:rPr>
          <w:rFonts w:cs="Arial"/>
          <w:bCs/>
          <w:sz w:val="22"/>
          <w:szCs w:val="22"/>
          <w:lang w:val="en-US"/>
        </w:rPr>
        <w:t xml:space="preserve"> over 50% of working age population are not economically active</w:t>
      </w:r>
      <w:r>
        <w:rPr>
          <w:rFonts w:cs="Arial"/>
          <w:bCs/>
          <w:sz w:val="22"/>
          <w:szCs w:val="22"/>
          <w:lang w:val="en-US"/>
        </w:rPr>
        <w:t>,</w:t>
      </w:r>
      <w:r w:rsidRPr="00841766">
        <w:rPr>
          <w:rFonts w:cs="Arial"/>
          <w:bCs/>
          <w:sz w:val="22"/>
          <w:szCs w:val="22"/>
          <w:lang w:val="en-US"/>
        </w:rPr>
        <w:t xml:space="preserve"> with women particularly behind men in </w:t>
      </w:r>
      <w:r>
        <w:rPr>
          <w:rFonts w:cs="Arial"/>
          <w:bCs/>
          <w:sz w:val="22"/>
          <w:szCs w:val="22"/>
          <w:lang w:val="en-US"/>
        </w:rPr>
        <w:t xml:space="preserve">terms of </w:t>
      </w:r>
      <w:proofErr w:type="spellStart"/>
      <w:r>
        <w:rPr>
          <w:rFonts w:cs="Arial"/>
          <w:bCs/>
          <w:sz w:val="22"/>
          <w:szCs w:val="22"/>
          <w:lang w:val="en-US"/>
        </w:rPr>
        <w:t>labour</w:t>
      </w:r>
      <w:proofErr w:type="spellEnd"/>
      <w:r>
        <w:rPr>
          <w:rFonts w:cs="Arial"/>
          <w:bCs/>
          <w:sz w:val="22"/>
          <w:szCs w:val="22"/>
          <w:lang w:val="en-US"/>
        </w:rPr>
        <w:t xml:space="preserve"> force </w:t>
      </w:r>
      <w:r w:rsidRPr="00841766">
        <w:rPr>
          <w:rFonts w:cs="Arial"/>
          <w:bCs/>
          <w:sz w:val="22"/>
          <w:szCs w:val="22"/>
          <w:lang w:val="en-US"/>
        </w:rPr>
        <w:t>participation</w:t>
      </w:r>
      <w:r w:rsidRPr="00841766">
        <w:rPr>
          <w:rStyle w:val="FootnoteReference"/>
          <w:rFonts w:cs="Arial"/>
          <w:sz w:val="22"/>
          <w:szCs w:val="22"/>
          <w:lang w:val="en-US"/>
        </w:rPr>
        <w:footnoteReference w:id="28"/>
      </w:r>
      <w:r w:rsidRPr="00841766">
        <w:rPr>
          <w:rFonts w:cs="Arial"/>
          <w:sz w:val="22"/>
          <w:szCs w:val="22"/>
          <w:lang w:val="en-US"/>
        </w:rPr>
        <w:t xml:space="preserve">. </w:t>
      </w:r>
      <w:r>
        <w:rPr>
          <w:rFonts w:cs="Arial"/>
          <w:sz w:val="22"/>
          <w:szCs w:val="22"/>
          <w:lang w:val="en-US"/>
        </w:rPr>
        <w:t xml:space="preserve"> </w:t>
      </w:r>
      <w:r w:rsidRPr="00841766">
        <w:rPr>
          <w:rFonts w:cs="Arial"/>
          <w:bCs/>
          <w:sz w:val="22"/>
          <w:szCs w:val="22"/>
          <w:lang w:val="en-US"/>
        </w:rPr>
        <w:t>The unemployment rate of young people aged 15-24 is concerning</w:t>
      </w:r>
      <w:r>
        <w:rPr>
          <w:rFonts w:cs="Arial"/>
          <w:bCs/>
          <w:sz w:val="22"/>
          <w:szCs w:val="22"/>
          <w:lang w:val="en-US"/>
        </w:rPr>
        <w:t xml:space="preserve">: </w:t>
      </w:r>
      <w:r w:rsidRPr="0078306D">
        <w:rPr>
          <w:rFonts w:cs="Arial"/>
          <w:bCs/>
          <w:sz w:val="22"/>
          <w:szCs w:val="22"/>
          <w:lang w:val="en-US"/>
        </w:rPr>
        <w:t>in 2013, 21.9 % of youth aged 15-24 were unemployed</w:t>
      </w:r>
      <w:r w:rsidRPr="0078306D">
        <w:rPr>
          <w:rStyle w:val="FootnoteReference"/>
          <w:rFonts w:cs="Arial"/>
          <w:sz w:val="22"/>
          <w:szCs w:val="22"/>
          <w:lang w:val="en-US"/>
        </w:rPr>
        <w:footnoteReference w:id="29"/>
      </w:r>
      <w:r>
        <w:rPr>
          <w:rFonts w:cs="Arial"/>
          <w:bCs/>
          <w:sz w:val="22"/>
          <w:szCs w:val="22"/>
          <w:lang w:val="en-US"/>
        </w:rPr>
        <w:t>,</w:t>
      </w:r>
      <w:r w:rsidRPr="0078306D">
        <w:rPr>
          <w:rFonts w:cs="Arial"/>
          <w:bCs/>
          <w:sz w:val="22"/>
          <w:szCs w:val="22"/>
          <w:lang w:val="en-US"/>
        </w:rPr>
        <w:t xml:space="preserve"> </w:t>
      </w:r>
      <w:r>
        <w:rPr>
          <w:rFonts w:cs="Arial"/>
          <w:bCs/>
          <w:sz w:val="22"/>
          <w:szCs w:val="22"/>
          <w:lang w:val="en-US"/>
        </w:rPr>
        <w:t xml:space="preserve">while </w:t>
      </w:r>
      <w:r w:rsidRPr="0078306D">
        <w:rPr>
          <w:rFonts w:cs="Arial"/>
          <w:sz w:val="22"/>
          <w:szCs w:val="22"/>
          <w:lang w:val="en-US"/>
        </w:rPr>
        <w:t xml:space="preserve">20.3 % of youth (15-24 years) were not in education, employment or training (NEET), with more young women compared to young men </w:t>
      </w:r>
      <w:r>
        <w:rPr>
          <w:rFonts w:cs="Arial"/>
          <w:sz w:val="22"/>
          <w:szCs w:val="22"/>
          <w:lang w:val="en-US"/>
        </w:rPr>
        <w:t xml:space="preserve">classified as </w:t>
      </w:r>
      <w:r w:rsidRPr="0078306D">
        <w:rPr>
          <w:rFonts w:cs="Arial"/>
          <w:sz w:val="22"/>
          <w:szCs w:val="22"/>
          <w:lang w:val="en-US"/>
        </w:rPr>
        <w:t>NEET</w:t>
      </w:r>
      <w:r w:rsidRPr="0078306D">
        <w:rPr>
          <w:rStyle w:val="FootnoteReference"/>
          <w:rFonts w:cs="Arial"/>
          <w:sz w:val="22"/>
          <w:szCs w:val="22"/>
          <w:lang w:val="en-US"/>
        </w:rPr>
        <w:t xml:space="preserve"> </w:t>
      </w:r>
      <w:r w:rsidRPr="0078306D">
        <w:rPr>
          <w:rStyle w:val="FootnoteReference"/>
          <w:rFonts w:cs="Arial"/>
          <w:sz w:val="22"/>
          <w:szCs w:val="22"/>
          <w:lang w:val="en-US"/>
        </w:rPr>
        <w:footnoteReference w:id="30"/>
      </w:r>
      <w:r w:rsidRPr="0078306D">
        <w:rPr>
          <w:rFonts w:cs="Arial"/>
          <w:sz w:val="22"/>
          <w:szCs w:val="22"/>
          <w:lang w:val="en-US"/>
        </w:rPr>
        <w:t>.</w:t>
      </w:r>
    </w:p>
    <w:p w14:paraId="7B610297" w14:textId="65C87C42" w:rsidR="00292208" w:rsidRPr="00841766" w:rsidRDefault="00292208" w:rsidP="00914158">
      <w:pPr>
        <w:spacing w:after="120"/>
        <w:ind w:right="-11"/>
        <w:jc w:val="both"/>
        <w:rPr>
          <w:rFonts w:cs="Arial"/>
          <w:iCs/>
          <w:sz w:val="22"/>
          <w:szCs w:val="22"/>
          <w:lang w:val="en-US"/>
        </w:rPr>
      </w:pPr>
      <w:r w:rsidRPr="00841766">
        <w:rPr>
          <w:rFonts w:cs="Arial"/>
          <w:iCs/>
          <w:sz w:val="22"/>
          <w:szCs w:val="22"/>
          <w:lang w:val="en-US"/>
        </w:rPr>
        <w:t xml:space="preserve">While there have been strong improvements in the primary school attendance rates in Timor-Leste, attendance </w:t>
      </w:r>
      <w:r>
        <w:rPr>
          <w:rFonts w:cs="Arial"/>
          <w:iCs/>
          <w:sz w:val="22"/>
          <w:szCs w:val="22"/>
          <w:lang w:val="en-US"/>
        </w:rPr>
        <w:t xml:space="preserve">rates </w:t>
      </w:r>
      <w:r w:rsidRPr="00841766">
        <w:rPr>
          <w:rFonts w:cs="Arial"/>
          <w:iCs/>
          <w:sz w:val="22"/>
          <w:szCs w:val="22"/>
          <w:lang w:val="en-US"/>
        </w:rPr>
        <w:t>at pre-school, secondary and tertiary</w:t>
      </w:r>
      <w:r>
        <w:rPr>
          <w:rFonts w:cs="Arial"/>
          <w:iCs/>
          <w:sz w:val="22"/>
          <w:szCs w:val="22"/>
          <w:lang w:val="en-US"/>
        </w:rPr>
        <w:t xml:space="preserve"> education</w:t>
      </w:r>
      <w:r w:rsidRPr="00841766">
        <w:rPr>
          <w:rFonts w:cs="Arial"/>
          <w:iCs/>
          <w:sz w:val="22"/>
          <w:szCs w:val="22"/>
          <w:lang w:val="en-US"/>
        </w:rPr>
        <w:t xml:space="preserve"> </w:t>
      </w:r>
      <w:r>
        <w:rPr>
          <w:rFonts w:cs="Arial"/>
          <w:iCs/>
          <w:sz w:val="22"/>
          <w:szCs w:val="22"/>
          <w:lang w:val="en-US"/>
        </w:rPr>
        <w:t>are</w:t>
      </w:r>
      <w:r w:rsidRPr="00841766">
        <w:rPr>
          <w:rFonts w:cs="Arial"/>
          <w:iCs/>
          <w:sz w:val="22"/>
          <w:szCs w:val="22"/>
          <w:lang w:val="en-US"/>
        </w:rPr>
        <w:t xml:space="preserve"> still lagging, </w:t>
      </w:r>
      <w:r w:rsidRPr="00985039">
        <w:rPr>
          <w:rFonts w:cs="Arial"/>
          <w:iCs/>
          <w:sz w:val="22"/>
          <w:szCs w:val="22"/>
          <w:lang w:val="en-US"/>
        </w:rPr>
        <w:t>due to high dropout rates,</w:t>
      </w:r>
      <w:r w:rsidRPr="00985039">
        <w:rPr>
          <w:lang w:val="en-US"/>
        </w:rPr>
        <w:t xml:space="preserve"> </w:t>
      </w:r>
      <w:r w:rsidRPr="00985039">
        <w:rPr>
          <w:rFonts w:cs="Arial"/>
          <w:iCs/>
          <w:sz w:val="22"/>
          <w:szCs w:val="22"/>
          <w:lang w:val="en-US"/>
        </w:rPr>
        <w:t xml:space="preserve">insufficient number of education facilities and low level of community awareness of the importance of </w:t>
      </w:r>
      <w:r w:rsidRPr="00BB1FCC">
        <w:rPr>
          <w:rFonts w:cs="Arial"/>
          <w:iCs/>
          <w:sz w:val="22"/>
          <w:szCs w:val="22"/>
          <w:lang w:val="en-US"/>
        </w:rPr>
        <w:t>education.</w:t>
      </w:r>
      <w:r w:rsidRPr="00841766">
        <w:rPr>
          <w:rFonts w:cs="Arial"/>
          <w:iCs/>
          <w:sz w:val="22"/>
          <w:szCs w:val="22"/>
          <w:lang w:val="en-US"/>
        </w:rPr>
        <w:t xml:space="preserve"> The lack of data on learning outcomes, coupled with low quality teaching and poor learning environments are also slowing progress on SDG 4. </w:t>
      </w:r>
      <w:r>
        <w:rPr>
          <w:rFonts w:cs="Arial"/>
          <w:iCs/>
          <w:sz w:val="22"/>
          <w:szCs w:val="22"/>
          <w:lang w:val="en-US"/>
        </w:rPr>
        <w:t xml:space="preserve"> </w:t>
      </w:r>
      <w:r w:rsidRPr="00841766">
        <w:rPr>
          <w:rFonts w:cs="Arial"/>
          <w:iCs/>
          <w:sz w:val="22"/>
          <w:szCs w:val="22"/>
          <w:lang w:val="en-US"/>
        </w:rPr>
        <w:t xml:space="preserve">Headway in this area is dependent on improvement of nutrition and food security as their current levels affect the cognitive capacity of children and later on </w:t>
      </w:r>
      <w:r>
        <w:rPr>
          <w:rFonts w:cs="Arial"/>
          <w:iCs/>
          <w:sz w:val="22"/>
          <w:szCs w:val="22"/>
          <w:lang w:val="en-US"/>
        </w:rPr>
        <w:t xml:space="preserve">of </w:t>
      </w:r>
      <w:r w:rsidRPr="00841766">
        <w:rPr>
          <w:rFonts w:cs="Arial"/>
          <w:iCs/>
          <w:sz w:val="22"/>
          <w:szCs w:val="22"/>
          <w:lang w:val="en-US"/>
        </w:rPr>
        <w:t>adults, as well as tackling of underlying factors such as early pregnancy</w:t>
      </w:r>
      <w:r>
        <w:rPr>
          <w:rFonts w:cs="Arial"/>
          <w:iCs/>
          <w:sz w:val="22"/>
          <w:szCs w:val="22"/>
          <w:lang w:val="en-US"/>
        </w:rPr>
        <w:t xml:space="preserve"> and social norms that </w:t>
      </w:r>
      <w:r w:rsidRPr="00841766">
        <w:rPr>
          <w:rFonts w:cs="Arial"/>
          <w:iCs/>
          <w:sz w:val="22"/>
          <w:szCs w:val="22"/>
          <w:lang w:val="en-US"/>
        </w:rPr>
        <w:t>prevent adolescent girls to access continuous education and learning (SDG</w:t>
      </w:r>
      <w:r>
        <w:rPr>
          <w:rFonts w:cs="Arial"/>
          <w:iCs/>
          <w:sz w:val="22"/>
          <w:szCs w:val="22"/>
          <w:lang w:val="en-US"/>
        </w:rPr>
        <w:t>s</w:t>
      </w:r>
      <w:r w:rsidRPr="00841766">
        <w:rPr>
          <w:rFonts w:cs="Arial"/>
          <w:iCs/>
          <w:sz w:val="22"/>
          <w:szCs w:val="22"/>
          <w:lang w:val="en-US"/>
        </w:rPr>
        <w:t xml:space="preserve"> 2,3, 5).</w:t>
      </w:r>
    </w:p>
    <w:p w14:paraId="1E4404AA" w14:textId="6BAF90C6" w:rsidR="00292208" w:rsidRPr="00841766" w:rsidRDefault="00292208" w:rsidP="00914158">
      <w:pPr>
        <w:autoSpaceDE w:val="0"/>
        <w:autoSpaceDN w:val="0"/>
        <w:adjustRightInd w:val="0"/>
        <w:spacing w:after="120"/>
        <w:ind w:right="-11"/>
        <w:jc w:val="both"/>
        <w:rPr>
          <w:rFonts w:cs="Arial"/>
          <w:iCs/>
          <w:sz w:val="22"/>
          <w:szCs w:val="22"/>
          <w:lang w:val="en-US"/>
        </w:rPr>
      </w:pPr>
      <w:r w:rsidRPr="00841766">
        <w:rPr>
          <w:rFonts w:cs="Arial"/>
          <w:iCs/>
          <w:sz w:val="22"/>
          <w:szCs w:val="22"/>
          <w:lang w:val="en-US"/>
        </w:rPr>
        <w:t xml:space="preserve">Timor-Leste has made considerable progress in strengthening its health delivery systems and improving health outcomes. </w:t>
      </w:r>
      <w:r>
        <w:rPr>
          <w:rFonts w:cs="Arial"/>
          <w:iCs/>
          <w:sz w:val="22"/>
          <w:szCs w:val="22"/>
          <w:lang w:val="en-US"/>
        </w:rPr>
        <w:t xml:space="preserve"> </w:t>
      </w:r>
      <w:r w:rsidRPr="00841766">
        <w:rPr>
          <w:rFonts w:cs="Arial"/>
          <w:iCs/>
          <w:sz w:val="22"/>
          <w:szCs w:val="22"/>
          <w:lang w:val="en-US"/>
        </w:rPr>
        <w:t xml:space="preserve">Despite the progress, maternal and child health status (maternal mortality rate at 215 per 100,000 live births and </w:t>
      </w:r>
      <w:r>
        <w:rPr>
          <w:rFonts w:cs="Arial"/>
          <w:iCs/>
          <w:sz w:val="22"/>
          <w:szCs w:val="22"/>
          <w:lang w:val="en-US"/>
        </w:rPr>
        <w:t>u</w:t>
      </w:r>
      <w:r w:rsidRPr="00841766">
        <w:rPr>
          <w:rFonts w:cs="Arial"/>
          <w:iCs/>
          <w:sz w:val="22"/>
          <w:szCs w:val="22"/>
          <w:lang w:val="en-US"/>
        </w:rPr>
        <w:t>nder-5 mortality rate at 41 per 1,000 live births</w:t>
      </w:r>
      <w:r w:rsidRPr="00841766">
        <w:rPr>
          <w:rStyle w:val="FootnoteReference"/>
          <w:rFonts w:cs="Arial"/>
          <w:sz w:val="22"/>
          <w:lang w:val="en-US"/>
        </w:rPr>
        <w:footnoteReference w:id="31"/>
      </w:r>
      <w:r w:rsidRPr="00841766">
        <w:rPr>
          <w:rFonts w:cs="Arial"/>
          <w:iCs/>
          <w:sz w:val="22"/>
          <w:szCs w:val="22"/>
          <w:lang w:val="en-US"/>
        </w:rPr>
        <w:t xml:space="preserve">) are among the poorest in the region and disparities exist between municipalities, particularly in remote rural areas. </w:t>
      </w:r>
      <w:r>
        <w:rPr>
          <w:rFonts w:cs="Arial"/>
          <w:iCs/>
          <w:sz w:val="22"/>
          <w:szCs w:val="22"/>
          <w:lang w:val="en-US"/>
        </w:rPr>
        <w:t xml:space="preserve"> </w:t>
      </w:r>
      <w:r w:rsidRPr="00841766">
        <w:rPr>
          <w:rFonts w:cs="Arial"/>
          <w:iCs/>
          <w:sz w:val="22"/>
          <w:szCs w:val="22"/>
          <w:lang w:val="en-US"/>
        </w:rPr>
        <w:t>Without significantly stepping up efforts and accelerating progress to strengthen the health system, reduce health inequalities and address the determinants of health</w:t>
      </w:r>
      <w:r w:rsidR="00826E5F">
        <w:rPr>
          <w:rFonts w:cs="Arial"/>
          <w:iCs/>
          <w:sz w:val="22"/>
          <w:szCs w:val="22"/>
          <w:lang w:val="en-US"/>
        </w:rPr>
        <w:t>,</w:t>
      </w:r>
      <w:r w:rsidRPr="00841766">
        <w:rPr>
          <w:rFonts w:cs="Arial"/>
          <w:iCs/>
          <w:sz w:val="22"/>
          <w:szCs w:val="22"/>
          <w:lang w:val="en-US"/>
        </w:rPr>
        <w:t xml:space="preserve"> particularly for non-communicable diseases, nutrition and sexual and reproductive health, Timor-Leste is unlikely to sustain the significant progress made and achieve SDG</w:t>
      </w:r>
      <w:r>
        <w:rPr>
          <w:rFonts w:cs="Arial"/>
          <w:iCs/>
          <w:sz w:val="22"/>
          <w:szCs w:val="22"/>
          <w:lang w:val="en-US"/>
        </w:rPr>
        <w:t>s</w:t>
      </w:r>
      <w:r w:rsidRPr="00841766">
        <w:rPr>
          <w:rFonts w:cs="Arial"/>
          <w:iCs/>
          <w:sz w:val="22"/>
          <w:szCs w:val="22"/>
          <w:lang w:val="en-US"/>
        </w:rPr>
        <w:t xml:space="preserve"> on health, education and gender equality (SDGs 3, 4 and 5) by 2030.</w:t>
      </w:r>
    </w:p>
    <w:p w14:paraId="52283C5D" w14:textId="0755B756" w:rsidR="00292208" w:rsidRPr="00841766" w:rsidRDefault="00292208" w:rsidP="00914158">
      <w:pPr>
        <w:autoSpaceDE w:val="0"/>
        <w:autoSpaceDN w:val="0"/>
        <w:adjustRightInd w:val="0"/>
        <w:spacing w:after="120"/>
        <w:ind w:right="-11"/>
        <w:jc w:val="both"/>
        <w:rPr>
          <w:rFonts w:cs="Arial"/>
          <w:bCs/>
          <w:sz w:val="22"/>
          <w:szCs w:val="22"/>
          <w:lang w:val="en-US"/>
        </w:rPr>
      </w:pPr>
      <w:r w:rsidRPr="00841766">
        <w:rPr>
          <w:rFonts w:cs="Arial"/>
          <w:bCs/>
          <w:sz w:val="22"/>
          <w:szCs w:val="22"/>
          <w:lang w:val="en-US"/>
        </w:rPr>
        <w:t>Despite the significant progress made since 2002 to develop an enabling environment on gender equality and women’s empowerment, g</w:t>
      </w:r>
      <w:r w:rsidRPr="00841766">
        <w:rPr>
          <w:rFonts w:cs="Arial"/>
          <w:iCs/>
          <w:sz w:val="22"/>
          <w:szCs w:val="22"/>
          <w:lang w:val="en-US"/>
        </w:rPr>
        <w:t xml:space="preserve">ender equality in the country is not moving at the pace </w:t>
      </w:r>
      <w:r>
        <w:rPr>
          <w:rFonts w:cs="Arial"/>
          <w:iCs/>
          <w:sz w:val="22"/>
          <w:szCs w:val="22"/>
          <w:lang w:val="en-US"/>
        </w:rPr>
        <w:t xml:space="preserve">or scale to </w:t>
      </w:r>
      <w:r w:rsidR="00826E5F">
        <w:rPr>
          <w:rFonts w:cs="Arial"/>
          <w:iCs/>
          <w:sz w:val="22"/>
          <w:szCs w:val="22"/>
          <w:lang w:val="en-US"/>
        </w:rPr>
        <w:t xml:space="preserve">achieve </w:t>
      </w:r>
      <w:r w:rsidRPr="00841766">
        <w:rPr>
          <w:rFonts w:cs="Arial"/>
          <w:iCs/>
          <w:sz w:val="22"/>
          <w:szCs w:val="22"/>
          <w:lang w:val="en-US"/>
        </w:rPr>
        <w:t xml:space="preserve">SDG 5 by 2030. </w:t>
      </w:r>
      <w:r>
        <w:rPr>
          <w:rFonts w:cs="Arial"/>
          <w:iCs/>
          <w:sz w:val="22"/>
          <w:szCs w:val="22"/>
          <w:lang w:val="en-US"/>
        </w:rPr>
        <w:t xml:space="preserve"> </w:t>
      </w:r>
      <w:r w:rsidRPr="00841766">
        <w:rPr>
          <w:rFonts w:cs="Arial"/>
          <w:iCs/>
          <w:sz w:val="22"/>
          <w:szCs w:val="22"/>
          <w:lang w:val="en-US"/>
        </w:rPr>
        <w:t>Investments in gender equality, while increasing, are not prioritized in the State budget</w:t>
      </w:r>
      <w:r>
        <w:rPr>
          <w:rFonts w:cs="Arial"/>
          <w:iCs/>
          <w:sz w:val="22"/>
          <w:szCs w:val="22"/>
          <w:lang w:val="en-US"/>
        </w:rPr>
        <w:t>,</w:t>
      </w:r>
      <w:r w:rsidRPr="00841766">
        <w:rPr>
          <w:rFonts w:cs="Arial"/>
          <w:iCs/>
          <w:sz w:val="22"/>
          <w:szCs w:val="22"/>
          <w:lang w:val="en-US"/>
        </w:rPr>
        <w:t xml:space="preserve"> and individual bias a</w:t>
      </w:r>
      <w:r w:rsidR="00826E5F">
        <w:rPr>
          <w:rFonts w:cs="Arial"/>
          <w:iCs/>
          <w:sz w:val="22"/>
          <w:szCs w:val="22"/>
          <w:lang w:val="en-US"/>
        </w:rPr>
        <w:t xml:space="preserve">s well as </w:t>
      </w:r>
      <w:r w:rsidRPr="00841766">
        <w:rPr>
          <w:rFonts w:cs="Arial"/>
          <w:iCs/>
          <w:sz w:val="22"/>
          <w:szCs w:val="22"/>
          <w:lang w:val="en-US"/>
        </w:rPr>
        <w:t>collective social norms perpetuate women’s lower status and high levels of violence against women</w:t>
      </w:r>
      <w:r>
        <w:rPr>
          <w:rFonts w:cs="Arial"/>
          <w:iCs/>
          <w:sz w:val="22"/>
          <w:szCs w:val="22"/>
          <w:lang w:val="en-US"/>
        </w:rPr>
        <w:t xml:space="preserve"> and girls</w:t>
      </w:r>
      <w:r w:rsidRPr="00841766">
        <w:rPr>
          <w:rFonts w:cs="Arial"/>
          <w:iCs/>
          <w:sz w:val="22"/>
          <w:szCs w:val="22"/>
          <w:lang w:val="en-US"/>
        </w:rPr>
        <w:t xml:space="preserve">. </w:t>
      </w:r>
      <w:r>
        <w:rPr>
          <w:rFonts w:cs="Arial"/>
          <w:iCs/>
          <w:sz w:val="22"/>
          <w:szCs w:val="22"/>
          <w:lang w:val="en-US"/>
        </w:rPr>
        <w:t xml:space="preserve"> </w:t>
      </w:r>
      <w:r w:rsidRPr="00841766">
        <w:rPr>
          <w:rFonts w:cs="Arial"/>
          <w:iCs/>
          <w:sz w:val="22"/>
          <w:szCs w:val="22"/>
          <w:lang w:val="en-US"/>
        </w:rPr>
        <w:t xml:space="preserve">Significant data gaps also limit the potential for evidence-based policy responses. </w:t>
      </w:r>
      <w:r>
        <w:rPr>
          <w:rFonts w:cs="Arial"/>
          <w:iCs/>
          <w:sz w:val="22"/>
          <w:szCs w:val="22"/>
          <w:lang w:val="en-US"/>
        </w:rPr>
        <w:t xml:space="preserve"> </w:t>
      </w:r>
      <w:r w:rsidRPr="00841766">
        <w:rPr>
          <w:rFonts w:cs="Arial"/>
          <w:iCs/>
          <w:sz w:val="22"/>
          <w:szCs w:val="22"/>
          <w:lang w:val="en-US"/>
        </w:rPr>
        <w:t xml:space="preserve">Timor-Leste has achieved the SDG target 5.5 on </w:t>
      </w:r>
      <w:r w:rsidRPr="00841766">
        <w:rPr>
          <w:sz w:val="22"/>
          <w:szCs w:val="22"/>
          <w:lang w:val="en-US"/>
        </w:rPr>
        <w:t>women’s full and effective participation</w:t>
      </w:r>
      <w:r w:rsidR="00826E5F">
        <w:rPr>
          <w:sz w:val="22"/>
          <w:szCs w:val="22"/>
          <w:lang w:val="en-US"/>
        </w:rPr>
        <w:t>,</w:t>
      </w:r>
      <w:r w:rsidRPr="00841766">
        <w:rPr>
          <w:sz w:val="22"/>
          <w:szCs w:val="22"/>
          <w:lang w:val="en-US"/>
        </w:rPr>
        <w:t xml:space="preserve"> as measured by</w:t>
      </w:r>
      <w:r w:rsidRPr="00841766">
        <w:rPr>
          <w:rFonts w:cs="Arial"/>
          <w:iCs/>
          <w:sz w:val="22"/>
          <w:szCs w:val="22"/>
          <w:lang w:val="en-US"/>
        </w:rPr>
        <w:t xml:space="preserve"> women’s representation in Parliament (SDG indicator </w:t>
      </w:r>
      <w:r w:rsidRPr="00841766">
        <w:rPr>
          <w:sz w:val="22"/>
          <w:szCs w:val="22"/>
          <w:lang w:val="en-US"/>
        </w:rPr>
        <w:t>5.5.1</w:t>
      </w:r>
      <w:r w:rsidRPr="00841766">
        <w:rPr>
          <w:rFonts w:cs="Arial"/>
          <w:iCs/>
          <w:sz w:val="22"/>
          <w:szCs w:val="22"/>
          <w:lang w:val="en-US"/>
        </w:rPr>
        <w:t xml:space="preserve">) and is on track to achieve </w:t>
      </w:r>
      <w:r w:rsidRPr="00841766">
        <w:rPr>
          <w:rFonts w:cs="Arial"/>
          <w:iCs/>
          <w:sz w:val="22"/>
          <w:szCs w:val="22"/>
          <w:lang w:val="en-US"/>
        </w:rPr>
        <w:lastRenderedPageBreak/>
        <w:t>indicator 5c1 on tracking of budgets on gender equality</w:t>
      </w:r>
      <w:r>
        <w:rPr>
          <w:rFonts w:cs="Arial"/>
          <w:iCs/>
          <w:sz w:val="22"/>
          <w:szCs w:val="22"/>
          <w:lang w:val="en-US"/>
        </w:rPr>
        <w:t>.  F</w:t>
      </w:r>
      <w:r w:rsidRPr="00841766">
        <w:rPr>
          <w:rFonts w:cs="Arial"/>
          <w:iCs/>
          <w:sz w:val="22"/>
          <w:szCs w:val="22"/>
          <w:lang w:val="en-US"/>
        </w:rPr>
        <w:t xml:space="preserve">or the </w:t>
      </w:r>
      <w:r w:rsidR="007C2B09">
        <w:rPr>
          <w:rFonts w:cs="Arial"/>
          <w:iCs/>
          <w:sz w:val="22"/>
          <w:szCs w:val="22"/>
          <w:lang w:val="en-US"/>
        </w:rPr>
        <w:t>seven</w:t>
      </w:r>
      <w:r w:rsidRPr="00841766">
        <w:rPr>
          <w:rFonts w:cs="Arial"/>
          <w:iCs/>
          <w:sz w:val="22"/>
          <w:szCs w:val="22"/>
          <w:lang w:val="en-US"/>
        </w:rPr>
        <w:t xml:space="preserve"> remaining SDG indicators,</w:t>
      </w:r>
      <w:r>
        <w:rPr>
          <w:rFonts w:cs="Arial"/>
          <w:iCs/>
          <w:sz w:val="22"/>
          <w:szCs w:val="22"/>
          <w:lang w:val="en-US"/>
        </w:rPr>
        <w:t xml:space="preserve"> however,</w:t>
      </w:r>
      <w:r w:rsidRPr="00841766">
        <w:rPr>
          <w:rFonts w:cs="Arial"/>
          <w:iCs/>
          <w:sz w:val="22"/>
          <w:szCs w:val="22"/>
          <w:lang w:val="en-US"/>
        </w:rPr>
        <w:t xml:space="preserve"> the country is falling behind compared to global and regional trends. </w:t>
      </w:r>
      <w:r>
        <w:rPr>
          <w:rFonts w:cs="Arial"/>
          <w:iCs/>
          <w:sz w:val="22"/>
          <w:szCs w:val="22"/>
          <w:lang w:val="en-US"/>
        </w:rPr>
        <w:t xml:space="preserve"> </w:t>
      </w:r>
      <w:r w:rsidRPr="00841766">
        <w:rPr>
          <w:rFonts w:cs="Arial"/>
          <w:iCs/>
          <w:sz w:val="22"/>
          <w:szCs w:val="22"/>
          <w:lang w:val="en-US"/>
        </w:rPr>
        <w:t xml:space="preserve">This not only affects achievement of gender equality but hampers progress across the remaining 16 </w:t>
      </w:r>
      <w:r>
        <w:rPr>
          <w:rFonts w:cs="Arial"/>
          <w:iCs/>
          <w:sz w:val="22"/>
          <w:szCs w:val="22"/>
          <w:lang w:val="en-US"/>
        </w:rPr>
        <w:t>SDG</w:t>
      </w:r>
      <w:r w:rsidRPr="00841766">
        <w:rPr>
          <w:rFonts w:cs="Arial"/>
          <w:iCs/>
          <w:sz w:val="22"/>
          <w:szCs w:val="22"/>
          <w:lang w:val="en-US"/>
        </w:rPr>
        <w:t>s.</w:t>
      </w:r>
    </w:p>
    <w:p w14:paraId="57AF49B8" w14:textId="4C3879C2" w:rsidR="00292208" w:rsidRPr="00841766" w:rsidRDefault="00292208" w:rsidP="00914158">
      <w:pPr>
        <w:spacing w:after="120"/>
        <w:ind w:right="-11"/>
        <w:jc w:val="both"/>
        <w:rPr>
          <w:rFonts w:cs="Arial"/>
          <w:bCs/>
          <w:sz w:val="22"/>
          <w:szCs w:val="22"/>
          <w:lang w:val="en-US"/>
        </w:rPr>
      </w:pPr>
      <w:r w:rsidRPr="00841766">
        <w:rPr>
          <w:rFonts w:cs="Arial"/>
          <w:iCs/>
          <w:sz w:val="22"/>
          <w:szCs w:val="22"/>
          <w:lang w:val="en-US"/>
        </w:rPr>
        <w:t xml:space="preserve">Improving service delivery and infrastructure are key to reduce multidimensional poverty and enhance the quality of life and well-being of the population. </w:t>
      </w:r>
      <w:r>
        <w:rPr>
          <w:rFonts w:cs="Arial"/>
          <w:iCs/>
          <w:sz w:val="22"/>
          <w:szCs w:val="22"/>
          <w:lang w:val="en-US"/>
        </w:rPr>
        <w:t xml:space="preserve"> </w:t>
      </w:r>
      <w:r w:rsidRPr="00841766">
        <w:rPr>
          <w:rFonts w:cs="Arial"/>
          <w:iCs/>
          <w:sz w:val="22"/>
          <w:szCs w:val="22"/>
          <w:lang w:val="en-US"/>
        </w:rPr>
        <w:t>However, despite the progress the country has made over the past few years regarding water (</w:t>
      </w:r>
      <w:r w:rsidRPr="00841766">
        <w:rPr>
          <w:rFonts w:cs="Arial"/>
          <w:sz w:val="22"/>
          <w:szCs w:val="22"/>
          <w:lang w:val="en-US"/>
        </w:rPr>
        <w:t xml:space="preserve">78% of the population </w:t>
      </w:r>
      <w:r w:rsidR="007C2B09">
        <w:rPr>
          <w:rFonts w:cs="Arial"/>
          <w:sz w:val="22"/>
          <w:szCs w:val="22"/>
          <w:lang w:val="en-US"/>
        </w:rPr>
        <w:t>has</w:t>
      </w:r>
      <w:r w:rsidR="007C2B09" w:rsidRPr="00841766">
        <w:rPr>
          <w:rFonts w:cs="Arial"/>
          <w:sz w:val="22"/>
          <w:szCs w:val="22"/>
          <w:lang w:val="en-US"/>
        </w:rPr>
        <w:t xml:space="preserve"> </w:t>
      </w:r>
      <w:r w:rsidRPr="00841766">
        <w:rPr>
          <w:rFonts w:cs="Arial"/>
          <w:sz w:val="22"/>
          <w:szCs w:val="22"/>
          <w:lang w:val="en-US"/>
        </w:rPr>
        <w:t>access to basic water</w:t>
      </w:r>
      <w:r w:rsidR="00826E5F">
        <w:rPr>
          <w:rFonts w:cs="Arial"/>
          <w:sz w:val="22"/>
          <w:szCs w:val="22"/>
          <w:lang w:val="en-US"/>
        </w:rPr>
        <w:t xml:space="preserve"> facilities</w:t>
      </w:r>
      <w:r w:rsidRPr="00841766">
        <w:rPr>
          <w:rStyle w:val="FootnoteReference"/>
          <w:rFonts w:cs="Arial"/>
          <w:sz w:val="22"/>
          <w:szCs w:val="22"/>
          <w:lang w:val="en-US"/>
        </w:rPr>
        <w:footnoteReference w:id="32"/>
      </w:r>
      <w:r w:rsidRPr="00841766">
        <w:rPr>
          <w:rFonts w:cs="Arial"/>
          <w:sz w:val="22"/>
          <w:szCs w:val="22"/>
          <w:lang w:val="en-US"/>
        </w:rPr>
        <w:t>)</w:t>
      </w:r>
      <w:r w:rsidRPr="00841766">
        <w:rPr>
          <w:rFonts w:cs="Arial"/>
          <w:iCs/>
          <w:sz w:val="22"/>
          <w:szCs w:val="22"/>
          <w:lang w:val="en-US"/>
        </w:rPr>
        <w:t>, sanitation and hygiene (</w:t>
      </w:r>
      <w:r w:rsidRPr="00841766">
        <w:rPr>
          <w:rFonts w:cs="Arial"/>
          <w:sz w:val="22"/>
          <w:szCs w:val="22"/>
          <w:lang w:val="en-US"/>
        </w:rPr>
        <w:t>54 % of households have access basic sanitation and 28% to hygiene</w:t>
      </w:r>
      <w:r w:rsidRPr="00841766">
        <w:rPr>
          <w:rStyle w:val="FootnoteReference"/>
          <w:rFonts w:cs="Arial"/>
          <w:sz w:val="22"/>
          <w:szCs w:val="22"/>
          <w:lang w:val="en-US"/>
        </w:rPr>
        <w:footnoteReference w:id="33"/>
      </w:r>
      <w:r w:rsidRPr="00841766">
        <w:rPr>
          <w:rFonts w:cs="Arial"/>
          <w:sz w:val="22"/>
          <w:szCs w:val="22"/>
          <w:lang w:val="en-US"/>
        </w:rPr>
        <w:t>)</w:t>
      </w:r>
      <w:r w:rsidRPr="00841766">
        <w:rPr>
          <w:rFonts w:cs="Arial"/>
          <w:iCs/>
          <w:sz w:val="22"/>
          <w:szCs w:val="22"/>
          <w:lang w:val="en-US"/>
        </w:rPr>
        <w:t xml:space="preserve">, access to service delivery remains unequal, with </w:t>
      </w:r>
      <w:r w:rsidR="009853D6">
        <w:rPr>
          <w:rFonts w:cs="Arial"/>
          <w:iCs/>
          <w:sz w:val="22"/>
          <w:szCs w:val="22"/>
          <w:lang w:val="en-US"/>
        </w:rPr>
        <w:t xml:space="preserve">the </w:t>
      </w:r>
      <w:r w:rsidRPr="00841766">
        <w:rPr>
          <w:rFonts w:cs="Arial"/>
          <w:iCs/>
          <w:sz w:val="22"/>
          <w:szCs w:val="22"/>
          <w:lang w:val="en-US"/>
        </w:rPr>
        <w:t xml:space="preserve">rural population being disproportionally affected. </w:t>
      </w:r>
      <w:r>
        <w:rPr>
          <w:rFonts w:cs="Arial"/>
          <w:iCs/>
          <w:sz w:val="22"/>
          <w:szCs w:val="22"/>
          <w:lang w:val="en-US"/>
        </w:rPr>
        <w:t xml:space="preserve"> </w:t>
      </w:r>
      <w:r w:rsidRPr="00841766">
        <w:rPr>
          <w:rFonts w:cs="Arial"/>
          <w:bCs/>
          <w:sz w:val="22"/>
          <w:szCs w:val="22"/>
          <w:lang w:val="en-US"/>
        </w:rPr>
        <w:t xml:space="preserve">Timor-Leste is still far from </w:t>
      </w:r>
      <w:r w:rsidR="00826E5F">
        <w:rPr>
          <w:rFonts w:cs="Arial"/>
          <w:bCs/>
          <w:sz w:val="22"/>
          <w:szCs w:val="22"/>
          <w:lang w:val="en-US"/>
        </w:rPr>
        <w:t xml:space="preserve">achieving </w:t>
      </w:r>
      <w:r w:rsidRPr="00841766">
        <w:rPr>
          <w:rFonts w:cs="Arial"/>
          <w:bCs/>
          <w:sz w:val="22"/>
          <w:szCs w:val="22"/>
          <w:lang w:val="en-US"/>
        </w:rPr>
        <w:t xml:space="preserve">universal access to basic sanitation (SDG </w:t>
      </w:r>
      <w:r w:rsidR="00EF760C">
        <w:rPr>
          <w:rFonts w:cs="Arial"/>
          <w:bCs/>
          <w:sz w:val="22"/>
          <w:szCs w:val="22"/>
          <w:lang w:val="en-US"/>
        </w:rPr>
        <w:t>6</w:t>
      </w:r>
      <w:r w:rsidRPr="00841766">
        <w:rPr>
          <w:rFonts w:cs="Arial"/>
          <w:bCs/>
          <w:sz w:val="22"/>
          <w:szCs w:val="22"/>
          <w:lang w:val="en-US"/>
        </w:rPr>
        <w:t xml:space="preserve">), with 20% of the rural population still practicing open defecation. </w:t>
      </w:r>
      <w:r>
        <w:rPr>
          <w:rFonts w:cs="Arial"/>
          <w:bCs/>
          <w:sz w:val="22"/>
          <w:szCs w:val="22"/>
          <w:lang w:val="en-US"/>
        </w:rPr>
        <w:t xml:space="preserve"> </w:t>
      </w:r>
      <w:r w:rsidRPr="00841766">
        <w:rPr>
          <w:rFonts w:cs="Arial"/>
          <w:bCs/>
          <w:sz w:val="22"/>
          <w:szCs w:val="22"/>
          <w:lang w:val="en-US"/>
        </w:rPr>
        <w:t>Although significant gains have been made in access to electricity</w:t>
      </w:r>
      <w:r>
        <w:rPr>
          <w:rFonts w:cs="Arial"/>
          <w:bCs/>
          <w:sz w:val="22"/>
          <w:szCs w:val="22"/>
          <w:lang w:val="en-US"/>
        </w:rPr>
        <w:t xml:space="preserve"> </w:t>
      </w:r>
      <w:r w:rsidRPr="00841766">
        <w:rPr>
          <w:rFonts w:cs="Arial"/>
          <w:iCs/>
          <w:sz w:val="22"/>
          <w:szCs w:val="22"/>
          <w:lang w:val="en-US"/>
        </w:rPr>
        <w:t>(</w:t>
      </w:r>
      <w:r w:rsidRPr="00841766">
        <w:rPr>
          <w:rFonts w:cs="Arial"/>
          <w:sz w:val="22"/>
          <w:szCs w:val="22"/>
          <w:lang w:val="en-US"/>
        </w:rPr>
        <w:t>75.6 % of the population have access to electricity</w:t>
      </w:r>
      <w:r w:rsidRPr="00841766">
        <w:rPr>
          <w:rStyle w:val="FootnoteReference"/>
          <w:rFonts w:cs="Arial"/>
          <w:sz w:val="22"/>
          <w:szCs w:val="22"/>
          <w:lang w:val="en-US"/>
        </w:rPr>
        <w:footnoteReference w:id="34"/>
      </w:r>
      <w:r w:rsidRPr="00841766">
        <w:rPr>
          <w:rFonts w:cs="Arial"/>
          <w:sz w:val="22"/>
          <w:szCs w:val="22"/>
          <w:lang w:val="en-US"/>
        </w:rPr>
        <w:t>)</w:t>
      </w:r>
      <w:r w:rsidRPr="00841766">
        <w:rPr>
          <w:rFonts w:cs="Arial"/>
          <w:bCs/>
          <w:sz w:val="22"/>
          <w:szCs w:val="22"/>
          <w:lang w:val="en-US"/>
        </w:rPr>
        <w:t xml:space="preserve"> (SDG 7), this progress has slowed down. </w:t>
      </w:r>
      <w:r>
        <w:rPr>
          <w:rFonts w:cs="Arial"/>
          <w:bCs/>
          <w:sz w:val="22"/>
          <w:szCs w:val="22"/>
          <w:lang w:val="en-US"/>
        </w:rPr>
        <w:t xml:space="preserve"> </w:t>
      </w:r>
      <w:r w:rsidRPr="00841766">
        <w:rPr>
          <w:rFonts w:cs="Arial"/>
          <w:bCs/>
          <w:sz w:val="22"/>
          <w:szCs w:val="22"/>
          <w:lang w:val="en-US"/>
        </w:rPr>
        <w:t>There is still insufficient usage of clean fuel and energy</w:t>
      </w:r>
      <w:r>
        <w:rPr>
          <w:rFonts w:cs="Arial"/>
          <w:bCs/>
          <w:sz w:val="22"/>
          <w:szCs w:val="22"/>
          <w:lang w:val="en-US"/>
        </w:rPr>
        <w:t>,</w:t>
      </w:r>
      <w:r w:rsidRPr="00841766">
        <w:rPr>
          <w:rFonts w:cs="Arial"/>
          <w:bCs/>
          <w:sz w:val="22"/>
          <w:szCs w:val="22"/>
          <w:lang w:val="en-US"/>
        </w:rPr>
        <w:t xml:space="preserve"> particularly in rural households. </w:t>
      </w:r>
      <w:r>
        <w:rPr>
          <w:rFonts w:cs="Arial"/>
          <w:bCs/>
          <w:sz w:val="22"/>
          <w:szCs w:val="22"/>
          <w:lang w:val="en-US"/>
        </w:rPr>
        <w:t xml:space="preserve"> </w:t>
      </w:r>
      <w:r w:rsidRPr="00841766">
        <w:rPr>
          <w:rFonts w:cs="Arial"/>
          <w:bCs/>
          <w:sz w:val="22"/>
          <w:szCs w:val="22"/>
          <w:lang w:val="en-US"/>
        </w:rPr>
        <w:t xml:space="preserve">Unless further attention is given to </w:t>
      </w:r>
      <w:r w:rsidR="00826E5F">
        <w:rPr>
          <w:rFonts w:cs="Arial"/>
          <w:bCs/>
          <w:sz w:val="22"/>
          <w:szCs w:val="22"/>
          <w:lang w:val="en-US"/>
        </w:rPr>
        <w:t>expand</w:t>
      </w:r>
      <w:r w:rsidRPr="00841766">
        <w:rPr>
          <w:rFonts w:cs="Arial"/>
          <w:bCs/>
          <w:sz w:val="22"/>
          <w:szCs w:val="22"/>
          <w:lang w:val="en-US"/>
        </w:rPr>
        <w:t xml:space="preserve"> </w:t>
      </w:r>
      <w:r w:rsidR="00826E5F">
        <w:rPr>
          <w:rFonts w:cs="Arial"/>
          <w:bCs/>
          <w:sz w:val="22"/>
          <w:szCs w:val="22"/>
          <w:lang w:val="en-US"/>
        </w:rPr>
        <w:t xml:space="preserve">use of </w:t>
      </w:r>
      <w:r w:rsidRPr="00841766">
        <w:rPr>
          <w:rFonts w:cs="Arial"/>
          <w:bCs/>
          <w:sz w:val="22"/>
          <w:szCs w:val="22"/>
          <w:lang w:val="en-US"/>
        </w:rPr>
        <w:t xml:space="preserve">renewable energy, such as solar power, Timor-Leste </w:t>
      </w:r>
      <w:r w:rsidR="00826E5F">
        <w:rPr>
          <w:rFonts w:cs="Arial"/>
          <w:bCs/>
          <w:sz w:val="22"/>
          <w:szCs w:val="22"/>
          <w:lang w:val="en-US"/>
        </w:rPr>
        <w:t xml:space="preserve">is unlikely to achieve </w:t>
      </w:r>
      <w:r w:rsidRPr="00841766">
        <w:rPr>
          <w:rFonts w:cs="Arial"/>
          <w:bCs/>
          <w:sz w:val="22"/>
          <w:szCs w:val="22"/>
          <w:lang w:val="en-US"/>
        </w:rPr>
        <w:t>sufficient progress on SDG</w:t>
      </w:r>
      <w:r>
        <w:rPr>
          <w:rFonts w:cs="Arial"/>
          <w:bCs/>
          <w:sz w:val="22"/>
          <w:szCs w:val="22"/>
          <w:lang w:val="en-US"/>
        </w:rPr>
        <w:t>s</w:t>
      </w:r>
      <w:r w:rsidRPr="00841766">
        <w:rPr>
          <w:rFonts w:cs="Arial"/>
          <w:bCs/>
          <w:sz w:val="22"/>
          <w:szCs w:val="22"/>
          <w:lang w:val="en-US"/>
        </w:rPr>
        <w:t xml:space="preserve"> 7 and 13 in relation to climate change and promoting sustainable economic growth. </w:t>
      </w:r>
    </w:p>
    <w:p w14:paraId="7AABF128" w14:textId="11960CEC" w:rsidR="00292208" w:rsidRPr="00A97435" w:rsidRDefault="00292208" w:rsidP="00914158">
      <w:pPr>
        <w:spacing w:after="120"/>
        <w:ind w:right="-11"/>
        <w:jc w:val="both"/>
        <w:rPr>
          <w:rFonts w:cs="Arial"/>
          <w:iCs/>
          <w:sz w:val="22"/>
          <w:szCs w:val="22"/>
          <w:lang w:val="en-US"/>
        </w:rPr>
      </w:pPr>
      <w:r w:rsidRPr="00841766">
        <w:rPr>
          <w:rFonts w:cs="Arial"/>
          <w:iCs/>
          <w:sz w:val="22"/>
          <w:szCs w:val="22"/>
          <w:lang w:val="en-US"/>
        </w:rPr>
        <w:t>Although significant investments have been made to support road infrastructure development, concerns around the sustainability and prioritization of the Infrastructure Fund</w:t>
      </w:r>
      <w:r w:rsidR="0015752D">
        <w:rPr>
          <w:rStyle w:val="FootnoteReference"/>
          <w:rFonts w:cs="Arial"/>
          <w:iCs/>
          <w:sz w:val="22"/>
          <w:szCs w:val="22"/>
          <w:lang w:val="en-US"/>
        </w:rPr>
        <w:footnoteReference w:id="35"/>
      </w:r>
      <w:r w:rsidRPr="00841766">
        <w:rPr>
          <w:rFonts w:cs="Arial"/>
          <w:iCs/>
          <w:sz w:val="22"/>
          <w:szCs w:val="22"/>
          <w:lang w:val="en-US"/>
        </w:rPr>
        <w:t xml:space="preserve"> could jeopardize further progress in this area (SDG 9). </w:t>
      </w:r>
      <w:r>
        <w:rPr>
          <w:rFonts w:cs="Arial"/>
          <w:iCs/>
          <w:sz w:val="22"/>
          <w:szCs w:val="22"/>
          <w:lang w:val="en-US"/>
        </w:rPr>
        <w:t xml:space="preserve"> </w:t>
      </w:r>
      <w:r w:rsidRPr="00841766">
        <w:rPr>
          <w:rFonts w:cs="Arial"/>
          <w:iCs/>
          <w:sz w:val="22"/>
          <w:szCs w:val="22"/>
          <w:lang w:val="en-US"/>
        </w:rPr>
        <w:t>In 2015,</w:t>
      </w:r>
      <w:r w:rsidRPr="00841766">
        <w:rPr>
          <w:rFonts w:cs="Arial"/>
          <w:b/>
          <w:iCs/>
          <w:sz w:val="22"/>
          <w:szCs w:val="22"/>
          <w:lang w:val="en-US"/>
        </w:rPr>
        <w:t xml:space="preserve"> </w:t>
      </w:r>
      <w:r w:rsidRPr="00841766">
        <w:rPr>
          <w:rFonts w:cs="Arial"/>
          <w:sz w:val="22"/>
          <w:szCs w:val="22"/>
          <w:lang w:val="en-US"/>
        </w:rPr>
        <w:t xml:space="preserve">only 10% of roads in the country </w:t>
      </w:r>
      <w:r>
        <w:rPr>
          <w:rFonts w:cs="Arial"/>
          <w:sz w:val="22"/>
          <w:szCs w:val="22"/>
          <w:lang w:val="en-US"/>
        </w:rPr>
        <w:t>we</w:t>
      </w:r>
      <w:r w:rsidRPr="00841766">
        <w:rPr>
          <w:rFonts w:cs="Arial"/>
          <w:sz w:val="22"/>
          <w:szCs w:val="22"/>
          <w:lang w:val="en-US"/>
        </w:rPr>
        <w:t>re in fair condition</w:t>
      </w:r>
      <w:r w:rsidRPr="00841766">
        <w:rPr>
          <w:rStyle w:val="FootnoteReference"/>
          <w:rFonts w:cs="Arial"/>
          <w:sz w:val="22"/>
          <w:szCs w:val="22"/>
          <w:lang w:val="en-US"/>
        </w:rPr>
        <w:footnoteReference w:id="36"/>
      </w:r>
      <w:r w:rsidRPr="00841766">
        <w:rPr>
          <w:rFonts w:cs="Arial"/>
          <w:iCs/>
          <w:sz w:val="22"/>
          <w:szCs w:val="22"/>
          <w:lang w:val="en-US"/>
        </w:rPr>
        <w:t xml:space="preserve">, and investments in road infrastructure (including maintenance and rehabilitation) are not necessarily supporting climate-proof solutions, making insufficient progress towards SDG 13. </w:t>
      </w:r>
      <w:r w:rsidR="009853D6" w:rsidRPr="00841766">
        <w:rPr>
          <w:rFonts w:cs="Arial"/>
          <w:iCs/>
          <w:sz w:val="22"/>
          <w:szCs w:val="22"/>
          <w:lang w:val="en-US"/>
        </w:rPr>
        <w:t xml:space="preserve">While impressive progress has been made to expand the mobile phone network, with 97 % of the country being covered with signal range, </w:t>
      </w:r>
      <w:r w:rsidR="009853D6" w:rsidRPr="00841766">
        <w:rPr>
          <w:rFonts w:cs="Arial"/>
          <w:sz w:val="22"/>
          <w:szCs w:val="22"/>
          <w:lang w:val="en-US"/>
        </w:rPr>
        <w:t>there are r</w:t>
      </w:r>
      <w:r w:rsidR="009853D6" w:rsidRPr="00841766">
        <w:rPr>
          <w:rFonts w:cs="Arial"/>
          <w:iCs/>
          <w:sz w:val="22"/>
          <w:szCs w:val="22"/>
          <w:lang w:val="en-US"/>
        </w:rPr>
        <w:t xml:space="preserve">isks of falling behind due to low speed internet connectivity. </w:t>
      </w:r>
      <w:r w:rsidR="009853D6">
        <w:rPr>
          <w:rFonts w:cs="Arial"/>
          <w:iCs/>
          <w:sz w:val="22"/>
          <w:szCs w:val="22"/>
          <w:lang w:val="en-US"/>
        </w:rPr>
        <w:t xml:space="preserve"> </w:t>
      </w:r>
    </w:p>
    <w:p w14:paraId="13F67883" w14:textId="50191357" w:rsidR="004F6DFF" w:rsidRDefault="005B6570" w:rsidP="00914158">
      <w:pPr>
        <w:autoSpaceDE w:val="0"/>
        <w:autoSpaceDN w:val="0"/>
        <w:adjustRightInd w:val="0"/>
        <w:spacing w:after="120"/>
        <w:ind w:right="-11"/>
        <w:jc w:val="both"/>
        <w:rPr>
          <w:rFonts w:cs="Arial"/>
          <w:sz w:val="22"/>
          <w:szCs w:val="22"/>
          <w:lang w:val="en-US"/>
        </w:rPr>
      </w:pPr>
      <w:r w:rsidRPr="00841766">
        <w:rPr>
          <w:rFonts w:cs="Arial"/>
          <w:iCs/>
          <w:sz w:val="22"/>
          <w:szCs w:val="22"/>
          <w:lang w:val="en-US"/>
        </w:rPr>
        <w:t>The CCA recognized that inefficient service delivery, particular</w:t>
      </w:r>
      <w:r w:rsidR="00E02AD4">
        <w:rPr>
          <w:rFonts w:cs="Arial"/>
          <w:iCs/>
          <w:sz w:val="22"/>
          <w:szCs w:val="22"/>
          <w:lang w:val="en-US"/>
        </w:rPr>
        <w:t>ly</w:t>
      </w:r>
      <w:r w:rsidRPr="00841766">
        <w:rPr>
          <w:rFonts w:cs="Arial"/>
          <w:iCs/>
          <w:sz w:val="22"/>
          <w:szCs w:val="22"/>
          <w:lang w:val="en-US"/>
        </w:rPr>
        <w:t xml:space="preserve"> at local level, coupled with corruption and lack of institutional capacity, hinders the overall capacity of the country to achieve the SDGs by 2030 (SDG 16)</w:t>
      </w:r>
      <w:r w:rsidRPr="00841766">
        <w:rPr>
          <w:rStyle w:val="FootnoteReference"/>
          <w:rFonts w:cs="Arial"/>
          <w:iCs/>
          <w:sz w:val="22"/>
          <w:szCs w:val="22"/>
          <w:lang w:val="en-US"/>
        </w:rPr>
        <w:footnoteReference w:id="37"/>
      </w:r>
      <w:r w:rsidRPr="00841766">
        <w:rPr>
          <w:rFonts w:cs="Arial"/>
          <w:iCs/>
          <w:sz w:val="22"/>
          <w:szCs w:val="22"/>
          <w:lang w:val="en-US"/>
        </w:rPr>
        <w:t xml:space="preserve">. </w:t>
      </w:r>
      <w:r>
        <w:rPr>
          <w:rFonts w:cs="Arial"/>
          <w:iCs/>
          <w:sz w:val="22"/>
          <w:szCs w:val="22"/>
          <w:lang w:val="en-US"/>
        </w:rPr>
        <w:t xml:space="preserve"> </w:t>
      </w:r>
      <w:r w:rsidRPr="00841766">
        <w:rPr>
          <w:rFonts w:cs="Arial"/>
          <w:sz w:val="22"/>
          <w:szCs w:val="22"/>
          <w:lang w:val="en-US"/>
        </w:rPr>
        <w:t>In 2015/16, nearly half (44 %) of all businesses that participated in the World Bank Enterprise Survey reported having paid a bribe to, or were asked for a bribe by</w:t>
      </w:r>
      <w:r>
        <w:rPr>
          <w:rFonts w:cs="Arial"/>
          <w:sz w:val="22"/>
          <w:szCs w:val="22"/>
          <w:lang w:val="en-US"/>
        </w:rPr>
        <w:t>,</w:t>
      </w:r>
      <w:r w:rsidRPr="00841766">
        <w:rPr>
          <w:rFonts w:cs="Arial"/>
          <w:sz w:val="22"/>
          <w:szCs w:val="22"/>
          <w:lang w:val="en-US"/>
        </w:rPr>
        <w:t xml:space="preserve"> a public official</w:t>
      </w:r>
      <w:r w:rsidRPr="00841766">
        <w:rPr>
          <w:rStyle w:val="FootnoteReference"/>
          <w:rFonts w:cs="Arial"/>
          <w:sz w:val="22"/>
          <w:szCs w:val="22"/>
          <w:lang w:val="en-US"/>
        </w:rPr>
        <w:footnoteReference w:id="38"/>
      </w:r>
      <w:r w:rsidRPr="00841766">
        <w:rPr>
          <w:rFonts w:cs="Arial"/>
          <w:sz w:val="22"/>
          <w:szCs w:val="22"/>
          <w:lang w:val="en-US"/>
        </w:rPr>
        <w:t xml:space="preserve">. </w:t>
      </w:r>
      <w:r>
        <w:rPr>
          <w:rFonts w:cs="Arial"/>
          <w:sz w:val="22"/>
          <w:szCs w:val="22"/>
          <w:lang w:val="en-US"/>
        </w:rPr>
        <w:t xml:space="preserve"> </w:t>
      </w:r>
      <w:r w:rsidRPr="00841766">
        <w:rPr>
          <w:rFonts w:cs="Arial"/>
          <w:sz w:val="22"/>
          <w:szCs w:val="22"/>
          <w:lang w:val="en-US"/>
        </w:rPr>
        <w:t xml:space="preserve">Although the decentralization of planning and budgeting for key programme areas to municipalities is a key component of the </w:t>
      </w:r>
      <w:r w:rsidR="004F6DFF">
        <w:rPr>
          <w:rFonts w:cs="Arial"/>
          <w:sz w:val="22"/>
          <w:szCs w:val="22"/>
          <w:lang w:val="en-US"/>
        </w:rPr>
        <w:t>G</w:t>
      </w:r>
      <w:r w:rsidRPr="00841766">
        <w:rPr>
          <w:rFonts w:cs="Arial"/>
          <w:sz w:val="22"/>
          <w:szCs w:val="22"/>
          <w:lang w:val="en-US"/>
        </w:rPr>
        <w:t xml:space="preserve">overnment’s agenda to improve the efficiency and coverage of service delivery, the delegation of </w:t>
      </w:r>
      <w:r w:rsidR="004F6DFF">
        <w:rPr>
          <w:rFonts w:cs="Arial"/>
          <w:sz w:val="22"/>
          <w:szCs w:val="22"/>
          <w:lang w:val="en-US"/>
        </w:rPr>
        <w:t xml:space="preserve">authority </w:t>
      </w:r>
      <w:r w:rsidRPr="00841766">
        <w:rPr>
          <w:rFonts w:cs="Arial"/>
          <w:sz w:val="22"/>
          <w:szCs w:val="22"/>
          <w:lang w:val="en-US"/>
        </w:rPr>
        <w:t xml:space="preserve">to municipalities remains relatively low, with municipalities having restricted power in decision-making. </w:t>
      </w:r>
      <w:r>
        <w:rPr>
          <w:rFonts w:cs="Arial"/>
          <w:sz w:val="22"/>
          <w:szCs w:val="22"/>
          <w:lang w:val="en-US"/>
        </w:rPr>
        <w:t xml:space="preserve"> </w:t>
      </w:r>
    </w:p>
    <w:p w14:paraId="673163FA" w14:textId="573E235C" w:rsidR="009A25F1" w:rsidRPr="00B13A8D" w:rsidRDefault="0063397C" w:rsidP="00B13A8D">
      <w:pPr>
        <w:autoSpaceDE w:val="0"/>
        <w:autoSpaceDN w:val="0"/>
        <w:adjustRightInd w:val="0"/>
        <w:spacing w:after="120"/>
        <w:ind w:right="-11"/>
        <w:jc w:val="both"/>
        <w:rPr>
          <w:rFonts w:cs="Arial"/>
          <w:bCs/>
          <w:sz w:val="22"/>
          <w:szCs w:val="22"/>
          <w:lang w:val="en-US"/>
        </w:rPr>
      </w:pPr>
      <w:r w:rsidRPr="00841766">
        <w:rPr>
          <w:rFonts w:cs="Arial"/>
          <w:color w:val="000000" w:themeColor="text1"/>
          <w:sz w:val="22"/>
          <w:szCs w:val="22"/>
          <w:lang w:val="en-US"/>
        </w:rPr>
        <w:t xml:space="preserve">Since independence, Timor-Leste has made a </w:t>
      </w:r>
      <w:r w:rsidR="00BF00AD">
        <w:rPr>
          <w:rFonts w:cs="Arial"/>
          <w:color w:val="000000" w:themeColor="text1"/>
          <w:sz w:val="22"/>
          <w:szCs w:val="22"/>
          <w:lang w:val="en-US"/>
        </w:rPr>
        <w:t>considerable</w:t>
      </w:r>
      <w:r w:rsidRPr="00841766">
        <w:rPr>
          <w:rFonts w:cs="Arial"/>
          <w:color w:val="000000" w:themeColor="text1"/>
          <w:sz w:val="22"/>
          <w:szCs w:val="22"/>
          <w:lang w:val="en-US"/>
        </w:rPr>
        <w:t xml:space="preserve"> progress in integrating human rights throughout the country’s processes and systems and to establish a legal framework</w:t>
      </w:r>
      <w:r w:rsidRPr="00841766">
        <w:rPr>
          <w:rStyle w:val="FootnoteReference"/>
          <w:rFonts w:cs="Arial"/>
          <w:color w:val="000000" w:themeColor="text1"/>
          <w:sz w:val="22"/>
          <w:szCs w:val="22"/>
          <w:lang w:val="en-US"/>
        </w:rPr>
        <w:footnoteReference w:id="39"/>
      </w:r>
      <w:r w:rsidRPr="00841766">
        <w:rPr>
          <w:rFonts w:cs="Arial"/>
          <w:color w:val="000000" w:themeColor="text1"/>
          <w:sz w:val="22"/>
          <w:szCs w:val="22"/>
          <w:lang w:val="en-US"/>
        </w:rPr>
        <w:t xml:space="preserve"> that firmly protects human rights</w:t>
      </w:r>
      <w:r w:rsidRPr="00841766">
        <w:rPr>
          <w:rStyle w:val="FootnoteReference"/>
          <w:rFonts w:cs="Arial"/>
          <w:color w:val="000000" w:themeColor="text1"/>
          <w:sz w:val="22"/>
          <w:szCs w:val="22"/>
          <w:lang w:val="en-US"/>
        </w:rPr>
        <w:footnoteReference w:id="40"/>
      </w:r>
      <w:r w:rsidRPr="00841766">
        <w:rPr>
          <w:rFonts w:cs="Arial"/>
          <w:color w:val="000000" w:themeColor="text1"/>
          <w:sz w:val="22"/>
          <w:szCs w:val="22"/>
          <w:lang w:val="en-US"/>
        </w:rPr>
        <w:t xml:space="preserve">. </w:t>
      </w:r>
      <w:r>
        <w:rPr>
          <w:rFonts w:cs="Arial"/>
          <w:color w:val="000000" w:themeColor="text1"/>
          <w:sz w:val="22"/>
          <w:szCs w:val="22"/>
          <w:lang w:val="en-US"/>
        </w:rPr>
        <w:t xml:space="preserve"> </w:t>
      </w:r>
      <w:r w:rsidRPr="00841766">
        <w:rPr>
          <w:rFonts w:cs="Arial"/>
          <w:color w:val="000000" w:themeColor="text1"/>
          <w:sz w:val="22"/>
          <w:lang w:val="en-US"/>
        </w:rPr>
        <w:t xml:space="preserve">Timor-Leste has progressed with implementing the outcomes of the various review </w:t>
      </w:r>
      <w:r w:rsidRPr="00841766">
        <w:rPr>
          <w:rFonts w:cs="Arial"/>
          <w:color w:val="000000" w:themeColor="text1"/>
          <w:sz w:val="22"/>
          <w:lang w:val="en-US"/>
        </w:rPr>
        <w:lastRenderedPageBreak/>
        <w:t>processes done by the Treaty Bodies, the Universal Periodic Review (UPR) and Special Procedures</w:t>
      </w:r>
      <w:r>
        <w:rPr>
          <w:rFonts w:cs="Arial"/>
          <w:color w:val="000000" w:themeColor="text1"/>
          <w:sz w:val="22"/>
          <w:lang w:val="en-US"/>
        </w:rPr>
        <w:t>, while more progress is needed in recommendations from some of the human rights bodies</w:t>
      </w:r>
      <w:r w:rsidRPr="00841766">
        <w:rPr>
          <w:rFonts w:cs="Arial"/>
          <w:color w:val="000000" w:themeColor="text1"/>
          <w:sz w:val="22"/>
          <w:lang w:val="en-US"/>
        </w:rPr>
        <w:t xml:space="preserve">. </w:t>
      </w:r>
      <w:r>
        <w:rPr>
          <w:rFonts w:cs="Arial"/>
          <w:color w:val="000000" w:themeColor="text1"/>
          <w:sz w:val="22"/>
          <w:lang w:val="en-US"/>
        </w:rPr>
        <w:t xml:space="preserve"> </w:t>
      </w:r>
      <w:r w:rsidRPr="00841766">
        <w:rPr>
          <w:rFonts w:cs="Arial"/>
          <w:color w:val="000000" w:themeColor="text1"/>
          <w:sz w:val="22"/>
          <w:szCs w:val="22"/>
          <w:lang w:val="en-US"/>
        </w:rPr>
        <w:t xml:space="preserve">While </w:t>
      </w:r>
      <w:r>
        <w:rPr>
          <w:rFonts w:cs="Arial"/>
          <w:color w:val="000000" w:themeColor="text1"/>
          <w:sz w:val="22"/>
          <w:szCs w:val="22"/>
          <w:lang w:val="en-US"/>
        </w:rPr>
        <w:t xml:space="preserve">human rights capacities </w:t>
      </w:r>
      <w:r w:rsidRPr="00841766">
        <w:rPr>
          <w:rFonts w:cs="Arial"/>
          <w:color w:val="000000" w:themeColor="text1"/>
          <w:sz w:val="22"/>
          <w:szCs w:val="22"/>
          <w:lang w:val="en-US"/>
        </w:rPr>
        <w:t>have increased</w:t>
      </w:r>
      <w:r>
        <w:rPr>
          <w:rFonts w:cs="Arial"/>
          <w:color w:val="000000" w:themeColor="text1"/>
          <w:sz w:val="22"/>
          <w:szCs w:val="22"/>
          <w:lang w:val="en-US"/>
        </w:rPr>
        <w:t xml:space="preserve"> across all sectors of duty bearers</w:t>
      </w:r>
      <w:r w:rsidRPr="00841766">
        <w:rPr>
          <w:rFonts w:cs="Arial"/>
          <w:color w:val="000000" w:themeColor="text1"/>
          <w:sz w:val="22"/>
          <w:szCs w:val="22"/>
          <w:lang w:val="en-US"/>
        </w:rPr>
        <w:t xml:space="preserve"> over the past decades</w:t>
      </w:r>
      <w:r w:rsidRPr="00841766">
        <w:rPr>
          <w:rStyle w:val="FootnoteReference"/>
          <w:rFonts w:cs="Arial"/>
          <w:color w:val="000000" w:themeColor="text1"/>
          <w:sz w:val="22"/>
          <w:szCs w:val="22"/>
          <w:lang w:val="en-US"/>
        </w:rPr>
        <w:footnoteReference w:id="41"/>
      </w:r>
      <w:r w:rsidRPr="00841766">
        <w:rPr>
          <w:rFonts w:cs="Arial"/>
          <w:color w:val="000000" w:themeColor="text1"/>
          <w:sz w:val="22"/>
          <w:szCs w:val="22"/>
          <w:lang w:val="en-US"/>
        </w:rPr>
        <w:t xml:space="preserve">, the accountability of the officials responsible to provide key services </w:t>
      </w:r>
      <w:r>
        <w:rPr>
          <w:rFonts w:cs="Arial"/>
          <w:color w:val="000000" w:themeColor="text1"/>
          <w:sz w:val="22"/>
          <w:szCs w:val="22"/>
          <w:lang w:val="en-US"/>
        </w:rPr>
        <w:t xml:space="preserve">in protection of </w:t>
      </w:r>
      <w:r w:rsidRPr="00841766">
        <w:rPr>
          <w:rFonts w:cs="Arial"/>
          <w:color w:val="000000" w:themeColor="text1"/>
          <w:sz w:val="22"/>
          <w:szCs w:val="22"/>
          <w:lang w:val="en-US"/>
        </w:rPr>
        <w:t>human rights remains an issue of concern</w:t>
      </w:r>
      <w:r>
        <w:rPr>
          <w:rFonts w:cs="Arial"/>
          <w:color w:val="000000" w:themeColor="text1"/>
          <w:sz w:val="22"/>
          <w:szCs w:val="22"/>
          <w:lang w:val="en-US"/>
        </w:rPr>
        <w:t>.  This is particularly so in t</w:t>
      </w:r>
      <w:r w:rsidRPr="00841766">
        <w:rPr>
          <w:rFonts w:cs="Arial"/>
          <w:color w:val="000000" w:themeColor="text1"/>
          <w:sz w:val="22"/>
          <w:szCs w:val="22"/>
          <w:lang w:val="en-US"/>
        </w:rPr>
        <w:t>he security and justice s</w:t>
      </w:r>
      <w:r>
        <w:rPr>
          <w:rFonts w:cs="Arial"/>
          <w:color w:val="000000" w:themeColor="text1"/>
          <w:sz w:val="22"/>
          <w:szCs w:val="22"/>
          <w:lang w:val="en-US"/>
        </w:rPr>
        <w:t>ectors, where there continue to be e</w:t>
      </w:r>
      <w:r w:rsidRPr="00841766">
        <w:rPr>
          <w:rFonts w:cs="Arial"/>
          <w:color w:val="000000" w:themeColor="text1"/>
          <w:sz w:val="22"/>
          <w:szCs w:val="22"/>
          <w:lang w:val="en-US"/>
        </w:rPr>
        <w:t>xcessive use of force and ill-treatment by the police</w:t>
      </w:r>
      <w:r w:rsidR="004F6DFF">
        <w:rPr>
          <w:rFonts w:cs="Arial"/>
          <w:color w:val="000000" w:themeColor="text1"/>
          <w:sz w:val="22"/>
          <w:szCs w:val="22"/>
          <w:lang w:val="en-US"/>
        </w:rPr>
        <w:t xml:space="preserve">, and </w:t>
      </w:r>
      <w:r w:rsidR="004F6DFF" w:rsidRPr="00841766">
        <w:rPr>
          <w:rFonts w:cs="Arial"/>
          <w:bCs/>
          <w:sz w:val="22"/>
          <w:szCs w:val="22"/>
          <w:lang w:val="en-US"/>
        </w:rPr>
        <w:t xml:space="preserve">the </w:t>
      </w:r>
      <w:r w:rsidR="004F6DFF">
        <w:rPr>
          <w:rFonts w:cs="Arial"/>
          <w:bCs/>
          <w:sz w:val="22"/>
          <w:szCs w:val="22"/>
          <w:lang w:val="en-US"/>
        </w:rPr>
        <w:t xml:space="preserve">citizens </w:t>
      </w:r>
      <w:r w:rsidR="004F6DFF" w:rsidRPr="00841766">
        <w:rPr>
          <w:rFonts w:cs="Arial"/>
          <w:bCs/>
          <w:sz w:val="22"/>
          <w:szCs w:val="22"/>
          <w:lang w:val="en-US"/>
        </w:rPr>
        <w:t xml:space="preserve">of Timor-Leste still have limited access to justice. </w:t>
      </w:r>
      <w:r w:rsidR="004F6DFF">
        <w:rPr>
          <w:rFonts w:cs="Arial"/>
          <w:bCs/>
          <w:sz w:val="22"/>
          <w:szCs w:val="22"/>
          <w:lang w:val="en-US"/>
        </w:rPr>
        <w:t xml:space="preserve"> </w:t>
      </w:r>
      <w:r w:rsidR="004F6DFF" w:rsidRPr="00841766">
        <w:rPr>
          <w:rFonts w:cs="Arial"/>
          <w:bCs/>
          <w:sz w:val="22"/>
          <w:szCs w:val="22"/>
          <w:lang w:val="en-US"/>
        </w:rPr>
        <w:t>Sexual and gender-based violence</w:t>
      </w:r>
      <w:r w:rsidR="004F6DFF">
        <w:rPr>
          <w:rFonts w:cs="Arial"/>
          <w:bCs/>
          <w:sz w:val="22"/>
          <w:szCs w:val="22"/>
          <w:lang w:val="en-US"/>
        </w:rPr>
        <w:t xml:space="preserve"> </w:t>
      </w:r>
      <w:r w:rsidR="004F6DFF" w:rsidRPr="00841766">
        <w:rPr>
          <w:rFonts w:cs="Arial"/>
          <w:bCs/>
          <w:sz w:val="22"/>
          <w:szCs w:val="22"/>
          <w:lang w:val="en-US"/>
        </w:rPr>
        <w:t>and violence against children remain critical concerns</w:t>
      </w:r>
      <w:r w:rsidR="004F6DFF">
        <w:rPr>
          <w:rFonts w:cs="Arial"/>
          <w:bCs/>
          <w:sz w:val="22"/>
          <w:szCs w:val="22"/>
          <w:lang w:val="en-US"/>
        </w:rPr>
        <w:t>.  A quarter of all women (aged 18</w:t>
      </w:r>
      <w:r w:rsidR="004F6DFF" w:rsidRPr="00841766">
        <w:rPr>
          <w:rFonts w:cs="Arial"/>
          <w:bCs/>
          <w:sz w:val="22"/>
          <w:szCs w:val="22"/>
          <w:lang w:val="en-US"/>
        </w:rPr>
        <w:t xml:space="preserve">-49) </w:t>
      </w:r>
      <w:r w:rsidR="004F6DFF">
        <w:rPr>
          <w:rFonts w:cs="Arial"/>
          <w:bCs/>
          <w:sz w:val="22"/>
          <w:szCs w:val="22"/>
          <w:lang w:val="en-US"/>
        </w:rPr>
        <w:t xml:space="preserve">have </w:t>
      </w:r>
      <w:r w:rsidR="004F6DFF" w:rsidRPr="00841766">
        <w:rPr>
          <w:rFonts w:cs="Arial"/>
          <w:bCs/>
          <w:sz w:val="22"/>
          <w:szCs w:val="22"/>
          <w:lang w:val="en-US"/>
        </w:rPr>
        <w:t>experienc</w:t>
      </w:r>
      <w:r w:rsidR="004F6DFF">
        <w:rPr>
          <w:rFonts w:cs="Arial"/>
          <w:bCs/>
          <w:sz w:val="22"/>
          <w:szCs w:val="22"/>
          <w:lang w:val="en-US"/>
        </w:rPr>
        <w:t>ed</w:t>
      </w:r>
      <w:r w:rsidR="004F6DFF" w:rsidRPr="00841766">
        <w:rPr>
          <w:rFonts w:cs="Arial"/>
          <w:bCs/>
          <w:sz w:val="22"/>
          <w:szCs w:val="22"/>
          <w:lang w:val="en-US"/>
        </w:rPr>
        <w:t xml:space="preserve"> sexual violence by age 18, nearly a third </w:t>
      </w:r>
      <w:r w:rsidR="004F6DFF">
        <w:rPr>
          <w:rFonts w:cs="Arial"/>
          <w:bCs/>
          <w:sz w:val="22"/>
          <w:szCs w:val="22"/>
          <w:lang w:val="en-US"/>
        </w:rPr>
        <w:t xml:space="preserve">were </w:t>
      </w:r>
      <w:r w:rsidR="004F6DFF" w:rsidRPr="00841766">
        <w:rPr>
          <w:rFonts w:cs="Arial"/>
          <w:bCs/>
          <w:sz w:val="22"/>
          <w:szCs w:val="22"/>
          <w:lang w:val="en-US"/>
        </w:rPr>
        <w:t>subjected to sexual violence in the previous 12 months</w:t>
      </w:r>
      <w:r w:rsidR="004F6DFF" w:rsidRPr="00841766">
        <w:rPr>
          <w:rStyle w:val="FootnoteReference"/>
          <w:rFonts w:cs="Arial"/>
          <w:sz w:val="22"/>
          <w:szCs w:val="22"/>
          <w:lang w:val="en-US"/>
        </w:rPr>
        <w:footnoteReference w:id="42"/>
      </w:r>
      <w:r w:rsidR="004F6DFF" w:rsidRPr="00841766">
        <w:rPr>
          <w:rFonts w:cs="Arial"/>
          <w:bCs/>
          <w:sz w:val="22"/>
          <w:szCs w:val="22"/>
          <w:lang w:val="en-US"/>
        </w:rPr>
        <w:t xml:space="preserve">, and a high proportion of children </w:t>
      </w:r>
      <w:r w:rsidR="004F6DFF">
        <w:rPr>
          <w:rFonts w:cs="Arial"/>
          <w:bCs/>
          <w:sz w:val="22"/>
          <w:szCs w:val="22"/>
          <w:lang w:val="en-US"/>
        </w:rPr>
        <w:t xml:space="preserve">have </w:t>
      </w:r>
      <w:r w:rsidR="004F6DFF" w:rsidRPr="00841766">
        <w:rPr>
          <w:rFonts w:cs="Arial"/>
          <w:bCs/>
          <w:sz w:val="22"/>
          <w:szCs w:val="22"/>
          <w:lang w:val="en-US"/>
        </w:rPr>
        <w:t>experienc</w:t>
      </w:r>
      <w:r w:rsidR="004F6DFF">
        <w:rPr>
          <w:rFonts w:cs="Arial"/>
          <w:bCs/>
          <w:sz w:val="22"/>
          <w:szCs w:val="22"/>
          <w:lang w:val="en-US"/>
        </w:rPr>
        <w:t>ed</w:t>
      </w:r>
      <w:r w:rsidR="004F6DFF" w:rsidRPr="00841766">
        <w:rPr>
          <w:rFonts w:cs="Arial"/>
          <w:bCs/>
          <w:sz w:val="22"/>
          <w:szCs w:val="22"/>
          <w:lang w:val="en-US"/>
        </w:rPr>
        <w:t xml:space="preserve"> violence </w:t>
      </w:r>
      <w:r w:rsidR="004F6DFF" w:rsidRPr="00841766">
        <w:rPr>
          <w:sz w:val="22"/>
          <w:szCs w:val="22"/>
          <w:lang w:val="en-US"/>
        </w:rPr>
        <w:t xml:space="preserve">at home and </w:t>
      </w:r>
      <w:r w:rsidR="004F6DFF" w:rsidRPr="00841766">
        <w:rPr>
          <w:rFonts w:cs="Arial"/>
          <w:bCs/>
          <w:sz w:val="22"/>
          <w:szCs w:val="22"/>
          <w:lang w:val="en-US"/>
        </w:rPr>
        <w:t>in school</w:t>
      </w:r>
      <w:r w:rsidR="004F6DFF" w:rsidRPr="00841766">
        <w:rPr>
          <w:rStyle w:val="FootnoteReference"/>
          <w:rFonts w:cs="Arial"/>
          <w:bCs/>
          <w:sz w:val="22"/>
          <w:szCs w:val="22"/>
          <w:lang w:val="en-US"/>
        </w:rPr>
        <w:footnoteReference w:id="43"/>
      </w:r>
      <w:r w:rsidR="004F6DFF" w:rsidRPr="00841766">
        <w:rPr>
          <w:rStyle w:val="FootnoteReference"/>
          <w:rFonts w:cs="Arial"/>
          <w:bCs/>
          <w:sz w:val="22"/>
          <w:szCs w:val="22"/>
          <w:lang w:val="en-US"/>
        </w:rPr>
        <w:footnoteReference w:id="44"/>
      </w:r>
      <w:r w:rsidR="004F6DFF" w:rsidRPr="00841766">
        <w:rPr>
          <w:sz w:val="22"/>
          <w:szCs w:val="22"/>
          <w:lang w:val="en-US"/>
        </w:rPr>
        <w:t xml:space="preserve">. </w:t>
      </w:r>
      <w:r w:rsidR="004F6DFF">
        <w:rPr>
          <w:sz w:val="22"/>
          <w:szCs w:val="22"/>
          <w:lang w:val="en-US"/>
        </w:rPr>
        <w:t xml:space="preserve"> </w:t>
      </w:r>
      <w:r w:rsidR="004F6DFF" w:rsidRPr="00841766">
        <w:rPr>
          <w:rFonts w:cs="Arial"/>
          <w:bCs/>
          <w:sz w:val="22"/>
          <w:szCs w:val="22"/>
          <w:lang w:val="en-US"/>
        </w:rPr>
        <w:t xml:space="preserve">This crucially hinders women, </w:t>
      </w:r>
      <w:r w:rsidR="004F6DFF">
        <w:rPr>
          <w:rFonts w:cs="Arial"/>
          <w:bCs/>
          <w:sz w:val="22"/>
          <w:szCs w:val="22"/>
          <w:lang w:val="en-US"/>
        </w:rPr>
        <w:t xml:space="preserve">youth and </w:t>
      </w:r>
      <w:r w:rsidR="004F6DFF" w:rsidRPr="00841766">
        <w:rPr>
          <w:rFonts w:cs="Arial"/>
          <w:bCs/>
          <w:sz w:val="22"/>
          <w:szCs w:val="22"/>
          <w:lang w:val="en-US"/>
        </w:rPr>
        <w:t>children</w:t>
      </w:r>
      <w:r w:rsidR="004F6DFF">
        <w:rPr>
          <w:rFonts w:cs="Arial"/>
          <w:bCs/>
          <w:sz w:val="22"/>
          <w:szCs w:val="22"/>
          <w:lang w:val="en-US"/>
        </w:rPr>
        <w:t>’s</w:t>
      </w:r>
      <w:r w:rsidR="004F6DFF" w:rsidRPr="00841766">
        <w:rPr>
          <w:rFonts w:cs="Arial"/>
          <w:bCs/>
          <w:sz w:val="22"/>
          <w:szCs w:val="22"/>
          <w:lang w:val="en-US"/>
        </w:rPr>
        <w:t xml:space="preserve"> potentials to grow and access opportunities and rights in society, as well as threaten social cohesion. </w:t>
      </w:r>
      <w:r w:rsidR="004F6DFF">
        <w:rPr>
          <w:rFonts w:cs="Arial"/>
          <w:bCs/>
          <w:sz w:val="22"/>
          <w:szCs w:val="22"/>
          <w:lang w:val="en-US"/>
        </w:rPr>
        <w:t xml:space="preserve"> </w:t>
      </w:r>
      <w:r w:rsidRPr="00841766">
        <w:rPr>
          <w:rFonts w:cs="Arial"/>
          <w:color w:val="000000" w:themeColor="text1"/>
          <w:sz w:val="22"/>
          <w:szCs w:val="22"/>
          <w:lang w:val="en-US"/>
        </w:rPr>
        <w:t>More efforts are required in the area of violence prevention</w:t>
      </w:r>
      <w:r>
        <w:rPr>
          <w:rFonts w:cs="Arial"/>
          <w:color w:val="000000" w:themeColor="text1"/>
          <w:sz w:val="22"/>
          <w:szCs w:val="22"/>
          <w:lang w:val="en-US"/>
        </w:rPr>
        <w:t xml:space="preserve"> and healing</w:t>
      </w:r>
      <w:r w:rsidRPr="00841766">
        <w:rPr>
          <w:rFonts w:cs="Arial"/>
          <w:color w:val="000000" w:themeColor="text1"/>
          <w:sz w:val="22"/>
          <w:szCs w:val="22"/>
          <w:lang w:val="en-US"/>
        </w:rPr>
        <w:t xml:space="preserve"> through addressing the </w:t>
      </w:r>
      <w:r>
        <w:rPr>
          <w:rFonts w:cs="Arial"/>
          <w:color w:val="000000" w:themeColor="text1"/>
          <w:sz w:val="22"/>
          <w:szCs w:val="22"/>
          <w:lang w:val="en-US"/>
        </w:rPr>
        <w:t>root causes of the inter-generational cycles of violence</w:t>
      </w:r>
      <w:r w:rsidRPr="00841766">
        <w:rPr>
          <w:rFonts w:cs="Arial"/>
          <w:color w:val="000000" w:themeColor="text1"/>
          <w:sz w:val="22"/>
          <w:szCs w:val="22"/>
          <w:lang w:val="en-US"/>
        </w:rPr>
        <w:t xml:space="preserve">. </w:t>
      </w:r>
      <w:r w:rsidR="00B13A8D">
        <w:rPr>
          <w:rFonts w:cs="Arial"/>
          <w:bCs/>
          <w:sz w:val="22"/>
          <w:szCs w:val="22"/>
          <w:lang w:val="en-US"/>
        </w:rPr>
        <w:t xml:space="preserve">  </w:t>
      </w:r>
      <w:r w:rsidR="000B435D" w:rsidRPr="00841766">
        <w:rPr>
          <w:rFonts w:eastAsiaTheme="majorEastAsia" w:cs="Arial"/>
          <w:bCs/>
          <w:sz w:val="22"/>
          <w:szCs w:val="22"/>
          <w:lang w:val="en-US" w:bidi="th-TH"/>
        </w:rPr>
        <w:t xml:space="preserve">Transnational human trafficking is occurring in Timor-Leste. </w:t>
      </w:r>
      <w:r w:rsidR="000B435D">
        <w:rPr>
          <w:rFonts w:eastAsiaTheme="majorEastAsia" w:cs="Arial"/>
          <w:bCs/>
          <w:sz w:val="22"/>
          <w:szCs w:val="22"/>
          <w:lang w:val="en-US" w:bidi="th-TH"/>
        </w:rPr>
        <w:t xml:space="preserve"> </w:t>
      </w:r>
      <w:r w:rsidR="000B435D" w:rsidRPr="00841766">
        <w:rPr>
          <w:rFonts w:eastAsiaTheme="majorEastAsia" w:cs="Arial"/>
          <w:bCs/>
          <w:sz w:val="22"/>
          <w:szCs w:val="22"/>
          <w:lang w:val="en-US" w:bidi="th-TH"/>
        </w:rPr>
        <w:t>In 2017, the national police identified 267 unconfirmed trafficking cases, and in 2018 a further 65 victims were identified.</w:t>
      </w:r>
      <w:r w:rsidR="000B435D">
        <w:rPr>
          <w:rFonts w:eastAsiaTheme="majorEastAsia" w:cs="Arial"/>
          <w:bCs/>
          <w:sz w:val="22"/>
          <w:szCs w:val="22"/>
          <w:lang w:val="en-US" w:bidi="th-TH"/>
        </w:rPr>
        <w:t xml:space="preserve">  </w:t>
      </w:r>
    </w:p>
    <w:p w14:paraId="259961E3" w14:textId="0B3CE715" w:rsidR="00B254D7" w:rsidRPr="00841766" w:rsidRDefault="00A97435" w:rsidP="00914158">
      <w:pPr>
        <w:spacing w:after="120"/>
        <w:ind w:right="-11"/>
        <w:jc w:val="both"/>
        <w:rPr>
          <w:rFonts w:cs="Arial"/>
          <w:iCs/>
          <w:sz w:val="22"/>
          <w:szCs w:val="22"/>
          <w:lang w:val="en-US"/>
        </w:rPr>
      </w:pPr>
      <w:r w:rsidRPr="00841766">
        <w:rPr>
          <w:rFonts w:cs="Arial"/>
          <w:iCs/>
          <w:sz w:val="22"/>
          <w:szCs w:val="22"/>
          <w:lang w:val="en-US"/>
        </w:rPr>
        <w:t xml:space="preserve">Despite steps having been taken to raise Timor-Leste’s level of disaster resilience, </w:t>
      </w:r>
      <w:r w:rsidR="00B859A6">
        <w:rPr>
          <w:rFonts w:cs="Arial"/>
          <w:sz w:val="22"/>
          <w:szCs w:val="22"/>
          <w:lang w:val="en-US"/>
        </w:rPr>
        <w:t>t</w:t>
      </w:r>
      <w:r w:rsidR="00B859A6" w:rsidRPr="00841766">
        <w:rPr>
          <w:rFonts w:cs="Arial"/>
          <w:sz w:val="22"/>
          <w:szCs w:val="22"/>
          <w:lang w:val="en-US"/>
        </w:rPr>
        <w:t>he country is ranked 1</w:t>
      </w:r>
      <w:r w:rsidR="002A38A1">
        <w:rPr>
          <w:rFonts w:cs="Arial"/>
          <w:sz w:val="22"/>
          <w:szCs w:val="22"/>
          <w:lang w:val="en-US"/>
        </w:rPr>
        <w:t>5</w:t>
      </w:r>
      <w:r w:rsidR="00B859A6" w:rsidRPr="00841766">
        <w:rPr>
          <w:rFonts w:cs="Arial"/>
          <w:sz w:val="22"/>
          <w:szCs w:val="22"/>
          <w:vertAlign w:val="superscript"/>
          <w:lang w:val="en-US"/>
        </w:rPr>
        <w:t>th</w:t>
      </w:r>
      <w:r w:rsidR="00B859A6" w:rsidRPr="00841766">
        <w:rPr>
          <w:rFonts w:cs="Arial"/>
          <w:sz w:val="22"/>
          <w:szCs w:val="22"/>
          <w:lang w:val="en-US"/>
        </w:rPr>
        <w:t xml:space="preserve"> among the countries of highest disaster risk</w:t>
      </w:r>
      <w:r w:rsidR="00B859A6" w:rsidRPr="00841766">
        <w:rPr>
          <w:rStyle w:val="FootnoteReference"/>
          <w:rFonts w:cs="Arial"/>
          <w:sz w:val="22"/>
          <w:szCs w:val="22"/>
          <w:lang w:val="en-US"/>
        </w:rPr>
        <w:footnoteReference w:id="45"/>
      </w:r>
      <w:r w:rsidR="00B859A6">
        <w:rPr>
          <w:rFonts w:cs="Arial"/>
          <w:iCs/>
          <w:sz w:val="22"/>
          <w:szCs w:val="22"/>
          <w:lang w:val="en-US"/>
        </w:rPr>
        <w:t xml:space="preserve"> and</w:t>
      </w:r>
      <w:r w:rsidRPr="00841766">
        <w:rPr>
          <w:rFonts w:cs="Arial"/>
          <w:iCs/>
          <w:sz w:val="22"/>
          <w:szCs w:val="22"/>
          <w:lang w:val="en-US"/>
        </w:rPr>
        <w:t xml:space="preserve"> remains highly vulnerable to natural hazards. </w:t>
      </w:r>
      <w:r w:rsidR="00D857A8">
        <w:rPr>
          <w:rFonts w:cs="Arial"/>
          <w:iCs/>
          <w:sz w:val="22"/>
          <w:szCs w:val="22"/>
          <w:lang w:val="en-US"/>
        </w:rPr>
        <w:t xml:space="preserve"> </w:t>
      </w:r>
      <w:r w:rsidR="005C5354">
        <w:rPr>
          <w:rFonts w:cs="Arial"/>
          <w:iCs/>
          <w:sz w:val="22"/>
          <w:szCs w:val="22"/>
          <w:lang w:val="en-US"/>
        </w:rPr>
        <w:t>D</w:t>
      </w:r>
      <w:r w:rsidRPr="00841766">
        <w:rPr>
          <w:rFonts w:cs="Arial"/>
          <w:iCs/>
          <w:sz w:val="22"/>
          <w:szCs w:val="22"/>
          <w:lang w:val="en-US"/>
        </w:rPr>
        <w:t>isasters, environmental degradation and water scarcity are likely to be exacerbated by climate change</w:t>
      </w:r>
      <w:r w:rsidR="00D857A8">
        <w:rPr>
          <w:rFonts w:cs="Arial"/>
          <w:iCs/>
          <w:sz w:val="22"/>
          <w:szCs w:val="22"/>
          <w:lang w:val="en-US"/>
        </w:rPr>
        <w:t>, disproportionately affecting the food security and livelihood</w:t>
      </w:r>
      <w:r w:rsidR="00A92554">
        <w:rPr>
          <w:rFonts w:cs="Arial"/>
          <w:iCs/>
          <w:sz w:val="22"/>
          <w:szCs w:val="22"/>
          <w:lang w:val="en-US"/>
        </w:rPr>
        <w:t>s</w:t>
      </w:r>
      <w:r w:rsidR="00D857A8">
        <w:rPr>
          <w:rFonts w:cs="Arial"/>
          <w:iCs/>
          <w:sz w:val="22"/>
          <w:szCs w:val="22"/>
          <w:lang w:val="en-US"/>
        </w:rPr>
        <w:t xml:space="preserve"> of the poor and the vulnerable</w:t>
      </w:r>
      <w:r w:rsidRPr="00841766">
        <w:rPr>
          <w:rFonts w:cs="Arial"/>
          <w:iCs/>
          <w:sz w:val="22"/>
          <w:szCs w:val="22"/>
          <w:lang w:val="en-US"/>
        </w:rPr>
        <w:t xml:space="preserve"> and potential</w:t>
      </w:r>
      <w:r w:rsidR="00D857A8">
        <w:rPr>
          <w:rFonts w:cs="Arial"/>
          <w:iCs/>
          <w:sz w:val="22"/>
          <w:szCs w:val="22"/>
          <w:lang w:val="en-US"/>
        </w:rPr>
        <w:t>ly</w:t>
      </w:r>
      <w:r w:rsidRPr="00841766">
        <w:rPr>
          <w:rFonts w:cs="Arial"/>
          <w:iCs/>
          <w:sz w:val="22"/>
          <w:szCs w:val="22"/>
          <w:lang w:val="en-US"/>
        </w:rPr>
        <w:t xml:space="preserve"> increas</w:t>
      </w:r>
      <w:r w:rsidR="00D857A8">
        <w:rPr>
          <w:rFonts w:cs="Arial"/>
          <w:iCs/>
          <w:sz w:val="22"/>
          <w:szCs w:val="22"/>
          <w:lang w:val="en-US"/>
        </w:rPr>
        <w:t>ing</w:t>
      </w:r>
      <w:r w:rsidRPr="00841766">
        <w:rPr>
          <w:rFonts w:cs="Arial"/>
          <w:iCs/>
          <w:sz w:val="22"/>
          <w:szCs w:val="22"/>
          <w:lang w:val="en-US"/>
        </w:rPr>
        <w:t xml:space="preserve"> inequalities in </w:t>
      </w:r>
      <w:r w:rsidR="00D857A8">
        <w:rPr>
          <w:rFonts w:cs="Arial"/>
          <w:iCs/>
          <w:sz w:val="22"/>
          <w:szCs w:val="22"/>
          <w:lang w:val="en-US"/>
        </w:rPr>
        <w:t xml:space="preserve">both </w:t>
      </w:r>
      <w:r w:rsidRPr="00841766">
        <w:rPr>
          <w:rFonts w:cs="Arial"/>
          <w:iCs/>
          <w:sz w:val="22"/>
          <w:szCs w:val="22"/>
          <w:lang w:val="en-US"/>
        </w:rPr>
        <w:t>the short</w:t>
      </w:r>
      <w:r w:rsidR="00D857A8">
        <w:rPr>
          <w:rFonts w:cs="Arial"/>
          <w:iCs/>
          <w:sz w:val="22"/>
          <w:szCs w:val="22"/>
          <w:lang w:val="en-US"/>
        </w:rPr>
        <w:t>-</w:t>
      </w:r>
      <w:r w:rsidRPr="00841766">
        <w:rPr>
          <w:rFonts w:cs="Arial"/>
          <w:iCs/>
          <w:sz w:val="22"/>
          <w:szCs w:val="22"/>
          <w:lang w:val="en-US"/>
        </w:rPr>
        <w:t xml:space="preserve"> and long</w:t>
      </w:r>
      <w:r w:rsidR="00D857A8">
        <w:rPr>
          <w:rFonts w:cs="Arial"/>
          <w:iCs/>
          <w:sz w:val="22"/>
          <w:szCs w:val="22"/>
          <w:lang w:val="en-US"/>
        </w:rPr>
        <w:t>er</w:t>
      </w:r>
      <w:r w:rsidRPr="00841766">
        <w:rPr>
          <w:rFonts w:cs="Arial"/>
          <w:iCs/>
          <w:sz w:val="22"/>
          <w:szCs w:val="22"/>
          <w:lang w:val="en-US"/>
        </w:rPr>
        <w:t xml:space="preserve"> term</w:t>
      </w:r>
      <w:r w:rsidR="00D857A8">
        <w:rPr>
          <w:rFonts w:cs="Arial"/>
          <w:iCs/>
          <w:sz w:val="22"/>
          <w:szCs w:val="22"/>
          <w:lang w:val="en-US"/>
        </w:rPr>
        <w:t>s</w:t>
      </w:r>
      <w:r w:rsidRPr="00841766">
        <w:rPr>
          <w:rFonts w:cs="Arial"/>
          <w:iCs/>
          <w:sz w:val="22"/>
          <w:szCs w:val="22"/>
          <w:lang w:val="en-US"/>
        </w:rPr>
        <w:t xml:space="preserve"> (SDG 13). </w:t>
      </w:r>
      <w:r w:rsidR="00D857A8">
        <w:rPr>
          <w:rFonts w:cs="Arial"/>
          <w:iCs/>
          <w:sz w:val="22"/>
          <w:szCs w:val="22"/>
          <w:lang w:val="en-US"/>
        </w:rPr>
        <w:t xml:space="preserve"> </w:t>
      </w:r>
      <w:r w:rsidR="00514C8C" w:rsidRPr="00841766">
        <w:rPr>
          <w:rFonts w:cs="Arial"/>
          <w:bCs/>
          <w:sz w:val="22"/>
          <w:szCs w:val="22"/>
          <w:lang w:val="en-US"/>
        </w:rPr>
        <w:t>Natural resources in the country are fragile, depleted, and continue to be unsustainably exploited</w:t>
      </w:r>
      <w:r w:rsidR="00914158">
        <w:rPr>
          <w:rFonts w:cs="Arial"/>
          <w:bCs/>
          <w:sz w:val="22"/>
          <w:szCs w:val="22"/>
          <w:lang w:val="en-US"/>
        </w:rPr>
        <w:t>,</w:t>
      </w:r>
      <w:r w:rsidR="00514C8C" w:rsidRPr="00841766">
        <w:rPr>
          <w:rFonts w:cs="Arial"/>
          <w:bCs/>
          <w:sz w:val="22"/>
          <w:szCs w:val="22"/>
          <w:lang w:val="en-US"/>
        </w:rPr>
        <w:t xml:space="preserve"> causing</w:t>
      </w:r>
      <w:r w:rsidR="00514C8C" w:rsidRPr="00841766">
        <w:rPr>
          <w:rFonts w:cs="Arial"/>
          <w:sz w:val="22"/>
          <w:szCs w:val="22"/>
          <w:lang w:val="en-US"/>
        </w:rPr>
        <w:t xml:space="preserve"> habitat loss and degradation</w:t>
      </w:r>
      <w:r w:rsidR="00A92554">
        <w:rPr>
          <w:rFonts w:cs="Arial"/>
          <w:sz w:val="22"/>
          <w:szCs w:val="22"/>
          <w:lang w:val="en-US"/>
        </w:rPr>
        <w:t>,</w:t>
      </w:r>
      <w:r w:rsidR="00914158">
        <w:rPr>
          <w:rFonts w:cs="Arial"/>
          <w:sz w:val="22"/>
          <w:szCs w:val="22"/>
          <w:lang w:val="en-US"/>
        </w:rPr>
        <w:t xml:space="preserve"> and</w:t>
      </w:r>
      <w:r w:rsidR="00514C8C">
        <w:rPr>
          <w:rFonts w:cs="Arial"/>
          <w:sz w:val="22"/>
          <w:szCs w:val="22"/>
          <w:lang w:val="en-US"/>
        </w:rPr>
        <w:t xml:space="preserve"> threatening lives and livelihoods</w:t>
      </w:r>
      <w:r w:rsidR="00514C8C" w:rsidRPr="00841766">
        <w:rPr>
          <w:rFonts w:cs="Arial"/>
          <w:sz w:val="22"/>
          <w:szCs w:val="22"/>
          <w:lang w:val="en-US"/>
        </w:rPr>
        <w:t xml:space="preserve">. </w:t>
      </w:r>
      <w:r w:rsidR="00514C8C">
        <w:rPr>
          <w:rFonts w:cs="Arial"/>
          <w:sz w:val="22"/>
          <w:szCs w:val="22"/>
          <w:lang w:val="en-US"/>
        </w:rPr>
        <w:t xml:space="preserve"> </w:t>
      </w:r>
      <w:r w:rsidRPr="00841766">
        <w:rPr>
          <w:rFonts w:cs="Arial"/>
          <w:bCs/>
          <w:sz w:val="22"/>
          <w:szCs w:val="22"/>
          <w:lang w:val="en-US"/>
        </w:rPr>
        <w:t>Land degradation, most notably deforestation, is occurring in many parts of the country</w:t>
      </w:r>
      <w:r w:rsidR="00FE56EC">
        <w:rPr>
          <w:rFonts w:cs="Arial"/>
          <w:bCs/>
          <w:sz w:val="22"/>
          <w:szCs w:val="22"/>
          <w:lang w:val="en-US"/>
        </w:rPr>
        <w:t>,</w:t>
      </w:r>
      <w:r w:rsidRPr="00841766">
        <w:rPr>
          <w:rFonts w:cs="Arial"/>
          <w:bCs/>
          <w:sz w:val="22"/>
          <w:szCs w:val="22"/>
          <w:lang w:val="en-US"/>
        </w:rPr>
        <w:t xml:space="preserve"> and if not effectively addressed, there is a risk that it may rapidly increase in the future (SDG 15).</w:t>
      </w:r>
      <w:r w:rsidRPr="00841766">
        <w:rPr>
          <w:rFonts w:cs="Arial"/>
          <w:sz w:val="22"/>
          <w:szCs w:val="22"/>
          <w:lang w:val="en-US"/>
        </w:rPr>
        <w:t xml:space="preserve"> </w:t>
      </w:r>
      <w:r w:rsidR="00FE56EC">
        <w:rPr>
          <w:rFonts w:cs="Arial"/>
          <w:sz w:val="22"/>
          <w:szCs w:val="22"/>
          <w:lang w:val="en-US"/>
        </w:rPr>
        <w:t xml:space="preserve"> </w:t>
      </w:r>
      <w:r w:rsidRPr="00841766">
        <w:rPr>
          <w:rFonts w:cs="Arial"/>
          <w:sz w:val="22"/>
          <w:szCs w:val="22"/>
          <w:lang w:val="en-US"/>
        </w:rPr>
        <w:t>From 1990 to 2010, 11,000 hectares of forest were lost to deforestation and forest degradation annually</w:t>
      </w:r>
      <w:r w:rsidR="00FE56EC">
        <w:rPr>
          <w:rFonts w:cs="Arial"/>
          <w:sz w:val="22"/>
          <w:szCs w:val="22"/>
          <w:lang w:val="en-US"/>
        </w:rPr>
        <w:t>;</w:t>
      </w:r>
      <w:r w:rsidRPr="00841766">
        <w:rPr>
          <w:rFonts w:cs="Arial"/>
          <w:sz w:val="22"/>
          <w:szCs w:val="22"/>
          <w:lang w:val="en-US"/>
        </w:rPr>
        <w:t xml:space="preserve"> between 2011 and 2018</w:t>
      </w:r>
      <w:r w:rsidR="00FE56EC">
        <w:rPr>
          <w:rFonts w:cs="Arial"/>
          <w:sz w:val="22"/>
          <w:szCs w:val="22"/>
          <w:lang w:val="en-US"/>
        </w:rPr>
        <w:t>,</w:t>
      </w:r>
      <w:r w:rsidRPr="00841766">
        <w:rPr>
          <w:rFonts w:cs="Arial"/>
          <w:sz w:val="22"/>
          <w:szCs w:val="22"/>
          <w:lang w:val="en-US"/>
        </w:rPr>
        <w:t xml:space="preserve"> the country lost around 1,356 hectares of tree cover annually </w:t>
      </w:r>
      <w:r w:rsidRPr="00841766">
        <w:rPr>
          <w:rStyle w:val="FootnoteReference"/>
          <w:rFonts w:cs="Arial"/>
          <w:sz w:val="22"/>
          <w:szCs w:val="22"/>
          <w:lang w:val="en-US"/>
        </w:rPr>
        <w:footnoteReference w:id="46"/>
      </w:r>
      <w:r w:rsidRPr="00841766">
        <w:rPr>
          <w:rFonts w:cs="Arial"/>
          <w:sz w:val="22"/>
          <w:szCs w:val="22"/>
          <w:lang w:val="en-US"/>
        </w:rPr>
        <w:t xml:space="preserve">. </w:t>
      </w:r>
      <w:r w:rsidR="00514C8C">
        <w:rPr>
          <w:rFonts w:cs="Arial"/>
          <w:sz w:val="22"/>
          <w:szCs w:val="22"/>
          <w:lang w:val="en-US"/>
        </w:rPr>
        <w:t xml:space="preserve"> </w:t>
      </w:r>
      <w:r w:rsidR="00B254D7" w:rsidRPr="00841766">
        <w:rPr>
          <w:rFonts w:cs="Arial"/>
          <w:sz w:val="22"/>
          <w:szCs w:val="22"/>
          <w:lang w:val="en-US"/>
        </w:rPr>
        <w:t>The long-term use of slash</w:t>
      </w:r>
      <w:r w:rsidR="00914158">
        <w:rPr>
          <w:rFonts w:cs="Arial"/>
          <w:sz w:val="22"/>
          <w:szCs w:val="22"/>
          <w:lang w:val="en-US"/>
        </w:rPr>
        <w:t>-</w:t>
      </w:r>
      <w:r w:rsidR="00B254D7" w:rsidRPr="00841766">
        <w:rPr>
          <w:rFonts w:cs="Arial"/>
          <w:sz w:val="22"/>
          <w:szCs w:val="22"/>
          <w:lang w:val="en-US"/>
        </w:rPr>
        <w:t>and</w:t>
      </w:r>
      <w:r w:rsidR="00914158">
        <w:rPr>
          <w:rFonts w:cs="Arial"/>
          <w:sz w:val="22"/>
          <w:szCs w:val="22"/>
          <w:lang w:val="en-US"/>
        </w:rPr>
        <w:t>-</w:t>
      </w:r>
      <w:r w:rsidR="00B254D7" w:rsidRPr="00841766">
        <w:rPr>
          <w:rFonts w:cs="Arial"/>
          <w:sz w:val="22"/>
          <w:szCs w:val="22"/>
          <w:lang w:val="en-US"/>
        </w:rPr>
        <w:t xml:space="preserve">burn cultivation – burning all organic matter on the soil surface before planting – has degraded the soil and impacted soil fertility, leaving the land with low organic/carbon and nutrient content. </w:t>
      </w:r>
      <w:r w:rsidR="00E10402">
        <w:rPr>
          <w:rFonts w:cs="Arial"/>
          <w:sz w:val="22"/>
          <w:szCs w:val="22"/>
          <w:lang w:val="en-US"/>
        </w:rPr>
        <w:t xml:space="preserve"> </w:t>
      </w:r>
      <w:r w:rsidR="00B254D7" w:rsidRPr="00841766">
        <w:rPr>
          <w:rFonts w:cs="Arial"/>
          <w:iCs/>
          <w:sz w:val="22"/>
          <w:szCs w:val="22"/>
          <w:lang w:val="en-US"/>
        </w:rPr>
        <w:t xml:space="preserve">The country’s coastal and marine ecosystems remain threatened by destructive fishing practices, illegal fishing, overfishing, pollution, erosion, land degradation and climate change. </w:t>
      </w:r>
      <w:r w:rsidR="00E10402">
        <w:rPr>
          <w:rFonts w:cs="Arial"/>
          <w:iCs/>
          <w:sz w:val="22"/>
          <w:szCs w:val="22"/>
          <w:lang w:val="en-US"/>
        </w:rPr>
        <w:t xml:space="preserve"> </w:t>
      </w:r>
      <w:r w:rsidR="008F6480" w:rsidRPr="00841766">
        <w:rPr>
          <w:rFonts w:cs="Arial"/>
          <w:iCs/>
          <w:sz w:val="22"/>
          <w:szCs w:val="22"/>
          <w:lang w:val="en-US"/>
        </w:rPr>
        <w:t>Timor-Leste</w:t>
      </w:r>
      <w:r w:rsidR="00B254D7" w:rsidRPr="00841766">
        <w:rPr>
          <w:rFonts w:cs="Arial"/>
          <w:iCs/>
          <w:sz w:val="22"/>
          <w:szCs w:val="22"/>
          <w:lang w:val="en-US"/>
        </w:rPr>
        <w:t xml:space="preserve"> is working towards expanding the protected and managed areas for marine and coastal biodiversity and enforcing the environmental policies and legal frameworks to conserve the water bodies and combat the adverse effects of climate change</w:t>
      </w:r>
      <w:r w:rsidR="008F6480" w:rsidRPr="00841766">
        <w:rPr>
          <w:rFonts w:cs="Arial"/>
          <w:iCs/>
          <w:sz w:val="22"/>
          <w:szCs w:val="22"/>
          <w:lang w:val="en-US"/>
        </w:rPr>
        <w:t xml:space="preserve">, </w:t>
      </w:r>
      <w:r w:rsidR="00B254D7" w:rsidRPr="00841766">
        <w:rPr>
          <w:rFonts w:cs="Arial"/>
          <w:iCs/>
          <w:sz w:val="22"/>
          <w:szCs w:val="22"/>
          <w:lang w:val="en-US"/>
        </w:rPr>
        <w:t>exploitation and misuse of natural resources</w:t>
      </w:r>
      <w:r w:rsidR="008F6480" w:rsidRPr="00841766">
        <w:rPr>
          <w:rFonts w:cs="Arial"/>
          <w:iCs/>
          <w:sz w:val="22"/>
          <w:szCs w:val="22"/>
          <w:lang w:val="en-US"/>
        </w:rPr>
        <w:t xml:space="preserve">. </w:t>
      </w:r>
      <w:r w:rsidR="00E10402">
        <w:rPr>
          <w:rFonts w:cs="Arial"/>
          <w:iCs/>
          <w:sz w:val="22"/>
          <w:szCs w:val="22"/>
          <w:lang w:val="en-US"/>
        </w:rPr>
        <w:t xml:space="preserve"> </w:t>
      </w:r>
      <w:r w:rsidR="008F6480" w:rsidRPr="00841766">
        <w:rPr>
          <w:rFonts w:cs="Arial"/>
          <w:iCs/>
          <w:sz w:val="22"/>
          <w:szCs w:val="22"/>
          <w:lang w:val="en-US"/>
        </w:rPr>
        <w:t>However</w:t>
      </w:r>
      <w:r w:rsidR="00B254D7" w:rsidRPr="00841766">
        <w:rPr>
          <w:rFonts w:cs="Arial"/>
          <w:iCs/>
          <w:sz w:val="22"/>
          <w:szCs w:val="22"/>
          <w:lang w:val="en-US"/>
        </w:rPr>
        <w:t xml:space="preserve">, the lack of data makes it difficult to measure </w:t>
      </w:r>
      <w:r w:rsidR="00914158">
        <w:rPr>
          <w:rFonts w:cs="Arial"/>
          <w:iCs/>
          <w:sz w:val="22"/>
          <w:szCs w:val="22"/>
          <w:lang w:val="en-US"/>
        </w:rPr>
        <w:t xml:space="preserve">Timor-Leste’s </w:t>
      </w:r>
      <w:r w:rsidR="00B254D7" w:rsidRPr="00841766">
        <w:rPr>
          <w:rFonts w:cs="Arial"/>
          <w:iCs/>
          <w:sz w:val="22"/>
          <w:szCs w:val="22"/>
          <w:lang w:val="en-US"/>
        </w:rPr>
        <w:t>progress on SDG 14</w:t>
      </w:r>
      <w:bookmarkStart w:id="18" w:name="_Hlk26286251"/>
      <w:r w:rsidR="00B254D7" w:rsidRPr="00841766">
        <w:rPr>
          <w:rFonts w:cs="Arial"/>
          <w:iCs/>
          <w:sz w:val="22"/>
          <w:szCs w:val="22"/>
          <w:lang w:val="en-US"/>
        </w:rPr>
        <w:t xml:space="preserve">. </w:t>
      </w:r>
    </w:p>
    <w:p w14:paraId="0D17CA84" w14:textId="5AFE8E59" w:rsidR="00B254D7" w:rsidRPr="00841766" w:rsidRDefault="00B254D7" w:rsidP="00914158">
      <w:pPr>
        <w:pStyle w:val="Heading2"/>
        <w:jc w:val="both"/>
        <w:rPr>
          <w:rFonts w:asciiTheme="minorHAnsi" w:hAnsiTheme="minorHAnsi"/>
          <w:sz w:val="28"/>
          <w:lang w:val="en-US"/>
        </w:rPr>
      </w:pPr>
      <w:bookmarkStart w:id="19" w:name="_Toc40265793"/>
      <w:bookmarkEnd w:id="18"/>
      <w:r w:rsidRPr="00841766">
        <w:rPr>
          <w:rFonts w:asciiTheme="minorHAnsi" w:hAnsiTheme="minorHAnsi"/>
          <w:sz w:val="28"/>
          <w:lang w:val="en-US"/>
        </w:rPr>
        <w:t>1.</w:t>
      </w:r>
      <w:r w:rsidR="00AE27C1" w:rsidRPr="00841766">
        <w:rPr>
          <w:rFonts w:asciiTheme="minorHAnsi" w:hAnsiTheme="minorHAnsi"/>
          <w:sz w:val="28"/>
          <w:lang w:val="en-US"/>
        </w:rPr>
        <w:t xml:space="preserve">4. </w:t>
      </w:r>
      <w:r w:rsidR="00834D84">
        <w:rPr>
          <w:rFonts w:asciiTheme="minorHAnsi" w:hAnsiTheme="minorHAnsi"/>
          <w:sz w:val="28"/>
          <w:lang w:val="en-US"/>
        </w:rPr>
        <w:t>SDGs implementation</w:t>
      </w:r>
      <w:r w:rsidR="00AE27C1" w:rsidRPr="00841766">
        <w:rPr>
          <w:rFonts w:asciiTheme="minorHAnsi" w:hAnsiTheme="minorHAnsi"/>
          <w:sz w:val="28"/>
          <w:lang w:val="en-US"/>
        </w:rPr>
        <w:t xml:space="preserve"> c</w:t>
      </w:r>
      <w:r w:rsidRPr="00841766">
        <w:rPr>
          <w:rFonts w:asciiTheme="minorHAnsi" w:hAnsiTheme="minorHAnsi"/>
          <w:sz w:val="28"/>
          <w:lang w:val="en-US"/>
        </w:rPr>
        <w:t>hallenges</w:t>
      </w:r>
      <w:bookmarkEnd w:id="19"/>
      <w:r w:rsidR="00AE27C1" w:rsidRPr="00841766">
        <w:rPr>
          <w:rFonts w:asciiTheme="minorHAnsi" w:hAnsiTheme="minorHAnsi"/>
          <w:sz w:val="28"/>
          <w:lang w:val="en-US"/>
        </w:rPr>
        <w:t xml:space="preserve"> </w:t>
      </w:r>
    </w:p>
    <w:p w14:paraId="68DB5063" w14:textId="049327FB" w:rsidR="0063397C" w:rsidRPr="00841766" w:rsidRDefault="0063397C" w:rsidP="00863184">
      <w:pPr>
        <w:jc w:val="both"/>
        <w:rPr>
          <w:rFonts w:cs="Arial"/>
          <w:sz w:val="22"/>
          <w:szCs w:val="22"/>
          <w:lang w:val="en-US"/>
        </w:rPr>
      </w:pPr>
      <w:r w:rsidRPr="00841766">
        <w:rPr>
          <w:rFonts w:cs="Arial"/>
          <w:bCs/>
          <w:sz w:val="22"/>
          <w:szCs w:val="22"/>
          <w:lang w:val="en-US"/>
        </w:rPr>
        <w:t xml:space="preserve">Leaving no one behind is a critical challenge facing Timor-Leste. </w:t>
      </w:r>
      <w:r>
        <w:rPr>
          <w:rFonts w:cs="Arial"/>
          <w:bCs/>
          <w:sz w:val="22"/>
          <w:szCs w:val="22"/>
          <w:lang w:val="en-US"/>
        </w:rPr>
        <w:t xml:space="preserve"> </w:t>
      </w:r>
      <w:r w:rsidRPr="00841766">
        <w:rPr>
          <w:rFonts w:cs="Arial"/>
          <w:bCs/>
          <w:sz w:val="22"/>
          <w:szCs w:val="22"/>
          <w:lang w:val="en-US"/>
        </w:rPr>
        <w:t xml:space="preserve">As the country strives to become an upper middle-income country by 2030, systematically addressing drivers of </w:t>
      </w:r>
      <w:r w:rsidRPr="00841766">
        <w:rPr>
          <w:rFonts w:cs="Arial"/>
          <w:sz w:val="22"/>
          <w:szCs w:val="22"/>
          <w:lang w:val="en-US"/>
        </w:rPr>
        <w:t xml:space="preserve">inequality, marginalization and </w:t>
      </w:r>
      <w:r w:rsidRPr="00841766">
        <w:rPr>
          <w:rFonts w:cs="Arial"/>
          <w:bCs/>
          <w:sz w:val="22"/>
          <w:szCs w:val="22"/>
          <w:lang w:val="en-US"/>
        </w:rPr>
        <w:t>exclusion will be vital to ensure inclusion of the most vulnerable</w:t>
      </w:r>
      <w:r w:rsidRPr="00841766">
        <w:rPr>
          <w:rFonts w:cs="Arial"/>
          <w:sz w:val="22"/>
          <w:szCs w:val="22"/>
          <w:lang w:val="en-US"/>
        </w:rPr>
        <w:t xml:space="preserve">. </w:t>
      </w:r>
      <w:r>
        <w:rPr>
          <w:rFonts w:cs="Arial"/>
          <w:sz w:val="22"/>
          <w:szCs w:val="22"/>
          <w:lang w:val="en-US"/>
        </w:rPr>
        <w:t xml:space="preserve"> </w:t>
      </w:r>
      <w:r w:rsidRPr="00841766">
        <w:rPr>
          <w:rFonts w:cs="Arial"/>
          <w:sz w:val="22"/>
          <w:szCs w:val="22"/>
          <w:lang w:val="en-US"/>
        </w:rPr>
        <w:t xml:space="preserve">Groups at greatest risk of being left behind depend on the geographical location, their vulnerability to shocks, their socio-economic status, </w:t>
      </w:r>
      <w:r w:rsidRPr="00841766">
        <w:rPr>
          <w:rFonts w:cs="Arial"/>
          <w:sz w:val="22"/>
          <w:szCs w:val="22"/>
          <w:lang w:val="en-US"/>
        </w:rPr>
        <w:lastRenderedPageBreak/>
        <w:t xml:space="preserve">their sex, their age, and their disability. </w:t>
      </w:r>
      <w:r>
        <w:rPr>
          <w:rFonts w:cs="Arial"/>
          <w:sz w:val="22"/>
          <w:szCs w:val="22"/>
          <w:lang w:val="en-US"/>
        </w:rPr>
        <w:t xml:space="preserve"> </w:t>
      </w:r>
      <w:r w:rsidRPr="00841766">
        <w:rPr>
          <w:rFonts w:cs="Arial"/>
          <w:sz w:val="22"/>
          <w:szCs w:val="22"/>
          <w:lang w:val="en-US"/>
        </w:rPr>
        <w:t>The CCA identified the following groups as the ones that are most at</w:t>
      </w:r>
      <w:r>
        <w:rPr>
          <w:rFonts w:cs="Arial"/>
          <w:sz w:val="22"/>
          <w:szCs w:val="22"/>
          <w:lang w:val="en-US"/>
        </w:rPr>
        <w:t>-</w:t>
      </w:r>
      <w:r w:rsidRPr="00841766">
        <w:rPr>
          <w:rFonts w:cs="Arial"/>
          <w:sz w:val="22"/>
          <w:szCs w:val="22"/>
          <w:lang w:val="en-US"/>
        </w:rPr>
        <w:t xml:space="preserve">risk or </w:t>
      </w:r>
      <w:r>
        <w:rPr>
          <w:rFonts w:cs="Arial"/>
          <w:sz w:val="22"/>
          <w:szCs w:val="22"/>
          <w:lang w:val="en-US"/>
        </w:rPr>
        <w:t xml:space="preserve">are </w:t>
      </w:r>
      <w:r w:rsidRPr="00841766">
        <w:rPr>
          <w:rFonts w:cs="Arial"/>
          <w:sz w:val="22"/>
          <w:szCs w:val="22"/>
          <w:lang w:val="en-US"/>
        </w:rPr>
        <w:t>already being left behind: children, women and girls, persons with disabilities</w:t>
      </w:r>
      <w:r w:rsidR="002C3E9F">
        <w:rPr>
          <w:rFonts w:cs="Arial"/>
          <w:sz w:val="22"/>
          <w:szCs w:val="22"/>
          <w:lang w:val="en-US"/>
        </w:rPr>
        <w:t xml:space="preserve"> and people with long-term illnesses</w:t>
      </w:r>
      <w:r w:rsidRPr="00841766">
        <w:rPr>
          <w:rFonts w:cs="Arial"/>
          <w:sz w:val="22"/>
          <w:szCs w:val="22"/>
          <w:lang w:val="en-US"/>
        </w:rPr>
        <w:t xml:space="preserve">, migrants, and households in </w:t>
      </w:r>
      <w:r w:rsidR="002C3E9F">
        <w:rPr>
          <w:rFonts w:cs="Arial"/>
          <w:sz w:val="22"/>
          <w:szCs w:val="22"/>
          <w:lang w:val="en-US"/>
        </w:rPr>
        <w:t xml:space="preserve">remote </w:t>
      </w:r>
      <w:r w:rsidRPr="00841766">
        <w:rPr>
          <w:rFonts w:cs="Arial"/>
          <w:sz w:val="22"/>
          <w:szCs w:val="22"/>
          <w:lang w:val="en-US"/>
        </w:rPr>
        <w:t xml:space="preserve">rural areas. </w:t>
      </w:r>
      <w:r>
        <w:rPr>
          <w:rFonts w:cs="Arial"/>
          <w:sz w:val="22"/>
          <w:szCs w:val="22"/>
          <w:lang w:val="en-US"/>
        </w:rPr>
        <w:t xml:space="preserve"> </w:t>
      </w:r>
      <w:r w:rsidRPr="00841766">
        <w:rPr>
          <w:rFonts w:cs="Arial"/>
          <w:sz w:val="22"/>
          <w:szCs w:val="22"/>
          <w:lang w:val="en-US"/>
        </w:rPr>
        <w:t>More effort is needed to overcome the legal, institutional and social barriers to access to socio-economic</w:t>
      </w:r>
      <w:r>
        <w:rPr>
          <w:rFonts w:cs="Arial"/>
          <w:sz w:val="22"/>
          <w:szCs w:val="22"/>
          <w:lang w:val="en-US"/>
        </w:rPr>
        <w:t xml:space="preserve"> and political</w:t>
      </w:r>
      <w:r w:rsidRPr="00841766">
        <w:rPr>
          <w:rFonts w:cs="Arial"/>
          <w:sz w:val="22"/>
          <w:szCs w:val="22"/>
          <w:lang w:val="en-US"/>
        </w:rPr>
        <w:t xml:space="preserve"> rights of these groups. </w:t>
      </w:r>
    </w:p>
    <w:p w14:paraId="40A7D7C8" w14:textId="77777777" w:rsidR="0063397C" w:rsidRPr="00841766" w:rsidRDefault="0063397C" w:rsidP="00863184">
      <w:pPr>
        <w:pStyle w:val="NoSpacing"/>
        <w:jc w:val="both"/>
      </w:pPr>
    </w:p>
    <w:p w14:paraId="64C0DB41" w14:textId="37B1668D" w:rsidR="00B254D7" w:rsidRPr="00841766" w:rsidRDefault="00863184" w:rsidP="00863184">
      <w:pPr>
        <w:spacing w:after="120"/>
        <w:ind w:right="-11"/>
        <w:jc w:val="both"/>
        <w:rPr>
          <w:rFonts w:cs="Arial"/>
          <w:color w:val="000000" w:themeColor="text1"/>
          <w:sz w:val="22"/>
          <w:szCs w:val="22"/>
          <w:lang w:val="en-US"/>
        </w:rPr>
      </w:pPr>
      <w:r>
        <w:rPr>
          <w:rFonts w:cs="Arial"/>
          <w:color w:val="000000" w:themeColor="text1"/>
          <w:sz w:val="22"/>
          <w:szCs w:val="22"/>
          <w:lang w:val="en-US"/>
        </w:rPr>
        <w:t>As identified in the VNR, c</w:t>
      </w:r>
      <w:r w:rsidR="00B254D7" w:rsidRPr="00841766">
        <w:rPr>
          <w:rFonts w:cs="Arial"/>
          <w:color w:val="000000" w:themeColor="text1"/>
          <w:sz w:val="22"/>
          <w:szCs w:val="22"/>
          <w:lang w:val="en-US"/>
        </w:rPr>
        <w:t xml:space="preserve">hallenges </w:t>
      </w:r>
      <w:r w:rsidR="00834D84">
        <w:rPr>
          <w:rFonts w:cs="Arial"/>
          <w:color w:val="000000" w:themeColor="text1"/>
          <w:sz w:val="22"/>
          <w:szCs w:val="22"/>
          <w:lang w:val="en-US"/>
        </w:rPr>
        <w:t xml:space="preserve">hampering the implementation of policies and reforms and slowing down progress towards achieving </w:t>
      </w:r>
      <w:r w:rsidR="00B254D7" w:rsidRPr="00841766">
        <w:rPr>
          <w:rFonts w:cs="Arial"/>
          <w:color w:val="000000" w:themeColor="text1"/>
          <w:sz w:val="22"/>
          <w:szCs w:val="22"/>
          <w:lang w:val="en-US"/>
        </w:rPr>
        <w:t>the 2030 Agenda include</w:t>
      </w:r>
      <w:r w:rsidR="00B23657">
        <w:rPr>
          <w:rFonts w:cs="Arial"/>
          <w:color w:val="000000" w:themeColor="text1"/>
          <w:sz w:val="22"/>
          <w:szCs w:val="22"/>
          <w:lang w:val="en-US"/>
        </w:rPr>
        <w:t>:</w:t>
      </w:r>
      <w:r w:rsidR="00B254D7" w:rsidRPr="00841766">
        <w:rPr>
          <w:rFonts w:cs="Arial"/>
          <w:color w:val="000000" w:themeColor="text1"/>
          <w:sz w:val="22"/>
          <w:szCs w:val="22"/>
          <w:lang w:val="en-US"/>
        </w:rPr>
        <w:t xml:space="preserve"> </w:t>
      </w:r>
      <w:r w:rsidR="00B254D7" w:rsidRPr="00841766">
        <w:rPr>
          <w:rFonts w:cs="Arial"/>
          <w:bCs/>
          <w:sz w:val="22"/>
          <w:szCs w:val="22"/>
          <w:lang w:val="en-US"/>
        </w:rPr>
        <w:t>availability of accurate and timely disaggregated data</w:t>
      </w:r>
      <w:r>
        <w:rPr>
          <w:rFonts w:cs="Arial"/>
          <w:bCs/>
          <w:sz w:val="22"/>
          <w:szCs w:val="22"/>
          <w:lang w:val="en-US"/>
        </w:rPr>
        <w:t xml:space="preserve"> and analysis</w:t>
      </w:r>
      <w:r w:rsidR="00B254D7" w:rsidRPr="00841766">
        <w:rPr>
          <w:rFonts w:cs="Arial"/>
          <w:sz w:val="22"/>
          <w:szCs w:val="22"/>
          <w:lang w:val="en-US"/>
        </w:rPr>
        <w:t xml:space="preserve">; </w:t>
      </w:r>
      <w:r w:rsidR="00B254D7" w:rsidRPr="00841766">
        <w:rPr>
          <w:rFonts w:cs="Arial"/>
          <w:bCs/>
          <w:sz w:val="22"/>
          <w:szCs w:val="22"/>
          <w:lang w:val="en-US"/>
        </w:rPr>
        <w:t>technical and institutional capacity</w:t>
      </w:r>
      <w:r>
        <w:rPr>
          <w:rFonts w:cs="Arial"/>
          <w:bCs/>
          <w:sz w:val="22"/>
          <w:szCs w:val="22"/>
          <w:lang w:val="en-US"/>
        </w:rPr>
        <w:t>,</w:t>
      </w:r>
      <w:r w:rsidR="00B254D7" w:rsidRPr="00841766">
        <w:rPr>
          <w:rFonts w:cs="Arial"/>
          <w:bCs/>
          <w:sz w:val="22"/>
          <w:szCs w:val="22"/>
          <w:lang w:val="en-US"/>
        </w:rPr>
        <w:t xml:space="preserve"> and sector financing; inter-sectorial coordination and policy coherence; institutionalization and monitoring of SDGs</w:t>
      </w:r>
      <w:r w:rsidR="003E1AE6">
        <w:rPr>
          <w:rFonts w:cs="Arial"/>
          <w:bCs/>
          <w:sz w:val="22"/>
          <w:szCs w:val="22"/>
          <w:lang w:val="en-US"/>
        </w:rPr>
        <w:t>;</w:t>
      </w:r>
      <w:r w:rsidR="00B254D7" w:rsidRPr="00841766">
        <w:rPr>
          <w:rFonts w:cs="Arial"/>
          <w:bCs/>
          <w:sz w:val="22"/>
          <w:szCs w:val="22"/>
          <w:lang w:val="en-US"/>
        </w:rPr>
        <w:t xml:space="preserve"> and</w:t>
      </w:r>
      <w:r w:rsidR="00203BE0">
        <w:rPr>
          <w:rFonts w:cs="Arial"/>
          <w:bCs/>
          <w:sz w:val="22"/>
          <w:szCs w:val="22"/>
          <w:lang w:val="en-US"/>
        </w:rPr>
        <w:t xml:space="preserve"> </w:t>
      </w:r>
      <w:r w:rsidR="00B254D7" w:rsidRPr="00841766">
        <w:rPr>
          <w:rFonts w:cs="Arial"/>
          <w:bCs/>
          <w:sz w:val="22"/>
          <w:szCs w:val="22"/>
          <w:lang w:val="en-US"/>
        </w:rPr>
        <w:t xml:space="preserve">partnerships and </w:t>
      </w:r>
      <w:r>
        <w:rPr>
          <w:rFonts w:cs="Arial"/>
          <w:bCs/>
          <w:sz w:val="22"/>
          <w:szCs w:val="22"/>
          <w:lang w:val="en-US"/>
        </w:rPr>
        <w:t>citizen participation</w:t>
      </w:r>
      <w:r w:rsidR="00B254D7" w:rsidRPr="00841766">
        <w:rPr>
          <w:rFonts w:cs="Arial"/>
          <w:bCs/>
          <w:sz w:val="22"/>
          <w:szCs w:val="22"/>
          <w:lang w:val="en-US"/>
        </w:rPr>
        <w:t>.</w:t>
      </w:r>
      <w:r w:rsidR="00B254D7" w:rsidRPr="00841766">
        <w:rPr>
          <w:rFonts w:cs="Arial"/>
          <w:b/>
          <w:bCs/>
          <w:sz w:val="22"/>
          <w:szCs w:val="22"/>
          <w:lang w:val="en-US"/>
        </w:rPr>
        <w:t xml:space="preserve"> </w:t>
      </w:r>
    </w:p>
    <w:p w14:paraId="31D49F6A" w14:textId="206731AF" w:rsidR="00B254D7" w:rsidRPr="00841766" w:rsidRDefault="00B254D7" w:rsidP="00863184">
      <w:pPr>
        <w:autoSpaceDE w:val="0"/>
        <w:autoSpaceDN w:val="0"/>
        <w:adjustRightInd w:val="0"/>
        <w:spacing w:after="120"/>
        <w:ind w:right="-11"/>
        <w:jc w:val="both"/>
        <w:rPr>
          <w:rFonts w:cs="Arial"/>
          <w:sz w:val="22"/>
          <w:szCs w:val="22"/>
          <w:lang w:val="en-US"/>
        </w:rPr>
      </w:pPr>
      <w:r w:rsidRPr="00841766">
        <w:rPr>
          <w:rFonts w:eastAsia="Arial" w:cs="Arial"/>
          <w:sz w:val="22"/>
          <w:szCs w:val="22"/>
          <w:lang w:val="en-US" w:eastAsia="en-GB"/>
        </w:rPr>
        <w:t xml:space="preserve">While </w:t>
      </w:r>
      <w:r w:rsidR="002C3E9F">
        <w:rPr>
          <w:rFonts w:eastAsia="Arial" w:cs="Arial"/>
          <w:sz w:val="22"/>
          <w:szCs w:val="22"/>
          <w:lang w:val="en-US" w:eastAsia="en-GB"/>
        </w:rPr>
        <w:t>some</w:t>
      </w:r>
      <w:r w:rsidRPr="00841766">
        <w:rPr>
          <w:rFonts w:eastAsia="Arial" w:cs="Arial"/>
          <w:sz w:val="22"/>
          <w:szCs w:val="22"/>
          <w:lang w:val="en-US" w:eastAsia="en-GB"/>
        </w:rPr>
        <w:t xml:space="preserve"> improvements have been made </w:t>
      </w:r>
      <w:r w:rsidR="000720BD" w:rsidRPr="00841766">
        <w:rPr>
          <w:rFonts w:eastAsia="Arial" w:cs="Arial"/>
          <w:sz w:val="22"/>
          <w:szCs w:val="22"/>
          <w:lang w:val="en-US" w:eastAsia="en-GB"/>
        </w:rPr>
        <w:t>in regard to</w:t>
      </w:r>
      <w:r w:rsidRPr="00841766">
        <w:rPr>
          <w:rFonts w:eastAsia="Arial" w:cs="Arial"/>
          <w:sz w:val="22"/>
          <w:szCs w:val="22"/>
          <w:lang w:val="en-US" w:eastAsia="en-GB"/>
        </w:rPr>
        <w:t xml:space="preserve"> gender disaggregation</w:t>
      </w:r>
      <w:r w:rsidR="00863184">
        <w:rPr>
          <w:rFonts w:eastAsia="Arial" w:cs="Arial"/>
          <w:sz w:val="22"/>
          <w:szCs w:val="22"/>
          <w:lang w:val="en-US" w:eastAsia="en-GB"/>
        </w:rPr>
        <w:t xml:space="preserve"> of data</w:t>
      </w:r>
      <w:r w:rsidRPr="00841766">
        <w:rPr>
          <w:rFonts w:eastAsia="Arial" w:cs="Arial"/>
          <w:sz w:val="22"/>
          <w:szCs w:val="22"/>
          <w:lang w:val="en-US" w:eastAsia="en-GB"/>
        </w:rPr>
        <w:t xml:space="preserve">, the absence of reliable and regular disaggregated data (income, </w:t>
      </w:r>
      <w:r w:rsidR="0005536B" w:rsidRPr="00841766">
        <w:rPr>
          <w:rFonts w:eastAsia="Arial" w:cs="Arial"/>
          <w:sz w:val="22"/>
          <w:szCs w:val="22"/>
          <w:lang w:val="en-US" w:eastAsia="en-GB"/>
        </w:rPr>
        <w:t>sex</w:t>
      </w:r>
      <w:r w:rsidRPr="00841766">
        <w:rPr>
          <w:rFonts w:eastAsia="Arial" w:cs="Arial"/>
          <w:sz w:val="22"/>
          <w:szCs w:val="22"/>
          <w:lang w:val="en-US" w:eastAsia="en-GB"/>
        </w:rPr>
        <w:t xml:space="preserve">, age, migratory status, disability, social groupings and geographic location) in </w:t>
      </w:r>
      <w:r w:rsidR="005C5354">
        <w:rPr>
          <w:rFonts w:eastAsia="Arial" w:cs="Arial"/>
          <w:sz w:val="22"/>
          <w:szCs w:val="22"/>
          <w:lang w:val="en-US" w:eastAsia="en-GB"/>
        </w:rPr>
        <w:t>certain</w:t>
      </w:r>
      <w:r w:rsidRPr="00841766">
        <w:rPr>
          <w:rFonts w:eastAsia="Arial" w:cs="Arial"/>
          <w:sz w:val="22"/>
          <w:szCs w:val="22"/>
          <w:lang w:val="en-US" w:eastAsia="en-GB"/>
        </w:rPr>
        <w:t xml:space="preserve"> national surveys and government administrative data is a key blockage to evidence-based policy making and </w:t>
      </w:r>
      <w:r w:rsidR="00842C8C" w:rsidRPr="00841766">
        <w:rPr>
          <w:rFonts w:eastAsia="Arial" w:cs="Arial"/>
          <w:sz w:val="22"/>
          <w:szCs w:val="22"/>
          <w:lang w:val="en-US" w:eastAsia="en-GB"/>
        </w:rPr>
        <w:t xml:space="preserve">establishing </w:t>
      </w:r>
      <w:r w:rsidRPr="00841766">
        <w:rPr>
          <w:rFonts w:eastAsia="Arial" w:cs="Arial"/>
          <w:sz w:val="22"/>
          <w:szCs w:val="22"/>
          <w:lang w:val="en-US" w:eastAsia="en-GB"/>
        </w:rPr>
        <w:t xml:space="preserve">future projections necessary for government planning. </w:t>
      </w:r>
      <w:r w:rsidR="003E1AE6">
        <w:rPr>
          <w:rFonts w:eastAsia="Arial" w:cs="Arial"/>
          <w:sz w:val="22"/>
          <w:szCs w:val="22"/>
          <w:lang w:val="en-US" w:eastAsia="en-GB"/>
        </w:rPr>
        <w:t xml:space="preserve"> </w:t>
      </w:r>
      <w:r w:rsidRPr="00841766">
        <w:rPr>
          <w:rFonts w:eastAsia="Arial" w:cs="Arial"/>
          <w:sz w:val="22"/>
          <w:szCs w:val="22"/>
          <w:lang w:val="en-US" w:eastAsia="en-GB"/>
        </w:rPr>
        <w:t xml:space="preserve">While the data gaps are clearly recognized to hinder the progress of the country towards the SDGs, the technical </w:t>
      </w:r>
      <w:r w:rsidR="003E1AE6">
        <w:rPr>
          <w:rFonts w:eastAsia="Arial" w:cs="Arial"/>
          <w:sz w:val="22"/>
          <w:szCs w:val="22"/>
          <w:lang w:val="en-US" w:eastAsia="en-GB"/>
        </w:rPr>
        <w:t>and institutional capacities</w:t>
      </w:r>
      <w:r w:rsidRPr="00841766">
        <w:rPr>
          <w:rFonts w:cs="Arial"/>
          <w:sz w:val="22"/>
          <w:szCs w:val="22"/>
          <w:lang w:val="en-US"/>
        </w:rPr>
        <w:t xml:space="preserve"> in ministries, government bodies and offices to plan</w:t>
      </w:r>
      <w:r w:rsidR="003E1AE6">
        <w:rPr>
          <w:rFonts w:cs="Arial"/>
          <w:sz w:val="22"/>
          <w:szCs w:val="22"/>
          <w:lang w:val="en-US"/>
        </w:rPr>
        <w:t>,</w:t>
      </w:r>
      <w:r w:rsidRPr="00841766">
        <w:rPr>
          <w:rFonts w:cs="Arial"/>
          <w:sz w:val="22"/>
          <w:szCs w:val="22"/>
          <w:lang w:val="en-US"/>
        </w:rPr>
        <w:t xml:space="preserve"> allocate resources </w:t>
      </w:r>
      <w:r w:rsidR="003E1AE6">
        <w:rPr>
          <w:rFonts w:cs="Arial"/>
          <w:sz w:val="22"/>
          <w:szCs w:val="22"/>
          <w:lang w:val="en-US"/>
        </w:rPr>
        <w:t>and undertake</w:t>
      </w:r>
      <w:r w:rsidRPr="00841766">
        <w:rPr>
          <w:rFonts w:cs="Arial"/>
          <w:sz w:val="22"/>
          <w:szCs w:val="22"/>
          <w:lang w:val="en-US"/>
        </w:rPr>
        <w:t xml:space="preserve"> data collection</w:t>
      </w:r>
      <w:r w:rsidR="003E1AE6">
        <w:rPr>
          <w:rFonts w:cs="Arial"/>
          <w:sz w:val="22"/>
          <w:szCs w:val="22"/>
          <w:lang w:val="en-US"/>
        </w:rPr>
        <w:t xml:space="preserve">, data analysis, monitoring and reporting </w:t>
      </w:r>
      <w:r w:rsidRPr="00841766">
        <w:rPr>
          <w:rFonts w:cs="Arial"/>
          <w:sz w:val="22"/>
          <w:szCs w:val="22"/>
          <w:lang w:val="en-US"/>
        </w:rPr>
        <w:t>remain weak.</w:t>
      </w:r>
    </w:p>
    <w:p w14:paraId="44F468DE" w14:textId="02BA9CB1" w:rsidR="00B254D7" w:rsidRPr="00841766" w:rsidRDefault="00B254D7" w:rsidP="00863184">
      <w:pPr>
        <w:autoSpaceDE w:val="0"/>
        <w:autoSpaceDN w:val="0"/>
        <w:adjustRightInd w:val="0"/>
        <w:spacing w:after="120"/>
        <w:ind w:right="-11"/>
        <w:jc w:val="both"/>
        <w:rPr>
          <w:rFonts w:cs="Arial"/>
          <w:sz w:val="22"/>
          <w:szCs w:val="22"/>
          <w:lang w:val="en-US"/>
        </w:rPr>
      </w:pPr>
      <w:r w:rsidRPr="00841766">
        <w:rPr>
          <w:rFonts w:cs="Arial"/>
          <w:bCs/>
          <w:sz w:val="22"/>
          <w:szCs w:val="22"/>
          <w:lang w:val="en-US"/>
        </w:rPr>
        <w:t>Limited sector budgets and lack of technical and institutional capacity among sector ministries to manage reforms to accelerate progress on the SDGs</w:t>
      </w:r>
      <w:r w:rsidR="00401819">
        <w:rPr>
          <w:rFonts w:cs="Arial"/>
          <w:bCs/>
          <w:sz w:val="22"/>
          <w:szCs w:val="22"/>
          <w:lang w:val="en-US"/>
        </w:rPr>
        <w:t xml:space="preserve"> remains a core challenge.</w:t>
      </w:r>
      <w:r w:rsidR="0092343D">
        <w:rPr>
          <w:rFonts w:cs="Arial"/>
          <w:bCs/>
          <w:sz w:val="22"/>
          <w:szCs w:val="22"/>
          <w:lang w:val="en-US"/>
        </w:rPr>
        <w:t xml:space="preserve">  </w:t>
      </w:r>
      <w:r w:rsidR="00401819">
        <w:rPr>
          <w:rFonts w:cs="Arial"/>
          <w:bCs/>
          <w:sz w:val="22"/>
          <w:szCs w:val="22"/>
          <w:lang w:val="en-US"/>
        </w:rPr>
        <w:t>L</w:t>
      </w:r>
      <w:r w:rsidR="00E100A8" w:rsidRPr="00841766">
        <w:rPr>
          <w:rFonts w:cs="Arial"/>
          <w:bCs/>
          <w:sz w:val="22"/>
          <w:szCs w:val="22"/>
          <w:lang w:val="en-US"/>
        </w:rPr>
        <w:t>imited</w:t>
      </w:r>
      <w:r w:rsidRPr="00841766">
        <w:rPr>
          <w:rFonts w:cs="Arial"/>
          <w:sz w:val="22"/>
          <w:szCs w:val="22"/>
          <w:lang w:val="en-US"/>
        </w:rPr>
        <w:t xml:space="preserve"> inter-sectorial coordination and poor policy coherence </w:t>
      </w:r>
      <w:r w:rsidR="00401819" w:rsidRPr="00841766">
        <w:rPr>
          <w:rFonts w:cs="Arial"/>
          <w:sz w:val="22"/>
          <w:szCs w:val="22"/>
          <w:lang w:val="en-US"/>
        </w:rPr>
        <w:t>hinder</w:t>
      </w:r>
      <w:r w:rsidR="00401819">
        <w:rPr>
          <w:rFonts w:cs="Arial"/>
          <w:sz w:val="22"/>
          <w:szCs w:val="22"/>
          <w:lang w:val="en-US"/>
        </w:rPr>
        <w:t>s</w:t>
      </w:r>
      <w:r w:rsidR="00401819" w:rsidRPr="00841766">
        <w:rPr>
          <w:rFonts w:cs="Arial"/>
          <w:sz w:val="22"/>
          <w:szCs w:val="22"/>
          <w:lang w:val="en-US"/>
        </w:rPr>
        <w:t xml:space="preserve"> </w:t>
      </w:r>
      <w:r w:rsidRPr="00841766">
        <w:rPr>
          <w:rFonts w:cs="Arial"/>
          <w:sz w:val="22"/>
          <w:szCs w:val="22"/>
          <w:lang w:val="en-US"/>
        </w:rPr>
        <w:t xml:space="preserve">the capacity of the country to progress towards the implementation of the SDGs. </w:t>
      </w:r>
      <w:r w:rsidR="00CD638F">
        <w:rPr>
          <w:rFonts w:cs="Arial"/>
          <w:sz w:val="22"/>
          <w:szCs w:val="22"/>
          <w:lang w:val="en-US"/>
        </w:rPr>
        <w:t xml:space="preserve"> </w:t>
      </w:r>
      <w:r w:rsidRPr="00841766">
        <w:rPr>
          <w:rFonts w:cs="Arial"/>
          <w:sz w:val="22"/>
          <w:szCs w:val="22"/>
          <w:lang w:val="en-US"/>
        </w:rPr>
        <w:t xml:space="preserve">While many ministries need additional </w:t>
      </w:r>
      <w:r w:rsidR="002C3E9F">
        <w:rPr>
          <w:rFonts w:cs="Arial"/>
          <w:sz w:val="22"/>
          <w:szCs w:val="22"/>
          <w:lang w:val="en-US"/>
        </w:rPr>
        <w:t xml:space="preserve">human and </w:t>
      </w:r>
      <w:r w:rsidRPr="00841766">
        <w:rPr>
          <w:rFonts w:cs="Arial"/>
          <w:sz w:val="22"/>
          <w:szCs w:val="22"/>
          <w:lang w:val="en-US"/>
        </w:rPr>
        <w:t xml:space="preserve">financial resources to </w:t>
      </w:r>
      <w:r w:rsidR="00CD638F">
        <w:rPr>
          <w:rFonts w:cs="Arial"/>
          <w:sz w:val="22"/>
          <w:szCs w:val="22"/>
          <w:lang w:val="en-US"/>
        </w:rPr>
        <w:t>implement</w:t>
      </w:r>
      <w:r w:rsidRPr="00841766">
        <w:rPr>
          <w:rFonts w:cs="Arial"/>
          <w:sz w:val="22"/>
          <w:szCs w:val="22"/>
          <w:lang w:val="en-US"/>
        </w:rPr>
        <w:t xml:space="preserve"> their action plans or strategies, </w:t>
      </w:r>
      <w:r w:rsidR="009A25F1">
        <w:rPr>
          <w:rFonts w:cs="Arial"/>
          <w:sz w:val="22"/>
          <w:szCs w:val="22"/>
          <w:lang w:val="en-US"/>
        </w:rPr>
        <w:t xml:space="preserve">most </w:t>
      </w:r>
      <w:r w:rsidRPr="00841766">
        <w:rPr>
          <w:rFonts w:cs="Arial"/>
          <w:sz w:val="22"/>
          <w:szCs w:val="22"/>
          <w:lang w:val="en-US"/>
        </w:rPr>
        <w:t xml:space="preserve">have weak institutional and absorptive capacity to cope with extra funding, execute </w:t>
      </w:r>
      <w:r w:rsidR="002C3E9F">
        <w:rPr>
          <w:rFonts w:cs="Arial"/>
          <w:sz w:val="22"/>
          <w:szCs w:val="22"/>
          <w:lang w:val="en-US"/>
        </w:rPr>
        <w:t xml:space="preserve">allocated </w:t>
      </w:r>
      <w:r w:rsidRPr="00841766">
        <w:rPr>
          <w:rFonts w:cs="Arial"/>
          <w:sz w:val="22"/>
          <w:szCs w:val="22"/>
          <w:lang w:val="en-US"/>
        </w:rPr>
        <w:t>budget</w:t>
      </w:r>
      <w:r w:rsidR="002C3E9F">
        <w:rPr>
          <w:rFonts w:cs="Arial"/>
          <w:sz w:val="22"/>
          <w:szCs w:val="22"/>
          <w:lang w:val="en-US"/>
        </w:rPr>
        <w:t>s</w:t>
      </w:r>
      <w:r w:rsidRPr="00841766">
        <w:rPr>
          <w:rFonts w:cs="Arial"/>
          <w:sz w:val="22"/>
          <w:szCs w:val="22"/>
          <w:lang w:val="en-US"/>
        </w:rPr>
        <w:t xml:space="preserve">, and effectively monitor </w:t>
      </w:r>
      <w:r w:rsidR="005C5354">
        <w:rPr>
          <w:rFonts w:cs="Arial"/>
          <w:sz w:val="22"/>
          <w:szCs w:val="22"/>
          <w:lang w:val="en-US"/>
        </w:rPr>
        <w:t xml:space="preserve">implementation </w:t>
      </w:r>
      <w:r w:rsidR="002C3E9F">
        <w:rPr>
          <w:rFonts w:cs="Arial"/>
          <w:sz w:val="22"/>
          <w:szCs w:val="22"/>
          <w:lang w:val="en-US"/>
        </w:rPr>
        <w:t>of plans</w:t>
      </w:r>
      <w:r w:rsidRPr="00841766">
        <w:rPr>
          <w:rFonts w:cs="Arial"/>
          <w:sz w:val="22"/>
          <w:szCs w:val="22"/>
          <w:lang w:val="en-US"/>
        </w:rPr>
        <w:t xml:space="preserve">. </w:t>
      </w:r>
      <w:r w:rsidR="00CD638F">
        <w:rPr>
          <w:rFonts w:cs="Arial"/>
          <w:sz w:val="22"/>
          <w:szCs w:val="22"/>
          <w:lang w:val="en-US"/>
        </w:rPr>
        <w:t xml:space="preserve"> </w:t>
      </w:r>
      <w:r w:rsidRPr="00841766">
        <w:rPr>
          <w:rFonts w:cs="Arial"/>
          <w:sz w:val="22"/>
          <w:szCs w:val="22"/>
          <w:lang w:val="en-US"/>
        </w:rPr>
        <w:t>Although several important coordination mechanisms have already been established to work across sectors</w:t>
      </w:r>
      <w:r w:rsidR="00E100A8" w:rsidRPr="00841766">
        <w:rPr>
          <w:rFonts w:cs="Arial"/>
          <w:sz w:val="22"/>
          <w:szCs w:val="22"/>
          <w:lang w:val="en-US"/>
        </w:rPr>
        <w:t xml:space="preserve"> (such as KONSSANTIL, the National Council for Food Security and Sovereignty of Timor-Leste), showing a certain level of Government</w:t>
      </w:r>
      <w:r w:rsidR="00863184">
        <w:rPr>
          <w:rFonts w:cs="Arial"/>
          <w:sz w:val="22"/>
          <w:szCs w:val="22"/>
          <w:lang w:val="en-US"/>
        </w:rPr>
        <w:t>’</w:t>
      </w:r>
      <w:r w:rsidR="00E100A8" w:rsidRPr="00841766">
        <w:rPr>
          <w:rFonts w:cs="Arial"/>
          <w:sz w:val="22"/>
          <w:szCs w:val="22"/>
          <w:lang w:val="en-US"/>
        </w:rPr>
        <w:t>s commitment,</w:t>
      </w:r>
      <w:r w:rsidRPr="00841766">
        <w:rPr>
          <w:rFonts w:cs="Arial"/>
          <w:sz w:val="22"/>
          <w:szCs w:val="22"/>
          <w:lang w:val="en-US"/>
        </w:rPr>
        <w:t xml:space="preserve"> their functioning is poor, with weak legal basis and </w:t>
      </w:r>
      <w:r w:rsidR="00401819">
        <w:rPr>
          <w:rFonts w:cs="Arial"/>
          <w:sz w:val="22"/>
          <w:szCs w:val="22"/>
          <w:lang w:val="en-US"/>
        </w:rPr>
        <w:t>insufficient</w:t>
      </w:r>
      <w:r w:rsidR="00401819" w:rsidRPr="00841766">
        <w:rPr>
          <w:rFonts w:cs="Arial"/>
          <w:sz w:val="22"/>
          <w:szCs w:val="22"/>
          <w:lang w:val="en-US"/>
        </w:rPr>
        <w:t xml:space="preserve"> </w:t>
      </w:r>
      <w:r w:rsidRPr="00841766">
        <w:rPr>
          <w:rFonts w:cs="Arial"/>
          <w:sz w:val="22"/>
          <w:szCs w:val="22"/>
          <w:lang w:val="en-US"/>
        </w:rPr>
        <w:t>understanding of the role of each member</w:t>
      </w:r>
      <w:r w:rsidR="005C5354">
        <w:rPr>
          <w:rFonts w:cs="Arial"/>
          <w:sz w:val="22"/>
          <w:szCs w:val="22"/>
          <w:lang w:val="en-US"/>
        </w:rPr>
        <w:t xml:space="preserve"> and institution</w:t>
      </w:r>
      <w:r w:rsidRPr="00841766">
        <w:rPr>
          <w:rFonts w:cs="Arial"/>
          <w:sz w:val="22"/>
          <w:szCs w:val="22"/>
          <w:lang w:val="en-US"/>
        </w:rPr>
        <w:t xml:space="preserve"> in improving multi-sectoral action. </w:t>
      </w:r>
    </w:p>
    <w:p w14:paraId="08F0D4B5" w14:textId="2DF725FB" w:rsidR="00910DAF" w:rsidRDefault="00B254D7" w:rsidP="00863184">
      <w:pPr>
        <w:autoSpaceDE w:val="0"/>
        <w:autoSpaceDN w:val="0"/>
        <w:adjustRightInd w:val="0"/>
        <w:spacing w:after="360"/>
        <w:ind w:right="-11"/>
        <w:jc w:val="both"/>
        <w:rPr>
          <w:rFonts w:cs="Arial"/>
          <w:sz w:val="22"/>
          <w:szCs w:val="22"/>
          <w:lang w:val="en-US"/>
        </w:rPr>
      </w:pPr>
      <w:r w:rsidRPr="00841766">
        <w:rPr>
          <w:rFonts w:cs="Arial"/>
          <w:sz w:val="22"/>
          <w:szCs w:val="22"/>
          <w:lang w:val="en-US"/>
        </w:rPr>
        <w:t xml:space="preserve">Lack of an institutionalized structure for the SDGs makes it difficult for the country to monitor and implement the 2030 Agenda. </w:t>
      </w:r>
      <w:r w:rsidR="00ED3774">
        <w:rPr>
          <w:rFonts w:cs="Arial"/>
          <w:sz w:val="22"/>
          <w:szCs w:val="22"/>
          <w:lang w:val="en-US"/>
        </w:rPr>
        <w:t xml:space="preserve"> </w:t>
      </w:r>
      <w:r w:rsidRPr="00841766">
        <w:rPr>
          <w:rFonts w:cs="Arial"/>
          <w:sz w:val="22"/>
          <w:szCs w:val="22"/>
          <w:lang w:val="en-US"/>
        </w:rPr>
        <w:t>Although the SDG Working Group, composed of dedicated senior representatives from ministries, academia, civil society, private sector and youth, women and</w:t>
      </w:r>
      <w:r w:rsidR="00863184">
        <w:rPr>
          <w:rFonts w:cs="Arial"/>
          <w:sz w:val="22"/>
          <w:szCs w:val="22"/>
          <w:lang w:val="en-US"/>
        </w:rPr>
        <w:t xml:space="preserve"> people with disabilities</w:t>
      </w:r>
      <w:r w:rsidRPr="00841766">
        <w:rPr>
          <w:rFonts w:cs="Arial"/>
          <w:sz w:val="22"/>
          <w:szCs w:val="22"/>
          <w:lang w:val="en-US"/>
        </w:rPr>
        <w:t xml:space="preserve">, played a vital role in the 2019 VNR process, this structure does not have an officially recognized role in overseeing progress on the SDGs beyond the 2019 VNR process. </w:t>
      </w:r>
      <w:r w:rsidR="00ED3774">
        <w:rPr>
          <w:rFonts w:cs="Arial"/>
          <w:sz w:val="22"/>
          <w:szCs w:val="22"/>
          <w:lang w:val="en-US"/>
        </w:rPr>
        <w:t xml:space="preserve"> </w:t>
      </w:r>
      <w:r w:rsidRPr="00841766">
        <w:rPr>
          <w:rFonts w:cs="Arial"/>
          <w:sz w:val="22"/>
          <w:szCs w:val="22"/>
          <w:lang w:val="en-US"/>
        </w:rPr>
        <w:t>Although the Prime Minister’s Office</w:t>
      </w:r>
      <w:r w:rsidR="00ED3774">
        <w:rPr>
          <w:rFonts w:cs="Arial"/>
          <w:sz w:val="22"/>
          <w:szCs w:val="22"/>
          <w:lang w:val="en-US"/>
        </w:rPr>
        <w:t xml:space="preserve"> (UPMA)</w:t>
      </w:r>
      <w:r w:rsidRPr="00841766">
        <w:rPr>
          <w:rFonts w:cs="Arial"/>
          <w:sz w:val="22"/>
          <w:szCs w:val="22"/>
          <w:lang w:val="en-US"/>
        </w:rPr>
        <w:t xml:space="preserve"> is mandated to monitor the implementation of the SDP and align it with the SDGs, its role in ensuring the actual implementation of the SDGs is not </w:t>
      </w:r>
      <w:r w:rsidR="00ED3774">
        <w:rPr>
          <w:rFonts w:cs="Arial"/>
          <w:sz w:val="22"/>
          <w:szCs w:val="22"/>
          <w:lang w:val="en-US"/>
        </w:rPr>
        <w:t xml:space="preserve">yet </w:t>
      </w:r>
      <w:r w:rsidRPr="00841766">
        <w:rPr>
          <w:rFonts w:cs="Arial"/>
          <w:sz w:val="22"/>
          <w:szCs w:val="22"/>
          <w:lang w:val="en-US"/>
        </w:rPr>
        <w:t xml:space="preserve">clear. </w:t>
      </w:r>
      <w:r w:rsidR="00ED3774">
        <w:rPr>
          <w:rFonts w:cs="Arial"/>
          <w:sz w:val="22"/>
          <w:szCs w:val="22"/>
          <w:lang w:val="en-US"/>
        </w:rPr>
        <w:t xml:space="preserve"> </w:t>
      </w:r>
      <w:r w:rsidRPr="00841766">
        <w:rPr>
          <w:rFonts w:cs="Arial"/>
          <w:sz w:val="22"/>
          <w:szCs w:val="22"/>
          <w:lang w:val="en-US"/>
        </w:rPr>
        <w:t xml:space="preserve">The absence of a designated Ministry or unit responsible for the </w:t>
      </w:r>
      <w:r w:rsidR="00ED3774">
        <w:rPr>
          <w:rFonts w:cs="Arial"/>
          <w:sz w:val="22"/>
          <w:szCs w:val="22"/>
          <w:lang w:val="en-US"/>
        </w:rPr>
        <w:t xml:space="preserve">coordination of </w:t>
      </w:r>
      <w:r w:rsidRPr="00841766">
        <w:rPr>
          <w:rFonts w:cs="Arial"/>
          <w:sz w:val="22"/>
          <w:szCs w:val="22"/>
          <w:lang w:val="en-US"/>
        </w:rPr>
        <w:t xml:space="preserve">SDGs </w:t>
      </w:r>
      <w:r w:rsidR="00ED3774">
        <w:rPr>
          <w:rFonts w:cs="Arial"/>
          <w:sz w:val="22"/>
          <w:szCs w:val="22"/>
          <w:lang w:val="en-US"/>
        </w:rPr>
        <w:t xml:space="preserve">implementation </w:t>
      </w:r>
      <w:r w:rsidRPr="00841766">
        <w:rPr>
          <w:rFonts w:cs="Arial"/>
          <w:sz w:val="22"/>
          <w:szCs w:val="22"/>
          <w:lang w:val="en-US"/>
        </w:rPr>
        <w:t xml:space="preserve">is a </w:t>
      </w:r>
      <w:r w:rsidR="000354C1">
        <w:rPr>
          <w:rFonts w:cs="Arial"/>
          <w:sz w:val="22"/>
          <w:szCs w:val="22"/>
          <w:lang w:val="en-US"/>
        </w:rPr>
        <w:t>main</w:t>
      </w:r>
      <w:r w:rsidR="000354C1" w:rsidRPr="00841766">
        <w:rPr>
          <w:rFonts w:cs="Arial"/>
          <w:sz w:val="22"/>
          <w:szCs w:val="22"/>
          <w:lang w:val="en-US"/>
        </w:rPr>
        <w:t xml:space="preserve"> </w:t>
      </w:r>
      <w:r w:rsidRPr="00841766">
        <w:rPr>
          <w:rFonts w:cs="Arial"/>
          <w:sz w:val="22"/>
          <w:szCs w:val="22"/>
          <w:lang w:val="en-US"/>
        </w:rPr>
        <w:t>bottleneck in the monitoring of the progress and ensuring policy coherence, inter-sectorial coordination and adequate financing of the SDGs.</w:t>
      </w:r>
      <w:r w:rsidR="00863184">
        <w:rPr>
          <w:rFonts w:cs="Arial"/>
          <w:sz w:val="22"/>
          <w:szCs w:val="22"/>
          <w:lang w:val="en-US"/>
        </w:rPr>
        <w:t xml:space="preserve">  The formalization of the SDG Working Group would also contribute towards strengthening both partnerships for SDGs and</w:t>
      </w:r>
      <w:r w:rsidRPr="00841766">
        <w:rPr>
          <w:rFonts w:cs="Arial"/>
          <w:sz w:val="22"/>
          <w:szCs w:val="22"/>
          <w:lang w:val="en-US"/>
        </w:rPr>
        <w:t xml:space="preserve"> </w:t>
      </w:r>
      <w:r w:rsidR="00863184">
        <w:rPr>
          <w:rFonts w:cs="Arial"/>
          <w:sz w:val="22"/>
          <w:szCs w:val="22"/>
          <w:lang w:val="en-US"/>
        </w:rPr>
        <w:t>citizen participation.</w:t>
      </w:r>
    </w:p>
    <w:p w14:paraId="3AA47362" w14:textId="7C3F5009" w:rsidR="00863184" w:rsidRPr="00FC29DD" w:rsidRDefault="00863184" w:rsidP="00863184">
      <w:pPr>
        <w:rPr>
          <w:rFonts w:cs="Arial"/>
          <w:sz w:val="22"/>
          <w:szCs w:val="22"/>
          <w:lang w:val="en-US"/>
        </w:rPr>
      </w:pPr>
      <w:r>
        <w:rPr>
          <w:rFonts w:cs="Arial"/>
          <w:sz w:val="22"/>
          <w:szCs w:val="22"/>
          <w:lang w:val="en-US"/>
        </w:rPr>
        <w:br w:type="page"/>
      </w:r>
    </w:p>
    <w:p w14:paraId="7F294F6F" w14:textId="77777777" w:rsidR="00B254D7" w:rsidRPr="00841766" w:rsidRDefault="00B254D7" w:rsidP="00863184">
      <w:pPr>
        <w:pStyle w:val="Heading1"/>
        <w:jc w:val="both"/>
        <w:rPr>
          <w:lang w:val="en-US"/>
        </w:rPr>
      </w:pPr>
      <w:bookmarkStart w:id="20" w:name="_Toc40265794"/>
      <w:r w:rsidRPr="00841766">
        <w:rPr>
          <w:lang w:val="en-US"/>
        </w:rPr>
        <w:lastRenderedPageBreak/>
        <w:t>CHAPTER 2: UN DEVELOPMENT SYSTEM SUPPORT TO THE 2030 AGENDA</w:t>
      </w:r>
      <w:bookmarkEnd w:id="20"/>
    </w:p>
    <w:p w14:paraId="6ED9420B" w14:textId="77777777" w:rsidR="00B254D7" w:rsidRPr="00841766" w:rsidRDefault="00B254D7" w:rsidP="00863184">
      <w:pPr>
        <w:autoSpaceDE w:val="0"/>
        <w:autoSpaceDN w:val="0"/>
        <w:adjustRightInd w:val="0"/>
        <w:jc w:val="both"/>
        <w:rPr>
          <w:rFonts w:cs="Times New Roman"/>
          <w:sz w:val="22"/>
          <w:szCs w:val="22"/>
          <w:lang w:val="en-US"/>
        </w:rPr>
      </w:pPr>
    </w:p>
    <w:p w14:paraId="1FC78F6B" w14:textId="7908744E" w:rsidR="00B254D7" w:rsidRPr="00841766" w:rsidRDefault="00B254D7" w:rsidP="00863184">
      <w:pPr>
        <w:pStyle w:val="Heading2"/>
        <w:jc w:val="both"/>
        <w:rPr>
          <w:rFonts w:asciiTheme="minorHAnsi" w:hAnsiTheme="minorHAnsi"/>
          <w:sz w:val="28"/>
          <w:lang w:val="en-US"/>
        </w:rPr>
      </w:pPr>
      <w:bookmarkStart w:id="21" w:name="_Toc40265795"/>
      <w:r w:rsidRPr="00841766">
        <w:rPr>
          <w:rFonts w:asciiTheme="minorHAnsi" w:hAnsiTheme="minorHAnsi"/>
          <w:sz w:val="28"/>
          <w:lang w:val="en-US"/>
        </w:rPr>
        <w:t xml:space="preserve">2.1. </w:t>
      </w:r>
      <w:r w:rsidR="001906F1" w:rsidRPr="00841766">
        <w:rPr>
          <w:rFonts w:asciiTheme="minorHAnsi" w:hAnsiTheme="minorHAnsi"/>
          <w:sz w:val="28"/>
          <w:lang w:val="en-US"/>
        </w:rPr>
        <w:t xml:space="preserve">Overarching </w:t>
      </w:r>
      <w:r w:rsidR="00760AF0">
        <w:rPr>
          <w:rFonts w:asciiTheme="minorHAnsi" w:hAnsiTheme="minorHAnsi"/>
          <w:sz w:val="28"/>
          <w:lang w:val="en-US"/>
        </w:rPr>
        <w:t>Theory of C</w:t>
      </w:r>
      <w:r w:rsidRPr="00841766">
        <w:rPr>
          <w:rFonts w:asciiTheme="minorHAnsi" w:hAnsiTheme="minorHAnsi"/>
          <w:sz w:val="28"/>
          <w:lang w:val="en-US"/>
        </w:rPr>
        <w:t>hange</w:t>
      </w:r>
      <w:r w:rsidR="00760AF0">
        <w:rPr>
          <w:rFonts w:asciiTheme="minorHAnsi" w:hAnsiTheme="minorHAnsi"/>
          <w:sz w:val="28"/>
          <w:lang w:val="en-US"/>
        </w:rPr>
        <w:t>/ R</w:t>
      </w:r>
      <w:r w:rsidR="00AC171D" w:rsidRPr="00841766">
        <w:rPr>
          <w:rFonts w:asciiTheme="minorHAnsi" w:hAnsiTheme="minorHAnsi"/>
          <w:sz w:val="28"/>
          <w:lang w:val="en-US"/>
        </w:rPr>
        <w:t>ationale</w:t>
      </w:r>
      <w:bookmarkEnd w:id="21"/>
    </w:p>
    <w:p w14:paraId="45D5B33E" w14:textId="19B7D459" w:rsidR="00B254D7" w:rsidRDefault="00760AF0" w:rsidP="00863184">
      <w:pPr>
        <w:autoSpaceDE w:val="0"/>
        <w:autoSpaceDN w:val="0"/>
        <w:adjustRightInd w:val="0"/>
        <w:jc w:val="both"/>
        <w:rPr>
          <w:rFonts w:cs="Times New Roman"/>
          <w:sz w:val="22"/>
          <w:szCs w:val="22"/>
          <w:lang w:val="en-US"/>
        </w:rPr>
      </w:pPr>
      <w:r>
        <w:rPr>
          <w:rFonts w:cs="Times New Roman"/>
          <w:sz w:val="22"/>
          <w:szCs w:val="22"/>
          <w:lang w:val="en-US"/>
        </w:rPr>
        <w:t xml:space="preserve">Based on the review of progress towards the SDGs and the challenges of implementation, </w:t>
      </w:r>
      <w:r w:rsidR="00A52946">
        <w:rPr>
          <w:rFonts w:cs="Times New Roman"/>
          <w:sz w:val="22"/>
          <w:szCs w:val="22"/>
          <w:lang w:val="en-US"/>
        </w:rPr>
        <w:t xml:space="preserve">an assessment of the work of other development partners, </w:t>
      </w:r>
      <w:r>
        <w:rPr>
          <w:rFonts w:cs="Times New Roman"/>
          <w:sz w:val="22"/>
          <w:szCs w:val="22"/>
          <w:lang w:val="en-US"/>
        </w:rPr>
        <w:t>and a multi-partners causal analysis, the interdependent changes necessary for Timor-Leste to achieve the SDGs are described below.</w:t>
      </w:r>
    </w:p>
    <w:p w14:paraId="31214B4E" w14:textId="77777777" w:rsidR="00760AF0" w:rsidRDefault="00760AF0" w:rsidP="00863184">
      <w:pPr>
        <w:autoSpaceDE w:val="0"/>
        <w:autoSpaceDN w:val="0"/>
        <w:adjustRightInd w:val="0"/>
        <w:jc w:val="both"/>
        <w:rPr>
          <w:rFonts w:cs="Times New Roman"/>
          <w:sz w:val="22"/>
          <w:szCs w:val="22"/>
          <w:lang w:val="en-US"/>
        </w:rPr>
      </w:pPr>
    </w:p>
    <w:p w14:paraId="324A3448" w14:textId="334D4B3B" w:rsidR="00B254D7" w:rsidRDefault="00927A3B" w:rsidP="00863184">
      <w:pPr>
        <w:autoSpaceDE w:val="0"/>
        <w:autoSpaceDN w:val="0"/>
        <w:adjustRightInd w:val="0"/>
        <w:spacing w:after="120"/>
        <w:jc w:val="both"/>
        <w:rPr>
          <w:rFonts w:cs="Times New Roman"/>
          <w:sz w:val="22"/>
          <w:szCs w:val="22"/>
          <w:lang w:val="en-US"/>
        </w:rPr>
      </w:pPr>
      <w:r w:rsidRPr="00841766">
        <w:rPr>
          <w:rFonts w:cs="Times New Roman"/>
          <w:sz w:val="22"/>
          <w:szCs w:val="22"/>
          <w:lang w:val="en-US"/>
        </w:rPr>
        <w:t>Timor-Leste</w:t>
      </w:r>
      <w:r w:rsidR="00B254D7" w:rsidRPr="00841766">
        <w:rPr>
          <w:rFonts w:cs="Times New Roman"/>
          <w:sz w:val="22"/>
          <w:szCs w:val="22"/>
          <w:lang w:val="en-US"/>
        </w:rPr>
        <w:t xml:space="preserve"> </w:t>
      </w:r>
      <w:r w:rsidR="004E31FF">
        <w:rPr>
          <w:rFonts w:cs="Times New Roman"/>
          <w:sz w:val="22"/>
          <w:szCs w:val="22"/>
          <w:lang w:val="en-US"/>
        </w:rPr>
        <w:t xml:space="preserve">has the possibility to </w:t>
      </w:r>
      <w:r w:rsidR="00B254D7" w:rsidRPr="00841766">
        <w:rPr>
          <w:rFonts w:cs="Times New Roman"/>
          <w:sz w:val="22"/>
          <w:szCs w:val="22"/>
          <w:lang w:val="en-US"/>
        </w:rPr>
        <w:t>accelerate progress towards the SDGs</w:t>
      </w:r>
      <w:r w:rsidR="004E31FF">
        <w:rPr>
          <w:rFonts w:cs="Times New Roman"/>
          <w:sz w:val="22"/>
          <w:szCs w:val="22"/>
          <w:lang w:val="en-US"/>
        </w:rPr>
        <w:t>,</w:t>
      </w:r>
      <w:r w:rsidR="00B254D7" w:rsidRPr="00841766">
        <w:rPr>
          <w:rFonts w:cs="Times New Roman"/>
          <w:sz w:val="22"/>
          <w:szCs w:val="22"/>
          <w:lang w:val="en-US"/>
        </w:rPr>
        <w:t xml:space="preserve"> significantly reduce poverty and reach middle-income country status </w:t>
      </w:r>
      <w:r w:rsidR="002B502C">
        <w:rPr>
          <w:rFonts w:cs="Times New Roman"/>
          <w:sz w:val="22"/>
          <w:szCs w:val="22"/>
          <w:lang w:val="en-US"/>
        </w:rPr>
        <w:t xml:space="preserve">by 2030 </w:t>
      </w:r>
      <w:r w:rsidR="00B254D7" w:rsidRPr="00841766">
        <w:rPr>
          <w:rFonts w:cs="Times New Roman"/>
          <w:sz w:val="22"/>
          <w:szCs w:val="22"/>
          <w:lang w:val="en-US"/>
        </w:rPr>
        <w:t>while remaining a stable nation</w:t>
      </w:r>
      <w:r w:rsidR="004E31FF">
        <w:rPr>
          <w:rFonts w:cs="Times New Roman"/>
          <w:sz w:val="22"/>
          <w:szCs w:val="22"/>
          <w:lang w:val="en-US"/>
        </w:rPr>
        <w:t xml:space="preserve">.  For this to be achieved </w:t>
      </w:r>
      <w:r w:rsidR="00B254D7" w:rsidRPr="00841766">
        <w:rPr>
          <w:rFonts w:cs="Times New Roman"/>
          <w:sz w:val="22"/>
          <w:szCs w:val="22"/>
          <w:lang w:val="en-US"/>
        </w:rPr>
        <w:t xml:space="preserve"> the country </w:t>
      </w:r>
      <w:r w:rsidR="00D30D45">
        <w:rPr>
          <w:rFonts w:cs="Times New Roman"/>
          <w:sz w:val="22"/>
          <w:szCs w:val="22"/>
          <w:lang w:val="en-US"/>
        </w:rPr>
        <w:t xml:space="preserve">will need to choose its development </w:t>
      </w:r>
      <w:r w:rsidR="00197E94">
        <w:rPr>
          <w:rFonts w:cs="Times New Roman"/>
          <w:sz w:val="22"/>
          <w:szCs w:val="22"/>
          <w:lang w:val="en-US"/>
        </w:rPr>
        <w:t xml:space="preserve">options </w:t>
      </w:r>
      <w:r w:rsidR="00D30D45">
        <w:rPr>
          <w:rFonts w:cs="Times New Roman"/>
          <w:sz w:val="22"/>
          <w:szCs w:val="22"/>
          <w:lang w:val="en-US"/>
        </w:rPr>
        <w:t xml:space="preserve">carefully </w:t>
      </w:r>
      <w:r w:rsidR="00197E94">
        <w:rPr>
          <w:rFonts w:cs="Times New Roman"/>
          <w:sz w:val="22"/>
          <w:szCs w:val="22"/>
          <w:lang w:val="en-US"/>
        </w:rPr>
        <w:t xml:space="preserve">over the next 5 years </w:t>
      </w:r>
      <w:r w:rsidR="00D30D45">
        <w:rPr>
          <w:rFonts w:cs="Times New Roman"/>
          <w:sz w:val="22"/>
          <w:szCs w:val="22"/>
          <w:lang w:val="en-US"/>
        </w:rPr>
        <w:t xml:space="preserve">and prioritize </w:t>
      </w:r>
      <w:r w:rsidR="004E31FF">
        <w:rPr>
          <w:rFonts w:cs="Times New Roman"/>
          <w:sz w:val="22"/>
          <w:szCs w:val="22"/>
          <w:lang w:val="en-US"/>
        </w:rPr>
        <w:t xml:space="preserve">investments and </w:t>
      </w:r>
      <w:r w:rsidR="00D30D45">
        <w:rPr>
          <w:rFonts w:cs="Times New Roman"/>
          <w:sz w:val="22"/>
          <w:szCs w:val="22"/>
          <w:lang w:val="en-US"/>
        </w:rPr>
        <w:t xml:space="preserve">partnerships </w:t>
      </w:r>
      <w:r w:rsidR="004E31FF">
        <w:rPr>
          <w:rFonts w:cs="Times New Roman"/>
          <w:sz w:val="22"/>
          <w:szCs w:val="22"/>
          <w:lang w:val="en-US"/>
        </w:rPr>
        <w:t xml:space="preserve">over the next decade </w:t>
      </w:r>
      <w:r w:rsidR="00D30D45">
        <w:rPr>
          <w:rFonts w:cs="Times New Roman"/>
          <w:sz w:val="22"/>
          <w:szCs w:val="22"/>
          <w:lang w:val="en-US"/>
        </w:rPr>
        <w:t xml:space="preserve">that can </w:t>
      </w:r>
      <w:r w:rsidR="00B254D7" w:rsidRPr="00841766">
        <w:rPr>
          <w:rFonts w:cs="Times New Roman"/>
          <w:sz w:val="22"/>
          <w:szCs w:val="22"/>
          <w:lang w:val="en-US"/>
        </w:rPr>
        <w:t>position</w:t>
      </w:r>
      <w:r w:rsidR="00D30D45">
        <w:rPr>
          <w:rFonts w:cs="Times New Roman"/>
          <w:sz w:val="22"/>
          <w:szCs w:val="22"/>
          <w:lang w:val="en-US"/>
        </w:rPr>
        <w:t xml:space="preserve"> the country </w:t>
      </w:r>
      <w:r w:rsidR="00B254D7" w:rsidRPr="00841766">
        <w:rPr>
          <w:rFonts w:cs="Times New Roman"/>
          <w:sz w:val="22"/>
          <w:szCs w:val="22"/>
          <w:lang w:val="en-US"/>
        </w:rPr>
        <w:t xml:space="preserve">to realize the demographic dividend </w:t>
      </w:r>
      <w:r w:rsidR="00852ADD" w:rsidRPr="00841766">
        <w:rPr>
          <w:rFonts w:cs="Times New Roman"/>
          <w:sz w:val="22"/>
          <w:szCs w:val="22"/>
          <w:lang w:val="en-US"/>
        </w:rPr>
        <w:t>offered by</w:t>
      </w:r>
      <w:r w:rsidR="00B254D7" w:rsidRPr="00841766">
        <w:rPr>
          <w:rFonts w:cs="Times New Roman"/>
          <w:sz w:val="22"/>
          <w:szCs w:val="22"/>
          <w:lang w:val="en-US"/>
        </w:rPr>
        <w:t xml:space="preserve"> its population structure and </w:t>
      </w:r>
      <w:r w:rsidR="00852ADD" w:rsidRPr="00841766">
        <w:rPr>
          <w:rFonts w:cs="Times New Roman"/>
          <w:sz w:val="22"/>
          <w:szCs w:val="22"/>
          <w:lang w:val="en-US"/>
        </w:rPr>
        <w:t>ensure</w:t>
      </w:r>
      <w:r w:rsidR="00D30D45">
        <w:rPr>
          <w:rFonts w:cs="Times New Roman"/>
          <w:sz w:val="22"/>
          <w:szCs w:val="22"/>
          <w:lang w:val="en-US"/>
        </w:rPr>
        <w:t xml:space="preserve"> that development of the country </w:t>
      </w:r>
      <w:r w:rsidR="00852ADD" w:rsidRPr="00841766">
        <w:rPr>
          <w:rFonts w:cs="Times New Roman"/>
          <w:sz w:val="22"/>
          <w:szCs w:val="22"/>
          <w:lang w:val="en-US"/>
        </w:rPr>
        <w:t xml:space="preserve">benefits </w:t>
      </w:r>
      <w:r w:rsidR="00B254D7" w:rsidRPr="00841766">
        <w:rPr>
          <w:rFonts w:cs="Times New Roman"/>
          <w:sz w:val="22"/>
          <w:szCs w:val="22"/>
          <w:lang w:val="en-US"/>
        </w:rPr>
        <w:t xml:space="preserve">all segments of </w:t>
      </w:r>
      <w:r w:rsidR="00852ADD" w:rsidRPr="00841766">
        <w:rPr>
          <w:rFonts w:cs="Times New Roman"/>
          <w:sz w:val="22"/>
          <w:szCs w:val="22"/>
          <w:lang w:val="en-US"/>
        </w:rPr>
        <w:t>society</w:t>
      </w:r>
      <w:r w:rsidR="002B502C">
        <w:rPr>
          <w:rFonts w:cs="Times New Roman"/>
          <w:sz w:val="22"/>
          <w:szCs w:val="22"/>
          <w:lang w:val="en-US"/>
        </w:rPr>
        <w:t xml:space="preserve"> and all </w:t>
      </w:r>
      <w:r w:rsidR="00F40F55">
        <w:rPr>
          <w:rFonts w:cs="Times New Roman"/>
          <w:sz w:val="22"/>
          <w:szCs w:val="22"/>
          <w:lang w:val="en-US"/>
        </w:rPr>
        <w:t xml:space="preserve">municipalities in </w:t>
      </w:r>
      <w:r w:rsidR="002B502C">
        <w:rPr>
          <w:rFonts w:cs="Times New Roman"/>
          <w:sz w:val="22"/>
          <w:szCs w:val="22"/>
          <w:lang w:val="en-US"/>
        </w:rPr>
        <w:t>Timor-Leste.</w:t>
      </w:r>
    </w:p>
    <w:p w14:paraId="63C47111" w14:textId="5375AEAE" w:rsidR="00B254D7" w:rsidRPr="00841766" w:rsidRDefault="00B254D7" w:rsidP="00863184">
      <w:pPr>
        <w:autoSpaceDE w:val="0"/>
        <w:autoSpaceDN w:val="0"/>
        <w:adjustRightInd w:val="0"/>
        <w:spacing w:after="120"/>
        <w:jc w:val="both"/>
        <w:rPr>
          <w:rFonts w:cs="Times New Roman"/>
          <w:b/>
          <w:sz w:val="22"/>
          <w:szCs w:val="22"/>
          <w:lang w:val="en-US"/>
        </w:rPr>
      </w:pPr>
      <w:r w:rsidRPr="00841766">
        <w:rPr>
          <w:rFonts w:cs="Times New Roman"/>
          <w:b/>
          <w:sz w:val="22"/>
          <w:szCs w:val="22"/>
          <w:lang w:val="en-US"/>
        </w:rPr>
        <w:t xml:space="preserve">For </w:t>
      </w:r>
      <w:r w:rsidR="00927A3B" w:rsidRPr="00841766">
        <w:rPr>
          <w:rFonts w:cs="Times New Roman"/>
          <w:b/>
          <w:sz w:val="22"/>
          <w:szCs w:val="22"/>
          <w:lang w:val="en-US"/>
        </w:rPr>
        <w:t>Timor-Leste</w:t>
      </w:r>
      <w:r w:rsidRPr="00841766">
        <w:rPr>
          <w:rFonts w:cs="Times New Roman"/>
          <w:b/>
          <w:sz w:val="22"/>
          <w:szCs w:val="22"/>
          <w:lang w:val="en-US"/>
        </w:rPr>
        <w:t xml:space="preserve"> to harness the demographic dividend, the country needs to achieve </w:t>
      </w:r>
      <w:r w:rsidR="00E100A8" w:rsidRPr="00841766">
        <w:rPr>
          <w:rFonts w:cs="Times New Roman"/>
          <w:b/>
          <w:sz w:val="22"/>
          <w:szCs w:val="22"/>
          <w:lang w:val="en-US"/>
        </w:rPr>
        <w:t xml:space="preserve">economic transformation </w:t>
      </w:r>
      <w:r w:rsidR="000C0A89" w:rsidRPr="00841766">
        <w:rPr>
          <w:rFonts w:cs="Times New Roman"/>
          <w:b/>
          <w:sz w:val="22"/>
          <w:szCs w:val="22"/>
          <w:lang w:val="en-US"/>
        </w:rPr>
        <w:t>that</w:t>
      </w:r>
      <w:r w:rsidR="00E100A8" w:rsidRPr="00841766">
        <w:rPr>
          <w:rFonts w:cs="Times New Roman"/>
          <w:b/>
          <w:sz w:val="22"/>
          <w:szCs w:val="22"/>
          <w:lang w:val="en-US"/>
        </w:rPr>
        <w:t xml:space="preserve"> create</w:t>
      </w:r>
      <w:r w:rsidR="000C0A89" w:rsidRPr="00841766">
        <w:rPr>
          <w:rFonts w:cs="Times New Roman"/>
          <w:b/>
          <w:sz w:val="22"/>
          <w:szCs w:val="22"/>
          <w:lang w:val="en-US"/>
        </w:rPr>
        <w:t>s</w:t>
      </w:r>
      <w:r w:rsidRPr="00841766">
        <w:rPr>
          <w:rFonts w:cs="Times New Roman"/>
          <w:b/>
          <w:sz w:val="22"/>
          <w:szCs w:val="22"/>
          <w:lang w:val="en-US"/>
        </w:rPr>
        <w:t xml:space="preserve"> sustainable and inclusive economic opportunities, ac</w:t>
      </w:r>
      <w:r w:rsidR="00842C8C" w:rsidRPr="00841766">
        <w:rPr>
          <w:rFonts w:cs="Times New Roman"/>
          <w:b/>
          <w:sz w:val="22"/>
          <w:szCs w:val="22"/>
          <w:lang w:val="en-US"/>
        </w:rPr>
        <w:t>celerate further the decrease in</w:t>
      </w:r>
      <w:r w:rsidRPr="00841766">
        <w:rPr>
          <w:rFonts w:cs="Times New Roman"/>
          <w:b/>
          <w:sz w:val="22"/>
          <w:szCs w:val="22"/>
          <w:lang w:val="en-US"/>
        </w:rPr>
        <w:t xml:space="preserve"> fertility, and develop a healthy, educated, skilled and well-informed society grounded in gender equality and women’s empowerment</w:t>
      </w:r>
      <w:r w:rsidR="00075574">
        <w:rPr>
          <w:rFonts w:cs="Times New Roman"/>
          <w:b/>
          <w:sz w:val="22"/>
          <w:szCs w:val="22"/>
          <w:lang w:val="en-US"/>
        </w:rPr>
        <w:t xml:space="preserve"> that guarantees a minimum standard of living </w:t>
      </w:r>
      <w:r w:rsidR="00BC173E">
        <w:rPr>
          <w:rFonts w:cs="Times New Roman"/>
          <w:b/>
          <w:sz w:val="22"/>
          <w:szCs w:val="22"/>
          <w:lang w:val="en-US"/>
        </w:rPr>
        <w:t xml:space="preserve">for </w:t>
      </w:r>
      <w:r w:rsidR="00075574">
        <w:rPr>
          <w:rFonts w:cs="Times New Roman"/>
          <w:b/>
          <w:sz w:val="22"/>
          <w:szCs w:val="22"/>
          <w:lang w:val="en-US"/>
        </w:rPr>
        <w:t>all of its citizens</w:t>
      </w:r>
      <w:r w:rsidRPr="00841766">
        <w:rPr>
          <w:rFonts w:cs="Times New Roman"/>
          <w:b/>
          <w:sz w:val="22"/>
          <w:szCs w:val="22"/>
          <w:lang w:val="en-US"/>
        </w:rPr>
        <w:t xml:space="preserve">. </w:t>
      </w:r>
    </w:p>
    <w:p w14:paraId="02327AE3" w14:textId="58F2065D" w:rsidR="00B254D7" w:rsidRPr="00841766" w:rsidRDefault="00B254D7" w:rsidP="00863184">
      <w:pPr>
        <w:autoSpaceDE w:val="0"/>
        <w:autoSpaceDN w:val="0"/>
        <w:adjustRightInd w:val="0"/>
        <w:spacing w:after="120"/>
        <w:jc w:val="both"/>
        <w:rPr>
          <w:rFonts w:cs="Times New Roman"/>
          <w:b/>
          <w:sz w:val="22"/>
          <w:szCs w:val="22"/>
          <w:lang w:val="en-US"/>
        </w:rPr>
      </w:pPr>
      <w:r w:rsidRPr="00841766">
        <w:rPr>
          <w:rFonts w:cs="Times New Roman"/>
          <w:sz w:val="22"/>
          <w:szCs w:val="22"/>
          <w:lang w:val="en-US"/>
        </w:rPr>
        <w:t>At present, m</w:t>
      </w:r>
      <w:r w:rsidRPr="00841766">
        <w:rPr>
          <w:rFonts w:cs="Arial"/>
          <w:sz w:val="22"/>
          <w:lang w:val="en-US"/>
        </w:rPr>
        <w:t>ortality and birth rates are both declining and the share of the working-age population (15-64 years) in total population is increasing (</w:t>
      </w:r>
      <w:r w:rsidR="00BC3504">
        <w:rPr>
          <w:rFonts w:cs="Arial"/>
          <w:sz w:val="22"/>
          <w:lang w:val="en-US"/>
        </w:rPr>
        <w:t>from 51% in 2003 to 57</w:t>
      </w:r>
      <w:r w:rsidRPr="00841766">
        <w:rPr>
          <w:rFonts w:cs="Arial"/>
          <w:sz w:val="22"/>
          <w:lang w:val="en-US"/>
        </w:rPr>
        <w:t>% in 201</w:t>
      </w:r>
      <w:r w:rsidR="00BC3504">
        <w:rPr>
          <w:rFonts w:cs="Arial"/>
          <w:sz w:val="22"/>
          <w:lang w:val="en-US"/>
        </w:rPr>
        <w:t>8</w:t>
      </w:r>
      <w:r w:rsidRPr="00841766">
        <w:rPr>
          <w:rStyle w:val="FootnoteReference"/>
          <w:rFonts w:cs="Arial"/>
          <w:sz w:val="22"/>
          <w:lang w:val="en-US"/>
        </w:rPr>
        <w:footnoteReference w:id="47"/>
      </w:r>
      <w:r w:rsidRPr="00841766">
        <w:rPr>
          <w:rFonts w:cs="Arial"/>
          <w:sz w:val="22"/>
          <w:lang w:val="en-US"/>
        </w:rPr>
        <w:t xml:space="preserve">), </w:t>
      </w:r>
      <w:r w:rsidR="006C2D7C">
        <w:rPr>
          <w:rFonts w:cs="Arial"/>
          <w:sz w:val="22"/>
          <w:lang w:val="en-US"/>
        </w:rPr>
        <w:t>however</w:t>
      </w:r>
      <w:r w:rsidRPr="00841766">
        <w:rPr>
          <w:rFonts w:cs="Arial"/>
          <w:sz w:val="22"/>
          <w:lang w:val="en-US"/>
        </w:rPr>
        <w:t xml:space="preserve"> </w:t>
      </w:r>
      <w:r w:rsidRPr="00841766">
        <w:rPr>
          <w:rFonts w:cs="Arial"/>
          <w:b/>
          <w:sz w:val="22"/>
          <w:lang w:val="en-US"/>
        </w:rPr>
        <w:t>the fertility level, currently at 4.5 children per woman in 2015</w:t>
      </w:r>
      <w:r w:rsidRPr="00841766">
        <w:rPr>
          <w:rStyle w:val="FootnoteReference"/>
          <w:rFonts w:cs="Arial"/>
          <w:b/>
          <w:sz w:val="22"/>
          <w:lang w:val="en-US"/>
        </w:rPr>
        <w:footnoteReference w:id="48"/>
      </w:r>
      <w:r w:rsidRPr="00841766">
        <w:rPr>
          <w:rFonts w:cs="Arial"/>
          <w:b/>
          <w:sz w:val="22"/>
          <w:lang w:val="en-US"/>
        </w:rPr>
        <w:t>, needs to decline faster</w:t>
      </w:r>
      <w:r w:rsidR="003233DA">
        <w:rPr>
          <w:rFonts w:cs="Arial"/>
          <w:b/>
          <w:sz w:val="22"/>
          <w:lang w:val="en-US"/>
        </w:rPr>
        <w:t xml:space="preserve"> </w:t>
      </w:r>
      <w:r w:rsidR="00B831E5">
        <w:rPr>
          <w:rFonts w:cs="Arial"/>
          <w:b/>
          <w:sz w:val="22"/>
          <w:lang w:val="en-US"/>
        </w:rPr>
        <w:t xml:space="preserve">by </w:t>
      </w:r>
      <w:r w:rsidR="003233DA">
        <w:rPr>
          <w:rFonts w:cs="Arial"/>
          <w:b/>
          <w:sz w:val="22"/>
          <w:lang w:val="en-US"/>
        </w:rPr>
        <w:t xml:space="preserve"> meeting unmet family planning needs</w:t>
      </w:r>
      <w:r w:rsidR="00B831E5">
        <w:rPr>
          <w:rFonts w:cs="Arial"/>
          <w:b/>
          <w:sz w:val="22"/>
          <w:lang w:val="en-US"/>
        </w:rPr>
        <w:t>,</w:t>
      </w:r>
      <w:r w:rsidRPr="00841766">
        <w:rPr>
          <w:rFonts w:cs="Arial"/>
          <w:b/>
          <w:sz w:val="22"/>
          <w:lang w:val="en-US"/>
        </w:rPr>
        <w:t xml:space="preserve"> </w:t>
      </w:r>
      <w:r w:rsidR="00B831E5">
        <w:rPr>
          <w:rFonts w:cs="Arial"/>
          <w:b/>
          <w:sz w:val="22"/>
          <w:lang w:val="en-US"/>
        </w:rPr>
        <w:t>to enable</w:t>
      </w:r>
      <w:r w:rsidR="00F40F55">
        <w:rPr>
          <w:rFonts w:cs="Arial"/>
          <w:b/>
          <w:sz w:val="22"/>
          <w:lang w:val="en-US"/>
        </w:rPr>
        <w:t xml:space="preserve"> a further decrease in </w:t>
      </w:r>
      <w:r w:rsidRPr="00841766">
        <w:rPr>
          <w:rFonts w:cs="Arial"/>
          <w:b/>
          <w:sz w:val="22"/>
          <w:lang w:val="en-US"/>
        </w:rPr>
        <w:t>the ratio of</w:t>
      </w:r>
      <w:r w:rsidRPr="00841766">
        <w:rPr>
          <w:b/>
          <w:sz w:val="22"/>
          <w:lang w:val="en-US"/>
        </w:rPr>
        <w:t xml:space="preserve"> dependent children to the workforce population. </w:t>
      </w:r>
    </w:p>
    <w:p w14:paraId="65A1048B" w14:textId="26BC8108" w:rsidR="00B254D7" w:rsidRPr="00841766" w:rsidRDefault="005E4F6F" w:rsidP="00863184">
      <w:pPr>
        <w:autoSpaceDE w:val="0"/>
        <w:autoSpaceDN w:val="0"/>
        <w:adjustRightInd w:val="0"/>
        <w:spacing w:after="120"/>
        <w:jc w:val="both"/>
        <w:rPr>
          <w:rFonts w:cs="Arial"/>
          <w:bCs/>
          <w:sz w:val="22"/>
          <w:lang w:val="en-US"/>
        </w:rPr>
      </w:pPr>
      <w:r>
        <w:rPr>
          <w:rFonts w:cs="Times New Roman"/>
          <w:sz w:val="22"/>
          <w:szCs w:val="22"/>
          <w:lang w:val="en-US"/>
        </w:rPr>
        <w:t>T</w:t>
      </w:r>
      <w:r w:rsidR="00B254D7" w:rsidRPr="00841766">
        <w:rPr>
          <w:rFonts w:cs="Times New Roman"/>
          <w:sz w:val="22"/>
          <w:szCs w:val="22"/>
          <w:lang w:val="en-US"/>
        </w:rPr>
        <w:t xml:space="preserve">he </w:t>
      </w:r>
      <w:r w:rsidR="00446F85" w:rsidRPr="00841766">
        <w:rPr>
          <w:rFonts w:cs="Times New Roman"/>
          <w:sz w:val="22"/>
          <w:szCs w:val="22"/>
          <w:lang w:val="en-US"/>
        </w:rPr>
        <w:t xml:space="preserve">slow-down of the economy </w:t>
      </w:r>
      <w:r w:rsidR="003905E1">
        <w:rPr>
          <w:rFonts w:cs="Times New Roman"/>
          <w:sz w:val="22"/>
          <w:szCs w:val="22"/>
          <w:lang w:val="en-US"/>
        </w:rPr>
        <w:t xml:space="preserve">together with </w:t>
      </w:r>
      <w:r w:rsidR="00446F85" w:rsidRPr="00841766">
        <w:rPr>
          <w:rFonts w:cs="Times New Roman"/>
          <w:sz w:val="22"/>
          <w:szCs w:val="22"/>
          <w:lang w:val="en-US"/>
        </w:rPr>
        <w:t xml:space="preserve">and </w:t>
      </w:r>
      <w:r w:rsidR="00B254D7" w:rsidRPr="00841766">
        <w:rPr>
          <w:rFonts w:cs="Times New Roman"/>
          <w:sz w:val="22"/>
          <w:szCs w:val="22"/>
          <w:lang w:val="en-US"/>
        </w:rPr>
        <w:t>unsustainable growth</w:t>
      </w:r>
      <w:r>
        <w:rPr>
          <w:rFonts w:cs="Times New Roman"/>
          <w:sz w:val="22"/>
          <w:szCs w:val="22"/>
          <w:lang w:val="en-US"/>
        </w:rPr>
        <w:t xml:space="preserve"> patterns, including high levels of importation of food and other </w:t>
      </w:r>
      <w:r w:rsidR="008D637A">
        <w:rPr>
          <w:rFonts w:cs="Times New Roman"/>
          <w:sz w:val="22"/>
          <w:szCs w:val="22"/>
          <w:lang w:val="en-US"/>
        </w:rPr>
        <w:t>commodities</w:t>
      </w:r>
      <w:r w:rsidR="00B254D7" w:rsidRPr="00841766">
        <w:rPr>
          <w:rFonts w:cs="Times New Roman"/>
          <w:sz w:val="22"/>
          <w:szCs w:val="22"/>
          <w:lang w:val="en-US"/>
        </w:rPr>
        <w:t xml:space="preserve">, </w:t>
      </w:r>
      <w:r w:rsidR="00446F85" w:rsidRPr="00841766">
        <w:rPr>
          <w:rFonts w:cs="Times New Roman"/>
          <w:sz w:val="22"/>
          <w:szCs w:val="22"/>
          <w:lang w:val="en-US"/>
        </w:rPr>
        <w:t xml:space="preserve">together with </w:t>
      </w:r>
      <w:r w:rsidR="00B254D7" w:rsidRPr="00841766">
        <w:rPr>
          <w:rFonts w:cs="Times New Roman"/>
          <w:sz w:val="22"/>
          <w:szCs w:val="22"/>
          <w:lang w:val="en-US"/>
        </w:rPr>
        <w:t>the large and increasing proportion of unemployed youth</w:t>
      </w:r>
      <w:r w:rsidR="00446F85" w:rsidRPr="00841766">
        <w:rPr>
          <w:rFonts w:cs="Times New Roman"/>
          <w:sz w:val="22"/>
          <w:szCs w:val="22"/>
          <w:lang w:val="en-US"/>
        </w:rPr>
        <w:t>,</w:t>
      </w:r>
      <w:r w:rsidR="00B254D7" w:rsidRPr="00841766">
        <w:rPr>
          <w:rFonts w:cs="Times New Roman"/>
          <w:sz w:val="22"/>
          <w:szCs w:val="22"/>
          <w:lang w:val="en-US"/>
        </w:rPr>
        <w:t xml:space="preserve"> are likely to deepen poverty and inequalities and threaten the hard-won peace of the country. </w:t>
      </w:r>
      <w:r w:rsidR="00CC0D8B">
        <w:rPr>
          <w:rFonts w:cs="Times New Roman"/>
          <w:sz w:val="22"/>
          <w:szCs w:val="22"/>
          <w:lang w:val="en-US"/>
        </w:rPr>
        <w:t xml:space="preserve"> </w:t>
      </w:r>
      <w:r w:rsidR="00B254D7" w:rsidRPr="00841766">
        <w:rPr>
          <w:rFonts w:cs="Arial"/>
          <w:sz w:val="22"/>
          <w:lang w:val="en-US"/>
        </w:rPr>
        <w:t>More than half</w:t>
      </w:r>
      <w:r w:rsidR="00B254D7" w:rsidRPr="00841766">
        <w:rPr>
          <w:rFonts w:cs="Arial"/>
          <w:bCs/>
          <w:sz w:val="22"/>
          <w:lang w:val="en-US"/>
        </w:rPr>
        <w:t xml:space="preserve"> of the working age population is not economically active</w:t>
      </w:r>
      <w:r w:rsidR="00B254D7" w:rsidRPr="00841766">
        <w:rPr>
          <w:rStyle w:val="FootnoteReference"/>
          <w:rFonts w:cs="Arial"/>
          <w:b/>
          <w:bCs/>
          <w:sz w:val="22"/>
          <w:lang w:val="en-US"/>
        </w:rPr>
        <w:footnoteReference w:id="49"/>
      </w:r>
      <w:r w:rsidR="00B254D7" w:rsidRPr="00841766">
        <w:rPr>
          <w:rFonts w:cs="Arial"/>
          <w:bCs/>
          <w:sz w:val="22"/>
          <w:lang w:val="en-US"/>
        </w:rPr>
        <w:t xml:space="preserve"> and</w:t>
      </w:r>
      <w:r w:rsidR="00B254D7" w:rsidRPr="00841766">
        <w:rPr>
          <w:rFonts w:cs="Arial"/>
          <w:sz w:val="22"/>
          <w:lang w:val="en-US"/>
        </w:rPr>
        <w:t xml:space="preserve"> one in five youth between 15 and 24 years old is not in education, employment or training</w:t>
      </w:r>
      <w:r w:rsidR="00B254D7" w:rsidRPr="00841766">
        <w:rPr>
          <w:rStyle w:val="FootnoteReference"/>
          <w:rFonts w:cs="Arial"/>
          <w:sz w:val="22"/>
          <w:lang w:val="en-US"/>
        </w:rPr>
        <w:footnoteReference w:id="50"/>
      </w:r>
      <w:r w:rsidR="00B254D7" w:rsidRPr="00841766">
        <w:rPr>
          <w:rFonts w:cs="Arial"/>
          <w:sz w:val="22"/>
          <w:lang w:val="en-US"/>
        </w:rPr>
        <w:t xml:space="preserve">. In parallel, while </w:t>
      </w:r>
      <w:r w:rsidR="008D637A">
        <w:rPr>
          <w:rFonts w:cs="Arial"/>
          <w:sz w:val="22"/>
          <w:lang w:val="en-US"/>
        </w:rPr>
        <w:t xml:space="preserve">existing </w:t>
      </w:r>
      <w:r w:rsidR="00B254D7" w:rsidRPr="00841766">
        <w:rPr>
          <w:rFonts w:cs="Arial"/>
          <w:sz w:val="22"/>
          <w:lang w:val="en-US"/>
        </w:rPr>
        <w:t xml:space="preserve">oil </w:t>
      </w:r>
      <w:r>
        <w:rPr>
          <w:rFonts w:cs="Arial"/>
          <w:sz w:val="22"/>
          <w:lang w:val="en-US"/>
        </w:rPr>
        <w:t xml:space="preserve">and gas revenues </w:t>
      </w:r>
      <w:r w:rsidR="00B254D7" w:rsidRPr="00841766">
        <w:rPr>
          <w:rFonts w:cs="Arial"/>
          <w:sz w:val="22"/>
          <w:lang w:val="en-US"/>
        </w:rPr>
        <w:t xml:space="preserve">are expected to </w:t>
      </w:r>
      <w:r w:rsidR="008D637A">
        <w:rPr>
          <w:rFonts w:cs="Arial"/>
          <w:sz w:val="22"/>
          <w:lang w:val="en-US"/>
        </w:rPr>
        <w:t xml:space="preserve">decline </w:t>
      </w:r>
      <w:r w:rsidR="00B254D7" w:rsidRPr="00841766">
        <w:rPr>
          <w:rFonts w:cs="Arial"/>
          <w:sz w:val="22"/>
          <w:lang w:val="en-US"/>
        </w:rPr>
        <w:t>by 2023</w:t>
      </w:r>
      <w:r w:rsidR="00BC173E">
        <w:rPr>
          <w:rFonts w:cs="Arial"/>
          <w:sz w:val="22"/>
          <w:lang w:val="en-US"/>
        </w:rPr>
        <w:t>,</w:t>
      </w:r>
      <w:r w:rsidR="00B254D7" w:rsidRPr="00841766">
        <w:rPr>
          <w:rFonts w:cs="Arial"/>
          <w:sz w:val="22"/>
          <w:lang w:val="en-US"/>
        </w:rPr>
        <w:t xml:space="preserve"> and per capita GDP growth decelerated to nearly 2.4% between 2011 and 2016</w:t>
      </w:r>
      <w:r w:rsidR="00B254D7" w:rsidRPr="00841766">
        <w:rPr>
          <w:rStyle w:val="FootnoteReference"/>
          <w:rFonts w:cs="Arial"/>
          <w:sz w:val="22"/>
          <w:lang w:val="en-US"/>
        </w:rPr>
        <w:footnoteReference w:id="51"/>
      </w:r>
      <w:r w:rsidR="00B254D7" w:rsidRPr="00841766">
        <w:rPr>
          <w:rFonts w:cs="Arial"/>
          <w:sz w:val="22"/>
          <w:lang w:val="en-US"/>
        </w:rPr>
        <w:t>,</w:t>
      </w:r>
      <w:r w:rsidR="00B254D7" w:rsidRPr="00841766">
        <w:rPr>
          <w:rFonts w:cs="Arial"/>
          <w:b/>
          <w:bCs/>
          <w:sz w:val="22"/>
          <w:lang w:val="en-US"/>
        </w:rPr>
        <w:t xml:space="preserve"> </w:t>
      </w:r>
      <w:r w:rsidR="00B254D7" w:rsidRPr="00841766">
        <w:rPr>
          <w:rFonts w:cs="Arial"/>
          <w:bCs/>
          <w:sz w:val="22"/>
          <w:lang w:val="en-US"/>
        </w:rPr>
        <w:t>petroleum</w:t>
      </w:r>
      <w:r w:rsidR="00B254D7" w:rsidRPr="00841766">
        <w:rPr>
          <w:rFonts w:cs="Arial"/>
          <w:b/>
          <w:bCs/>
          <w:sz w:val="22"/>
          <w:lang w:val="en-US"/>
        </w:rPr>
        <w:t xml:space="preserve"> </w:t>
      </w:r>
      <w:r w:rsidR="00B254D7" w:rsidRPr="00841766">
        <w:rPr>
          <w:rFonts w:cs="Arial"/>
          <w:bCs/>
          <w:sz w:val="22"/>
          <w:lang w:val="en-US"/>
        </w:rPr>
        <w:t>revenue made up 81% of all domestic revenues in 2015</w:t>
      </w:r>
      <w:r w:rsidR="00B254D7" w:rsidRPr="00841766">
        <w:rPr>
          <w:rStyle w:val="FootnoteReference"/>
          <w:rFonts w:cs="Arial"/>
          <w:bCs/>
          <w:sz w:val="22"/>
          <w:lang w:val="en-US"/>
        </w:rPr>
        <w:footnoteReference w:id="52"/>
      </w:r>
      <w:r w:rsidR="00BC173E">
        <w:rPr>
          <w:rFonts w:cs="Arial"/>
          <w:bCs/>
          <w:sz w:val="22"/>
          <w:lang w:val="en-US"/>
        </w:rPr>
        <w:t xml:space="preserve"> -</w:t>
      </w:r>
      <w:r w:rsidR="00B254D7" w:rsidRPr="00841766">
        <w:rPr>
          <w:rFonts w:cs="Arial"/>
          <w:sz w:val="22"/>
          <w:lang w:val="en-US"/>
        </w:rPr>
        <w:t xml:space="preserve"> making </w:t>
      </w:r>
      <w:r w:rsidR="00927A3B" w:rsidRPr="00841766">
        <w:rPr>
          <w:rFonts w:cs="Arial"/>
          <w:sz w:val="22"/>
          <w:lang w:val="en-US"/>
        </w:rPr>
        <w:t>Timor-Leste</w:t>
      </w:r>
      <w:r w:rsidR="00B254D7" w:rsidRPr="00841766">
        <w:rPr>
          <w:rFonts w:cs="Arial"/>
          <w:sz w:val="22"/>
          <w:lang w:val="en-US"/>
        </w:rPr>
        <w:t xml:space="preserve"> </w:t>
      </w:r>
      <w:r w:rsidR="00B254D7" w:rsidRPr="00841766">
        <w:rPr>
          <w:rFonts w:cs="Arial"/>
          <w:bCs/>
          <w:sz w:val="22"/>
          <w:lang w:val="en-US"/>
        </w:rPr>
        <w:t>“one of the most natural resource-dependent countries in the world”</w:t>
      </w:r>
      <w:r w:rsidR="00B254D7" w:rsidRPr="00841766">
        <w:rPr>
          <w:rStyle w:val="FootnoteReference"/>
          <w:rFonts w:cs="Arial"/>
          <w:bCs/>
          <w:sz w:val="22"/>
          <w:lang w:val="en-US"/>
        </w:rPr>
        <w:footnoteReference w:id="53"/>
      </w:r>
      <w:r w:rsidR="00B254D7" w:rsidRPr="00841766">
        <w:rPr>
          <w:rFonts w:cs="Arial"/>
          <w:bCs/>
          <w:sz w:val="22"/>
          <w:lang w:val="en-US"/>
        </w:rPr>
        <w:t xml:space="preserve">. </w:t>
      </w:r>
    </w:p>
    <w:p w14:paraId="219D96F9" w14:textId="1189B485" w:rsidR="00B254D7" w:rsidRPr="00841766" w:rsidRDefault="00B254D7" w:rsidP="00863184">
      <w:pPr>
        <w:autoSpaceDE w:val="0"/>
        <w:autoSpaceDN w:val="0"/>
        <w:adjustRightInd w:val="0"/>
        <w:spacing w:after="120"/>
        <w:jc w:val="both"/>
        <w:rPr>
          <w:rFonts w:cs="Times New Roman"/>
          <w:sz w:val="22"/>
          <w:szCs w:val="22"/>
          <w:lang w:val="en-US"/>
        </w:rPr>
      </w:pPr>
      <w:r w:rsidRPr="00841766">
        <w:rPr>
          <w:rFonts w:cs="Times New Roman"/>
          <w:b/>
          <w:sz w:val="22"/>
          <w:szCs w:val="22"/>
          <w:lang w:val="en-US"/>
        </w:rPr>
        <w:t xml:space="preserve">A process of economic diversification and </w:t>
      </w:r>
      <w:r w:rsidR="00F40F55">
        <w:rPr>
          <w:rFonts w:cs="Times New Roman"/>
          <w:b/>
          <w:sz w:val="22"/>
          <w:szCs w:val="22"/>
          <w:lang w:val="en-US"/>
        </w:rPr>
        <w:t xml:space="preserve">a </w:t>
      </w:r>
      <w:r w:rsidRPr="00841766">
        <w:rPr>
          <w:rFonts w:cs="Times New Roman"/>
          <w:b/>
          <w:sz w:val="22"/>
          <w:szCs w:val="22"/>
          <w:lang w:val="en-US"/>
        </w:rPr>
        <w:t xml:space="preserve">decoupling of growth </w:t>
      </w:r>
      <w:r w:rsidR="00F40F55">
        <w:rPr>
          <w:rFonts w:cs="Times New Roman"/>
          <w:b/>
          <w:sz w:val="22"/>
          <w:szCs w:val="22"/>
          <w:lang w:val="en-US"/>
        </w:rPr>
        <w:t xml:space="preserve">based on </w:t>
      </w:r>
      <w:r w:rsidRPr="00841766">
        <w:rPr>
          <w:rFonts w:cs="Times New Roman"/>
          <w:b/>
          <w:sz w:val="22"/>
          <w:szCs w:val="22"/>
          <w:lang w:val="en-US"/>
        </w:rPr>
        <w:t xml:space="preserve">the over-use of </w:t>
      </w:r>
      <w:r w:rsidR="008D637A">
        <w:rPr>
          <w:rFonts w:cs="Times New Roman"/>
          <w:b/>
          <w:sz w:val="22"/>
          <w:szCs w:val="22"/>
          <w:lang w:val="en-US"/>
        </w:rPr>
        <w:t xml:space="preserve">natural </w:t>
      </w:r>
      <w:r w:rsidRPr="00841766">
        <w:rPr>
          <w:rFonts w:cs="Times New Roman"/>
          <w:b/>
          <w:sz w:val="22"/>
          <w:szCs w:val="22"/>
          <w:lang w:val="en-US"/>
        </w:rPr>
        <w:t>resources is required</w:t>
      </w:r>
      <w:r w:rsidRPr="00841766">
        <w:rPr>
          <w:rFonts w:cs="Times New Roman"/>
          <w:i/>
          <w:sz w:val="22"/>
          <w:szCs w:val="22"/>
          <w:lang w:val="en-US"/>
        </w:rPr>
        <w:t>.</w:t>
      </w:r>
      <w:r w:rsidRPr="00841766">
        <w:rPr>
          <w:rFonts w:cs="Times New Roman"/>
          <w:sz w:val="22"/>
          <w:szCs w:val="22"/>
          <w:lang w:val="en-US"/>
        </w:rPr>
        <w:t xml:space="preserve"> </w:t>
      </w:r>
      <w:r w:rsidR="00CC0D8B">
        <w:rPr>
          <w:rFonts w:cs="Times New Roman"/>
          <w:sz w:val="22"/>
          <w:szCs w:val="22"/>
          <w:lang w:val="en-US"/>
        </w:rPr>
        <w:t xml:space="preserve"> </w:t>
      </w:r>
      <w:r w:rsidRPr="00841766">
        <w:rPr>
          <w:rFonts w:cs="Times New Roman"/>
          <w:sz w:val="22"/>
          <w:szCs w:val="22"/>
          <w:lang w:val="en-US"/>
        </w:rPr>
        <w:t xml:space="preserve">This entails policy reforms, incentives and investments aligned with long-term sustainability pathways, in support of the development of productive and </w:t>
      </w:r>
      <w:proofErr w:type="spellStart"/>
      <w:r w:rsidRPr="00841766">
        <w:rPr>
          <w:rFonts w:cs="Times New Roman"/>
          <w:sz w:val="22"/>
          <w:szCs w:val="22"/>
          <w:lang w:val="en-US"/>
        </w:rPr>
        <w:t>labour-intensive</w:t>
      </w:r>
      <w:proofErr w:type="spellEnd"/>
      <w:r w:rsidRPr="00841766">
        <w:rPr>
          <w:rFonts w:cs="Times New Roman"/>
          <w:sz w:val="22"/>
          <w:szCs w:val="22"/>
          <w:lang w:val="en-US"/>
        </w:rPr>
        <w:t xml:space="preserve"> sectors such as sustainable agriculture</w:t>
      </w:r>
      <w:r w:rsidR="00446F85" w:rsidRPr="00841766">
        <w:rPr>
          <w:rFonts w:cs="Times New Roman"/>
          <w:sz w:val="22"/>
          <w:szCs w:val="22"/>
          <w:lang w:val="en-US"/>
        </w:rPr>
        <w:t xml:space="preserve"> and fisheries</w:t>
      </w:r>
      <w:r w:rsidRPr="00841766">
        <w:rPr>
          <w:rFonts w:cs="Times New Roman"/>
          <w:sz w:val="22"/>
          <w:szCs w:val="22"/>
          <w:lang w:val="en-US"/>
        </w:rPr>
        <w:t xml:space="preserve">, sustainable agri-food systems and sustainable tourism, in a conducive business environment. </w:t>
      </w:r>
    </w:p>
    <w:p w14:paraId="13A1CD52" w14:textId="70E83A6F" w:rsidR="00B254D7" w:rsidRPr="00841766" w:rsidRDefault="00B254D7" w:rsidP="00863184">
      <w:pPr>
        <w:autoSpaceDE w:val="0"/>
        <w:autoSpaceDN w:val="0"/>
        <w:adjustRightInd w:val="0"/>
        <w:spacing w:after="120"/>
        <w:jc w:val="both"/>
        <w:rPr>
          <w:rFonts w:cstheme="minorHAnsi"/>
          <w:lang w:val="en-US"/>
        </w:rPr>
      </w:pPr>
      <w:r w:rsidRPr="00841766">
        <w:rPr>
          <w:rFonts w:cs="Arial"/>
          <w:sz w:val="22"/>
          <w:lang w:val="en-US"/>
        </w:rPr>
        <w:t xml:space="preserve">With </w:t>
      </w:r>
      <w:r w:rsidR="008A71CB" w:rsidRPr="00841766">
        <w:rPr>
          <w:rFonts w:cs="Arial"/>
          <w:sz w:val="22"/>
          <w:lang w:val="en-US"/>
        </w:rPr>
        <w:t>7</w:t>
      </w:r>
      <w:r w:rsidR="00E100A8" w:rsidRPr="00841766">
        <w:rPr>
          <w:rFonts w:cs="Arial"/>
          <w:sz w:val="22"/>
          <w:lang w:val="en-US"/>
        </w:rPr>
        <w:t xml:space="preserve">0% of households </w:t>
      </w:r>
      <w:r w:rsidR="008A71CB" w:rsidRPr="00841766">
        <w:rPr>
          <w:rFonts w:cs="Arial"/>
          <w:sz w:val="22"/>
          <w:lang w:val="en-US"/>
        </w:rPr>
        <w:t xml:space="preserve">relying on agriculture </w:t>
      </w:r>
      <w:r w:rsidR="008D637A">
        <w:rPr>
          <w:rFonts w:cs="Arial"/>
          <w:sz w:val="22"/>
          <w:lang w:val="en-US"/>
        </w:rPr>
        <w:t xml:space="preserve">and fisheries </w:t>
      </w:r>
      <w:r w:rsidR="008A71CB" w:rsidRPr="00841766">
        <w:rPr>
          <w:rFonts w:cs="Arial"/>
          <w:sz w:val="22"/>
          <w:lang w:val="en-US"/>
        </w:rPr>
        <w:t>for their livelihoods</w:t>
      </w:r>
      <w:r w:rsidR="008A71CB" w:rsidRPr="00841766">
        <w:rPr>
          <w:rStyle w:val="FootnoteReference"/>
          <w:rFonts w:cs="Arial"/>
          <w:sz w:val="22"/>
          <w:lang w:val="en-US"/>
        </w:rPr>
        <w:t xml:space="preserve"> </w:t>
      </w:r>
      <w:r w:rsidRPr="00841766">
        <w:rPr>
          <w:rStyle w:val="FootnoteReference"/>
          <w:rFonts w:cs="Arial"/>
          <w:sz w:val="22"/>
          <w:lang w:val="en-US"/>
        </w:rPr>
        <w:footnoteReference w:id="54"/>
      </w:r>
      <w:r w:rsidRPr="00841766">
        <w:rPr>
          <w:rFonts w:cs="Arial"/>
          <w:sz w:val="22"/>
          <w:lang w:val="en-US"/>
        </w:rPr>
        <w:t xml:space="preserve">, </w:t>
      </w:r>
      <w:r w:rsidR="008D637A">
        <w:rPr>
          <w:rFonts w:cs="Arial"/>
          <w:sz w:val="22"/>
          <w:lang w:val="en-US"/>
        </w:rPr>
        <w:t xml:space="preserve">these sectors provide </w:t>
      </w:r>
      <w:r w:rsidRPr="00841766">
        <w:rPr>
          <w:rFonts w:cs="Arial"/>
          <w:sz w:val="22"/>
          <w:lang w:val="en-US"/>
        </w:rPr>
        <w:t xml:space="preserve">the backbone of the </w:t>
      </w:r>
      <w:r w:rsidR="00CC0D8B">
        <w:rPr>
          <w:rFonts w:cs="Arial"/>
          <w:sz w:val="22"/>
          <w:lang w:val="en-US"/>
        </w:rPr>
        <w:t xml:space="preserve">household </w:t>
      </w:r>
      <w:r w:rsidRPr="00841766">
        <w:rPr>
          <w:rFonts w:cs="Arial"/>
          <w:sz w:val="22"/>
          <w:lang w:val="en-US"/>
        </w:rPr>
        <w:t>economy</w:t>
      </w:r>
      <w:r w:rsidR="008A71CB" w:rsidRPr="00841766">
        <w:rPr>
          <w:rFonts w:cs="Arial"/>
          <w:sz w:val="22"/>
          <w:lang w:val="en-US"/>
        </w:rPr>
        <w:t xml:space="preserve">. </w:t>
      </w:r>
      <w:r w:rsidR="00CC0D8B">
        <w:rPr>
          <w:rFonts w:cs="Arial"/>
          <w:sz w:val="22"/>
          <w:lang w:val="en-US"/>
        </w:rPr>
        <w:t xml:space="preserve"> </w:t>
      </w:r>
      <w:r w:rsidRPr="00841766">
        <w:rPr>
          <w:rFonts w:cs="Times New Roman"/>
          <w:b/>
          <w:sz w:val="22"/>
          <w:szCs w:val="22"/>
          <w:lang w:val="en-US"/>
        </w:rPr>
        <w:t>Prioritizing and investing in climate-smart resilient crop</w:t>
      </w:r>
      <w:r w:rsidR="00446F85" w:rsidRPr="00841766">
        <w:rPr>
          <w:rFonts w:cs="Times New Roman"/>
          <w:b/>
          <w:sz w:val="22"/>
          <w:szCs w:val="22"/>
          <w:lang w:val="en-US"/>
        </w:rPr>
        <w:t xml:space="preserve"> and livestock production, forestry and fisheries </w:t>
      </w:r>
      <w:r w:rsidR="005A3345">
        <w:rPr>
          <w:rFonts w:cs="Times New Roman"/>
          <w:b/>
          <w:sz w:val="22"/>
          <w:szCs w:val="22"/>
          <w:lang w:val="en-US"/>
        </w:rPr>
        <w:t xml:space="preserve">is important </w:t>
      </w:r>
      <w:r w:rsidR="00446F85" w:rsidRPr="00841766">
        <w:rPr>
          <w:rFonts w:cs="Times New Roman"/>
          <w:b/>
          <w:sz w:val="22"/>
          <w:szCs w:val="22"/>
          <w:lang w:val="en-US"/>
        </w:rPr>
        <w:t xml:space="preserve">to generate and sustain highly productive </w:t>
      </w:r>
      <w:r w:rsidR="00446F85" w:rsidRPr="00841766">
        <w:rPr>
          <w:rFonts w:cs="Times New Roman"/>
          <w:b/>
          <w:sz w:val="22"/>
          <w:szCs w:val="22"/>
          <w:lang w:val="en-US"/>
        </w:rPr>
        <w:lastRenderedPageBreak/>
        <w:t>systems</w:t>
      </w:r>
      <w:r w:rsidR="005A3345">
        <w:rPr>
          <w:rFonts w:cs="Times New Roman"/>
          <w:b/>
          <w:sz w:val="22"/>
          <w:szCs w:val="22"/>
          <w:lang w:val="en-US"/>
        </w:rPr>
        <w:t xml:space="preserve">. </w:t>
      </w:r>
      <w:r w:rsidR="00863184">
        <w:rPr>
          <w:rFonts w:cs="Times New Roman"/>
          <w:b/>
          <w:sz w:val="22"/>
          <w:szCs w:val="22"/>
          <w:lang w:val="en-US"/>
        </w:rPr>
        <w:t xml:space="preserve"> </w:t>
      </w:r>
      <w:r w:rsidR="005A3345">
        <w:rPr>
          <w:rFonts w:cs="Times New Roman"/>
          <w:bCs/>
          <w:sz w:val="22"/>
          <w:szCs w:val="22"/>
          <w:lang w:val="en-US"/>
        </w:rPr>
        <w:t xml:space="preserve">Production systems </w:t>
      </w:r>
      <w:r w:rsidR="005A3345">
        <w:rPr>
          <w:rFonts w:cs="Times New Roman"/>
          <w:sz w:val="22"/>
          <w:szCs w:val="22"/>
          <w:lang w:val="en-US"/>
        </w:rPr>
        <w:t>should</w:t>
      </w:r>
      <w:r w:rsidR="00446F85" w:rsidRPr="00841766">
        <w:rPr>
          <w:rFonts w:cs="Times New Roman"/>
          <w:sz w:val="22"/>
          <w:szCs w:val="22"/>
          <w:lang w:val="en-US"/>
        </w:rPr>
        <w:t xml:space="preserve"> respect terrestrial and marine resources</w:t>
      </w:r>
      <w:r w:rsidR="00633785">
        <w:rPr>
          <w:rFonts w:cs="Times New Roman"/>
          <w:sz w:val="22"/>
          <w:szCs w:val="22"/>
          <w:lang w:val="en-US"/>
        </w:rPr>
        <w:t>,</w:t>
      </w:r>
      <w:r w:rsidR="00446F85" w:rsidRPr="00841766">
        <w:rPr>
          <w:rFonts w:cs="Times New Roman"/>
          <w:sz w:val="22"/>
          <w:szCs w:val="22"/>
          <w:lang w:val="en-US"/>
        </w:rPr>
        <w:t xml:space="preserve"> while providing </w:t>
      </w:r>
      <w:r w:rsidR="00252CEA">
        <w:rPr>
          <w:rFonts w:cs="Times New Roman"/>
          <w:sz w:val="22"/>
          <w:szCs w:val="22"/>
          <w:lang w:val="en-US"/>
        </w:rPr>
        <w:t xml:space="preserve">sustainable </w:t>
      </w:r>
      <w:r w:rsidR="00446F85" w:rsidRPr="00841766">
        <w:rPr>
          <w:rFonts w:cs="Times New Roman"/>
          <w:sz w:val="22"/>
          <w:szCs w:val="22"/>
          <w:lang w:val="en-US"/>
        </w:rPr>
        <w:t>income</w:t>
      </w:r>
      <w:r w:rsidR="00252CEA">
        <w:rPr>
          <w:rFonts w:cs="Times New Roman"/>
          <w:sz w:val="22"/>
          <w:szCs w:val="22"/>
          <w:lang w:val="en-US"/>
        </w:rPr>
        <w:t>s</w:t>
      </w:r>
      <w:r w:rsidR="00446F85" w:rsidRPr="00841766">
        <w:rPr>
          <w:rFonts w:cs="Times New Roman"/>
          <w:sz w:val="22"/>
          <w:szCs w:val="22"/>
          <w:lang w:val="en-US"/>
        </w:rPr>
        <w:t xml:space="preserve"> </w:t>
      </w:r>
      <w:r w:rsidR="00795A04">
        <w:rPr>
          <w:rFonts w:cs="Times New Roman"/>
          <w:sz w:val="22"/>
          <w:szCs w:val="22"/>
          <w:lang w:val="en-US"/>
        </w:rPr>
        <w:t>particular</w:t>
      </w:r>
      <w:r w:rsidR="00252CEA">
        <w:rPr>
          <w:rFonts w:cs="Times New Roman"/>
          <w:sz w:val="22"/>
          <w:szCs w:val="22"/>
          <w:lang w:val="en-US"/>
        </w:rPr>
        <w:t>ly</w:t>
      </w:r>
      <w:r w:rsidR="00795A04">
        <w:rPr>
          <w:rFonts w:cs="Times New Roman"/>
          <w:sz w:val="22"/>
          <w:szCs w:val="22"/>
          <w:lang w:val="en-US"/>
        </w:rPr>
        <w:t xml:space="preserve"> for female farmers and youth involved in agri-food systems</w:t>
      </w:r>
      <w:r w:rsidR="00446F85" w:rsidRPr="00841766">
        <w:rPr>
          <w:rFonts w:cs="Times New Roman"/>
          <w:sz w:val="22"/>
          <w:szCs w:val="22"/>
          <w:lang w:val="en-US"/>
        </w:rPr>
        <w:t xml:space="preserve">. </w:t>
      </w:r>
      <w:r w:rsidR="007B2AE6">
        <w:rPr>
          <w:rFonts w:cs="Times New Roman"/>
          <w:sz w:val="22"/>
          <w:szCs w:val="22"/>
          <w:lang w:val="en-US"/>
        </w:rPr>
        <w:t xml:space="preserve"> </w:t>
      </w:r>
      <w:r w:rsidRPr="00841766">
        <w:rPr>
          <w:rFonts w:cs="Times New Roman"/>
          <w:sz w:val="22"/>
          <w:szCs w:val="22"/>
          <w:lang w:val="en-US"/>
        </w:rPr>
        <w:t xml:space="preserve">Incentives </w:t>
      </w:r>
      <w:r w:rsidR="00252CEA">
        <w:rPr>
          <w:rFonts w:cs="Times New Roman"/>
          <w:sz w:val="22"/>
          <w:szCs w:val="22"/>
          <w:lang w:val="en-US"/>
        </w:rPr>
        <w:t xml:space="preserve">to promote greater </w:t>
      </w:r>
      <w:r w:rsidRPr="00841766">
        <w:rPr>
          <w:rFonts w:cs="Times New Roman"/>
          <w:sz w:val="22"/>
          <w:szCs w:val="22"/>
          <w:lang w:val="en-US"/>
        </w:rPr>
        <w:t xml:space="preserve">circular and solidarity economy systems </w:t>
      </w:r>
      <w:r w:rsidR="00252CEA">
        <w:rPr>
          <w:rFonts w:cs="Times New Roman"/>
          <w:sz w:val="22"/>
          <w:szCs w:val="22"/>
          <w:lang w:val="en-US"/>
        </w:rPr>
        <w:t>and</w:t>
      </w:r>
      <w:r w:rsidRPr="00841766">
        <w:rPr>
          <w:rFonts w:cs="Times New Roman"/>
          <w:sz w:val="22"/>
          <w:szCs w:val="22"/>
          <w:lang w:val="en-US"/>
        </w:rPr>
        <w:t xml:space="preserve"> organizations </w:t>
      </w:r>
      <w:r w:rsidR="00252CEA">
        <w:rPr>
          <w:rFonts w:cs="Times New Roman"/>
          <w:sz w:val="22"/>
          <w:szCs w:val="22"/>
          <w:lang w:val="en-US"/>
        </w:rPr>
        <w:t xml:space="preserve">prioritizing </w:t>
      </w:r>
      <w:r w:rsidRPr="00841766">
        <w:rPr>
          <w:rFonts w:cs="Times New Roman"/>
          <w:sz w:val="22"/>
          <w:szCs w:val="22"/>
          <w:lang w:val="en-US"/>
        </w:rPr>
        <w:t>youth inclusion will be needed to ensure decent job creation and contribute to social development and cohesion.</w:t>
      </w:r>
      <w:r w:rsidRPr="00841766">
        <w:rPr>
          <w:rFonts w:cstheme="minorHAnsi"/>
          <w:bCs/>
          <w:sz w:val="22"/>
          <w:szCs w:val="22"/>
          <w:lang w:val="en-US"/>
        </w:rPr>
        <w:t xml:space="preserve"> </w:t>
      </w:r>
      <w:r w:rsidR="007B2AE6">
        <w:rPr>
          <w:rFonts w:cstheme="minorHAnsi"/>
          <w:bCs/>
          <w:sz w:val="22"/>
          <w:szCs w:val="22"/>
          <w:lang w:val="en-US"/>
        </w:rPr>
        <w:t xml:space="preserve"> </w:t>
      </w:r>
      <w:r w:rsidRPr="00841766">
        <w:rPr>
          <w:rFonts w:cstheme="minorHAnsi"/>
          <w:bCs/>
          <w:sz w:val="22"/>
          <w:szCs w:val="22"/>
          <w:lang w:val="en-US"/>
        </w:rPr>
        <w:t>Currently, the share of informal employment in non-agricultur</w:t>
      </w:r>
      <w:r w:rsidR="00252CEA">
        <w:rPr>
          <w:rFonts w:cstheme="minorHAnsi"/>
          <w:bCs/>
          <w:sz w:val="22"/>
          <w:szCs w:val="22"/>
          <w:lang w:val="en-US"/>
        </w:rPr>
        <w:t>al</w:t>
      </w:r>
      <w:r w:rsidRPr="00841766">
        <w:rPr>
          <w:rFonts w:cstheme="minorHAnsi"/>
          <w:bCs/>
          <w:sz w:val="22"/>
          <w:szCs w:val="22"/>
          <w:lang w:val="en-US"/>
        </w:rPr>
        <w:t xml:space="preserve"> employment is very high (</w:t>
      </w:r>
      <w:r w:rsidRPr="00841766">
        <w:rPr>
          <w:rFonts w:cs="Montserrat-Regular"/>
          <w:sz w:val="22"/>
          <w:szCs w:val="22"/>
          <w:lang w:val="en-US"/>
        </w:rPr>
        <w:t>72% in 2013)</w:t>
      </w:r>
      <w:r w:rsidRPr="00841766">
        <w:rPr>
          <w:rStyle w:val="FootnoteReference"/>
          <w:rFonts w:cs="Montserrat-Regular"/>
          <w:sz w:val="22"/>
          <w:szCs w:val="22"/>
          <w:lang w:val="en-US"/>
        </w:rPr>
        <w:footnoteReference w:id="55"/>
      </w:r>
      <w:r w:rsidRPr="00841766">
        <w:rPr>
          <w:rFonts w:cs="Montserrat-Regular"/>
          <w:sz w:val="22"/>
          <w:szCs w:val="22"/>
          <w:lang w:val="en-US"/>
        </w:rPr>
        <w:t>.</w:t>
      </w:r>
      <w:r w:rsidRPr="00841766">
        <w:rPr>
          <w:rFonts w:cstheme="minorHAnsi"/>
          <w:lang w:val="en-US"/>
        </w:rPr>
        <w:t xml:space="preserve"> </w:t>
      </w:r>
    </w:p>
    <w:p w14:paraId="414E821B" w14:textId="67AC9B3B" w:rsidR="00B254D7" w:rsidRPr="00841766" w:rsidRDefault="00B254D7" w:rsidP="00863184">
      <w:pPr>
        <w:autoSpaceDE w:val="0"/>
        <w:autoSpaceDN w:val="0"/>
        <w:adjustRightInd w:val="0"/>
        <w:spacing w:after="120"/>
        <w:jc w:val="both"/>
        <w:rPr>
          <w:rFonts w:cstheme="minorHAnsi"/>
          <w:lang w:val="en-US"/>
        </w:rPr>
      </w:pPr>
      <w:r w:rsidRPr="00841766">
        <w:rPr>
          <w:rFonts w:cstheme="minorHAnsi"/>
          <w:sz w:val="22"/>
          <w:szCs w:val="22"/>
          <w:lang w:val="en-US"/>
        </w:rPr>
        <w:t>Additionally,</w:t>
      </w:r>
      <w:r w:rsidRPr="00841766">
        <w:rPr>
          <w:rFonts w:cstheme="minorHAnsi"/>
          <w:lang w:val="en-US"/>
        </w:rPr>
        <w:t xml:space="preserve"> </w:t>
      </w:r>
      <w:r w:rsidRPr="00841766">
        <w:rPr>
          <w:rFonts w:cs="Times New Roman"/>
          <w:sz w:val="22"/>
          <w:szCs w:val="22"/>
          <w:lang w:val="en-US"/>
        </w:rPr>
        <w:t>Timor-Leste has more women not in employment, education or training than men</w:t>
      </w:r>
      <w:r w:rsidR="00081C20" w:rsidRPr="00841766">
        <w:rPr>
          <w:rFonts w:cs="Times New Roman"/>
          <w:sz w:val="22"/>
          <w:szCs w:val="22"/>
          <w:lang w:val="en-US"/>
        </w:rPr>
        <w:t xml:space="preserve">. </w:t>
      </w:r>
      <w:r w:rsidR="007B2AE6">
        <w:rPr>
          <w:rFonts w:cs="Times New Roman"/>
          <w:sz w:val="22"/>
          <w:szCs w:val="22"/>
          <w:lang w:val="en-US"/>
        </w:rPr>
        <w:t xml:space="preserve"> </w:t>
      </w:r>
      <w:r w:rsidR="00081C20" w:rsidRPr="00841766">
        <w:rPr>
          <w:rFonts w:cs="Times New Roman"/>
          <w:sz w:val="22"/>
          <w:szCs w:val="22"/>
          <w:lang w:val="en-US"/>
        </w:rPr>
        <w:t>Unemployment among</w:t>
      </w:r>
      <w:r w:rsidRPr="00841766">
        <w:rPr>
          <w:rFonts w:cs="Times New Roman"/>
          <w:sz w:val="22"/>
          <w:szCs w:val="22"/>
          <w:lang w:val="en-US"/>
        </w:rPr>
        <w:t xml:space="preserve"> youth </w:t>
      </w:r>
      <w:r w:rsidR="00081C20" w:rsidRPr="00841766">
        <w:rPr>
          <w:rFonts w:cs="Times New Roman"/>
          <w:sz w:val="22"/>
          <w:szCs w:val="22"/>
          <w:lang w:val="en-US"/>
        </w:rPr>
        <w:t>is high at 21%</w:t>
      </w:r>
      <w:r w:rsidR="00081C20" w:rsidRPr="00841766">
        <w:rPr>
          <w:rStyle w:val="FootnoteReference"/>
          <w:rFonts w:cs="Times New Roman"/>
          <w:sz w:val="22"/>
          <w:szCs w:val="22"/>
          <w:lang w:val="en-US"/>
        </w:rPr>
        <w:footnoteReference w:id="56"/>
      </w:r>
      <w:r w:rsidR="00081C20" w:rsidRPr="00841766">
        <w:rPr>
          <w:rFonts w:cs="Times New Roman"/>
          <w:sz w:val="22"/>
          <w:szCs w:val="22"/>
          <w:lang w:val="en-US"/>
        </w:rPr>
        <w:t>. P</w:t>
      </w:r>
      <w:r w:rsidRPr="00841766">
        <w:rPr>
          <w:rFonts w:cs="Times New Roman"/>
          <w:sz w:val="22"/>
          <w:szCs w:val="22"/>
          <w:lang w:val="en-US"/>
        </w:rPr>
        <w:t>ersons with disabilities are five time less likely to be employed than pe</w:t>
      </w:r>
      <w:r w:rsidR="00252CEA">
        <w:rPr>
          <w:rFonts w:cs="Times New Roman"/>
          <w:sz w:val="22"/>
          <w:szCs w:val="22"/>
          <w:lang w:val="en-US"/>
        </w:rPr>
        <w:t xml:space="preserve">ople </w:t>
      </w:r>
      <w:r w:rsidRPr="00841766">
        <w:rPr>
          <w:rFonts w:cs="Times New Roman"/>
          <w:sz w:val="22"/>
          <w:szCs w:val="22"/>
          <w:lang w:val="en-US"/>
        </w:rPr>
        <w:t>who do not have disability</w:t>
      </w:r>
      <w:r w:rsidR="008A71CB" w:rsidRPr="00841766">
        <w:rPr>
          <w:rStyle w:val="FootnoteReference"/>
          <w:rFonts w:cs="Times New Roman"/>
          <w:sz w:val="22"/>
          <w:szCs w:val="22"/>
          <w:lang w:val="en-US"/>
        </w:rPr>
        <w:footnoteReference w:id="57"/>
      </w:r>
      <w:r w:rsidRPr="00841766">
        <w:rPr>
          <w:rFonts w:cs="Times New Roman"/>
          <w:sz w:val="22"/>
          <w:szCs w:val="22"/>
          <w:lang w:val="en-US"/>
        </w:rPr>
        <w:t xml:space="preserve">. </w:t>
      </w:r>
      <w:r w:rsidR="007B2AE6">
        <w:rPr>
          <w:rFonts w:cs="Times New Roman"/>
          <w:sz w:val="22"/>
          <w:szCs w:val="22"/>
          <w:lang w:val="en-US"/>
        </w:rPr>
        <w:t xml:space="preserve"> </w:t>
      </w:r>
      <w:r w:rsidRPr="00841766">
        <w:rPr>
          <w:rFonts w:cs="Times New Roman"/>
          <w:sz w:val="22"/>
          <w:szCs w:val="22"/>
          <w:lang w:val="en-US"/>
        </w:rPr>
        <w:t>Among people not seeking employment, the majority (66%) are women due to family responsibilities</w:t>
      </w:r>
      <w:r w:rsidR="007B2AE6">
        <w:rPr>
          <w:rFonts w:cs="Times New Roman"/>
          <w:sz w:val="22"/>
          <w:szCs w:val="22"/>
          <w:lang w:val="en-US"/>
        </w:rPr>
        <w:t>,</w:t>
      </w:r>
      <w:r w:rsidRPr="00841766">
        <w:rPr>
          <w:rFonts w:cs="Times New Roman"/>
          <w:sz w:val="22"/>
          <w:szCs w:val="22"/>
          <w:lang w:val="en-US"/>
        </w:rPr>
        <w:t xml:space="preserve"> reflect</w:t>
      </w:r>
      <w:r w:rsidR="007B2AE6">
        <w:rPr>
          <w:rFonts w:cs="Times New Roman"/>
          <w:sz w:val="22"/>
          <w:szCs w:val="22"/>
          <w:lang w:val="en-US"/>
        </w:rPr>
        <w:t>ing</w:t>
      </w:r>
      <w:r w:rsidRPr="00841766">
        <w:rPr>
          <w:rFonts w:cs="Times New Roman"/>
          <w:sz w:val="22"/>
          <w:szCs w:val="22"/>
          <w:lang w:val="en-US"/>
        </w:rPr>
        <w:t xml:space="preserve"> </w:t>
      </w:r>
      <w:r w:rsidR="00E60F7B">
        <w:rPr>
          <w:rFonts w:cs="Times New Roman"/>
          <w:sz w:val="22"/>
          <w:szCs w:val="22"/>
          <w:lang w:val="en-US"/>
        </w:rPr>
        <w:t xml:space="preserve">a social norm where women are burdened with </w:t>
      </w:r>
      <w:r w:rsidR="00AA5256" w:rsidRPr="00841766">
        <w:rPr>
          <w:rFonts w:cs="Times New Roman"/>
          <w:sz w:val="22"/>
          <w:szCs w:val="22"/>
          <w:lang w:val="en-US"/>
        </w:rPr>
        <w:t>the majority of, if not all</w:t>
      </w:r>
      <w:r w:rsidRPr="00841766">
        <w:rPr>
          <w:rFonts w:cs="Times New Roman"/>
          <w:sz w:val="22"/>
          <w:szCs w:val="22"/>
          <w:lang w:val="en-US"/>
        </w:rPr>
        <w:t xml:space="preserve">, household duties. </w:t>
      </w:r>
      <w:r w:rsidR="00E60F7B">
        <w:rPr>
          <w:rFonts w:cs="Times New Roman"/>
          <w:sz w:val="22"/>
          <w:szCs w:val="22"/>
          <w:lang w:val="en-US"/>
        </w:rPr>
        <w:t xml:space="preserve"> </w:t>
      </w:r>
      <w:r w:rsidRPr="004B68AF">
        <w:rPr>
          <w:rFonts w:cs="Times New Roman"/>
          <w:b/>
          <w:sz w:val="22"/>
          <w:szCs w:val="22"/>
          <w:lang w:val="en-US"/>
        </w:rPr>
        <w:t xml:space="preserve">Policies to support </w:t>
      </w:r>
      <w:r w:rsidR="008A71CB" w:rsidRPr="004B68AF">
        <w:rPr>
          <w:rFonts w:cs="Times New Roman"/>
          <w:b/>
          <w:sz w:val="22"/>
          <w:szCs w:val="22"/>
          <w:lang w:val="en-US"/>
        </w:rPr>
        <w:t xml:space="preserve">the economic inclusion of </w:t>
      </w:r>
      <w:r w:rsidRPr="004B68AF">
        <w:rPr>
          <w:rFonts w:cs="Times New Roman"/>
          <w:b/>
          <w:sz w:val="22"/>
          <w:szCs w:val="22"/>
          <w:lang w:val="en-US"/>
        </w:rPr>
        <w:t>youth, women and people living with disabilities are essential to ensure</w:t>
      </w:r>
      <w:r w:rsidR="00E60F7B">
        <w:rPr>
          <w:rFonts w:cs="Times New Roman"/>
          <w:b/>
          <w:sz w:val="22"/>
          <w:szCs w:val="22"/>
          <w:lang w:val="en-US"/>
        </w:rPr>
        <w:t xml:space="preserve"> that</w:t>
      </w:r>
      <w:r w:rsidRPr="004B68AF">
        <w:rPr>
          <w:rFonts w:cs="Times New Roman"/>
          <w:b/>
          <w:sz w:val="22"/>
          <w:szCs w:val="22"/>
          <w:lang w:val="en-US"/>
        </w:rPr>
        <w:t xml:space="preserve"> no one is left behind.</w:t>
      </w:r>
    </w:p>
    <w:p w14:paraId="4853457E" w14:textId="1E27B9C0" w:rsidR="00F9481D" w:rsidRDefault="00B254D7" w:rsidP="00863184">
      <w:pPr>
        <w:autoSpaceDE w:val="0"/>
        <w:autoSpaceDN w:val="0"/>
        <w:adjustRightInd w:val="0"/>
        <w:jc w:val="both"/>
        <w:rPr>
          <w:rFonts w:cs="Arial"/>
          <w:sz w:val="22"/>
          <w:lang w:val="en-US"/>
        </w:rPr>
      </w:pPr>
      <w:r w:rsidRPr="00841766">
        <w:rPr>
          <w:rFonts w:cs="Times New Roman"/>
          <w:b/>
          <w:sz w:val="22"/>
          <w:szCs w:val="22"/>
          <w:lang w:val="en-US"/>
        </w:rPr>
        <w:t xml:space="preserve">Furthermore, whilst </w:t>
      </w:r>
      <w:r w:rsidRPr="00841766">
        <w:rPr>
          <w:rFonts w:cs="Arial"/>
          <w:b/>
          <w:sz w:val="22"/>
          <w:lang w:val="en-US"/>
        </w:rPr>
        <w:t>the overall health of the nation has improved substantially</w:t>
      </w:r>
      <w:r w:rsidRPr="00841766">
        <w:rPr>
          <w:rFonts w:cs="Times New Roman"/>
          <w:b/>
          <w:sz w:val="22"/>
          <w:szCs w:val="22"/>
          <w:lang w:val="en-US"/>
        </w:rPr>
        <w:t xml:space="preserve">, developing human capital in </w:t>
      </w:r>
      <w:r w:rsidR="00927A3B" w:rsidRPr="00841766">
        <w:rPr>
          <w:rFonts w:cs="Times New Roman"/>
          <w:b/>
          <w:sz w:val="22"/>
          <w:szCs w:val="22"/>
          <w:lang w:val="en-US"/>
        </w:rPr>
        <w:t>Timor-Leste</w:t>
      </w:r>
      <w:r w:rsidRPr="00841766">
        <w:rPr>
          <w:rFonts w:cs="Times New Roman"/>
          <w:b/>
          <w:sz w:val="22"/>
          <w:szCs w:val="22"/>
          <w:lang w:val="en-US"/>
        </w:rPr>
        <w:t xml:space="preserve"> demands much faster progress to tackle the current levels of malnutrition and food insecurity </w:t>
      </w:r>
      <w:r w:rsidR="00842C8C" w:rsidRPr="00841766">
        <w:rPr>
          <w:rFonts w:cs="Times New Roman"/>
          <w:sz w:val="22"/>
          <w:szCs w:val="22"/>
          <w:lang w:val="en-US"/>
        </w:rPr>
        <w:t>that prevents</w:t>
      </w:r>
      <w:r w:rsidR="00AA1D38" w:rsidRPr="00841766">
        <w:rPr>
          <w:rFonts w:cs="Times New Roman"/>
          <w:sz w:val="22"/>
          <w:szCs w:val="22"/>
          <w:lang w:val="en-US"/>
        </w:rPr>
        <w:t xml:space="preserve"> a large part of the population</w:t>
      </w:r>
      <w:r w:rsidRPr="00841766">
        <w:rPr>
          <w:rFonts w:cs="Times New Roman"/>
          <w:sz w:val="22"/>
          <w:szCs w:val="22"/>
          <w:lang w:val="en-US"/>
        </w:rPr>
        <w:t xml:space="preserve"> from growing healthy and with the optimal cognitive capacity</w:t>
      </w:r>
      <w:r w:rsidR="00CE70AA" w:rsidRPr="00841766">
        <w:rPr>
          <w:rFonts w:cs="Times New Roman"/>
          <w:sz w:val="22"/>
          <w:szCs w:val="22"/>
          <w:lang w:val="en-US"/>
        </w:rPr>
        <w:t xml:space="preserve"> </w:t>
      </w:r>
      <w:r w:rsidR="00BA4F45" w:rsidRPr="00841766">
        <w:rPr>
          <w:rFonts w:cs="Times New Roman"/>
          <w:sz w:val="22"/>
          <w:szCs w:val="22"/>
          <w:lang w:val="en-US"/>
        </w:rPr>
        <w:t>to learn and be productive</w:t>
      </w:r>
      <w:r w:rsidRPr="00841766">
        <w:rPr>
          <w:rFonts w:cs="Times New Roman"/>
          <w:sz w:val="22"/>
          <w:szCs w:val="22"/>
          <w:lang w:val="en-US"/>
        </w:rPr>
        <w:t>.</w:t>
      </w:r>
      <w:r w:rsidRPr="00841766">
        <w:rPr>
          <w:rFonts w:cs="Arial"/>
          <w:sz w:val="22"/>
          <w:lang w:val="en-US"/>
        </w:rPr>
        <w:t xml:space="preserve"> </w:t>
      </w:r>
      <w:r w:rsidR="0055065C">
        <w:rPr>
          <w:rFonts w:cs="Arial"/>
          <w:sz w:val="22"/>
          <w:lang w:val="en-US"/>
        </w:rPr>
        <w:t xml:space="preserve"> O</w:t>
      </w:r>
      <w:r w:rsidRPr="00841766">
        <w:rPr>
          <w:rFonts w:cs="Arial"/>
          <w:sz w:val="22"/>
          <w:lang w:val="en-US"/>
        </w:rPr>
        <w:t xml:space="preserve">ne fifth of the population </w:t>
      </w:r>
      <w:r w:rsidR="00F9481D">
        <w:rPr>
          <w:rFonts w:cs="Arial"/>
          <w:sz w:val="22"/>
          <w:lang w:val="en-US"/>
        </w:rPr>
        <w:t xml:space="preserve">are chronically </w:t>
      </w:r>
      <w:r w:rsidR="00252CEA">
        <w:rPr>
          <w:rFonts w:cs="Arial"/>
          <w:sz w:val="22"/>
          <w:lang w:val="en-US"/>
        </w:rPr>
        <w:t>or</w:t>
      </w:r>
      <w:r w:rsidRPr="00841766">
        <w:rPr>
          <w:rFonts w:cs="Arial"/>
          <w:sz w:val="22"/>
          <w:lang w:val="en-US"/>
        </w:rPr>
        <w:t xml:space="preserve"> moderate</w:t>
      </w:r>
      <w:r w:rsidR="00F9481D">
        <w:rPr>
          <w:rFonts w:cs="Arial"/>
          <w:sz w:val="22"/>
          <w:lang w:val="en-US"/>
        </w:rPr>
        <w:t>ly</w:t>
      </w:r>
      <w:r w:rsidRPr="00841766">
        <w:rPr>
          <w:rFonts w:cs="Arial"/>
          <w:sz w:val="22"/>
          <w:lang w:val="en-US"/>
        </w:rPr>
        <w:t xml:space="preserve"> food insecur</w:t>
      </w:r>
      <w:r w:rsidR="00F9481D">
        <w:rPr>
          <w:rFonts w:cs="Arial"/>
          <w:sz w:val="22"/>
          <w:lang w:val="en-US"/>
        </w:rPr>
        <w:t>e,</w:t>
      </w:r>
      <w:r w:rsidRPr="00841766">
        <w:rPr>
          <w:rFonts w:cs="Arial"/>
          <w:sz w:val="22"/>
          <w:lang w:val="en-US"/>
        </w:rPr>
        <w:t xml:space="preserve"> </w:t>
      </w:r>
      <w:r w:rsidR="00F9481D">
        <w:rPr>
          <w:rFonts w:cs="Arial"/>
          <w:sz w:val="22"/>
          <w:lang w:val="en-US"/>
        </w:rPr>
        <w:t xml:space="preserve">while </w:t>
      </w:r>
      <w:r w:rsidRPr="00841766">
        <w:rPr>
          <w:rFonts w:cs="Arial"/>
          <w:sz w:val="22"/>
          <w:lang w:val="en-US"/>
        </w:rPr>
        <w:t xml:space="preserve">15% </w:t>
      </w:r>
      <w:r w:rsidR="00F9481D">
        <w:rPr>
          <w:rFonts w:cs="Arial"/>
          <w:sz w:val="22"/>
          <w:lang w:val="en-US"/>
        </w:rPr>
        <w:t xml:space="preserve">are </w:t>
      </w:r>
      <w:r w:rsidRPr="00841766">
        <w:rPr>
          <w:rFonts w:cs="Arial"/>
          <w:sz w:val="22"/>
          <w:lang w:val="en-US"/>
        </w:rPr>
        <w:t>severe</w:t>
      </w:r>
      <w:r w:rsidR="00F9481D">
        <w:rPr>
          <w:rFonts w:cs="Arial"/>
          <w:sz w:val="22"/>
          <w:lang w:val="en-US"/>
        </w:rPr>
        <w:t>ly</w:t>
      </w:r>
      <w:r w:rsidRPr="00841766">
        <w:rPr>
          <w:rFonts w:cs="Arial"/>
          <w:sz w:val="22"/>
          <w:lang w:val="en-US"/>
        </w:rPr>
        <w:t xml:space="preserve"> food insecur</w:t>
      </w:r>
      <w:r w:rsidR="00F9481D">
        <w:rPr>
          <w:rFonts w:cs="Arial"/>
          <w:sz w:val="22"/>
          <w:lang w:val="en-US"/>
        </w:rPr>
        <w:t>e</w:t>
      </w:r>
      <w:r w:rsidR="00446F85" w:rsidRPr="00841766">
        <w:rPr>
          <w:rStyle w:val="FootnoteReference"/>
          <w:rFonts w:cs="Arial"/>
          <w:sz w:val="22"/>
          <w:lang w:val="en-US"/>
        </w:rPr>
        <w:footnoteReference w:id="58"/>
      </w:r>
      <w:r w:rsidRPr="00841766">
        <w:rPr>
          <w:rFonts w:cs="Arial"/>
          <w:sz w:val="22"/>
          <w:lang w:val="en-US"/>
        </w:rPr>
        <w:t xml:space="preserve">. </w:t>
      </w:r>
      <w:r w:rsidR="00F9481D">
        <w:rPr>
          <w:rFonts w:cs="Arial"/>
          <w:sz w:val="22"/>
          <w:lang w:val="en-US"/>
        </w:rPr>
        <w:t xml:space="preserve"> </w:t>
      </w:r>
      <w:r w:rsidR="00146AA8" w:rsidRPr="00841766">
        <w:rPr>
          <w:rFonts w:cs="Arial"/>
          <w:sz w:val="22"/>
          <w:lang w:val="en-US"/>
        </w:rPr>
        <w:t>Half of under</w:t>
      </w:r>
      <w:r w:rsidR="00F9481D">
        <w:rPr>
          <w:rFonts w:cs="Arial"/>
          <w:sz w:val="22"/>
          <w:lang w:val="en-US"/>
        </w:rPr>
        <w:t>-</w:t>
      </w:r>
      <w:r w:rsidR="00146AA8" w:rsidRPr="00841766">
        <w:rPr>
          <w:rFonts w:cs="Arial"/>
          <w:sz w:val="22"/>
          <w:lang w:val="en-US"/>
        </w:rPr>
        <w:t xml:space="preserve">five </w:t>
      </w:r>
      <w:r w:rsidR="00BE2899" w:rsidRPr="00841766">
        <w:rPr>
          <w:rFonts w:cs="Arial"/>
          <w:sz w:val="22"/>
          <w:lang w:val="en-US"/>
        </w:rPr>
        <w:t xml:space="preserve">children </w:t>
      </w:r>
      <w:r w:rsidR="00146AA8" w:rsidRPr="00841766">
        <w:rPr>
          <w:rFonts w:cs="Arial"/>
          <w:sz w:val="22"/>
          <w:lang w:val="en-US"/>
        </w:rPr>
        <w:t>suffer from chronic malnutrition</w:t>
      </w:r>
      <w:r w:rsidR="00146AA8" w:rsidRPr="00841766">
        <w:rPr>
          <w:rStyle w:val="FootnoteReference"/>
          <w:rFonts w:cs="Arial"/>
          <w:sz w:val="22"/>
          <w:lang w:val="en-US"/>
        </w:rPr>
        <w:footnoteReference w:id="59"/>
      </w:r>
      <w:r w:rsidR="00146AA8" w:rsidRPr="00841766">
        <w:rPr>
          <w:rFonts w:cs="Arial"/>
          <w:sz w:val="22"/>
          <w:lang w:val="en-US"/>
        </w:rPr>
        <w:t xml:space="preserve">. </w:t>
      </w:r>
    </w:p>
    <w:p w14:paraId="293C2D88" w14:textId="77777777" w:rsidR="00252CEA" w:rsidRDefault="00252CEA" w:rsidP="00863184">
      <w:pPr>
        <w:autoSpaceDE w:val="0"/>
        <w:autoSpaceDN w:val="0"/>
        <w:adjustRightInd w:val="0"/>
        <w:jc w:val="both"/>
        <w:rPr>
          <w:rFonts w:cs="Times New Roman"/>
          <w:sz w:val="22"/>
          <w:szCs w:val="22"/>
          <w:lang w:val="en-US"/>
        </w:rPr>
      </w:pPr>
    </w:p>
    <w:p w14:paraId="1C402B0B" w14:textId="076F2AEC" w:rsidR="00B254D7" w:rsidRPr="00841766" w:rsidRDefault="00B254D7" w:rsidP="00863184">
      <w:pPr>
        <w:autoSpaceDE w:val="0"/>
        <w:autoSpaceDN w:val="0"/>
        <w:adjustRightInd w:val="0"/>
        <w:spacing w:after="120"/>
        <w:jc w:val="both"/>
        <w:rPr>
          <w:rFonts w:cs="Times New Roman"/>
          <w:sz w:val="22"/>
          <w:szCs w:val="22"/>
          <w:lang w:val="en-US"/>
        </w:rPr>
      </w:pPr>
      <w:r w:rsidRPr="00841766">
        <w:rPr>
          <w:rFonts w:cs="Times New Roman"/>
          <w:sz w:val="22"/>
          <w:szCs w:val="22"/>
          <w:lang w:val="en-US"/>
        </w:rPr>
        <w:t xml:space="preserve">In response to this situation, an increase in </w:t>
      </w:r>
      <w:r w:rsidR="00252CEA">
        <w:rPr>
          <w:rFonts w:cs="Times New Roman"/>
          <w:sz w:val="22"/>
          <w:szCs w:val="22"/>
          <w:lang w:val="en-US"/>
        </w:rPr>
        <w:t xml:space="preserve">food </w:t>
      </w:r>
      <w:r w:rsidRPr="00841766">
        <w:rPr>
          <w:rFonts w:cs="Times New Roman"/>
          <w:sz w:val="22"/>
          <w:szCs w:val="22"/>
          <w:lang w:val="en-US"/>
        </w:rPr>
        <w:t>production</w:t>
      </w:r>
      <w:r w:rsidR="00F6108E">
        <w:rPr>
          <w:rFonts w:cs="Times New Roman"/>
          <w:sz w:val="22"/>
          <w:szCs w:val="22"/>
          <w:lang w:val="en-US"/>
        </w:rPr>
        <w:t>,</w:t>
      </w:r>
      <w:r w:rsidR="00704890" w:rsidRPr="00841766">
        <w:rPr>
          <w:rFonts w:cs="Times New Roman"/>
          <w:sz w:val="22"/>
          <w:szCs w:val="22"/>
          <w:lang w:val="en-US"/>
        </w:rPr>
        <w:t xml:space="preserve"> </w:t>
      </w:r>
      <w:r w:rsidR="00252CEA">
        <w:rPr>
          <w:rFonts w:cs="Times New Roman"/>
          <w:sz w:val="22"/>
          <w:szCs w:val="22"/>
          <w:lang w:val="en-US"/>
        </w:rPr>
        <w:t xml:space="preserve">higher </w:t>
      </w:r>
      <w:r w:rsidR="00704890" w:rsidRPr="00841766">
        <w:rPr>
          <w:rFonts w:cs="Times New Roman"/>
          <w:sz w:val="22"/>
          <w:szCs w:val="22"/>
          <w:lang w:val="en-US"/>
        </w:rPr>
        <w:t>productivity</w:t>
      </w:r>
      <w:r w:rsidRPr="00841766">
        <w:rPr>
          <w:rFonts w:cs="Times New Roman"/>
          <w:sz w:val="22"/>
          <w:szCs w:val="22"/>
          <w:lang w:val="en-US"/>
        </w:rPr>
        <w:t xml:space="preserve"> and access to diverse and nutritious food is needed, combined with wide-spread access to safe water and basic sanitation</w:t>
      </w:r>
      <w:r w:rsidR="00252CEA">
        <w:rPr>
          <w:rFonts w:cs="Times New Roman"/>
          <w:sz w:val="22"/>
          <w:szCs w:val="22"/>
          <w:lang w:val="en-US"/>
        </w:rPr>
        <w:t>,</w:t>
      </w:r>
      <w:r w:rsidRPr="00841766">
        <w:rPr>
          <w:rFonts w:cs="Times New Roman"/>
          <w:sz w:val="22"/>
          <w:szCs w:val="22"/>
          <w:lang w:val="en-US"/>
        </w:rPr>
        <w:t xml:space="preserve"> together with </w:t>
      </w:r>
      <w:r w:rsidR="00252CEA">
        <w:rPr>
          <w:rFonts w:cs="Times New Roman"/>
          <w:sz w:val="22"/>
          <w:szCs w:val="22"/>
          <w:lang w:val="en-US"/>
        </w:rPr>
        <w:t xml:space="preserve">better </w:t>
      </w:r>
      <w:r w:rsidRPr="00841766">
        <w:rPr>
          <w:rFonts w:cs="Times New Roman"/>
          <w:sz w:val="22"/>
          <w:szCs w:val="22"/>
          <w:lang w:val="en-US"/>
        </w:rPr>
        <w:t xml:space="preserve">nutrition and hygiene practices. </w:t>
      </w:r>
      <w:r w:rsidR="00F6108E">
        <w:rPr>
          <w:rFonts w:cs="Times New Roman"/>
          <w:sz w:val="22"/>
          <w:szCs w:val="22"/>
          <w:lang w:val="en-US"/>
        </w:rPr>
        <w:t xml:space="preserve"> </w:t>
      </w:r>
      <w:r w:rsidRPr="00841766">
        <w:rPr>
          <w:rFonts w:cs="Times New Roman"/>
          <w:sz w:val="22"/>
          <w:szCs w:val="22"/>
          <w:lang w:val="en-US"/>
        </w:rPr>
        <w:t xml:space="preserve">A third of the rural population does not have access to </w:t>
      </w:r>
      <w:r w:rsidR="00252CEA">
        <w:rPr>
          <w:rFonts w:cs="Times New Roman"/>
          <w:sz w:val="22"/>
          <w:szCs w:val="22"/>
          <w:lang w:val="en-US"/>
        </w:rPr>
        <w:t>safe</w:t>
      </w:r>
      <w:r w:rsidRPr="00841766">
        <w:rPr>
          <w:rFonts w:cs="Times New Roman"/>
          <w:sz w:val="22"/>
          <w:szCs w:val="22"/>
          <w:lang w:val="en-US"/>
        </w:rPr>
        <w:t xml:space="preserve"> water, only half of population has access to basic sanitation, and nearly a third of rural dwellers practice open defecation</w:t>
      </w:r>
      <w:r w:rsidRPr="00841766">
        <w:rPr>
          <w:rStyle w:val="FootnoteReference"/>
          <w:rFonts w:cs="Arial"/>
          <w:sz w:val="22"/>
          <w:lang w:val="en-US"/>
        </w:rPr>
        <w:footnoteReference w:id="60"/>
      </w:r>
      <w:r w:rsidRPr="00841766">
        <w:rPr>
          <w:rFonts w:cs="Times New Roman"/>
          <w:sz w:val="22"/>
          <w:szCs w:val="22"/>
          <w:lang w:val="en-US"/>
        </w:rPr>
        <w:t xml:space="preserve">. </w:t>
      </w:r>
    </w:p>
    <w:p w14:paraId="35751711" w14:textId="672A36A2" w:rsidR="00B254D7" w:rsidRPr="00841766" w:rsidRDefault="00B254D7" w:rsidP="00863184">
      <w:pPr>
        <w:widowControl w:val="0"/>
        <w:autoSpaceDE w:val="0"/>
        <w:autoSpaceDN w:val="0"/>
        <w:adjustRightInd w:val="0"/>
        <w:spacing w:after="120"/>
        <w:jc w:val="both"/>
        <w:rPr>
          <w:rFonts w:cs="Arial"/>
          <w:bCs/>
          <w:sz w:val="22"/>
          <w:lang w:val="en-US"/>
        </w:rPr>
      </w:pPr>
      <w:r w:rsidRPr="00841766">
        <w:rPr>
          <w:rFonts w:cs="Times New Roman"/>
          <w:b/>
          <w:sz w:val="22"/>
          <w:szCs w:val="22"/>
          <w:lang w:val="en-US"/>
        </w:rPr>
        <w:t xml:space="preserve">Accelerating human capital development in </w:t>
      </w:r>
      <w:r w:rsidR="00927A3B" w:rsidRPr="00841766">
        <w:rPr>
          <w:rFonts w:cs="Times New Roman"/>
          <w:b/>
          <w:sz w:val="22"/>
          <w:szCs w:val="22"/>
          <w:lang w:val="en-US"/>
        </w:rPr>
        <w:t>Timor-Leste</w:t>
      </w:r>
      <w:r w:rsidRPr="00841766">
        <w:rPr>
          <w:rFonts w:cs="Times New Roman"/>
          <w:b/>
          <w:sz w:val="22"/>
          <w:szCs w:val="22"/>
          <w:lang w:val="en-US"/>
        </w:rPr>
        <w:t xml:space="preserve"> also requires sizeable investment in  education that provides access to quality learning from the early years</w:t>
      </w:r>
      <w:r w:rsidRPr="00841766">
        <w:rPr>
          <w:rFonts w:cs="Times New Roman"/>
          <w:sz w:val="22"/>
          <w:szCs w:val="22"/>
          <w:lang w:val="en-US"/>
        </w:rPr>
        <w:t xml:space="preserve"> (only 22% of children under five attend pre-school</w:t>
      </w:r>
      <w:r w:rsidRPr="00841766">
        <w:rPr>
          <w:rStyle w:val="FootnoteReference"/>
          <w:rFonts w:cs="Times New Roman"/>
          <w:sz w:val="22"/>
          <w:szCs w:val="22"/>
          <w:lang w:val="en-US"/>
        </w:rPr>
        <w:footnoteReference w:id="61"/>
      </w:r>
      <w:r w:rsidRPr="00841766">
        <w:rPr>
          <w:rFonts w:cs="Times New Roman"/>
          <w:sz w:val="22"/>
          <w:szCs w:val="22"/>
          <w:lang w:val="en-US"/>
        </w:rPr>
        <w:t xml:space="preserve">, while </w:t>
      </w:r>
      <w:r w:rsidRPr="00841766">
        <w:rPr>
          <w:rFonts w:cstheme="minorHAnsi"/>
          <w:bCs/>
          <w:sz w:val="22"/>
          <w:szCs w:val="22"/>
          <w:lang w:val="en-US"/>
        </w:rPr>
        <w:t>85% of brain development occurs before the age of 5)</w:t>
      </w:r>
      <w:r w:rsidR="00AA5256" w:rsidRPr="00841766">
        <w:rPr>
          <w:rFonts w:cstheme="minorHAnsi"/>
          <w:bCs/>
          <w:sz w:val="22"/>
          <w:szCs w:val="22"/>
          <w:lang w:val="en-US"/>
        </w:rPr>
        <w:t>,</w:t>
      </w:r>
      <w:r w:rsidRPr="00841766">
        <w:rPr>
          <w:rFonts w:cs="Times New Roman"/>
          <w:sz w:val="22"/>
          <w:szCs w:val="22"/>
          <w:lang w:val="en-US"/>
        </w:rPr>
        <w:t xml:space="preserve"> offer</w:t>
      </w:r>
      <w:r w:rsidR="00AA5256" w:rsidRPr="00841766">
        <w:rPr>
          <w:rFonts w:cs="Times New Roman"/>
          <w:sz w:val="22"/>
          <w:szCs w:val="22"/>
          <w:lang w:val="en-US"/>
        </w:rPr>
        <w:t>s</w:t>
      </w:r>
      <w:r w:rsidRPr="00841766">
        <w:rPr>
          <w:rFonts w:cs="Times New Roman"/>
          <w:sz w:val="22"/>
          <w:szCs w:val="22"/>
          <w:lang w:val="en-US"/>
        </w:rPr>
        <w:t xml:space="preserve"> innovative learning pathways to those excluded from the traditional education system, and equip</w:t>
      </w:r>
      <w:r w:rsidR="004E31FF">
        <w:rPr>
          <w:rFonts w:cs="Times New Roman"/>
          <w:sz w:val="22"/>
          <w:szCs w:val="22"/>
          <w:lang w:val="en-US"/>
        </w:rPr>
        <w:t>s</w:t>
      </w:r>
      <w:r w:rsidRPr="00841766">
        <w:rPr>
          <w:rFonts w:cs="Times New Roman"/>
          <w:sz w:val="22"/>
          <w:szCs w:val="22"/>
          <w:lang w:val="en-US"/>
        </w:rPr>
        <w:t xml:space="preserve"> youth with the job and entrepreneurship skills needed in a transforming economy. </w:t>
      </w:r>
    </w:p>
    <w:p w14:paraId="6802BD7E" w14:textId="488B5994" w:rsidR="00B254D7" w:rsidRPr="00841766" w:rsidRDefault="00370A46" w:rsidP="00863184">
      <w:pPr>
        <w:autoSpaceDE w:val="0"/>
        <w:autoSpaceDN w:val="0"/>
        <w:adjustRightInd w:val="0"/>
        <w:spacing w:after="120"/>
        <w:jc w:val="both"/>
        <w:rPr>
          <w:rFonts w:cs="Times New Roman"/>
          <w:sz w:val="22"/>
          <w:szCs w:val="22"/>
          <w:lang w:val="en-US"/>
        </w:rPr>
      </w:pPr>
      <w:r>
        <w:rPr>
          <w:rFonts w:cs="Times New Roman"/>
          <w:b/>
          <w:sz w:val="22"/>
          <w:szCs w:val="22"/>
          <w:lang w:val="en-US"/>
        </w:rPr>
        <w:t>S</w:t>
      </w:r>
      <w:r w:rsidR="00B254D7" w:rsidRPr="00841766">
        <w:rPr>
          <w:rFonts w:cs="Times New Roman"/>
          <w:b/>
          <w:sz w:val="22"/>
          <w:szCs w:val="22"/>
          <w:lang w:val="en-US"/>
        </w:rPr>
        <w:t>ustaining the progress made in the health sector is key</w:t>
      </w:r>
      <w:r w:rsidR="00760AF0">
        <w:rPr>
          <w:rFonts w:cs="Times New Roman"/>
          <w:sz w:val="22"/>
          <w:szCs w:val="22"/>
          <w:lang w:val="en-US"/>
        </w:rPr>
        <w:t xml:space="preserve"> in particular for addressing unmet needs f</w:t>
      </w:r>
      <w:r w:rsidR="00760AF0" w:rsidRPr="00760AF0">
        <w:rPr>
          <w:rFonts w:cs="Times New Roman"/>
          <w:sz w:val="22"/>
          <w:szCs w:val="22"/>
          <w:lang w:val="en-US"/>
        </w:rPr>
        <w:t>or family planning</w:t>
      </w:r>
      <w:r w:rsidR="00B254D7" w:rsidRPr="00760AF0">
        <w:rPr>
          <w:rFonts w:cs="Times New Roman"/>
          <w:sz w:val="22"/>
          <w:szCs w:val="22"/>
          <w:lang w:val="en-US"/>
        </w:rPr>
        <w:t>,</w:t>
      </w:r>
      <w:r w:rsidR="00B254D7" w:rsidRPr="00841766">
        <w:rPr>
          <w:rFonts w:cs="Times New Roman"/>
          <w:sz w:val="22"/>
          <w:szCs w:val="22"/>
          <w:lang w:val="en-US"/>
        </w:rPr>
        <w:t xml:space="preserve"> essential for demographic dividends to be realized, and for all Timorese, in particular women of reproductive age, adolescent girls, and women from rural and poor households, to access quality health</w:t>
      </w:r>
      <w:r w:rsidR="00584BB1">
        <w:rPr>
          <w:rFonts w:cs="Times New Roman"/>
          <w:sz w:val="22"/>
          <w:szCs w:val="22"/>
          <w:lang w:val="en-US"/>
        </w:rPr>
        <w:t xml:space="preserve"> </w:t>
      </w:r>
      <w:r w:rsidR="00B254D7" w:rsidRPr="00841766">
        <w:rPr>
          <w:rFonts w:cs="Times New Roman"/>
          <w:sz w:val="22"/>
          <w:szCs w:val="22"/>
          <w:lang w:val="en-US"/>
        </w:rPr>
        <w:t>care and play their part in the development of the country.</w:t>
      </w:r>
    </w:p>
    <w:p w14:paraId="4C2C6E34" w14:textId="0DBB486A" w:rsidR="00B254D7" w:rsidRPr="00841766" w:rsidRDefault="004E31FF" w:rsidP="00863184">
      <w:pPr>
        <w:autoSpaceDE w:val="0"/>
        <w:autoSpaceDN w:val="0"/>
        <w:adjustRightInd w:val="0"/>
        <w:spacing w:after="120"/>
        <w:jc w:val="both"/>
        <w:rPr>
          <w:rFonts w:cs="Arial"/>
          <w:sz w:val="22"/>
          <w:lang w:val="en-US"/>
        </w:rPr>
      </w:pPr>
      <w:r>
        <w:rPr>
          <w:rFonts w:cs="Times New Roman"/>
          <w:b/>
          <w:sz w:val="22"/>
          <w:szCs w:val="22"/>
          <w:lang w:val="en-US"/>
        </w:rPr>
        <w:t xml:space="preserve">A key priority for achieving the SDGs is </w:t>
      </w:r>
      <w:r w:rsidR="005B5189">
        <w:rPr>
          <w:rFonts w:cs="Times New Roman"/>
          <w:b/>
          <w:sz w:val="22"/>
          <w:szCs w:val="22"/>
          <w:lang w:val="en-US"/>
        </w:rPr>
        <w:t>reform</w:t>
      </w:r>
      <w:r>
        <w:rPr>
          <w:rFonts w:cs="Times New Roman"/>
          <w:b/>
          <w:sz w:val="22"/>
          <w:szCs w:val="22"/>
          <w:lang w:val="en-US"/>
        </w:rPr>
        <w:t>s of</w:t>
      </w:r>
      <w:r w:rsidR="0092343D">
        <w:rPr>
          <w:rFonts w:cs="Times New Roman"/>
          <w:b/>
          <w:sz w:val="22"/>
          <w:szCs w:val="22"/>
          <w:lang w:val="en-US"/>
        </w:rPr>
        <w:t xml:space="preserve"> </w:t>
      </w:r>
      <w:r w:rsidR="00B254D7" w:rsidRPr="00841766">
        <w:rPr>
          <w:rFonts w:cs="Times New Roman"/>
          <w:b/>
          <w:sz w:val="22"/>
          <w:szCs w:val="22"/>
          <w:lang w:val="en-US"/>
        </w:rPr>
        <w:t>the social protection system</w:t>
      </w:r>
      <w:r w:rsidR="00E67639">
        <w:rPr>
          <w:rFonts w:cs="Times New Roman"/>
          <w:b/>
          <w:sz w:val="22"/>
          <w:szCs w:val="22"/>
          <w:lang w:val="en-US"/>
        </w:rPr>
        <w:t>.</w:t>
      </w:r>
      <w:r w:rsidR="00B254D7" w:rsidRPr="00841766">
        <w:rPr>
          <w:rFonts w:cs="Times New Roman"/>
          <w:sz w:val="22"/>
          <w:szCs w:val="22"/>
          <w:lang w:val="en-US"/>
        </w:rPr>
        <w:t xml:space="preserve"> </w:t>
      </w:r>
      <w:r w:rsidR="0092343D">
        <w:rPr>
          <w:rFonts w:cs="Times New Roman"/>
          <w:sz w:val="22"/>
          <w:szCs w:val="22"/>
          <w:lang w:val="en-US"/>
        </w:rPr>
        <w:t xml:space="preserve"> </w:t>
      </w:r>
      <w:r>
        <w:rPr>
          <w:rFonts w:cs="Times New Roman"/>
          <w:sz w:val="22"/>
          <w:szCs w:val="22"/>
          <w:lang w:val="en-US"/>
        </w:rPr>
        <w:t xml:space="preserve">Improving </w:t>
      </w:r>
      <w:r w:rsidR="001968DF">
        <w:rPr>
          <w:rFonts w:cs="Times New Roman"/>
          <w:sz w:val="22"/>
          <w:szCs w:val="22"/>
          <w:lang w:val="en-US"/>
        </w:rPr>
        <w:t xml:space="preserve">the </w:t>
      </w:r>
      <w:r w:rsidR="00B254D7" w:rsidRPr="00841766">
        <w:rPr>
          <w:rFonts w:cs="Times New Roman"/>
          <w:sz w:val="22"/>
          <w:szCs w:val="22"/>
          <w:lang w:val="en-US"/>
        </w:rPr>
        <w:t>targeting</w:t>
      </w:r>
      <w:r w:rsidR="001968DF">
        <w:rPr>
          <w:rFonts w:cs="Times New Roman"/>
          <w:sz w:val="22"/>
          <w:szCs w:val="22"/>
          <w:lang w:val="en-US"/>
        </w:rPr>
        <w:t xml:space="preserve"> of beneficiaries</w:t>
      </w:r>
      <w:r w:rsidR="00075574">
        <w:rPr>
          <w:rFonts w:cs="Times New Roman"/>
          <w:sz w:val="22"/>
          <w:szCs w:val="22"/>
          <w:lang w:val="en-US"/>
        </w:rPr>
        <w:t>, widening coverage</w:t>
      </w:r>
      <w:r w:rsidR="00B254D7" w:rsidRPr="00841766">
        <w:rPr>
          <w:rFonts w:cs="Times New Roman"/>
          <w:sz w:val="22"/>
          <w:szCs w:val="22"/>
          <w:lang w:val="en-US"/>
        </w:rPr>
        <w:t xml:space="preserve"> and </w:t>
      </w:r>
      <w:r w:rsidR="00075574">
        <w:rPr>
          <w:rFonts w:cs="Times New Roman"/>
          <w:sz w:val="22"/>
          <w:szCs w:val="22"/>
          <w:lang w:val="en-US"/>
        </w:rPr>
        <w:t xml:space="preserve">introduction of </w:t>
      </w:r>
      <w:r w:rsidR="001968DF">
        <w:rPr>
          <w:rFonts w:cs="Times New Roman"/>
          <w:sz w:val="22"/>
          <w:szCs w:val="22"/>
          <w:lang w:val="en-US"/>
        </w:rPr>
        <w:t xml:space="preserve">more </w:t>
      </w:r>
      <w:r w:rsidR="00B254D7" w:rsidRPr="00841766">
        <w:rPr>
          <w:rFonts w:cs="Times New Roman"/>
          <w:sz w:val="22"/>
          <w:szCs w:val="22"/>
          <w:lang w:val="en-US"/>
        </w:rPr>
        <w:t xml:space="preserve">innovative financing </w:t>
      </w:r>
      <w:r>
        <w:rPr>
          <w:rFonts w:cs="Times New Roman"/>
          <w:sz w:val="22"/>
          <w:szCs w:val="22"/>
          <w:lang w:val="en-US"/>
        </w:rPr>
        <w:t xml:space="preserve">methods </w:t>
      </w:r>
      <w:r w:rsidR="00075574">
        <w:rPr>
          <w:rFonts w:cs="Times New Roman"/>
          <w:sz w:val="22"/>
          <w:szCs w:val="22"/>
          <w:lang w:val="en-US"/>
        </w:rPr>
        <w:t>are critical changes need</w:t>
      </w:r>
      <w:r w:rsidR="002E293D">
        <w:rPr>
          <w:rFonts w:cs="Times New Roman"/>
          <w:sz w:val="22"/>
          <w:szCs w:val="22"/>
          <w:lang w:val="en-US"/>
        </w:rPr>
        <w:t>ed</w:t>
      </w:r>
      <w:r w:rsidR="00075574">
        <w:rPr>
          <w:rFonts w:cs="Times New Roman"/>
          <w:sz w:val="22"/>
          <w:szCs w:val="22"/>
          <w:lang w:val="en-US"/>
        </w:rPr>
        <w:t xml:space="preserve"> to strengthen</w:t>
      </w:r>
      <w:r w:rsidR="00365965">
        <w:rPr>
          <w:rFonts w:cs="Times New Roman"/>
          <w:sz w:val="22"/>
          <w:szCs w:val="22"/>
          <w:lang w:val="en-US"/>
        </w:rPr>
        <w:t xml:space="preserve"> the social protection system</w:t>
      </w:r>
      <w:r w:rsidR="00075574">
        <w:rPr>
          <w:rFonts w:cs="Times New Roman"/>
          <w:sz w:val="22"/>
          <w:szCs w:val="22"/>
          <w:lang w:val="en-US"/>
        </w:rPr>
        <w:t xml:space="preserve"> </w:t>
      </w:r>
      <w:r w:rsidR="00B254D7" w:rsidRPr="00841766">
        <w:rPr>
          <w:rFonts w:cs="Times New Roman"/>
          <w:sz w:val="22"/>
          <w:szCs w:val="22"/>
          <w:lang w:val="en-US"/>
        </w:rPr>
        <w:t xml:space="preserve">to reach the most </w:t>
      </w:r>
      <w:r w:rsidR="0017765C">
        <w:rPr>
          <w:rFonts w:cs="Times New Roman"/>
          <w:sz w:val="22"/>
          <w:szCs w:val="22"/>
          <w:lang w:val="en-US"/>
        </w:rPr>
        <w:t>excluded</w:t>
      </w:r>
      <w:r w:rsidR="00075574">
        <w:rPr>
          <w:rFonts w:cs="Times New Roman"/>
          <w:sz w:val="22"/>
          <w:szCs w:val="22"/>
          <w:lang w:val="en-US"/>
        </w:rPr>
        <w:t xml:space="preserve"> and </w:t>
      </w:r>
      <w:r w:rsidR="00B254D7" w:rsidRPr="00841766">
        <w:rPr>
          <w:rFonts w:cs="Times New Roman"/>
          <w:sz w:val="22"/>
          <w:szCs w:val="22"/>
          <w:lang w:val="en-US"/>
        </w:rPr>
        <w:t>address the poverty-related barrier to progress in access to services and rights</w:t>
      </w:r>
      <w:r w:rsidR="00B254D7" w:rsidRPr="00841766">
        <w:rPr>
          <w:rFonts w:cs="Times New Roman"/>
          <w:i/>
          <w:sz w:val="22"/>
          <w:szCs w:val="22"/>
          <w:lang w:val="en-US"/>
        </w:rPr>
        <w:t xml:space="preserve">. </w:t>
      </w:r>
      <w:r w:rsidR="00F6108E">
        <w:rPr>
          <w:rFonts w:cs="Times New Roman"/>
          <w:i/>
          <w:sz w:val="22"/>
          <w:szCs w:val="22"/>
          <w:lang w:val="en-US"/>
        </w:rPr>
        <w:t xml:space="preserve"> </w:t>
      </w:r>
      <w:r w:rsidR="00B254D7" w:rsidRPr="00841766">
        <w:rPr>
          <w:rFonts w:cs="Arial"/>
          <w:sz w:val="22"/>
          <w:lang w:val="en-US"/>
        </w:rPr>
        <w:t xml:space="preserve">With petroleum receipts </w:t>
      </w:r>
      <w:r>
        <w:rPr>
          <w:rFonts w:cs="Arial"/>
          <w:sz w:val="22"/>
          <w:lang w:val="en-US"/>
        </w:rPr>
        <w:t>declining</w:t>
      </w:r>
      <w:r w:rsidR="00B254D7" w:rsidRPr="00841766">
        <w:rPr>
          <w:rFonts w:cs="Arial"/>
          <w:sz w:val="22"/>
          <w:lang w:val="en-US"/>
        </w:rPr>
        <w:t xml:space="preserve">, the current social assistance scheme is expected to </w:t>
      </w:r>
      <w:r>
        <w:rPr>
          <w:rFonts w:cs="Arial"/>
          <w:sz w:val="22"/>
          <w:lang w:val="en-US"/>
        </w:rPr>
        <w:t xml:space="preserve">face </w:t>
      </w:r>
      <w:r w:rsidR="00B254D7" w:rsidRPr="00841766">
        <w:rPr>
          <w:rFonts w:cs="Arial"/>
          <w:sz w:val="22"/>
          <w:lang w:val="en-US"/>
        </w:rPr>
        <w:t>fiscal sustainab</w:t>
      </w:r>
      <w:r>
        <w:rPr>
          <w:rFonts w:cs="Arial"/>
          <w:sz w:val="22"/>
          <w:lang w:val="en-US"/>
        </w:rPr>
        <w:t>ility challenges</w:t>
      </w:r>
      <w:r w:rsidR="00B254D7" w:rsidRPr="00841766">
        <w:rPr>
          <w:rFonts w:cs="Arial"/>
          <w:sz w:val="22"/>
          <w:lang w:val="en-US"/>
        </w:rPr>
        <w:t>.</w:t>
      </w:r>
    </w:p>
    <w:p w14:paraId="21E0DFCB" w14:textId="4B0F4F9D" w:rsidR="002E293D" w:rsidRPr="00344B48" w:rsidRDefault="002E293D" w:rsidP="00863184">
      <w:pPr>
        <w:autoSpaceDE w:val="0"/>
        <w:autoSpaceDN w:val="0"/>
        <w:adjustRightInd w:val="0"/>
        <w:jc w:val="both"/>
        <w:rPr>
          <w:rFonts w:cs="Arial"/>
          <w:sz w:val="22"/>
          <w:lang w:val="en-US"/>
        </w:rPr>
      </w:pPr>
      <w:r w:rsidRPr="00841766">
        <w:rPr>
          <w:rFonts w:cs="Times New Roman"/>
          <w:b/>
          <w:sz w:val="22"/>
          <w:szCs w:val="22"/>
          <w:lang w:val="en-US"/>
        </w:rPr>
        <w:t>The sustainability of Timor</w:t>
      </w:r>
      <w:r>
        <w:rPr>
          <w:rFonts w:cs="Times New Roman"/>
          <w:b/>
          <w:sz w:val="22"/>
          <w:szCs w:val="22"/>
          <w:lang w:val="en-US"/>
        </w:rPr>
        <w:t>-Leste</w:t>
      </w:r>
      <w:r w:rsidRPr="00841766">
        <w:rPr>
          <w:rFonts w:cs="Times New Roman"/>
          <w:b/>
          <w:sz w:val="22"/>
          <w:szCs w:val="22"/>
          <w:lang w:val="en-US"/>
        </w:rPr>
        <w:t xml:space="preserve">’s development progress will also depend on the country’s ability to consolidate the gains made in building </w:t>
      </w:r>
      <w:r>
        <w:rPr>
          <w:rFonts w:cs="Times New Roman"/>
          <w:b/>
          <w:sz w:val="22"/>
          <w:szCs w:val="22"/>
          <w:lang w:val="en-US"/>
        </w:rPr>
        <w:t xml:space="preserve">peace and </w:t>
      </w:r>
      <w:r w:rsidRPr="00841766">
        <w:rPr>
          <w:rFonts w:cs="Times New Roman"/>
          <w:b/>
          <w:sz w:val="22"/>
          <w:szCs w:val="22"/>
          <w:lang w:val="en-US"/>
        </w:rPr>
        <w:t>democratic institutions</w:t>
      </w:r>
      <w:r>
        <w:rPr>
          <w:rFonts w:cs="Times New Roman"/>
          <w:sz w:val="22"/>
          <w:szCs w:val="22"/>
          <w:lang w:val="en-US"/>
        </w:rPr>
        <w:t>.</w:t>
      </w:r>
      <w:r w:rsidRPr="00841766">
        <w:rPr>
          <w:rFonts w:cs="Times New Roman"/>
          <w:sz w:val="22"/>
          <w:szCs w:val="22"/>
          <w:lang w:val="en-US"/>
        </w:rPr>
        <w:t xml:space="preserve">  </w:t>
      </w:r>
      <w:r>
        <w:rPr>
          <w:rFonts w:cs="Times New Roman"/>
          <w:sz w:val="22"/>
          <w:szCs w:val="22"/>
          <w:lang w:val="en-US"/>
        </w:rPr>
        <w:t xml:space="preserve">Consolidated efforts are needed </w:t>
      </w:r>
      <w:r w:rsidRPr="00841766">
        <w:rPr>
          <w:rFonts w:cs="Times New Roman"/>
          <w:sz w:val="22"/>
          <w:szCs w:val="22"/>
          <w:lang w:val="en-US"/>
        </w:rPr>
        <w:t>to further develop inclusive, responsive and transparent institutions</w:t>
      </w:r>
      <w:r>
        <w:rPr>
          <w:rFonts w:cs="Times New Roman"/>
          <w:sz w:val="22"/>
          <w:szCs w:val="22"/>
          <w:lang w:val="en-US"/>
        </w:rPr>
        <w:t>, resulting in protection and participation of</w:t>
      </w:r>
      <w:r w:rsidRPr="00841766">
        <w:rPr>
          <w:rFonts w:cs="Times New Roman"/>
          <w:sz w:val="22"/>
          <w:szCs w:val="22"/>
          <w:lang w:val="en-US"/>
        </w:rPr>
        <w:t xml:space="preserve"> the most </w:t>
      </w:r>
      <w:r>
        <w:rPr>
          <w:rFonts w:cs="Times New Roman"/>
          <w:sz w:val="22"/>
          <w:szCs w:val="22"/>
          <w:lang w:val="en-US"/>
        </w:rPr>
        <w:t>marginalized</w:t>
      </w:r>
      <w:r w:rsidRPr="00841766">
        <w:rPr>
          <w:rFonts w:cs="Times New Roman"/>
          <w:sz w:val="22"/>
          <w:szCs w:val="22"/>
          <w:lang w:val="en-US"/>
        </w:rPr>
        <w:t xml:space="preserve"> and the hardest to reach, in particular children, women and girls, people with disabilities</w:t>
      </w:r>
      <w:r w:rsidR="001968DF">
        <w:rPr>
          <w:rFonts w:cs="Times New Roman"/>
          <w:sz w:val="22"/>
          <w:szCs w:val="22"/>
          <w:lang w:val="en-US"/>
        </w:rPr>
        <w:t xml:space="preserve"> and suffering from long-term illnesses</w:t>
      </w:r>
      <w:r w:rsidRPr="00841766">
        <w:rPr>
          <w:rFonts w:cs="Times New Roman"/>
          <w:sz w:val="22"/>
          <w:szCs w:val="22"/>
          <w:lang w:val="en-US"/>
        </w:rPr>
        <w:t>, migrants and the rural poor.</w:t>
      </w:r>
      <w:r w:rsidRPr="00841766">
        <w:rPr>
          <w:rFonts w:cs="Arial"/>
          <w:sz w:val="22"/>
          <w:lang w:val="en-US"/>
        </w:rPr>
        <w:t xml:space="preserve"> </w:t>
      </w:r>
      <w:r>
        <w:rPr>
          <w:rFonts w:cs="Arial"/>
          <w:sz w:val="22"/>
          <w:lang w:val="en-US"/>
        </w:rPr>
        <w:t xml:space="preserve"> </w:t>
      </w:r>
      <w:r w:rsidRPr="00344B48">
        <w:rPr>
          <w:rFonts w:cs="Times New Roman"/>
          <w:sz w:val="22"/>
          <w:szCs w:val="22"/>
          <w:lang w:val="en-US"/>
        </w:rPr>
        <w:t xml:space="preserve">Strengthening </w:t>
      </w:r>
      <w:r w:rsidRPr="00344B48">
        <w:rPr>
          <w:rFonts w:cs="Times New Roman"/>
          <w:sz w:val="22"/>
          <w:szCs w:val="22"/>
          <w:lang w:val="en-US"/>
        </w:rPr>
        <w:lastRenderedPageBreak/>
        <w:t xml:space="preserve">social cohesion by developing a culture of non-violence and investing in </w:t>
      </w:r>
      <w:r>
        <w:rPr>
          <w:rFonts w:cs="Times New Roman"/>
          <w:sz w:val="22"/>
          <w:szCs w:val="22"/>
          <w:lang w:val="en-US"/>
        </w:rPr>
        <w:t xml:space="preserve">ending </w:t>
      </w:r>
      <w:r w:rsidRPr="00344B48">
        <w:rPr>
          <w:rFonts w:cs="Times New Roman"/>
          <w:sz w:val="22"/>
          <w:szCs w:val="22"/>
          <w:lang w:val="en-US"/>
        </w:rPr>
        <w:t xml:space="preserve">violence against women and children </w:t>
      </w:r>
      <w:r>
        <w:rPr>
          <w:rFonts w:cs="Times New Roman"/>
          <w:sz w:val="22"/>
          <w:szCs w:val="22"/>
          <w:lang w:val="en-US"/>
        </w:rPr>
        <w:t>need to be prioritized.</w:t>
      </w:r>
    </w:p>
    <w:p w14:paraId="1EA98042" w14:textId="6421C529" w:rsidR="008B7F8F" w:rsidRPr="00841766" w:rsidRDefault="003D7CB8" w:rsidP="00863184">
      <w:pPr>
        <w:autoSpaceDE w:val="0"/>
        <w:autoSpaceDN w:val="0"/>
        <w:adjustRightInd w:val="0"/>
        <w:spacing w:after="120"/>
        <w:jc w:val="both"/>
        <w:rPr>
          <w:rFonts w:cs="Times New Roman"/>
          <w:sz w:val="22"/>
          <w:szCs w:val="22"/>
          <w:lang w:val="en-US"/>
        </w:rPr>
      </w:pPr>
      <w:r>
        <w:rPr>
          <w:rFonts w:cs="Times New Roman"/>
          <w:b/>
          <w:sz w:val="22"/>
          <w:szCs w:val="22"/>
          <w:lang w:val="en-US"/>
        </w:rPr>
        <w:t>T</w:t>
      </w:r>
      <w:r w:rsidR="00B254D7" w:rsidRPr="00841766">
        <w:rPr>
          <w:rFonts w:cs="Times New Roman"/>
          <w:b/>
          <w:sz w:val="22"/>
          <w:szCs w:val="22"/>
          <w:lang w:val="en-US"/>
        </w:rPr>
        <w:t xml:space="preserve">o ensure the sustainability of results </w:t>
      </w:r>
      <w:r w:rsidR="001968DF">
        <w:rPr>
          <w:rFonts w:cs="Times New Roman"/>
          <w:b/>
          <w:sz w:val="22"/>
          <w:szCs w:val="22"/>
          <w:lang w:val="en-US"/>
        </w:rPr>
        <w:t>for</w:t>
      </w:r>
      <w:r w:rsidR="00B254D7" w:rsidRPr="00841766">
        <w:rPr>
          <w:rFonts w:cs="Times New Roman"/>
          <w:b/>
          <w:sz w:val="22"/>
          <w:szCs w:val="22"/>
          <w:lang w:val="en-US"/>
        </w:rPr>
        <w:t xml:space="preserve"> any of these priorities, the ability of Timor-Leste to cope with the impact of climate change and protect its natural resources</w:t>
      </w:r>
      <w:r w:rsidR="00B254D7" w:rsidRPr="00841766">
        <w:rPr>
          <w:rFonts w:cs="Times New Roman"/>
          <w:sz w:val="22"/>
          <w:szCs w:val="22"/>
          <w:lang w:val="en-US"/>
        </w:rPr>
        <w:t xml:space="preserve"> must be strengthene</w:t>
      </w:r>
      <w:r w:rsidR="008B7F8F" w:rsidRPr="00841766">
        <w:rPr>
          <w:rFonts w:cs="Times New Roman"/>
          <w:sz w:val="22"/>
          <w:szCs w:val="22"/>
          <w:lang w:val="en-US"/>
        </w:rPr>
        <w:t xml:space="preserve">d. </w:t>
      </w:r>
      <w:r w:rsidR="00C77C9E">
        <w:rPr>
          <w:rFonts w:cs="Times New Roman"/>
          <w:sz w:val="22"/>
          <w:szCs w:val="22"/>
          <w:lang w:val="en-US"/>
        </w:rPr>
        <w:t xml:space="preserve"> </w:t>
      </w:r>
      <w:r w:rsidR="00B254D7" w:rsidRPr="00841766">
        <w:rPr>
          <w:rFonts w:cs="Arial"/>
          <w:sz w:val="22"/>
          <w:lang w:val="en-US"/>
        </w:rPr>
        <w:t xml:space="preserve">Land degradation in Timor-Leste is a widespread problem </w:t>
      </w:r>
      <w:r w:rsidR="00B254D7" w:rsidRPr="00841766">
        <w:rPr>
          <w:rFonts w:cs="Arial"/>
          <w:bCs/>
          <w:sz w:val="22"/>
          <w:lang w:val="en-US"/>
        </w:rPr>
        <w:t xml:space="preserve">with the highest impact on the drier drought-prone northern coast and northern slopes, including steeply sloping denuded mountain forests. </w:t>
      </w:r>
      <w:r w:rsidR="00C77C9E">
        <w:rPr>
          <w:rFonts w:cs="Arial"/>
          <w:bCs/>
          <w:sz w:val="22"/>
          <w:lang w:val="en-US"/>
        </w:rPr>
        <w:t xml:space="preserve"> </w:t>
      </w:r>
      <w:r w:rsidR="00B254D7" w:rsidRPr="00841766">
        <w:rPr>
          <w:rFonts w:cs="Arial"/>
          <w:sz w:val="22"/>
          <w:lang w:val="en-US"/>
        </w:rPr>
        <w:t xml:space="preserve">The rate of deforestation of </w:t>
      </w:r>
      <w:r w:rsidR="00927A3B" w:rsidRPr="00841766">
        <w:rPr>
          <w:rFonts w:cs="Arial"/>
          <w:sz w:val="22"/>
          <w:lang w:val="en-US"/>
        </w:rPr>
        <w:t>Timor-Leste</w:t>
      </w:r>
      <w:r w:rsidR="008B7F8F" w:rsidRPr="00841766">
        <w:rPr>
          <w:rFonts w:cs="Arial"/>
          <w:sz w:val="22"/>
          <w:lang w:val="en-US"/>
        </w:rPr>
        <w:t>,</w:t>
      </w:r>
      <w:r w:rsidR="00B254D7" w:rsidRPr="00841766">
        <w:rPr>
          <w:rFonts w:cs="Arial"/>
          <w:sz w:val="22"/>
          <w:lang w:val="en-US"/>
        </w:rPr>
        <w:t xml:space="preserve"> currently estimated that 1.7% per year (increasing fr</w:t>
      </w:r>
      <w:r w:rsidR="008B7F8F" w:rsidRPr="00841766">
        <w:rPr>
          <w:rFonts w:cs="Arial"/>
          <w:sz w:val="22"/>
          <w:lang w:val="en-US"/>
        </w:rPr>
        <w:t>om 1.1% per year prior to 2000)</w:t>
      </w:r>
      <w:r w:rsidR="00B254D7" w:rsidRPr="00841766">
        <w:rPr>
          <w:rFonts w:cs="Arial"/>
          <w:sz w:val="22"/>
          <w:lang w:val="en-US"/>
        </w:rPr>
        <w:t>, is four times higher than the global average of 0.3 percent</w:t>
      </w:r>
      <w:r w:rsidR="00B254D7" w:rsidRPr="00841766">
        <w:rPr>
          <w:rFonts w:cs="Arial"/>
          <w:sz w:val="22"/>
          <w:vertAlign w:val="superscript"/>
          <w:lang w:val="en-US"/>
        </w:rPr>
        <w:footnoteReference w:id="62"/>
      </w:r>
      <w:r w:rsidR="00B254D7" w:rsidRPr="00841766">
        <w:rPr>
          <w:rFonts w:cs="Arial"/>
          <w:sz w:val="22"/>
          <w:lang w:val="en-US"/>
        </w:rPr>
        <w:t>.</w:t>
      </w:r>
      <w:r w:rsidR="008B7F8F" w:rsidRPr="00841766">
        <w:rPr>
          <w:rFonts w:cs="Arial"/>
          <w:sz w:val="22"/>
          <w:lang w:val="en-US"/>
        </w:rPr>
        <w:t xml:space="preserve"> </w:t>
      </w:r>
      <w:r w:rsidR="00C96291">
        <w:rPr>
          <w:rFonts w:cs="Arial"/>
          <w:sz w:val="22"/>
          <w:lang w:val="en-US"/>
        </w:rPr>
        <w:t xml:space="preserve"> </w:t>
      </w:r>
      <w:r w:rsidR="00D37EAD">
        <w:rPr>
          <w:rFonts w:cs="Arial"/>
          <w:sz w:val="22"/>
          <w:lang w:val="en-US"/>
        </w:rPr>
        <w:t>While threatening people’s livelihoods</w:t>
      </w:r>
      <w:r w:rsidR="00C96291">
        <w:rPr>
          <w:rFonts w:cs="Arial"/>
          <w:sz w:val="22"/>
          <w:lang w:val="en-US"/>
        </w:rPr>
        <w:t>,</w:t>
      </w:r>
      <w:r w:rsidR="00D37EAD">
        <w:rPr>
          <w:rFonts w:cs="Arial"/>
          <w:sz w:val="22"/>
          <w:lang w:val="en-US"/>
        </w:rPr>
        <w:t xml:space="preserve"> agriculture, water and food security, climate change also leads to increas</w:t>
      </w:r>
      <w:r w:rsidR="002E293D">
        <w:rPr>
          <w:rFonts w:cs="Arial"/>
          <w:sz w:val="22"/>
          <w:lang w:val="en-US"/>
        </w:rPr>
        <w:t>ed</w:t>
      </w:r>
      <w:r w:rsidR="00D37EAD">
        <w:rPr>
          <w:rFonts w:cs="Arial"/>
          <w:sz w:val="22"/>
          <w:lang w:val="en-US"/>
        </w:rPr>
        <w:t xml:space="preserve"> m</w:t>
      </w:r>
      <w:r w:rsidR="00BC3504">
        <w:rPr>
          <w:rFonts w:cs="Arial"/>
          <w:sz w:val="22"/>
          <w:lang w:val="en-US"/>
        </w:rPr>
        <w:t>igration</w:t>
      </w:r>
      <w:r w:rsidR="00C96291">
        <w:rPr>
          <w:rFonts w:cs="Arial"/>
          <w:sz w:val="22"/>
          <w:lang w:val="en-US"/>
        </w:rPr>
        <w:t>,</w:t>
      </w:r>
      <w:r w:rsidR="00BC3504">
        <w:rPr>
          <w:rFonts w:cs="Arial"/>
          <w:sz w:val="22"/>
          <w:lang w:val="en-US"/>
        </w:rPr>
        <w:t xml:space="preserve"> </w:t>
      </w:r>
      <w:r w:rsidR="00D37EAD">
        <w:rPr>
          <w:rFonts w:cs="Arial"/>
          <w:sz w:val="22"/>
          <w:lang w:val="en-US"/>
        </w:rPr>
        <w:t>which put</w:t>
      </w:r>
      <w:r w:rsidR="00BC3504">
        <w:rPr>
          <w:rFonts w:cs="Arial"/>
          <w:sz w:val="22"/>
          <w:lang w:val="en-US"/>
        </w:rPr>
        <w:t xml:space="preserve"> increased pressure on urban </w:t>
      </w:r>
      <w:r w:rsidR="00E67639">
        <w:rPr>
          <w:rFonts w:cs="Arial"/>
          <w:sz w:val="22"/>
          <w:lang w:val="en-US"/>
        </w:rPr>
        <w:t xml:space="preserve">basic </w:t>
      </w:r>
      <w:r w:rsidR="00BC3504">
        <w:rPr>
          <w:rFonts w:cs="Arial"/>
          <w:sz w:val="22"/>
          <w:lang w:val="en-US"/>
        </w:rPr>
        <w:t>services.</w:t>
      </w:r>
    </w:p>
    <w:p w14:paraId="17994D1C" w14:textId="4C237D10" w:rsidR="00B254D7" w:rsidRPr="00841766" w:rsidRDefault="00B254D7" w:rsidP="00863184">
      <w:pPr>
        <w:autoSpaceDE w:val="0"/>
        <w:autoSpaceDN w:val="0"/>
        <w:adjustRightInd w:val="0"/>
        <w:jc w:val="both"/>
        <w:rPr>
          <w:rFonts w:cs="Arial"/>
          <w:sz w:val="22"/>
          <w:lang w:val="en-US"/>
        </w:rPr>
      </w:pPr>
      <w:r w:rsidRPr="00841766">
        <w:rPr>
          <w:rFonts w:cs="Times New Roman"/>
          <w:sz w:val="22"/>
          <w:szCs w:val="22"/>
          <w:lang w:val="en-US"/>
        </w:rPr>
        <w:t xml:space="preserve">These are </w:t>
      </w:r>
      <w:r w:rsidR="00BC173E">
        <w:rPr>
          <w:rFonts w:cs="Times New Roman"/>
          <w:sz w:val="22"/>
          <w:szCs w:val="22"/>
          <w:lang w:val="en-US"/>
        </w:rPr>
        <w:t xml:space="preserve">essential </w:t>
      </w:r>
      <w:r w:rsidRPr="00841766">
        <w:rPr>
          <w:rFonts w:cs="Times New Roman"/>
          <w:sz w:val="22"/>
          <w:szCs w:val="22"/>
          <w:lang w:val="en-US"/>
        </w:rPr>
        <w:t xml:space="preserve">pre-conditions </w:t>
      </w:r>
      <w:r w:rsidR="001968DF">
        <w:rPr>
          <w:rFonts w:cs="Times New Roman"/>
          <w:sz w:val="22"/>
          <w:szCs w:val="22"/>
          <w:lang w:val="en-US"/>
        </w:rPr>
        <w:t xml:space="preserve">for </w:t>
      </w:r>
      <w:r w:rsidRPr="00841766">
        <w:rPr>
          <w:rFonts w:cs="Times New Roman"/>
          <w:sz w:val="22"/>
          <w:szCs w:val="22"/>
          <w:lang w:val="en-US"/>
        </w:rPr>
        <w:t xml:space="preserve">a peaceful, safe and resilient society, </w:t>
      </w:r>
      <w:r w:rsidR="00245FDB">
        <w:rPr>
          <w:rFonts w:cs="Times New Roman"/>
          <w:sz w:val="22"/>
          <w:szCs w:val="22"/>
          <w:lang w:val="en-US"/>
        </w:rPr>
        <w:t xml:space="preserve">which </w:t>
      </w:r>
      <w:r w:rsidRPr="00841766">
        <w:rPr>
          <w:rFonts w:cs="Times New Roman"/>
          <w:sz w:val="22"/>
          <w:szCs w:val="22"/>
          <w:lang w:val="en-US"/>
        </w:rPr>
        <w:t>ensure</w:t>
      </w:r>
      <w:r w:rsidR="00245FDB">
        <w:rPr>
          <w:rFonts w:cs="Times New Roman"/>
          <w:sz w:val="22"/>
          <w:szCs w:val="22"/>
          <w:lang w:val="en-US"/>
        </w:rPr>
        <w:t>s</w:t>
      </w:r>
      <w:r w:rsidRPr="00841766">
        <w:rPr>
          <w:rFonts w:cs="Times New Roman"/>
          <w:sz w:val="22"/>
          <w:szCs w:val="22"/>
          <w:lang w:val="en-US"/>
        </w:rPr>
        <w:t xml:space="preserve"> equitable and sustainable distribution of resources amongst the people of Timor-Leste and </w:t>
      </w:r>
      <w:r w:rsidR="007B51A2">
        <w:rPr>
          <w:rFonts w:cs="Times New Roman"/>
          <w:sz w:val="22"/>
          <w:szCs w:val="22"/>
          <w:lang w:val="en-US"/>
        </w:rPr>
        <w:t>create</w:t>
      </w:r>
      <w:r w:rsidR="00245FDB">
        <w:rPr>
          <w:rFonts w:cs="Times New Roman"/>
          <w:sz w:val="22"/>
          <w:szCs w:val="22"/>
          <w:lang w:val="en-US"/>
        </w:rPr>
        <w:t>s</w:t>
      </w:r>
      <w:r w:rsidR="007B51A2">
        <w:rPr>
          <w:rFonts w:cs="Times New Roman"/>
          <w:sz w:val="22"/>
          <w:szCs w:val="22"/>
          <w:lang w:val="en-US"/>
        </w:rPr>
        <w:t xml:space="preserve"> </w:t>
      </w:r>
      <w:r w:rsidRPr="00841766">
        <w:rPr>
          <w:rFonts w:cs="Times New Roman"/>
          <w:sz w:val="22"/>
          <w:szCs w:val="22"/>
          <w:lang w:val="en-US"/>
        </w:rPr>
        <w:t xml:space="preserve">a more secure business and investment climate </w:t>
      </w:r>
      <w:r w:rsidR="007B51A2">
        <w:rPr>
          <w:rFonts w:cs="Times New Roman"/>
          <w:sz w:val="22"/>
          <w:szCs w:val="22"/>
          <w:lang w:val="en-US"/>
        </w:rPr>
        <w:t xml:space="preserve">that </w:t>
      </w:r>
      <w:r w:rsidR="001968DF">
        <w:rPr>
          <w:rFonts w:cs="Times New Roman"/>
          <w:sz w:val="22"/>
          <w:szCs w:val="22"/>
          <w:lang w:val="en-US"/>
        </w:rPr>
        <w:t>can</w:t>
      </w:r>
      <w:r w:rsidR="007B51A2">
        <w:rPr>
          <w:rFonts w:cs="Times New Roman"/>
          <w:sz w:val="22"/>
          <w:szCs w:val="22"/>
          <w:lang w:val="en-US"/>
        </w:rPr>
        <w:t xml:space="preserve"> transform the economy to</w:t>
      </w:r>
      <w:r w:rsidR="008E60E2">
        <w:rPr>
          <w:rFonts w:cs="Times New Roman"/>
          <w:sz w:val="22"/>
          <w:szCs w:val="22"/>
          <w:lang w:val="en-US"/>
        </w:rPr>
        <w:t xml:space="preserve"> benefit</w:t>
      </w:r>
      <w:r w:rsidR="008E60E2" w:rsidRPr="00841766">
        <w:rPr>
          <w:rFonts w:cs="Times New Roman"/>
          <w:sz w:val="22"/>
          <w:szCs w:val="22"/>
          <w:lang w:val="en-US"/>
        </w:rPr>
        <w:t xml:space="preserve"> all</w:t>
      </w:r>
      <w:r w:rsidR="008E60E2">
        <w:rPr>
          <w:rFonts w:cs="Times New Roman"/>
          <w:sz w:val="22"/>
          <w:szCs w:val="22"/>
          <w:lang w:val="en-US"/>
        </w:rPr>
        <w:t xml:space="preserve"> citizens</w:t>
      </w:r>
      <w:r w:rsidR="008E60E2" w:rsidRPr="00841766">
        <w:rPr>
          <w:rFonts w:cs="Times New Roman"/>
          <w:sz w:val="22"/>
          <w:szCs w:val="22"/>
          <w:lang w:val="en-US"/>
        </w:rPr>
        <w:t xml:space="preserve">. </w:t>
      </w:r>
      <w:r w:rsidR="007B51A2">
        <w:rPr>
          <w:rFonts w:cs="Times New Roman"/>
          <w:sz w:val="22"/>
          <w:szCs w:val="22"/>
          <w:lang w:val="en-US"/>
        </w:rPr>
        <w:t xml:space="preserve"> </w:t>
      </w:r>
    </w:p>
    <w:p w14:paraId="19DC5F39" w14:textId="77777777" w:rsidR="00B254D7" w:rsidRPr="00841766" w:rsidRDefault="00B254D7" w:rsidP="00863184">
      <w:pPr>
        <w:pStyle w:val="Heading2"/>
        <w:jc w:val="both"/>
        <w:rPr>
          <w:rFonts w:asciiTheme="minorHAnsi" w:hAnsiTheme="minorHAnsi"/>
          <w:sz w:val="28"/>
          <w:lang w:val="en-US"/>
        </w:rPr>
      </w:pPr>
      <w:bookmarkStart w:id="22" w:name="_Toc40265796"/>
      <w:r w:rsidRPr="00841766">
        <w:rPr>
          <w:rFonts w:asciiTheme="minorHAnsi" w:hAnsiTheme="minorHAnsi"/>
          <w:sz w:val="28"/>
          <w:lang w:val="en-US"/>
        </w:rPr>
        <w:t>2.2. Strategic priorities for the UN development system</w:t>
      </w:r>
      <w:bookmarkEnd w:id="22"/>
      <w:r w:rsidRPr="00841766">
        <w:rPr>
          <w:rFonts w:asciiTheme="minorHAnsi" w:hAnsiTheme="minorHAnsi"/>
          <w:sz w:val="28"/>
          <w:lang w:val="en-US"/>
        </w:rPr>
        <w:t xml:space="preserve"> </w:t>
      </w:r>
    </w:p>
    <w:p w14:paraId="7A34793A" w14:textId="41E9DF1C" w:rsidR="00B254D7" w:rsidRDefault="00B254D7" w:rsidP="00863184">
      <w:pPr>
        <w:jc w:val="both"/>
        <w:rPr>
          <w:rFonts w:eastAsia="Times New Roman" w:cstheme="minorHAnsi"/>
          <w:color w:val="000000"/>
          <w:sz w:val="22"/>
          <w:szCs w:val="22"/>
          <w:lang w:val="en-US" w:eastAsia="fr-FR"/>
        </w:rPr>
      </w:pPr>
      <w:r w:rsidRPr="00841766">
        <w:rPr>
          <w:rFonts w:cstheme="minorHAnsi"/>
          <w:sz w:val="22"/>
          <w:szCs w:val="22"/>
          <w:lang w:val="en-US"/>
        </w:rPr>
        <w:t xml:space="preserve">Through the </w:t>
      </w:r>
      <w:r w:rsidR="00336C1B">
        <w:rPr>
          <w:rFonts w:cstheme="minorHAnsi"/>
          <w:sz w:val="22"/>
          <w:szCs w:val="22"/>
          <w:lang w:val="en-US"/>
        </w:rPr>
        <w:t>UN Sustainable Development Cooperation Framework (</w:t>
      </w:r>
      <w:r w:rsidRPr="00841766">
        <w:rPr>
          <w:rFonts w:cstheme="minorHAnsi"/>
          <w:sz w:val="22"/>
          <w:szCs w:val="22"/>
          <w:lang w:val="en-US"/>
        </w:rPr>
        <w:t>UNSDCF</w:t>
      </w:r>
      <w:r w:rsidR="00336C1B">
        <w:rPr>
          <w:rFonts w:cstheme="minorHAnsi"/>
          <w:sz w:val="22"/>
          <w:szCs w:val="22"/>
          <w:lang w:val="en-US"/>
        </w:rPr>
        <w:t>)</w:t>
      </w:r>
      <w:r w:rsidRPr="00841766">
        <w:rPr>
          <w:rFonts w:cstheme="minorHAnsi"/>
          <w:sz w:val="22"/>
          <w:szCs w:val="22"/>
          <w:lang w:val="en-US"/>
        </w:rPr>
        <w:t xml:space="preserve"> 2020-2025, the UN </w:t>
      </w:r>
      <w:r w:rsidRPr="00841766">
        <w:rPr>
          <w:rFonts w:cs="Times New Roman"/>
          <w:sz w:val="22"/>
          <w:szCs w:val="22"/>
          <w:lang w:val="en-US"/>
        </w:rPr>
        <w:t xml:space="preserve">in </w:t>
      </w:r>
      <w:r w:rsidR="00927A3B" w:rsidRPr="00841766">
        <w:rPr>
          <w:rFonts w:cs="Times New Roman"/>
          <w:sz w:val="22"/>
          <w:szCs w:val="22"/>
          <w:lang w:val="en-US"/>
        </w:rPr>
        <w:t>Timor-Leste</w:t>
      </w:r>
      <w:r w:rsidRPr="00841766">
        <w:rPr>
          <w:rFonts w:cs="Times New Roman"/>
          <w:sz w:val="22"/>
          <w:szCs w:val="22"/>
          <w:lang w:val="en-US"/>
        </w:rPr>
        <w:t xml:space="preserve"> will </w:t>
      </w:r>
      <w:r w:rsidR="00BF00AD">
        <w:rPr>
          <w:rFonts w:cs="Times New Roman"/>
          <w:sz w:val="22"/>
          <w:szCs w:val="22"/>
          <w:lang w:val="en-US"/>
        </w:rPr>
        <w:t xml:space="preserve">significantly </w:t>
      </w:r>
      <w:r w:rsidR="00996469" w:rsidRPr="00841766">
        <w:rPr>
          <w:rFonts w:cs="Times New Roman"/>
          <w:sz w:val="22"/>
          <w:szCs w:val="22"/>
          <w:lang w:val="en-US"/>
        </w:rPr>
        <w:t>broaden and increase it</w:t>
      </w:r>
      <w:r w:rsidR="00336C1B">
        <w:rPr>
          <w:rFonts w:cs="Times New Roman"/>
          <w:sz w:val="22"/>
          <w:szCs w:val="22"/>
          <w:lang w:val="en-US"/>
        </w:rPr>
        <w:t>s</w:t>
      </w:r>
      <w:r w:rsidR="00996469" w:rsidRPr="00841766">
        <w:rPr>
          <w:rFonts w:cs="Times New Roman"/>
          <w:sz w:val="22"/>
          <w:szCs w:val="22"/>
          <w:lang w:val="en-US"/>
        </w:rPr>
        <w:t xml:space="preserve"> partnerships</w:t>
      </w:r>
      <w:r w:rsidRPr="00841766">
        <w:rPr>
          <w:rFonts w:cs="Times New Roman"/>
          <w:sz w:val="22"/>
          <w:szCs w:val="22"/>
          <w:lang w:val="en-US"/>
        </w:rPr>
        <w:t xml:space="preserve"> to contribute to the changes needed to achieve </w:t>
      </w:r>
      <w:r w:rsidR="00BC173E">
        <w:rPr>
          <w:rFonts w:cs="Times New Roman"/>
          <w:sz w:val="22"/>
          <w:szCs w:val="22"/>
          <w:lang w:val="en-US"/>
        </w:rPr>
        <w:t xml:space="preserve">the </w:t>
      </w:r>
      <w:r w:rsidRPr="00841766">
        <w:rPr>
          <w:rFonts w:cs="Times New Roman"/>
          <w:sz w:val="22"/>
          <w:szCs w:val="22"/>
          <w:lang w:val="en-US"/>
        </w:rPr>
        <w:t xml:space="preserve">demographic dividend </w:t>
      </w:r>
      <w:r w:rsidR="00BC173E">
        <w:rPr>
          <w:rFonts w:cs="Times New Roman"/>
          <w:sz w:val="22"/>
          <w:szCs w:val="22"/>
          <w:lang w:val="en-US"/>
        </w:rPr>
        <w:t xml:space="preserve">that can </w:t>
      </w:r>
      <w:r w:rsidRPr="00841766">
        <w:rPr>
          <w:rFonts w:cs="Times New Roman"/>
          <w:sz w:val="22"/>
          <w:szCs w:val="22"/>
          <w:lang w:val="en-US"/>
        </w:rPr>
        <w:t xml:space="preserve">benefit of all Timorese </w:t>
      </w:r>
      <w:r w:rsidR="00BC173E">
        <w:rPr>
          <w:rFonts w:cs="Times New Roman"/>
          <w:sz w:val="22"/>
          <w:szCs w:val="22"/>
          <w:lang w:val="en-US"/>
        </w:rPr>
        <w:t xml:space="preserve">and ensure that </w:t>
      </w:r>
      <w:r w:rsidR="00863184">
        <w:rPr>
          <w:rFonts w:cs="Times New Roman"/>
          <w:sz w:val="22"/>
          <w:szCs w:val="22"/>
          <w:lang w:val="en-US"/>
        </w:rPr>
        <w:t>“</w:t>
      </w:r>
      <w:r w:rsidRPr="00841766">
        <w:rPr>
          <w:rFonts w:cs="Times New Roman"/>
          <w:sz w:val="22"/>
          <w:szCs w:val="22"/>
          <w:lang w:val="en-US"/>
        </w:rPr>
        <w:t>no</w:t>
      </w:r>
      <w:r w:rsidR="00BC173E">
        <w:rPr>
          <w:rFonts w:cs="Times New Roman"/>
          <w:sz w:val="22"/>
          <w:szCs w:val="22"/>
          <w:lang w:val="en-US"/>
        </w:rPr>
        <w:t>-</w:t>
      </w:r>
      <w:r w:rsidRPr="00841766">
        <w:rPr>
          <w:rFonts w:cs="Times New Roman"/>
          <w:sz w:val="22"/>
          <w:szCs w:val="22"/>
          <w:lang w:val="en-US"/>
        </w:rPr>
        <w:t xml:space="preserve">one </w:t>
      </w:r>
      <w:r w:rsidR="00BC173E">
        <w:rPr>
          <w:rFonts w:cs="Times New Roman"/>
          <w:sz w:val="22"/>
          <w:szCs w:val="22"/>
          <w:lang w:val="en-US"/>
        </w:rPr>
        <w:t xml:space="preserve">is left </w:t>
      </w:r>
      <w:r w:rsidRPr="00841766">
        <w:rPr>
          <w:rFonts w:cs="Times New Roman"/>
          <w:sz w:val="22"/>
          <w:szCs w:val="22"/>
          <w:lang w:val="en-US"/>
        </w:rPr>
        <w:t>behind</w:t>
      </w:r>
      <w:r w:rsidR="00863184">
        <w:rPr>
          <w:rFonts w:cs="Times New Roman"/>
          <w:sz w:val="22"/>
          <w:szCs w:val="22"/>
          <w:lang w:val="en-US"/>
        </w:rPr>
        <w:t>”</w:t>
      </w:r>
      <w:r w:rsidR="00BC173E">
        <w:rPr>
          <w:rFonts w:cs="Times New Roman"/>
          <w:sz w:val="22"/>
          <w:szCs w:val="22"/>
          <w:lang w:val="en-US"/>
        </w:rPr>
        <w:t>.</w:t>
      </w:r>
      <w:r w:rsidRPr="00841766">
        <w:rPr>
          <w:rFonts w:cs="Times New Roman"/>
          <w:sz w:val="22"/>
          <w:szCs w:val="22"/>
          <w:lang w:val="en-US"/>
        </w:rPr>
        <w:t xml:space="preserve"> </w:t>
      </w:r>
      <w:r w:rsidR="00336C1B">
        <w:rPr>
          <w:rFonts w:cs="Times New Roman"/>
          <w:sz w:val="22"/>
          <w:szCs w:val="22"/>
          <w:lang w:val="en-US"/>
        </w:rPr>
        <w:t xml:space="preserve"> </w:t>
      </w:r>
      <w:r w:rsidR="008F6D8F">
        <w:rPr>
          <w:rFonts w:eastAsia="Times New Roman" w:cstheme="minorHAnsi"/>
          <w:color w:val="000000"/>
          <w:sz w:val="22"/>
          <w:szCs w:val="22"/>
          <w:lang w:val="en-US" w:eastAsia="fr-FR"/>
        </w:rPr>
        <w:t>Cognizant that t</w:t>
      </w:r>
      <w:r w:rsidR="008F6D8F" w:rsidRPr="00841766">
        <w:rPr>
          <w:rFonts w:eastAsia="Times New Roman" w:cstheme="minorHAnsi"/>
          <w:color w:val="000000"/>
          <w:sz w:val="22"/>
          <w:szCs w:val="22"/>
          <w:lang w:val="en-US" w:eastAsia="fr-FR"/>
        </w:rPr>
        <w:t xml:space="preserve">he actions taken in the next </w:t>
      </w:r>
      <w:r w:rsidR="008F6D8F">
        <w:rPr>
          <w:rFonts w:eastAsia="Times New Roman" w:cstheme="minorHAnsi"/>
          <w:color w:val="000000"/>
          <w:sz w:val="22"/>
          <w:szCs w:val="22"/>
          <w:lang w:val="en-US" w:eastAsia="fr-FR"/>
        </w:rPr>
        <w:t>five</w:t>
      </w:r>
      <w:r w:rsidR="008F6D8F" w:rsidRPr="00841766">
        <w:rPr>
          <w:rFonts w:eastAsia="Times New Roman" w:cstheme="minorHAnsi"/>
          <w:color w:val="000000"/>
          <w:sz w:val="22"/>
          <w:szCs w:val="22"/>
          <w:lang w:val="en-US" w:eastAsia="fr-FR"/>
        </w:rPr>
        <w:t xml:space="preserve"> years will shape the outcomes </w:t>
      </w:r>
      <w:r w:rsidR="008F6D8F">
        <w:rPr>
          <w:rFonts w:eastAsia="Times New Roman" w:cstheme="minorHAnsi"/>
          <w:color w:val="000000"/>
          <w:sz w:val="22"/>
          <w:szCs w:val="22"/>
          <w:lang w:val="en-US" w:eastAsia="fr-FR"/>
        </w:rPr>
        <w:t xml:space="preserve">the country will </w:t>
      </w:r>
      <w:r w:rsidR="008F6D8F" w:rsidRPr="00841766">
        <w:rPr>
          <w:rFonts w:eastAsia="Times New Roman" w:cstheme="minorHAnsi"/>
          <w:color w:val="000000"/>
          <w:sz w:val="22"/>
          <w:szCs w:val="22"/>
          <w:lang w:val="en-US" w:eastAsia="fr-FR"/>
        </w:rPr>
        <w:t>achieve in 2030</w:t>
      </w:r>
      <w:r w:rsidR="008F6D8F">
        <w:rPr>
          <w:rFonts w:eastAsia="Times New Roman" w:cstheme="minorHAnsi"/>
          <w:color w:val="000000"/>
          <w:sz w:val="22"/>
          <w:szCs w:val="22"/>
          <w:lang w:val="en-US" w:eastAsia="fr-FR"/>
        </w:rPr>
        <w:t xml:space="preserve">, </w:t>
      </w:r>
      <w:r w:rsidR="008F6D8F">
        <w:rPr>
          <w:rFonts w:cs="Times New Roman"/>
          <w:sz w:val="22"/>
          <w:szCs w:val="22"/>
          <w:lang w:val="en-US"/>
        </w:rPr>
        <w:t xml:space="preserve">the </w:t>
      </w:r>
      <w:r w:rsidRPr="00841766">
        <w:rPr>
          <w:rFonts w:cs="Times New Roman"/>
          <w:sz w:val="22"/>
          <w:szCs w:val="22"/>
          <w:lang w:val="en-US"/>
        </w:rPr>
        <w:t xml:space="preserve">UN in </w:t>
      </w:r>
      <w:r w:rsidR="00927A3B" w:rsidRPr="00841766">
        <w:rPr>
          <w:rFonts w:cs="Times New Roman"/>
          <w:sz w:val="22"/>
          <w:szCs w:val="22"/>
          <w:lang w:val="en-US"/>
        </w:rPr>
        <w:t>Timor-Leste</w:t>
      </w:r>
      <w:r w:rsidR="008F6D8F">
        <w:rPr>
          <w:rFonts w:cs="Times New Roman"/>
          <w:sz w:val="22"/>
          <w:szCs w:val="22"/>
          <w:lang w:val="en-US"/>
        </w:rPr>
        <w:t xml:space="preserve"> undertook a</w:t>
      </w:r>
      <w:r w:rsidR="00996469" w:rsidRPr="00841766">
        <w:rPr>
          <w:rFonts w:cs="Times New Roman"/>
          <w:sz w:val="22"/>
          <w:szCs w:val="22"/>
          <w:lang w:val="en-US"/>
        </w:rPr>
        <w:t xml:space="preserve"> </w:t>
      </w:r>
      <w:r w:rsidRPr="00841766">
        <w:rPr>
          <w:rFonts w:cs="Times New Roman"/>
          <w:sz w:val="22"/>
          <w:szCs w:val="22"/>
          <w:lang w:val="en-US"/>
        </w:rPr>
        <w:t>multi-</w:t>
      </w:r>
      <w:r w:rsidR="00336C1B">
        <w:rPr>
          <w:rFonts w:cs="Times New Roman"/>
          <w:sz w:val="22"/>
          <w:szCs w:val="22"/>
          <w:lang w:val="en-US"/>
        </w:rPr>
        <w:t>stakeholder</w:t>
      </w:r>
      <w:r w:rsidRPr="00841766">
        <w:rPr>
          <w:rFonts w:cs="Times New Roman"/>
          <w:sz w:val="22"/>
          <w:szCs w:val="22"/>
          <w:lang w:val="en-US"/>
        </w:rPr>
        <w:t xml:space="preserve"> consultative process</w:t>
      </w:r>
      <w:r w:rsidR="00996469" w:rsidRPr="00841766">
        <w:rPr>
          <w:rFonts w:cs="Times New Roman"/>
          <w:sz w:val="22"/>
          <w:szCs w:val="22"/>
          <w:lang w:val="en-US"/>
        </w:rPr>
        <w:t xml:space="preserve"> </w:t>
      </w:r>
      <w:r w:rsidR="008F6D8F">
        <w:rPr>
          <w:rFonts w:cs="Times New Roman"/>
          <w:sz w:val="22"/>
          <w:szCs w:val="22"/>
          <w:lang w:val="en-US"/>
        </w:rPr>
        <w:t xml:space="preserve">to identify </w:t>
      </w:r>
      <w:r w:rsidR="00BC173E">
        <w:rPr>
          <w:rFonts w:cs="Times New Roman"/>
          <w:sz w:val="22"/>
          <w:szCs w:val="22"/>
          <w:lang w:val="en-US"/>
        </w:rPr>
        <w:t xml:space="preserve">ways of accelerating progress on the SDGs. </w:t>
      </w:r>
      <w:r w:rsidR="00863184">
        <w:rPr>
          <w:rFonts w:cs="Times New Roman"/>
          <w:sz w:val="22"/>
          <w:szCs w:val="22"/>
          <w:lang w:val="en-US"/>
        </w:rPr>
        <w:t xml:space="preserve"> </w:t>
      </w:r>
      <w:r w:rsidR="00BC173E">
        <w:rPr>
          <w:rFonts w:cs="Times New Roman"/>
          <w:sz w:val="22"/>
          <w:szCs w:val="22"/>
          <w:lang w:val="en-US"/>
        </w:rPr>
        <w:t xml:space="preserve">This process has enabled the UN to identify </w:t>
      </w:r>
      <w:r w:rsidR="008F6D8F">
        <w:rPr>
          <w:rFonts w:cs="Times New Roman"/>
          <w:sz w:val="22"/>
          <w:szCs w:val="22"/>
          <w:lang w:val="en-US"/>
        </w:rPr>
        <w:t xml:space="preserve">six strategic priorities for the </w:t>
      </w:r>
      <w:r w:rsidR="00BC173E">
        <w:rPr>
          <w:rFonts w:cs="Times New Roman"/>
          <w:sz w:val="22"/>
          <w:szCs w:val="22"/>
          <w:lang w:val="en-US"/>
        </w:rPr>
        <w:t>UN’s work in the country</w:t>
      </w:r>
      <w:r w:rsidR="00BF00AD">
        <w:rPr>
          <w:rFonts w:cs="Times New Roman"/>
          <w:sz w:val="22"/>
          <w:szCs w:val="22"/>
          <w:lang w:val="en-US"/>
        </w:rPr>
        <w:t xml:space="preserve"> for the period 2021-2025</w:t>
      </w:r>
      <w:r w:rsidR="00BC173E">
        <w:rPr>
          <w:rFonts w:cs="Times New Roman"/>
          <w:sz w:val="22"/>
          <w:szCs w:val="22"/>
          <w:lang w:val="en-US"/>
        </w:rPr>
        <w:t>.</w:t>
      </w:r>
      <w:r w:rsidR="00996469" w:rsidRPr="00841766">
        <w:rPr>
          <w:rFonts w:cs="Times New Roman"/>
          <w:sz w:val="22"/>
          <w:szCs w:val="22"/>
          <w:lang w:val="en-US"/>
        </w:rPr>
        <w:t xml:space="preserve"> </w:t>
      </w:r>
      <w:r w:rsidR="00336C1B">
        <w:rPr>
          <w:rFonts w:cs="Times New Roman"/>
          <w:sz w:val="22"/>
          <w:szCs w:val="22"/>
          <w:lang w:val="en-US"/>
        </w:rPr>
        <w:t xml:space="preserve"> </w:t>
      </w:r>
      <w:r w:rsidR="00996469" w:rsidRPr="00841766">
        <w:rPr>
          <w:rFonts w:cs="Times New Roman"/>
          <w:sz w:val="22"/>
          <w:szCs w:val="22"/>
          <w:lang w:val="en-US"/>
        </w:rPr>
        <w:t xml:space="preserve">These </w:t>
      </w:r>
      <w:r w:rsidR="008F6D8F">
        <w:rPr>
          <w:rFonts w:eastAsia="Times New Roman" w:cstheme="minorHAnsi"/>
          <w:color w:val="000000"/>
          <w:sz w:val="22"/>
          <w:szCs w:val="22"/>
          <w:lang w:val="en-US" w:eastAsia="fr-FR"/>
        </w:rPr>
        <w:t xml:space="preserve">priorities </w:t>
      </w:r>
      <w:r w:rsidR="00815F0E">
        <w:rPr>
          <w:rFonts w:eastAsia="Times New Roman" w:cstheme="minorHAnsi"/>
          <w:color w:val="000000"/>
          <w:sz w:val="22"/>
          <w:szCs w:val="22"/>
          <w:lang w:val="en-US" w:eastAsia="fr-FR"/>
        </w:rPr>
        <w:t xml:space="preserve">are based on feedback received from </w:t>
      </w:r>
      <w:r w:rsidR="00863184">
        <w:rPr>
          <w:rFonts w:eastAsia="Times New Roman" w:cstheme="minorHAnsi"/>
          <w:color w:val="000000"/>
          <w:sz w:val="22"/>
          <w:szCs w:val="22"/>
          <w:lang w:val="en-US" w:eastAsia="fr-FR"/>
        </w:rPr>
        <w:t>the G</w:t>
      </w:r>
      <w:r w:rsidR="00815F0E">
        <w:rPr>
          <w:rFonts w:eastAsia="Times New Roman" w:cstheme="minorHAnsi"/>
          <w:color w:val="000000"/>
          <w:sz w:val="22"/>
          <w:szCs w:val="22"/>
          <w:lang w:val="en-US" w:eastAsia="fr-FR"/>
        </w:rPr>
        <w:t xml:space="preserve">overnment and other partners’ about how the UN could potentially improve its contribution to Timor-Leste’s </w:t>
      </w:r>
      <w:r w:rsidR="00863184">
        <w:rPr>
          <w:rFonts w:eastAsia="Times New Roman" w:cstheme="minorHAnsi"/>
          <w:color w:val="000000"/>
          <w:sz w:val="22"/>
          <w:szCs w:val="22"/>
          <w:lang w:val="en-US" w:eastAsia="fr-FR"/>
        </w:rPr>
        <w:t xml:space="preserve">sustainable </w:t>
      </w:r>
      <w:r w:rsidR="00815F0E">
        <w:rPr>
          <w:rFonts w:eastAsia="Times New Roman" w:cstheme="minorHAnsi"/>
          <w:color w:val="000000"/>
          <w:sz w:val="22"/>
          <w:szCs w:val="22"/>
          <w:lang w:val="en-US" w:eastAsia="fr-FR"/>
        </w:rPr>
        <w:t>development</w:t>
      </w:r>
      <w:r w:rsidR="00863184">
        <w:rPr>
          <w:rFonts w:eastAsia="Times New Roman" w:cstheme="minorHAnsi"/>
          <w:color w:val="000000"/>
          <w:sz w:val="22"/>
          <w:szCs w:val="22"/>
          <w:lang w:val="en-US" w:eastAsia="fr-FR"/>
        </w:rPr>
        <w:t xml:space="preserve">.  The feedback was overwhelmingly </w:t>
      </w:r>
      <w:r w:rsidR="00815F0E">
        <w:rPr>
          <w:rFonts w:eastAsia="Times New Roman" w:cstheme="minorHAnsi"/>
          <w:color w:val="000000"/>
          <w:sz w:val="22"/>
          <w:szCs w:val="22"/>
          <w:lang w:val="en-US" w:eastAsia="fr-FR"/>
        </w:rPr>
        <w:t xml:space="preserve">that UN </w:t>
      </w:r>
      <w:r w:rsidR="00863184">
        <w:rPr>
          <w:rFonts w:eastAsia="Times New Roman" w:cstheme="minorHAnsi"/>
          <w:color w:val="000000"/>
          <w:sz w:val="22"/>
          <w:szCs w:val="22"/>
          <w:lang w:val="en-US" w:eastAsia="fr-FR"/>
        </w:rPr>
        <w:t xml:space="preserve">in Timor-Leste </w:t>
      </w:r>
      <w:r w:rsidR="00815F0E">
        <w:rPr>
          <w:rFonts w:eastAsia="Times New Roman" w:cstheme="minorHAnsi"/>
          <w:color w:val="000000"/>
          <w:sz w:val="22"/>
          <w:szCs w:val="22"/>
          <w:lang w:val="en-US" w:eastAsia="fr-FR"/>
        </w:rPr>
        <w:t xml:space="preserve">should focus more clearly on strategic development priorities </w:t>
      </w:r>
      <w:r w:rsidR="006C18B3">
        <w:rPr>
          <w:rFonts w:eastAsia="Times New Roman" w:cstheme="minorHAnsi"/>
          <w:color w:val="000000"/>
          <w:sz w:val="22"/>
          <w:szCs w:val="22"/>
          <w:lang w:val="en-US" w:eastAsia="fr-FR"/>
        </w:rPr>
        <w:t xml:space="preserve">that can help accelerate progress against the SDGs. </w:t>
      </w:r>
      <w:r w:rsidR="00863184">
        <w:rPr>
          <w:rFonts w:eastAsia="Times New Roman" w:cstheme="minorHAnsi"/>
          <w:color w:val="000000"/>
          <w:sz w:val="22"/>
          <w:szCs w:val="22"/>
          <w:lang w:val="en-US" w:eastAsia="fr-FR"/>
        </w:rPr>
        <w:t xml:space="preserve"> </w:t>
      </w:r>
      <w:r w:rsidR="006C18B3">
        <w:rPr>
          <w:rFonts w:eastAsia="Times New Roman" w:cstheme="minorHAnsi"/>
          <w:color w:val="000000"/>
          <w:sz w:val="22"/>
          <w:szCs w:val="22"/>
          <w:lang w:val="en-US" w:eastAsia="fr-FR"/>
        </w:rPr>
        <w:t xml:space="preserve">The selected priorities are </w:t>
      </w:r>
      <w:r w:rsidR="00815F0E">
        <w:rPr>
          <w:rFonts w:eastAsia="Times New Roman" w:cstheme="minorHAnsi"/>
          <w:color w:val="000000"/>
          <w:sz w:val="22"/>
          <w:szCs w:val="22"/>
          <w:lang w:val="en-US" w:eastAsia="fr-FR"/>
        </w:rPr>
        <w:t xml:space="preserve">based </w:t>
      </w:r>
      <w:r w:rsidR="00BF00AD">
        <w:rPr>
          <w:rFonts w:eastAsia="Times New Roman" w:cstheme="minorHAnsi"/>
          <w:color w:val="000000"/>
          <w:sz w:val="22"/>
          <w:szCs w:val="22"/>
          <w:lang w:val="en-US" w:eastAsia="fr-FR"/>
        </w:rPr>
        <w:t xml:space="preserve">on </w:t>
      </w:r>
      <w:r w:rsidR="00815F0E">
        <w:rPr>
          <w:rFonts w:eastAsia="Times New Roman" w:cstheme="minorHAnsi"/>
          <w:color w:val="000000"/>
          <w:sz w:val="22"/>
          <w:szCs w:val="22"/>
          <w:lang w:val="en-US" w:eastAsia="fr-FR"/>
        </w:rPr>
        <w:t xml:space="preserve">the UN’s understanding of the </w:t>
      </w:r>
      <w:r w:rsidR="006C18B3">
        <w:rPr>
          <w:rFonts w:eastAsia="Times New Roman" w:cstheme="minorHAnsi"/>
          <w:color w:val="000000"/>
          <w:sz w:val="22"/>
          <w:szCs w:val="22"/>
          <w:lang w:val="en-US" w:eastAsia="fr-FR"/>
        </w:rPr>
        <w:t xml:space="preserve">likely focus areas </w:t>
      </w:r>
      <w:r w:rsidR="00815F0E">
        <w:rPr>
          <w:rFonts w:eastAsia="Times New Roman" w:cstheme="minorHAnsi"/>
          <w:color w:val="000000"/>
          <w:sz w:val="22"/>
          <w:szCs w:val="22"/>
          <w:lang w:val="en-US" w:eastAsia="fr-FR"/>
        </w:rPr>
        <w:t>of other development partners in Timor-Leste</w:t>
      </w:r>
      <w:r w:rsidR="006C18B3">
        <w:rPr>
          <w:rFonts w:eastAsia="Times New Roman" w:cstheme="minorHAnsi"/>
          <w:color w:val="000000"/>
          <w:sz w:val="22"/>
          <w:szCs w:val="22"/>
          <w:lang w:val="en-US" w:eastAsia="fr-FR"/>
        </w:rPr>
        <w:t xml:space="preserve"> (to avoid duplication)</w:t>
      </w:r>
      <w:r w:rsidR="00815F0E">
        <w:rPr>
          <w:rFonts w:eastAsia="Times New Roman" w:cstheme="minorHAnsi"/>
          <w:color w:val="000000"/>
          <w:sz w:val="22"/>
          <w:szCs w:val="22"/>
          <w:lang w:val="en-US" w:eastAsia="fr-FR"/>
        </w:rPr>
        <w:t>, an assessment of the UN’s comparative advantage</w:t>
      </w:r>
      <w:r w:rsidR="00863184">
        <w:rPr>
          <w:rFonts w:eastAsia="Times New Roman" w:cstheme="minorHAnsi"/>
          <w:color w:val="000000"/>
          <w:sz w:val="22"/>
          <w:szCs w:val="22"/>
          <w:lang w:val="en-US" w:eastAsia="fr-FR"/>
        </w:rPr>
        <w:t>s</w:t>
      </w:r>
      <w:r w:rsidR="00815F0E">
        <w:rPr>
          <w:rFonts w:eastAsia="Times New Roman" w:cstheme="minorHAnsi"/>
          <w:color w:val="000000"/>
          <w:sz w:val="22"/>
          <w:szCs w:val="22"/>
          <w:lang w:val="en-US" w:eastAsia="fr-FR"/>
        </w:rPr>
        <w:t xml:space="preserve"> in the country, the </w:t>
      </w:r>
      <w:r w:rsidR="004C4D85">
        <w:rPr>
          <w:rFonts w:eastAsia="Times New Roman" w:cstheme="minorHAnsi"/>
          <w:color w:val="000000"/>
          <w:sz w:val="22"/>
          <w:szCs w:val="22"/>
          <w:lang w:val="en-US" w:eastAsia="fr-FR"/>
        </w:rPr>
        <w:t>mutually reinforcing</w:t>
      </w:r>
      <w:r w:rsidR="00996469" w:rsidRPr="00841766">
        <w:rPr>
          <w:rFonts w:eastAsia="Times New Roman" w:cstheme="minorHAnsi"/>
          <w:color w:val="000000"/>
          <w:sz w:val="22"/>
          <w:szCs w:val="22"/>
          <w:lang w:val="en-US" w:eastAsia="fr-FR"/>
        </w:rPr>
        <w:t xml:space="preserve"> multiplier effects</w:t>
      </w:r>
      <w:r w:rsidR="00815F0E">
        <w:rPr>
          <w:rFonts w:eastAsia="Times New Roman" w:cstheme="minorHAnsi"/>
          <w:color w:val="000000"/>
          <w:sz w:val="22"/>
          <w:szCs w:val="22"/>
          <w:lang w:val="en-US" w:eastAsia="fr-FR"/>
        </w:rPr>
        <w:t xml:space="preserve"> of the six </w:t>
      </w:r>
      <w:r w:rsidR="006C18B3">
        <w:rPr>
          <w:rFonts w:eastAsia="Times New Roman" w:cstheme="minorHAnsi"/>
          <w:color w:val="000000"/>
          <w:sz w:val="22"/>
          <w:szCs w:val="22"/>
          <w:lang w:val="en-US" w:eastAsia="fr-FR"/>
        </w:rPr>
        <w:t xml:space="preserve">chosen </w:t>
      </w:r>
      <w:r w:rsidR="00815F0E">
        <w:rPr>
          <w:rFonts w:eastAsia="Times New Roman" w:cstheme="minorHAnsi"/>
          <w:color w:val="000000"/>
          <w:sz w:val="22"/>
          <w:szCs w:val="22"/>
          <w:lang w:val="en-US" w:eastAsia="fr-FR"/>
        </w:rPr>
        <w:t>priorities</w:t>
      </w:r>
      <w:r w:rsidR="00BF00AD">
        <w:rPr>
          <w:rFonts w:eastAsia="Times New Roman" w:cstheme="minorHAnsi"/>
          <w:color w:val="000000"/>
          <w:sz w:val="22"/>
          <w:szCs w:val="22"/>
          <w:lang w:val="en-US" w:eastAsia="fr-FR"/>
        </w:rPr>
        <w:t xml:space="preserve">, </w:t>
      </w:r>
      <w:r w:rsidR="006C18B3">
        <w:rPr>
          <w:rFonts w:eastAsia="Times New Roman" w:cstheme="minorHAnsi"/>
          <w:color w:val="000000"/>
          <w:sz w:val="22"/>
          <w:szCs w:val="22"/>
          <w:lang w:val="en-US" w:eastAsia="fr-FR"/>
        </w:rPr>
        <w:t xml:space="preserve">as well as </w:t>
      </w:r>
      <w:r w:rsidR="00BF00AD">
        <w:rPr>
          <w:rFonts w:eastAsia="Times New Roman" w:cstheme="minorHAnsi"/>
          <w:color w:val="000000"/>
          <w:sz w:val="22"/>
          <w:szCs w:val="22"/>
          <w:lang w:val="en-US" w:eastAsia="fr-FR"/>
        </w:rPr>
        <w:t>their potential to accelerate development progress and contribute to the achievement of the SDGs</w:t>
      </w:r>
      <w:r w:rsidR="006C18B3">
        <w:rPr>
          <w:rFonts w:eastAsia="Times New Roman" w:cstheme="minorHAnsi"/>
          <w:color w:val="000000"/>
          <w:sz w:val="22"/>
          <w:szCs w:val="22"/>
          <w:lang w:val="en-US" w:eastAsia="fr-FR"/>
        </w:rPr>
        <w:t xml:space="preserve"> by 2030</w:t>
      </w:r>
      <w:r w:rsidR="00996469" w:rsidRPr="00841766">
        <w:rPr>
          <w:rFonts w:eastAsia="Times New Roman" w:cstheme="minorHAnsi"/>
          <w:color w:val="000000"/>
          <w:sz w:val="22"/>
          <w:szCs w:val="22"/>
          <w:lang w:val="en-US" w:eastAsia="fr-FR"/>
        </w:rPr>
        <w:t xml:space="preserve">. </w:t>
      </w:r>
      <w:r w:rsidR="00336C1B">
        <w:rPr>
          <w:rFonts w:eastAsia="Times New Roman" w:cstheme="minorHAnsi"/>
          <w:color w:val="000000"/>
          <w:sz w:val="22"/>
          <w:szCs w:val="22"/>
          <w:lang w:val="en-US" w:eastAsia="fr-FR"/>
        </w:rPr>
        <w:t xml:space="preserve"> </w:t>
      </w:r>
      <w:r w:rsidR="00996469" w:rsidRPr="00841766">
        <w:rPr>
          <w:rFonts w:eastAsia="Times New Roman" w:cstheme="minorHAnsi"/>
          <w:color w:val="000000"/>
          <w:sz w:val="22"/>
          <w:szCs w:val="22"/>
          <w:lang w:val="en-US" w:eastAsia="fr-FR"/>
        </w:rPr>
        <w:t>In addition, promoting gender equality</w:t>
      </w:r>
      <w:r w:rsidR="00336C1B">
        <w:rPr>
          <w:rFonts w:eastAsia="Times New Roman" w:cstheme="minorHAnsi"/>
          <w:color w:val="000000"/>
          <w:sz w:val="22"/>
          <w:szCs w:val="22"/>
          <w:lang w:val="en-US" w:eastAsia="fr-FR"/>
        </w:rPr>
        <w:t>, human rights</w:t>
      </w:r>
      <w:r w:rsidR="00996469" w:rsidRPr="00841766">
        <w:rPr>
          <w:rFonts w:eastAsia="Times New Roman" w:cstheme="minorHAnsi"/>
          <w:color w:val="000000"/>
          <w:sz w:val="22"/>
          <w:szCs w:val="22"/>
          <w:lang w:val="en-US" w:eastAsia="fr-FR"/>
        </w:rPr>
        <w:t xml:space="preserve"> and </w:t>
      </w:r>
      <w:r w:rsidR="00336C1B">
        <w:rPr>
          <w:rFonts w:eastAsia="Times New Roman" w:cstheme="minorHAnsi"/>
          <w:color w:val="000000"/>
          <w:sz w:val="22"/>
          <w:szCs w:val="22"/>
          <w:lang w:val="en-US" w:eastAsia="fr-FR"/>
        </w:rPr>
        <w:t>resilience building</w:t>
      </w:r>
      <w:r w:rsidR="00996469" w:rsidRPr="00841766">
        <w:rPr>
          <w:rFonts w:eastAsia="Times New Roman" w:cstheme="minorHAnsi"/>
          <w:color w:val="000000"/>
          <w:sz w:val="22"/>
          <w:szCs w:val="22"/>
          <w:lang w:val="en-US" w:eastAsia="fr-FR"/>
        </w:rPr>
        <w:t xml:space="preserve"> will be systematically pursued throughout the six </w:t>
      </w:r>
      <w:r w:rsidR="00336C1B">
        <w:rPr>
          <w:rFonts w:eastAsia="Times New Roman" w:cstheme="minorHAnsi"/>
          <w:color w:val="000000"/>
          <w:sz w:val="22"/>
          <w:szCs w:val="22"/>
          <w:lang w:val="en-US" w:eastAsia="fr-FR"/>
        </w:rPr>
        <w:t>results</w:t>
      </w:r>
      <w:r w:rsidR="00996469" w:rsidRPr="00841766">
        <w:rPr>
          <w:rFonts w:eastAsia="Times New Roman" w:cstheme="minorHAnsi"/>
          <w:color w:val="000000"/>
          <w:sz w:val="22"/>
          <w:szCs w:val="22"/>
          <w:lang w:val="en-US" w:eastAsia="fr-FR"/>
        </w:rPr>
        <w:t xml:space="preserve"> areas</w:t>
      </w:r>
      <w:r w:rsidR="00852ADD" w:rsidRPr="00841766">
        <w:rPr>
          <w:rFonts w:eastAsia="Times New Roman" w:cstheme="minorHAnsi"/>
          <w:color w:val="000000"/>
          <w:sz w:val="22"/>
          <w:szCs w:val="22"/>
          <w:lang w:val="en-US" w:eastAsia="fr-FR"/>
        </w:rPr>
        <w:t xml:space="preserve"> to achieve </w:t>
      </w:r>
      <w:r w:rsidR="00BC173E">
        <w:rPr>
          <w:rFonts w:eastAsia="Times New Roman" w:cstheme="minorHAnsi"/>
          <w:color w:val="000000"/>
          <w:sz w:val="22"/>
          <w:szCs w:val="22"/>
          <w:lang w:val="en-US" w:eastAsia="fr-FR"/>
        </w:rPr>
        <w:t xml:space="preserve">a set of integrated, </w:t>
      </w:r>
      <w:r w:rsidR="00852ADD" w:rsidRPr="00841766">
        <w:rPr>
          <w:rFonts w:eastAsia="Times New Roman" w:cstheme="minorHAnsi"/>
          <w:color w:val="000000"/>
          <w:sz w:val="22"/>
          <w:szCs w:val="22"/>
          <w:lang w:val="en-US" w:eastAsia="fr-FR"/>
        </w:rPr>
        <w:t xml:space="preserve">sustainable and </w:t>
      </w:r>
      <w:r w:rsidR="00336C1B">
        <w:rPr>
          <w:rFonts w:eastAsia="Times New Roman" w:cstheme="minorHAnsi"/>
          <w:color w:val="000000"/>
          <w:sz w:val="22"/>
          <w:szCs w:val="22"/>
          <w:lang w:val="en-US" w:eastAsia="fr-FR"/>
        </w:rPr>
        <w:t xml:space="preserve">inclusive </w:t>
      </w:r>
      <w:r w:rsidR="00852ADD" w:rsidRPr="00841766">
        <w:rPr>
          <w:rFonts w:eastAsia="Times New Roman" w:cstheme="minorHAnsi"/>
          <w:color w:val="000000"/>
          <w:sz w:val="22"/>
          <w:szCs w:val="22"/>
          <w:lang w:val="en-US" w:eastAsia="fr-FR"/>
        </w:rPr>
        <w:t>results.</w:t>
      </w:r>
      <w:r w:rsidR="00D56381">
        <w:rPr>
          <w:rFonts w:eastAsia="Times New Roman" w:cstheme="minorHAnsi"/>
          <w:color w:val="000000"/>
          <w:sz w:val="22"/>
          <w:szCs w:val="22"/>
          <w:lang w:val="en-US" w:eastAsia="fr-FR"/>
        </w:rPr>
        <w:t xml:space="preserve">  </w:t>
      </w:r>
      <w:r w:rsidR="00996469" w:rsidRPr="00841766">
        <w:rPr>
          <w:rFonts w:eastAsia="Times New Roman" w:cstheme="minorHAnsi"/>
          <w:color w:val="000000"/>
          <w:sz w:val="22"/>
          <w:szCs w:val="22"/>
          <w:lang w:val="en-US" w:eastAsia="fr-FR"/>
        </w:rPr>
        <w:t xml:space="preserve"> </w:t>
      </w:r>
    </w:p>
    <w:p w14:paraId="503F834F" w14:textId="4F1BCCD5" w:rsidR="00FC29DD" w:rsidRDefault="00FC29DD" w:rsidP="00852ADD">
      <w:pPr>
        <w:jc w:val="both"/>
        <w:rPr>
          <w:rFonts w:eastAsia="Times New Roman" w:cstheme="minorHAnsi"/>
          <w:color w:val="000000"/>
          <w:sz w:val="22"/>
          <w:szCs w:val="22"/>
          <w:lang w:val="en-US" w:eastAsia="fr-FR"/>
        </w:rPr>
      </w:pPr>
    </w:p>
    <w:p w14:paraId="788DED81" w14:textId="76780EA4" w:rsidR="006E7B96" w:rsidRDefault="006E7B96" w:rsidP="00852ADD">
      <w:pPr>
        <w:jc w:val="both"/>
        <w:rPr>
          <w:rFonts w:eastAsia="Times New Roman" w:cstheme="minorHAnsi"/>
          <w:color w:val="000000"/>
          <w:sz w:val="22"/>
          <w:szCs w:val="22"/>
          <w:lang w:val="en-US" w:eastAsia="fr-FR"/>
        </w:rPr>
      </w:pPr>
      <w:r>
        <w:rPr>
          <w:noProof/>
        </w:rPr>
        <w:lastRenderedPageBreak/>
        <w:drawing>
          <wp:inline distT="0" distB="0" distL="0" distR="0" wp14:anchorId="66F782C3" wp14:editId="3F759706">
            <wp:extent cx="5944871" cy="6995160"/>
            <wp:effectExtent l="0" t="0" r="0" b="0"/>
            <wp:docPr id="13990540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5944871" cy="6995160"/>
                    </a:xfrm>
                    <a:prstGeom prst="rect">
                      <a:avLst/>
                    </a:prstGeom>
                  </pic:spPr>
                </pic:pic>
              </a:graphicData>
            </a:graphic>
          </wp:inline>
        </w:drawing>
      </w:r>
    </w:p>
    <w:p w14:paraId="1F3CFA68" w14:textId="59E79CFB" w:rsidR="00B254D7" w:rsidRPr="00841766" w:rsidRDefault="001968DF" w:rsidP="00863184">
      <w:pPr>
        <w:autoSpaceDE w:val="0"/>
        <w:autoSpaceDN w:val="0"/>
        <w:adjustRightInd w:val="0"/>
        <w:jc w:val="both"/>
        <w:rPr>
          <w:rFonts w:cs="Times New Roman"/>
          <w:sz w:val="22"/>
          <w:szCs w:val="22"/>
          <w:lang w:val="en-US"/>
        </w:rPr>
      </w:pPr>
      <w:r>
        <w:t xml:space="preserve">By </w:t>
      </w:r>
      <w:r w:rsidR="0092343D">
        <w:t>leveraging</w:t>
      </w:r>
      <w:r w:rsidR="00B254D7" w:rsidRPr="00841766">
        <w:rPr>
          <w:rFonts w:cs="Times New Roman"/>
          <w:sz w:val="22"/>
          <w:szCs w:val="22"/>
          <w:lang w:val="en-US"/>
        </w:rPr>
        <w:t xml:space="preserve"> its expertise regionally and globally, and upholding the international human rights norms and standards, </w:t>
      </w:r>
      <w:r w:rsidR="00446F85" w:rsidRPr="00841766">
        <w:rPr>
          <w:rFonts w:ascii="Calibri" w:hAnsi="Calibri" w:cs="Calibri"/>
          <w:sz w:val="22"/>
          <w:szCs w:val="22"/>
          <w:lang w:val="en-US"/>
        </w:rPr>
        <w:t xml:space="preserve">the UN will support national efforts to develop the </w:t>
      </w:r>
      <w:r w:rsidR="00B254D7" w:rsidRPr="00841766">
        <w:rPr>
          <w:rFonts w:cs="Times New Roman"/>
          <w:sz w:val="22"/>
          <w:szCs w:val="22"/>
          <w:lang w:val="en-US"/>
        </w:rPr>
        <w:t xml:space="preserve">capacities and systems of the Timorese institutions and empower the most </w:t>
      </w:r>
      <w:r w:rsidR="0017765C">
        <w:rPr>
          <w:rFonts w:cs="Times New Roman"/>
          <w:sz w:val="22"/>
          <w:szCs w:val="22"/>
          <w:lang w:val="en-US"/>
        </w:rPr>
        <w:t>marginalized</w:t>
      </w:r>
      <w:r w:rsidR="00B254D7" w:rsidRPr="00841766">
        <w:rPr>
          <w:rFonts w:cs="Times New Roman"/>
          <w:sz w:val="22"/>
          <w:szCs w:val="22"/>
          <w:lang w:val="en-US"/>
        </w:rPr>
        <w:t xml:space="preserve"> rights-holders, in particular women, children, the poor and rural communities, to ensure that by 2025:</w:t>
      </w:r>
    </w:p>
    <w:p w14:paraId="015F2C6B" w14:textId="77777777" w:rsidR="00B254D7" w:rsidRPr="00841766" w:rsidRDefault="00B254D7" w:rsidP="00863184">
      <w:pPr>
        <w:jc w:val="both"/>
        <w:rPr>
          <w:color w:val="000000" w:themeColor="text1"/>
          <w:sz w:val="22"/>
          <w:szCs w:val="22"/>
          <w:lang w:val="en-US"/>
        </w:rPr>
      </w:pPr>
    </w:p>
    <w:p w14:paraId="3DF59799" w14:textId="77777777" w:rsidR="0017765C" w:rsidRPr="0017765C" w:rsidRDefault="00B254D7" w:rsidP="00863184">
      <w:pPr>
        <w:pStyle w:val="ListParagraph"/>
        <w:numPr>
          <w:ilvl w:val="0"/>
          <w:numId w:val="31"/>
        </w:numPr>
        <w:spacing w:after="120"/>
        <w:jc w:val="both"/>
        <w:rPr>
          <w:sz w:val="22"/>
          <w:szCs w:val="22"/>
          <w:lang w:val="en-US"/>
        </w:rPr>
      </w:pPr>
      <w:r w:rsidRPr="0017765C">
        <w:rPr>
          <w:rFonts w:cs="Calibri"/>
          <w:color w:val="000000"/>
          <w:sz w:val="22"/>
          <w:szCs w:val="22"/>
          <w:lang w:val="en-US"/>
        </w:rPr>
        <w:t>Nutrition, food security and agricultural productivity have improved for all, irrespective of the individual ability, gender, age, socio-economic status and geographical location,</w:t>
      </w:r>
    </w:p>
    <w:p w14:paraId="0B1CD097" w14:textId="77777777" w:rsidR="0017765C" w:rsidRPr="0017765C" w:rsidRDefault="001F078E" w:rsidP="00863184">
      <w:pPr>
        <w:pStyle w:val="ListParagraph"/>
        <w:numPr>
          <w:ilvl w:val="0"/>
          <w:numId w:val="31"/>
        </w:numPr>
        <w:spacing w:after="120"/>
        <w:jc w:val="both"/>
        <w:rPr>
          <w:sz w:val="22"/>
          <w:szCs w:val="22"/>
          <w:lang w:val="en-US"/>
        </w:rPr>
      </w:pPr>
      <w:r w:rsidRPr="0017765C">
        <w:rPr>
          <w:rFonts w:cs="Calibri"/>
          <w:color w:val="000000"/>
          <w:sz w:val="22"/>
          <w:szCs w:val="22"/>
          <w:lang w:val="en-US"/>
        </w:rPr>
        <w:t>P</w:t>
      </w:r>
      <w:r w:rsidR="00B254D7" w:rsidRPr="0017765C">
        <w:rPr>
          <w:rFonts w:eastAsia="Times New Roman" w:cs="Calibri"/>
          <w:color w:val="000000"/>
          <w:sz w:val="22"/>
          <w:szCs w:val="22"/>
          <w:lang w:val="en-US" w:eastAsia="fr-FR"/>
        </w:rPr>
        <w:t xml:space="preserve">eople throughout Timor-Leste in all their diversity, especially women and youth, benefit from sustainable economic opportunities and decent work, </w:t>
      </w:r>
    </w:p>
    <w:p w14:paraId="0D146BEA" w14:textId="77777777" w:rsidR="0017765C" w:rsidRPr="0017765C" w:rsidRDefault="00B254D7" w:rsidP="00863184">
      <w:pPr>
        <w:pStyle w:val="ListParagraph"/>
        <w:numPr>
          <w:ilvl w:val="0"/>
          <w:numId w:val="31"/>
        </w:numPr>
        <w:spacing w:after="120"/>
        <w:jc w:val="both"/>
        <w:rPr>
          <w:sz w:val="22"/>
          <w:szCs w:val="22"/>
          <w:lang w:val="en-US"/>
        </w:rPr>
      </w:pPr>
      <w:r w:rsidRPr="0017765C">
        <w:rPr>
          <w:rFonts w:eastAsia="Times New Roman" w:cs="Calibri"/>
          <w:color w:val="000000"/>
          <w:sz w:val="22"/>
          <w:szCs w:val="22"/>
          <w:lang w:val="en-US" w:eastAsia="fr-FR"/>
        </w:rPr>
        <w:lastRenderedPageBreak/>
        <w:t>All people of T</w:t>
      </w:r>
      <w:r w:rsidR="00790D21" w:rsidRPr="0017765C">
        <w:rPr>
          <w:rFonts w:eastAsia="Times New Roman" w:cs="Calibri"/>
          <w:color w:val="000000"/>
          <w:sz w:val="22"/>
          <w:szCs w:val="22"/>
          <w:lang w:val="en-US" w:eastAsia="fr-FR"/>
        </w:rPr>
        <w:t>imor-Leste</w:t>
      </w:r>
      <w:r w:rsidRPr="0017765C">
        <w:rPr>
          <w:rFonts w:eastAsia="Times New Roman" w:cs="Calibri"/>
          <w:color w:val="000000"/>
          <w:sz w:val="22"/>
          <w:szCs w:val="22"/>
          <w:lang w:val="en-US" w:eastAsia="fr-FR"/>
        </w:rPr>
        <w:t xml:space="preserve">, particularly </w:t>
      </w:r>
      <w:r w:rsidR="0017765C" w:rsidRPr="0017765C">
        <w:rPr>
          <w:rFonts w:eastAsia="Times New Roman" w:cs="Calibri"/>
          <w:color w:val="000000"/>
          <w:sz w:val="22"/>
          <w:szCs w:val="22"/>
          <w:lang w:val="en-US" w:eastAsia="fr-FR"/>
        </w:rPr>
        <w:t>excluded</w:t>
      </w:r>
      <w:r w:rsidRPr="0017765C">
        <w:rPr>
          <w:rFonts w:eastAsia="Times New Roman" w:cs="Calibri"/>
          <w:color w:val="000000"/>
          <w:sz w:val="22"/>
          <w:szCs w:val="22"/>
          <w:lang w:val="en-US" w:eastAsia="fr-FR"/>
        </w:rPr>
        <w:t xml:space="preserve"> and disadvantaged groups, have increased access to quality formal and innovative learning pathways (from early childhood though lifelong learning) and acquire foundational, transferable, digital and job-specific skills,</w:t>
      </w:r>
    </w:p>
    <w:p w14:paraId="1AE381F4" w14:textId="77777777" w:rsidR="0017765C" w:rsidRPr="0017765C" w:rsidRDefault="009E5D45" w:rsidP="00863184">
      <w:pPr>
        <w:pStyle w:val="ListParagraph"/>
        <w:numPr>
          <w:ilvl w:val="0"/>
          <w:numId w:val="31"/>
        </w:numPr>
        <w:spacing w:after="120"/>
        <w:jc w:val="both"/>
        <w:rPr>
          <w:sz w:val="22"/>
          <w:szCs w:val="22"/>
          <w:lang w:val="en-US"/>
        </w:rPr>
      </w:pPr>
      <w:r w:rsidRPr="0017765C">
        <w:rPr>
          <w:rFonts w:eastAsia="Times New Roman" w:cs="Calibri"/>
          <w:color w:val="000000"/>
          <w:sz w:val="22"/>
          <w:lang w:val="en-US" w:eastAsia="fr-FR"/>
        </w:rPr>
        <w:t>The people of Timor-Leste increasingly demand and have access to gender-responsive equitable, high quality, resilient and inclusive Primary Health Care and strengthened social protection, including in time of emergencies</w:t>
      </w:r>
    </w:p>
    <w:p w14:paraId="5FB38675" w14:textId="7B0496F3" w:rsidR="0017765C" w:rsidRPr="0017765C" w:rsidRDefault="00B254D7" w:rsidP="00863184">
      <w:pPr>
        <w:pStyle w:val="ListParagraph"/>
        <w:numPr>
          <w:ilvl w:val="0"/>
          <w:numId w:val="31"/>
        </w:numPr>
        <w:spacing w:after="120"/>
        <w:jc w:val="both"/>
        <w:rPr>
          <w:sz w:val="22"/>
          <w:szCs w:val="22"/>
          <w:lang w:val="en-US"/>
        </w:rPr>
      </w:pPr>
      <w:r w:rsidRPr="0017765C">
        <w:rPr>
          <w:rFonts w:eastAsia="Times New Roman" w:cs="Calibri"/>
          <w:color w:val="000000"/>
          <w:sz w:val="22"/>
          <w:szCs w:val="22"/>
          <w:lang w:val="en-US" w:eastAsia="fr-FR"/>
        </w:rPr>
        <w:t>T</w:t>
      </w:r>
      <w:r w:rsidRPr="0017765C">
        <w:rPr>
          <w:rFonts w:cs="Calibri"/>
          <w:color w:val="000000"/>
          <w:sz w:val="22"/>
          <w:szCs w:val="22"/>
          <w:lang w:val="en-US"/>
        </w:rPr>
        <w:t>he people of Timor-Leste, especially the most excluded are empowered to claim their rights, </w:t>
      </w:r>
      <w:r w:rsidRPr="0017765C">
        <w:rPr>
          <w:rFonts w:cs="Calibri"/>
          <w:iCs/>
          <w:color w:val="000000"/>
          <w:sz w:val="22"/>
          <w:szCs w:val="22"/>
          <w:lang w:val="en-US"/>
        </w:rPr>
        <w:t>including freedom from violence</w:t>
      </w:r>
      <w:r w:rsidRPr="0017765C">
        <w:rPr>
          <w:rFonts w:cs="Calibri"/>
          <w:i/>
          <w:iCs/>
          <w:color w:val="000000"/>
          <w:sz w:val="22"/>
          <w:szCs w:val="22"/>
          <w:lang w:val="en-US"/>
        </w:rPr>
        <w:t>,</w:t>
      </w:r>
      <w:r w:rsidRPr="0017765C">
        <w:rPr>
          <w:rFonts w:cs="Calibri"/>
          <w:color w:val="000000"/>
          <w:sz w:val="22"/>
          <w:szCs w:val="22"/>
          <w:lang w:val="en-US"/>
        </w:rPr>
        <w:t> through accessible</w:t>
      </w:r>
      <w:r w:rsidR="002165DE">
        <w:rPr>
          <w:rFonts w:cs="Calibri"/>
          <w:color w:val="000000"/>
          <w:sz w:val="22"/>
          <w:szCs w:val="22"/>
          <w:lang w:val="en-US"/>
        </w:rPr>
        <w:t xml:space="preserve">, </w:t>
      </w:r>
      <w:r w:rsidRPr="0017765C">
        <w:rPr>
          <w:rFonts w:cs="Calibri"/>
          <w:color w:val="000000"/>
          <w:sz w:val="22"/>
          <w:szCs w:val="22"/>
          <w:lang w:val="en-US"/>
        </w:rPr>
        <w:t>accountable and gender responsive governance systems, institutions and services at national and subnational levels,</w:t>
      </w:r>
    </w:p>
    <w:p w14:paraId="6ED7CBF3" w14:textId="053A191D" w:rsidR="00B254D7" w:rsidRPr="0017765C" w:rsidRDefault="00B254D7" w:rsidP="00863184">
      <w:pPr>
        <w:pStyle w:val="ListParagraph"/>
        <w:numPr>
          <w:ilvl w:val="0"/>
          <w:numId w:val="31"/>
        </w:numPr>
        <w:spacing w:after="120"/>
        <w:jc w:val="both"/>
        <w:rPr>
          <w:sz w:val="22"/>
          <w:szCs w:val="22"/>
          <w:lang w:val="en-US"/>
        </w:rPr>
      </w:pPr>
      <w:r w:rsidRPr="0017765C">
        <w:rPr>
          <w:rFonts w:cs="Calibri"/>
          <w:color w:val="000000"/>
          <w:sz w:val="22"/>
          <w:szCs w:val="22"/>
          <w:lang w:val="en-US"/>
        </w:rPr>
        <w:t>National and sub-national institutions and communities (particularly at-risk populations including women and children) in Timor-Leste are better able to manage natural resources and achieve enhanced resilience to impacts of climate change, natural and human-induced hazards, and environmental degradation, inclusively and sustainably.</w:t>
      </w:r>
    </w:p>
    <w:p w14:paraId="67B82415" w14:textId="6AAB985C" w:rsidR="00B254D7" w:rsidRPr="00841766" w:rsidRDefault="00B254D7" w:rsidP="00863184">
      <w:pPr>
        <w:spacing w:after="120"/>
        <w:jc w:val="both"/>
        <w:rPr>
          <w:color w:val="000000" w:themeColor="text1"/>
          <w:sz w:val="22"/>
          <w:szCs w:val="22"/>
          <w:lang w:val="en-US"/>
        </w:rPr>
      </w:pPr>
      <w:r w:rsidRPr="00841766">
        <w:rPr>
          <w:color w:val="000000" w:themeColor="text1"/>
          <w:sz w:val="22"/>
          <w:szCs w:val="22"/>
          <w:lang w:val="en-US"/>
        </w:rPr>
        <w:t xml:space="preserve">To address these priorities, the UN </w:t>
      </w:r>
      <w:r w:rsidR="00842C8C" w:rsidRPr="00841766">
        <w:rPr>
          <w:color w:val="000000" w:themeColor="text1"/>
          <w:sz w:val="22"/>
          <w:szCs w:val="22"/>
          <w:lang w:val="en-US"/>
        </w:rPr>
        <w:t>commit</w:t>
      </w:r>
      <w:r w:rsidR="001968DF">
        <w:rPr>
          <w:color w:val="000000" w:themeColor="text1"/>
          <w:sz w:val="22"/>
          <w:szCs w:val="22"/>
          <w:lang w:val="en-US"/>
        </w:rPr>
        <w:t>s</w:t>
      </w:r>
      <w:r w:rsidRPr="00841766">
        <w:rPr>
          <w:color w:val="000000" w:themeColor="text1"/>
          <w:sz w:val="22"/>
          <w:szCs w:val="22"/>
          <w:lang w:val="en-US"/>
        </w:rPr>
        <w:t xml:space="preserve"> to </w:t>
      </w:r>
      <w:r w:rsidR="00675FFF" w:rsidRPr="00841766">
        <w:rPr>
          <w:color w:val="000000" w:themeColor="text1"/>
          <w:sz w:val="22"/>
          <w:szCs w:val="22"/>
          <w:lang w:val="en-US"/>
        </w:rPr>
        <w:t xml:space="preserve">partner with Government and a range of </w:t>
      </w:r>
      <w:r w:rsidR="006C18B3">
        <w:rPr>
          <w:color w:val="000000" w:themeColor="text1"/>
          <w:sz w:val="22"/>
          <w:szCs w:val="22"/>
          <w:lang w:val="en-US"/>
        </w:rPr>
        <w:t xml:space="preserve">other </w:t>
      </w:r>
      <w:r w:rsidR="00675FFF" w:rsidRPr="00841766">
        <w:rPr>
          <w:color w:val="000000" w:themeColor="text1"/>
          <w:sz w:val="22"/>
          <w:szCs w:val="22"/>
          <w:lang w:val="en-US"/>
        </w:rPr>
        <w:t xml:space="preserve">stakeholders to </w:t>
      </w:r>
      <w:r w:rsidRPr="00841766">
        <w:rPr>
          <w:color w:val="000000" w:themeColor="text1"/>
          <w:sz w:val="22"/>
          <w:szCs w:val="22"/>
          <w:lang w:val="en-US"/>
        </w:rPr>
        <w:t xml:space="preserve">deliver collective and integrated results that </w:t>
      </w:r>
      <w:r w:rsidR="001968DF">
        <w:rPr>
          <w:color w:val="000000" w:themeColor="text1"/>
          <w:sz w:val="22"/>
          <w:szCs w:val="22"/>
          <w:lang w:val="en-US"/>
        </w:rPr>
        <w:t xml:space="preserve">address </w:t>
      </w:r>
      <w:r w:rsidRPr="00841766">
        <w:rPr>
          <w:color w:val="000000" w:themeColor="text1"/>
          <w:sz w:val="22"/>
          <w:szCs w:val="22"/>
          <w:lang w:val="en-US"/>
        </w:rPr>
        <w:t xml:space="preserve">major bottlenecks to progress. </w:t>
      </w:r>
      <w:r w:rsidR="00417E17">
        <w:rPr>
          <w:color w:val="000000" w:themeColor="text1"/>
          <w:sz w:val="22"/>
          <w:szCs w:val="22"/>
          <w:lang w:val="en-US"/>
        </w:rPr>
        <w:t xml:space="preserve"> </w:t>
      </w:r>
      <w:r w:rsidRPr="00841766">
        <w:rPr>
          <w:color w:val="000000" w:themeColor="text1"/>
          <w:sz w:val="22"/>
          <w:szCs w:val="22"/>
          <w:lang w:val="en-US"/>
        </w:rPr>
        <w:t>Barriers related to gender</w:t>
      </w:r>
      <w:r w:rsidR="00417E17">
        <w:rPr>
          <w:color w:val="000000" w:themeColor="text1"/>
          <w:sz w:val="22"/>
          <w:szCs w:val="22"/>
          <w:lang w:val="en-US"/>
        </w:rPr>
        <w:t xml:space="preserve"> </w:t>
      </w:r>
      <w:r w:rsidRPr="00841766">
        <w:rPr>
          <w:color w:val="000000" w:themeColor="text1"/>
          <w:sz w:val="22"/>
          <w:szCs w:val="22"/>
          <w:lang w:val="en-US"/>
        </w:rPr>
        <w:t xml:space="preserve">inequality will be prioritized through </w:t>
      </w:r>
      <w:r w:rsidR="00815F0E">
        <w:rPr>
          <w:color w:val="000000" w:themeColor="text1"/>
          <w:sz w:val="22"/>
          <w:szCs w:val="22"/>
          <w:lang w:val="en-US"/>
        </w:rPr>
        <w:t xml:space="preserve">a </w:t>
      </w:r>
      <w:r w:rsidRPr="00841766">
        <w:rPr>
          <w:color w:val="000000" w:themeColor="text1"/>
          <w:sz w:val="22"/>
          <w:szCs w:val="22"/>
          <w:lang w:val="en-US"/>
        </w:rPr>
        <w:t xml:space="preserve">systematic attempt to address the root causes of the perpetuation of negative gender norms. </w:t>
      </w:r>
    </w:p>
    <w:p w14:paraId="1E4D2EBF" w14:textId="1DD013B0" w:rsidR="00B254D7" w:rsidRPr="00841766" w:rsidRDefault="00B254D7" w:rsidP="00863184">
      <w:pPr>
        <w:spacing w:after="120"/>
        <w:jc w:val="both"/>
        <w:rPr>
          <w:color w:val="000000" w:themeColor="text1"/>
          <w:sz w:val="22"/>
          <w:szCs w:val="22"/>
          <w:lang w:val="en-US"/>
        </w:rPr>
      </w:pPr>
      <w:r w:rsidRPr="00841766">
        <w:rPr>
          <w:color w:val="000000" w:themeColor="text1"/>
          <w:sz w:val="22"/>
          <w:szCs w:val="22"/>
          <w:lang w:val="en-US"/>
        </w:rPr>
        <w:t>Policies, institutional frameworks</w:t>
      </w:r>
      <w:r w:rsidR="00197E94">
        <w:rPr>
          <w:color w:val="000000" w:themeColor="text1"/>
          <w:sz w:val="22"/>
          <w:szCs w:val="22"/>
          <w:lang w:val="en-US"/>
        </w:rPr>
        <w:t>,</w:t>
      </w:r>
      <w:r w:rsidRPr="00841766">
        <w:rPr>
          <w:color w:val="000000" w:themeColor="text1"/>
          <w:sz w:val="22"/>
          <w:szCs w:val="22"/>
          <w:lang w:val="en-US"/>
        </w:rPr>
        <w:t xml:space="preserve"> </w:t>
      </w:r>
      <w:r w:rsidR="00197E94">
        <w:rPr>
          <w:color w:val="000000" w:themeColor="text1"/>
          <w:sz w:val="22"/>
          <w:szCs w:val="22"/>
          <w:lang w:val="en-US"/>
        </w:rPr>
        <w:t xml:space="preserve">priority </w:t>
      </w:r>
      <w:r w:rsidRPr="00841766">
        <w:rPr>
          <w:color w:val="000000" w:themeColor="text1"/>
          <w:sz w:val="22"/>
          <w:szCs w:val="22"/>
          <w:lang w:val="en-US"/>
        </w:rPr>
        <w:t xml:space="preserve">reforms and </w:t>
      </w:r>
      <w:r w:rsidR="00197E94">
        <w:rPr>
          <w:color w:val="000000" w:themeColor="text1"/>
          <w:sz w:val="22"/>
          <w:szCs w:val="22"/>
          <w:lang w:val="en-US"/>
        </w:rPr>
        <w:t xml:space="preserve">improved </w:t>
      </w:r>
      <w:r w:rsidRPr="00841766">
        <w:rPr>
          <w:color w:val="000000" w:themeColor="text1"/>
          <w:sz w:val="22"/>
          <w:szCs w:val="22"/>
          <w:lang w:val="en-US"/>
        </w:rPr>
        <w:t>inter-sectoral</w:t>
      </w:r>
      <w:r w:rsidR="00197E94">
        <w:rPr>
          <w:color w:val="000000" w:themeColor="text1"/>
          <w:sz w:val="22"/>
          <w:szCs w:val="22"/>
          <w:lang w:val="en-US"/>
        </w:rPr>
        <w:t>,</w:t>
      </w:r>
      <w:r w:rsidRPr="00841766">
        <w:rPr>
          <w:color w:val="000000" w:themeColor="text1"/>
          <w:sz w:val="22"/>
          <w:szCs w:val="22"/>
          <w:lang w:val="en-US"/>
        </w:rPr>
        <w:t xml:space="preserve"> multi-stakeholder coordination and partnership</w:t>
      </w:r>
      <w:r w:rsidR="00197E94">
        <w:rPr>
          <w:color w:val="000000" w:themeColor="text1"/>
          <w:sz w:val="22"/>
          <w:szCs w:val="22"/>
          <w:lang w:val="en-US"/>
        </w:rPr>
        <w:t>s</w:t>
      </w:r>
      <w:r w:rsidRPr="00841766">
        <w:rPr>
          <w:color w:val="000000" w:themeColor="text1"/>
          <w:sz w:val="22"/>
          <w:szCs w:val="22"/>
          <w:lang w:val="en-US"/>
        </w:rPr>
        <w:t xml:space="preserve"> will also be targeted for investment through innovative solutions</w:t>
      </w:r>
      <w:r w:rsidR="00197E94">
        <w:rPr>
          <w:color w:val="000000" w:themeColor="text1"/>
          <w:sz w:val="22"/>
          <w:szCs w:val="22"/>
          <w:lang w:val="en-US"/>
        </w:rPr>
        <w:t>,</w:t>
      </w:r>
      <w:r w:rsidRPr="00841766">
        <w:rPr>
          <w:color w:val="000000" w:themeColor="text1"/>
          <w:sz w:val="22"/>
          <w:szCs w:val="22"/>
          <w:lang w:val="en-US"/>
        </w:rPr>
        <w:t xml:space="preserve"> bringing services to and empowering the most marginalized.</w:t>
      </w:r>
      <w:r w:rsidR="00C277EB">
        <w:rPr>
          <w:color w:val="000000" w:themeColor="text1"/>
          <w:sz w:val="22"/>
          <w:szCs w:val="22"/>
          <w:lang w:val="en-US"/>
        </w:rPr>
        <w:t xml:space="preserve">  Integrated support to strengthen the social protection system will be prioritized to </w:t>
      </w:r>
      <w:r w:rsidR="00197E94">
        <w:rPr>
          <w:color w:val="000000" w:themeColor="text1"/>
          <w:sz w:val="22"/>
          <w:szCs w:val="22"/>
          <w:lang w:val="en-US"/>
        </w:rPr>
        <w:t xml:space="preserve">contribute to the </w:t>
      </w:r>
      <w:r w:rsidR="00C277EB">
        <w:rPr>
          <w:color w:val="000000" w:themeColor="text1"/>
          <w:sz w:val="22"/>
          <w:szCs w:val="22"/>
          <w:lang w:val="en-US"/>
        </w:rPr>
        <w:t>reduc</w:t>
      </w:r>
      <w:r w:rsidR="00197E94">
        <w:rPr>
          <w:color w:val="000000" w:themeColor="text1"/>
          <w:sz w:val="22"/>
          <w:szCs w:val="22"/>
          <w:lang w:val="en-US"/>
        </w:rPr>
        <w:t xml:space="preserve">tion of </w:t>
      </w:r>
      <w:r w:rsidR="00C277EB">
        <w:rPr>
          <w:color w:val="000000" w:themeColor="text1"/>
          <w:sz w:val="22"/>
          <w:szCs w:val="22"/>
          <w:lang w:val="en-US"/>
        </w:rPr>
        <w:t xml:space="preserve">multidimensional poverty and guarantee a decent/minimum standard of living </w:t>
      </w:r>
      <w:r w:rsidR="00197E94">
        <w:rPr>
          <w:color w:val="000000" w:themeColor="text1"/>
          <w:sz w:val="22"/>
          <w:szCs w:val="22"/>
          <w:lang w:val="en-US"/>
        </w:rPr>
        <w:t xml:space="preserve">for </w:t>
      </w:r>
      <w:r w:rsidR="00C277EB">
        <w:rPr>
          <w:color w:val="000000" w:themeColor="text1"/>
          <w:sz w:val="22"/>
          <w:szCs w:val="22"/>
          <w:lang w:val="en-US"/>
        </w:rPr>
        <w:t>all citizens.</w:t>
      </w:r>
    </w:p>
    <w:p w14:paraId="12070532" w14:textId="0B72E306" w:rsidR="00B254D7" w:rsidRPr="00841766" w:rsidRDefault="00B254D7" w:rsidP="00863184">
      <w:pPr>
        <w:spacing w:after="120"/>
        <w:jc w:val="both"/>
        <w:rPr>
          <w:color w:val="000000" w:themeColor="text1"/>
          <w:sz w:val="22"/>
          <w:szCs w:val="22"/>
          <w:lang w:val="en-US"/>
        </w:rPr>
      </w:pPr>
      <w:r w:rsidRPr="00841766">
        <w:rPr>
          <w:color w:val="000000" w:themeColor="text1"/>
          <w:sz w:val="22"/>
          <w:szCs w:val="22"/>
          <w:lang w:val="en-US"/>
        </w:rPr>
        <w:t xml:space="preserve">To achieve this, the UN will </w:t>
      </w:r>
      <w:r w:rsidR="00446F85" w:rsidRPr="00841766">
        <w:rPr>
          <w:color w:val="000000" w:themeColor="text1"/>
          <w:sz w:val="22"/>
          <w:szCs w:val="22"/>
          <w:lang w:val="en-US"/>
        </w:rPr>
        <w:t>support the Government to ensure that</w:t>
      </w:r>
      <w:r w:rsidRPr="00841766">
        <w:rPr>
          <w:color w:val="000000" w:themeColor="text1"/>
          <w:sz w:val="22"/>
          <w:szCs w:val="22"/>
          <w:lang w:val="en-US"/>
        </w:rPr>
        <w:t xml:space="preserve"> data on the needs at community, households and individual levels is available and utilized to develop policies and services targeting the most </w:t>
      </w:r>
      <w:r w:rsidR="00C7169E">
        <w:rPr>
          <w:color w:val="000000" w:themeColor="text1"/>
          <w:sz w:val="22"/>
          <w:szCs w:val="22"/>
          <w:lang w:val="en-US"/>
        </w:rPr>
        <w:t>excluded</w:t>
      </w:r>
      <w:r w:rsidRPr="00841766">
        <w:rPr>
          <w:color w:val="000000" w:themeColor="text1"/>
          <w:sz w:val="22"/>
          <w:szCs w:val="22"/>
          <w:lang w:val="en-US"/>
        </w:rPr>
        <w:t xml:space="preserve"> and addressing inequalities. </w:t>
      </w:r>
    </w:p>
    <w:p w14:paraId="355E2752" w14:textId="34A3926F" w:rsidR="003741EF" w:rsidRDefault="00B254D7" w:rsidP="00863184">
      <w:pPr>
        <w:jc w:val="both"/>
        <w:rPr>
          <w:color w:val="000000" w:themeColor="text1"/>
          <w:sz w:val="22"/>
          <w:szCs w:val="22"/>
          <w:lang w:val="en-US"/>
        </w:rPr>
      </w:pPr>
      <w:r w:rsidRPr="00841766">
        <w:rPr>
          <w:color w:val="000000" w:themeColor="text1"/>
          <w:sz w:val="22"/>
          <w:szCs w:val="22"/>
          <w:lang w:val="en-US"/>
        </w:rPr>
        <w:t>Furthermore, the UN will ensure that all its support contribute</w:t>
      </w:r>
      <w:r w:rsidR="00675FFF" w:rsidRPr="00841766">
        <w:rPr>
          <w:color w:val="000000" w:themeColor="text1"/>
          <w:sz w:val="22"/>
          <w:szCs w:val="22"/>
          <w:lang w:val="en-US"/>
        </w:rPr>
        <w:t>s</w:t>
      </w:r>
      <w:r w:rsidRPr="00841766">
        <w:rPr>
          <w:color w:val="000000" w:themeColor="text1"/>
          <w:sz w:val="22"/>
          <w:szCs w:val="22"/>
          <w:lang w:val="en-US"/>
        </w:rPr>
        <w:t xml:space="preserve"> to building the resilience of </w:t>
      </w:r>
      <w:r w:rsidR="00BF00AD">
        <w:rPr>
          <w:color w:val="000000" w:themeColor="text1"/>
          <w:sz w:val="22"/>
          <w:szCs w:val="22"/>
          <w:lang w:val="en-US"/>
        </w:rPr>
        <w:t xml:space="preserve">national and local </w:t>
      </w:r>
      <w:r w:rsidRPr="00841766">
        <w:rPr>
          <w:color w:val="000000" w:themeColor="text1"/>
          <w:sz w:val="22"/>
          <w:szCs w:val="22"/>
          <w:lang w:val="en-US"/>
        </w:rPr>
        <w:t xml:space="preserve">institutions, communities and individuals to shocks, </w:t>
      </w:r>
      <w:r w:rsidR="006C18B3">
        <w:rPr>
          <w:color w:val="000000" w:themeColor="text1"/>
          <w:sz w:val="22"/>
          <w:szCs w:val="22"/>
          <w:lang w:val="en-US"/>
        </w:rPr>
        <w:t xml:space="preserve">particularly </w:t>
      </w:r>
      <w:r w:rsidRPr="00841766">
        <w:rPr>
          <w:color w:val="000000" w:themeColor="text1"/>
          <w:sz w:val="22"/>
          <w:szCs w:val="22"/>
          <w:lang w:val="en-US"/>
        </w:rPr>
        <w:t xml:space="preserve">the most </w:t>
      </w:r>
      <w:r w:rsidR="00C7169E">
        <w:rPr>
          <w:color w:val="000000" w:themeColor="text1"/>
          <w:sz w:val="22"/>
          <w:szCs w:val="22"/>
          <w:lang w:val="en-US"/>
        </w:rPr>
        <w:t>marginalized</w:t>
      </w:r>
      <w:r w:rsidR="00BF00AD">
        <w:rPr>
          <w:color w:val="000000" w:themeColor="text1"/>
          <w:sz w:val="22"/>
          <w:szCs w:val="22"/>
          <w:lang w:val="en-US"/>
        </w:rPr>
        <w:t xml:space="preserve"> - </w:t>
      </w:r>
      <w:r w:rsidRPr="00841766">
        <w:rPr>
          <w:color w:val="000000" w:themeColor="text1"/>
          <w:sz w:val="22"/>
          <w:szCs w:val="22"/>
          <w:lang w:val="en-US"/>
        </w:rPr>
        <w:t>women, children,</w:t>
      </w:r>
      <w:r w:rsidR="00FB0EC6" w:rsidRPr="00841766">
        <w:rPr>
          <w:color w:val="000000" w:themeColor="text1"/>
          <w:sz w:val="22"/>
          <w:szCs w:val="22"/>
          <w:lang w:val="en-US"/>
        </w:rPr>
        <w:t xml:space="preserve"> persons with disabilities, </w:t>
      </w:r>
      <w:r w:rsidRPr="00841766">
        <w:rPr>
          <w:color w:val="000000" w:themeColor="text1"/>
          <w:sz w:val="22"/>
          <w:szCs w:val="22"/>
          <w:lang w:val="en-US"/>
        </w:rPr>
        <w:t>migrant populations and the elderly.</w:t>
      </w:r>
    </w:p>
    <w:p w14:paraId="450EA127" w14:textId="2D237F1B" w:rsidR="00B254D7" w:rsidRDefault="00B254D7" w:rsidP="00552AAD">
      <w:pPr>
        <w:pStyle w:val="Heading2"/>
        <w:jc w:val="both"/>
        <w:rPr>
          <w:rFonts w:asciiTheme="minorHAnsi" w:hAnsiTheme="minorHAnsi"/>
          <w:sz w:val="32"/>
          <w:szCs w:val="32"/>
          <w:lang w:val="en-US"/>
        </w:rPr>
      </w:pPr>
      <w:bookmarkStart w:id="23" w:name="_Toc40265797"/>
      <w:r w:rsidRPr="00841766">
        <w:rPr>
          <w:rFonts w:asciiTheme="minorHAnsi" w:hAnsiTheme="minorHAnsi"/>
          <w:sz w:val="32"/>
          <w:szCs w:val="32"/>
          <w:lang w:val="en-US"/>
        </w:rPr>
        <w:t>2.</w:t>
      </w:r>
      <w:r w:rsidR="002C16D5">
        <w:rPr>
          <w:rFonts w:asciiTheme="minorHAnsi" w:hAnsiTheme="minorHAnsi"/>
          <w:sz w:val="32"/>
          <w:szCs w:val="32"/>
          <w:lang w:val="en-US"/>
        </w:rPr>
        <w:t>3</w:t>
      </w:r>
      <w:r w:rsidRPr="00841766">
        <w:rPr>
          <w:rFonts w:asciiTheme="minorHAnsi" w:hAnsiTheme="minorHAnsi"/>
          <w:sz w:val="32"/>
          <w:szCs w:val="32"/>
          <w:lang w:val="en-US"/>
        </w:rPr>
        <w:t xml:space="preserve">. </w:t>
      </w:r>
      <w:r w:rsidR="00395A14">
        <w:rPr>
          <w:rFonts w:asciiTheme="minorHAnsi" w:hAnsiTheme="minorHAnsi"/>
          <w:sz w:val="32"/>
          <w:szCs w:val="32"/>
          <w:lang w:val="en-US"/>
        </w:rPr>
        <w:t xml:space="preserve">Priority </w:t>
      </w:r>
      <w:r w:rsidRPr="00841766">
        <w:rPr>
          <w:rFonts w:asciiTheme="minorHAnsi" w:hAnsiTheme="minorHAnsi"/>
          <w:sz w:val="32"/>
          <w:szCs w:val="32"/>
          <w:lang w:val="en-US"/>
        </w:rPr>
        <w:t>outcomes and partnerships</w:t>
      </w:r>
      <w:bookmarkEnd w:id="23"/>
    </w:p>
    <w:p w14:paraId="77286107" w14:textId="256E8279" w:rsidR="00385D62" w:rsidRPr="00465E28" w:rsidRDefault="00385D62" w:rsidP="00552AAD">
      <w:pPr>
        <w:autoSpaceDE w:val="0"/>
        <w:autoSpaceDN w:val="0"/>
        <w:adjustRightInd w:val="0"/>
        <w:jc w:val="both"/>
        <w:rPr>
          <w:rFonts w:cs="Times New Roman"/>
          <w:sz w:val="22"/>
          <w:szCs w:val="22"/>
          <w:lang w:val="en-US"/>
        </w:rPr>
      </w:pPr>
      <w:r w:rsidRPr="00465E28">
        <w:rPr>
          <w:rFonts w:cs="Times New Roman"/>
          <w:sz w:val="22"/>
          <w:szCs w:val="22"/>
          <w:lang w:val="en-US"/>
        </w:rPr>
        <w:t xml:space="preserve">In support of national priorities outlined in the SDP and the </w:t>
      </w:r>
      <w:r w:rsidR="00552AAD">
        <w:rPr>
          <w:rFonts w:cs="Times New Roman"/>
          <w:sz w:val="22"/>
          <w:szCs w:val="22"/>
          <w:lang w:val="en-US"/>
        </w:rPr>
        <w:t>G</w:t>
      </w:r>
      <w:r w:rsidRPr="00465E28">
        <w:rPr>
          <w:rFonts w:cs="Times New Roman"/>
          <w:sz w:val="22"/>
          <w:szCs w:val="22"/>
          <w:lang w:val="en-US"/>
        </w:rPr>
        <w:t>overnment’s medium-term priorities as set out in the budget plans, the UNSDCF uses the SDG global framework as a reference to target and measure the expected results that the UN will contribute to.  At the time of formulation of the UNSDCF, the global SDG framework has not yet been nationalized in Timor-Leste.  As a result, the UNSDCF formulation process generated a dialogue with national counterparts on the most appropriate targets and indicators for the country.  The UNSDCF Results Matrix contains a majority of SDG indicators, with targets that have been localized as part of the UNSDCF development process.  The UNSDCF intends to contribute to 67 of the 169 global targets from the SDG framework.</w:t>
      </w:r>
    </w:p>
    <w:p w14:paraId="3E5DA42D" w14:textId="77777777" w:rsidR="00385D62" w:rsidRDefault="00385D62" w:rsidP="00552AAD">
      <w:pPr>
        <w:pStyle w:val="Heading3"/>
        <w:jc w:val="both"/>
        <w:rPr>
          <w:lang w:val="en-US"/>
        </w:rPr>
      </w:pPr>
    </w:p>
    <w:p w14:paraId="5056F119" w14:textId="631F2F12" w:rsidR="00A261B4" w:rsidRPr="00841766" w:rsidRDefault="00A261B4" w:rsidP="00552AAD">
      <w:pPr>
        <w:pStyle w:val="Heading3"/>
        <w:jc w:val="both"/>
        <w:rPr>
          <w:sz w:val="22"/>
          <w:szCs w:val="22"/>
          <w:lang w:val="en-US"/>
        </w:rPr>
      </w:pPr>
      <w:bookmarkStart w:id="24" w:name="_Toc40265798"/>
      <w:r w:rsidRPr="00841766">
        <w:rPr>
          <w:lang w:val="en-US"/>
        </w:rPr>
        <w:t xml:space="preserve">COOPERATION </w:t>
      </w:r>
      <w:r w:rsidRPr="003C699A">
        <w:rPr>
          <w:color w:val="1F3864" w:themeColor="accent1" w:themeShade="80"/>
          <w:lang w:val="en-US"/>
        </w:rPr>
        <w:t>FRAMEWORK</w:t>
      </w:r>
      <w:r w:rsidRPr="00841766">
        <w:rPr>
          <w:lang w:val="en-US"/>
        </w:rPr>
        <w:t xml:space="preserve"> OUTCOME 1</w:t>
      </w:r>
      <w:r w:rsidRPr="00841766">
        <w:rPr>
          <w:sz w:val="22"/>
          <w:szCs w:val="22"/>
          <w:lang w:val="en-US"/>
        </w:rPr>
        <w:t xml:space="preserve">: </w:t>
      </w:r>
      <w:r w:rsidRPr="00841766">
        <w:rPr>
          <w:lang w:val="en-US"/>
        </w:rPr>
        <w:t>Nutrition, food security and sustainable agriculture</w:t>
      </w:r>
      <w:bookmarkEnd w:id="24"/>
    </w:p>
    <w:p w14:paraId="655AA837" w14:textId="77777777" w:rsidR="00552AAD" w:rsidRDefault="00552AAD" w:rsidP="00552AAD">
      <w:pPr>
        <w:spacing w:after="120"/>
        <w:jc w:val="both"/>
        <w:rPr>
          <w:rFonts w:cstheme="minorHAnsi"/>
          <w:sz w:val="22"/>
          <w:szCs w:val="22"/>
          <w:lang w:val="en-US"/>
        </w:rPr>
      </w:pPr>
    </w:p>
    <w:p w14:paraId="5B91B1EA" w14:textId="50C65FEB" w:rsidR="00B254D7" w:rsidRDefault="003741EF" w:rsidP="00552AAD">
      <w:pPr>
        <w:spacing w:after="120"/>
        <w:jc w:val="both"/>
        <w:rPr>
          <w:rFonts w:eastAsia="Times New Roman" w:cs="Calibri"/>
          <w:color w:val="000000"/>
          <w:sz w:val="22"/>
          <w:szCs w:val="22"/>
          <w:lang w:val="en-US" w:eastAsia="fr-FR"/>
        </w:rPr>
      </w:pPr>
      <w:r w:rsidRPr="00841766">
        <w:rPr>
          <w:rFonts w:cstheme="minorHAnsi"/>
          <w:sz w:val="22"/>
          <w:szCs w:val="22"/>
          <w:lang w:val="en-US"/>
        </w:rPr>
        <w:t>“</w:t>
      </w:r>
      <w:r w:rsidR="00B254D7" w:rsidRPr="00841766">
        <w:rPr>
          <w:rFonts w:eastAsia="Times New Roman" w:cs="Calibri"/>
          <w:color w:val="000000"/>
          <w:sz w:val="22"/>
          <w:szCs w:val="22"/>
          <w:lang w:val="en-US" w:eastAsia="fr-FR"/>
        </w:rPr>
        <w:t>By 2025, Nutrition, food security and agricultural productivity have improved for all, irrespective of the individual ability, gender, age, socio-economic status and geographical location.</w:t>
      </w:r>
      <w:r w:rsidRPr="00841766">
        <w:rPr>
          <w:rFonts w:eastAsia="Times New Roman" w:cs="Calibri"/>
          <w:color w:val="000000"/>
          <w:sz w:val="22"/>
          <w:szCs w:val="22"/>
          <w:lang w:val="en-US" w:eastAsia="fr-FR"/>
        </w:rPr>
        <w:t>”</w:t>
      </w:r>
    </w:p>
    <w:p w14:paraId="652D1293" w14:textId="7154B0A8" w:rsidR="002E0A73" w:rsidRPr="002E0A73" w:rsidRDefault="002E0A73" w:rsidP="00552AAD">
      <w:pPr>
        <w:jc w:val="both"/>
        <w:rPr>
          <w:rFonts w:eastAsia="Times New Roman" w:cs="Calibri"/>
          <w:b/>
          <w:bCs/>
          <w:color w:val="000000"/>
          <w:sz w:val="22"/>
          <w:szCs w:val="22"/>
          <w:lang w:val="en-US" w:eastAsia="fr-FR"/>
        </w:rPr>
      </w:pPr>
      <w:r w:rsidRPr="006E7B96">
        <w:rPr>
          <w:b/>
          <w:bCs/>
          <w:lang w:val="en-US"/>
        </w:rPr>
        <w:t>Intended Development</w:t>
      </w:r>
      <w:r w:rsidRPr="002E0A73">
        <w:rPr>
          <w:rFonts w:eastAsia="Times New Roman" w:cs="Calibri"/>
          <w:b/>
          <w:bCs/>
          <w:color w:val="000000"/>
          <w:sz w:val="22"/>
          <w:szCs w:val="22"/>
          <w:lang w:val="en-US" w:eastAsia="fr-FR"/>
        </w:rPr>
        <w:t xml:space="preserve"> </w:t>
      </w:r>
      <w:r w:rsidRPr="006E7B96">
        <w:rPr>
          <w:b/>
          <w:bCs/>
          <w:lang w:val="en-US"/>
        </w:rPr>
        <w:t>Results</w:t>
      </w:r>
      <w:r w:rsidRPr="002E0A73">
        <w:rPr>
          <w:rFonts w:eastAsia="Times New Roman" w:cs="Calibri"/>
          <w:b/>
          <w:bCs/>
          <w:color w:val="000000"/>
          <w:sz w:val="22"/>
          <w:szCs w:val="22"/>
          <w:lang w:val="en-US" w:eastAsia="fr-FR"/>
        </w:rPr>
        <w:t xml:space="preserve"> </w:t>
      </w:r>
    </w:p>
    <w:p w14:paraId="555EFF4C" w14:textId="62767054" w:rsidR="002E0A73" w:rsidRPr="002E0A73" w:rsidRDefault="002E0A73" w:rsidP="00552AAD">
      <w:pPr>
        <w:tabs>
          <w:tab w:val="left" w:pos="284"/>
        </w:tabs>
        <w:autoSpaceDE w:val="0"/>
        <w:autoSpaceDN w:val="0"/>
        <w:adjustRightInd w:val="0"/>
        <w:spacing w:after="120"/>
        <w:jc w:val="both"/>
        <w:rPr>
          <w:sz w:val="22"/>
          <w:szCs w:val="22"/>
          <w:lang w:val="en-GB"/>
        </w:rPr>
      </w:pPr>
      <w:r w:rsidRPr="002E0A73">
        <w:rPr>
          <w:rFonts w:cs="Times New Roman"/>
          <w:sz w:val="22"/>
          <w:szCs w:val="22"/>
          <w:lang w:val="en-US"/>
        </w:rPr>
        <w:t xml:space="preserve">By strengthening health interventions to address all forms of malnutrition and by increasing the dietary diversity </w:t>
      </w:r>
      <w:r w:rsidRPr="002E0A73">
        <w:rPr>
          <w:rFonts w:cstheme="minorHAnsi"/>
          <w:sz w:val="22"/>
          <w:szCs w:val="22"/>
          <w:lang w:val="en-US"/>
        </w:rPr>
        <w:t xml:space="preserve">of women of reproductive age and children under </w:t>
      </w:r>
      <w:r w:rsidR="00552AAD">
        <w:rPr>
          <w:rFonts w:cstheme="minorHAnsi"/>
          <w:sz w:val="22"/>
          <w:szCs w:val="22"/>
          <w:lang w:val="en-US"/>
        </w:rPr>
        <w:t>5</w:t>
      </w:r>
      <w:r w:rsidRPr="002E0A73">
        <w:rPr>
          <w:rFonts w:cstheme="minorHAnsi"/>
          <w:sz w:val="22"/>
          <w:szCs w:val="22"/>
          <w:lang w:val="en-US"/>
        </w:rPr>
        <w:t xml:space="preserve">, the UNSDCF will seek to break the inter-generational cycle of malnutrition.  This will be achieved through improved quality of nutrition, water and </w:t>
      </w:r>
      <w:r w:rsidRPr="002E0A73">
        <w:rPr>
          <w:rFonts w:cstheme="minorHAnsi"/>
          <w:sz w:val="22"/>
          <w:szCs w:val="22"/>
          <w:lang w:val="en-US"/>
        </w:rPr>
        <w:lastRenderedPageBreak/>
        <w:t>sanitation services, and hygiene practices, creating an enabling environment for</w:t>
      </w:r>
      <w:r w:rsidRPr="002E0A73">
        <w:rPr>
          <w:rFonts w:cs="Times New Roman"/>
          <w:sz w:val="22"/>
          <w:szCs w:val="22"/>
          <w:lang w:val="en-US"/>
        </w:rPr>
        <w:t xml:space="preserve"> faster development of cognitive </w:t>
      </w:r>
      <w:r w:rsidRPr="002E0A73">
        <w:rPr>
          <w:rFonts w:cstheme="minorHAnsi"/>
          <w:sz w:val="22"/>
          <w:szCs w:val="22"/>
          <w:lang w:val="en-US"/>
        </w:rPr>
        <w:t xml:space="preserve">capacities needed at early childhood stage and for improved health and education outcomes of the general population, in particular of children, adolescents and pregnant women.  Focusing on </w:t>
      </w:r>
      <w:r w:rsidRPr="002E0A73">
        <w:rPr>
          <w:rFonts w:cs="Times New Roman"/>
          <w:sz w:val="22"/>
          <w:szCs w:val="22"/>
          <w:lang w:val="en-US"/>
        </w:rPr>
        <w:t>increasing and diversifying the production and productivity of smallholder farmers, fishers and agri-food producers, through climate-resilient and sustainable farming practices</w:t>
      </w:r>
      <w:r w:rsidRPr="002E0A73">
        <w:rPr>
          <w:rStyle w:val="FootnoteReference"/>
          <w:rFonts w:cs="Times New Roman"/>
          <w:sz w:val="22"/>
          <w:szCs w:val="22"/>
          <w:lang w:val="en-US"/>
        </w:rPr>
        <w:footnoteReference w:id="63"/>
      </w:r>
      <w:r w:rsidRPr="002E0A73">
        <w:rPr>
          <w:rFonts w:cs="Times New Roman"/>
          <w:sz w:val="22"/>
          <w:szCs w:val="22"/>
          <w:lang w:val="en-US"/>
        </w:rPr>
        <w:t>, t</w:t>
      </w:r>
      <w:r w:rsidRPr="002E0A73">
        <w:rPr>
          <w:rFonts w:cstheme="minorHAnsi"/>
          <w:sz w:val="22"/>
          <w:szCs w:val="22"/>
          <w:lang w:val="en-US"/>
        </w:rPr>
        <w:t xml:space="preserve">he UNSDCF will support to increase the food security and resilience to shocks, in particular for female farmers and rural youth, reduce poverty including through social protection programmes, while protecting land and ocean resources.  </w:t>
      </w:r>
      <w:r w:rsidRPr="002E0A73">
        <w:rPr>
          <w:rFonts w:cstheme="minorHAnsi"/>
          <w:sz w:val="22"/>
          <w:szCs w:val="22"/>
          <w:lang w:val="en-GB"/>
        </w:rPr>
        <w:t>The capacity of the Ministry of Agriculture and Fisheries and other relevant public and private institutions will be strengthened to explore ways to assure customary and formal tenure of smallholder male and female farmers.</w:t>
      </w:r>
      <w:r w:rsidRPr="002E0A73">
        <w:rPr>
          <w:sz w:val="22"/>
          <w:szCs w:val="22"/>
          <w:lang w:val="en-GB"/>
        </w:rPr>
        <w:t xml:space="preserve"> </w:t>
      </w:r>
    </w:p>
    <w:p w14:paraId="415054FA" w14:textId="66F33C9F" w:rsidR="003C699A" w:rsidRPr="000135BE" w:rsidRDefault="003C699A" w:rsidP="000135BE">
      <w:pPr>
        <w:rPr>
          <w:b/>
          <w:bCs/>
          <w:lang w:val="pt-PT"/>
        </w:rPr>
      </w:pPr>
      <w:bookmarkStart w:id="25" w:name="_Toc29540789"/>
      <w:bookmarkStart w:id="26" w:name="_Toc29550721"/>
      <w:bookmarkStart w:id="27" w:name="_Toc29550815"/>
      <w:bookmarkStart w:id="28" w:name="_Toc29900349"/>
      <w:bookmarkStart w:id="29" w:name="_Toc30407932"/>
      <w:bookmarkStart w:id="30" w:name="_Toc31376338"/>
      <w:r w:rsidRPr="000135BE">
        <w:rPr>
          <w:b/>
          <w:bCs/>
          <w:lang w:val="pt-PT"/>
        </w:rPr>
        <w:t xml:space="preserve">Partners </w:t>
      </w:r>
    </w:p>
    <w:tbl>
      <w:tblPr>
        <w:tblStyle w:val="TableGrid"/>
        <w:tblW w:w="0" w:type="auto"/>
        <w:tblLook w:val="04A0" w:firstRow="1" w:lastRow="0" w:firstColumn="1" w:lastColumn="0" w:noHBand="0" w:noVBand="1"/>
      </w:tblPr>
      <w:tblGrid>
        <w:gridCol w:w="2515"/>
        <w:gridCol w:w="6837"/>
      </w:tblGrid>
      <w:tr w:rsidR="003C699A" w14:paraId="6C69086E" w14:textId="77777777" w:rsidTr="00CB6129">
        <w:tc>
          <w:tcPr>
            <w:tcW w:w="2515" w:type="dxa"/>
          </w:tcPr>
          <w:p w14:paraId="48803C63" w14:textId="6969BF61" w:rsidR="003C699A" w:rsidRDefault="003C699A" w:rsidP="000135BE">
            <w:pPr>
              <w:rPr>
                <w:lang w:val="en-US"/>
              </w:rPr>
            </w:pPr>
            <w:r>
              <w:rPr>
                <w:lang w:val="en-US"/>
              </w:rPr>
              <w:t>Government</w:t>
            </w:r>
          </w:p>
        </w:tc>
        <w:tc>
          <w:tcPr>
            <w:tcW w:w="6837" w:type="dxa"/>
          </w:tcPr>
          <w:p w14:paraId="7A9976A1" w14:textId="20F8C76D" w:rsidR="003C699A" w:rsidRPr="003C699A" w:rsidRDefault="003C699A" w:rsidP="003C699A">
            <w:pPr>
              <w:autoSpaceDE w:val="0"/>
              <w:autoSpaceDN w:val="0"/>
              <w:adjustRightInd w:val="0"/>
              <w:rPr>
                <w:bCs/>
                <w:lang w:val="en-US"/>
              </w:rPr>
            </w:pPr>
            <w:r w:rsidRPr="00841766">
              <w:rPr>
                <w:rFonts w:ascii="Calibri" w:hAnsi="Calibri" w:cs="Calibri"/>
                <w:sz w:val="22"/>
                <w:szCs w:val="22"/>
                <w:lang w:val="en-US"/>
              </w:rPr>
              <w:t>M</w:t>
            </w:r>
            <w:r>
              <w:rPr>
                <w:rFonts w:ascii="Calibri" w:hAnsi="Calibri" w:cs="Calibri"/>
                <w:sz w:val="22"/>
                <w:szCs w:val="22"/>
                <w:lang w:val="en-US"/>
              </w:rPr>
              <w:t>inistry of Health,</w:t>
            </w:r>
            <w:r w:rsidR="002E785C">
              <w:rPr>
                <w:rFonts w:ascii="Calibri" w:hAnsi="Calibri" w:cs="Calibri"/>
                <w:sz w:val="22"/>
                <w:szCs w:val="22"/>
                <w:lang w:val="en-US"/>
              </w:rPr>
              <w:t xml:space="preserve"> Ministry of Agriculture and Fisheries,</w:t>
            </w:r>
            <w:r>
              <w:rPr>
                <w:rFonts w:ascii="Calibri" w:hAnsi="Calibri" w:cs="Calibri"/>
                <w:sz w:val="22"/>
                <w:szCs w:val="22"/>
                <w:lang w:val="en-US"/>
              </w:rPr>
              <w:t xml:space="preserve"> Ministry of Education Youth and Sport</w:t>
            </w:r>
            <w:r w:rsidRPr="00841766">
              <w:rPr>
                <w:rFonts w:ascii="Calibri" w:hAnsi="Calibri" w:cs="Calibri"/>
                <w:sz w:val="22"/>
                <w:szCs w:val="22"/>
                <w:lang w:val="en-US"/>
              </w:rPr>
              <w:t xml:space="preserve"> M</w:t>
            </w:r>
            <w:r>
              <w:rPr>
                <w:rFonts w:ascii="Calibri" w:hAnsi="Calibri" w:cs="Calibri"/>
                <w:sz w:val="22"/>
                <w:szCs w:val="22"/>
                <w:lang w:val="en-US"/>
              </w:rPr>
              <w:t xml:space="preserve">inistry of </w:t>
            </w:r>
            <w:r w:rsidRPr="00841766">
              <w:rPr>
                <w:rFonts w:ascii="Calibri" w:hAnsi="Calibri" w:cs="Calibri"/>
                <w:sz w:val="22"/>
                <w:szCs w:val="22"/>
                <w:lang w:val="en-US"/>
              </w:rPr>
              <w:t>P</w:t>
            </w:r>
            <w:r>
              <w:rPr>
                <w:rFonts w:ascii="Calibri" w:hAnsi="Calibri" w:cs="Calibri"/>
                <w:sz w:val="22"/>
                <w:szCs w:val="22"/>
                <w:lang w:val="en-US"/>
              </w:rPr>
              <w:t xml:space="preserve">ublic </w:t>
            </w:r>
            <w:r w:rsidRPr="00841766">
              <w:rPr>
                <w:rFonts w:ascii="Calibri" w:hAnsi="Calibri" w:cs="Calibri"/>
                <w:sz w:val="22"/>
                <w:szCs w:val="22"/>
                <w:lang w:val="en-US"/>
              </w:rPr>
              <w:t>W</w:t>
            </w:r>
            <w:r>
              <w:rPr>
                <w:rFonts w:ascii="Calibri" w:hAnsi="Calibri" w:cs="Calibri"/>
                <w:sz w:val="22"/>
                <w:szCs w:val="22"/>
                <w:lang w:val="en-US"/>
              </w:rPr>
              <w:t xml:space="preserve">orks, </w:t>
            </w:r>
            <w:r w:rsidRPr="003F4BC2">
              <w:rPr>
                <w:rFonts w:ascii="Calibri" w:hAnsi="Calibri" w:cs="Calibri"/>
                <w:sz w:val="22"/>
                <w:szCs w:val="22"/>
                <w:lang w:val="en-US"/>
              </w:rPr>
              <w:t>Ministry of Social Solidarity and Inclusion</w:t>
            </w:r>
            <w:r>
              <w:rPr>
                <w:rFonts w:ascii="Calibri" w:hAnsi="Calibri" w:cs="Calibri"/>
                <w:sz w:val="22"/>
                <w:szCs w:val="22"/>
                <w:lang w:val="en-US"/>
              </w:rPr>
              <w:t>,</w:t>
            </w:r>
            <w:r w:rsidRPr="00841766">
              <w:rPr>
                <w:rFonts w:ascii="Calibri" w:hAnsi="Calibri" w:cs="Calibri"/>
                <w:sz w:val="22"/>
                <w:szCs w:val="22"/>
                <w:lang w:val="en-US"/>
              </w:rPr>
              <w:t xml:space="preserve"> </w:t>
            </w:r>
            <w:r w:rsidRPr="003F4BC2">
              <w:rPr>
                <w:rFonts w:ascii="Calibri" w:hAnsi="Calibri" w:cs="Calibri"/>
                <w:sz w:val="22"/>
                <w:szCs w:val="22"/>
                <w:lang w:val="en-US"/>
              </w:rPr>
              <w:t>Secretary of State for Equality and Inclusion</w:t>
            </w:r>
            <w:r w:rsidR="00526C79">
              <w:rPr>
                <w:rFonts w:ascii="Calibri" w:hAnsi="Calibri" w:cs="Calibri"/>
                <w:sz w:val="22"/>
                <w:szCs w:val="22"/>
                <w:lang w:val="en-US"/>
              </w:rPr>
              <w:t xml:space="preserve">, </w:t>
            </w:r>
            <w:r w:rsidRPr="00841766">
              <w:rPr>
                <w:rFonts w:ascii="Calibri" w:hAnsi="Calibri" w:cs="Calibri"/>
                <w:sz w:val="22"/>
                <w:szCs w:val="22"/>
                <w:lang w:val="en-US"/>
              </w:rPr>
              <w:t>Sec</w:t>
            </w:r>
            <w:r>
              <w:rPr>
                <w:rFonts w:ascii="Calibri" w:hAnsi="Calibri" w:cs="Calibri"/>
                <w:sz w:val="22"/>
                <w:szCs w:val="22"/>
                <w:lang w:val="en-US"/>
              </w:rPr>
              <w:t>retary</w:t>
            </w:r>
            <w:r w:rsidRPr="00841766">
              <w:rPr>
                <w:rFonts w:ascii="Calibri" w:hAnsi="Calibri" w:cs="Calibri"/>
                <w:sz w:val="22"/>
                <w:szCs w:val="22"/>
                <w:lang w:val="en-US"/>
              </w:rPr>
              <w:t xml:space="preserve"> State Environment / </w:t>
            </w:r>
            <w:r>
              <w:rPr>
                <w:rFonts w:ascii="Calibri" w:hAnsi="Calibri" w:cs="Calibri"/>
                <w:sz w:val="22"/>
                <w:szCs w:val="22"/>
                <w:lang w:val="en-US"/>
              </w:rPr>
              <w:t xml:space="preserve">National Directorate for Climate Change, </w:t>
            </w:r>
            <w:r w:rsidRPr="00841766">
              <w:rPr>
                <w:rFonts w:ascii="Calibri" w:hAnsi="Calibri" w:cs="Calibri"/>
                <w:sz w:val="22"/>
                <w:szCs w:val="22"/>
                <w:lang w:val="en-US"/>
              </w:rPr>
              <w:t>Secretary of State for Cooperatives</w:t>
            </w:r>
          </w:p>
        </w:tc>
      </w:tr>
      <w:tr w:rsidR="00CB6129" w:rsidRPr="00CD782D" w14:paraId="0EE13F18" w14:textId="77777777" w:rsidTr="00CB6129">
        <w:tc>
          <w:tcPr>
            <w:tcW w:w="2515" w:type="dxa"/>
          </w:tcPr>
          <w:p w14:paraId="2E0A4238" w14:textId="486B08E7" w:rsidR="00CB6129" w:rsidRDefault="00CB6129" w:rsidP="000135BE">
            <w:pPr>
              <w:rPr>
                <w:lang w:val="en-US"/>
              </w:rPr>
            </w:pPr>
            <w:r>
              <w:rPr>
                <w:lang w:val="en-US"/>
              </w:rPr>
              <w:t>UN</w:t>
            </w:r>
          </w:p>
        </w:tc>
        <w:tc>
          <w:tcPr>
            <w:tcW w:w="6837" w:type="dxa"/>
          </w:tcPr>
          <w:p w14:paraId="5A9B3230" w14:textId="6CC357C6" w:rsidR="00CB6129" w:rsidRPr="00841766" w:rsidRDefault="00CB6129" w:rsidP="00CB6129">
            <w:pPr>
              <w:autoSpaceDE w:val="0"/>
              <w:autoSpaceDN w:val="0"/>
              <w:adjustRightInd w:val="0"/>
              <w:rPr>
                <w:rFonts w:ascii="Calibri" w:hAnsi="Calibri" w:cs="Calibri"/>
                <w:sz w:val="22"/>
                <w:szCs w:val="22"/>
                <w:lang w:val="en-US"/>
              </w:rPr>
            </w:pPr>
            <w:r w:rsidRPr="005F4A3B">
              <w:rPr>
                <w:rFonts w:ascii="Calibri" w:hAnsi="Calibri" w:cs="Calibri"/>
                <w:sz w:val="22"/>
                <w:szCs w:val="22"/>
                <w:lang w:val="en-US"/>
              </w:rPr>
              <w:t>FAO, ILO, UNESCO, UNFPA, UNDP, UNICEF, UN Women, WFP, WHO</w:t>
            </w:r>
          </w:p>
        </w:tc>
      </w:tr>
      <w:tr w:rsidR="00CB6129" w14:paraId="4E21812D" w14:textId="77777777" w:rsidTr="00CB6129">
        <w:tc>
          <w:tcPr>
            <w:tcW w:w="2515" w:type="dxa"/>
          </w:tcPr>
          <w:p w14:paraId="14754D3D" w14:textId="63FF0710" w:rsidR="00CB6129" w:rsidRDefault="00CB6129" w:rsidP="000135BE">
            <w:pPr>
              <w:rPr>
                <w:lang w:val="en-US"/>
              </w:rPr>
            </w:pPr>
            <w:r>
              <w:rPr>
                <w:lang w:val="en-US"/>
              </w:rPr>
              <w:t>Other</w:t>
            </w:r>
          </w:p>
        </w:tc>
        <w:tc>
          <w:tcPr>
            <w:tcW w:w="6837" w:type="dxa"/>
          </w:tcPr>
          <w:p w14:paraId="2C6305DF" w14:textId="082B5419" w:rsidR="00CB6129" w:rsidRPr="00CB6129" w:rsidRDefault="00CB6129" w:rsidP="00CB6129">
            <w:pPr>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World Bank, </w:t>
            </w:r>
            <w:r w:rsidR="00590E0B">
              <w:rPr>
                <w:rFonts w:ascii="Calibri" w:hAnsi="Calibri" w:cs="Calibri"/>
                <w:sz w:val="22"/>
                <w:szCs w:val="22"/>
                <w:lang w:val="en-US"/>
              </w:rPr>
              <w:t xml:space="preserve">European Union, </w:t>
            </w:r>
            <w:r w:rsidRPr="00CB6129">
              <w:rPr>
                <w:rFonts w:ascii="Calibri" w:hAnsi="Calibri" w:cs="Calibri"/>
                <w:sz w:val="22"/>
                <w:szCs w:val="22"/>
                <w:lang w:val="en-US"/>
              </w:rPr>
              <w:t xml:space="preserve">Civil society, HASATIL members </w:t>
            </w:r>
          </w:p>
          <w:p w14:paraId="7320D893" w14:textId="2DBE7D27" w:rsidR="00CB6129" w:rsidRPr="003C699A" w:rsidRDefault="00CB6129" w:rsidP="00CB6129">
            <w:pPr>
              <w:autoSpaceDE w:val="0"/>
              <w:autoSpaceDN w:val="0"/>
              <w:adjustRightInd w:val="0"/>
              <w:rPr>
                <w:bCs/>
                <w:lang w:val="en-US"/>
              </w:rPr>
            </w:pPr>
            <w:r w:rsidRPr="00CB6129">
              <w:rPr>
                <w:rFonts w:ascii="Calibri" w:hAnsi="Calibri" w:cs="Calibri"/>
                <w:sz w:val="22"/>
                <w:szCs w:val="22"/>
                <w:lang w:val="en-US"/>
              </w:rPr>
              <w:t>Private sector: Traders, processors, service providers, cooperatives</w:t>
            </w:r>
          </w:p>
        </w:tc>
      </w:tr>
    </w:tbl>
    <w:p w14:paraId="34047376" w14:textId="77777777" w:rsidR="003C699A" w:rsidRPr="003C699A" w:rsidRDefault="003C699A" w:rsidP="004B7039">
      <w:pPr>
        <w:jc w:val="both"/>
        <w:outlineLvl w:val="0"/>
        <w:rPr>
          <w:b/>
          <w:lang w:val="en-US"/>
        </w:rPr>
      </w:pPr>
    </w:p>
    <w:p w14:paraId="0F8C7DFB" w14:textId="77777777" w:rsidR="00184C19" w:rsidRDefault="00184C19" w:rsidP="006976AD">
      <w:pPr>
        <w:rPr>
          <w:b/>
          <w:bCs/>
          <w:lang w:val="en-US"/>
        </w:rPr>
      </w:pPr>
    </w:p>
    <w:p w14:paraId="1EC975D5" w14:textId="0F962EC2" w:rsidR="00B254D7" w:rsidRPr="000135BE" w:rsidRDefault="002F4FCC" w:rsidP="000135BE">
      <w:pPr>
        <w:rPr>
          <w:b/>
          <w:bCs/>
          <w:lang w:val="en-US"/>
        </w:rPr>
      </w:pPr>
      <w:r w:rsidRPr="000135BE">
        <w:rPr>
          <w:b/>
          <w:bCs/>
          <w:noProof/>
          <w:lang w:val="en-US"/>
        </w:rPr>
        <mc:AlternateContent>
          <mc:Choice Requires="wps">
            <w:drawing>
              <wp:anchor distT="0" distB="0" distL="114300" distR="114300" simplePos="0" relativeHeight="251658239" behindDoc="1" locked="0" layoutInCell="1" allowOverlap="1" wp14:anchorId="6C58C10D" wp14:editId="1B981400">
                <wp:simplePos x="0" y="0"/>
                <wp:positionH relativeFrom="column">
                  <wp:posOffset>963295</wp:posOffset>
                </wp:positionH>
                <wp:positionV relativeFrom="paragraph">
                  <wp:posOffset>151490</wp:posOffset>
                </wp:positionV>
                <wp:extent cx="4129872" cy="3797503"/>
                <wp:effectExtent l="0" t="0" r="10795" b="12700"/>
                <wp:wrapNone/>
                <wp:docPr id="12" name="Ellipse 12"/>
                <wp:cNvGraphicFramePr/>
                <a:graphic xmlns:a="http://schemas.openxmlformats.org/drawingml/2006/main">
                  <a:graphicData uri="http://schemas.microsoft.com/office/word/2010/wordprocessingShape">
                    <wps:wsp>
                      <wps:cNvSpPr/>
                      <wps:spPr>
                        <a:xfrm>
                          <a:off x="0" y="0"/>
                          <a:ext cx="4129872" cy="3797503"/>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0495F8" w14:textId="77777777" w:rsidR="006C70F3" w:rsidRDefault="006C70F3" w:rsidP="00A94A11">
                            <w:pPr>
                              <w:jc w:val="center"/>
                              <w:rPr>
                                <w:b/>
                                <w:color w:val="FFFFFF" w:themeColor="background1"/>
                                <w:sz w:val="32"/>
                                <w:lang w:val="en-US"/>
                              </w:rPr>
                            </w:pPr>
                          </w:p>
                          <w:p w14:paraId="25F9FF65" w14:textId="77777777" w:rsidR="006C70F3" w:rsidRDefault="006C70F3" w:rsidP="00A94A11">
                            <w:pPr>
                              <w:jc w:val="center"/>
                              <w:rPr>
                                <w:b/>
                                <w:color w:val="FFFFFF" w:themeColor="background1"/>
                                <w:sz w:val="32"/>
                                <w:lang w:val="en-US"/>
                              </w:rPr>
                            </w:pPr>
                          </w:p>
                          <w:p w14:paraId="02C7974B" w14:textId="77777777" w:rsidR="006C70F3" w:rsidRDefault="006C70F3" w:rsidP="00A94A11">
                            <w:pPr>
                              <w:jc w:val="center"/>
                              <w:rPr>
                                <w:b/>
                                <w:color w:val="FFFFFF" w:themeColor="background1"/>
                                <w:sz w:val="32"/>
                                <w:lang w:val="en-US"/>
                              </w:rPr>
                            </w:pPr>
                          </w:p>
                          <w:p w14:paraId="3E03C44E" w14:textId="77777777" w:rsidR="006C70F3" w:rsidRDefault="006C70F3" w:rsidP="00A94A11">
                            <w:pPr>
                              <w:jc w:val="center"/>
                              <w:rPr>
                                <w:b/>
                                <w:color w:val="FFFFFF" w:themeColor="background1"/>
                                <w:sz w:val="32"/>
                                <w:lang w:val="en-US"/>
                              </w:rPr>
                            </w:pPr>
                          </w:p>
                          <w:p w14:paraId="318EB6B0" w14:textId="77777777" w:rsidR="006C70F3" w:rsidRDefault="006C70F3" w:rsidP="00A94A11">
                            <w:pPr>
                              <w:jc w:val="center"/>
                              <w:rPr>
                                <w:b/>
                                <w:color w:val="FFFFFF" w:themeColor="background1"/>
                                <w:sz w:val="32"/>
                                <w:lang w:val="en-US"/>
                              </w:rPr>
                            </w:pPr>
                          </w:p>
                          <w:p w14:paraId="4E12DEBB" w14:textId="77777777" w:rsidR="006C70F3" w:rsidRDefault="006C70F3" w:rsidP="00A94A11">
                            <w:pPr>
                              <w:jc w:val="right"/>
                              <w:rPr>
                                <w:b/>
                                <w:color w:val="FFFFFF" w:themeColor="background1"/>
                                <w:sz w:val="32"/>
                                <w:lang w:val="en-US"/>
                              </w:rPr>
                            </w:pPr>
                          </w:p>
                          <w:p w14:paraId="44F783C0" w14:textId="77777777" w:rsidR="006C70F3" w:rsidRDefault="006C70F3" w:rsidP="00A94A11">
                            <w:pPr>
                              <w:jc w:val="right"/>
                              <w:rPr>
                                <w:b/>
                                <w:color w:val="FFFFFF" w:themeColor="background1"/>
                                <w:sz w:val="32"/>
                                <w:lang w:val="en-US"/>
                              </w:rPr>
                            </w:pPr>
                          </w:p>
                          <w:p w14:paraId="66864918" w14:textId="77777777" w:rsidR="006C70F3" w:rsidRDefault="006C70F3" w:rsidP="00A94A11">
                            <w:pPr>
                              <w:jc w:val="right"/>
                              <w:rPr>
                                <w:b/>
                                <w:color w:val="FFFFFF" w:themeColor="background1"/>
                                <w:sz w:val="32"/>
                                <w:lang w:val="en-US"/>
                              </w:rPr>
                            </w:pPr>
                          </w:p>
                          <w:p w14:paraId="48AF1095" w14:textId="77777777" w:rsidR="006C70F3" w:rsidRDefault="006C70F3" w:rsidP="00A94A11">
                            <w:pPr>
                              <w:jc w:val="right"/>
                              <w:rPr>
                                <w:b/>
                                <w:color w:val="FFFFFF" w:themeColor="background1"/>
                                <w:sz w:val="32"/>
                                <w:lang w:val="en-US"/>
                              </w:rPr>
                            </w:pPr>
                          </w:p>
                          <w:p w14:paraId="5CFB7F69" w14:textId="1A859975" w:rsidR="006C70F3" w:rsidRPr="00A94A11" w:rsidRDefault="006C70F3" w:rsidP="00BA4F45">
                            <w:pPr>
                              <w:jc w:val="center"/>
                              <w:rPr>
                                <w:b/>
                                <w:color w:val="FFFFFF" w:themeColor="background1"/>
                                <w:sz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8C10D" id="Ellipse 12" o:spid="_x0000_s1027" style="position:absolute;margin-left:75.85pt;margin-top:11.95pt;width:325.2pt;height:2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" fillcolor="#f4b083 [1941]" strokecolor="#1f3763 [1604]" strokeweight="1pt">
                <v:stroke joinstyle="miter"/>
                <v:textbox>
                  <w:txbxContent>
                    <w:p w14:paraId="170495F8" w14:textId="77777777" w:rsidR="006C70F3" w:rsidRDefault="006C70F3" w:rsidP="00A94A11">
                      <w:pPr>
                        <w:jc w:val="center"/>
                        <w:rPr>
                          <w:b/>
                          <w:color w:val="FFFFFF" w:themeColor="background1"/>
                          <w:sz w:val="32"/>
                          <w:lang w:val="en-US"/>
                        </w:rPr>
                      </w:pPr>
                    </w:p>
                    <w:p w14:paraId="25F9FF65" w14:textId="77777777" w:rsidR="006C70F3" w:rsidRDefault="006C70F3" w:rsidP="00A94A11">
                      <w:pPr>
                        <w:jc w:val="center"/>
                        <w:rPr>
                          <w:b/>
                          <w:color w:val="FFFFFF" w:themeColor="background1"/>
                          <w:sz w:val="32"/>
                          <w:lang w:val="en-US"/>
                        </w:rPr>
                      </w:pPr>
                    </w:p>
                    <w:p w14:paraId="02C7974B" w14:textId="77777777" w:rsidR="006C70F3" w:rsidRDefault="006C70F3" w:rsidP="00A94A11">
                      <w:pPr>
                        <w:jc w:val="center"/>
                        <w:rPr>
                          <w:b/>
                          <w:color w:val="FFFFFF" w:themeColor="background1"/>
                          <w:sz w:val="32"/>
                          <w:lang w:val="en-US"/>
                        </w:rPr>
                      </w:pPr>
                    </w:p>
                    <w:p w14:paraId="3E03C44E" w14:textId="77777777" w:rsidR="006C70F3" w:rsidRDefault="006C70F3" w:rsidP="00A94A11">
                      <w:pPr>
                        <w:jc w:val="center"/>
                        <w:rPr>
                          <w:b/>
                          <w:color w:val="FFFFFF" w:themeColor="background1"/>
                          <w:sz w:val="32"/>
                          <w:lang w:val="en-US"/>
                        </w:rPr>
                      </w:pPr>
                    </w:p>
                    <w:p w14:paraId="318EB6B0" w14:textId="77777777" w:rsidR="006C70F3" w:rsidRDefault="006C70F3" w:rsidP="00A94A11">
                      <w:pPr>
                        <w:jc w:val="center"/>
                        <w:rPr>
                          <w:b/>
                          <w:color w:val="FFFFFF" w:themeColor="background1"/>
                          <w:sz w:val="32"/>
                          <w:lang w:val="en-US"/>
                        </w:rPr>
                      </w:pPr>
                    </w:p>
                    <w:p w14:paraId="4E12DEBB" w14:textId="77777777" w:rsidR="006C70F3" w:rsidRDefault="006C70F3" w:rsidP="00A94A11">
                      <w:pPr>
                        <w:jc w:val="right"/>
                        <w:rPr>
                          <w:b/>
                          <w:color w:val="FFFFFF" w:themeColor="background1"/>
                          <w:sz w:val="32"/>
                          <w:lang w:val="en-US"/>
                        </w:rPr>
                      </w:pPr>
                    </w:p>
                    <w:p w14:paraId="44F783C0" w14:textId="77777777" w:rsidR="006C70F3" w:rsidRDefault="006C70F3" w:rsidP="00A94A11">
                      <w:pPr>
                        <w:jc w:val="right"/>
                        <w:rPr>
                          <w:b/>
                          <w:color w:val="FFFFFF" w:themeColor="background1"/>
                          <w:sz w:val="32"/>
                          <w:lang w:val="en-US"/>
                        </w:rPr>
                      </w:pPr>
                    </w:p>
                    <w:p w14:paraId="66864918" w14:textId="77777777" w:rsidR="006C70F3" w:rsidRDefault="006C70F3" w:rsidP="00A94A11">
                      <w:pPr>
                        <w:jc w:val="right"/>
                        <w:rPr>
                          <w:b/>
                          <w:color w:val="FFFFFF" w:themeColor="background1"/>
                          <w:sz w:val="32"/>
                          <w:lang w:val="en-US"/>
                        </w:rPr>
                      </w:pPr>
                    </w:p>
                    <w:p w14:paraId="48AF1095" w14:textId="77777777" w:rsidR="006C70F3" w:rsidRDefault="006C70F3" w:rsidP="00A94A11">
                      <w:pPr>
                        <w:jc w:val="right"/>
                        <w:rPr>
                          <w:b/>
                          <w:color w:val="FFFFFF" w:themeColor="background1"/>
                          <w:sz w:val="32"/>
                          <w:lang w:val="en-US"/>
                        </w:rPr>
                      </w:pPr>
                    </w:p>
                    <w:p w14:paraId="5CFB7F69" w14:textId="1A859975" w:rsidR="006C70F3" w:rsidRPr="00A94A11" w:rsidRDefault="006C70F3" w:rsidP="00BA4F45">
                      <w:pPr>
                        <w:jc w:val="center"/>
                        <w:rPr>
                          <w:b/>
                          <w:color w:val="FFFFFF" w:themeColor="background1"/>
                          <w:sz w:val="32"/>
                          <w:lang w:val="en-US"/>
                        </w:rPr>
                      </w:pPr>
                    </w:p>
                  </w:txbxContent>
                </v:textbox>
              </v:oval>
            </w:pict>
          </mc:Fallback>
        </mc:AlternateContent>
      </w:r>
      <w:r w:rsidR="00B254D7" w:rsidRPr="000135BE">
        <w:rPr>
          <w:b/>
          <w:bCs/>
          <w:lang w:val="en-US"/>
        </w:rPr>
        <w:t>Theory of change underpinning outcome 1</w:t>
      </w:r>
      <w:bookmarkEnd w:id="25"/>
      <w:bookmarkEnd w:id="26"/>
      <w:bookmarkEnd w:id="27"/>
      <w:bookmarkEnd w:id="28"/>
      <w:bookmarkEnd w:id="29"/>
      <w:bookmarkEnd w:id="30"/>
    </w:p>
    <w:p w14:paraId="31BA1FDB" w14:textId="7C39BFE6" w:rsidR="00B254D7" w:rsidRPr="00841766" w:rsidRDefault="00A94A11" w:rsidP="00B254D7">
      <w:pPr>
        <w:autoSpaceDE w:val="0"/>
        <w:autoSpaceDN w:val="0"/>
        <w:adjustRightInd w:val="0"/>
        <w:ind w:left="1134"/>
        <w:jc w:val="both"/>
        <w:rPr>
          <w:rFonts w:cs="Times New Roman"/>
          <w:i/>
          <w:color w:val="1F3864" w:themeColor="accent1" w:themeShade="80"/>
          <w:sz w:val="18"/>
          <w:szCs w:val="18"/>
          <w:lang w:val="en-US"/>
        </w:rPr>
      </w:pPr>
      <w:r w:rsidRPr="00841766">
        <w:rPr>
          <w:rFonts w:cs="Times New Roman"/>
          <w:i/>
          <w:noProof/>
          <w:color w:val="1F3864" w:themeColor="accent1" w:themeShade="80"/>
          <w:sz w:val="18"/>
          <w:szCs w:val="18"/>
          <w:lang w:val="en-US"/>
        </w:rPr>
        <mc:AlternateContent>
          <mc:Choice Requires="wps">
            <w:drawing>
              <wp:anchor distT="0" distB="0" distL="114300" distR="114300" simplePos="0" relativeHeight="251661312" behindDoc="0" locked="0" layoutInCell="1" allowOverlap="1" wp14:anchorId="14EDAF06" wp14:editId="70F8BBCA">
                <wp:simplePos x="0" y="0"/>
                <wp:positionH relativeFrom="column">
                  <wp:posOffset>4255009</wp:posOffset>
                </wp:positionH>
                <wp:positionV relativeFrom="paragraph">
                  <wp:posOffset>2057518</wp:posOffset>
                </wp:positionV>
                <wp:extent cx="2361363" cy="1185705"/>
                <wp:effectExtent l="0" t="0" r="13970" b="8255"/>
                <wp:wrapNone/>
                <wp:docPr id="13" name="Zone de texte 13"/>
                <wp:cNvGraphicFramePr/>
                <a:graphic xmlns:a="http://schemas.openxmlformats.org/drawingml/2006/main">
                  <a:graphicData uri="http://schemas.microsoft.com/office/word/2010/wordprocessingShape">
                    <wps:wsp>
                      <wps:cNvSpPr txBox="1"/>
                      <wps:spPr>
                        <a:xfrm>
                          <a:off x="0" y="0"/>
                          <a:ext cx="2361363" cy="1185705"/>
                        </a:xfrm>
                        <a:prstGeom prst="rect">
                          <a:avLst/>
                        </a:prstGeom>
                        <a:solidFill>
                          <a:schemeClr val="accent2">
                            <a:lumMod val="60000"/>
                            <a:lumOff val="40000"/>
                          </a:schemeClr>
                        </a:solidFill>
                        <a:ln w="6350">
                          <a:solidFill>
                            <a:prstClr val="black"/>
                          </a:solidFill>
                        </a:ln>
                      </wps:spPr>
                      <wps:txbx>
                        <w:txbxContent>
                          <w:p w14:paraId="4EAED046" w14:textId="7BA5A027" w:rsidR="006C70F3" w:rsidRPr="00B8339B" w:rsidRDefault="006C70F3" w:rsidP="00B8339B">
                            <w:pPr>
                              <w:shd w:val="clear" w:color="auto" w:fill="F4B083" w:themeFill="accent2" w:themeFillTint="99"/>
                              <w:rPr>
                                <w:b/>
                                <w:sz w:val="20"/>
                                <w:szCs w:val="20"/>
                                <w:lang w:val="en-US"/>
                              </w:rPr>
                            </w:pPr>
                            <w:r w:rsidRPr="00B8339B">
                              <w:rPr>
                                <w:b/>
                                <w:sz w:val="20"/>
                                <w:szCs w:val="20"/>
                                <w:lang w:val="en-US"/>
                              </w:rPr>
                              <w:t>HUMAN CAPITAL / ECONOMIC GROWTH / POVERTY REDUCTION</w:t>
                            </w:r>
                          </w:p>
                          <w:p w14:paraId="2378DCC8" w14:textId="77777777" w:rsidR="006C70F3" w:rsidRPr="00B8339B" w:rsidRDefault="006C70F3" w:rsidP="00AA78BD">
                            <w:pPr>
                              <w:pStyle w:val="ListParagraph"/>
                              <w:numPr>
                                <w:ilvl w:val="0"/>
                                <w:numId w:val="23"/>
                              </w:numPr>
                              <w:shd w:val="clear" w:color="auto" w:fill="F4B083" w:themeFill="accent2" w:themeFillTint="99"/>
                              <w:ind w:left="396" w:hanging="198"/>
                              <w:rPr>
                                <w:b/>
                                <w:sz w:val="20"/>
                                <w:szCs w:val="20"/>
                                <w:lang w:val="en-US"/>
                              </w:rPr>
                            </w:pPr>
                            <w:r w:rsidRPr="00B8339B">
                              <w:rPr>
                                <w:b/>
                                <w:sz w:val="20"/>
                                <w:szCs w:val="20"/>
                                <w:lang w:val="en-US"/>
                              </w:rPr>
                              <w:t>Increased cognitive capacity and productivity</w:t>
                            </w:r>
                          </w:p>
                          <w:p w14:paraId="6EBAA5D7" w14:textId="11491EDC" w:rsidR="006C70F3" w:rsidRPr="00B8339B" w:rsidRDefault="006C70F3" w:rsidP="00AA78BD">
                            <w:pPr>
                              <w:pStyle w:val="ListParagraph"/>
                              <w:numPr>
                                <w:ilvl w:val="0"/>
                                <w:numId w:val="23"/>
                              </w:numPr>
                              <w:shd w:val="clear" w:color="auto" w:fill="F4B083" w:themeFill="accent2" w:themeFillTint="99"/>
                              <w:ind w:left="396" w:hanging="198"/>
                              <w:rPr>
                                <w:b/>
                                <w:sz w:val="20"/>
                                <w:szCs w:val="20"/>
                                <w:lang w:val="en-US"/>
                              </w:rPr>
                            </w:pPr>
                            <w:r w:rsidRPr="00B8339B">
                              <w:rPr>
                                <w:b/>
                                <w:sz w:val="20"/>
                                <w:szCs w:val="20"/>
                                <w:lang w:val="en-US"/>
                              </w:rPr>
                              <w:t>Greater health outcomes</w:t>
                            </w:r>
                            <w:r>
                              <w:rPr>
                                <w:b/>
                                <w:sz w:val="20"/>
                                <w:szCs w:val="20"/>
                                <w:lang w:val="en-US"/>
                              </w:rPr>
                              <w:t xml:space="preserve"> </w:t>
                            </w:r>
                          </w:p>
                          <w:p w14:paraId="09792A5C" w14:textId="027C8BF1" w:rsidR="006C70F3" w:rsidRPr="00B8339B" w:rsidRDefault="006C70F3" w:rsidP="00AA78BD">
                            <w:pPr>
                              <w:pStyle w:val="ListParagraph"/>
                              <w:numPr>
                                <w:ilvl w:val="0"/>
                                <w:numId w:val="23"/>
                              </w:numPr>
                              <w:shd w:val="clear" w:color="auto" w:fill="F4B083" w:themeFill="accent2" w:themeFillTint="99"/>
                              <w:ind w:left="396" w:hanging="198"/>
                              <w:rPr>
                                <w:b/>
                                <w:sz w:val="20"/>
                                <w:szCs w:val="20"/>
                                <w:lang w:val="en-US"/>
                              </w:rPr>
                            </w:pPr>
                            <w:r w:rsidRPr="00B8339B">
                              <w:rPr>
                                <w:b/>
                                <w:sz w:val="20"/>
                                <w:szCs w:val="20"/>
                                <w:lang w:val="en-US"/>
                              </w:rPr>
                              <w:t>Increased households’ incomes and resilience to shocks</w:t>
                            </w:r>
                          </w:p>
                          <w:p w14:paraId="7F925A60" w14:textId="77777777" w:rsidR="006C70F3" w:rsidRPr="00B8339B" w:rsidRDefault="006C70F3" w:rsidP="00B8339B">
                            <w:pPr>
                              <w:shd w:val="clear" w:color="auto" w:fill="F4B083" w:themeFill="accent2" w:themeFillTint="99"/>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AF06" id="Zone de texte 13" o:spid="_x0000_s1028" type="#_x0000_t202" style="position:absolute;left:0;text-align:left;margin-left:335.05pt;margin-top:162pt;width:185.95pt;height:9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" fillcolor="#f4b083 [1941]" strokeweight=".5pt">
                <v:textbox>
                  <w:txbxContent>
                    <w:p w14:paraId="4EAED046" w14:textId="7BA5A027" w:rsidR="006C70F3" w:rsidRPr="00B8339B" w:rsidRDefault="006C70F3" w:rsidP="00B8339B">
                      <w:pPr>
                        <w:shd w:val="clear" w:color="auto" w:fill="F4B083" w:themeFill="accent2" w:themeFillTint="99"/>
                        <w:rPr>
                          <w:b/>
                          <w:sz w:val="20"/>
                          <w:szCs w:val="20"/>
                          <w:lang w:val="en-US"/>
                        </w:rPr>
                      </w:pPr>
                      <w:r w:rsidRPr="00B8339B">
                        <w:rPr>
                          <w:b/>
                          <w:sz w:val="20"/>
                          <w:szCs w:val="20"/>
                          <w:lang w:val="en-US"/>
                        </w:rPr>
                        <w:t>HUMAN CAPITAL / ECONOMIC GROWTH / POVERTY REDUCTION</w:t>
                      </w:r>
                    </w:p>
                    <w:p w14:paraId="2378DCC8" w14:textId="77777777" w:rsidR="006C70F3" w:rsidRPr="00B8339B" w:rsidRDefault="006C70F3" w:rsidP="00AA78BD">
                      <w:pPr>
                        <w:pStyle w:val="ListParagraph"/>
                        <w:numPr>
                          <w:ilvl w:val="0"/>
                          <w:numId w:val="23"/>
                        </w:numPr>
                        <w:shd w:val="clear" w:color="auto" w:fill="F4B083" w:themeFill="accent2" w:themeFillTint="99"/>
                        <w:ind w:left="396" w:hanging="198"/>
                        <w:rPr>
                          <w:b/>
                          <w:sz w:val="20"/>
                          <w:szCs w:val="20"/>
                          <w:lang w:val="en-US"/>
                        </w:rPr>
                      </w:pPr>
                      <w:r w:rsidRPr="00B8339B">
                        <w:rPr>
                          <w:b/>
                          <w:sz w:val="20"/>
                          <w:szCs w:val="20"/>
                          <w:lang w:val="en-US"/>
                        </w:rPr>
                        <w:t>Increased cognitive capacity and productivity</w:t>
                      </w:r>
                    </w:p>
                    <w:p w14:paraId="6EBAA5D7" w14:textId="11491EDC" w:rsidR="006C70F3" w:rsidRPr="00B8339B" w:rsidRDefault="006C70F3" w:rsidP="00AA78BD">
                      <w:pPr>
                        <w:pStyle w:val="ListParagraph"/>
                        <w:numPr>
                          <w:ilvl w:val="0"/>
                          <w:numId w:val="23"/>
                        </w:numPr>
                        <w:shd w:val="clear" w:color="auto" w:fill="F4B083" w:themeFill="accent2" w:themeFillTint="99"/>
                        <w:ind w:left="396" w:hanging="198"/>
                        <w:rPr>
                          <w:b/>
                          <w:sz w:val="20"/>
                          <w:szCs w:val="20"/>
                          <w:lang w:val="en-US"/>
                        </w:rPr>
                      </w:pPr>
                      <w:r w:rsidRPr="00B8339B">
                        <w:rPr>
                          <w:b/>
                          <w:sz w:val="20"/>
                          <w:szCs w:val="20"/>
                          <w:lang w:val="en-US"/>
                        </w:rPr>
                        <w:t>Greater health outcomes</w:t>
                      </w:r>
                      <w:r>
                        <w:rPr>
                          <w:b/>
                          <w:sz w:val="20"/>
                          <w:szCs w:val="20"/>
                          <w:lang w:val="en-US"/>
                        </w:rPr>
                        <w:t xml:space="preserve"> </w:t>
                      </w:r>
                    </w:p>
                    <w:p w14:paraId="09792A5C" w14:textId="027C8BF1" w:rsidR="006C70F3" w:rsidRPr="00B8339B" w:rsidRDefault="006C70F3" w:rsidP="00AA78BD">
                      <w:pPr>
                        <w:pStyle w:val="ListParagraph"/>
                        <w:numPr>
                          <w:ilvl w:val="0"/>
                          <w:numId w:val="23"/>
                        </w:numPr>
                        <w:shd w:val="clear" w:color="auto" w:fill="F4B083" w:themeFill="accent2" w:themeFillTint="99"/>
                        <w:ind w:left="396" w:hanging="198"/>
                        <w:rPr>
                          <w:b/>
                          <w:sz w:val="20"/>
                          <w:szCs w:val="20"/>
                          <w:lang w:val="en-US"/>
                        </w:rPr>
                      </w:pPr>
                      <w:r w:rsidRPr="00B8339B">
                        <w:rPr>
                          <w:b/>
                          <w:sz w:val="20"/>
                          <w:szCs w:val="20"/>
                          <w:lang w:val="en-US"/>
                        </w:rPr>
                        <w:t>Increased households’ incomes and resilience to shocks</w:t>
                      </w:r>
                    </w:p>
                    <w:p w14:paraId="7F925A60" w14:textId="77777777" w:rsidR="006C70F3" w:rsidRPr="00B8339B" w:rsidRDefault="006C70F3" w:rsidP="00B8339B">
                      <w:pPr>
                        <w:shd w:val="clear" w:color="auto" w:fill="F4B083" w:themeFill="accent2" w:themeFillTint="99"/>
                        <w:rPr>
                          <w:sz w:val="20"/>
                          <w:szCs w:val="20"/>
                          <w:lang w:val="en-US"/>
                        </w:rPr>
                      </w:pPr>
                    </w:p>
                  </w:txbxContent>
                </v:textbox>
              </v:shape>
            </w:pict>
          </mc:Fallback>
        </mc:AlternateContent>
      </w:r>
      <w:r w:rsidR="00B254D7" w:rsidRPr="00841766">
        <w:rPr>
          <w:rFonts w:cs="Times New Roman"/>
          <w:i/>
          <w:noProof/>
          <w:color w:val="1F3864" w:themeColor="accent1" w:themeShade="80"/>
          <w:sz w:val="18"/>
          <w:szCs w:val="18"/>
          <w:lang w:val="en-US"/>
        </w:rPr>
        <w:drawing>
          <wp:inline distT="0" distB="0" distL="0" distR="0" wp14:anchorId="0172CE01" wp14:editId="7A910992">
            <wp:extent cx="4491990" cy="2837180"/>
            <wp:effectExtent l="0" t="76200" r="0" b="9652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C64E63B" w14:textId="77777777" w:rsidR="00B254D7" w:rsidRPr="00841766" w:rsidRDefault="00B254D7" w:rsidP="00B254D7">
      <w:pPr>
        <w:spacing w:after="120"/>
        <w:jc w:val="both"/>
        <w:rPr>
          <w:rFonts w:cs="Calibri"/>
          <w:color w:val="000000"/>
          <w:sz w:val="22"/>
          <w:szCs w:val="22"/>
          <w:lang w:val="en-US"/>
        </w:rPr>
      </w:pPr>
    </w:p>
    <w:p w14:paraId="79AC71D8" w14:textId="77777777" w:rsidR="00A94A11" w:rsidRPr="00841766" w:rsidRDefault="00A94A11" w:rsidP="00B254D7">
      <w:pPr>
        <w:spacing w:after="120"/>
        <w:jc w:val="both"/>
        <w:rPr>
          <w:sz w:val="22"/>
          <w:szCs w:val="22"/>
          <w:lang w:val="en-US"/>
        </w:rPr>
      </w:pPr>
    </w:p>
    <w:p w14:paraId="679866F3" w14:textId="77777777" w:rsidR="00A94A11" w:rsidRPr="00841766" w:rsidRDefault="00A94A11" w:rsidP="00B254D7">
      <w:pPr>
        <w:spacing w:after="120"/>
        <w:jc w:val="both"/>
        <w:rPr>
          <w:sz w:val="22"/>
          <w:szCs w:val="22"/>
          <w:lang w:val="en-US"/>
        </w:rPr>
      </w:pPr>
    </w:p>
    <w:p w14:paraId="5CB25F4D" w14:textId="77777777" w:rsidR="00A94A11" w:rsidRPr="00841766" w:rsidRDefault="00A94A11" w:rsidP="00B254D7">
      <w:pPr>
        <w:spacing w:after="120"/>
        <w:jc w:val="both"/>
        <w:rPr>
          <w:sz w:val="22"/>
          <w:szCs w:val="22"/>
          <w:lang w:val="en-US"/>
        </w:rPr>
      </w:pPr>
    </w:p>
    <w:p w14:paraId="41FF03CF" w14:textId="77777777" w:rsidR="00A94A11" w:rsidRPr="00841766" w:rsidRDefault="00A94A11" w:rsidP="00B254D7">
      <w:pPr>
        <w:spacing w:after="120"/>
        <w:jc w:val="both"/>
        <w:rPr>
          <w:sz w:val="22"/>
          <w:szCs w:val="22"/>
          <w:lang w:val="en-US"/>
        </w:rPr>
      </w:pPr>
    </w:p>
    <w:p w14:paraId="55E13ED2" w14:textId="364913F3" w:rsidR="00B254D7" w:rsidRDefault="00D51CCF" w:rsidP="00552AAD">
      <w:pPr>
        <w:spacing w:after="120"/>
        <w:jc w:val="both"/>
        <w:rPr>
          <w:sz w:val="22"/>
          <w:szCs w:val="22"/>
          <w:lang w:val="en-US"/>
        </w:rPr>
      </w:pPr>
      <w:r>
        <w:rPr>
          <w:sz w:val="22"/>
          <w:szCs w:val="22"/>
          <w:lang w:val="en-US"/>
        </w:rPr>
        <w:t>The causes and drivers of food insecurity, malnutrition and unsustainable agriculture in Timor-Leste are multi-sectoral and complex</w:t>
      </w:r>
      <w:r w:rsidR="00B254D7" w:rsidRPr="00841766">
        <w:rPr>
          <w:sz w:val="22"/>
          <w:szCs w:val="22"/>
          <w:lang w:val="en-US"/>
        </w:rPr>
        <w:t xml:space="preserve">. </w:t>
      </w:r>
      <w:r w:rsidR="00B44000" w:rsidRPr="00841766">
        <w:rPr>
          <w:rFonts w:cstheme="minorHAnsi"/>
          <w:sz w:val="22"/>
          <w:szCs w:val="22"/>
          <w:lang w:val="en-US"/>
        </w:rPr>
        <w:t>The transformation required for</w:t>
      </w:r>
      <w:r w:rsidR="00B44000">
        <w:rPr>
          <w:rFonts w:cstheme="minorHAnsi"/>
          <w:sz w:val="22"/>
          <w:szCs w:val="22"/>
          <w:lang w:val="en-US"/>
        </w:rPr>
        <w:t xml:space="preserve"> improved </w:t>
      </w:r>
      <w:r w:rsidR="00FE39F6">
        <w:rPr>
          <w:rFonts w:cstheme="minorHAnsi"/>
          <w:sz w:val="22"/>
          <w:szCs w:val="22"/>
          <w:lang w:val="en-US"/>
        </w:rPr>
        <w:t xml:space="preserve">nutrition, food security and </w:t>
      </w:r>
      <w:r w:rsidR="00FE39F6">
        <w:rPr>
          <w:rFonts w:cstheme="minorHAnsi"/>
          <w:sz w:val="22"/>
          <w:szCs w:val="22"/>
          <w:lang w:val="en-US"/>
        </w:rPr>
        <w:lastRenderedPageBreak/>
        <w:t xml:space="preserve">sustainable agriculture, </w:t>
      </w:r>
      <w:r w:rsidR="007C59D7">
        <w:rPr>
          <w:rFonts w:cstheme="minorHAnsi"/>
          <w:sz w:val="22"/>
          <w:szCs w:val="22"/>
          <w:lang w:val="en-US"/>
        </w:rPr>
        <w:t>includes</w:t>
      </w:r>
      <w:r w:rsidR="00D775EC">
        <w:rPr>
          <w:rFonts w:cstheme="minorHAnsi"/>
          <w:sz w:val="22"/>
          <w:szCs w:val="22"/>
          <w:lang w:val="en-US"/>
        </w:rPr>
        <w:t xml:space="preserve"> improved</w:t>
      </w:r>
      <w:r w:rsidR="00FE39F6">
        <w:rPr>
          <w:rFonts w:cstheme="minorHAnsi"/>
          <w:sz w:val="22"/>
          <w:szCs w:val="22"/>
          <w:lang w:val="en-US"/>
        </w:rPr>
        <w:t xml:space="preserve"> access to nutrition services, </w:t>
      </w:r>
      <w:r w:rsidR="00BC6412">
        <w:rPr>
          <w:rFonts w:cstheme="minorHAnsi"/>
          <w:sz w:val="22"/>
          <w:szCs w:val="22"/>
          <w:lang w:val="en-US"/>
        </w:rPr>
        <w:t xml:space="preserve">better nutrition education for families, improved </w:t>
      </w:r>
      <w:r w:rsidR="00FE39F6">
        <w:rPr>
          <w:rFonts w:cstheme="minorHAnsi"/>
          <w:sz w:val="22"/>
          <w:szCs w:val="22"/>
          <w:lang w:val="en-US"/>
        </w:rPr>
        <w:t>hygiene practices, access to drinking water, adaptive research</w:t>
      </w:r>
      <w:r w:rsidR="00C009C8">
        <w:rPr>
          <w:rFonts w:cstheme="minorHAnsi"/>
          <w:sz w:val="22"/>
          <w:szCs w:val="22"/>
          <w:lang w:val="en-US"/>
        </w:rPr>
        <w:t>,</w:t>
      </w:r>
      <w:r w:rsidR="007C59D7">
        <w:rPr>
          <w:rFonts w:cstheme="minorHAnsi"/>
          <w:sz w:val="22"/>
          <w:szCs w:val="22"/>
          <w:lang w:val="en-US"/>
        </w:rPr>
        <w:t xml:space="preserve"> </w:t>
      </w:r>
      <w:r w:rsidR="00FE39F6">
        <w:rPr>
          <w:rFonts w:cstheme="minorHAnsi"/>
          <w:sz w:val="22"/>
          <w:szCs w:val="22"/>
          <w:lang w:val="en-US"/>
        </w:rPr>
        <w:t>participatory extension programs</w:t>
      </w:r>
      <w:r w:rsidR="00C009C8">
        <w:rPr>
          <w:rFonts w:cstheme="minorHAnsi"/>
          <w:sz w:val="22"/>
          <w:szCs w:val="22"/>
          <w:lang w:val="en-US"/>
        </w:rPr>
        <w:t xml:space="preserve"> and the development of </w:t>
      </w:r>
      <w:r w:rsidR="00001637">
        <w:rPr>
          <w:rFonts w:cstheme="minorHAnsi"/>
          <w:sz w:val="22"/>
          <w:szCs w:val="22"/>
          <w:lang w:val="en-US"/>
        </w:rPr>
        <w:t xml:space="preserve">sustainable and climate resilient </w:t>
      </w:r>
      <w:r w:rsidR="00C009C8">
        <w:rPr>
          <w:rFonts w:cstheme="minorHAnsi"/>
          <w:sz w:val="22"/>
          <w:szCs w:val="22"/>
          <w:lang w:val="en-US"/>
        </w:rPr>
        <w:t>agri-food chains</w:t>
      </w:r>
      <w:r w:rsidR="00FE39F6">
        <w:rPr>
          <w:rFonts w:cstheme="minorHAnsi"/>
          <w:sz w:val="22"/>
          <w:szCs w:val="22"/>
          <w:lang w:val="en-US"/>
        </w:rPr>
        <w:t xml:space="preserve">. </w:t>
      </w:r>
    </w:p>
    <w:p w14:paraId="026EF6CF" w14:textId="34C3A10E" w:rsidR="00E64095" w:rsidRPr="00714227" w:rsidRDefault="00E64095" w:rsidP="00552AAD">
      <w:pPr>
        <w:spacing w:after="120"/>
        <w:jc w:val="both"/>
        <w:rPr>
          <w:b/>
          <w:bCs/>
          <w:sz w:val="22"/>
          <w:szCs w:val="22"/>
          <w:lang w:val="en-US"/>
        </w:rPr>
      </w:pPr>
      <w:r w:rsidRPr="00714227">
        <w:rPr>
          <w:b/>
          <w:bCs/>
          <w:sz w:val="22"/>
          <w:szCs w:val="22"/>
          <w:lang w:val="en-US"/>
        </w:rPr>
        <w:t xml:space="preserve">Nutrition, access to water and sanitation </w:t>
      </w:r>
    </w:p>
    <w:p w14:paraId="11BEA8C5" w14:textId="5161BB87" w:rsidR="00C95212" w:rsidRDefault="00C95212" w:rsidP="00552AAD">
      <w:pPr>
        <w:spacing w:after="120"/>
        <w:jc w:val="both"/>
        <w:rPr>
          <w:rFonts w:cs="Calibri"/>
          <w:sz w:val="22"/>
          <w:szCs w:val="22"/>
          <w:lang w:val="en-US"/>
        </w:rPr>
      </w:pPr>
      <w:r w:rsidRPr="00714227">
        <w:rPr>
          <w:bCs/>
          <w:sz w:val="22"/>
          <w:szCs w:val="22"/>
          <w:lang w:val="en-US"/>
        </w:rPr>
        <w:t>Breaking the intergenerational c</w:t>
      </w:r>
      <w:r w:rsidR="00426019" w:rsidRPr="00714227">
        <w:rPr>
          <w:bCs/>
          <w:sz w:val="22"/>
          <w:szCs w:val="22"/>
          <w:lang w:val="en-US"/>
        </w:rPr>
        <w:t>ycle of malnutrition requires improving</w:t>
      </w:r>
      <w:r w:rsidRPr="00714227">
        <w:rPr>
          <w:bCs/>
          <w:sz w:val="22"/>
          <w:szCs w:val="22"/>
          <w:lang w:val="en-US"/>
        </w:rPr>
        <w:t xml:space="preserve"> access to nutrition services</w:t>
      </w:r>
      <w:r w:rsidRPr="00841766">
        <w:rPr>
          <w:sz w:val="22"/>
          <w:szCs w:val="22"/>
          <w:lang w:val="en-US"/>
        </w:rPr>
        <w:t xml:space="preserve"> (including as part of Primary Health Care), </w:t>
      </w:r>
      <w:r w:rsidR="00BC6412">
        <w:rPr>
          <w:sz w:val="22"/>
          <w:szCs w:val="22"/>
          <w:lang w:val="en-US"/>
        </w:rPr>
        <w:t xml:space="preserve">requires </w:t>
      </w:r>
      <w:r w:rsidRPr="00841766">
        <w:rPr>
          <w:sz w:val="22"/>
          <w:szCs w:val="22"/>
          <w:lang w:val="en-US"/>
        </w:rPr>
        <w:t xml:space="preserve">gender specific nutrition interventions, management of severe malnutrition and </w:t>
      </w:r>
      <w:r w:rsidRPr="00841766">
        <w:rPr>
          <w:rFonts w:cs="Calibri"/>
          <w:sz w:val="22"/>
          <w:szCs w:val="22"/>
          <w:lang w:val="en-US"/>
        </w:rPr>
        <w:t>life-saving interventions, micronutrients supplementation and infant and young child feeding supported by social protection programmes. Improved hygiene practices and access</w:t>
      </w:r>
      <w:r w:rsidRPr="00841766">
        <w:rPr>
          <w:sz w:val="22"/>
          <w:szCs w:val="22"/>
          <w:lang w:val="en-US"/>
        </w:rPr>
        <w:t xml:space="preserve"> to safe </w:t>
      </w:r>
      <w:r w:rsidR="00AE4BF0">
        <w:rPr>
          <w:sz w:val="22"/>
          <w:szCs w:val="22"/>
          <w:lang w:val="en-US"/>
        </w:rPr>
        <w:t xml:space="preserve">drinking </w:t>
      </w:r>
      <w:r w:rsidRPr="00841766">
        <w:rPr>
          <w:sz w:val="22"/>
          <w:szCs w:val="22"/>
          <w:lang w:val="en-US"/>
        </w:rPr>
        <w:t>water and basic sanitation services and more efficient services delivery systems</w:t>
      </w:r>
      <w:r w:rsidR="00AE4BF0">
        <w:rPr>
          <w:sz w:val="22"/>
          <w:szCs w:val="22"/>
          <w:lang w:val="en-US"/>
        </w:rPr>
        <w:t xml:space="preserve"> are also essential to achieve nutrition outcomes</w:t>
      </w:r>
      <w:r w:rsidRPr="00841766">
        <w:rPr>
          <w:sz w:val="22"/>
          <w:szCs w:val="22"/>
          <w:lang w:val="en-US"/>
        </w:rPr>
        <w:t>.</w:t>
      </w:r>
      <w:r w:rsidRPr="00841766">
        <w:rPr>
          <w:rFonts w:cs="Calibri"/>
          <w:sz w:val="22"/>
          <w:szCs w:val="22"/>
          <w:lang w:val="en-US"/>
        </w:rPr>
        <w:t xml:space="preserve"> </w:t>
      </w:r>
      <w:r w:rsidR="00AE4BF0">
        <w:rPr>
          <w:rFonts w:cs="Calibri"/>
          <w:sz w:val="22"/>
          <w:szCs w:val="22"/>
          <w:lang w:val="en-US"/>
        </w:rPr>
        <w:t xml:space="preserve"> </w:t>
      </w:r>
      <w:r w:rsidRPr="00841766">
        <w:rPr>
          <w:rFonts w:cs="Calibri"/>
          <w:sz w:val="22"/>
          <w:szCs w:val="22"/>
          <w:lang w:val="en-US"/>
        </w:rPr>
        <w:t xml:space="preserve">When interventions are targeted through the lens of lifecycle approach, investment in health and nutrition of school-age children </w:t>
      </w:r>
      <w:r w:rsidR="00AE4BF0">
        <w:rPr>
          <w:rFonts w:cs="Calibri"/>
          <w:sz w:val="22"/>
          <w:szCs w:val="22"/>
          <w:lang w:val="en-US"/>
        </w:rPr>
        <w:t>will</w:t>
      </w:r>
      <w:r w:rsidRPr="00841766">
        <w:rPr>
          <w:rFonts w:cs="Calibri"/>
          <w:sz w:val="22"/>
          <w:szCs w:val="22"/>
          <w:lang w:val="en-US"/>
        </w:rPr>
        <w:t xml:space="preserve"> also be considered.</w:t>
      </w:r>
      <w:r w:rsidRPr="00841766">
        <w:rPr>
          <w:rStyle w:val="FootnoteReference"/>
          <w:lang w:val="en-US"/>
        </w:rPr>
        <w:footnoteReference w:id="64"/>
      </w:r>
      <w:r w:rsidRPr="00841766">
        <w:rPr>
          <w:lang w:val="en-US"/>
        </w:rPr>
        <w:t xml:space="preserve"> </w:t>
      </w:r>
      <w:r w:rsidRPr="00841766">
        <w:rPr>
          <w:rFonts w:cs="Calibri"/>
          <w:sz w:val="22"/>
          <w:szCs w:val="22"/>
          <w:lang w:val="en-US"/>
        </w:rPr>
        <w:t xml:space="preserve">The </w:t>
      </w:r>
      <w:r w:rsidR="00AE4BF0">
        <w:rPr>
          <w:rFonts w:cs="Calibri"/>
          <w:sz w:val="22"/>
          <w:szCs w:val="22"/>
          <w:lang w:val="en-US"/>
        </w:rPr>
        <w:t xml:space="preserve">health and education </w:t>
      </w:r>
      <w:r w:rsidRPr="00841766">
        <w:rPr>
          <w:rFonts w:cs="Calibri"/>
          <w:sz w:val="22"/>
          <w:szCs w:val="22"/>
          <w:lang w:val="en-US"/>
        </w:rPr>
        <w:t>system</w:t>
      </w:r>
      <w:r w:rsidR="00AE4BF0">
        <w:rPr>
          <w:rFonts w:cs="Calibri"/>
          <w:sz w:val="22"/>
          <w:szCs w:val="22"/>
          <w:lang w:val="en-US"/>
        </w:rPr>
        <w:t>s</w:t>
      </w:r>
      <w:r w:rsidRPr="00841766">
        <w:rPr>
          <w:rFonts w:cs="Calibri"/>
          <w:sz w:val="22"/>
          <w:szCs w:val="22"/>
          <w:lang w:val="en-US"/>
        </w:rPr>
        <w:t xml:space="preserve"> </w:t>
      </w:r>
      <w:r w:rsidR="00AE4BF0">
        <w:rPr>
          <w:rFonts w:cs="Calibri"/>
          <w:sz w:val="22"/>
          <w:szCs w:val="22"/>
          <w:lang w:val="en-US"/>
        </w:rPr>
        <w:t>are both</w:t>
      </w:r>
      <w:r w:rsidRPr="00841766">
        <w:rPr>
          <w:rFonts w:cs="Calibri"/>
          <w:sz w:val="22"/>
          <w:szCs w:val="22"/>
          <w:lang w:val="en-US"/>
        </w:rPr>
        <w:t xml:space="preserve"> exceptionally cost-effective platform through which to deliver an essential integrated package of health and nutrition services to</w:t>
      </w:r>
      <w:r w:rsidR="00AE4BF0">
        <w:rPr>
          <w:rFonts w:cs="Calibri"/>
          <w:sz w:val="22"/>
          <w:szCs w:val="22"/>
          <w:lang w:val="en-US"/>
        </w:rPr>
        <w:t xml:space="preserve"> infants</w:t>
      </w:r>
      <w:r w:rsidRPr="00841766">
        <w:rPr>
          <w:rFonts w:cs="Calibri"/>
          <w:sz w:val="22"/>
          <w:szCs w:val="22"/>
          <w:lang w:val="en-US"/>
        </w:rPr>
        <w:t xml:space="preserve"> </w:t>
      </w:r>
      <w:r w:rsidR="00AE4BF0">
        <w:rPr>
          <w:rFonts w:cs="Calibri"/>
          <w:sz w:val="22"/>
          <w:szCs w:val="22"/>
          <w:lang w:val="en-US"/>
        </w:rPr>
        <w:t>and</w:t>
      </w:r>
      <w:r w:rsidRPr="00841766">
        <w:rPr>
          <w:rFonts w:cs="Calibri"/>
          <w:sz w:val="22"/>
          <w:szCs w:val="22"/>
          <w:lang w:val="en-US"/>
        </w:rPr>
        <w:t xml:space="preserve"> children</w:t>
      </w:r>
      <w:r w:rsidR="00C277EB">
        <w:rPr>
          <w:rFonts w:cs="Calibri"/>
          <w:sz w:val="22"/>
          <w:szCs w:val="22"/>
          <w:lang w:val="en-US"/>
        </w:rPr>
        <w:t>, including through social protection programmes</w:t>
      </w:r>
      <w:r w:rsidRPr="00841766">
        <w:rPr>
          <w:rFonts w:cs="Calibri"/>
          <w:sz w:val="22"/>
          <w:szCs w:val="22"/>
          <w:lang w:val="en-US"/>
        </w:rPr>
        <w:t>.</w:t>
      </w:r>
    </w:p>
    <w:p w14:paraId="21CCEB19" w14:textId="38FBE93E" w:rsidR="00E64095" w:rsidRPr="00714227" w:rsidRDefault="00E64095" w:rsidP="00552AAD">
      <w:pPr>
        <w:spacing w:after="120"/>
        <w:jc w:val="both"/>
        <w:rPr>
          <w:b/>
          <w:bCs/>
          <w:sz w:val="22"/>
          <w:szCs w:val="22"/>
          <w:lang w:val="en-US"/>
        </w:rPr>
      </w:pPr>
      <w:r w:rsidRPr="00714227">
        <w:rPr>
          <w:rFonts w:cs="Calibri"/>
          <w:b/>
          <w:bCs/>
          <w:sz w:val="22"/>
          <w:szCs w:val="22"/>
          <w:lang w:val="en-US"/>
        </w:rPr>
        <w:t>Agri-food systems and food security</w:t>
      </w:r>
    </w:p>
    <w:p w14:paraId="072EFD4A" w14:textId="2C94E66E" w:rsidR="00AE4BF0" w:rsidRPr="002406D8" w:rsidRDefault="001C2408" w:rsidP="00552AAD">
      <w:pPr>
        <w:spacing w:after="120"/>
        <w:jc w:val="both"/>
        <w:rPr>
          <w:sz w:val="22"/>
          <w:szCs w:val="22"/>
          <w:lang w:val="en-GB"/>
        </w:rPr>
      </w:pPr>
      <w:r>
        <w:rPr>
          <w:bCs/>
          <w:sz w:val="22"/>
          <w:szCs w:val="22"/>
          <w:lang w:val="en-GB"/>
        </w:rPr>
        <w:t>T</w:t>
      </w:r>
      <w:r w:rsidR="00AE4BF0" w:rsidRPr="00714227">
        <w:rPr>
          <w:bCs/>
          <w:sz w:val="22"/>
          <w:szCs w:val="22"/>
          <w:lang w:val="en-GB"/>
        </w:rPr>
        <w:t>o improve agri-food production and food security, vulnerable smallholder farmers and fishers need to sustainably increase and diversify their production, contributing to improved household nutrition, food security, income and resilience.</w:t>
      </w:r>
      <w:r w:rsidR="00AE4BF0" w:rsidRPr="002406D8">
        <w:rPr>
          <w:sz w:val="22"/>
          <w:szCs w:val="22"/>
          <w:lang w:val="en-GB"/>
        </w:rPr>
        <w:t xml:space="preserve"> </w:t>
      </w:r>
      <w:r w:rsidR="00AE4BF0">
        <w:rPr>
          <w:sz w:val="22"/>
          <w:szCs w:val="22"/>
          <w:lang w:val="en-GB"/>
        </w:rPr>
        <w:t xml:space="preserve"> </w:t>
      </w:r>
      <w:r w:rsidR="00AE4BF0" w:rsidRPr="002406D8">
        <w:rPr>
          <w:sz w:val="22"/>
          <w:szCs w:val="22"/>
          <w:lang w:val="en-GB"/>
        </w:rPr>
        <w:t xml:space="preserve">The adoption of new and improved climate-smart agricultural technologies and practices promoted through adaptive research and participatory extension programmes will address low levels of soil fertility, nutritious animal feed, fish stocks and agricultural productivity, unsustainable production practices and address the gender gap in agricultural </w:t>
      </w:r>
      <w:r w:rsidR="00AE4BF0" w:rsidRPr="00A23FE7">
        <w:rPr>
          <w:sz w:val="22"/>
          <w:szCs w:val="22"/>
          <w:lang w:val="en-GB"/>
        </w:rPr>
        <w:t>productivity.</w:t>
      </w:r>
      <w:r w:rsidR="00AE4BF0" w:rsidRPr="00DA7004">
        <w:rPr>
          <w:sz w:val="22"/>
          <w:szCs w:val="22"/>
          <w:lang w:val="en-US"/>
        </w:rPr>
        <w:t xml:space="preserve"> </w:t>
      </w:r>
      <w:r w:rsidR="00AE4BF0">
        <w:rPr>
          <w:sz w:val="22"/>
          <w:szCs w:val="22"/>
          <w:lang w:val="en-US"/>
        </w:rPr>
        <w:t xml:space="preserve"> Promotion</w:t>
      </w:r>
      <w:r w:rsidR="00AE4BF0" w:rsidRPr="00A23FE7">
        <w:rPr>
          <w:sz w:val="22"/>
          <w:szCs w:val="22"/>
          <w:lang w:val="en-US"/>
        </w:rPr>
        <w:t xml:space="preserve"> an</w:t>
      </w:r>
      <w:r w:rsidR="00AE4BF0">
        <w:rPr>
          <w:sz w:val="22"/>
          <w:szCs w:val="22"/>
          <w:lang w:val="en-US"/>
        </w:rPr>
        <w:t>d</w:t>
      </w:r>
      <w:r w:rsidR="00AE4BF0" w:rsidRPr="00A23FE7">
        <w:rPr>
          <w:sz w:val="22"/>
          <w:szCs w:val="22"/>
          <w:lang w:val="en-US"/>
        </w:rPr>
        <w:t xml:space="preserve"> improve</w:t>
      </w:r>
      <w:r w:rsidR="00AE4BF0">
        <w:rPr>
          <w:sz w:val="22"/>
          <w:szCs w:val="22"/>
          <w:lang w:val="en-US"/>
        </w:rPr>
        <w:t>ment of</w:t>
      </w:r>
      <w:r w:rsidR="00AE4BF0" w:rsidRPr="00A23FE7">
        <w:rPr>
          <w:sz w:val="22"/>
          <w:szCs w:val="22"/>
          <w:lang w:val="en-US"/>
        </w:rPr>
        <w:t xml:space="preserve"> land tenure system</w:t>
      </w:r>
      <w:r w:rsidR="00AE4BF0">
        <w:rPr>
          <w:sz w:val="22"/>
          <w:szCs w:val="22"/>
          <w:lang w:val="en-US"/>
        </w:rPr>
        <w:t>,</w:t>
      </w:r>
      <w:r w:rsidR="00AE4BF0" w:rsidRPr="00A23FE7">
        <w:rPr>
          <w:sz w:val="22"/>
          <w:szCs w:val="22"/>
          <w:lang w:val="en-US"/>
        </w:rPr>
        <w:t xml:space="preserve"> </w:t>
      </w:r>
      <w:r w:rsidR="00AE4BF0">
        <w:rPr>
          <w:sz w:val="22"/>
          <w:szCs w:val="22"/>
          <w:lang w:val="en-US"/>
        </w:rPr>
        <w:t>which</w:t>
      </w:r>
      <w:r w:rsidR="00AE4BF0" w:rsidRPr="00A23FE7">
        <w:rPr>
          <w:sz w:val="22"/>
          <w:szCs w:val="22"/>
          <w:lang w:val="en-US"/>
        </w:rPr>
        <w:t xml:space="preserve"> fosters sustainable land and natural resources management (NRM), increases investment on land improvement, better protects customary tenure and sustainably manage terrestrial</w:t>
      </w:r>
      <w:r w:rsidR="00AE4BF0">
        <w:rPr>
          <w:sz w:val="22"/>
          <w:szCs w:val="22"/>
          <w:lang w:val="en-US"/>
        </w:rPr>
        <w:t>, coastal and marine ecosystems, will contribute to sustain the gains in production and productivity.</w:t>
      </w:r>
    </w:p>
    <w:p w14:paraId="30B7C545" w14:textId="71D8BA05" w:rsidR="00AE4BF0" w:rsidRDefault="001C2408" w:rsidP="00552AAD">
      <w:pPr>
        <w:spacing w:after="120"/>
        <w:jc w:val="both"/>
        <w:rPr>
          <w:sz w:val="22"/>
          <w:szCs w:val="22"/>
          <w:lang w:val="en-GB"/>
        </w:rPr>
      </w:pPr>
      <w:r>
        <w:rPr>
          <w:bCs/>
          <w:sz w:val="22"/>
          <w:szCs w:val="22"/>
          <w:lang w:val="en-GB"/>
        </w:rPr>
        <w:t>T</w:t>
      </w:r>
      <w:r w:rsidR="00AE4BF0" w:rsidRPr="00714227">
        <w:rPr>
          <w:bCs/>
          <w:sz w:val="22"/>
          <w:szCs w:val="22"/>
          <w:lang w:val="en-GB"/>
        </w:rPr>
        <w:t>o generate income and sustain agri-food systems, agri-food chains need to be created</w:t>
      </w:r>
      <w:r w:rsidR="007824CB" w:rsidRPr="00714227">
        <w:rPr>
          <w:bCs/>
          <w:sz w:val="22"/>
          <w:szCs w:val="22"/>
          <w:lang w:val="en-GB"/>
        </w:rPr>
        <w:t xml:space="preserve"> or</w:t>
      </w:r>
      <w:r w:rsidR="00AE4BF0" w:rsidRPr="00714227">
        <w:rPr>
          <w:bCs/>
          <w:sz w:val="22"/>
          <w:szCs w:val="22"/>
          <w:lang w:val="en-GB"/>
        </w:rPr>
        <w:t xml:space="preserve"> strengthened in order to add value to smallholder crop, livestock, forestry and fisheries’ production, in particular through post-harvest management technologies and improved access to markets, with a focus on rural youth and female agri-food processers.</w:t>
      </w:r>
      <w:r w:rsidR="00AE4BF0" w:rsidRPr="002406D8">
        <w:rPr>
          <w:lang w:val="en-US"/>
        </w:rPr>
        <w:t xml:space="preserve"> </w:t>
      </w:r>
      <w:r w:rsidR="007824CB">
        <w:rPr>
          <w:lang w:val="en-US"/>
        </w:rPr>
        <w:t xml:space="preserve"> </w:t>
      </w:r>
      <w:r w:rsidR="00AE4BF0" w:rsidRPr="002406D8">
        <w:rPr>
          <w:sz w:val="22"/>
          <w:szCs w:val="22"/>
          <w:lang w:val="en-GB"/>
        </w:rPr>
        <w:t>This will improve accessibility to a safe, nutritious and diversified diet (addressing all forms of malnutrition and diet related NCDs) while building resi</w:t>
      </w:r>
      <w:r w:rsidR="00AE4BF0">
        <w:rPr>
          <w:sz w:val="22"/>
          <w:szCs w:val="22"/>
          <w:lang w:val="en-GB"/>
        </w:rPr>
        <w:t>lience against economic shocks and reducing food loss and waste.</w:t>
      </w:r>
    </w:p>
    <w:p w14:paraId="51A914A2" w14:textId="508BCD11" w:rsidR="00B254D7" w:rsidRDefault="00B254D7" w:rsidP="00552AAD">
      <w:pPr>
        <w:spacing w:after="240"/>
        <w:jc w:val="both"/>
        <w:rPr>
          <w:sz w:val="22"/>
          <w:szCs w:val="22"/>
          <w:lang w:val="en-US"/>
        </w:rPr>
      </w:pPr>
      <w:r w:rsidRPr="00841766">
        <w:rPr>
          <w:sz w:val="22"/>
          <w:szCs w:val="22"/>
          <w:lang w:val="en-US"/>
        </w:rPr>
        <w:t xml:space="preserve">Timor-Leste has many strategic and policy frameworks to motivate a strong response to reducing food insecurity and malnutrition in a way to establish resilience for all Timorese. </w:t>
      </w:r>
      <w:r w:rsidRPr="00714227">
        <w:rPr>
          <w:bCs/>
          <w:sz w:val="22"/>
          <w:szCs w:val="22"/>
          <w:lang w:val="en-US"/>
        </w:rPr>
        <w:t>Addressing the bottlenecks in coordination and instituting common accountability mechanisms and inclusive legal frameworks through a sustainable multi-sectorial and multi-stakeholder approach</w:t>
      </w:r>
      <w:r w:rsidRPr="00841766">
        <w:rPr>
          <w:sz w:val="22"/>
          <w:szCs w:val="22"/>
          <w:lang w:val="en-US"/>
        </w:rPr>
        <w:t xml:space="preserve"> will strengthen partnerships and integration between all relevant areas of work (i.e. agriculture, social protection, health, trade, finance and education) </w:t>
      </w:r>
      <w:r w:rsidR="002F4B07" w:rsidRPr="00841766">
        <w:rPr>
          <w:sz w:val="22"/>
          <w:szCs w:val="22"/>
          <w:lang w:val="en-US"/>
        </w:rPr>
        <w:t xml:space="preserve">and ensure </w:t>
      </w:r>
      <w:r w:rsidRPr="00841766">
        <w:rPr>
          <w:sz w:val="22"/>
          <w:szCs w:val="22"/>
          <w:lang w:val="en-US"/>
        </w:rPr>
        <w:t xml:space="preserve">effective convergence at community level. </w:t>
      </w:r>
    </w:p>
    <w:p w14:paraId="007B800F" w14:textId="77777777" w:rsidR="00385D62" w:rsidRPr="00385D62" w:rsidRDefault="00385D62" w:rsidP="00552AAD">
      <w:pPr>
        <w:jc w:val="both"/>
        <w:rPr>
          <w:rFonts w:cstheme="minorHAnsi"/>
          <w:b/>
          <w:bCs/>
          <w:lang w:val="en-US"/>
        </w:rPr>
      </w:pPr>
      <w:r w:rsidRPr="00385D62">
        <w:rPr>
          <w:rFonts w:cstheme="minorHAnsi"/>
          <w:b/>
          <w:bCs/>
          <w:lang w:val="en-US"/>
        </w:rPr>
        <w:t>Contribution to SDGs</w:t>
      </w:r>
    </w:p>
    <w:p w14:paraId="209E65DA" w14:textId="52752405" w:rsidR="00385D62" w:rsidRPr="00385D62" w:rsidRDefault="00385D62" w:rsidP="00552AAD">
      <w:pPr>
        <w:tabs>
          <w:tab w:val="left" w:pos="284"/>
        </w:tabs>
        <w:autoSpaceDE w:val="0"/>
        <w:autoSpaceDN w:val="0"/>
        <w:adjustRightInd w:val="0"/>
        <w:spacing w:after="120"/>
        <w:jc w:val="both"/>
        <w:rPr>
          <w:rFonts w:cstheme="minorHAnsi"/>
          <w:b/>
          <w:bCs/>
          <w:sz w:val="22"/>
          <w:szCs w:val="22"/>
          <w:highlight w:val="yellow"/>
          <w:lang w:val="en-US"/>
        </w:rPr>
      </w:pPr>
      <w:r w:rsidRPr="00385D62">
        <w:rPr>
          <w:rFonts w:cstheme="minorHAnsi"/>
          <w:sz w:val="22"/>
          <w:szCs w:val="22"/>
          <w:lang w:val="en-US"/>
        </w:rPr>
        <w:t xml:space="preserve">Outcome 1 will specifically contribute and measure progress towards zero hunger (SDG 2), clean water and sanitation (SDG 6) and life below water (SDG 14). Focusing on these strategic areas will contribute to positive spillover effects, accelerating progress towards no poverty (SDG 1), good health and well-being (SDG 3), gender equality (SDG 5), decent work and economic growth (SDG 8), reduced inequalities (SDG 10), climate action (SDG 13) and life on land (SDG 15). </w:t>
      </w:r>
    </w:p>
    <w:p w14:paraId="63920EE0" w14:textId="0C7A7425" w:rsidR="00F2398F" w:rsidRPr="000135BE" w:rsidRDefault="00F2398F" w:rsidP="00552AAD">
      <w:pPr>
        <w:jc w:val="both"/>
        <w:rPr>
          <w:b/>
          <w:bCs/>
          <w:lang w:val="en-US"/>
        </w:rPr>
      </w:pPr>
      <w:bookmarkStart w:id="32" w:name="_Toc29540790"/>
      <w:bookmarkStart w:id="33" w:name="_Toc29550722"/>
      <w:bookmarkStart w:id="34" w:name="_Toc29550816"/>
      <w:bookmarkStart w:id="35" w:name="_Toc29900350"/>
      <w:bookmarkStart w:id="36" w:name="_Toc30407933"/>
      <w:bookmarkStart w:id="37" w:name="_Toc31376339"/>
      <w:r w:rsidRPr="000135BE">
        <w:rPr>
          <w:b/>
          <w:bCs/>
          <w:lang w:val="en-US"/>
        </w:rPr>
        <w:lastRenderedPageBreak/>
        <w:t xml:space="preserve">UN Comparative advantages, partnership and South-South or </w:t>
      </w:r>
      <w:r w:rsidR="00552AAD">
        <w:rPr>
          <w:b/>
          <w:bCs/>
          <w:lang w:val="en-US"/>
        </w:rPr>
        <w:t>T</w:t>
      </w:r>
      <w:r w:rsidRPr="000135BE">
        <w:rPr>
          <w:b/>
          <w:bCs/>
          <w:lang w:val="en-US"/>
        </w:rPr>
        <w:t>riangular Cooperation</w:t>
      </w:r>
      <w:bookmarkEnd w:id="32"/>
      <w:bookmarkEnd w:id="33"/>
      <w:bookmarkEnd w:id="34"/>
      <w:bookmarkEnd w:id="35"/>
      <w:bookmarkEnd w:id="36"/>
      <w:bookmarkEnd w:id="37"/>
    </w:p>
    <w:p w14:paraId="70859FEE" w14:textId="270C3DC9" w:rsidR="001F3F1E" w:rsidRPr="00841766" w:rsidRDefault="00BC6412" w:rsidP="00552AAD">
      <w:pPr>
        <w:spacing w:after="120"/>
        <w:jc w:val="both"/>
        <w:rPr>
          <w:sz w:val="22"/>
          <w:szCs w:val="22"/>
          <w:lang w:val="en-US"/>
        </w:rPr>
      </w:pPr>
      <w:r>
        <w:rPr>
          <w:sz w:val="22"/>
          <w:szCs w:val="22"/>
          <w:lang w:val="en-US"/>
        </w:rPr>
        <w:t xml:space="preserve">The UN has an established reputation of supporting development in Timor-Leste. </w:t>
      </w:r>
      <w:r w:rsidR="001F3F1E" w:rsidRPr="00841766">
        <w:rPr>
          <w:sz w:val="22"/>
          <w:szCs w:val="22"/>
          <w:lang w:val="en-US"/>
        </w:rPr>
        <w:t xml:space="preserve">Through established relationships at all levels of government, communities and civil society and extensive experience in social </w:t>
      </w:r>
      <w:proofErr w:type="spellStart"/>
      <w:r w:rsidR="001F3F1E" w:rsidRPr="00841766">
        <w:rPr>
          <w:sz w:val="22"/>
          <w:szCs w:val="22"/>
          <w:lang w:val="en-US"/>
        </w:rPr>
        <w:t>behaviour</w:t>
      </w:r>
      <w:proofErr w:type="spellEnd"/>
      <w:r w:rsidR="001F3F1E" w:rsidRPr="00841766">
        <w:rPr>
          <w:sz w:val="22"/>
          <w:szCs w:val="22"/>
          <w:lang w:val="en-US"/>
        </w:rPr>
        <w:t xml:space="preserve"> change communication, the UN </w:t>
      </w:r>
      <w:r>
        <w:rPr>
          <w:sz w:val="22"/>
          <w:szCs w:val="22"/>
          <w:lang w:val="en-US"/>
        </w:rPr>
        <w:t xml:space="preserve">is well placed to </w:t>
      </w:r>
      <w:r w:rsidR="001F3F1E" w:rsidRPr="00841766">
        <w:rPr>
          <w:sz w:val="22"/>
          <w:szCs w:val="22"/>
          <w:lang w:val="en-US"/>
        </w:rPr>
        <w:t>increase the provision of expertise on nutrition</w:t>
      </w:r>
      <w:r w:rsidR="004C620F">
        <w:rPr>
          <w:sz w:val="22"/>
          <w:szCs w:val="22"/>
          <w:lang w:val="en-US"/>
        </w:rPr>
        <w:t>-</w:t>
      </w:r>
      <w:r w:rsidR="001F3F1E" w:rsidRPr="00841766">
        <w:rPr>
          <w:sz w:val="22"/>
          <w:szCs w:val="22"/>
          <w:lang w:val="en-US"/>
        </w:rPr>
        <w:t xml:space="preserve">specific and </w:t>
      </w:r>
      <w:r w:rsidR="004C620F">
        <w:rPr>
          <w:sz w:val="22"/>
          <w:szCs w:val="22"/>
          <w:lang w:val="en-US"/>
        </w:rPr>
        <w:t>nutrition-</w:t>
      </w:r>
      <w:r w:rsidR="001F3F1E" w:rsidRPr="00841766">
        <w:rPr>
          <w:sz w:val="22"/>
          <w:szCs w:val="22"/>
          <w:lang w:val="en-US"/>
        </w:rPr>
        <w:t>sensitive interventions (addressing stunting, wasting, micronutrient deficiencies and o</w:t>
      </w:r>
      <w:r w:rsidR="007824CB">
        <w:rPr>
          <w:sz w:val="22"/>
          <w:szCs w:val="22"/>
          <w:lang w:val="en-US"/>
        </w:rPr>
        <w:t>besity</w:t>
      </w:r>
      <w:r w:rsidR="001F3F1E" w:rsidRPr="00841766">
        <w:rPr>
          <w:sz w:val="22"/>
          <w:szCs w:val="22"/>
          <w:lang w:val="en-US"/>
        </w:rPr>
        <w:t xml:space="preserve">), water and sanitation, policy, programming and services. </w:t>
      </w:r>
    </w:p>
    <w:p w14:paraId="51555A7B" w14:textId="77777777" w:rsidR="001F3F1E" w:rsidRPr="00841766" w:rsidRDefault="001F3F1E" w:rsidP="00552AAD">
      <w:pPr>
        <w:spacing w:after="120"/>
        <w:jc w:val="both"/>
        <w:rPr>
          <w:sz w:val="22"/>
          <w:szCs w:val="22"/>
          <w:lang w:val="en-US"/>
        </w:rPr>
      </w:pPr>
      <w:r w:rsidRPr="00841766">
        <w:rPr>
          <w:sz w:val="22"/>
          <w:szCs w:val="22"/>
          <w:lang w:val="en-US"/>
        </w:rPr>
        <w:t xml:space="preserve">Based on its global experience, expertise and partnerships established at country level, the UN is uniquely positioned to support adaptive research and participatory extension programmes for sustainable land and forest management, conservation agriculture, permaculture, sustainable co-fisheries management and farmer field school participatory learning. </w:t>
      </w:r>
    </w:p>
    <w:p w14:paraId="527D059C" w14:textId="6AB6EB7D" w:rsidR="001F3F1E" w:rsidRPr="00714227" w:rsidRDefault="001F3F1E" w:rsidP="00552AAD">
      <w:pPr>
        <w:spacing w:after="120"/>
        <w:jc w:val="both"/>
        <w:rPr>
          <w:sz w:val="22"/>
          <w:szCs w:val="22"/>
          <w:lang w:val="en-GB"/>
        </w:rPr>
      </w:pPr>
      <w:r w:rsidRPr="00841766">
        <w:rPr>
          <w:sz w:val="22"/>
          <w:szCs w:val="22"/>
          <w:lang w:val="en-US"/>
        </w:rPr>
        <w:t xml:space="preserve">Furthermore, UN experience in agricultural </w:t>
      </w:r>
      <w:proofErr w:type="spellStart"/>
      <w:r w:rsidRPr="00841766">
        <w:rPr>
          <w:sz w:val="22"/>
          <w:szCs w:val="22"/>
          <w:lang w:val="en-US"/>
        </w:rPr>
        <w:t>mechanisation</w:t>
      </w:r>
      <w:proofErr w:type="spellEnd"/>
      <w:r w:rsidRPr="00841766">
        <w:rPr>
          <w:sz w:val="22"/>
          <w:szCs w:val="22"/>
          <w:lang w:val="en-US"/>
        </w:rPr>
        <w:t xml:space="preserve">, household grain and seed drying and storage, value chain development and food standards are a key comparative advantage in the area of agri-food systems. </w:t>
      </w:r>
      <w:r w:rsidR="004C620F">
        <w:rPr>
          <w:sz w:val="22"/>
          <w:szCs w:val="22"/>
          <w:lang w:val="en-US"/>
        </w:rPr>
        <w:t xml:space="preserve"> </w:t>
      </w:r>
      <w:r w:rsidR="004C620F">
        <w:rPr>
          <w:sz w:val="22"/>
          <w:szCs w:val="22"/>
          <w:lang w:val="en-GB"/>
        </w:rPr>
        <w:t xml:space="preserve">UN experience, work and networks (at national, regional and global levels) on early warning systems are </w:t>
      </w:r>
      <w:r w:rsidR="00DF100A">
        <w:rPr>
          <w:sz w:val="22"/>
          <w:szCs w:val="22"/>
          <w:lang w:val="en-GB"/>
        </w:rPr>
        <w:t xml:space="preserve">a definite </w:t>
      </w:r>
      <w:r w:rsidR="004C620F">
        <w:rPr>
          <w:sz w:val="22"/>
          <w:szCs w:val="22"/>
          <w:lang w:val="en-GB"/>
        </w:rPr>
        <w:t>comparative advantage</w:t>
      </w:r>
      <w:r w:rsidR="00DF100A">
        <w:rPr>
          <w:sz w:val="22"/>
          <w:szCs w:val="22"/>
          <w:lang w:val="en-GB"/>
        </w:rPr>
        <w:t xml:space="preserve"> of the UN, that provide opportunity to develop capacity and</w:t>
      </w:r>
      <w:r w:rsidR="004C620F">
        <w:rPr>
          <w:sz w:val="22"/>
          <w:szCs w:val="22"/>
          <w:lang w:val="en-GB"/>
        </w:rPr>
        <w:t xml:space="preserve"> partnership to build long</w:t>
      </w:r>
      <w:r w:rsidR="00DF100A">
        <w:rPr>
          <w:sz w:val="22"/>
          <w:szCs w:val="22"/>
          <w:lang w:val="en-GB"/>
        </w:rPr>
        <w:t>-</w:t>
      </w:r>
      <w:r w:rsidR="004C620F">
        <w:rPr>
          <w:sz w:val="22"/>
          <w:szCs w:val="22"/>
          <w:lang w:val="en-GB"/>
        </w:rPr>
        <w:t xml:space="preserve">term resilience and adaption to climate change, in particular in the field of food security and agriculture. </w:t>
      </w:r>
    </w:p>
    <w:p w14:paraId="662FC552" w14:textId="57C91DC8" w:rsidR="00DF100A" w:rsidRDefault="001C2408" w:rsidP="00552AAD">
      <w:pPr>
        <w:spacing w:after="120"/>
        <w:jc w:val="both"/>
        <w:rPr>
          <w:sz w:val="22"/>
          <w:szCs w:val="22"/>
          <w:lang w:val="en-GB"/>
        </w:rPr>
      </w:pPr>
      <w:r>
        <w:rPr>
          <w:sz w:val="22"/>
          <w:szCs w:val="22"/>
          <w:lang w:val="en-US"/>
        </w:rPr>
        <w:t>T</w:t>
      </w:r>
      <w:r w:rsidR="001F3F1E" w:rsidRPr="00841766">
        <w:rPr>
          <w:sz w:val="22"/>
          <w:szCs w:val="22"/>
          <w:lang w:val="en-US"/>
        </w:rPr>
        <w:t>he UN will focus efforts on fostering an inclusive and evidence-based policy dialogue, enabling collaboration, strategic and operational partnerships among different stakeholders in the nutrition and food security area, including the public and private sectors through support to mechanisms such as KONSSANTIL, the SUN movement, academia and the parliament.</w:t>
      </w:r>
      <w:r w:rsidR="00DF100A">
        <w:rPr>
          <w:sz w:val="22"/>
          <w:szCs w:val="22"/>
          <w:lang w:val="en-US"/>
        </w:rPr>
        <w:t xml:space="preserve">  </w:t>
      </w:r>
      <w:r w:rsidR="00DF100A">
        <w:rPr>
          <w:sz w:val="22"/>
          <w:szCs w:val="22"/>
          <w:lang w:val="en-GB"/>
        </w:rPr>
        <w:t>The UN’s c</w:t>
      </w:r>
      <w:r w:rsidR="00DF100A" w:rsidRPr="00225963">
        <w:rPr>
          <w:sz w:val="22"/>
          <w:szCs w:val="22"/>
          <w:lang w:val="en-GB"/>
        </w:rPr>
        <w:t xml:space="preserve">onvening </w:t>
      </w:r>
      <w:r w:rsidR="00DF100A">
        <w:rPr>
          <w:sz w:val="22"/>
          <w:szCs w:val="22"/>
          <w:lang w:val="en-GB"/>
        </w:rPr>
        <w:t>power and its track record</w:t>
      </w:r>
      <w:r w:rsidR="00DF100A" w:rsidRPr="00225963">
        <w:rPr>
          <w:sz w:val="22"/>
          <w:szCs w:val="22"/>
          <w:lang w:val="en-GB"/>
        </w:rPr>
        <w:t xml:space="preserve"> as a neutral broker</w:t>
      </w:r>
      <w:r w:rsidR="00DF100A">
        <w:rPr>
          <w:sz w:val="22"/>
          <w:szCs w:val="22"/>
          <w:lang w:val="en-GB"/>
        </w:rPr>
        <w:t xml:space="preserve"> </w:t>
      </w:r>
      <w:r w:rsidR="00C27299">
        <w:rPr>
          <w:sz w:val="22"/>
          <w:szCs w:val="22"/>
          <w:lang w:val="en-GB"/>
        </w:rPr>
        <w:t xml:space="preserve">put it in a unique position to support the Government to promote </w:t>
      </w:r>
      <w:r w:rsidR="00DF100A">
        <w:rPr>
          <w:sz w:val="22"/>
          <w:szCs w:val="22"/>
          <w:lang w:val="en-GB"/>
        </w:rPr>
        <w:t>policy dialogue.</w:t>
      </w:r>
    </w:p>
    <w:p w14:paraId="51B1D239" w14:textId="220A5A00" w:rsidR="00DF100A" w:rsidRDefault="001C2408" w:rsidP="00552AAD">
      <w:pPr>
        <w:spacing w:after="120"/>
        <w:jc w:val="both"/>
        <w:rPr>
          <w:sz w:val="22"/>
          <w:szCs w:val="22"/>
          <w:lang w:val="en-GB"/>
        </w:rPr>
      </w:pPr>
      <w:r>
        <w:rPr>
          <w:sz w:val="22"/>
          <w:szCs w:val="22"/>
          <w:lang w:val="en-GB"/>
        </w:rPr>
        <w:t>C</w:t>
      </w:r>
      <w:r w:rsidR="00DF100A">
        <w:rPr>
          <w:sz w:val="22"/>
          <w:szCs w:val="22"/>
          <w:lang w:val="en-GB"/>
        </w:rPr>
        <w:t xml:space="preserve">ivil society </w:t>
      </w:r>
      <w:r w:rsidR="00DF6F2C">
        <w:rPr>
          <w:sz w:val="22"/>
          <w:szCs w:val="22"/>
          <w:lang w:val="en-GB"/>
        </w:rPr>
        <w:t xml:space="preserve">in </w:t>
      </w:r>
      <w:r w:rsidR="00DF100A">
        <w:rPr>
          <w:sz w:val="22"/>
          <w:szCs w:val="22"/>
          <w:lang w:val="en-GB"/>
        </w:rPr>
        <w:t>Timor-Leste is very active in the field of nutrition, food security and sustainable agriculture</w:t>
      </w:r>
      <w:r w:rsidR="00DF6F2C">
        <w:rPr>
          <w:sz w:val="22"/>
          <w:szCs w:val="22"/>
          <w:lang w:val="en-GB"/>
        </w:rPr>
        <w:t>,</w:t>
      </w:r>
      <w:r w:rsidR="00DF100A">
        <w:rPr>
          <w:sz w:val="22"/>
          <w:szCs w:val="22"/>
          <w:lang w:val="en-GB"/>
        </w:rPr>
        <w:t xml:space="preserve"> especially at sub</w:t>
      </w:r>
      <w:r w:rsidR="00DF6F2C">
        <w:rPr>
          <w:sz w:val="22"/>
          <w:szCs w:val="22"/>
          <w:lang w:val="en-GB"/>
        </w:rPr>
        <w:t>-</w:t>
      </w:r>
      <w:r w:rsidR="00DF100A">
        <w:rPr>
          <w:sz w:val="22"/>
          <w:szCs w:val="22"/>
          <w:lang w:val="en-GB"/>
        </w:rPr>
        <w:t>national and community level</w:t>
      </w:r>
      <w:r w:rsidR="00DF6F2C">
        <w:rPr>
          <w:sz w:val="22"/>
          <w:szCs w:val="22"/>
          <w:lang w:val="en-GB"/>
        </w:rPr>
        <w:t>s</w:t>
      </w:r>
      <w:r w:rsidR="00DF100A">
        <w:rPr>
          <w:sz w:val="22"/>
          <w:szCs w:val="22"/>
          <w:lang w:val="en-GB"/>
        </w:rPr>
        <w:t xml:space="preserve"> (through FONGTIL and HASSATIL in particular)</w:t>
      </w:r>
      <w:r w:rsidR="00DF6F2C">
        <w:rPr>
          <w:sz w:val="22"/>
          <w:szCs w:val="22"/>
          <w:lang w:val="en-GB"/>
        </w:rPr>
        <w:t xml:space="preserve">.  Strengthened partnership and capacity development of these civil society networks will be further </w:t>
      </w:r>
      <w:r w:rsidR="00DF100A">
        <w:rPr>
          <w:sz w:val="22"/>
          <w:szCs w:val="22"/>
          <w:lang w:val="en-GB"/>
        </w:rPr>
        <w:t>explore</w:t>
      </w:r>
      <w:r w:rsidR="00DF6F2C">
        <w:rPr>
          <w:sz w:val="22"/>
          <w:szCs w:val="22"/>
          <w:lang w:val="en-GB"/>
        </w:rPr>
        <w:t>d</w:t>
      </w:r>
      <w:r w:rsidR="00DF100A">
        <w:rPr>
          <w:sz w:val="22"/>
          <w:szCs w:val="22"/>
          <w:lang w:val="en-GB"/>
        </w:rPr>
        <w:t xml:space="preserve"> </w:t>
      </w:r>
      <w:r w:rsidR="00DF6F2C">
        <w:rPr>
          <w:sz w:val="22"/>
          <w:szCs w:val="22"/>
          <w:lang w:val="en-GB"/>
        </w:rPr>
        <w:t xml:space="preserve">through operationalization </w:t>
      </w:r>
      <w:r w:rsidR="00DF100A">
        <w:rPr>
          <w:sz w:val="22"/>
          <w:szCs w:val="22"/>
          <w:lang w:val="en-GB"/>
        </w:rPr>
        <w:t xml:space="preserve">of the UNSDCF. </w:t>
      </w:r>
    </w:p>
    <w:p w14:paraId="2DDAC314" w14:textId="65143937" w:rsidR="00DF100A" w:rsidRDefault="00DF100A" w:rsidP="00552AAD">
      <w:pPr>
        <w:spacing w:after="120"/>
        <w:jc w:val="both"/>
        <w:rPr>
          <w:sz w:val="22"/>
          <w:szCs w:val="22"/>
          <w:lang w:val="en-GB"/>
        </w:rPr>
      </w:pPr>
      <w:r>
        <w:rPr>
          <w:sz w:val="22"/>
          <w:szCs w:val="22"/>
          <w:lang w:val="en-GB"/>
        </w:rPr>
        <w:t>Links and complementarities with important national, regional and global projects and initiatives will also be established in order to replicate best practises and promote convergent approaches</w:t>
      </w:r>
      <w:r w:rsidR="00C171E5">
        <w:rPr>
          <w:sz w:val="22"/>
          <w:szCs w:val="22"/>
          <w:lang w:val="en-GB"/>
        </w:rPr>
        <w:t>.  These may include</w:t>
      </w:r>
      <w:r>
        <w:rPr>
          <w:sz w:val="22"/>
          <w:szCs w:val="22"/>
          <w:lang w:val="en-GB"/>
        </w:rPr>
        <w:t xml:space="preserve"> </w:t>
      </w:r>
      <w:r w:rsidR="00C171E5">
        <w:rPr>
          <w:sz w:val="22"/>
          <w:szCs w:val="22"/>
          <w:lang w:val="en-GB"/>
        </w:rPr>
        <w:t>the Millennium Challenge Corporation (</w:t>
      </w:r>
      <w:r>
        <w:rPr>
          <w:sz w:val="22"/>
          <w:szCs w:val="22"/>
          <w:lang w:val="en-GB"/>
        </w:rPr>
        <w:t>MCC</w:t>
      </w:r>
      <w:r w:rsidR="00C171E5">
        <w:rPr>
          <w:sz w:val="22"/>
          <w:szCs w:val="22"/>
          <w:lang w:val="en-GB"/>
        </w:rPr>
        <w:t>)</w:t>
      </w:r>
      <w:r>
        <w:rPr>
          <w:sz w:val="22"/>
          <w:szCs w:val="22"/>
          <w:lang w:val="en-GB"/>
        </w:rPr>
        <w:t xml:space="preserve"> </w:t>
      </w:r>
      <w:r w:rsidR="00C171E5">
        <w:rPr>
          <w:sz w:val="22"/>
          <w:szCs w:val="22"/>
          <w:lang w:val="en-GB"/>
        </w:rPr>
        <w:t xml:space="preserve">and the </w:t>
      </w:r>
      <w:r w:rsidR="00121745">
        <w:rPr>
          <w:sz w:val="22"/>
          <w:szCs w:val="22"/>
          <w:lang w:val="en-GB"/>
        </w:rPr>
        <w:t>Scaling Up Nutrition (SUN) movement.</w:t>
      </w:r>
    </w:p>
    <w:p w14:paraId="3C7A9F19" w14:textId="32300E3D" w:rsidR="00DF100A" w:rsidRPr="00E15D14" w:rsidRDefault="00DF100A" w:rsidP="00552AAD">
      <w:pPr>
        <w:spacing w:after="120"/>
        <w:jc w:val="both"/>
        <w:rPr>
          <w:sz w:val="22"/>
          <w:szCs w:val="22"/>
          <w:lang w:val="en-GB"/>
        </w:rPr>
      </w:pPr>
      <w:r>
        <w:rPr>
          <w:sz w:val="22"/>
          <w:szCs w:val="22"/>
          <w:lang w:val="en-GB"/>
        </w:rPr>
        <w:t xml:space="preserve">Through the UNSDCF, the UN will support and work with the </w:t>
      </w:r>
      <w:r w:rsidR="00121745">
        <w:rPr>
          <w:sz w:val="22"/>
          <w:szCs w:val="22"/>
          <w:lang w:val="en-GB"/>
        </w:rPr>
        <w:t>G</w:t>
      </w:r>
      <w:r>
        <w:rPr>
          <w:sz w:val="22"/>
          <w:szCs w:val="22"/>
          <w:lang w:val="en-GB"/>
        </w:rPr>
        <w:t xml:space="preserve">overnment to generate, analyse and communicate on high quality data to inform </w:t>
      </w:r>
      <w:r w:rsidR="00BC6412">
        <w:rPr>
          <w:sz w:val="22"/>
          <w:szCs w:val="22"/>
          <w:lang w:val="en-GB"/>
        </w:rPr>
        <w:t xml:space="preserve">monitoring and evaluation </w:t>
      </w:r>
      <w:r>
        <w:rPr>
          <w:sz w:val="22"/>
          <w:szCs w:val="22"/>
          <w:lang w:val="en-GB"/>
        </w:rPr>
        <w:t>systems as well as policy and programming</w:t>
      </w:r>
      <w:r w:rsidR="00121745">
        <w:rPr>
          <w:sz w:val="22"/>
          <w:szCs w:val="22"/>
          <w:lang w:val="en-GB"/>
        </w:rPr>
        <w:t xml:space="preserve">, including </w:t>
      </w:r>
      <w:r w:rsidR="00BC6412">
        <w:rPr>
          <w:sz w:val="22"/>
          <w:szCs w:val="22"/>
          <w:lang w:val="en-GB"/>
        </w:rPr>
        <w:t xml:space="preserve">supporting the </w:t>
      </w:r>
      <w:r>
        <w:rPr>
          <w:sz w:val="22"/>
          <w:szCs w:val="22"/>
          <w:lang w:val="en-GB"/>
        </w:rPr>
        <w:t xml:space="preserve">Agricultural Census, National Food and Nutrition Surveys, </w:t>
      </w:r>
      <w:r w:rsidR="00121745">
        <w:rPr>
          <w:sz w:val="22"/>
          <w:szCs w:val="22"/>
          <w:lang w:val="en-GB"/>
        </w:rPr>
        <w:t xml:space="preserve">and </w:t>
      </w:r>
      <w:r>
        <w:rPr>
          <w:sz w:val="22"/>
          <w:szCs w:val="22"/>
          <w:lang w:val="en-GB"/>
        </w:rPr>
        <w:t>Demographic and Health Survey</w:t>
      </w:r>
      <w:r w:rsidR="00121745">
        <w:rPr>
          <w:sz w:val="22"/>
          <w:szCs w:val="22"/>
          <w:lang w:val="en-GB"/>
        </w:rPr>
        <w:t>.</w:t>
      </w:r>
    </w:p>
    <w:p w14:paraId="739AD56A" w14:textId="5EE8B6BB" w:rsidR="00184C19" w:rsidRPr="00841766" w:rsidRDefault="001F3F1E" w:rsidP="00552AAD">
      <w:pPr>
        <w:jc w:val="both"/>
        <w:rPr>
          <w:rFonts w:ascii="Calibri" w:eastAsia="Times New Roman" w:hAnsi="Calibri" w:cs="Calibri"/>
          <w:color w:val="000000"/>
          <w:sz w:val="22"/>
          <w:szCs w:val="22"/>
          <w:lang w:val="en-US" w:eastAsia="fr-FR"/>
        </w:rPr>
      </w:pPr>
      <w:r w:rsidRPr="00841766">
        <w:rPr>
          <w:rFonts w:ascii="Calibri" w:eastAsia="Times New Roman" w:hAnsi="Calibri" w:cs="Calibri"/>
          <w:color w:val="000000"/>
          <w:sz w:val="22"/>
          <w:szCs w:val="22"/>
          <w:lang w:val="en-US" w:eastAsia="fr-FR"/>
        </w:rPr>
        <w:t xml:space="preserve">The UN will facilitate the exchange of knowledge, skills and expertise through South–South </w:t>
      </w:r>
      <w:r w:rsidR="00121745">
        <w:rPr>
          <w:rFonts w:ascii="Calibri" w:eastAsia="Times New Roman" w:hAnsi="Calibri" w:cs="Calibri"/>
          <w:color w:val="000000"/>
          <w:sz w:val="22"/>
          <w:szCs w:val="22"/>
          <w:lang w:val="en-US" w:eastAsia="fr-FR"/>
        </w:rPr>
        <w:t>C</w:t>
      </w:r>
      <w:r w:rsidRPr="00841766">
        <w:rPr>
          <w:rFonts w:ascii="Calibri" w:eastAsia="Times New Roman" w:hAnsi="Calibri" w:cs="Calibri"/>
          <w:color w:val="000000"/>
          <w:sz w:val="22"/>
          <w:szCs w:val="22"/>
          <w:lang w:val="en-US" w:eastAsia="fr-FR"/>
        </w:rPr>
        <w:t xml:space="preserve">ooperation with the </w:t>
      </w:r>
      <w:proofErr w:type="spellStart"/>
      <w:r w:rsidRPr="00841766">
        <w:rPr>
          <w:rFonts w:ascii="Calibri" w:eastAsia="Times New Roman" w:hAnsi="Calibri" w:cs="Calibri"/>
          <w:color w:val="000000"/>
          <w:sz w:val="22"/>
          <w:szCs w:val="22"/>
          <w:lang w:val="en-US" w:eastAsia="fr-FR"/>
        </w:rPr>
        <w:t>centres</w:t>
      </w:r>
      <w:proofErr w:type="spellEnd"/>
      <w:r w:rsidRPr="00841766">
        <w:rPr>
          <w:rFonts w:ascii="Calibri" w:eastAsia="Times New Roman" w:hAnsi="Calibri" w:cs="Calibri"/>
          <w:color w:val="000000"/>
          <w:sz w:val="22"/>
          <w:szCs w:val="22"/>
          <w:lang w:val="en-US" w:eastAsia="fr-FR"/>
        </w:rPr>
        <w:t xml:space="preserve"> of excellence </w:t>
      </w:r>
      <w:r w:rsidR="00121745">
        <w:rPr>
          <w:rFonts w:ascii="Calibri" w:eastAsia="Times New Roman" w:hAnsi="Calibri" w:cs="Calibri"/>
          <w:color w:val="000000"/>
          <w:sz w:val="22"/>
          <w:szCs w:val="22"/>
          <w:lang w:val="en-US" w:eastAsia="fr-FR"/>
        </w:rPr>
        <w:t>established</w:t>
      </w:r>
      <w:r w:rsidRPr="00841766">
        <w:rPr>
          <w:rFonts w:ascii="Calibri" w:eastAsia="Times New Roman" w:hAnsi="Calibri" w:cs="Calibri"/>
          <w:color w:val="000000"/>
          <w:sz w:val="22"/>
          <w:szCs w:val="22"/>
          <w:lang w:val="en-US" w:eastAsia="fr-FR"/>
        </w:rPr>
        <w:t xml:space="preserve"> by UN </w:t>
      </w:r>
      <w:r w:rsidR="00121745">
        <w:rPr>
          <w:rFonts w:ascii="Calibri" w:eastAsia="Times New Roman" w:hAnsi="Calibri" w:cs="Calibri"/>
          <w:color w:val="000000"/>
          <w:sz w:val="22"/>
          <w:szCs w:val="22"/>
          <w:lang w:val="en-US" w:eastAsia="fr-FR"/>
        </w:rPr>
        <w:t>e</w:t>
      </w:r>
      <w:r w:rsidRPr="00841766">
        <w:rPr>
          <w:rFonts w:ascii="Calibri" w:eastAsia="Times New Roman" w:hAnsi="Calibri" w:cs="Calibri"/>
          <w:color w:val="000000"/>
          <w:sz w:val="22"/>
          <w:szCs w:val="22"/>
          <w:lang w:val="en-US" w:eastAsia="fr-FR"/>
        </w:rPr>
        <w:t>ntities.</w:t>
      </w:r>
      <w:r w:rsidR="001C2408">
        <w:rPr>
          <w:rFonts w:ascii="Calibri" w:eastAsia="Times New Roman" w:hAnsi="Calibri" w:cs="Calibri"/>
          <w:color w:val="000000"/>
          <w:sz w:val="22"/>
          <w:szCs w:val="22"/>
          <w:lang w:val="en-US" w:eastAsia="fr-FR"/>
        </w:rPr>
        <w:t xml:space="preserve">  </w:t>
      </w:r>
    </w:p>
    <w:p w14:paraId="6AA7379E" w14:textId="77777777" w:rsidR="00BC6412" w:rsidRDefault="00BC6412" w:rsidP="00552AAD">
      <w:pPr>
        <w:jc w:val="both"/>
        <w:rPr>
          <w:rFonts w:ascii="Calibri" w:eastAsia="Times New Roman" w:hAnsi="Calibri" w:cs="Calibri"/>
          <w:iCs/>
          <w:color w:val="000000"/>
          <w:sz w:val="22"/>
          <w:szCs w:val="22"/>
          <w:lang w:val="en-US" w:eastAsia="fr-FR"/>
        </w:rPr>
      </w:pPr>
    </w:p>
    <w:p w14:paraId="3FD452FA" w14:textId="274A5B8F" w:rsidR="005A2559" w:rsidRPr="00841766" w:rsidRDefault="005A2559" w:rsidP="00552AAD">
      <w:pPr>
        <w:jc w:val="both"/>
        <w:rPr>
          <w:rFonts w:ascii="Times New Roman" w:eastAsia="Times New Roman" w:hAnsi="Times New Roman" w:cs="Times New Roman"/>
          <w:lang w:val="en-US" w:eastAsia="fr-FR"/>
        </w:rPr>
      </w:pPr>
      <w:r w:rsidRPr="00841766">
        <w:rPr>
          <w:rFonts w:ascii="Calibri" w:eastAsia="Times New Roman" w:hAnsi="Calibri" w:cs="Calibri"/>
          <w:iCs/>
          <w:color w:val="000000"/>
          <w:sz w:val="22"/>
          <w:szCs w:val="22"/>
          <w:lang w:val="en-US" w:eastAsia="fr-FR"/>
        </w:rPr>
        <w:t>Specialized knowledge exchanges with public technical institutions in Indonesia will allow transfer</w:t>
      </w:r>
      <w:r w:rsidR="002A7759">
        <w:rPr>
          <w:rFonts w:ascii="Calibri" w:eastAsia="Times New Roman" w:hAnsi="Calibri" w:cs="Calibri"/>
          <w:iCs/>
          <w:color w:val="000000"/>
          <w:sz w:val="22"/>
          <w:szCs w:val="22"/>
          <w:lang w:val="en-US" w:eastAsia="fr-FR"/>
        </w:rPr>
        <w:t xml:space="preserve"> of</w:t>
      </w:r>
      <w:r w:rsidRPr="00841766">
        <w:rPr>
          <w:rFonts w:ascii="Calibri" w:eastAsia="Times New Roman" w:hAnsi="Calibri" w:cs="Calibri"/>
          <w:iCs/>
          <w:color w:val="000000"/>
          <w:sz w:val="22"/>
          <w:szCs w:val="22"/>
          <w:lang w:val="en-US" w:eastAsia="fr-FR"/>
        </w:rPr>
        <w:t xml:space="preserve"> new techniques and best practice on food production from Indonesian institutions to Timorese farmers and technicians.</w:t>
      </w:r>
    </w:p>
    <w:p w14:paraId="058AD3F4" w14:textId="77777777" w:rsidR="00121745" w:rsidRDefault="00121745" w:rsidP="00552AAD">
      <w:pPr>
        <w:jc w:val="both"/>
        <w:rPr>
          <w:rFonts w:ascii="Calibri" w:eastAsia="Times New Roman" w:hAnsi="Calibri" w:cs="Calibri"/>
          <w:color w:val="000000"/>
          <w:sz w:val="22"/>
          <w:szCs w:val="22"/>
          <w:lang w:val="en-US" w:eastAsia="fr-FR"/>
        </w:rPr>
      </w:pPr>
    </w:p>
    <w:p w14:paraId="42E72E3A" w14:textId="328ADD54" w:rsidR="001F3F1E" w:rsidRPr="00841766" w:rsidRDefault="001F3F1E" w:rsidP="00552AAD">
      <w:pPr>
        <w:jc w:val="both"/>
        <w:rPr>
          <w:rFonts w:ascii="Calibri" w:eastAsia="Times New Roman" w:hAnsi="Calibri" w:cs="Calibri"/>
          <w:color w:val="000000"/>
          <w:sz w:val="22"/>
          <w:szCs w:val="22"/>
          <w:lang w:val="en-US" w:eastAsia="fr-FR"/>
        </w:rPr>
      </w:pPr>
      <w:r w:rsidRPr="00841766">
        <w:rPr>
          <w:rFonts w:ascii="Calibri" w:eastAsia="Times New Roman" w:hAnsi="Calibri" w:cs="Calibri"/>
          <w:color w:val="000000"/>
          <w:sz w:val="22"/>
          <w:szCs w:val="22"/>
          <w:lang w:val="en-US" w:eastAsia="fr-FR"/>
        </w:rPr>
        <w:t>Through cooperation with CPLP members (Brazil and others)</w:t>
      </w:r>
      <w:r w:rsidR="002A7759">
        <w:rPr>
          <w:rFonts w:ascii="Calibri" w:eastAsia="Times New Roman" w:hAnsi="Calibri" w:cs="Calibri"/>
          <w:color w:val="000000"/>
          <w:sz w:val="22"/>
          <w:szCs w:val="22"/>
          <w:lang w:val="en-US" w:eastAsia="fr-FR"/>
        </w:rPr>
        <w:t>,</w:t>
      </w:r>
      <w:r w:rsidRPr="00841766">
        <w:rPr>
          <w:rFonts w:ascii="Calibri" w:eastAsia="Times New Roman" w:hAnsi="Calibri" w:cs="Calibri"/>
          <w:color w:val="000000"/>
          <w:sz w:val="22"/>
          <w:szCs w:val="22"/>
          <w:lang w:val="en-US" w:eastAsia="fr-FR"/>
        </w:rPr>
        <w:t xml:space="preserve"> the UN will support </w:t>
      </w:r>
      <w:r w:rsidR="002A7759">
        <w:rPr>
          <w:rFonts w:ascii="Calibri" w:eastAsia="Times New Roman" w:hAnsi="Calibri" w:cs="Calibri"/>
          <w:color w:val="000000"/>
          <w:sz w:val="22"/>
          <w:szCs w:val="22"/>
          <w:lang w:val="en-US" w:eastAsia="fr-FR"/>
        </w:rPr>
        <w:t xml:space="preserve">to </w:t>
      </w:r>
      <w:r w:rsidRPr="00841766">
        <w:rPr>
          <w:rFonts w:ascii="Calibri" w:eastAsia="Times New Roman" w:hAnsi="Calibri" w:cs="Calibri"/>
          <w:color w:val="000000"/>
          <w:sz w:val="22"/>
          <w:szCs w:val="22"/>
          <w:lang w:val="en-US" w:eastAsia="fr-FR"/>
        </w:rPr>
        <w:t xml:space="preserve">strengthen Timor-Leste’s food security and nutrition governance framework and capacity to manage social safety net, food safety and school meals programme, including through home grown school </w:t>
      </w:r>
      <w:r w:rsidR="002A7759">
        <w:rPr>
          <w:rFonts w:ascii="Calibri" w:eastAsia="Times New Roman" w:hAnsi="Calibri" w:cs="Calibri"/>
          <w:color w:val="000000"/>
          <w:sz w:val="22"/>
          <w:szCs w:val="22"/>
          <w:lang w:val="en-US" w:eastAsia="fr-FR"/>
        </w:rPr>
        <w:t xml:space="preserve">feeding </w:t>
      </w:r>
      <w:r w:rsidRPr="00841766">
        <w:rPr>
          <w:rFonts w:ascii="Calibri" w:eastAsia="Times New Roman" w:hAnsi="Calibri" w:cs="Calibri"/>
          <w:color w:val="000000"/>
          <w:sz w:val="22"/>
          <w:szCs w:val="22"/>
          <w:lang w:val="en-US" w:eastAsia="fr-FR"/>
        </w:rPr>
        <w:t>that promote local purchases from family farmers and address socio-economic inequalities between women and men. </w:t>
      </w:r>
    </w:p>
    <w:p w14:paraId="323E0325" w14:textId="77777777" w:rsidR="002A7759" w:rsidRDefault="002A7759" w:rsidP="00552AAD">
      <w:pPr>
        <w:jc w:val="both"/>
        <w:rPr>
          <w:rFonts w:ascii="Calibri" w:eastAsia="Times New Roman" w:hAnsi="Calibri" w:cs="Calibri"/>
          <w:color w:val="000000"/>
          <w:sz w:val="22"/>
          <w:szCs w:val="22"/>
          <w:lang w:val="en-US" w:eastAsia="fr-FR"/>
        </w:rPr>
      </w:pPr>
    </w:p>
    <w:p w14:paraId="2B3CF937" w14:textId="4FB01AAC" w:rsidR="001F3F1E" w:rsidRPr="00841766" w:rsidRDefault="001F3F1E" w:rsidP="00552AAD">
      <w:pPr>
        <w:jc w:val="both"/>
        <w:rPr>
          <w:rFonts w:ascii="Calibri" w:eastAsia="Times New Roman" w:hAnsi="Calibri" w:cs="Calibri"/>
          <w:color w:val="000000"/>
          <w:sz w:val="22"/>
          <w:szCs w:val="22"/>
          <w:lang w:val="en-US" w:eastAsia="fr-FR"/>
        </w:rPr>
      </w:pPr>
      <w:r w:rsidRPr="00841766">
        <w:rPr>
          <w:rFonts w:ascii="Calibri" w:eastAsia="Times New Roman" w:hAnsi="Calibri" w:cs="Calibri"/>
          <w:color w:val="000000"/>
          <w:sz w:val="22"/>
          <w:szCs w:val="22"/>
          <w:lang w:val="en-US" w:eastAsia="fr-FR"/>
        </w:rPr>
        <w:t xml:space="preserve">Partnership opportunities will be explored with China in the field of food security and nutrition policy and to share experience and analysis of food security, post-harvest management, </w:t>
      </w:r>
      <w:proofErr w:type="spellStart"/>
      <w:r w:rsidRPr="00841766">
        <w:rPr>
          <w:rFonts w:ascii="Calibri" w:eastAsia="Times New Roman" w:hAnsi="Calibri" w:cs="Calibri"/>
          <w:color w:val="000000"/>
          <w:sz w:val="22"/>
          <w:szCs w:val="22"/>
          <w:lang w:val="en-US" w:eastAsia="fr-FR"/>
        </w:rPr>
        <w:t>agro</w:t>
      </w:r>
      <w:proofErr w:type="spellEnd"/>
      <w:r w:rsidRPr="00841766">
        <w:rPr>
          <w:rFonts w:ascii="Calibri" w:eastAsia="Times New Roman" w:hAnsi="Calibri" w:cs="Calibri"/>
          <w:color w:val="000000"/>
          <w:sz w:val="22"/>
          <w:szCs w:val="22"/>
          <w:lang w:val="en-US" w:eastAsia="fr-FR"/>
        </w:rPr>
        <w:t>-meteorology and nutrition programmes.</w:t>
      </w:r>
      <w:r w:rsidR="002A7759">
        <w:rPr>
          <w:rFonts w:ascii="Calibri" w:eastAsia="Times New Roman" w:hAnsi="Calibri" w:cs="Calibri"/>
          <w:color w:val="000000"/>
          <w:sz w:val="22"/>
          <w:szCs w:val="22"/>
          <w:lang w:val="en-US" w:eastAsia="fr-FR"/>
        </w:rPr>
        <w:t xml:space="preserve">  </w:t>
      </w:r>
      <w:r w:rsidRPr="00841766">
        <w:rPr>
          <w:rFonts w:ascii="Calibri" w:eastAsia="Times New Roman" w:hAnsi="Calibri" w:cs="Calibri"/>
          <w:color w:val="000000"/>
          <w:sz w:val="22"/>
          <w:szCs w:val="22"/>
          <w:lang w:val="en-US" w:eastAsia="fr-FR"/>
        </w:rPr>
        <w:t xml:space="preserve">Exchange opportunities with India will be explored for learning on improved </w:t>
      </w:r>
      <w:r w:rsidRPr="00841766">
        <w:rPr>
          <w:rFonts w:ascii="Calibri" w:eastAsia="Times New Roman" w:hAnsi="Calibri" w:cs="Calibri"/>
          <w:color w:val="000000"/>
          <w:sz w:val="22"/>
          <w:szCs w:val="22"/>
          <w:lang w:val="en-US" w:eastAsia="fr-FR"/>
        </w:rPr>
        <w:lastRenderedPageBreak/>
        <w:t>nutrition outcomes, particularly with regard to reducing micronutrient deficiencies through food fortification.</w:t>
      </w:r>
    </w:p>
    <w:p w14:paraId="34E4EDD6" w14:textId="77777777" w:rsidR="002A7759" w:rsidRDefault="002A7759" w:rsidP="00552AAD">
      <w:pPr>
        <w:jc w:val="both"/>
        <w:rPr>
          <w:rFonts w:ascii="Calibri" w:eastAsia="Times New Roman" w:hAnsi="Calibri" w:cs="Calibri"/>
          <w:color w:val="000000"/>
          <w:sz w:val="22"/>
          <w:szCs w:val="22"/>
          <w:lang w:val="en-US" w:eastAsia="fr-FR"/>
        </w:rPr>
      </w:pPr>
    </w:p>
    <w:p w14:paraId="5D317631" w14:textId="30A235B3" w:rsidR="001F3F1E" w:rsidRPr="00841766" w:rsidRDefault="001F3F1E" w:rsidP="00552AAD">
      <w:pPr>
        <w:jc w:val="both"/>
        <w:rPr>
          <w:rFonts w:ascii="Calibri" w:eastAsia="Times New Roman" w:hAnsi="Calibri" w:cs="Calibri"/>
          <w:color w:val="000000"/>
          <w:sz w:val="22"/>
          <w:szCs w:val="22"/>
          <w:lang w:val="en-US" w:eastAsia="fr-FR"/>
        </w:rPr>
      </w:pPr>
      <w:r w:rsidRPr="00841766">
        <w:rPr>
          <w:rFonts w:ascii="Calibri" w:eastAsia="Times New Roman" w:hAnsi="Calibri" w:cs="Calibri"/>
          <w:color w:val="000000"/>
          <w:sz w:val="22"/>
          <w:szCs w:val="22"/>
          <w:lang w:val="en-US" w:eastAsia="fr-FR"/>
        </w:rPr>
        <w:t xml:space="preserve">The UN will </w:t>
      </w:r>
      <w:r w:rsidR="009B2BF8">
        <w:rPr>
          <w:rFonts w:ascii="Calibri" w:eastAsia="Times New Roman" w:hAnsi="Calibri" w:cs="Calibri"/>
          <w:color w:val="000000"/>
          <w:sz w:val="22"/>
          <w:szCs w:val="22"/>
          <w:lang w:val="en-US" w:eastAsia="fr-FR"/>
        </w:rPr>
        <w:t xml:space="preserve">closely follow </w:t>
      </w:r>
      <w:r w:rsidRPr="00841766">
        <w:rPr>
          <w:rFonts w:ascii="Calibri" w:eastAsia="Times New Roman" w:hAnsi="Calibri" w:cs="Calibri"/>
          <w:color w:val="000000"/>
          <w:sz w:val="22"/>
          <w:szCs w:val="22"/>
          <w:lang w:val="en-US" w:eastAsia="fr-FR"/>
        </w:rPr>
        <w:t>Timor-Leste’s application to join ASEAN</w:t>
      </w:r>
      <w:r w:rsidR="009B2BF8">
        <w:rPr>
          <w:rFonts w:ascii="Calibri" w:eastAsia="Times New Roman" w:hAnsi="Calibri" w:cs="Calibri"/>
          <w:color w:val="000000"/>
          <w:sz w:val="22"/>
          <w:szCs w:val="22"/>
          <w:lang w:val="en-US" w:eastAsia="fr-FR"/>
        </w:rPr>
        <w:t>, and as appropriate</w:t>
      </w:r>
      <w:r w:rsidRPr="00841766">
        <w:rPr>
          <w:rFonts w:ascii="Calibri" w:eastAsia="Times New Roman" w:hAnsi="Calibri" w:cs="Calibri"/>
          <w:color w:val="000000"/>
          <w:sz w:val="22"/>
          <w:szCs w:val="22"/>
          <w:lang w:val="en-US" w:eastAsia="fr-FR"/>
        </w:rPr>
        <w:t xml:space="preserve"> </w:t>
      </w:r>
      <w:r w:rsidR="009B2BF8">
        <w:rPr>
          <w:rFonts w:ascii="Calibri" w:eastAsia="Times New Roman" w:hAnsi="Calibri" w:cs="Calibri"/>
          <w:color w:val="000000"/>
          <w:sz w:val="22"/>
          <w:szCs w:val="22"/>
          <w:lang w:val="en-US" w:eastAsia="fr-FR"/>
        </w:rPr>
        <w:t>support the country’s</w:t>
      </w:r>
      <w:r w:rsidRPr="00841766">
        <w:rPr>
          <w:rFonts w:ascii="Calibri" w:eastAsia="Times New Roman" w:hAnsi="Calibri" w:cs="Calibri"/>
          <w:color w:val="000000"/>
          <w:sz w:val="22"/>
          <w:szCs w:val="22"/>
          <w:lang w:val="en-US" w:eastAsia="fr-FR"/>
        </w:rPr>
        <w:t xml:space="preserve"> adjustment of food safety policy to comply with ASEAN countries regulations, in particular Indonesia. </w:t>
      </w:r>
      <w:r w:rsidR="004B6007" w:rsidRPr="00841766">
        <w:rPr>
          <w:rFonts w:ascii="Calibri" w:eastAsia="Times New Roman" w:hAnsi="Calibri" w:cs="Calibri"/>
          <w:color w:val="000000"/>
          <w:sz w:val="22"/>
          <w:szCs w:val="22"/>
          <w:lang w:val="en-US" w:eastAsia="fr-FR"/>
        </w:rPr>
        <w:t>The UN</w:t>
      </w:r>
      <w:r w:rsidRPr="00841766">
        <w:rPr>
          <w:rFonts w:ascii="Calibri" w:eastAsia="Times New Roman" w:hAnsi="Calibri" w:cs="Calibri"/>
          <w:color w:val="000000"/>
          <w:sz w:val="22"/>
          <w:szCs w:val="22"/>
          <w:lang w:val="en-US" w:eastAsia="fr-FR"/>
        </w:rPr>
        <w:t xml:space="preserve"> will also support effective cooperation with neighb</w:t>
      </w:r>
      <w:r w:rsidR="004B6007" w:rsidRPr="00841766">
        <w:rPr>
          <w:rFonts w:ascii="Calibri" w:eastAsia="Times New Roman" w:hAnsi="Calibri" w:cs="Calibri"/>
          <w:color w:val="000000"/>
          <w:sz w:val="22"/>
          <w:szCs w:val="22"/>
          <w:lang w:val="en-US" w:eastAsia="fr-FR"/>
        </w:rPr>
        <w:t>oring countries regarding</w:t>
      </w:r>
      <w:r w:rsidRPr="00841766">
        <w:rPr>
          <w:rFonts w:ascii="Calibri" w:eastAsia="Times New Roman" w:hAnsi="Calibri" w:cs="Calibri"/>
          <w:color w:val="000000"/>
          <w:sz w:val="22"/>
          <w:szCs w:val="22"/>
          <w:lang w:val="en-US" w:eastAsia="fr-FR"/>
        </w:rPr>
        <w:t xml:space="preserve"> sustainable natural resource management</w:t>
      </w:r>
      <w:r w:rsidR="009B2BF8">
        <w:rPr>
          <w:rFonts w:ascii="Calibri" w:eastAsia="Times New Roman" w:hAnsi="Calibri" w:cs="Calibri"/>
          <w:color w:val="000000"/>
          <w:sz w:val="22"/>
          <w:szCs w:val="22"/>
          <w:lang w:val="en-US" w:eastAsia="fr-FR"/>
        </w:rPr>
        <w:t>,</w:t>
      </w:r>
      <w:r w:rsidRPr="00841766">
        <w:rPr>
          <w:rFonts w:ascii="Calibri" w:eastAsia="Times New Roman" w:hAnsi="Calibri" w:cs="Calibri"/>
          <w:color w:val="000000"/>
          <w:sz w:val="22"/>
          <w:szCs w:val="22"/>
          <w:lang w:val="en-US" w:eastAsia="fr-FR"/>
        </w:rPr>
        <w:t xml:space="preserve"> in particular marine resource and ecosystems.</w:t>
      </w:r>
    </w:p>
    <w:p w14:paraId="589F4D4B" w14:textId="77777777" w:rsidR="00520140" w:rsidRDefault="00520140" w:rsidP="00552AAD">
      <w:pPr>
        <w:jc w:val="both"/>
        <w:rPr>
          <w:lang w:val="en-US"/>
        </w:rPr>
      </w:pPr>
    </w:p>
    <w:p w14:paraId="1802CA62" w14:textId="36284C95" w:rsidR="00A261B4" w:rsidRPr="00841766" w:rsidRDefault="00A261B4" w:rsidP="004C515B">
      <w:pPr>
        <w:pStyle w:val="Heading3"/>
        <w:rPr>
          <w:lang w:val="en-US"/>
        </w:rPr>
      </w:pPr>
      <w:bookmarkStart w:id="38" w:name="_Toc40265799"/>
      <w:r w:rsidRPr="00841766">
        <w:rPr>
          <w:lang w:val="en-US"/>
        </w:rPr>
        <w:t>COOPERATION FRAMEWORK OUTCOME 2:</w:t>
      </w:r>
      <w:r w:rsidRPr="00841766">
        <w:rPr>
          <w:sz w:val="22"/>
          <w:szCs w:val="22"/>
          <w:lang w:val="en-US"/>
        </w:rPr>
        <w:t xml:space="preserve"> </w:t>
      </w:r>
      <w:r w:rsidR="00320958" w:rsidRPr="00841766">
        <w:rPr>
          <w:lang w:val="en-US"/>
        </w:rPr>
        <w:t>Sustainable economic opportunities and d</w:t>
      </w:r>
      <w:r w:rsidRPr="00841766">
        <w:rPr>
          <w:lang w:val="en-US"/>
        </w:rPr>
        <w:t>ecent work for all</w:t>
      </w:r>
      <w:bookmarkEnd w:id="38"/>
    </w:p>
    <w:p w14:paraId="63E97DA1" w14:textId="77777777" w:rsidR="00C277EB" w:rsidRDefault="00C277EB" w:rsidP="004C515B">
      <w:pPr>
        <w:rPr>
          <w:rFonts w:cstheme="minorHAnsi"/>
          <w:sz w:val="22"/>
          <w:szCs w:val="22"/>
          <w:lang w:val="en-US"/>
        </w:rPr>
      </w:pPr>
    </w:p>
    <w:p w14:paraId="04CE8B78" w14:textId="6C23266E" w:rsidR="00B254D7" w:rsidRPr="00841766" w:rsidRDefault="00B254D7" w:rsidP="004C515B">
      <w:pPr>
        <w:rPr>
          <w:rFonts w:eastAsia="Times New Roman" w:cs="Times New Roman"/>
          <w:lang w:val="en-US" w:eastAsia="fr-FR"/>
        </w:rPr>
      </w:pPr>
      <w:r w:rsidRPr="00841766">
        <w:rPr>
          <w:rFonts w:cstheme="minorHAnsi"/>
          <w:sz w:val="22"/>
          <w:szCs w:val="22"/>
          <w:lang w:val="en-US"/>
        </w:rPr>
        <w:t>“</w:t>
      </w:r>
      <w:r w:rsidRPr="00841766">
        <w:rPr>
          <w:rFonts w:eastAsia="Times New Roman" w:cstheme="minorHAnsi"/>
          <w:color w:val="000000"/>
          <w:lang w:val="en-US" w:eastAsia="fr-FR"/>
        </w:rPr>
        <w:t>By</w:t>
      </w:r>
      <w:r w:rsidRPr="00841766">
        <w:rPr>
          <w:rFonts w:eastAsia="Times New Roman" w:cs="Calibri"/>
          <w:color w:val="000000"/>
          <w:lang w:val="en-US" w:eastAsia="fr-FR"/>
        </w:rPr>
        <w:t xml:space="preserve"> 2025, people throughout Timor-Leste in all their diversity, especially women and youth, benefit from sustainable economic opportunities and decent work”</w:t>
      </w:r>
    </w:p>
    <w:p w14:paraId="02C92442" w14:textId="1BDA1D23" w:rsidR="00B254D7" w:rsidRDefault="00B254D7" w:rsidP="004C515B">
      <w:pPr>
        <w:autoSpaceDE w:val="0"/>
        <w:autoSpaceDN w:val="0"/>
        <w:adjustRightInd w:val="0"/>
        <w:rPr>
          <w:rFonts w:cs="Times New Roman"/>
          <w:i/>
          <w:color w:val="1F3864" w:themeColor="accent1" w:themeShade="80"/>
          <w:sz w:val="18"/>
          <w:szCs w:val="18"/>
          <w:lang w:val="en-US"/>
        </w:rPr>
      </w:pPr>
    </w:p>
    <w:p w14:paraId="199C9B30" w14:textId="28AFA14A" w:rsidR="002E0A73" w:rsidRPr="006E7B96" w:rsidRDefault="002E0A73" w:rsidP="002E0A73">
      <w:pPr>
        <w:rPr>
          <w:b/>
          <w:bCs/>
          <w:lang w:val="en-US"/>
        </w:rPr>
      </w:pPr>
      <w:r w:rsidRPr="006E7B96">
        <w:rPr>
          <w:b/>
          <w:bCs/>
          <w:lang w:val="en-US"/>
        </w:rPr>
        <w:t>Intended Development Results</w:t>
      </w:r>
    </w:p>
    <w:p w14:paraId="31384611" w14:textId="77777777" w:rsidR="002E0A73" w:rsidRPr="002E0A73" w:rsidRDefault="002E0A73" w:rsidP="002E0A73">
      <w:pPr>
        <w:tabs>
          <w:tab w:val="left" w:pos="284"/>
        </w:tabs>
        <w:autoSpaceDE w:val="0"/>
        <w:autoSpaceDN w:val="0"/>
        <w:adjustRightInd w:val="0"/>
        <w:spacing w:after="120"/>
        <w:jc w:val="both"/>
        <w:rPr>
          <w:rFonts w:cstheme="minorHAnsi"/>
          <w:sz w:val="22"/>
          <w:szCs w:val="22"/>
          <w:lang w:val="en-US"/>
        </w:rPr>
      </w:pPr>
      <w:r w:rsidRPr="002E0A73">
        <w:rPr>
          <w:rFonts w:cstheme="minorHAnsi"/>
          <w:sz w:val="22"/>
          <w:szCs w:val="22"/>
          <w:lang w:val="en-US"/>
        </w:rPr>
        <w:t xml:space="preserve">Focusing on the policies, institutional framework, incentives and investments needed for transforming the economy and develop sustainable pathways, the UNSDCF will contribute to diversifying the economy, creating decent jobs, and include the marginalized active population, in particular youth and women, in a sustainable and just economy.  </w:t>
      </w:r>
    </w:p>
    <w:p w14:paraId="21CBC395" w14:textId="77777777" w:rsidR="00CB6129" w:rsidRPr="002E0A73" w:rsidRDefault="00CB6129" w:rsidP="004C515B">
      <w:pPr>
        <w:rPr>
          <w:b/>
          <w:bCs/>
          <w:lang w:val="pt-PT"/>
        </w:rPr>
      </w:pPr>
      <w:r w:rsidRPr="002E0A73">
        <w:rPr>
          <w:b/>
          <w:bCs/>
          <w:lang w:val="pt-PT"/>
        </w:rPr>
        <w:t xml:space="preserve">Partners </w:t>
      </w:r>
    </w:p>
    <w:tbl>
      <w:tblPr>
        <w:tblStyle w:val="TableGrid"/>
        <w:tblW w:w="0" w:type="auto"/>
        <w:tblLook w:val="04A0" w:firstRow="1" w:lastRow="0" w:firstColumn="1" w:lastColumn="0" w:noHBand="0" w:noVBand="1"/>
      </w:tblPr>
      <w:tblGrid>
        <w:gridCol w:w="2515"/>
        <w:gridCol w:w="6837"/>
      </w:tblGrid>
      <w:tr w:rsidR="00CB6129" w:rsidRPr="006976AD" w14:paraId="57E9AB0A" w14:textId="77777777" w:rsidTr="2CEF7665">
        <w:tc>
          <w:tcPr>
            <w:tcW w:w="2515" w:type="dxa"/>
          </w:tcPr>
          <w:p w14:paraId="211AFBC1" w14:textId="68FC4050" w:rsidR="00CB6129" w:rsidRPr="000135BE" w:rsidRDefault="00CB6129" w:rsidP="004C515B">
            <w:pPr>
              <w:rPr>
                <w:lang w:val="en-US"/>
              </w:rPr>
            </w:pPr>
            <w:r w:rsidRPr="000135BE">
              <w:rPr>
                <w:lang w:val="en-US"/>
              </w:rPr>
              <w:t>Government</w:t>
            </w:r>
          </w:p>
        </w:tc>
        <w:tc>
          <w:tcPr>
            <w:tcW w:w="6837" w:type="dxa"/>
          </w:tcPr>
          <w:p w14:paraId="2338DFAD" w14:textId="752495DA" w:rsidR="00CB6129" w:rsidRPr="00C07DC8" w:rsidRDefault="00CB6129" w:rsidP="004C515B">
            <w:pPr>
              <w:rPr>
                <w:lang w:val="en-US"/>
              </w:rPr>
            </w:pPr>
            <w:r w:rsidRPr="003B5E3F">
              <w:rPr>
                <w:lang w:val="en-US"/>
              </w:rPr>
              <w:t>Secretary of State for Vocational Training and Employment</w:t>
            </w:r>
            <w:r w:rsidR="00437985">
              <w:rPr>
                <w:lang w:val="en-US"/>
              </w:rPr>
              <w:t xml:space="preserve">, </w:t>
            </w:r>
            <w:r w:rsidRPr="00C07DC8">
              <w:rPr>
                <w:lang w:val="en-US"/>
              </w:rPr>
              <w:t>Ministry of Finance</w:t>
            </w:r>
            <w:r w:rsidR="00A93DEF" w:rsidRPr="00C07DC8">
              <w:rPr>
                <w:lang w:val="en-US"/>
              </w:rPr>
              <w:t xml:space="preserve">, </w:t>
            </w:r>
            <w:r w:rsidR="00FE0D5B">
              <w:rPr>
                <w:lang w:val="en-US"/>
              </w:rPr>
              <w:t xml:space="preserve">Ministry of Social Solidarity and Inclusion, </w:t>
            </w:r>
            <w:r w:rsidR="0074209E">
              <w:rPr>
                <w:lang w:val="en-US"/>
              </w:rPr>
              <w:t xml:space="preserve">Ministry of Education, </w:t>
            </w:r>
            <w:r w:rsidR="00CC5428">
              <w:rPr>
                <w:lang w:val="en-US"/>
              </w:rPr>
              <w:t>Central Bank</w:t>
            </w:r>
          </w:p>
        </w:tc>
      </w:tr>
      <w:tr w:rsidR="00CB6129" w:rsidRPr="006976AD" w14:paraId="6A73891B" w14:textId="77777777" w:rsidTr="2CEF7665">
        <w:tc>
          <w:tcPr>
            <w:tcW w:w="2515" w:type="dxa"/>
          </w:tcPr>
          <w:p w14:paraId="3A538B81" w14:textId="5FC3A46D" w:rsidR="00CB6129" w:rsidRPr="000135BE" w:rsidRDefault="00CB6129" w:rsidP="004C515B">
            <w:pPr>
              <w:rPr>
                <w:lang w:val="en-US"/>
              </w:rPr>
            </w:pPr>
            <w:r w:rsidRPr="000135BE">
              <w:rPr>
                <w:lang w:val="en-US"/>
              </w:rPr>
              <w:t>UN</w:t>
            </w:r>
          </w:p>
        </w:tc>
        <w:tc>
          <w:tcPr>
            <w:tcW w:w="6837" w:type="dxa"/>
          </w:tcPr>
          <w:p w14:paraId="321BAAC8" w14:textId="1795B70C" w:rsidR="00CB6129" w:rsidRPr="00C07DC8" w:rsidRDefault="00CB6129" w:rsidP="004C515B">
            <w:pPr>
              <w:rPr>
                <w:lang w:val="en-US"/>
              </w:rPr>
            </w:pPr>
            <w:r w:rsidRPr="003B5E3F">
              <w:rPr>
                <w:lang w:val="en-US"/>
              </w:rPr>
              <w:t xml:space="preserve">ILO, IOM, </w:t>
            </w:r>
            <w:r w:rsidR="00A93DEF" w:rsidRPr="00242171">
              <w:rPr>
                <w:lang w:val="en-US"/>
              </w:rPr>
              <w:t xml:space="preserve">UNCDF, </w:t>
            </w:r>
            <w:r w:rsidR="00F74E62" w:rsidRPr="009853D6">
              <w:rPr>
                <w:lang w:val="en-US"/>
              </w:rPr>
              <w:t xml:space="preserve">UNDP, </w:t>
            </w:r>
            <w:r w:rsidR="00A93DEF" w:rsidRPr="00242171">
              <w:rPr>
                <w:lang w:val="en-US"/>
              </w:rPr>
              <w:t xml:space="preserve">UNESCO, UNICEF, </w:t>
            </w:r>
            <w:r w:rsidRPr="009853D6">
              <w:rPr>
                <w:lang w:val="en-US"/>
              </w:rPr>
              <w:t xml:space="preserve">UN Women </w:t>
            </w:r>
          </w:p>
        </w:tc>
      </w:tr>
      <w:tr w:rsidR="00CB6129" w:rsidRPr="006976AD" w14:paraId="6A4A62B0" w14:textId="77777777" w:rsidTr="2CEF7665">
        <w:tc>
          <w:tcPr>
            <w:tcW w:w="2515" w:type="dxa"/>
          </w:tcPr>
          <w:p w14:paraId="6D5FB177" w14:textId="77777777" w:rsidR="00CB6129" w:rsidRPr="000135BE" w:rsidRDefault="00CB6129" w:rsidP="004C515B">
            <w:pPr>
              <w:rPr>
                <w:lang w:val="en-US"/>
              </w:rPr>
            </w:pPr>
            <w:r w:rsidRPr="000135BE">
              <w:rPr>
                <w:lang w:val="en-US"/>
              </w:rPr>
              <w:t>Other</w:t>
            </w:r>
          </w:p>
        </w:tc>
        <w:tc>
          <w:tcPr>
            <w:tcW w:w="6837" w:type="dxa"/>
          </w:tcPr>
          <w:p w14:paraId="5152A32A" w14:textId="122B46C0" w:rsidR="00CB6129" w:rsidRPr="00242171" w:rsidRDefault="00CB6129" w:rsidP="004C515B">
            <w:pPr>
              <w:rPr>
                <w:lang w:val="en-US"/>
              </w:rPr>
            </w:pPr>
            <w:r w:rsidRPr="2CEF7665">
              <w:rPr>
                <w:lang w:val="en-US"/>
              </w:rPr>
              <w:t>CCITL, KSTL</w:t>
            </w:r>
            <w:r w:rsidR="003C63E3" w:rsidRPr="2CEF7665">
              <w:rPr>
                <w:lang w:val="en-US"/>
              </w:rPr>
              <w:t>, Bilateral partners, European Union, World Bank, ADB</w:t>
            </w:r>
            <w:r w:rsidR="00803A85" w:rsidRPr="2CEF7665">
              <w:rPr>
                <w:lang w:val="en-US"/>
              </w:rPr>
              <w:t>, IADE, Don Bosco,</w:t>
            </w:r>
            <w:r w:rsidR="0074209E" w:rsidRPr="2CEF7665">
              <w:rPr>
                <w:lang w:val="en-US"/>
              </w:rPr>
              <w:t xml:space="preserve"> Private Providers of Technical and Vocational Training, </w:t>
            </w:r>
            <w:r w:rsidR="002A145C" w:rsidRPr="2CEF7665">
              <w:rPr>
                <w:lang w:val="en-US"/>
              </w:rPr>
              <w:t xml:space="preserve">financial institutions, </w:t>
            </w:r>
            <w:r w:rsidR="00803A85" w:rsidRPr="2CEF7665">
              <w:rPr>
                <w:lang w:val="en-US"/>
              </w:rPr>
              <w:t>others</w:t>
            </w:r>
          </w:p>
        </w:tc>
      </w:tr>
    </w:tbl>
    <w:p w14:paraId="62318BC4" w14:textId="77777777" w:rsidR="00CB6129" w:rsidRPr="00841766" w:rsidRDefault="00CB6129" w:rsidP="004C515B">
      <w:pPr>
        <w:autoSpaceDE w:val="0"/>
        <w:autoSpaceDN w:val="0"/>
        <w:adjustRightInd w:val="0"/>
        <w:rPr>
          <w:rFonts w:cs="Times New Roman"/>
          <w:i/>
          <w:color w:val="1F3864" w:themeColor="accent1" w:themeShade="80"/>
          <w:sz w:val="18"/>
          <w:szCs w:val="18"/>
          <w:lang w:val="en-US"/>
        </w:rPr>
      </w:pPr>
    </w:p>
    <w:p w14:paraId="1166160A" w14:textId="6D8471CD" w:rsidR="00354CB3" w:rsidRPr="000135BE" w:rsidRDefault="00B254D7" w:rsidP="004C515B">
      <w:pPr>
        <w:rPr>
          <w:b/>
          <w:bCs/>
          <w:lang w:val="en-US"/>
        </w:rPr>
      </w:pPr>
      <w:bookmarkStart w:id="39" w:name="_Toc29540792"/>
      <w:bookmarkStart w:id="40" w:name="_Toc29550724"/>
      <w:bookmarkStart w:id="41" w:name="_Toc29550818"/>
      <w:bookmarkStart w:id="42" w:name="_Toc29900352"/>
      <w:bookmarkStart w:id="43" w:name="_Toc30407935"/>
      <w:bookmarkStart w:id="44" w:name="_Toc31376341"/>
      <w:r w:rsidRPr="000135BE">
        <w:rPr>
          <w:b/>
          <w:bCs/>
          <w:lang w:val="en-US"/>
        </w:rPr>
        <w:t>Theory of change underpinning outcome 2</w:t>
      </w:r>
      <w:bookmarkEnd w:id="39"/>
      <w:bookmarkEnd w:id="40"/>
      <w:bookmarkEnd w:id="41"/>
      <w:bookmarkEnd w:id="42"/>
      <w:bookmarkEnd w:id="43"/>
      <w:bookmarkEnd w:id="44"/>
    </w:p>
    <w:p w14:paraId="14683B14" w14:textId="3D6C631B" w:rsidR="00354CB3" w:rsidRPr="00841766" w:rsidRDefault="00354CB3" w:rsidP="004C515B">
      <w:pPr>
        <w:rPr>
          <w:b/>
          <w:lang w:val="en-US"/>
        </w:rPr>
      </w:pPr>
    </w:p>
    <w:p w14:paraId="7DAF1FA4" w14:textId="031FE7F7" w:rsidR="00354CB3" w:rsidRPr="00841766" w:rsidRDefault="00354CB3" w:rsidP="004C515B">
      <w:pPr>
        <w:rPr>
          <w:b/>
          <w:lang w:val="en-US"/>
        </w:rPr>
      </w:pPr>
    </w:p>
    <w:p w14:paraId="425DCB51" w14:textId="0222DC80" w:rsidR="00354CB3" w:rsidRPr="00841766" w:rsidRDefault="00A46154" w:rsidP="004C515B">
      <w:pPr>
        <w:autoSpaceDE w:val="0"/>
        <w:autoSpaceDN w:val="0"/>
        <w:adjustRightInd w:val="0"/>
        <w:ind w:left="851"/>
        <w:rPr>
          <w:rFonts w:cs="Times New Roman"/>
          <w:i/>
          <w:color w:val="1F3864" w:themeColor="accent1" w:themeShade="80"/>
          <w:sz w:val="18"/>
          <w:szCs w:val="18"/>
          <w:lang w:val="en-US"/>
        </w:rPr>
      </w:pPr>
      <w:r w:rsidRPr="00841766">
        <w:rPr>
          <w:b/>
          <w:noProof/>
          <w:lang w:val="en-US"/>
        </w:rPr>
        <mc:AlternateContent>
          <mc:Choice Requires="wps">
            <w:drawing>
              <wp:anchor distT="0" distB="0" distL="114300" distR="114300" simplePos="0" relativeHeight="251663360" behindDoc="1" locked="0" layoutInCell="1" allowOverlap="1" wp14:anchorId="234DBC44" wp14:editId="5F830873">
                <wp:simplePos x="0" y="0"/>
                <wp:positionH relativeFrom="column">
                  <wp:posOffset>724388</wp:posOffset>
                </wp:positionH>
                <wp:positionV relativeFrom="paragraph">
                  <wp:posOffset>-220522</wp:posOffset>
                </wp:positionV>
                <wp:extent cx="4329723" cy="4048369"/>
                <wp:effectExtent l="0" t="0" r="13970" b="15875"/>
                <wp:wrapNone/>
                <wp:docPr id="14" name="Ellipse 14"/>
                <wp:cNvGraphicFramePr/>
                <a:graphic xmlns:a="http://schemas.openxmlformats.org/drawingml/2006/main">
                  <a:graphicData uri="http://schemas.microsoft.com/office/word/2010/wordprocessingShape">
                    <wps:wsp>
                      <wps:cNvSpPr/>
                      <wps:spPr>
                        <a:xfrm>
                          <a:off x="0" y="0"/>
                          <a:ext cx="4329723" cy="4048369"/>
                        </a:xfrm>
                        <a:prstGeom prst="ellipse">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3D8E6" w14:textId="77777777" w:rsidR="006C70F3" w:rsidRDefault="006C70F3" w:rsidP="00354CB3">
                            <w:pPr>
                              <w:jc w:val="center"/>
                              <w:rPr>
                                <w:b/>
                                <w:color w:val="FFFFFF" w:themeColor="background1"/>
                                <w:sz w:val="32"/>
                                <w:lang w:val="en-US"/>
                              </w:rPr>
                            </w:pPr>
                          </w:p>
                          <w:p w14:paraId="3F34BF34" w14:textId="77777777" w:rsidR="006C70F3" w:rsidRDefault="006C70F3" w:rsidP="00354CB3">
                            <w:pPr>
                              <w:jc w:val="center"/>
                              <w:rPr>
                                <w:b/>
                                <w:color w:val="FFFFFF" w:themeColor="background1"/>
                                <w:sz w:val="32"/>
                                <w:lang w:val="en-US"/>
                              </w:rPr>
                            </w:pPr>
                          </w:p>
                          <w:p w14:paraId="65980AF3" w14:textId="77777777" w:rsidR="006C70F3" w:rsidRDefault="006C70F3" w:rsidP="00354CB3">
                            <w:pPr>
                              <w:jc w:val="center"/>
                              <w:rPr>
                                <w:b/>
                                <w:color w:val="FFFFFF" w:themeColor="background1"/>
                                <w:sz w:val="32"/>
                                <w:lang w:val="en-US"/>
                              </w:rPr>
                            </w:pPr>
                          </w:p>
                          <w:p w14:paraId="14E8FD0C" w14:textId="77777777" w:rsidR="006C70F3" w:rsidRDefault="006C70F3" w:rsidP="00354CB3">
                            <w:pPr>
                              <w:jc w:val="center"/>
                              <w:rPr>
                                <w:b/>
                                <w:color w:val="FFFFFF" w:themeColor="background1"/>
                                <w:sz w:val="32"/>
                                <w:lang w:val="en-US"/>
                              </w:rPr>
                            </w:pPr>
                          </w:p>
                          <w:p w14:paraId="494076FF" w14:textId="77777777" w:rsidR="006C70F3" w:rsidRDefault="006C70F3" w:rsidP="00354CB3">
                            <w:pPr>
                              <w:jc w:val="center"/>
                              <w:rPr>
                                <w:b/>
                                <w:color w:val="FFFFFF" w:themeColor="background1"/>
                                <w:sz w:val="32"/>
                                <w:lang w:val="en-US"/>
                              </w:rPr>
                            </w:pPr>
                          </w:p>
                          <w:p w14:paraId="4921F2F9" w14:textId="77777777" w:rsidR="006C70F3" w:rsidRDefault="006C70F3" w:rsidP="00354CB3">
                            <w:pPr>
                              <w:jc w:val="right"/>
                              <w:rPr>
                                <w:b/>
                                <w:color w:val="FFFFFF" w:themeColor="background1"/>
                                <w:sz w:val="32"/>
                                <w:lang w:val="en-US"/>
                              </w:rPr>
                            </w:pPr>
                          </w:p>
                          <w:p w14:paraId="3673083C" w14:textId="77777777" w:rsidR="006C70F3" w:rsidRDefault="006C70F3" w:rsidP="00354CB3">
                            <w:pPr>
                              <w:jc w:val="right"/>
                              <w:rPr>
                                <w:b/>
                                <w:color w:val="FFFFFF" w:themeColor="background1"/>
                                <w:sz w:val="32"/>
                                <w:lang w:val="en-US"/>
                              </w:rPr>
                            </w:pPr>
                          </w:p>
                          <w:p w14:paraId="760FAE1A" w14:textId="77777777" w:rsidR="006C70F3" w:rsidRDefault="006C70F3" w:rsidP="00354CB3">
                            <w:pPr>
                              <w:jc w:val="right"/>
                              <w:rPr>
                                <w:b/>
                                <w:color w:val="FFFFFF" w:themeColor="background1"/>
                                <w:sz w:val="32"/>
                                <w:lang w:val="en-US"/>
                              </w:rPr>
                            </w:pPr>
                          </w:p>
                          <w:p w14:paraId="52970026" w14:textId="77777777" w:rsidR="006C70F3" w:rsidRDefault="006C70F3" w:rsidP="00354CB3">
                            <w:pPr>
                              <w:jc w:val="right"/>
                              <w:rPr>
                                <w:b/>
                                <w:color w:val="FFFFFF" w:themeColor="background1"/>
                                <w:sz w:val="32"/>
                                <w:lang w:val="en-US"/>
                              </w:rPr>
                            </w:pPr>
                          </w:p>
                          <w:p w14:paraId="05ED9071" w14:textId="77777777" w:rsidR="006C70F3" w:rsidRPr="00A94A11" w:rsidRDefault="006C70F3" w:rsidP="00354CB3">
                            <w:pPr>
                              <w:jc w:val="center"/>
                              <w:rPr>
                                <w:b/>
                                <w:color w:val="FFFFFF" w:themeColor="background1"/>
                                <w:sz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DBC44" id="Ellipse 14" o:spid="_x0000_s1029" style="position:absolute;left:0;text-align:left;margin-left:57.05pt;margin-top:-17.35pt;width:340.9pt;height:3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" fillcolor="#f4b083 [1941]" strokecolor="black [3213]" strokeweight="1pt">
                <v:stroke joinstyle="miter"/>
                <v:textbox>
                  <w:txbxContent>
                    <w:p w14:paraId="29D3D8E6" w14:textId="77777777" w:rsidR="006C70F3" w:rsidRDefault="006C70F3" w:rsidP="00354CB3">
                      <w:pPr>
                        <w:jc w:val="center"/>
                        <w:rPr>
                          <w:b/>
                          <w:color w:val="FFFFFF" w:themeColor="background1"/>
                          <w:sz w:val="32"/>
                          <w:lang w:val="en-US"/>
                        </w:rPr>
                      </w:pPr>
                    </w:p>
                    <w:p w14:paraId="3F34BF34" w14:textId="77777777" w:rsidR="006C70F3" w:rsidRDefault="006C70F3" w:rsidP="00354CB3">
                      <w:pPr>
                        <w:jc w:val="center"/>
                        <w:rPr>
                          <w:b/>
                          <w:color w:val="FFFFFF" w:themeColor="background1"/>
                          <w:sz w:val="32"/>
                          <w:lang w:val="en-US"/>
                        </w:rPr>
                      </w:pPr>
                    </w:p>
                    <w:p w14:paraId="65980AF3" w14:textId="77777777" w:rsidR="006C70F3" w:rsidRDefault="006C70F3" w:rsidP="00354CB3">
                      <w:pPr>
                        <w:jc w:val="center"/>
                        <w:rPr>
                          <w:b/>
                          <w:color w:val="FFFFFF" w:themeColor="background1"/>
                          <w:sz w:val="32"/>
                          <w:lang w:val="en-US"/>
                        </w:rPr>
                      </w:pPr>
                    </w:p>
                    <w:p w14:paraId="14E8FD0C" w14:textId="77777777" w:rsidR="006C70F3" w:rsidRDefault="006C70F3" w:rsidP="00354CB3">
                      <w:pPr>
                        <w:jc w:val="center"/>
                        <w:rPr>
                          <w:b/>
                          <w:color w:val="FFFFFF" w:themeColor="background1"/>
                          <w:sz w:val="32"/>
                          <w:lang w:val="en-US"/>
                        </w:rPr>
                      </w:pPr>
                    </w:p>
                    <w:p w14:paraId="494076FF" w14:textId="77777777" w:rsidR="006C70F3" w:rsidRDefault="006C70F3" w:rsidP="00354CB3">
                      <w:pPr>
                        <w:jc w:val="center"/>
                        <w:rPr>
                          <w:b/>
                          <w:color w:val="FFFFFF" w:themeColor="background1"/>
                          <w:sz w:val="32"/>
                          <w:lang w:val="en-US"/>
                        </w:rPr>
                      </w:pPr>
                    </w:p>
                    <w:p w14:paraId="4921F2F9" w14:textId="77777777" w:rsidR="006C70F3" w:rsidRDefault="006C70F3" w:rsidP="00354CB3">
                      <w:pPr>
                        <w:jc w:val="right"/>
                        <w:rPr>
                          <w:b/>
                          <w:color w:val="FFFFFF" w:themeColor="background1"/>
                          <w:sz w:val="32"/>
                          <w:lang w:val="en-US"/>
                        </w:rPr>
                      </w:pPr>
                    </w:p>
                    <w:p w14:paraId="3673083C" w14:textId="77777777" w:rsidR="006C70F3" w:rsidRDefault="006C70F3" w:rsidP="00354CB3">
                      <w:pPr>
                        <w:jc w:val="right"/>
                        <w:rPr>
                          <w:b/>
                          <w:color w:val="FFFFFF" w:themeColor="background1"/>
                          <w:sz w:val="32"/>
                          <w:lang w:val="en-US"/>
                        </w:rPr>
                      </w:pPr>
                    </w:p>
                    <w:p w14:paraId="760FAE1A" w14:textId="77777777" w:rsidR="006C70F3" w:rsidRDefault="006C70F3" w:rsidP="00354CB3">
                      <w:pPr>
                        <w:jc w:val="right"/>
                        <w:rPr>
                          <w:b/>
                          <w:color w:val="FFFFFF" w:themeColor="background1"/>
                          <w:sz w:val="32"/>
                          <w:lang w:val="en-US"/>
                        </w:rPr>
                      </w:pPr>
                    </w:p>
                    <w:p w14:paraId="52970026" w14:textId="77777777" w:rsidR="006C70F3" w:rsidRDefault="006C70F3" w:rsidP="00354CB3">
                      <w:pPr>
                        <w:jc w:val="right"/>
                        <w:rPr>
                          <w:b/>
                          <w:color w:val="FFFFFF" w:themeColor="background1"/>
                          <w:sz w:val="32"/>
                          <w:lang w:val="en-US"/>
                        </w:rPr>
                      </w:pPr>
                    </w:p>
                    <w:p w14:paraId="05ED9071" w14:textId="77777777" w:rsidR="006C70F3" w:rsidRPr="00A94A11" w:rsidRDefault="006C70F3" w:rsidP="00354CB3">
                      <w:pPr>
                        <w:jc w:val="center"/>
                        <w:rPr>
                          <w:b/>
                          <w:color w:val="FFFFFF" w:themeColor="background1"/>
                          <w:sz w:val="32"/>
                          <w:lang w:val="en-US"/>
                        </w:rPr>
                      </w:pPr>
                    </w:p>
                  </w:txbxContent>
                </v:textbox>
              </v:oval>
            </w:pict>
          </mc:Fallback>
        </mc:AlternateContent>
      </w:r>
      <w:r w:rsidR="00354CB3" w:rsidRPr="00841766">
        <w:rPr>
          <w:rFonts w:cs="Times New Roman"/>
          <w:i/>
          <w:noProof/>
          <w:color w:val="1F3864" w:themeColor="accent1" w:themeShade="80"/>
          <w:sz w:val="18"/>
          <w:szCs w:val="18"/>
          <w:lang w:val="en-US"/>
        </w:rPr>
        <mc:AlternateContent>
          <mc:Choice Requires="wps">
            <w:drawing>
              <wp:anchor distT="0" distB="0" distL="114300" distR="114300" simplePos="0" relativeHeight="251664384" behindDoc="0" locked="0" layoutInCell="1" allowOverlap="1" wp14:anchorId="3C979244" wp14:editId="1DD30901">
                <wp:simplePos x="0" y="0"/>
                <wp:positionH relativeFrom="column">
                  <wp:posOffset>4062974</wp:posOffset>
                </wp:positionH>
                <wp:positionV relativeFrom="paragraph">
                  <wp:posOffset>386374</wp:posOffset>
                </wp:positionV>
                <wp:extent cx="2361363" cy="969108"/>
                <wp:effectExtent l="12700" t="12700" r="13970" b="8890"/>
                <wp:wrapNone/>
                <wp:docPr id="15" name="Zone de texte 15"/>
                <wp:cNvGraphicFramePr/>
                <a:graphic xmlns:a="http://schemas.openxmlformats.org/drawingml/2006/main">
                  <a:graphicData uri="http://schemas.microsoft.com/office/word/2010/wordprocessingShape">
                    <wps:wsp>
                      <wps:cNvSpPr txBox="1"/>
                      <wps:spPr>
                        <a:xfrm>
                          <a:off x="0" y="0"/>
                          <a:ext cx="2361363" cy="969108"/>
                        </a:xfrm>
                        <a:prstGeom prst="rect">
                          <a:avLst/>
                        </a:prstGeom>
                        <a:solidFill>
                          <a:schemeClr val="accent2">
                            <a:lumMod val="60000"/>
                            <a:lumOff val="40000"/>
                          </a:schemeClr>
                        </a:solidFill>
                        <a:ln w="19050">
                          <a:solidFill>
                            <a:prstClr val="black"/>
                          </a:solidFill>
                        </a:ln>
                      </wps:spPr>
                      <wps:txbx>
                        <w:txbxContent>
                          <w:p w14:paraId="58257B6D" w14:textId="77777777" w:rsidR="006C70F3" w:rsidRPr="00B8339B" w:rsidRDefault="006C70F3" w:rsidP="00354CB3">
                            <w:pPr>
                              <w:shd w:val="clear" w:color="auto" w:fill="F4B083" w:themeFill="accent2" w:themeFillTint="99"/>
                              <w:rPr>
                                <w:b/>
                                <w:sz w:val="20"/>
                                <w:szCs w:val="20"/>
                                <w:lang w:val="en-US"/>
                              </w:rPr>
                            </w:pPr>
                            <w:r>
                              <w:rPr>
                                <w:b/>
                                <w:sz w:val="20"/>
                                <w:szCs w:val="20"/>
                                <w:lang w:val="en-US"/>
                              </w:rPr>
                              <w:t xml:space="preserve">HUMAN CAPITAL/ </w:t>
                            </w:r>
                            <w:r w:rsidRPr="00B8339B">
                              <w:rPr>
                                <w:b/>
                                <w:sz w:val="20"/>
                                <w:szCs w:val="20"/>
                                <w:lang w:val="en-US"/>
                              </w:rPr>
                              <w:t>ECONOMIC GROWTH / POVERTY REDUCTION</w:t>
                            </w:r>
                          </w:p>
                          <w:p w14:paraId="30FCEACD" w14:textId="77777777" w:rsidR="006C70F3" w:rsidRPr="00B8339B" w:rsidRDefault="006C70F3" w:rsidP="00AA78BD">
                            <w:pPr>
                              <w:pStyle w:val="ListParagraph"/>
                              <w:numPr>
                                <w:ilvl w:val="0"/>
                                <w:numId w:val="23"/>
                              </w:numPr>
                              <w:shd w:val="clear" w:color="auto" w:fill="F4B083" w:themeFill="accent2" w:themeFillTint="99"/>
                              <w:ind w:left="396" w:hanging="198"/>
                              <w:rPr>
                                <w:b/>
                                <w:sz w:val="20"/>
                                <w:szCs w:val="20"/>
                                <w:lang w:val="en-US"/>
                              </w:rPr>
                            </w:pPr>
                            <w:r>
                              <w:rPr>
                                <w:b/>
                                <w:sz w:val="20"/>
                                <w:szCs w:val="20"/>
                                <w:lang w:val="en-US"/>
                              </w:rPr>
                              <w:t>Economic diversification</w:t>
                            </w:r>
                          </w:p>
                          <w:p w14:paraId="71C88B05" w14:textId="77777777" w:rsidR="006C70F3" w:rsidRDefault="006C70F3" w:rsidP="00AA78BD">
                            <w:pPr>
                              <w:pStyle w:val="ListParagraph"/>
                              <w:numPr>
                                <w:ilvl w:val="0"/>
                                <w:numId w:val="23"/>
                              </w:numPr>
                              <w:shd w:val="clear" w:color="auto" w:fill="F4B083" w:themeFill="accent2" w:themeFillTint="99"/>
                              <w:ind w:left="396" w:hanging="198"/>
                              <w:rPr>
                                <w:b/>
                                <w:sz w:val="20"/>
                                <w:szCs w:val="20"/>
                                <w:lang w:val="en-US"/>
                              </w:rPr>
                            </w:pPr>
                            <w:r>
                              <w:rPr>
                                <w:b/>
                                <w:sz w:val="20"/>
                                <w:szCs w:val="20"/>
                                <w:lang w:val="en-US"/>
                              </w:rPr>
                              <w:t>Decent employment</w:t>
                            </w:r>
                          </w:p>
                          <w:p w14:paraId="358A22C6" w14:textId="77777777" w:rsidR="006C70F3" w:rsidRPr="00B8339B" w:rsidRDefault="006C70F3" w:rsidP="00AA78BD">
                            <w:pPr>
                              <w:pStyle w:val="ListParagraph"/>
                              <w:numPr>
                                <w:ilvl w:val="0"/>
                                <w:numId w:val="23"/>
                              </w:numPr>
                              <w:shd w:val="clear" w:color="auto" w:fill="F4B083" w:themeFill="accent2" w:themeFillTint="99"/>
                              <w:ind w:left="396" w:hanging="198"/>
                              <w:rPr>
                                <w:b/>
                                <w:sz w:val="20"/>
                                <w:szCs w:val="20"/>
                                <w:lang w:val="en-US"/>
                              </w:rPr>
                            </w:pPr>
                            <w:r>
                              <w:rPr>
                                <w:b/>
                                <w:sz w:val="20"/>
                                <w:szCs w:val="20"/>
                                <w:lang w:val="en-US"/>
                              </w:rPr>
                              <w:t>Skilled workforce</w:t>
                            </w:r>
                          </w:p>
                          <w:p w14:paraId="0F64C566" w14:textId="77777777" w:rsidR="006C70F3" w:rsidRPr="00B8339B" w:rsidRDefault="006C70F3" w:rsidP="00354CB3">
                            <w:pPr>
                              <w:shd w:val="clear" w:color="auto" w:fill="F4B083" w:themeFill="accent2" w:themeFillTint="99"/>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79244" id="Zone de texte 15" o:spid="_x0000_s1030" type="#_x0000_t202" style="position:absolute;left:0;text-align:left;margin-left:319.9pt;margin-top:30.4pt;width:185.95pt;height:7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" fillcolor="#f4b083 [1941]" strokeweight="1.5pt">
                <v:textbox>
                  <w:txbxContent>
                    <w:p w14:paraId="58257B6D" w14:textId="77777777" w:rsidR="006C70F3" w:rsidRPr="00B8339B" w:rsidRDefault="006C70F3" w:rsidP="00354CB3">
                      <w:pPr>
                        <w:shd w:val="clear" w:color="auto" w:fill="F4B083" w:themeFill="accent2" w:themeFillTint="99"/>
                        <w:rPr>
                          <w:b/>
                          <w:sz w:val="20"/>
                          <w:szCs w:val="20"/>
                          <w:lang w:val="en-US"/>
                        </w:rPr>
                      </w:pPr>
                      <w:r>
                        <w:rPr>
                          <w:b/>
                          <w:sz w:val="20"/>
                          <w:szCs w:val="20"/>
                          <w:lang w:val="en-US"/>
                        </w:rPr>
                        <w:t xml:space="preserve">HUMAN CAPITAL/ </w:t>
                      </w:r>
                      <w:r w:rsidRPr="00B8339B">
                        <w:rPr>
                          <w:b/>
                          <w:sz w:val="20"/>
                          <w:szCs w:val="20"/>
                          <w:lang w:val="en-US"/>
                        </w:rPr>
                        <w:t>ECONOMIC GROWTH / POVERTY REDUCTION</w:t>
                      </w:r>
                    </w:p>
                    <w:p w14:paraId="30FCEACD" w14:textId="77777777" w:rsidR="006C70F3" w:rsidRPr="00B8339B" w:rsidRDefault="006C70F3" w:rsidP="00AA78BD">
                      <w:pPr>
                        <w:pStyle w:val="ListParagraph"/>
                        <w:numPr>
                          <w:ilvl w:val="0"/>
                          <w:numId w:val="23"/>
                        </w:numPr>
                        <w:shd w:val="clear" w:color="auto" w:fill="F4B083" w:themeFill="accent2" w:themeFillTint="99"/>
                        <w:ind w:left="396" w:hanging="198"/>
                        <w:rPr>
                          <w:b/>
                          <w:sz w:val="20"/>
                          <w:szCs w:val="20"/>
                          <w:lang w:val="en-US"/>
                        </w:rPr>
                      </w:pPr>
                      <w:r>
                        <w:rPr>
                          <w:b/>
                          <w:sz w:val="20"/>
                          <w:szCs w:val="20"/>
                          <w:lang w:val="en-US"/>
                        </w:rPr>
                        <w:t>Economic diversification</w:t>
                      </w:r>
                    </w:p>
                    <w:p w14:paraId="71C88B05" w14:textId="77777777" w:rsidR="006C70F3" w:rsidRDefault="006C70F3" w:rsidP="00AA78BD">
                      <w:pPr>
                        <w:pStyle w:val="ListParagraph"/>
                        <w:numPr>
                          <w:ilvl w:val="0"/>
                          <w:numId w:val="23"/>
                        </w:numPr>
                        <w:shd w:val="clear" w:color="auto" w:fill="F4B083" w:themeFill="accent2" w:themeFillTint="99"/>
                        <w:ind w:left="396" w:hanging="198"/>
                        <w:rPr>
                          <w:b/>
                          <w:sz w:val="20"/>
                          <w:szCs w:val="20"/>
                          <w:lang w:val="en-US"/>
                        </w:rPr>
                      </w:pPr>
                      <w:r>
                        <w:rPr>
                          <w:b/>
                          <w:sz w:val="20"/>
                          <w:szCs w:val="20"/>
                          <w:lang w:val="en-US"/>
                        </w:rPr>
                        <w:t>Decent employment</w:t>
                      </w:r>
                    </w:p>
                    <w:p w14:paraId="358A22C6" w14:textId="77777777" w:rsidR="006C70F3" w:rsidRPr="00B8339B" w:rsidRDefault="006C70F3" w:rsidP="00AA78BD">
                      <w:pPr>
                        <w:pStyle w:val="ListParagraph"/>
                        <w:numPr>
                          <w:ilvl w:val="0"/>
                          <w:numId w:val="23"/>
                        </w:numPr>
                        <w:shd w:val="clear" w:color="auto" w:fill="F4B083" w:themeFill="accent2" w:themeFillTint="99"/>
                        <w:ind w:left="396" w:hanging="198"/>
                        <w:rPr>
                          <w:b/>
                          <w:sz w:val="20"/>
                          <w:szCs w:val="20"/>
                          <w:lang w:val="en-US"/>
                        </w:rPr>
                      </w:pPr>
                      <w:r>
                        <w:rPr>
                          <w:b/>
                          <w:sz w:val="20"/>
                          <w:szCs w:val="20"/>
                          <w:lang w:val="en-US"/>
                        </w:rPr>
                        <w:t>Skilled workforce</w:t>
                      </w:r>
                    </w:p>
                    <w:p w14:paraId="0F64C566" w14:textId="77777777" w:rsidR="006C70F3" w:rsidRPr="00B8339B" w:rsidRDefault="006C70F3" w:rsidP="00354CB3">
                      <w:pPr>
                        <w:shd w:val="clear" w:color="auto" w:fill="F4B083" w:themeFill="accent2" w:themeFillTint="99"/>
                        <w:rPr>
                          <w:sz w:val="20"/>
                          <w:szCs w:val="20"/>
                          <w:lang w:val="en-US"/>
                        </w:rPr>
                      </w:pPr>
                    </w:p>
                  </w:txbxContent>
                </v:textbox>
              </v:shape>
            </w:pict>
          </mc:Fallback>
        </mc:AlternateContent>
      </w:r>
      <w:r w:rsidR="00354CB3" w:rsidRPr="00841766">
        <w:rPr>
          <w:rFonts w:cs="Times New Roman"/>
          <w:i/>
          <w:noProof/>
          <w:color w:val="1F3864" w:themeColor="accent1" w:themeShade="80"/>
          <w:sz w:val="18"/>
          <w:szCs w:val="18"/>
          <w:lang w:val="en-US"/>
        </w:rPr>
        <w:drawing>
          <wp:inline distT="0" distB="0" distL="0" distR="0" wp14:anchorId="440D3E16" wp14:editId="4B1399D9">
            <wp:extent cx="4716379" cy="3115945"/>
            <wp:effectExtent l="0" t="76200" r="0" b="0"/>
            <wp:docPr id="16"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264A327" w14:textId="77777777" w:rsidR="00354CB3" w:rsidRPr="00841766" w:rsidRDefault="00354CB3" w:rsidP="004C515B">
      <w:pPr>
        <w:rPr>
          <w:b/>
          <w:lang w:val="en-US"/>
        </w:rPr>
      </w:pPr>
    </w:p>
    <w:p w14:paraId="5832D355" w14:textId="1C2FA1FD" w:rsidR="00B254D7" w:rsidRPr="00841766" w:rsidRDefault="00B254D7" w:rsidP="004C515B">
      <w:pPr>
        <w:autoSpaceDE w:val="0"/>
        <w:autoSpaceDN w:val="0"/>
        <w:adjustRightInd w:val="0"/>
        <w:ind w:left="851"/>
        <w:rPr>
          <w:rFonts w:cs="Times New Roman"/>
          <w:i/>
          <w:color w:val="1F3864" w:themeColor="accent1" w:themeShade="80"/>
          <w:sz w:val="18"/>
          <w:szCs w:val="18"/>
          <w:lang w:val="en-US"/>
        </w:rPr>
      </w:pPr>
    </w:p>
    <w:p w14:paraId="72834C38" w14:textId="6954AFB4" w:rsidR="00B254D7" w:rsidRPr="00841766" w:rsidRDefault="00B254D7" w:rsidP="2CEF7665">
      <w:pPr>
        <w:autoSpaceDE w:val="0"/>
        <w:autoSpaceDN w:val="0"/>
        <w:adjustRightInd w:val="0"/>
        <w:jc w:val="both"/>
        <w:rPr>
          <w:sz w:val="22"/>
          <w:szCs w:val="22"/>
          <w:lang w:val="en-US"/>
        </w:rPr>
      </w:pPr>
      <w:r w:rsidRPr="2CEF7665">
        <w:rPr>
          <w:sz w:val="22"/>
          <w:szCs w:val="22"/>
          <w:lang w:val="en-US"/>
        </w:rPr>
        <w:t>The limited access to sustainable economic opportunities and decent work</w:t>
      </w:r>
      <w:r w:rsidR="006A54B6" w:rsidRPr="2CEF7665">
        <w:rPr>
          <w:sz w:val="22"/>
          <w:szCs w:val="22"/>
          <w:lang w:val="en-US"/>
        </w:rPr>
        <w:t>,</w:t>
      </w:r>
      <w:r w:rsidRPr="2CEF7665">
        <w:rPr>
          <w:sz w:val="22"/>
          <w:szCs w:val="22"/>
          <w:lang w:val="en-US"/>
        </w:rPr>
        <w:t xml:space="preserve"> in particular for young people and women</w:t>
      </w:r>
      <w:r w:rsidR="006A54B6" w:rsidRPr="2CEF7665">
        <w:rPr>
          <w:sz w:val="22"/>
          <w:szCs w:val="22"/>
          <w:lang w:val="en-US"/>
        </w:rPr>
        <w:t>,</w:t>
      </w:r>
      <w:r w:rsidRPr="2CEF7665">
        <w:rPr>
          <w:sz w:val="22"/>
          <w:szCs w:val="22"/>
          <w:lang w:val="en-US"/>
        </w:rPr>
        <w:t xml:space="preserve"> in </w:t>
      </w:r>
      <w:r w:rsidR="00927A3B" w:rsidRPr="2CEF7665">
        <w:rPr>
          <w:sz w:val="22"/>
          <w:szCs w:val="22"/>
          <w:lang w:val="en-US"/>
        </w:rPr>
        <w:t>Timor-Leste</w:t>
      </w:r>
      <w:r w:rsidRPr="2CEF7665">
        <w:rPr>
          <w:sz w:val="22"/>
          <w:szCs w:val="22"/>
          <w:lang w:val="en-US"/>
        </w:rPr>
        <w:t xml:space="preserve"> is intrinsically linked with the lack of</w:t>
      </w:r>
      <w:r w:rsidR="00693590" w:rsidRPr="2CEF7665">
        <w:rPr>
          <w:sz w:val="22"/>
          <w:szCs w:val="22"/>
          <w:lang w:val="en-US"/>
        </w:rPr>
        <w:t xml:space="preserve"> a</w:t>
      </w:r>
      <w:r w:rsidRPr="2CEF7665">
        <w:rPr>
          <w:sz w:val="22"/>
          <w:szCs w:val="22"/>
          <w:lang w:val="en-US"/>
        </w:rPr>
        <w:t xml:space="preserve"> diversified economy. </w:t>
      </w:r>
      <w:r w:rsidR="00BA2CA2" w:rsidRPr="2CEF7665">
        <w:rPr>
          <w:sz w:val="22"/>
          <w:szCs w:val="22"/>
          <w:lang w:val="en-US"/>
        </w:rPr>
        <w:t xml:space="preserve"> </w:t>
      </w:r>
      <w:r w:rsidRPr="2CEF7665">
        <w:rPr>
          <w:sz w:val="22"/>
          <w:szCs w:val="22"/>
          <w:lang w:val="en-US"/>
        </w:rPr>
        <w:t xml:space="preserve">The transformation required </w:t>
      </w:r>
      <w:r w:rsidR="001F212C" w:rsidRPr="2CEF7665">
        <w:rPr>
          <w:sz w:val="22"/>
          <w:szCs w:val="22"/>
          <w:lang w:val="en-US"/>
        </w:rPr>
        <w:t>to</w:t>
      </w:r>
      <w:r w:rsidRPr="2CEF7665">
        <w:rPr>
          <w:sz w:val="22"/>
          <w:szCs w:val="22"/>
          <w:lang w:val="en-US"/>
        </w:rPr>
        <w:t xml:space="preserve"> develop sustainable economic pathways </w:t>
      </w:r>
      <w:r w:rsidR="001F212C" w:rsidRPr="2CEF7665">
        <w:rPr>
          <w:sz w:val="22"/>
          <w:szCs w:val="22"/>
          <w:lang w:val="en-US"/>
        </w:rPr>
        <w:t>for</w:t>
      </w:r>
      <w:r w:rsidRPr="2CEF7665">
        <w:rPr>
          <w:sz w:val="22"/>
          <w:szCs w:val="22"/>
          <w:lang w:val="en-US"/>
        </w:rPr>
        <w:t xml:space="preserve"> decent </w:t>
      </w:r>
      <w:r w:rsidR="2F0F3717" w:rsidRPr="2CEF7665">
        <w:rPr>
          <w:sz w:val="22"/>
          <w:szCs w:val="22"/>
          <w:lang w:val="en-US"/>
        </w:rPr>
        <w:t>work requires</w:t>
      </w:r>
      <w:r w:rsidR="006A54B6" w:rsidRPr="2CEF7665">
        <w:rPr>
          <w:sz w:val="22"/>
          <w:szCs w:val="22"/>
          <w:lang w:val="en-US"/>
        </w:rPr>
        <w:t xml:space="preserve"> </w:t>
      </w:r>
      <w:r w:rsidRPr="2CEF7665">
        <w:rPr>
          <w:sz w:val="22"/>
          <w:szCs w:val="22"/>
          <w:lang w:val="en-US"/>
        </w:rPr>
        <w:t xml:space="preserve">a combination of </w:t>
      </w:r>
      <w:r w:rsidR="2782ED44" w:rsidRPr="2CEF7665">
        <w:rPr>
          <w:sz w:val="22"/>
          <w:szCs w:val="22"/>
          <w:lang w:val="en-US"/>
        </w:rPr>
        <w:t xml:space="preserve">adequate </w:t>
      </w:r>
      <w:r w:rsidRPr="2CEF7665">
        <w:rPr>
          <w:sz w:val="22"/>
          <w:szCs w:val="22"/>
          <w:lang w:val="en-US"/>
        </w:rPr>
        <w:t>laws, policies and regulatory framework</w:t>
      </w:r>
      <w:r w:rsidR="006A54B6" w:rsidRPr="2CEF7665">
        <w:rPr>
          <w:sz w:val="22"/>
          <w:szCs w:val="22"/>
          <w:lang w:val="en-US"/>
        </w:rPr>
        <w:t>. Developing</w:t>
      </w:r>
      <w:r w:rsidR="00B44000" w:rsidRPr="2CEF7665">
        <w:rPr>
          <w:sz w:val="22"/>
          <w:szCs w:val="22"/>
          <w:lang w:val="en-US"/>
        </w:rPr>
        <w:t xml:space="preserve"> </w:t>
      </w:r>
      <w:r w:rsidRPr="2CEF7665">
        <w:rPr>
          <w:sz w:val="22"/>
          <w:szCs w:val="22"/>
          <w:lang w:val="en-US"/>
        </w:rPr>
        <w:t xml:space="preserve">critical incentives and conditions (including physical and financial infrastructure) </w:t>
      </w:r>
      <w:r w:rsidR="001F212C" w:rsidRPr="2CEF7665">
        <w:rPr>
          <w:sz w:val="22"/>
          <w:szCs w:val="22"/>
          <w:lang w:val="en-US"/>
        </w:rPr>
        <w:t xml:space="preserve">is vital </w:t>
      </w:r>
      <w:r w:rsidRPr="2CEF7665">
        <w:rPr>
          <w:sz w:val="22"/>
          <w:szCs w:val="22"/>
          <w:lang w:val="en-US"/>
        </w:rPr>
        <w:t>for adequate business eco-systems to emerge</w:t>
      </w:r>
      <w:r w:rsidR="001F212C" w:rsidRPr="2CEF7665">
        <w:rPr>
          <w:sz w:val="22"/>
          <w:szCs w:val="22"/>
          <w:lang w:val="en-US"/>
        </w:rPr>
        <w:t xml:space="preserve">. Developing </w:t>
      </w:r>
      <w:r w:rsidRPr="2CEF7665">
        <w:rPr>
          <w:sz w:val="22"/>
          <w:szCs w:val="22"/>
          <w:lang w:val="en-US"/>
        </w:rPr>
        <w:t>skills set</w:t>
      </w:r>
      <w:r w:rsidR="001F212C" w:rsidRPr="2CEF7665">
        <w:rPr>
          <w:sz w:val="22"/>
          <w:szCs w:val="22"/>
          <w:lang w:val="en-US"/>
        </w:rPr>
        <w:t>s</w:t>
      </w:r>
      <w:r w:rsidRPr="2CEF7665">
        <w:rPr>
          <w:sz w:val="22"/>
          <w:szCs w:val="22"/>
          <w:lang w:val="en-US"/>
        </w:rPr>
        <w:t xml:space="preserve"> and knowledge</w:t>
      </w:r>
      <w:r w:rsidR="001F212C" w:rsidRPr="2CEF7665">
        <w:rPr>
          <w:sz w:val="22"/>
          <w:szCs w:val="22"/>
          <w:lang w:val="en-US"/>
        </w:rPr>
        <w:t xml:space="preserve"> is also</w:t>
      </w:r>
      <w:r w:rsidRPr="2CEF7665">
        <w:rPr>
          <w:sz w:val="22"/>
          <w:szCs w:val="22"/>
          <w:lang w:val="en-US"/>
        </w:rPr>
        <w:t xml:space="preserve"> needed to leverage opportunities</w:t>
      </w:r>
      <w:r w:rsidR="23E9BDB4" w:rsidRPr="2CEF7665">
        <w:rPr>
          <w:sz w:val="22"/>
          <w:szCs w:val="22"/>
          <w:lang w:val="en-US"/>
        </w:rPr>
        <w:t>,</w:t>
      </w:r>
      <w:r w:rsidRPr="2CEF7665">
        <w:rPr>
          <w:sz w:val="22"/>
          <w:szCs w:val="22"/>
          <w:lang w:val="en-US"/>
        </w:rPr>
        <w:t xml:space="preserve"> respond to</w:t>
      </w:r>
      <w:r w:rsidR="008B498B" w:rsidRPr="2CEF7665">
        <w:rPr>
          <w:sz w:val="22"/>
          <w:szCs w:val="22"/>
          <w:lang w:val="en-US"/>
        </w:rPr>
        <w:t xml:space="preserve"> meet the global trends on skills demand</w:t>
      </w:r>
      <w:r w:rsidR="00973340" w:rsidRPr="2CEF7665">
        <w:rPr>
          <w:sz w:val="22"/>
          <w:szCs w:val="22"/>
          <w:lang w:val="en-US"/>
        </w:rPr>
        <w:t>ed</w:t>
      </w:r>
      <w:r w:rsidR="7417AD56" w:rsidRPr="2CEF7665">
        <w:rPr>
          <w:sz w:val="22"/>
          <w:szCs w:val="22"/>
          <w:lang w:val="en-US"/>
        </w:rPr>
        <w:t xml:space="preserve"> and increase productivity</w:t>
      </w:r>
      <w:r w:rsidR="00973340" w:rsidRPr="2CEF7665">
        <w:rPr>
          <w:sz w:val="22"/>
          <w:szCs w:val="22"/>
          <w:lang w:val="en-US"/>
        </w:rPr>
        <w:t>.</w:t>
      </w:r>
      <w:r w:rsidR="008B498B" w:rsidRPr="2CEF7665">
        <w:rPr>
          <w:sz w:val="22"/>
          <w:szCs w:val="22"/>
          <w:lang w:val="en-US"/>
        </w:rPr>
        <w:t xml:space="preserve"> </w:t>
      </w:r>
    </w:p>
    <w:p w14:paraId="320FFD40" w14:textId="77777777" w:rsidR="00B254D7" w:rsidRPr="00841766" w:rsidRDefault="00B254D7" w:rsidP="00552AAD">
      <w:pPr>
        <w:autoSpaceDE w:val="0"/>
        <w:autoSpaceDN w:val="0"/>
        <w:adjustRightInd w:val="0"/>
        <w:jc w:val="both"/>
        <w:rPr>
          <w:rFonts w:cstheme="minorHAnsi"/>
          <w:lang w:val="en-US"/>
        </w:rPr>
      </w:pPr>
    </w:p>
    <w:p w14:paraId="20C42EFB" w14:textId="7F5E2668" w:rsidR="00CC7F46" w:rsidRDefault="00CC7F46" w:rsidP="00552AAD">
      <w:pPr>
        <w:autoSpaceDE w:val="0"/>
        <w:autoSpaceDN w:val="0"/>
        <w:adjustRightInd w:val="0"/>
        <w:jc w:val="both"/>
        <w:rPr>
          <w:rFonts w:cstheme="minorHAnsi"/>
          <w:b/>
          <w:sz w:val="22"/>
          <w:szCs w:val="22"/>
          <w:lang w:val="en-US"/>
        </w:rPr>
      </w:pPr>
      <w:r>
        <w:rPr>
          <w:rFonts w:cstheme="minorHAnsi"/>
          <w:b/>
          <w:sz w:val="22"/>
          <w:szCs w:val="22"/>
          <w:lang w:val="en-US"/>
        </w:rPr>
        <w:t>Policy and institutional framework for decent work and productive employment</w:t>
      </w:r>
    </w:p>
    <w:p w14:paraId="2529037B" w14:textId="0B9E7065" w:rsidR="00B254D7" w:rsidRPr="00841766" w:rsidRDefault="00B254D7" w:rsidP="2CEF7665">
      <w:pPr>
        <w:autoSpaceDE w:val="0"/>
        <w:autoSpaceDN w:val="0"/>
        <w:adjustRightInd w:val="0"/>
        <w:jc w:val="both"/>
        <w:rPr>
          <w:sz w:val="22"/>
          <w:szCs w:val="22"/>
          <w:lang w:val="en-US"/>
        </w:rPr>
      </w:pPr>
      <w:r w:rsidRPr="2CEF7665">
        <w:rPr>
          <w:sz w:val="22"/>
          <w:szCs w:val="22"/>
          <w:lang w:val="en-US"/>
        </w:rPr>
        <w:t>Robust laws</w:t>
      </w:r>
      <w:r w:rsidR="6B4BFA85" w:rsidRPr="2CEF7665">
        <w:rPr>
          <w:sz w:val="22"/>
          <w:szCs w:val="22"/>
          <w:lang w:val="en-US"/>
        </w:rPr>
        <w:t xml:space="preserve"> and</w:t>
      </w:r>
      <w:r w:rsidRPr="2CEF7665">
        <w:rPr>
          <w:sz w:val="22"/>
          <w:szCs w:val="22"/>
          <w:lang w:val="en-US"/>
        </w:rPr>
        <w:t xml:space="preserve"> evidence-based policies and regulations are </w:t>
      </w:r>
      <w:r w:rsidR="1957E817" w:rsidRPr="2CEF7665">
        <w:rPr>
          <w:sz w:val="22"/>
          <w:szCs w:val="22"/>
          <w:lang w:val="en-US"/>
        </w:rPr>
        <w:t xml:space="preserve">essential </w:t>
      </w:r>
      <w:r w:rsidRPr="2CEF7665">
        <w:rPr>
          <w:sz w:val="22"/>
          <w:szCs w:val="22"/>
          <w:lang w:val="en-US"/>
        </w:rPr>
        <w:t xml:space="preserve">to support </w:t>
      </w:r>
      <w:r w:rsidR="43231BF9" w:rsidRPr="2CEF7665">
        <w:rPr>
          <w:sz w:val="22"/>
          <w:szCs w:val="22"/>
          <w:lang w:val="en-US"/>
        </w:rPr>
        <w:t xml:space="preserve">and incentivize </w:t>
      </w:r>
      <w:r w:rsidRPr="2CEF7665">
        <w:rPr>
          <w:sz w:val="22"/>
          <w:szCs w:val="22"/>
          <w:lang w:val="en-US"/>
        </w:rPr>
        <w:t>investments in sustainable</w:t>
      </w:r>
      <w:r w:rsidR="3279315E" w:rsidRPr="2CEF7665">
        <w:rPr>
          <w:sz w:val="22"/>
          <w:szCs w:val="22"/>
          <w:lang w:val="en-US"/>
        </w:rPr>
        <w:t>,</w:t>
      </w:r>
      <w:r w:rsidRPr="2CEF7665">
        <w:rPr>
          <w:sz w:val="22"/>
          <w:szCs w:val="22"/>
          <w:lang w:val="en-US"/>
        </w:rPr>
        <w:t xml:space="preserve"> </w:t>
      </w:r>
      <w:proofErr w:type="spellStart"/>
      <w:r w:rsidRPr="2CEF7665">
        <w:rPr>
          <w:sz w:val="22"/>
          <w:szCs w:val="22"/>
          <w:lang w:val="en-US"/>
        </w:rPr>
        <w:t>labour-intensive</w:t>
      </w:r>
      <w:proofErr w:type="spellEnd"/>
      <w:r w:rsidRPr="2CEF7665">
        <w:rPr>
          <w:sz w:val="22"/>
          <w:szCs w:val="22"/>
          <w:lang w:val="en-US"/>
        </w:rPr>
        <w:t xml:space="preserve"> economic sectors</w:t>
      </w:r>
      <w:r w:rsidR="70355E9E" w:rsidRPr="2CEF7665">
        <w:rPr>
          <w:sz w:val="22"/>
          <w:szCs w:val="22"/>
          <w:lang w:val="en-US"/>
        </w:rPr>
        <w:t>. At the same time, such laws, policies</w:t>
      </w:r>
      <w:r w:rsidR="00DE2E8A">
        <w:rPr>
          <w:sz w:val="22"/>
          <w:szCs w:val="22"/>
          <w:lang w:val="en-US"/>
        </w:rPr>
        <w:t xml:space="preserve"> </w:t>
      </w:r>
      <w:r w:rsidR="70355E9E" w:rsidRPr="2CEF7665">
        <w:rPr>
          <w:sz w:val="22"/>
          <w:szCs w:val="22"/>
          <w:lang w:val="en-US"/>
        </w:rPr>
        <w:t xml:space="preserve">and regulations must ensure workers' rights and guarantee the participation of all groups of the population in </w:t>
      </w:r>
      <w:proofErr w:type="spellStart"/>
      <w:r w:rsidR="70355E9E" w:rsidRPr="2CEF7665">
        <w:rPr>
          <w:sz w:val="22"/>
          <w:szCs w:val="22"/>
          <w:lang w:val="en-US"/>
        </w:rPr>
        <w:t>labour</w:t>
      </w:r>
      <w:proofErr w:type="spellEnd"/>
      <w:r w:rsidR="70355E9E" w:rsidRPr="2CEF7665">
        <w:rPr>
          <w:sz w:val="22"/>
          <w:szCs w:val="22"/>
          <w:lang w:val="en-US"/>
        </w:rPr>
        <w:t xml:space="preserve"> market and the economy, in particular those more marginalized such as women, youth or persons with disabilities. This must include: </w:t>
      </w:r>
    </w:p>
    <w:p w14:paraId="1EE76A85" w14:textId="050E035D" w:rsidR="004A6127" w:rsidRPr="00714227" w:rsidRDefault="136B7426" w:rsidP="2CEF7665">
      <w:pPr>
        <w:pStyle w:val="ListParagraph"/>
        <w:numPr>
          <w:ilvl w:val="0"/>
          <w:numId w:val="25"/>
        </w:numPr>
        <w:autoSpaceDE w:val="0"/>
        <w:autoSpaceDN w:val="0"/>
        <w:adjustRightInd w:val="0"/>
        <w:jc w:val="both"/>
        <w:rPr>
          <w:sz w:val="22"/>
          <w:szCs w:val="22"/>
          <w:lang w:val="en-US"/>
        </w:rPr>
      </w:pPr>
      <w:r w:rsidRPr="2CEF7665">
        <w:rPr>
          <w:rFonts w:cs="Calibri"/>
          <w:sz w:val="22"/>
          <w:szCs w:val="22"/>
          <w:lang w:val="en-US"/>
        </w:rPr>
        <w:t>The d</w:t>
      </w:r>
      <w:r w:rsidR="0022226F" w:rsidRPr="2CEF7665">
        <w:rPr>
          <w:rFonts w:cs="Calibri"/>
          <w:sz w:val="22"/>
          <w:szCs w:val="22"/>
          <w:lang w:val="en-US"/>
        </w:rPr>
        <w:t>evelop</w:t>
      </w:r>
      <w:r w:rsidR="62766782" w:rsidRPr="2CEF7665">
        <w:rPr>
          <w:rFonts w:cs="Calibri"/>
          <w:sz w:val="22"/>
          <w:szCs w:val="22"/>
          <w:lang w:val="en-US"/>
        </w:rPr>
        <w:t>ment</w:t>
      </w:r>
      <w:r w:rsidR="0022226F" w:rsidRPr="2CEF7665">
        <w:rPr>
          <w:rFonts w:cs="Calibri"/>
          <w:sz w:val="22"/>
          <w:szCs w:val="22"/>
          <w:lang w:val="en-US"/>
        </w:rPr>
        <w:t xml:space="preserve"> and e</w:t>
      </w:r>
      <w:r w:rsidR="7FEC5B80" w:rsidRPr="2CEF7665">
        <w:rPr>
          <w:rFonts w:cs="Calibri"/>
          <w:sz w:val="22"/>
          <w:szCs w:val="22"/>
          <w:lang w:val="en-US"/>
        </w:rPr>
        <w:t>fficient</w:t>
      </w:r>
      <w:r w:rsidR="0022226F" w:rsidRPr="2CEF7665">
        <w:rPr>
          <w:rFonts w:cs="Calibri"/>
          <w:sz w:val="22"/>
          <w:szCs w:val="22"/>
          <w:lang w:val="en-US"/>
        </w:rPr>
        <w:t xml:space="preserve"> implementation of enabling legislati</w:t>
      </w:r>
      <w:r w:rsidR="00FA2E98" w:rsidRPr="2CEF7665">
        <w:rPr>
          <w:rFonts w:cs="Calibri"/>
          <w:sz w:val="22"/>
          <w:szCs w:val="22"/>
          <w:lang w:val="en-US"/>
        </w:rPr>
        <w:t>ons</w:t>
      </w:r>
      <w:r w:rsidR="004A6127" w:rsidRPr="2CEF7665">
        <w:rPr>
          <w:rFonts w:cs="Calibri"/>
          <w:sz w:val="22"/>
          <w:szCs w:val="22"/>
          <w:lang w:val="en-US"/>
        </w:rPr>
        <w:t>,</w:t>
      </w:r>
      <w:r w:rsidR="0022226F" w:rsidRPr="2CEF7665">
        <w:rPr>
          <w:rFonts w:cs="Calibri"/>
          <w:sz w:val="22"/>
          <w:szCs w:val="22"/>
          <w:lang w:val="en-US"/>
        </w:rPr>
        <w:t xml:space="preserve"> polic</w:t>
      </w:r>
      <w:r w:rsidR="00FA2E98" w:rsidRPr="2CEF7665">
        <w:rPr>
          <w:rFonts w:cs="Calibri"/>
          <w:sz w:val="22"/>
          <w:szCs w:val="22"/>
          <w:lang w:val="en-US"/>
        </w:rPr>
        <w:t>ies</w:t>
      </w:r>
      <w:r w:rsidR="004A6127" w:rsidRPr="2CEF7665">
        <w:rPr>
          <w:rFonts w:cs="Calibri"/>
          <w:sz w:val="22"/>
          <w:szCs w:val="22"/>
          <w:lang w:val="en-US"/>
        </w:rPr>
        <w:t xml:space="preserve"> and institutional frameworks</w:t>
      </w:r>
      <w:r w:rsidR="00FA2E98" w:rsidRPr="2CEF7665">
        <w:rPr>
          <w:rFonts w:cs="Calibri"/>
          <w:sz w:val="22"/>
          <w:szCs w:val="22"/>
          <w:lang w:val="en-US"/>
        </w:rPr>
        <w:t>;</w:t>
      </w:r>
    </w:p>
    <w:p w14:paraId="31773F4E" w14:textId="6C17C1CC" w:rsidR="00B254D7" w:rsidRPr="00841766" w:rsidRDefault="3BA46E82" w:rsidP="2CEF7665">
      <w:pPr>
        <w:pStyle w:val="ListParagraph"/>
        <w:numPr>
          <w:ilvl w:val="0"/>
          <w:numId w:val="15"/>
        </w:numPr>
        <w:autoSpaceDE w:val="0"/>
        <w:autoSpaceDN w:val="0"/>
        <w:adjustRightInd w:val="0"/>
        <w:jc w:val="both"/>
        <w:rPr>
          <w:color w:val="000000" w:themeColor="text1"/>
          <w:sz w:val="22"/>
          <w:szCs w:val="22"/>
          <w:lang w:val="en-US"/>
        </w:rPr>
      </w:pPr>
      <w:r w:rsidRPr="2CEF7665">
        <w:rPr>
          <w:sz w:val="22"/>
          <w:szCs w:val="22"/>
          <w:lang w:val="en-US"/>
        </w:rPr>
        <w:t xml:space="preserve">The promotion of </w:t>
      </w:r>
      <w:r w:rsidR="00B254D7" w:rsidRPr="2CEF7665">
        <w:rPr>
          <w:sz w:val="22"/>
          <w:szCs w:val="22"/>
          <w:lang w:val="en-US"/>
        </w:rPr>
        <w:t xml:space="preserve">environmentally sustainable and inclusive strategic sectors, which can stimulate value addition, support economic diversification, and help ease trade imbalances, in particular </w:t>
      </w:r>
      <w:r w:rsidR="00FA2E98" w:rsidRPr="2CEF7665">
        <w:rPr>
          <w:sz w:val="22"/>
          <w:szCs w:val="22"/>
          <w:lang w:val="en-US"/>
        </w:rPr>
        <w:t xml:space="preserve">in the </w:t>
      </w:r>
      <w:r w:rsidR="00B254D7" w:rsidRPr="2CEF7665">
        <w:rPr>
          <w:color w:val="000000" w:themeColor="text1"/>
          <w:sz w:val="22"/>
          <w:szCs w:val="22"/>
          <w:lang w:val="en-US"/>
        </w:rPr>
        <w:t>agriculture</w:t>
      </w:r>
      <w:r w:rsidR="00FA2E98" w:rsidRPr="2CEF7665">
        <w:rPr>
          <w:color w:val="000000" w:themeColor="text1"/>
          <w:sz w:val="22"/>
          <w:szCs w:val="22"/>
          <w:lang w:val="en-US"/>
        </w:rPr>
        <w:t xml:space="preserve"> sector</w:t>
      </w:r>
      <w:r w:rsidR="00B254D7" w:rsidRPr="2CEF7665">
        <w:rPr>
          <w:color w:val="000000" w:themeColor="text1"/>
          <w:sz w:val="22"/>
          <w:szCs w:val="22"/>
          <w:lang w:val="en-US"/>
        </w:rPr>
        <w:t xml:space="preserve"> (where most Timorese are currently informally employed), as well as </w:t>
      </w:r>
      <w:r w:rsidR="00FA2E98" w:rsidRPr="2CEF7665">
        <w:rPr>
          <w:color w:val="000000" w:themeColor="text1"/>
          <w:sz w:val="22"/>
          <w:szCs w:val="22"/>
          <w:lang w:val="en-US"/>
        </w:rPr>
        <w:t xml:space="preserve">other sectors </w:t>
      </w:r>
      <w:r w:rsidR="00B254D7" w:rsidRPr="2CEF7665">
        <w:rPr>
          <w:color w:val="000000" w:themeColor="text1"/>
          <w:sz w:val="22"/>
          <w:szCs w:val="22"/>
          <w:lang w:val="en-US"/>
        </w:rPr>
        <w:t xml:space="preserve">where Timor-Leste has comparative advantage, </w:t>
      </w:r>
      <w:r w:rsidR="00FA2E98" w:rsidRPr="2CEF7665">
        <w:rPr>
          <w:color w:val="000000" w:themeColor="text1"/>
          <w:sz w:val="22"/>
          <w:szCs w:val="22"/>
          <w:lang w:val="en-US"/>
        </w:rPr>
        <w:t>such as small-scale manufacturing and tourism;</w:t>
      </w:r>
      <w:r w:rsidR="0022226F" w:rsidRPr="2CEF7665">
        <w:rPr>
          <w:color w:val="000000" w:themeColor="text1"/>
          <w:sz w:val="22"/>
          <w:szCs w:val="22"/>
          <w:lang w:val="en-US"/>
        </w:rPr>
        <w:t xml:space="preserve"> </w:t>
      </w:r>
    </w:p>
    <w:p w14:paraId="3E8A2088" w14:textId="4C7805DF" w:rsidR="40D0E4BE" w:rsidRDefault="40D0E4BE" w:rsidP="2CEF7665">
      <w:pPr>
        <w:pStyle w:val="ListParagraph"/>
        <w:numPr>
          <w:ilvl w:val="0"/>
          <w:numId w:val="15"/>
        </w:numPr>
        <w:jc w:val="both"/>
        <w:rPr>
          <w:rFonts w:eastAsiaTheme="minorEastAsia"/>
          <w:sz w:val="22"/>
          <w:szCs w:val="22"/>
          <w:lang w:val="en-US"/>
        </w:rPr>
      </w:pPr>
      <w:r w:rsidRPr="2CEF7665">
        <w:rPr>
          <w:sz w:val="22"/>
          <w:szCs w:val="22"/>
          <w:lang w:val="en-US"/>
        </w:rPr>
        <w:t>Ensure that policies focus</w:t>
      </w:r>
      <w:r w:rsidR="00B254D7" w:rsidRPr="2CEF7665">
        <w:rPr>
          <w:sz w:val="22"/>
          <w:szCs w:val="22"/>
          <w:lang w:val="en-US"/>
        </w:rPr>
        <w:t xml:space="preserve"> on groups facing greater barriers to access the </w:t>
      </w:r>
      <w:proofErr w:type="spellStart"/>
      <w:r w:rsidR="00B254D7" w:rsidRPr="2CEF7665">
        <w:rPr>
          <w:sz w:val="22"/>
          <w:szCs w:val="22"/>
          <w:lang w:val="en-US"/>
        </w:rPr>
        <w:t>labour</w:t>
      </w:r>
      <w:proofErr w:type="spellEnd"/>
      <w:r w:rsidR="00B254D7" w:rsidRPr="2CEF7665">
        <w:rPr>
          <w:sz w:val="22"/>
          <w:szCs w:val="22"/>
          <w:lang w:val="en-US"/>
        </w:rPr>
        <w:t xml:space="preserve"> market and decent work, namely young people, women, persons with disabilities and migrants</w:t>
      </w:r>
      <w:r w:rsidR="21D2388D" w:rsidRPr="2CEF7665">
        <w:rPr>
          <w:sz w:val="22"/>
          <w:szCs w:val="22"/>
          <w:lang w:val="en-US"/>
        </w:rPr>
        <w:t>,</w:t>
      </w:r>
      <w:r w:rsidR="00FA2E98" w:rsidRPr="2CEF7665">
        <w:rPr>
          <w:sz w:val="22"/>
          <w:szCs w:val="22"/>
          <w:lang w:val="en-US"/>
        </w:rPr>
        <w:t xml:space="preserve"> </w:t>
      </w:r>
      <w:r w:rsidR="19F8D2D3" w:rsidRPr="2CEF7665">
        <w:rPr>
          <w:rFonts w:ascii="Calibri" w:eastAsia="Calibri" w:hAnsi="Calibri" w:cs="Calibri"/>
          <w:sz w:val="22"/>
          <w:szCs w:val="22"/>
          <w:lang w:val="en-US"/>
        </w:rPr>
        <w:t>both by taking account the specificities of the barriers faced by each group and also by ensure conditions and incentives are in place that allow such barriers to be overcome in order to ensure equality of opportunity for all;</w:t>
      </w:r>
    </w:p>
    <w:p w14:paraId="76C89E19" w14:textId="3D32F0DF" w:rsidR="00B254D7" w:rsidRPr="00841766" w:rsidRDefault="00FA2E98" w:rsidP="2CEF7665">
      <w:pPr>
        <w:pStyle w:val="ListParagraph"/>
        <w:numPr>
          <w:ilvl w:val="0"/>
          <w:numId w:val="15"/>
        </w:numPr>
        <w:autoSpaceDE w:val="0"/>
        <w:autoSpaceDN w:val="0"/>
        <w:adjustRightInd w:val="0"/>
        <w:jc w:val="both"/>
        <w:rPr>
          <w:b/>
          <w:bCs/>
          <w:sz w:val="22"/>
          <w:szCs w:val="22"/>
          <w:lang w:val="en-US"/>
        </w:rPr>
      </w:pPr>
      <w:r w:rsidRPr="2CEF7665">
        <w:rPr>
          <w:sz w:val="22"/>
          <w:szCs w:val="22"/>
          <w:lang w:val="en-US"/>
        </w:rPr>
        <w:t>Establish t</w:t>
      </w:r>
      <w:r w:rsidR="00B254D7" w:rsidRPr="2CEF7665">
        <w:rPr>
          <w:sz w:val="22"/>
          <w:szCs w:val="22"/>
          <w:lang w:val="en-US"/>
        </w:rPr>
        <w:t>ransparent and efficient legal</w:t>
      </w:r>
      <w:r w:rsidR="0FA32723" w:rsidRPr="2CEF7665">
        <w:rPr>
          <w:sz w:val="22"/>
          <w:szCs w:val="22"/>
          <w:lang w:val="en-US"/>
        </w:rPr>
        <w:t xml:space="preserve"> and</w:t>
      </w:r>
      <w:r w:rsidR="00B254D7" w:rsidRPr="2CEF7665">
        <w:rPr>
          <w:sz w:val="22"/>
          <w:szCs w:val="22"/>
          <w:lang w:val="en-US"/>
        </w:rPr>
        <w:t xml:space="preserve"> regulatory framework and stronger judicial institutions to support contracts enforcement and standardized certification</w:t>
      </w:r>
      <w:r w:rsidR="666A0D3E" w:rsidRPr="2CEF7665">
        <w:rPr>
          <w:sz w:val="22"/>
          <w:szCs w:val="22"/>
          <w:lang w:val="en-US"/>
        </w:rPr>
        <w:t xml:space="preserve"> in order to promote business creation and growth.</w:t>
      </w:r>
    </w:p>
    <w:p w14:paraId="09661208" w14:textId="59F44E67" w:rsidR="00B254D7" w:rsidRDefault="00B254D7" w:rsidP="00552AAD">
      <w:pPr>
        <w:autoSpaceDE w:val="0"/>
        <w:autoSpaceDN w:val="0"/>
        <w:adjustRightInd w:val="0"/>
        <w:jc w:val="both"/>
        <w:rPr>
          <w:rFonts w:cstheme="minorHAnsi"/>
          <w:sz w:val="22"/>
          <w:szCs w:val="22"/>
          <w:lang w:val="en-US"/>
        </w:rPr>
      </w:pPr>
    </w:p>
    <w:p w14:paraId="0C70B18B" w14:textId="46F04C11" w:rsidR="00CC7F46" w:rsidRPr="00714227" w:rsidRDefault="00CC7F46" w:rsidP="00552AAD">
      <w:pPr>
        <w:autoSpaceDE w:val="0"/>
        <w:autoSpaceDN w:val="0"/>
        <w:adjustRightInd w:val="0"/>
        <w:jc w:val="both"/>
        <w:rPr>
          <w:rFonts w:cstheme="minorHAnsi"/>
          <w:b/>
          <w:bCs/>
          <w:sz w:val="22"/>
          <w:szCs w:val="22"/>
          <w:lang w:val="en-US"/>
        </w:rPr>
      </w:pPr>
      <w:r w:rsidRPr="2CEF7665">
        <w:rPr>
          <w:b/>
          <w:bCs/>
          <w:sz w:val="22"/>
          <w:szCs w:val="22"/>
          <w:lang w:val="en-US"/>
        </w:rPr>
        <w:t>Business environment</w:t>
      </w:r>
    </w:p>
    <w:p w14:paraId="0CD471D4" w14:textId="65ED50D7" w:rsidR="000E793D" w:rsidRDefault="3599A804" w:rsidP="2CEF7665">
      <w:pPr>
        <w:autoSpaceDE w:val="0"/>
        <w:autoSpaceDN w:val="0"/>
        <w:adjustRightInd w:val="0"/>
        <w:jc w:val="both"/>
        <w:rPr>
          <w:sz w:val="22"/>
          <w:szCs w:val="22"/>
          <w:lang w:val="en-US"/>
        </w:rPr>
      </w:pPr>
      <w:r w:rsidRPr="2CEF7665">
        <w:rPr>
          <w:rFonts w:ascii="Calibri" w:eastAsia="Calibri" w:hAnsi="Calibri" w:cs="Calibri"/>
          <w:sz w:val="22"/>
          <w:szCs w:val="22"/>
          <w:lang w:val="en-US"/>
        </w:rPr>
        <w:t>While laws, policies and regulations are updated and strengthened,</w:t>
      </w:r>
      <w:r w:rsidR="00B254D7" w:rsidRPr="2CEF7665">
        <w:rPr>
          <w:sz w:val="22"/>
          <w:szCs w:val="22"/>
          <w:lang w:val="en-US"/>
        </w:rPr>
        <w:t xml:space="preserve"> conditions must be</w:t>
      </w:r>
      <w:r w:rsidR="2ACEB027" w:rsidRPr="2CEF7665">
        <w:rPr>
          <w:sz w:val="22"/>
          <w:szCs w:val="22"/>
          <w:lang w:val="en-US"/>
        </w:rPr>
        <w:t xml:space="preserve"> in place to facilitate</w:t>
      </w:r>
      <w:r w:rsidR="00B254D7" w:rsidRPr="2CEF7665">
        <w:rPr>
          <w:sz w:val="22"/>
          <w:szCs w:val="22"/>
          <w:lang w:val="en-US"/>
        </w:rPr>
        <w:t xml:space="preserve"> investment and enterprise creation in strategic sectors, particular</w:t>
      </w:r>
      <w:r w:rsidR="00BC6412" w:rsidRPr="2CEF7665">
        <w:rPr>
          <w:sz w:val="22"/>
          <w:szCs w:val="22"/>
          <w:lang w:val="en-US"/>
        </w:rPr>
        <w:t>ly</w:t>
      </w:r>
      <w:r w:rsidR="00B254D7" w:rsidRPr="2CEF7665">
        <w:rPr>
          <w:sz w:val="22"/>
          <w:szCs w:val="22"/>
          <w:lang w:val="en-US"/>
        </w:rPr>
        <w:t xml:space="preserve"> in rural areas and in </w:t>
      </w:r>
      <w:r w:rsidR="00BC6412" w:rsidRPr="2CEF7665">
        <w:rPr>
          <w:sz w:val="22"/>
          <w:szCs w:val="22"/>
          <w:lang w:val="en-US"/>
        </w:rPr>
        <w:t xml:space="preserve">the </w:t>
      </w:r>
      <w:r w:rsidR="00B254D7" w:rsidRPr="2CEF7665">
        <w:rPr>
          <w:sz w:val="22"/>
          <w:szCs w:val="22"/>
          <w:lang w:val="en-US"/>
        </w:rPr>
        <w:t xml:space="preserve">circular economy. This </w:t>
      </w:r>
      <w:r w:rsidR="4D3912F8" w:rsidRPr="2CEF7665">
        <w:rPr>
          <w:rFonts w:ascii="Calibri" w:eastAsia="Calibri" w:hAnsi="Calibri" w:cs="Calibri"/>
          <w:sz w:val="22"/>
          <w:szCs w:val="22"/>
          <w:lang w:val="en-US"/>
        </w:rPr>
        <w:t>can be ensured through the provision of services and creation of incentives for business creation, resilience and growth, in particular for those most excluded (women, youth, persons with disabilities, migrants and rural populations).  This includes guaranteeing the efficiency and sustainability of</w:t>
      </w:r>
      <w:r w:rsidR="4D3912F8" w:rsidRPr="2CEF7665">
        <w:rPr>
          <w:sz w:val="22"/>
          <w:szCs w:val="22"/>
          <w:lang w:val="en-US"/>
        </w:rPr>
        <w:t xml:space="preserve"> public expenditures, the removal of </w:t>
      </w:r>
      <w:r w:rsidR="00B254D7" w:rsidRPr="2CEF7665">
        <w:rPr>
          <w:sz w:val="22"/>
          <w:szCs w:val="22"/>
          <w:lang w:val="en-US"/>
        </w:rPr>
        <w:t xml:space="preserve">barriers </w:t>
      </w:r>
      <w:r w:rsidR="0065049F" w:rsidRPr="2CEF7665">
        <w:rPr>
          <w:sz w:val="22"/>
          <w:szCs w:val="22"/>
          <w:lang w:val="en-US"/>
        </w:rPr>
        <w:t xml:space="preserve">for </w:t>
      </w:r>
      <w:r w:rsidR="00B254D7" w:rsidRPr="2CEF7665">
        <w:rPr>
          <w:sz w:val="22"/>
          <w:szCs w:val="22"/>
          <w:lang w:val="en-US"/>
        </w:rPr>
        <w:t xml:space="preserve">efficient business </w:t>
      </w:r>
      <w:r w:rsidR="76108795" w:rsidRPr="2CEF7665">
        <w:rPr>
          <w:sz w:val="22"/>
          <w:szCs w:val="22"/>
          <w:lang w:val="en-US"/>
        </w:rPr>
        <w:t>creation, operations and growth, the provision of business s</w:t>
      </w:r>
      <w:r w:rsidR="00B254D7" w:rsidRPr="2CEF7665">
        <w:rPr>
          <w:sz w:val="22"/>
          <w:szCs w:val="22"/>
          <w:lang w:val="en-US"/>
        </w:rPr>
        <w:t xml:space="preserve">upport services, </w:t>
      </w:r>
      <w:r w:rsidR="5538DCE7" w:rsidRPr="2CEF7665">
        <w:rPr>
          <w:sz w:val="22"/>
          <w:szCs w:val="22"/>
          <w:lang w:val="en-US"/>
        </w:rPr>
        <w:t xml:space="preserve">the </w:t>
      </w:r>
      <w:r w:rsidR="00B254D7" w:rsidRPr="2CEF7665">
        <w:rPr>
          <w:sz w:val="22"/>
          <w:szCs w:val="22"/>
          <w:lang w:val="en-US"/>
        </w:rPr>
        <w:t xml:space="preserve">development of infrastructure (road connection, internet connectivity, clean energy in remote communities) and </w:t>
      </w:r>
      <w:r w:rsidR="6533E774" w:rsidRPr="2CEF7665">
        <w:rPr>
          <w:sz w:val="22"/>
          <w:szCs w:val="22"/>
          <w:lang w:val="en-US"/>
        </w:rPr>
        <w:t xml:space="preserve">the improvement of </w:t>
      </w:r>
      <w:r w:rsidR="00B254D7" w:rsidRPr="2CEF7665">
        <w:rPr>
          <w:sz w:val="22"/>
          <w:szCs w:val="22"/>
          <w:lang w:val="en-US"/>
        </w:rPr>
        <w:t xml:space="preserve">access to finance. </w:t>
      </w:r>
      <w:r w:rsidR="00BA2CA2" w:rsidRPr="2CEF7665">
        <w:rPr>
          <w:sz w:val="22"/>
          <w:szCs w:val="22"/>
          <w:lang w:val="en-US"/>
        </w:rPr>
        <w:t xml:space="preserve"> </w:t>
      </w:r>
    </w:p>
    <w:p w14:paraId="764B59EB" w14:textId="77777777" w:rsidR="00BC6412" w:rsidRDefault="00BC6412" w:rsidP="00552AAD">
      <w:pPr>
        <w:autoSpaceDE w:val="0"/>
        <w:autoSpaceDN w:val="0"/>
        <w:adjustRightInd w:val="0"/>
        <w:jc w:val="both"/>
        <w:rPr>
          <w:rFonts w:cstheme="minorHAnsi"/>
          <w:sz w:val="22"/>
          <w:szCs w:val="22"/>
          <w:lang w:val="en-US"/>
        </w:rPr>
      </w:pPr>
    </w:p>
    <w:p w14:paraId="06684DB3" w14:textId="79E970EF" w:rsidR="00B254D7" w:rsidRPr="00841766" w:rsidRDefault="00B254D7" w:rsidP="2CEF7665">
      <w:pPr>
        <w:autoSpaceDE w:val="0"/>
        <w:autoSpaceDN w:val="0"/>
        <w:adjustRightInd w:val="0"/>
        <w:jc w:val="both"/>
        <w:rPr>
          <w:sz w:val="22"/>
          <w:szCs w:val="22"/>
          <w:lang w:val="en-US"/>
        </w:rPr>
      </w:pPr>
      <w:r w:rsidRPr="2CEF7665">
        <w:rPr>
          <w:sz w:val="22"/>
          <w:szCs w:val="22"/>
          <w:lang w:val="en-US"/>
        </w:rPr>
        <w:t xml:space="preserve">Services to </w:t>
      </w:r>
      <w:r w:rsidR="7D2BCB3A" w:rsidRPr="2CEF7665">
        <w:rPr>
          <w:sz w:val="22"/>
          <w:szCs w:val="22"/>
          <w:lang w:val="en-US"/>
        </w:rPr>
        <w:t xml:space="preserve">Small and Medium Enterprises are of particular </w:t>
      </w:r>
      <w:r w:rsidR="00DE2E8A">
        <w:rPr>
          <w:sz w:val="22"/>
          <w:szCs w:val="22"/>
          <w:lang w:val="en-US"/>
        </w:rPr>
        <w:t>re</w:t>
      </w:r>
      <w:r w:rsidR="7D2BCB3A" w:rsidRPr="2CEF7665">
        <w:rPr>
          <w:sz w:val="22"/>
          <w:szCs w:val="22"/>
          <w:lang w:val="en-US"/>
        </w:rPr>
        <w:t>levance. Specifically</w:t>
      </w:r>
      <w:r w:rsidR="007F0505" w:rsidRPr="2CEF7665">
        <w:rPr>
          <w:sz w:val="22"/>
          <w:szCs w:val="22"/>
          <w:lang w:val="en-US"/>
        </w:rPr>
        <w:t xml:space="preserve">, </w:t>
      </w:r>
      <w:r w:rsidRPr="2CEF7665">
        <w:rPr>
          <w:sz w:val="22"/>
          <w:szCs w:val="22"/>
          <w:lang w:val="en-US"/>
        </w:rPr>
        <w:t xml:space="preserve">entrepreneurship and self-employment </w:t>
      </w:r>
      <w:r w:rsidR="67EA13CE" w:rsidRPr="2CEF7665">
        <w:rPr>
          <w:sz w:val="22"/>
          <w:szCs w:val="22"/>
          <w:lang w:val="en-US"/>
        </w:rPr>
        <w:t xml:space="preserve">opportunities </w:t>
      </w:r>
      <w:r w:rsidRPr="2CEF7665">
        <w:rPr>
          <w:sz w:val="22"/>
          <w:szCs w:val="22"/>
          <w:lang w:val="en-US"/>
        </w:rPr>
        <w:t xml:space="preserve">need to be </w:t>
      </w:r>
      <w:r w:rsidR="7BB02420" w:rsidRPr="2CEF7665">
        <w:rPr>
          <w:sz w:val="22"/>
          <w:szCs w:val="22"/>
          <w:lang w:val="en-US"/>
        </w:rPr>
        <w:t xml:space="preserve">increased and </w:t>
      </w:r>
      <w:r w:rsidRPr="2CEF7665">
        <w:rPr>
          <w:sz w:val="22"/>
          <w:szCs w:val="22"/>
          <w:lang w:val="en-US"/>
        </w:rPr>
        <w:t>strengthened,</w:t>
      </w:r>
      <w:r w:rsidR="4D248139" w:rsidRPr="2CEF7665">
        <w:rPr>
          <w:sz w:val="22"/>
          <w:szCs w:val="22"/>
          <w:lang w:val="en-US"/>
        </w:rPr>
        <w:t xml:space="preserve"> namely through</w:t>
      </w:r>
      <w:r w:rsidRPr="2CEF7665">
        <w:rPr>
          <w:sz w:val="22"/>
          <w:szCs w:val="22"/>
          <w:lang w:val="en-US"/>
        </w:rPr>
        <w:t>:</w:t>
      </w:r>
    </w:p>
    <w:p w14:paraId="6A7988DE" w14:textId="7BE022D7" w:rsidR="00B254D7" w:rsidRPr="00841766" w:rsidRDefault="00B254D7" w:rsidP="2CEF7665">
      <w:pPr>
        <w:pStyle w:val="ListParagraph"/>
        <w:numPr>
          <w:ilvl w:val="0"/>
          <w:numId w:val="9"/>
        </w:numPr>
        <w:jc w:val="both"/>
        <w:rPr>
          <w:sz w:val="22"/>
          <w:szCs w:val="22"/>
          <w:lang w:val="en-US"/>
        </w:rPr>
      </w:pPr>
      <w:r w:rsidRPr="2CEF7665">
        <w:rPr>
          <w:sz w:val="22"/>
          <w:szCs w:val="22"/>
          <w:lang w:val="en-US"/>
        </w:rPr>
        <w:t xml:space="preserve">Youth entrepreneurship </w:t>
      </w:r>
      <w:r w:rsidR="76FAAF03" w:rsidRPr="2CEF7665">
        <w:rPr>
          <w:sz w:val="22"/>
          <w:szCs w:val="22"/>
          <w:lang w:val="en-US"/>
        </w:rPr>
        <w:t xml:space="preserve">programmes </w:t>
      </w:r>
      <w:r w:rsidR="009F5D41" w:rsidRPr="2CEF7665">
        <w:rPr>
          <w:sz w:val="22"/>
          <w:szCs w:val="22"/>
          <w:lang w:val="en-US"/>
        </w:rPr>
        <w:t xml:space="preserve">and vocational training </w:t>
      </w:r>
      <w:r w:rsidRPr="2CEF7665">
        <w:rPr>
          <w:sz w:val="22"/>
          <w:szCs w:val="22"/>
          <w:lang w:val="en-US"/>
        </w:rPr>
        <w:t>hubs</w:t>
      </w:r>
      <w:r w:rsidR="00FA2E98" w:rsidRPr="2CEF7665">
        <w:rPr>
          <w:sz w:val="22"/>
          <w:szCs w:val="22"/>
          <w:lang w:val="en-US"/>
        </w:rPr>
        <w:t>;</w:t>
      </w:r>
    </w:p>
    <w:p w14:paraId="69C83B17" w14:textId="2103FF88" w:rsidR="2D47106F" w:rsidRDefault="2D47106F" w:rsidP="2CEF7665">
      <w:pPr>
        <w:pStyle w:val="ListParagraph"/>
        <w:numPr>
          <w:ilvl w:val="0"/>
          <w:numId w:val="9"/>
        </w:numPr>
        <w:jc w:val="both"/>
        <w:rPr>
          <w:rFonts w:eastAsiaTheme="minorEastAsia"/>
          <w:sz w:val="22"/>
          <w:szCs w:val="22"/>
          <w:lang w:val="en-US"/>
        </w:rPr>
      </w:pPr>
      <w:r w:rsidRPr="2CEF7665">
        <w:rPr>
          <w:sz w:val="22"/>
          <w:szCs w:val="22"/>
          <w:lang w:val="en-US"/>
        </w:rPr>
        <w:t>Provision of job counselling and mentoring services, with a specific focus and tailored for groups which find more barriers to entrepreneurship (such as women and youth)</w:t>
      </w:r>
    </w:p>
    <w:p w14:paraId="0FC3443F" w14:textId="745CC39B" w:rsidR="2D47106F" w:rsidRDefault="2D47106F" w:rsidP="2CEF7665">
      <w:pPr>
        <w:pStyle w:val="ListParagraph"/>
        <w:numPr>
          <w:ilvl w:val="0"/>
          <w:numId w:val="9"/>
        </w:numPr>
        <w:rPr>
          <w:rFonts w:eastAsiaTheme="minorEastAsia"/>
          <w:sz w:val="22"/>
          <w:szCs w:val="22"/>
        </w:rPr>
      </w:pPr>
      <w:r w:rsidRPr="2CEF7665">
        <w:rPr>
          <w:sz w:val="22"/>
          <w:szCs w:val="22"/>
          <w:lang w:val="en-US"/>
        </w:rPr>
        <w:t>Support for integration in global value chains for companies in specific sectors;</w:t>
      </w:r>
    </w:p>
    <w:p w14:paraId="6706941B" w14:textId="35CE4E01" w:rsidR="2D47106F" w:rsidRDefault="2D47106F" w:rsidP="2CEF7665">
      <w:pPr>
        <w:pStyle w:val="ListParagraph"/>
        <w:numPr>
          <w:ilvl w:val="0"/>
          <w:numId w:val="9"/>
        </w:numPr>
        <w:rPr>
          <w:rFonts w:eastAsiaTheme="minorEastAsia"/>
          <w:sz w:val="22"/>
          <w:szCs w:val="22"/>
        </w:rPr>
      </w:pPr>
      <w:r w:rsidRPr="2CEF7665">
        <w:rPr>
          <w:sz w:val="22"/>
          <w:szCs w:val="22"/>
          <w:lang w:val="en-US"/>
        </w:rPr>
        <w:t xml:space="preserve">Promotion of innovation and experimentation using business incubators (such as </w:t>
      </w:r>
      <w:proofErr w:type="spellStart"/>
      <w:r w:rsidRPr="2CEF7665">
        <w:rPr>
          <w:sz w:val="22"/>
          <w:szCs w:val="22"/>
          <w:lang w:val="en-US"/>
        </w:rPr>
        <w:t>therecently</w:t>
      </w:r>
      <w:proofErr w:type="spellEnd"/>
      <w:r w:rsidRPr="2CEF7665">
        <w:rPr>
          <w:sz w:val="22"/>
          <w:szCs w:val="22"/>
          <w:lang w:val="en-US"/>
        </w:rPr>
        <w:t xml:space="preserve"> established Accelerator Lab);</w:t>
      </w:r>
    </w:p>
    <w:p w14:paraId="4F65AE65" w14:textId="60503C8D" w:rsidR="2D47106F" w:rsidRDefault="2D47106F" w:rsidP="2CEF7665">
      <w:pPr>
        <w:pStyle w:val="ListParagraph"/>
        <w:numPr>
          <w:ilvl w:val="0"/>
          <w:numId w:val="9"/>
        </w:numPr>
        <w:rPr>
          <w:rFonts w:eastAsiaTheme="minorEastAsia"/>
          <w:sz w:val="22"/>
          <w:szCs w:val="22"/>
        </w:rPr>
      </w:pPr>
      <w:r w:rsidRPr="2CEF7665">
        <w:rPr>
          <w:sz w:val="22"/>
          <w:szCs w:val="22"/>
          <w:lang w:val="en-US"/>
        </w:rPr>
        <w:t>Promote the growth of the circular economy;</w:t>
      </w:r>
    </w:p>
    <w:p w14:paraId="36068C65" w14:textId="0125B7A2" w:rsidR="2D47106F" w:rsidRDefault="2D47106F" w:rsidP="2CEF7665">
      <w:pPr>
        <w:pStyle w:val="ListParagraph"/>
        <w:numPr>
          <w:ilvl w:val="0"/>
          <w:numId w:val="9"/>
        </w:numPr>
        <w:rPr>
          <w:rFonts w:eastAsiaTheme="minorEastAsia"/>
          <w:sz w:val="22"/>
          <w:szCs w:val="22"/>
        </w:rPr>
      </w:pPr>
      <w:r w:rsidRPr="2CEF7665">
        <w:rPr>
          <w:sz w:val="22"/>
          <w:szCs w:val="22"/>
          <w:lang w:val="en-US"/>
        </w:rPr>
        <w:lastRenderedPageBreak/>
        <w:t xml:space="preserve">Leverage diaspora investments, in particular in rural areas. </w:t>
      </w:r>
    </w:p>
    <w:p w14:paraId="044E3752" w14:textId="54886B1B" w:rsidR="2D47106F" w:rsidRDefault="2D47106F" w:rsidP="2CEF7665">
      <w:pPr>
        <w:pStyle w:val="ListParagraph"/>
        <w:numPr>
          <w:ilvl w:val="0"/>
          <w:numId w:val="9"/>
        </w:numPr>
        <w:rPr>
          <w:rFonts w:eastAsiaTheme="minorEastAsia"/>
          <w:sz w:val="22"/>
          <w:szCs w:val="22"/>
        </w:rPr>
      </w:pPr>
      <w:r w:rsidRPr="2CEF7665">
        <w:rPr>
          <w:sz w:val="22"/>
          <w:szCs w:val="22"/>
          <w:lang w:val="en-US"/>
        </w:rPr>
        <w:t>Expand and ease the access to finance Promote business resiliency to negative shocks (such as decreases in public expenditure our droughts) through supporting programmes and regulations.</w:t>
      </w:r>
    </w:p>
    <w:p w14:paraId="0BBDC2E2" w14:textId="6069F32E" w:rsidR="2CEF7665" w:rsidRDefault="2CEF7665" w:rsidP="2CEF7665">
      <w:pPr>
        <w:pStyle w:val="ListParagraph"/>
        <w:numPr>
          <w:ilvl w:val="0"/>
          <w:numId w:val="9"/>
        </w:numPr>
        <w:jc w:val="both"/>
        <w:rPr>
          <w:sz w:val="22"/>
          <w:szCs w:val="22"/>
          <w:lang w:val="en-US"/>
        </w:rPr>
      </w:pPr>
    </w:p>
    <w:p w14:paraId="6C701F39" w14:textId="05C819B1" w:rsidR="00B254D7" w:rsidRDefault="00B254D7" w:rsidP="00552AAD">
      <w:pPr>
        <w:autoSpaceDE w:val="0"/>
        <w:autoSpaceDN w:val="0"/>
        <w:adjustRightInd w:val="0"/>
        <w:jc w:val="both"/>
        <w:rPr>
          <w:rFonts w:cs="Times New Roman"/>
          <w:sz w:val="22"/>
          <w:szCs w:val="22"/>
          <w:lang w:val="en-US"/>
        </w:rPr>
      </w:pPr>
    </w:p>
    <w:p w14:paraId="688E5166" w14:textId="5FA70023" w:rsidR="00CC7F46" w:rsidRPr="00714227" w:rsidRDefault="00CC7F46" w:rsidP="00552AAD">
      <w:pPr>
        <w:autoSpaceDE w:val="0"/>
        <w:autoSpaceDN w:val="0"/>
        <w:adjustRightInd w:val="0"/>
        <w:jc w:val="both"/>
        <w:rPr>
          <w:rFonts w:cs="Times New Roman"/>
          <w:b/>
          <w:bCs/>
          <w:sz w:val="22"/>
          <w:szCs w:val="22"/>
          <w:lang w:val="en-US"/>
        </w:rPr>
      </w:pPr>
      <w:r w:rsidRPr="00714227">
        <w:rPr>
          <w:rFonts w:cs="Times New Roman"/>
          <w:b/>
          <w:bCs/>
          <w:sz w:val="22"/>
          <w:szCs w:val="22"/>
          <w:lang w:val="en-US"/>
        </w:rPr>
        <w:t>Skills development</w:t>
      </w:r>
    </w:p>
    <w:p w14:paraId="33B5942F" w14:textId="6C6A2218" w:rsidR="004B26CB" w:rsidRPr="00BA2F46" w:rsidRDefault="00B254D7" w:rsidP="2CEF7665">
      <w:pPr>
        <w:jc w:val="both"/>
        <w:rPr>
          <w:sz w:val="22"/>
          <w:szCs w:val="22"/>
          <w:lang w:val="en-US"/>
        </w:rPr>
      </w:pPr>
      <w:r w:rsidRPr="2CEF7665">
        <w:rPr>
          <w:sz w:val="22"/>
          <w:szCs w:val="22"/>
          <w:lang w:val="en-US"/>
        </w:rPr>
        <w:t xml:space="preserve">Well-developed education and training systems are essential for </w:t>
      </w:r>
      <w:r w:rsidR="00100997" w:rsidRPr="2CEF7665">
        <w:rPr>
          <w:sz w:val="22"/>
          <w:szCs w:val="22"/>
          <w:lang w:val="en-US"/>
        </w:rPr>
        <w:t xml:space="preserve">the </w:t>
      </w:r>
      <w:r w:rsidRPr="2CEF7665">
        <w:rPr>
          <w:sz w:val="22"/>
          <w:szCs w:val="22"/>
          <w:lang w:val="en-US"/>
        </w:rPr>
        <w:t>Timorese</w:t>
      </w:r>
      <w:r w:rsidR="00100997" w:rsidRPr="2CEF7665">
        <w:rPr>
          <w:sz w:val="22"/>
          <w:szCs w:val="22"/>
          <w:lang w:val="en-US"/>
        </w:rPr>
        <w:t xml:space="preserve"> people</w:t>
      </w:r>
      <w:r w:rsidRPr="2CEF7665">
        <w:rPr>
          <w:sz w:val="22"/>
          <w:szCs w:val="22"/>
          <w:lang w:val="en-US"/>
        </w:rPr>
        <w:t xml:space="preserve"> to develop the necessary skills set and knowledge to engage in wage employment or become successful entrepreneurs.</w:t>
      </w:r>
      <w:r w:rsidRPr="00841766">
        <w:rPr>
          <w:sz w:val="22"/>
          <w:szCs w:val="22"/>
          <w:lang w:val="en-US"/>
        </w:rPr>
        <w:t xml:space="preserve"> </w:t>
      </w:r>
      <w:r w:rsidR="00BA2CA2">
        <w:rPr>
          <w:sz w:val="22"/>
          <w:szCs w:val="22"/>
          <w:lang w:val="en-US"/>
        </w:rPr>
        <w:t xml:space="preserve"> </w:t>
      </w:r>
      <w:r w:rsidRPr="00841766">
        <w:rPr>
          <w:sz w:val="22"/>
          <w:szCs w:val="22"/>
          <w:lang w:val="en-US"/>
        </w:rPr>
        <w:t xml:space="preserve">According to a tracer study, only 27% of </w:t>
      </w:r>
      <w:r w:rsidR="00CC08E3">
        <w:rPr>
          <w:sz w:val="22"/>
          <w:szCs w:val="22"/>
          <w:lang w:val="en-US"/>
        </w:rPr>
        <w:t>T</w:t>
      </w:r>
      <w:r w:rsidRPr="00841766">
        <w:rPr>
          <w:sz w:val="22"/>
          <w:szCs w:val="22"/>
          <w:lang w:val="en-US"/>
        </w:rPr>
        <w:t xml:space="preserve">echnical </w:t>
      </w:r>
      <w:r w:rsidR="00CC08E3">
        <w:rPr>
          <w:sz w:val="22"/>
          <w:szCs w:val="22"/>
          <w:lang w:val="en-US"/>
        </w:rPr>
        <w:t>V</w:t>
      </w:r>
      <w:r w:rsidRPr="00841766">
        <w:rPr>
          <w:sz w:val="22"/>
          <w:szCs w:val="22"/>
          <w:lang w:val="en-US"/>
        </w:rPr>
        <w:t xml:space="preserve">ocational </w:t>
      </w:r>
      <w:r w:rsidR="00CC08E3">
        <w:rPr>
          <w:sz w:val="22"/>
          <w:szCs w:val="22"/>
          <w:lang w:val="en-US"/>
        </w:rPr>
        <w:t>E</w:t>
      </w:r>
      <w:r w:rsidRPr="00841766">
        <w:rPr>
          <w:sz w:val="22"/>
          <w:szCs w:val="22"/>
          <w:lang w:val="en-US"/>
        </w:rPr>
        <w:t xml:space="preserve">ducation and </w:t>
      </w:r>
      <w:r w:rsidR="00A56F5D">
        <w:rPr>
          <w:sz w:val="22"/>
          <w:szCs w:val="22"/>
          <w:lang w:val="en-US"/>
        </w:rPr>
        <w:t>T</w:t>
      </w:r>
      <w:r w:rsidRPr="00841766">
        <w:rPr>
          <w:sz w:val="22"/>
          <w:szCs w:val="22"/>
          <w:lang w:val="en-US"/>
        </w:rPr>
        <w:t>raining (TVET) graduates are working</w:t>
      </w:r>
      <w:r w:rsidRPr="00841766">
        <w:rPr>
          <w:rStyle w:val="FootnoteReference"/>
          <w:sz w:val="22"/>
          <w:szCs w:val="22"/>
          <w:lang w:val="en-US"/>
        </w:rPr>
        <w:footnoteReference w:id="65"/>
      </w:r>
      <w:r w:rsidRPr="00841766">
        <w:rPr>
          <w:sz w:val="22"/>
          <w:szCs w:val="22"/>
          <w:lang w:val="en-US"/>
        </w:rPr>
        <w:t xml:space="preserve">. </w:t>
      </w:r>
      <w:r w:rsidR="0E910258" w:rsidRPr="2CEF7665">
        <w:rPr>
          <w:rFonts w:ascii="Calibri" w:eastAsia="Calibri" w:hAnsi="Calibri" w:cs="Calibri"/>
          <w:sz w:val="22"/>
          <w:szCs w:val="22"/>
          <w:lang w:val="en-US"/>
        </w:rPr>
        <w:t xml:space="preserve">Technical and vocational training systems, need to become more responsive to the needs of businesses and the local economy. This includes dedicating a greater emphasis to the expansion of knowledge areas that are both demanded by the private sector and also present great opportunities for growth in the future. This includes financial education/literacy (essential to promote entrepreneurship), soft skills (important in areas of comparative advantage for the country such as tourism and the care economy) or information and technology (to foment services’ growth). </w:t>
      </w:r>
    </w:p>
    <w:p w14:paraId="6EB6D1C9" w14:textId="5BED0055" w:rsidR="004B26CB" w:rsidRPr="00BA2F46" w:rsidRDefault="004B26CB" w:rsidP="2CEF7665">
      <w:pPr>
        <w:jc w:val="both"/>
        <w:rPr>
          <w:rFonts w:ascii="Calibri" w:eastAsia="Calibri" w:hAnsi="Calibri" w:cs="Calibri"/>
          <w:sz w:val="22"/>
          <w:szCs w:val="22"/>
          <w:lang w:val="en-US"/>
        </w:rPr>
      </w:pPr>
    </w:p>
    <w:p w14:paraId="3E0FCCB0" w14:textId="573C8841" w:rsidR="004B26CB" w:rsidRPr="00BA2F46" w:rsidRDefault="0E910258" w:rsidP="2CEF7665">
      <w:pPr>
        <w:jc w:val="both"/>
        <w:rPr>
          <w:sz w:val="22"/>
          <w:szCs w:val="22"/>
          <w:lang w:val="en-US"/>
        </w:rPr>
      </w:pPr>
      <w:r w:rsidRPr="2CEF7665">
        <w:rPr>
          <w:rFonts w:ascii="Calibri" w:eastAsia="Calibri" w:hAnsi="Calibri" w:cs="Calibri"/>
          <w:sz w:val="22"/>
          <w:szCs w:val="22"/>
          <w:lang w:val="en-US"/>
        </w:rPr>
        <w:t xml:space="preserve">To address these needs, additional training courses, quality of the training delivered, assessment of competencies and knowledge on volunteerism need further improvement, and they should reflect the different challenge and skills needs of different groups of the population, with a strong focus on those most marginalized. The promotion of formal, well-regulated and supported volunteering schemes can also contribute the skills development of youth as well, while promoting its </w:t>
      </w:r>
      <w:proofErr w:type="spellStart"/>
      <w:r w:rsidRPr="2CEF7665">
        <w:rPr>
          <w:rFonts w:ascii="Calibri" w:eastAsia="Calibri" w:hAnsi="Calibri" w:cs="Calibri"/>
          <w:sz w:val="22"/>
          <w:szCs w:val="22"/>
          <w:lang w:val="en-US"/>
        </w:rPr>
        <w:t>labour</w:t>
      </w:r>
      <w:proofErr w:type="spellEnd"/>
      <w:r w:rsidRPr="2CEF7665">
        <w:rPr>
          <w:rFonts w:ascii="Calibri" w:eastAsia="Calibri" w:hAnsi="Calibri" w:cs="Calibri"/>
          <w:sz w:val="22"/>
          <w:szCs w:val="22"/>
          <w:lang w:val="en-US"/>
        </w:rPr>
        <w:t xml:space="preserve"> force participation at the same time.</w:t>
      </w:r>
    </w:p>
    <w:p w14:paraId="0AA81C35" w14:textId="4DF21654" w:rsidR="2CEF7665" w:rsidRDefault="2CEF7665" w:rsidP="2CEF7665">
      <w:pPr>
        <w:jc w:val="both"/>
        <w:rPr>
          <w:sz w:val="22"/>
          <w:szCs w:val="22"/>
          <w:lang w:val="en-US"/>
        </w:rPr>
      </w:pPr>
    </w:p>
    <w:p w14:paraId="2E874B1F" w14:textId="77777777" w:rsidR="00B254D7" w:rsidRPr="00841766" w:rsidRDefault="00B254D7" w:rsidP="00552AAD">
      <w:pPr>
        <w:jc w:val="both"/>
        <w:rPr>
          <w:sz w:val="22"/>
          <w:szCs w:val="22"/>
          <w:lang w:val="en-US"/>
        </w:rPr>
      </w:pPr>
    </w:p>
    <w:p w14:paraId="7053A394" w14:textId="00647C4F" w:rsidR="00385D62" w:rsidRPr="00385D62" w:rsidRDefault="00385D62" w:rsidP="00552AAD">
      <w:pPr>
        <w:jc w:val="both"/>
        <w:rPr>
          <w:rFonts w:cstheme="minorHAnsi"/>
          <w:b/>
          <w:bCs/>
          <w:lang w:val="en-US"/>
        </w:rPr>
      </w:pPr>
      <w:bookmarkStart w:id="45" w:name="_Toc29540793"/>
      <w:bookmarkStart w:id="46" w:name="_Toc29550725"/>
      <w:bookmarkStart w:id="47" w:name="_Toc29550819"/>
      <w:bookmarkStart w:id="48" w:name="_Toc29900353"/>
      <w:bookmarkStart w:id="49" w:name="_Toc30407936"/>
      <w:bookmarkStart w:id="50" w:name="_Toc31376342"/>
      <w:r w:rsidRPr="00385D62">
        <w:rPr>
          <w:rFonts w:cstheme="minorHAnsi"/>
          <w:b/>
          <w:bCs/>
          <w:lang w:val="en-US"/>
        </w:rPr>
        <w:t>Contribution to SDGs</w:t>
      </w:r>
    </w:p>
    <w:p w14:paraId="3EE0303C" w14:textId="72F3B200" w:rsidR="00385D62" w:rsidRPr="00385D62" w:rsidRDefault="00385D62" w:rsidP="00552AAD">
      <w:pPr>
        <w:tabs>
          <w:tab w:val="left" w:pos="284"/>
        </w:tabs>
        <w:autoSpaceDE w:val="0"/>
        <w:autoSpaceDN w:val="0"/>
        <w:adjustRightInd w:val="0"/>
        <w:spacing w:after="120"/>
        <w:jc w:val="both"/>
        <w:rPr>
          <w:rFonts w:cstheme="minorHAnsi"/>
          <w:sz w:val="22"/>
          <w:szCs w:val="22"/>
          <w:lang w:val="en-US"/>
        </w:rPr>
      </w:pPr>
      <w:r w:rsidRPr="00385D62">
        <w:rPr>
          <w:rFonts w:cstheme="minorHAnsi"/>
          <w:sz w:val="22"/>
          <w:szCs w:val="22"/>
          <w:lang w:val="en-US"/>
        </w:rPr>
        <w:t xml:space="preserve">Outcome 2 will specifically contribute and measure progress towards decent work and economic growth (SDG 8), resilient industry, innovation and infrastructure (SDG 9), reduced inequalities (SDG 10), peace and justice, strong institutions (SDG 16) and quality education (SDG 4). Focusing on these strategic areas will contribute to positive spillover effects, accelerating progress towards to no poverty (SDG 1), gender equality (SDG 5), life below water (SDG 14) and life on land (SDG 15). </w:t>
      </w:r>
    </w:p>
    <w:p w14:paraId="1B273FCC" w14:textId="77777777" w:rsidR="00385D62" w:rsidRDefault="00385D62" w:rsidP="00552AAD">
      <w:pPr>
        <w:jc w:val="both"/>
        <w:rPr>
          <w:b/>
          <w:bCs/>
          <w:lang w:val="en-US"/>
        </w:rPr>
      </w:pPr>
    </w:p>
    <w:p w14:paraId="1759A00F" w14:textId="6F193A14" w:rsidR="00B254D7" w:rsidRPr="000135BE" w:rsidRDefault="00B254D7" w:rsidP="00552AAD">
      <w:pPr>
        <w:jc w:val="both"/>
        <w:rPr>
          <w:b/>
          <w:bCs/>
          <w:lang w:val="en-US"/>
        </w:rPr>
      </w:pPr>
      <w:r w:rsidRPr="2CEF7665">
        <w:rPr>
          <w:b/>
          <w:bCs/>
          <w:lang w:val="en-US"/>
        </w:rPr>
        <w:t xml:space="preserve">UN Comparative advantages, partnership and South-South or </w:t>
      </w:r>
      <w:r w:rsidR="00552AAD" w:rsidRPr="2CEF7665">
        <w:rPr>
          <w:b/>
          <w:bCs/>
          <w:lang w:val="en-US"/>
        </w:rPr>
        <w:t>T</w:t>
      </w:r>
      <w:r w:rsidRPr="2CEF7665">
        <w:rPr>
          <w:b/>
          <w:bCs/>
          <w:lang w:val="en-US"/>
        </w:rPr>
        <w:t>riangular Cooperation</w:t>
      </w:r>
      <w:bookmarkEnd w:id="45"/>
      <w:bookmarkEnd w:id="46"/>
      <w:bookmarkEnd w:id="47"/>
      <w:bookmarkEnd w:id="48"/>
      <w:bookmarkEnd w:id="49"/>
      <w:bookmarkEnd w:id="50"/>
    </w:p>
    <w:p w14:paraId="38EFFFA8" w14:textId="6DF1307D" w:rsidR="4BB3F6D0" w:rsidRDefault="4BB3F6D0" w:rsidP="2CEF7665">
      <w:pPr>
        <w:jc w:val="both"/>
      </w:pPr>
      <w:r w:rsidRPr="2CEF7665">
        <w:rPr>
          <w:rFonts w:ascii="Calibri" w:eastAsia="Calibri" w:hAnsi="Calibri" w:cs="Calibri"/>
          <w:color w:val="000000" w:themeColor="text1"/>
          <w:sz w:val="22"/>
          <w:szCs w:val="22"/>
          <w:lang w:val="en-US"/>
        </w:rPr>
        <w:t>The UN in Timor-Leste will</w:t>
      </w:r>
      <w:r w:rsidRPr="2CEF7665">
        <w:rPr>
          <w:rFonts w:ascii="Calibri" w:eastAsia="Calibri" w:hAnsi="Calibri" w:cs="Calibri"/>
          <w:color w:val="000000" w:themeColor="text1"/>
          <w:sz w:val="22"/>
          <w:szCs w:val="22"/>
          <w:lang w:val="en-GB"/>
        </w:rPr>
        <w:t xml:space="preserve"> draw from the UN expertise on global norms and standards in the areas of labour rights, to support </w:t>
      </w:r>
      <w:r w:rsidRPr="2CEF7665">
        <w:rPr>
          <w:rFonts w:ascii="Calibri" w:eastAsia="Calibri" w:hAnsi="Calibri" w:cs="Calibri"/>
          <w:color w:val="000000" w:themeColor="text1"/>
          <w:sz w:val="22"/>
          <w:szCs w:val="22"/>
          <w:lang w:val="en-US"/>
        </w:rPr>
        <w:t xml:space="preserve">the design and implementation of policies that lead to more and better opportunities for all. </w:t>
      </w:r>
    </w:p>
    <w:p w14:paraId="6FE04B37" w14:textId="5F6DAB1C" w:rsidR="2CEF7665" w:rsidRDefault="2CEF7665" w:rsidP="2CEF7665">
      <w:pPr>
        <w:jc w:val="both"/>
        <w:rPr>
          <w:rFonts w:ascii="Calibri" w:eastAsia="Calibri" w:hAnsi="Calibri" w:cs="Calibri"/>
          <w:color w:val="000000" w:themeColor="text1"/>
          <w:sz w:val="22"/>
          <w:szCs w:val="22"/>
          <w:lang w:val="en-US"/>
        </w:rPr>
      </w:pPr>
    </w:p>
    <w:p w14:paraId="26B88EFC" w14:textId="5E5EBF1F" w:rsidR="4BB3F6D0" w:rsidRDefault="4BB3F6D0" w:rsidP="2CEF7665">
      <w:pPr>
        <w:jc w:val="both"/>
      </w:pPr>
      <w:r w:rsidRPr="2CEF7665">
        <w:rPr>
          <w:rFonts w:ascii="Calibri" w:eastAsia="Calibri" w:hAnsi="Calibri" w:cs="Calibri"/>
          <w:color w:val="000000" w:themeColor="text1"/>
          <w:sz w:val="22"/>
          <w:szCs w:val="22"/>
          <w:lang w:val="en-US"/>
        </w:rPr>
        <w:t>Technical expertise at the global, regional and national level will also be leveraged in order to contribute to the production and use of regular quality data (</w:t>
      </w:r>
      <w:proofErr w:type="spellStart"/>
      <w:r w:rsidRPr="2CEF7665">
        <w:rPr>
          <w:rFonts w:ascii="Calibri" w:eastAsia="Calibri" w:hAnsi="Calibri" w:cs="Calibri"/>
          <w:color w:val="000000" w:themeColor="text1"/>
          <w:sz w:val="22"/>
          <w:szCs w:val="22"/>
          <w:lang w:val="en-US"/>
        </w:rPr>
        <w:t>eg.</w:t>
      </w:r>
      <w:proofErr w:type="spellEnd"/>
      <w:r w:rsidRPr="2CEF7665">
        <w:rPr>
          <w:rFonts w:ascii="Calibri" w:eastAsia="Calibri" w:hAnsi="Calibri" w:cs="Calibri"/>
          <w:color w:val="000000" w:themeColor="text1"/>
          <w:sz w:val="22"/>
          <w:szCs w:val="22"/>
          <w:lang w:val="en-US"/>
        </w:rPr>
        <w:t xml:space="preserve"> </w:t>
      </w:r>
      <w:proofErr w:type="spellStart"/>
      <w:r w:rsidRPr="2CEF7665">
        <w:rPr>
          <w:rFonts w:ascii="Calibri" w:eastAsia="Calibri" w:hAnsi="Calibri" w:cs="Calibri"/>
          <w:color w:val="000000" w:themeColor="text1"/>
          <w:sz w:val="22"/>
          <w:szCs w:val="22"/>
          <w:lang w:val="en-US"/>
        </w:rPr>
        <w:t>labour</w:t>
      </w:r>
      <w:proofErr w:type="spellEnd"/>
      <w:r w:rsidRPr="2CEF7665">
        <w:rPr>
          <w:rFonts w:ascii="Calibri" w:eastAsia="Calibri" w:hAnsi="Calibri" w:cs="Calibri"/>
          <w:color w:val="000000" w:themeColor="text1"/>
          <w:sz w:val="22"/>
          <w:szCs w:val="22"/>
          <w:lang w:val="en-US"/>
        </w:rPr>
        <w:t xml:space="preserve"> surveys, census) </w:t>
      </w:r>
      <w:r w:rsidRPr="2CEF7665">
        <w:rPr>
          <w:rFonts w:ascii="Calibri" w:eastAsia="Calibri" w:hAnsi="Calibri" w:cs="Calibri"/>
          <w:color w:val="000000" w:themeColor="text1"/>
          <w:sz w:val="22"/>
          <w:szCs w:val="22"/>
          <w:lang w:val="en-GB"/>
        </w:rPr>
        <w:t>throughout the policy-making decision process, in particular through supporting the capacity development of national institutions</w:t>
      </w:r>
    </w:p>
    <w:p w14:paraId="062C131E" w14:textId="0D7271CB" w:rsidR="4BB3F6D0" w:rsidRDefault="4BB3F6D0" w:rsidP="2CEF7665">
      <w:pPr>
        <w:jc w:val="both"/>
      </w:pPr>
      <w:r w:rsidRPr="2CEF7665">
        <w:rPr>
          <w:rFonts w:ascii="Calibri" w:eastAsia="Calibri" w:hAnsi="Calibri" w:cs="Calibri"/>
          <w:color w:val="000000" w:themeColor="text1"/>
          <w:sz w:val="22"/>
          <w:szCs w:val="22"/>
          <w:lang w:val="en-GB"/>
        </w:rPr>
        <w:t xml:space="preserve"> </w:t>
      </w:r>
    </w:p>
    <w:p w14:paraId="7A13ED2B" w14:textId="1E639A9F" w:rsidR="4BB3F6D0" w:rsidRDefault="4BB3F6D0" w:rsidP="2CEF7665">
      <w:pPr>
        <w:jc w:val="both"/>
      </w:pPr>
      <w:r w:rsidRPr="2CEF7665">
        <w:rPr>
          <w:rFonts w:ascii="Calibri" w:eastAsia="Calibri" w:hAnsi="Calibri" w:cs="Calibri"/>
          <w:color w:val="000000" w:themeColor="text1"/>
          <w:sz w:val="22"/>
          <w:szCs w:val="22"/>
          <w:lang w:val="en-GB"/>
        </w:rPr>
        <w:t xml:space="preserve">The UN will also build on its </w:t>
      </w:r>
      <w:r w:rsidRPr="2CEF7665">
        <w:rPr>
          <w:rFonts w:ascii="Calibri" w:eastAsia="Calibri" w:hAnsi="Calibri" w:cs="Calibri"/>
          <w:sz w:val="22"/>
          <w:szCs w:val="22"/>
          <w:lang w:val="en-GB"/>
        </w:rPr>
        <w:t>established relationships at all levels of Government, social partners, communities and civil society to support policy initiatives that lead to more and better jobs throughout the whole country, while facilitating dialogue and promoting inclusive policy making processes which take into account all actors involved, including the government, the social partners, civil society and other development partners.</w:t>
      </w:r>
    </w:p>
    <w:p w14:paraId="7714E662" w14:textId="440926CE" w:rsidR="2CEF7665" w:rsidRDefault="2CEF7665" w:rsidP="2CEF7665">
      <w:pPr>
        <w:jc w:val="both"/>
        <w:rPr>
          <w:rFonts w:ascii="Calibri" w:eastAsia="Calibri" w:hAnsi="Calibri" w:cs="Calibri"/>
          <w:sz w:val="22"/>
          <w:szCs w:val="22"/>
          <w:lang w:val="en-GB"/>
        </w:rPr>
      </w:pPr>
    </w:p>
    <w:p w14:paraId="2A180B32" w14:textId="4C8DC6BE" w:rsidR="4BB3F6D0" w:rsidRDefault="4BB3F6D0" w:rsidP="2CEF7665">
      <w:pPr>
        <w:jc w:val="both"/>
        <w:rPr>
          <w:rFonts w:ascii="Calibri" w:eastAsia="Calibri" w:hAnsi="Calibri" w:cs="Calibri"/>
          <w:sz w:val="22"/>
          <w:szCs w:val="22"/>
          <w:lang w:val="en-GB"/>
        </w:rPr>
      </w:pPr>
      <w:r w:rsidRPr="2CEF7665">
        <w:rPr>
          <w:rFonts w:ascii="Calibri" w:eastAsia="Calibri" w:hAnsi="Calibri" w:cs="Calibri"/>
          <w:sz w:val="22"/>
          <w:szCs w:val="22"/>
          <w:lang w:val="en-GB"/>
        </w:rPr>
        <w:lastRenderedPageBreak/>
        <w:t>The UN will support its partners on the development of policies and programmes that give greater attention to groups of the population which face greater barriers to participate in the economy</w:t>
      </w:r>
      <w:r w:rsidR="13456D78" w:rsidRPr="2CEF7665">
        <w:rPr>
          <w:rFonts w:ascii="Calibri" w:eastAsia="Calibri" w:hAnsi="Calibri" w:cs="Calibri"/>
          <w:sz w:val="22"/>
          <w:szCs w:val="22"/>
          <w:lang w:val="en-GB"/>
        </w:rPr>
        <w:t xml:space="preserve"> </w:t>
      </w:r>
      <w:r w:rsidRPr="2CEF7665">
        <w:rPr>
          <w:rFonts w:ascii="Calibri" w:eastAsia="Calibri" w:hAnsi="Calibri" w:cs="Calibri"/>
          <w:sz w:val="22"/>
          <w:szCs w:val="22"/>
          <w:lang w:val="en-GB"/>
        </w:rPr>
        <w:t>and the labour market</w:t>
      </w:r>
      <w:r w:rsidR="436C5DC2" w:rsidRPr="2CEF7665">
        <w:rPr>
          <w:rFonts w:ascii="Calibri" w:eastAsia="Calibri" w:hAnsi="Calibri" w:cs="Calibri"/>
          <w:sz w:val="22"/>
          <w:szCs w:val="22"/>
          <w:lang w:val="en-GB"/>
        </w:rPr>
        <w:t xml:space="preserve"> (with a focus on rural workers, women, migrants, and persons with disabilities)</w:t>
      </w:r>
      <w:r w:rsidRPr="2CEF7665">
        <w:rPr>
          <w:rFonts w:ascii="Calibri" w:eastAsia="Calibri" w:hAnsi="Calibri" w:cs="Calibri"/>
          <w:sz w:val="22"/>
          <w:szCs w:val="22"/>
          <w:lang w:val="en-GB"/>
        </w:rPr>
        <w:t>, while providing guidance on how such policies and programmes can be tailored to address the specific needs of these groups, enabling them to fully claim their rights.</w:t>
      </w:r>
    </w:p>
    <w:p w14:paraId="51B96EF8" w14:textId="76B3BDCC" w:rsidR="2CEF7665" w:rsidRDefault="2CEF7665" w:rsidP="2CEF7665">
      <w:pPr>
        <w:jc w:val="both"/>
        <w:rPr>
          <w:sz w:val="22"/>
          <w:szCs w:val="22"/>
          <w:lang w:val="en-US"/>
        </w:rPr>
      </w:pPr>
    </w:p>
    <w:p w14:paraId="07BE2323" w14:textId="77777777" w:rsidR="00B254D7" w:rsidRPr="00841766" w:rsidRDefault="00B254D7" w:rsidP="00552AAD">
      <w:pPr>
        <w:autoSpaceDE w:val="0"/>
        <w:autoSpaceDN w:val="0"/>
        <w:adjustRightInd w:val="0"/>
        <w:jc w:val="both"/>
        <w:rPr>
          <w:rFonts w:cs="Times New Roman"/>
          <w:sz w:val="22"/>
          <w:szCs w:val="22"/>
          <w:lang w:val="en-US"/>
        </w:rPr>
      </w:pPr>
    </w:p>
    <w:p w14:paraId="2A639CF5" w14:textId="42199093" w:rsidR="00B254D7" w:rsidRDefault="00B254D7" w:rsidP="00552AAD">
      <w:pPr>
        <w:pStyle w:val="Heading3"/>
        <w:jc w:val="both"/>
        <w:rPr>
          <w:lang w:val="en-US"/>
        </w:rPr>
      </w:pPr>
      <w:bookmarkStart w:id="51" w:name="_Toc40265800"/>
      <w:r w:rsidRPr="00841766">
        <w:rPr>
          <w:lang w:val="en-US"/>
        </w:rPr>
        <w:t>COOPERATION FRAMEWORK OUTCOME 3:</w:t>
      </w:r>
      <w:r w:rsidRPr="00841766">
        <w:rPr>
          <w:rFonts w:cs="Times New Roman"/>
          <w:lang w:val="en-US"/>
        </w:rPr>
        <w:t xml:space="preserve"> </w:t>
      </w:r>
      <w:r w:rsidRPr="00841766">
        <w:rPr>
          <w:lang w:val="en-US"/>
        </w:rPr>
        <w:t>Access to quality education and life-long learning outcomes and skills</w:t>
      </w:r>
      <w:bookmarkEnd w:id="51"/>
    </w:p>
    <w:p w14:paraId="7F1034CC" w14:textId="77777777" w:rsidR="00552AAD" w:rsidRDefault="00552AAD" w:rsidP="00552AAD">
      <w:pPr>
        <w:jc w:val="both"/>
        <w:rPr>
          <w:rFonts w:cs="Times New Roman"/>
          <w:lang w:val="en-US"/>
        </w:rPr>
      </w:pPr>
    </w:p>
    <w:p w14:paraId="4A893D98" w14:textId="2C6D7AE4" w:rsidR="00B254D7" w:rsidRPr="00841766" w:rsidRDefault="00B254D7" w:rsidP="00552AAD">
      <w:pPr>
        <w:jc w:val="both"/>
        <w:rPr>
          <w:rFonts w:eastAsia="Times New Roman" w:cs="Times New Roman"/>
          <w:lang w:val="en-US" w:eastAsia="fr-FR"/>
        </w:rPr>
      </w:pPr>
      <w:r w:rsidRPr="00841766">
        <w:rPr>
          <w:rFonts w:cs="Times New Roman"/>
          <w:lang w:val="en-US"/>
        </w:rPr>
        <w:t>“</w:t>
      </w:r>
      <w:r w:rsidRPr="00841766">
        <w:rPr>
          <w:rFonts w:eastAsia="Times New Roman" w:cs="Calibri"/>
          <w:color w:val="000000"/>
          <w:lang w:val="en-US" w:eastAsia="fr-FR"/>
        </w:rPr>
        <w:t>By 2025, all people of T</w:t>
      </w:r>
      <w:r w:rsidR="00426019" w:rsidRPr="00841766">
        <w:rPr>
          <w:rFonts w:eastAsia="Times New Roman" w:cs="Calibri"/>
          <w:color w:val="000000"/>
          <w:lang w:val="en-US" w:eastAsia="fr-FR"/>
        </w:rPr>
        <w:t>imor-</w:t>
      </w:r>
      <w:r w:rsidRPr="00841766">
        <w:rPr>
          <w:rFonts w:eastAsia="Times New Roman" w:cs="Calibri"/>
          <w:color w:val="000000"/>
          <w:lang w:val="en-US" w:eastAsia="fr-FR"/>
        </w:rPr>
        <w:t>L</w:t>
      </w:r>
      <w:r w:rsidR="00426019" w:rsidRPr="00841766">
        <w:rPr>
          <w:rFonts w:eastAsia="Times New Roman" w:cs="Calibri"/>
          <w:color w:val="000000"/>
          <w:lang w:val="en-US" w:eastAsia="fr-FR"/>
        </w:rPr>
        <w:t>este</w:t>
      </w:r>
      <w:r w:rsidRPr="00841766">
        <w:rPr>
          <w:rFonts w:eastAsia="Times New Roman" w:cs="Calibri"/>
          <w:color w:val="000000"/>
          <w:lang w:val="en-US" w:eastAsia="fr-FR"/>
        </w:rPr>
        <w:t xml:space="preserve">, in particular </w:t>
      </w:r>
      <w:r w:rsidR="00C7169E">
        <w:rPr>
          <w:rFonts w:eastAsia="Times New Roman" w:cs="Calibri"/>
          <w:color w:val="000000"/>
          <w:lang w:val="en-US" w:eastAsia="fr-FR"/>
        </w:rPr>
        <w:t>excluded</w:t>
      </w:r>
      <w:r w:rsidRPr="00841766">
        <w:rPr>
          <w:rFonts w:eastAsia="Times New Roman" w:cs="Calibri"/>
          <w:color w:val="000000"/>
          <w:lang w:val="en-US" w:eastAsia="fr-FR"/>
        </w:rPr>
        <w:t xml:space="preserve"> and disadvantaged groups, have increased access to quality formal and innovative learning pathways (from early childhood though lifelong learning) and acquire foundational, transferable, digital and job-specific skills”</w:t>
      </w:r>
    </w:p>
    <w:p w14:paraId="0E0CBADA" w14:textId="349B2CD4" w:rsidR="00B254D7" w:rsidRDefault="00B254D7" w:rsidP="00552AAD">
      <w:pPr>
        <w:autoSpaceDE w:val="0"/>
        <w:autoSpaceDN w:val="0"/>
        <w:adjustRightInd w:val="0"/>
        <w:jc w:val="both"/>
        <w:rPr>
          <w:rFonts w:cs="Times New Roman"/>
          <w:i/>
          <w:color w:val="1F3864" w:themeColor="accent1" w:themeShade="80"/>
          <w:sz w:val="18"/>
          <w:szCs w:val="18"/>
          <w:lang w:val="en-US"/>
        </w:rPr>
      </w:pPr>
    </w:p>
    <w:p w14:paraId="4013A100" w14:textId="58C66D6F" w:rsidR="009A6647" w:rsidRPr="006E7B96" w:rsidRDefault="009A6647" w:rsidP="00552AAD">
      <w:pPr>
        <w:jc w:val="both"/>
        <w:rPr>
          <w:b/>
          <w:bCs/>
          <w:lang w:val="en-US"/>
        </w:rPr>
      </w:pPr>
      <w:r w:rsidRPr="006E7B96">
        <w:rPr>
          <w:b/>
          <w:bCs/>
          <w:lang w:val="en-US"/>
        </w:rPr>
        <w:t>Intended Development Results</w:t>
      </w:r>
    </w:p>
    <w:p w14:paraId="4F612127" w14:textId="2BDAFA1B" w:rsidR="009A6647" w:rsidRDefault="009A6647" w:rsidP="00552AAD">
      <w:pPr>
        <w:pStyle w:val="ListParagraph"/>
        <w:tabs>
          <w:tab w:val="left" w:pos="284"/>
        </w:tabs>
        <w:spacing w:after="120"/>
        <w:ind w:left="0"/>
        <w:contextualSpacing w:val="0"/>
        <w:jc w:val="both"/>
        <w:rPr>
          <w:sz w:val="22"/>
          <w:szCs w:val="22"/>
          <w:lang w:val="en-US"/>
        </w:rPr>
      </w:pPr>
      <w:r w:rsidRPr="009A6647">
        <w:rPr>
          <w:sz w:val="22"/>
          <w:szCs w:val="22"/>
          <w:lang w:val="en-US"/>
        </w:rPr>
        <w:t>By promoting early childhood education and supporting capacities to develop access to early childhood development, the UNSDCF will support Timor-Leste in laying the f</w:t>
      </w:r>
      <w:r w:rsidRPr="009A6647">
        <w:rPr>
          <w:iCs/>
          <w:sz w:val="22"/>
          <w:szCs w:val="22"/>
          <w:lang w:val="en-US"/>
        </w:rPr>
        <w:t>oundations</w:t>
      </w:r>
      <w:r w:rsidRPr="009A6647">
        <w:rPr>
          <w:sz w:val="22"/>
          <w:szCs w:val="22"/>
          <w:lang w:val="en-US"/>
        </w:rPr>
        <w:t xml:space="preserve"> for the </w:t>
      </w:r>
      <w:r w:rsidRPr="009A6647">
        <w:rPr>
          <w:iCs/>
          <w:sz w:val="22"/>
          <w:szCs w:val="22"/>
          <w:lang w:val="en-US"/>
        </w:rPr>
        <w:t>child's</w:t>
      </w:r>
      <w:r w:rsidRPr="009A6647">
        <w:rPr>
          <w:sz w:val="22"/>
          <w:szCs w:val="22"/>
          <w:lang w:val="en-US"/>
        </w:rPr>
        <w:t xml:space="preserve"> learning and well-being.  Furthermore, by increasing access to inclusive, equitable and quality basic and secondary education and its completion, creating innovative pathways for learning, and developing </w:t>
      </w:r>
      <w:r w:rsidRPr="009A6647">
        <w:rPr>
          <w:rFonts w:cstheme="minorHAnsi"/>
          <w:sz w:val="22"/>
          <w:szCs w:val="22"/>
          <w:lang w:val="en-US"/>
        </w:rPr>
        <w:t>foundational, transferable, digital and job-specific skills,</w:t>
      </w:r>
      <w:r w:rsidRPr="009A6647">
        <w:rPr>
          <w:sz w:val="22"/>
          <w:szCs w:val="22"/>
          <w:lang w:val="en-US"/>
        </w:rPr>
        <w:t xml:space="preserve"> the UNSDCF will seek to the achieve greater learning outcomes for all, including those excluded from the traditional education system.  Accelerated progress in this direction will result in a </w:t>
      </w:r>
      <w:r w:rsidRPr="009A6647">
        <w:rPr>
          <w:rFonts w:cstheme="minorHAnsi"/>
          <w:sz w:val="22"/>
          <w:szCs w:val="22"/>
          <w:shd w:val="clear" w:color="auto" w:fill="FFFFFF"/>
          <w:lang w:val="en-US"/>
        </w:rPr>
        <w:t xml:space="preserve">balanced set of capabilities for children to become economically productive, develop sustainable livelihoods, contribute to peaceful and democratic societies, enhance individual well-being, </w:t>
      </w:r>
      <w:r w:rsidRPr="009A6647">
        <w:rPr>
          <w:sz w:val="22"/>
          <w:szCs w:val="22"/>
          <w:lang w:val="en-US"/>
        </w:rPr>
        <w:t xml:space="preserve">transform gender norms and relationships and reduce poverty and inequalities.  </w:t>
      </w:r>
    </w:p>
    <w:p w14:paraId="5CAC9030" w14:textId="77777777" w:rsidR="006A1634" w:rsidRPr="000135BE" w:rsidRDefault="006A1634" w:rsidP="004C515B">
      <w:pPr>
        <w:rPr>
          <w:b/>
          <w:bCs/>
          <w:lang w:val="pt-PT"/>
        </w:rPr>
      </w:pPr>
      <w:r w:rsidRPr="000135BE">
        <w:rPr>
          <w:b/>
          <w:bCs/>
          <w:lang w:val="pt-PT"/>
        </w:rPr>
        <w:t xml:space="preserve">Partners </w:t>
      </w:r>
    </w:p>
    <w:tbl>
      <w:tblPr>
        <w:tblStyle w:val="TableGrid"/>
        <w:tblW w:w="0" w:type="auto"/>
        <w:tblLook w:val="04A0" w:firstRow="1" w:lastRow="0" w:firstColumn="1" w:lastColumn="0" w:noHBand="0" w:noVBand="1"/>
      </w:tblPr>
      <w:tblGrid>
        <w:gridCol w:w="2515"/>
        <w:gridCol w:w="6837"/>
      </w:tblGrid>
      <w:tr w:rsidR="006A1634" w14:paraId="201DE151" w14:textId="77777777" w:rsidTr="00273B6D">
        <w:tc>
          <w:tcPr>
            <w:tcW w:w="2515" w:type="dxa"/>
          </w:tcPr>
          <w:p w14:paraId="63246EFB" w14:textId="77777777" w:rsidR="006A1634" w:rsidRDefault="006A1634" w:rsidP="004C515B">
            <w:pPr>
              <w:rPr>
                <w:lang w:val="en-US"/>
              </w:rPr>
            </w:pPr>
            <w:r>
              <w:rPr>
                <w:lang w:val="en-US"/>
              </w:rPr>
              <w:t>Government</w:t>
            </w:r>
          </w:p>
        </w:tc>
        <w:tc>
          <w:tcPr>
            <w:tcW w:w="6837" w:type="dxa"/>
          </w:tcPr>
          <w:p w14:paraId="4C136BDD" w14:textId="064E01E2" w:rsidR="006A1634" w:rsidRPr="003C699A" w:rsidRDefault="006A1634" w:rsidP="004C515B">
            <w:pPr>
              <w:rPr>
                <w:bCs/>
                <w:lang w:val="en-US"/>
              </w:rPr>
            </w:pPr>
            <w:r w:rsidRPr="00841766">
              <w:rPr>
                <w:rFonts w:eastAsiaTheme="minorEastAsia" w:hAnsi="Calibri"/>
                <w:color w:val="000000" w:themeColor="text1"/>
                <w:kern w:val="24"/>
                <w:sz w:val="22"/>
                <w:szCs w:val="22"/>
                <w:lang w:val="en-US"/>
              </w:rPr>
              <w:t>Ministry of Education Youth and Sport</w:t>
            </w:r>
            <w:r w:rsidR="00F73C97">
              <w:rPr>
                <w:rFonts w:eastAsiaTheme="minorEastAsia" w:hAnsi="Calibri"/>
                <w:color w:val="000000" w:themeColor="text1"/>
                <w:kern w:val="24"/>
                <w:sz w:val="22"/>
                <w:szCs w:val="22"/>
                <w:lang w:val="en-US"/>
              </w:rPr>
              <w:t>,</w:t>
            </w:r>
            <w:r w:rsidRPr="00841766">
              <w:rPr>
                <w:rFonts w:eastAsiaTheme="minorEastAsia" w:hAnsi="Calibri"/>
                <w:color w:val="000000" w:themeColor="text1"/>
                <w:kern w:val="24"/>
                <w:sz w:val="22"/>
                <w:szCs w:val="22"/>
                <w:lang w:val="en-US"/>
              </w:rPr>
              <w:t xml:space="preserve"> Ministry of Higher Education, Science and Culture</w:t>
            </w:r>
            <w:r>
              <w:rPr>
                <w:rFonts w:eastAsiaTheme="minorEastAsia" w:hAnsi="Calibri"/>
                <w:color w:val="000000" w:themeColor="text1"/>
                <w:kern w:val="24"/>
                <w:sz w:val="22"/>
                <w:szCs w:val="22"/>
                <w:lang w:val="en-US"/>
              </w:rPr>
              <w:t xml:space="preserve">, </w:t>
            </w:r>
            <w:r w:rsidRPr="00841766">
              <w:rPr>
                <w:rFonts w:eastAsiaTheme="minorEastAsia" w:hAnsi="Calibri"/>
                <w:color w:val="000000" w:themeColor="text1"/>
                <w:kern w:val="24"/>
                <w:sz w:val="22"/>
                <w:szCs w:val="22"/>
                <w:lang w:val="en-US"/>
              </w:rPr>
              <w:t>Ministry of Finance</w:t>
            </w:r>
            <w:r>
              <w:rPr>
                <w:rFonts w:eastAsiaTheme="minorEastAsia" w:hAnsi="Calibri"/>
                <w:color w:val="000000" w:themeColor="text1"/>
                <w:kern w:val="24"/>
                <w:sz w:val="22"/>
                <w:szCs w:val="22"/>
                <w:lang w:val="en-US"/>
              </w:rPr>
              <w:t xml:space="preserve">, </w:t>
            </w:r>
            <w:r w:rsidRPr="00841766">
              <w:rPr>
                <w:rFonts w:eastAsiaTheme="minorEastAsia" w:hAnsi="Calibri"/>
                <w:color w:val="000000" w:themeColor="text1"/>
                <w:kern w:val="24"/>
                <w:sz w:val="22"/>
                <w:szCs w:val="22"/>
                <w:lang w:val="en-US"/>
              </w:rPr>
              <w:t>Ministry of Social Solidarity and Inclusion</w:t>
            </w:r>
            <w:r w:rsidR="007E058A">
              <w:rPr>
                <w:rFonts w:eastAsiaTheme="minorEastAsia" w:hAnsi="Calibri"/>
                <w:color w:val="000000" w:themeColor="text1"/>
                <w:kern w:val="24"/>
                <w:sz w:val="22"/>
                <w:szCs w:val="22"/>
                <w:lang w:val="en-US"/>
              </w:rPr>
              <w:t>,</w:t>
            </w:r>
            <w:r w:rsidRPr="00841766">
              <w:rPr>
                <w:rFonts w:eastAsiaTheme="minorEastAsia" w:hAnsi="Calibri"/>
                <w:color w:val="000000" w:themeColor="text1"/>
                <w:kern w:val="24"/>
                <w:sz w:val="22"/>
                <w:szCs w:val="22"/>
                <w:lang w:val="en-US"/>
              </w:rPr>
              <w:t xml:space="preserve"> Ministry of State Administration</w:t>
            </w:r>
            <w:r w:rsidR="007E058A">
              <w:rPr>
                <w:rFonts w:eastAsiaTheme="minorEastAsia" w:hAnsi="Calibri"/>
                <w:color w:val="000000" w:themeColor="text1"/>
                <w:kern w:val="24"/>
                <w:sz w:val="22"/>
                <w:szCs w:val="22"/>
                <w:lang w:val="en-US"/>
              </w:rPr>
              <w:t xml:space="preserve">, </w:t>
            </w:r>
            <w:r w:rsidR="007E058A" w:rsidRPr="00841766">
              <w:rPr>
                <w:rFonts w:eastAsiaTheme="minorEastAsia" w:hAnsi="Calibri"/>
                <w:color w:val="000000" w:themeColor="text1"/>
                <w:kern w:val="24"/>
                <w:sz w:val="22"/>
                <w:szCs w:val="22"/>
                <w:lang w:val="en-US"/>
              </w:rPr>
              <w:t>Secretariat of State for Civil Protection</w:t>
            </w:r>
            <w:r w:rsidR="00CC5428">
              <w:rPr>
                <w:rFonts w:eastAsiaTheme="minorEastAsia" w:hAnsi="Calibri"/>
                <w:color w:val="000000" w:themeColor="text1"/>
                <w:kern w:val="24"/>
                <w:sz w:val="22"/>
                <w:szCs w:val="22"/>
                <w:lang w:val="en-US"/>
              </w:rPr>
              <w:t xml:space="preserve"> and SEFOPE</w:t>
            </w:r>
          </w:p>
        </w:tc>
      </w:tr>
      <w:tr w:rsidR="006A1634" w14:paraId="56BE0ACD" w14:textId="77777777" w:rsidTr="00273B6D">
        <w:tc>
          <w:tcPr>
            <w:tcW w:w="2515" w:type="dxa"/>
          </w:tcPr>
          <w:p w14:paraId="3559A6B6" w14:textId="77777777" w:rsidR="006A1634" w:rsidRDefault="006A1634" w:rsidP="004C515B">
            <w:pPr>
              <w:rPr>
                <w:lang w:val="en-US"/>
              </w:rPr>
            </w:pPr>
            <w:r>
              <w:rPr>
                <w:lang w:val="en-US"/>
              </w:rPr>
              <w:t>UN</w:t>
            </w:r>
          </w:p>
        </w:tc>
        <w:tc>
          <w:tcPr>
            <w:tcW w:w="6837" w:type="dxa"/>
          </w:tcPr>
          <w:p w14:paraId="4B5D5621" w14:textId="566BEA76" w:rsidR="006A1634" w:rsidRPr="003C699A" w:rsidRDefault="006A1634" w:rsidP="004C515B">
            <w:pPr>
              <w:rPr>
                <w:bCs/>
                <w:lang w:val="en-US"/>
              </w:rPr>
            </w:pPr>
            <w:r w:rsidRPr="00841766">
              <w:rPr>
                <w:rFonts w:cstheme="minorHAnsi"/>
                <w:sz w:val="22"/>
                <w:szCs w:val="22"/>
                <w:lang w:val="en-US"/>
              </w:rPr>
              <w:t>FAO</w:t>
            </w:r>
            <w:r>
              <w:rPr>
                <w:rFonts w:cstheme="minorHAnsi"/>
                <w:sz w:val="22"/>
                <w:szCs w:val="22"/>
                <w:lang w:val="en-US"/>
              </w:rPr>
              <w:t xml:space="preserve">, </w:t>
            </w:r>
            <w:r w:rsidRPr="00841766">
              <w:rPr>
                <w:rFonts w:cstheme="minorHAnsi"/>
                <w:sz w:val="22"/>
                <w:szCs w:val="22"/>
                <w:lang w:val="en-US"/>
              </w:rPr>
              <w:t>IOM</w:t>
            </w:r>
            <w:r>
              <w:rPr>
                <w:rFonts w:cstheme="minorHAnsi"/>
                <w:sz w:val="22"/>
                <w:szCs w:val="22"/>
                <w:lang w:val="en-US"/>
              </w:rPr>
              <w:t>,</w:t>
            </w:r>
            <w:r w:rsidRPr="00841766">
              <w:rPr>
                <w:rFonts w:cstheme="minorHAnsi"/>
                <w:sz w:val="22"/>
                <w:szCs w:val="22"/>
                <w:lang w:val="en-US"/>
              </w:rPr>
              <w:t xml:space="preserve"> UNDP</w:t>
            </w:r>
            <w:r>
              <w:rPr>
                <w:rFonts w:cstheme="minorHAnsi"/>
                <w:sz w:val="22"/>
                <w:szCs w:val="22"/>
                <w:lang w:val="en-US"/>
              </w:rPr>
              <w:t xml:space="preserve">, </w:t>
            </w:r>
            <w:r w:rsidRPr="00841766">
              <w:rPr>
                <w:rFonts w:cstheme="minorHAnsi"/>
                <w:sz w:val="22"/>
                <w:szCs w:val="22"/>
                <w:lang w:val="en-US"/>
              </w:rPr>
              <w:t>UNESCO</w:t>
            </w:r>
            <w:r>
              <w:rPr>
                <w:rFonts w:cstheme="minorHAnsi"/>
                <w:sz w:val="22"/>
                <w:szCs w:val="22"/>
                <w:lang w:val="en-US"/>
              </w:rPr>
              <w:t xml:space="preserve">, </w:t>
            </w:r>
            <w:r w:rsidRPr="00841766">
              <w:rPr>
                <w:rFonts w:cstheme="minorHAnsi"/>
                <w:sz w:val="22"/>
                <w:szCs w:val="22"/>
                <w:lang w:val="en-US"/>
              </w:rPr>
              <w:t>UNICEF, WFP, WHO</w:t>
            </w:r>
          </w:p>
        </w:tc>
      </w:tr>
      <w:tr w:rsidR="006A1634" w14:paraId="342D1F61" w14:textId="77777777" w:rsidTr="00273B6D">
        <w:tc>
          <w:tcPr>
            <w:tcW w:w="2515" w:type="dxa"/>
          </w:tcPr>
          <w:p w14:paraId="53B13A01" w14:textId="77777777" w:rsidR="006A1634" w:rsidRDefault="006A1634" w:rsidP="004C515B">
            <w:pPr>
              <w:rPr>
                <w:lang w:val="en-US"/>
              </w:rPr>
            </w:pPr>
            <w:r>
              <w:rPr>
                <w:lang w:val="en-US"/>
              </w:rPr>
              <w:t>Other</w:t>
            </w:r>
          </w:p>
        </w:tc>
        <w:tc>
          <w:tcPr>
            <w:tcW w:w="6837" w:type="dxa"/>
          </w:tcPr>
          <w:p w14:paraId="5D0CFB4E" w14:textId="5B7D2E6C" w:rsidR="00192BE6" w:rsidRPr="00192BE6" w:rsidRDefault="006A1634" w:rsidP="004C515B">
            <w:pPr>
              <w:rPr>
                <w:rFonts w:eastAsiaTheme="minorEastAsia" w:hAnsi="Calibri"/>
                <w:color w:val="000000" w:themeColor="text1"/>
                <w:kern w:val="24"/>
                <w:sz w:val="22"/>
                <w:szCs w:val="22"/>
                <w:lang w:val="en-US"/>
              </w:rPr>
            </w:pPr>
            <w:r w:rsidRPr="00192BE6">
              <w:rPr>
                <w:rFonts w:eastAsiaTheme="minorEastAsia" w:hAnsi="Calibri"/>
                <w:color w:val="000000" w:themeColor="text1"/>
                <w:kern w:val="24"/>
                <w:sz w:val="22"/>
                <w:szCs w:val="22"/>
                <w:lang w:val="en-US"/>
              </w:rPr>
              <w:t>World Bank, Bilateral partners, local authorities/municipalities, development partners including civil society</w:t>
            </w:r>
            <w:r w:rsidR="00192BE6" w:rsidRPr="00192BE6">
              <w:rPr>
                <w:rFonts w:eastAsiaTheme="minorEastAsia" w:hAnsi="Calibri"/>
                <w:color w:val="000000" w:themeColor="text1"/>
                <w:kern w:val="24"/>
                <w:sz w:val="22"/>
                <w:szCs w:val="22"/>
                <w:lang w:val="en-US"/>
              </w:rPr>
              <w:t>,</w:t>
            </w:r>
            <w:r w:rsidRPr="00192BE6">
              <w:rPr>
                <w:rFonts w:eastAsiaTheme="minorEastAsia" w:hAnsi="Calibri"/>
                <w:color w:val="000000" w:themeColor="text1"/>
                <w:kern w:val="24"/>
                <w:sz w:val="22"/>
                <w:szCs w:val="22"/>
                <w:lang w:val="en-US"/>
              </w:rPr>
              <w:t xml:space="preserve"> </w:t>
            </w:r>
            <w:r w:rsidR="00192BE6" w:rsidRPr="00841766">
              <w:rPr>
                <w:rFonts w:eastAsiaTheme="minorEastAsia" w:hAnsi="Calibri"/>
                <w:color w:val="000000" w:themeColor="text1"/>
                <w:kern w:val="24"/>
                <w:sz w:val="22"/>
                <w:szCs w:val="22"/>
                <w:lang w:val="en-US"/>
              </w:rPr>
              <w:t xml:space="preserve">Private sector including </w:t>
            </w:r>
            <w:r w:rsidR="003C63E3">
              <w:rPr>
                <w:rFonts w:eastAsiaTheme="minorEastAsia" w:hAnsi="Calibri"/>
                <w:color w:val="000000" w:themeColor="text1"/>
                <w:kern w:val="24"/>
                <w:sz w:val="22"/>
                <w:szCs w:val="22"/>
                <w:lang w:val="en-US"/>
              </w:rPr>
              <w:t xml:space="preserve">public and </w:t>
            </w:r>
            <w:r w:rsidR="00192BE6" w:rsidRPr="00841766">
              <w:rPr>
                <w:rFonts w:eastAsiaTheme="minorEastAsia" w:hAnsi="Calibri"/>
                <w:color w:val="000000" w:themeColor="text1"/>
                <w:kern w:val="24"/>
                <w:sz w:val="22"/>
                <w:szCs w:val="22"/>
                <w:lang w:val="en-US"/>
              </w:rPr>
              <w:t>private schools; Universities, Parent</w:t>
            </w:r>
            <w:r w:rsidR="003C63E3">
              <w:rPr>
                <w:rFonts w:eastAsiaTheme="minorEastAsia" w:hAnsi="Calibri"/>
                <w:color w:val="000000" w:themeColor="text1"/>
                <w:kern w:val="24"/>
                <w:sz w:val="22"/>
                <w:szCs w:val="22"/>
                <w:lang w:val="en-US"/>
              </w:rPr>
              <w:t>s</w:t>
            </w:r>
            <w:r w:rsidR="00192BE6" w:rsidRPr="00841766">
              <w:rPr>
                <w:rFonts w:eastAsiaTheme="minorEastAsia" w:hAnsi="Calibri"/>
                <w:color w:val="000000" w:themeColor="text1"/>
                <w:kern w:val="24"/>
                <w:sz w:val="22"/>
                <w:szCs w:val="22"/>
                <w:lang w:val="en-US"/>
              </w:rPr>
              <w:t xml:space="preserve"> </w:t>
            </w:r>
            <w:r w:rsidR="003C63E3">
              <w:rPr>
                <w:rFonts w:eastAsiaTheme="minorEastAsia" w:hAnsi="Calibri"/>
                <w:color w:val="000000" w:themeColor="text1"/>
                <w:kern w:val="24"/>
                <w:sz w:val="22"/>
                <w:szCs w:val="22"/>
                <w:lang w:val="en-US"/>
              </w:rPr>
              <w:t>A</w:t>
            </w:r>
            <w:r w:rsidR="00192BE6" w:rsidRPr="00841766">
              <w:rPr>
                <w:rFonts w:eastAsiaTheme="minorEastAsia" w:hAnsi="Calibri"/>
                <w:color w:val="000000" w:themeColor="text1"/>
                <w:kern w:val="24"/>
                <w:sz w:val="22"/>
                <w:szCs w:val="22"/>
                <w:lang w:val="en-US"/>
              </w:rPr>
              <w:t>ssociations;</w:t>
            </w:r>
            <w:r w:rsidR="00192BE6" w:rsidRPr="00192BE6">
              <w:rPr>
                <w:rFonts w:eastAsiaTheme="minorEastAsia" w:hAnsi="Calibri"/>
                <w:color w:val="000000" w:themeColor="text1"/>
                <w:kern w:val="24"/>
                <w:sz w:val="22"/>
                <w:szCs w:val="22"/>
                <w:lang w:val="en-US"/>
              </w:rPr>
              <w:t xml:space="preserve"> </w:t>
            </w:r>
            <w:r w:rsidR="00192BE6" w:rsidRPr="00841766">
              <w:rPr>
                <w:rFonts w:eastAsiaTheme="minorEastAsia" w:hAnsi="Calibri"/>
                <w:color w:val="000000" w:themeColor="text1"/>
                <w:kern w:val="24"/>
                <w:sz w:val="22"/>
                <w:szCs w:val="22"/>
                <w:lang w:val="en-US"/>
              </w:rPr>
              <w:t xml:space="preserve">Students </w:t>
            </w:r>
            <w:r w:rsidR="003C63E3">
              <w:rPr>
                <w:rFonts w:eastAsiaTheme="minorEastAsia" w:hAnsi="Calibri"/>
                <w:color w:val="000000" w:themeColor="text1"/>
                <w:kern w:val="24"/>
                <w:sz w:val="22"/>
                <w:szCs w:val="22"/>
                <w:lang w:val="en-US"/>
              </w:rPr>
              <w:t>C</w:t>
            </w:r>
            <w:r w:rsidR="00192BE6" w:rsidRPr="00841766">
              <w:rPr>
                <w:rFonts w:eastAsiaTheme="minorEastAsia" w:hAnsi="Calibri"/>
                <w:color w:val="000000" w:themeColor="text1"/>
                <w:kern w:val="24"/>
                <w:sz w:val="22"/>
                <w:szCs w:val="22"/>
                <w:lang w:val="en-US"/>
              </w:rPr>
              <w:t>ouncils</w:t>
            </w:r>
            <w:r w:rsidR="00192BE6">
              <w:rPr>
                <w:rFonts w:eastAsiaTheme="minorEastAsia" w:hAnsi="Calibri"/>
                <w:color w:val="000000" w:themeColor="text1"/>
                <w:kern w:val="24"/>
                <w:sz w:val="22"/>
                <w:szCs w:val="22"/>
                <w:lang w:val="en-US"/>
              </w:rPr>
              <w:t xml:space="preserve">, </w:t>
            </w:r>
            <w:proofErr w:type="spellStart"/>
            <w:r w:rsidR="00192BE6" w:rsidRPr="00192BE6">
              <w:rPr>
                <w:rFonts w:eastAsiaTheme="minorEastAsia" w:hAnsi="Calibri"/>
                <w:color w:val="000000" w:themeColor="text1"/>
                <w:kern w:val="24"/>
                <w:sz w:val="22"/>
                <w:szCs w:val="22"/>
                <w:lang w:val="en-US"/>
              </w:rPr>
              <w:t>Alola</w:t>
            </w:r>
            <w:proofErr w:type="spellEnd"/>
            <w:r w:rsidR="00192BE6" w:rsidRPr="00192BE6">
              <w:rPr>
                <w:rFonts w:eastAsiaTheme="minorEastAsia" w:hAnsi="Calibri"/>
                <w:color w:val="000000" w:themeColor="text1"/>
                <w:kern w:val="24"/>
                <w:sz w:val="22"/>
                <w:szCs w:val="22"/>
                <w:lang w:val="en-US"/>
              </w:rPr>
              <w:t xml:space="preserve"> Foundation</w:t>
            </w:r>
            <w:r w:rsidR="003F4865">
              <w:rPr>
                <w:rFonts w:eastAsiaTheme="minorEastAsia" w:hAnsi="Calibri"/>
                <w:color w:val="000000" w:themeColor="text1"/>
                <w:kern w:val="24"/>
                <w:sz w:val="22"/>
                <w:szCs w:val="22"/>
                <w:lang w:val="en-US"/>
              </w:rPr>
              <w:t>, Plan International, DFAT</w:t>
            </w:r>
            <w:r w:rsidR="00192BE6" w:rsidRPr="00192BE6">
              <w:rPr>
                <w:rFonts w:eastAsiaTheme="minorEastAsia" w:hAnsi="Calibri"/>
                <w:color w:val="000000" w:themeColor="text1"/>
                <w:kern w:val="24"/>
                <w:sz w:val="22"/>
                <w:szCs w:val="22"/>
                <w:lang w:val="en-US"/>
              </w:rPr>
              <w:t xml:space="preserve"> </w:t>
            </w:r>
          </w:p>
          <w:p w14:paraId="510B28E8" w14:textId="5611D486" w:rsidR="006A1634" w:rsidRPr="003C699A" w:rsidRDefault="006A1634" w:rsidP="004C515B">
            <w:pPr>
              <w:rPr>
                <w:bCs/>
                <w:lang w:val="en-US"/>
              </w:rPr>
            </w:pPr>
          </w:p>
        </w:tc>
      </w:tr>
    </w:tbl>
    <w:p w14:paraId="666F7370" w14:textId="77777777" w:rsidR="006A1634" w:rsidRPr="00841766" w:rsidRDefault="006A1634" w:rsidP="004C515B">
      <w:pPr>
        <w:autoSpaceDE w:val="0"/>
        <w:autoSpaceDN w:val="0"/>
        <w:adjustRightInd w:val="0"/>
        <w:rPr>
          <w:rFonts w:cs="Times New Roman"/>
          <w:i/>
          <w:color w:val="1F3864" w:themeColor="accent1" w:themeShade="80"/>
          <w:sz w:val="18"/>
          <w:szCs w:val="18"/>
          <w:lang w:val="en-US"/>
        </w:rPr>
      </w:pPr>
    </w:p>
    <w:p w14:paraId="00CEDFEB" w14:textId="77777777" w:rsidR="00677CBE" w:rsidRDefault="00677CBE" w:rsidP="004C515B">
      <w:pPr>
        <w:rPr>
          <w:b/>
          <w:bCs/>
          <w:lang w:val="en-US"/>
        </w:rPr>
      </w:pPr>
      <w:bookmarkStart w:id="52" w:name="_Toc29540794"/>
      <w:bookmarkStart w:id="53" w:name="_Toc29550726"/>
      <w:bookmarkStart w:id="54" w:name="_Toc29550821"/>
      <w:bookmarkStart w:id="55" w:name="_Toc29900355"/>
      <w:bookmarkStart w:id="56" w:name="_Toc30407938"/>
      <w:bookmarkStart w:id="57" w:name="_Toc31376344"/>
    </w:p>
    <w:p w14:paraId="63339692" w14:textId="4270EA07" w:rsidR="009265A9" w:rsidRPr="000135BE" w:rsidRDefault="009265A9" w:rsidP="004C515B">
      <w:pPr>
        <w:rPr>
          <w:b/>
          <w:bCs/>
          <w:lang w:val="en-US"/>
        </w:rPr>
      </w:pPr>
      <w:r w:rsidRPr="000135BE">
        <w:rPr>
          <w:b/>
          <w:bCs/>
          <w:lang w:val="en-US"/>
        </w:rPr>
        <w:t>Theory of change underpinning outcome 3</w:t>
      </w:r>
      <w:bookmarkEnd w:id="52"/>
      <w:bookmarkEnd w:id="53"/>
      <w:bookmarkEnd w:id="54"/>
      <w:bookmarkEnd w:id="55"/>
      <w:bookmarkEnd w:id="56"/>
      <w:bookmarkEnd w:id="57"/>
    </w:p>
    <w:p w14:paraId="05081A7D" w14:textId="77777777" w:rsidR="009265A9" w:rsidRPr="00841766" w:rsidRDefault="009265A9" w:rsidP="004C515B">
      <w:pPr>
        <w:rPr>
          <w:b/>
          <w:lang w:val="en-US"/>
        </w:rPr>
      </w:pPr>
    </w:p>
    <w:p w14:paraId="22ECD3A0" w14:textId="14B1C02F" w:rsidR="009265A9" w:rsidRPr="00841766" w:rsidRDefault="009265A9" w:rsidP="004C515B">
      <w:pPr>
        <w:rPr>
          <w:b/>
          <w:lang w:val="en-US"/>
        </w:rPr>
      </w:pPr>
    </w:p>
    <w:p w14:paraId="727F6D06" w14:textId="77777777" w:rsidR="009265A9" w:rsidRPr="00841766" w:rsidRDefault="009265A9" w:rsidP="004C515B">
      <w:pPr>
        <w:autoSpaceDE w:val="0"/>
        <w:autoSpaceDN w:val="0"/>
        <w:adjustRightInd w:val="0"/>
        <w:rPr>
          <w:rFonts w:cs="Times New Roman"/>
          <w:sz w:val="22"/>
          <w:szCs w:val="22"/>
          <w:lang w:val="en-US"/>
        </w:rPr>
      </w:pPr>
    </w:p>
    <w:p w14:paraId="1D867F76" w14:textId="0226775C" w:rsidR="009265A9" w:rsidRPr="00841766" w:rsidRDefault="00A46154" w:rsidP="004C515B">
      <w:pPr>
        <w:autoSpaceDE w:val="0"/>
        <w:autoSpaceDN w:val="0"/>
        <w:adjustRightInd w:val="0"/>
        <w:ind w:left="1134"/>
        <w:rPr>
          <w:rFonts w:cs="Times New Roman"/>
          <w:sz w:val="22"/>
          <w:szCs w:val="22"/>
          <w:lang w:val="en-US"/>
        </w:rPr>
      </w:pPr>
      <w:r w:rsidRPr="00841766">
        <w:rPr>
          <w:b/>
          <w:noProof/>
          <w:lang w:val="en-US"/>
        </w:rPr>
        <w:lastRenderedPageBreak/>
        <mc:AlternateContent>
          <mc:Choice Requires="wps">
            <w:drawing>
              <wp:anchor distT="0" distB="0" distL="114300" distR="114300" simplePos="0" relativeHeight="251666432" behindDoc="1" locked="0" layoutInCell="1" allowOverlap="1" wp14:anchorId="4BD48425" wp14:editId="76D95F1E">
                <wp:simplePos x="0" y="0"/>
                <wp:positionH relativeFrom="column">
                  <wp:posOffset>835837</wp:posOffset>
                </wp:positionH>
                <wp:positionV relativeFrom="paragraph">
                  <wp:posOffset>-209595</wp:posOffset>
                </wp:positionV>
                <wp:extent cx="4329723" cy="4048369"/>
                <wp:effectExtent l="0" t="0" r="13970" b="15875"/>
                <wp:wrapNone/>
                <wp:docPr id="17" name="Ellipse 17"/>
                <wp:cNvGraphicFramePr/>
                <a:graphic xmlns:a="http://schemas.openxmlformats.org/drawingml/2006/main">
                  <a:graphicData uri="http://schemas.microsoft.com/office/word/2010/wordprocessingShape">
                    <wps:wsp>
                      <wps:cNvSpPr/>
                      <wps:spPr>
                        <a:xfrm>
                          <a:off x="0" y="0"/>
                          <a:ext cx="4329723" cy="4048369"/>
                        </a:xfrm>
                        <a:prstGeom prst="ellipse">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285D5" w14:textId="77777777" w:rsidR="006C70F3" w:rsidRDefault="006C70F3" w:rsidP="009265A9">
                            <w:pPr>
                              <w:jc w:val="center"/>
                              <w:rPr>
                                <w:b/>
                                <w:color w:val="FFFFFF" w:themeColor="background1"/>
                                <w:sz w:val="32"/>
                                <w:lang w:val="en-US"/>
                              </w:rPr>
                            </w:pPr>
                          </w:p>
                          <w:p w14:paraId="6E652115" w14:textId="77777777" w:rsidR="006C70F3" w:rsidRDefault="006C70F3" w:rsidP="009265A9">
                            <w:pPr>
                              <w:jc w:val="center"/>
                              <w:rPr>
                                <w:b/>
                                <w:color w:val="FFFFFF" w:themeColor="background1"/>
                                <w:sz w:val="32"/>
                                <w:lang w:val="en-US"/>
                              </w:rPr>
                            </w:pPr>
                          </w:p>
                          <w:p w14:paraId="38B31858" w14:textId="77777777" w:rsidR="006C70F3" w:rsidRDefault="006C70F3" w:rsidP="009265A9">
                            <w:pPr>
                              <w:jc w:val="center"/>
                              <w:rPr>
                                <w:b/>
                                <w:color w:val="FFFFFF" w:themeColor="background1"/>
                                <w:sz w:val="32"/>
                                <w:lang w:val="en-US"/>
                              </w:rPr>
                            </w:pPr>
                          </w:p>
                          <w:p w14:paraId="49B9A93B" w14:textId="77777777" w:rsidR="006C70F3" w:rsidRDefault="006C70F3" w:rsidP="009265A9">
                            <w:pPr>
                              <w:jc w:val="center"/>
                              <w:rPr>
                                <w:b/>
                                <w:color w:val="FFFFFF" w:themeColor="background1"/>
                                <w:sz w:val="32"/>
                                <w:lang w:val="en-US"/>
                              </w:rPr>
                            </w:pPr>
                          </w:p>
                          <w:p w14:paraId="729E1E4A" w14:textId="77777777" w:rsidR="006C70F3" w:rsidRDefault="006C70F3" w:rsidP="009265A9">
                            <w:pPr>
                              <w:jc w:val="center"/>
                              <w:rPr>
                                <w:b/>
                                <w:color w:val="FFFFFF" w:themeColor="background1"/>
                                <w:sz w:val="32"/>
                                <w:lang w:val="en-US"/>
                              </w:rPr>
                            </w:pPr>
                          </w:p>
                          <w:p w14:paraId="36FCDF44" w14:textId="77777777" w:rsidR="006C70F3" w:rsidRDefault="006C70F3" w:rsidP="009265A9">
                            <w:pPr>
                              <w:jc w:val="right"/>
                              <w:rPr>
                                <w:b/>
                                <w:color w:val="FFFFFF" w:themeColor="background1"/>
                                <w:sz w:val="32"/>
                                <w:lang w:val="en-US"/>
                              </w:rPr>
                            </w:pPr>
                          </w:p>
                          <w:p w14:paraId="1E0DFA37" w14:textId="77777777" w:rsidR="006C70F3" w:rsidRDefault="006C70F3" w:rsidP="009265A9">
                            <w:pPr>
                              <w:jc w:val="right"/>
                              <w:rPr>
                                <w:b/>
                                <w:color w:val="FFFFFF" w:themeColor="background1"/>
                                <w:sz w:val="32"/>
                                <w:lang w:val="en-US"/>
                              </w:rPr>
                            </w:pPr>
                          </w:p>
                          <w:p w14:paraId="1944C089" w14:textId="77777777" w:rsidR="006C70F3" w:rsidRDefault="006C70F3" w:rsidP="009265A9">
                            <w:pPr>
                              <w:jc w:val="right"/>
                              <w:rPr>
                                <w:b/>
                                <w:color w:val="FFFFFF" w:themeColor="background1"/>
                                <w:sz w:val="32"/>
                                <w:lang w:val="en-US"/>
                              </w:rPr>
                            </w:pPr>
                          </w:p>
                          <w:p w14:paraId="7D9B1637" w14:textId="77777777" w:rsidR="006C70F3" w:rsidRDefault="006C70F3" w:rsidP="009265A9">
                            <w:pPr>
                              <w:jc w:val="right"/>
                              <w:rPr>
                                <w:b/>
                                <w:color w:val="FFFFFF" w:themeColor="background1"/>
                                <w:sz w:val="32"/>
                                <w:lang w:val="en-US"/>
                              </w:rPr>
                            </w:pPr>
                          </w:p>
                          <w:p w14:paraId="41B04300" w14:textId="77777777" w:rsidR="006C70F3" w:rsidRPr="00A94A11" w:rsidRDefault="006C70F3" w:rsidP="009265A9">
                            <w:pPr>
                              <w:jc w:val="center"/>
                              <w:rPr>
                                <w:b/>
                                <w:color w:val="FFFFFF" w:themeColor="background1"/>
                                <w:sz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D48425" id="Ellipse 17" o:spid="_x0000_s1031" style="position:absolute;left:0;text-align:left;margin-left:65.8pt;margin-top:-16.5pt;width:340.9pt;height:3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" fillcolor="#f4b083 [1941]" strokecolor="black [3213]" strokeweight="1pt">
                <v:stroke joinstyle="miter"/>
                <v:textbox>
                  <w:txbxContent>
                    <w:p w14:paraId="73D285D5" w14:textId="77777777" w:rsidR="006C70F3" w:rsidRDefault="006C70F3" w:rsidP="009265A9">
                      <w:pPr>
                        <w:jc w:val="center"/>
                        <w:rPr>
                          <w:b/>
                          <w:color w:val="FFFFFF" w:themeColor="background1"/>
                          <w:sz w:val="32"/>
                          <w:lang w:val="en-US"/>
                        </w:rPr>
                      </w:pPr>
                    </w:p>
                    <w:p w14:paraId="6E652115" w14:textId="77777777" w:rsidR="006C70F3" w:rsidRDefault="006C70F3" w:rsidP="009265A9">
                      <w:pPr>
                        <w:jc w:val="center"/>
                        <w:rPr>
                          <w:b/>
                          <w:color w:val="FFFFFF" w:themeColor="background1"/>
                          <w:sz w:val="32"/>
                          <w:lang w:val="en-US"/>
                        </w:rPr>
                      </w:pPr>
                    </w:p>
                    <w:p w14:paraId="38B31858" w14:textId="77777777" w:rsidR="006C70F3" w:rsidRDefault="006C70F3" w:rsidP="009265A9">
                      <w:pPr>
                        <w:jc w:val="center"/>
                        <w:rPr>
                          <w:b/>
                          <w:color w:val="FFFFFF" w:themeColor="background1"/>
                          <w:sz w:val="32"/>
                          <w:lang w:val="en-US"/>
                        </w:rPr>
                      </w:pPr>
                    </w:p>
                    <w:p w14:paraId="49B9A93B" w14:textId="77777777" w:rsidR="006C70F3" w:rsidRDefault="006C70F3" w:rsidP="009265A9">
                      <w:pPr>
                        <w:jc w:val="center"/>
                        <w:rPr>
                          <w:b/>
                          <w:color w:val="FFFFFF" w:themeColor="background1"/>
                          <w:sz w:val="32"/>
                          <w:lang w:val="en-US"/>
                        </w:rPr>
                      </w:pPr>
                    </w:p>
                    <w:p w14:paraId="729E1E4A" w14:textId="77777777" w:rsidR="006C70F3" w:rsidRDefault="006C70F3" w:rsidP="009265A9">
                      <w:pPr>
                        <w:jc w:val="center"/>
                        <w:rPr>
                          <w:b/>
                          <w:color w:val="FFFFFF" w:themeColor="background1"/>
                          <w:sz w:val="32"/>
                          <w:lang w:val="en-US"/>
                        </w:rPr>
                      </w:pPr>
                    </w:p>
                    <w:p w14:paraId="36FCDF44" w14:textId="77777777" w:rsidR="006C70F3" w:rsidRDefault="006C70F3" w:rsidP="009265A9">
                      <w:pPr>
                        <w:jc w:val="right"/>
                        <w:rPr>
                          <w:b/>
                          <w:color w:val="FFFFFF" w:themeColor="background1"/>
                          <w:sz w:val="32"/>
                          <w:lang w:val="en-US"/>
                        </w:rPr>
                      </w:pPr>
                    </w:p>
                    <w:p w14:paraId="1E0DFA37" w14:textId="77777777" w:rsidR="006C70F3" w:rsidRDefault="006C70F3" w:rsidP="009265A9">
                      <w:pPr>
                        <w:jc w:val="right"/>
                        <w:rPr>
                          <w:b/>
                          <w:color w:val="FFFFFF" w:themeColor="background1"/>
                          <w:sz w:val="32"/>
                          <w:lang w:val="en-US"/>
                        </w:rPr>
                      </w:pPr>
                    </w:p>
                    <w:p w14:paraId="1944C089" w14:textId="77777777" w:rsidR="006C70F3" w:rsidRDefault="006C70F3" w:rsidP="009265A9">
                      <w:pPr>
                        <w:jc w:val="right"/>
                        <w:rPr>
                          <w:b/>
                          <w:color w:val="FFFFFF" w:themeColor="background1"/>
                          <w:sz w:val="32"/>
                          <w:lang w:val="en-US"/>
                        </w:rPr>
                      </w:pPr>
                    </w:p>
                    <w:p w14:paraId="7D9B1637" w14:textId="77777777" w:rsidR="006C70F3" w:rsidRDefault="006C70F3" w:rsidP="009265A9">
                      <w:pPr>
                        <w:jc w:val="right"/>
                        <w:rPr>
                          <w:b/>
                          <w:color w:val="FFFFFF" w:themeColor="background1"/>
                          <w:sz w:val="32"/>
                          <w:lang w:val="en-US"/>
                        </w:rPr>
                      </w:pPr>
                    </w:p>
                    <w:p w14:paraId="41B04300" w14:textId="77777777" w:rsidR="006C70F3" w:rsidRPr="00A94A11" w:rsidRDefault="006C70F3" w:rsidP="009265A9">
                      <w:pPr>
                        <w:jc w:val="center"/>
                        <w:rPr>
                          <w:b/>
                          <w:color w:val="FFFFFF" w:themeColor="background1"/>
                          <w:sz w:val="32"/>
                          <w:lang w:val="en-US"/>
                        </w:rPr>
                      </w:pPr>
                    </w:p>
                  </w:txbxContent>
                </v:textbox>
              </v:oval>
            </w:pict>
          </mc:Fallback>
        </mc:AlternateContent>
      </w:r>
      <w:r w:rsidR="009265A9" w:rsidRPr="00841766">
        <w:rPr>
          <w:rFonts w:cs="Times New Roman"/>
          <w:i/>
          <w:noProof/>
          <w:color w:val="1F3864" w:themeColor="accent1" w:themeShade="80"/>
          <w:sz w:val="18"/>
          <w:szCs w:val="18"/>
          <w:lang w:val="en-US"/>
        </w:rPr>
        <mc:AlternateContent>
          <mc:Choice Requires="wps">
            <w:drawing>
              <wp:anchor distT="0" distB="0" distL="114300" distR="114300" simplePos="0" relativeHeight="251667456" behindDoc="0" locked="0" layoutInCell="1" allowOverlap="1" wp14:anchorId="166498B8" wp14:editId="2C439313">
                <wp:simplePos x="0" y="0"/>
                <wp:positionH relativeFrom="column">
                  <wp:posOffset>4234668</wp:posOffset>
                </wp:positionH>
                <wp:positionV relativeFrom="paragraph">
                  <wp:posOffset>268410</wp:posOffset>
                </wp:positionV>
                <wp:extent cx="2361363" cy="969108"/>
                <wp:effectExtent l="12700" t="12700" r="13970" b="8890"/>
                <wp:wrapNone/>
                <wp:docPr id="18" name="Zone de texte 18"/>
                <wp:cNvGraphicFramePr/>
                <a:graphic xmlns:a="http://schemas.openxmlformats.org/drawingml/2006/main">
                  <a:graphicData uri="http://schemas.microsoft.com/office/word/2010/wordprocessingShape">
                    <wps:wsp>
                      <wps:cNvSpPr txBox="1"/>
                      <wps:spPr>
                        <a:xfrm>
                          <a:off x="0" y="0"/>
                          <a:ext cx="2361363" cy="969108"/>
                        </a:xfrm>
                        <a:prstGeom prst="rect">
                          <a:avLst/>
                        </a:prstGeom>
                        <a:solidFill>
                          <a:schemeClr val="accent2">
                            <a:lumMod val="60000"/>
                            <a:lumOff val="40000"/>
                          </a:schemeClr>
                        </a:solidFill>
                        <a:ln w="19050">
                          <a:solidFill>
                            <a:prstClr val="black"/>
                          </a:solidFill>
                        </a:ln>
                      </wps:spPr>
                      <wps:txbx>
                        <w:txbxContent>
                          <w:p w14:paraId="0AC0E492" w14:textId="77777777" w:rsidR="006C70F3" w:rsidRPr="00B8339B" w:rsidRDefault="006C70F3" w:rsidP="009265A9">
                            <w:pPr>
                              <w:shd w:val="clear" w:color="auto" w:fill="F4B083" w:themeFill="accent2" w:themeFillTint="99"/>
                              <w:rPr>
                                <w:b/>
                                <w:sz w:val="20"/>
                                <w:szCs w:val="20"/>
                                <w:lang w:val="en-US"/>
                              </w:rPr>
                            </w:pPr>
                            <w:r>
                              <w:rPr>
                                <w:b/>
                                <w:sz w:val="20"/>
                                <w:szCs w:val="20"/>
                                <w:lang w:val="en-US"/>
                              </w:rPr>
                              <w:t>HUMAN CAPITAL</w:t>
                            </w:r>
                            <w:r w:rsidRPr="00B8339B">
                              <w:rPr>
                                <w:b/>
                                <w:sz w:val="20"/>
                                <w:szCs w:val="20"/>
                                <w:lang w:val="en-US"/>
                              </w:rPr>
                              <w:t>/ POVERTY REDUCTION</w:t>
                            </w:r>
                          </w:p>
                          <w:p w14:paraId="250D76C1" w14:textId="77777777" w:rsidR="006C70F3" w:rsidRDefault="006C70F3" w:rsidP="00AA78BD">
                            <w:pPr>
                              <w:pStyle w:val="ListParagraph"/>
                              <w:numPr>
                                <w:ilvl w:val="0"/>
                                <w:numId w:val="23"/>
                              </w:numPr>
                              <w:shd w:val="clear" w:color="auto" w:fill="F4B083" w:themeFill="accent2" w:themeFillTint="99"/>
                              <w:ind w:left="396" w:hanging="198"/>
                              <w:rPr>
                                <w:b/>
                                <w:sz w:val="20"/>
                                <w:szCs w:val="20"/>
                                <w:lang w:val="en-US"/>
                              </w:rPr>
                            </w:pPr>
                            <w:r>
                              <w:rPr>
                                <w:b/>
                                <w:sz w:val="20"/>
                                <w:szCs w:val="20"/>
                                <w:lang w:val="en-US"/>
                              </w:rPr>
                              <w:t>Increased capabilities and productivity</w:t>
                            </w:r>
                          </w:p>
                          <w:p w14:paraId="1091890E" w14:textId="77777777" w:rsidR="006C70F3" w:rsidRPr="00FD1BC0" w:rsidRDefault="006C70F3" w:rsidP="00AA78BD">
                            <w:pPr>
                              <w:pStyle w:val="ListParagraph"/>
                              <w:numPr>
                                <w:ilvl w:val="0"/>
                                <w:numId w:val="23"/>
                              </w:numPr>
                              <w:shd w:val="clear" w:color="auto" w:fill="F4B083" w:themeFill="accent2" w:themeFillTint="99"/>
                              <w:ind w:left="396" w:hanging="198"/>
                              <w:rPr>
                                <w:b/>
                                <w:sz w:val="20"/>
                                <w:szCs w:val="20"/>
                                <w:lang w:val="en-US"/>
                              </w:rPr>
                            </w:pPr>
                            <w:r w:rsidRPr="00FD1BC0">
                              <w:rPr>
                                <w:b/>
                                <w:sz w:val="20"/>
                                <w:szCs w:val="20"/>
                                <w:lang w:val="en-US"/>
                              </w:rPr>
                              <w:t>Increased well-being</w:t>
                            </w:r>
                          </w:p>
                          <w:p w14:paraId="3A43A7BE" w14:textId="77777777" w:rsidR="006C70F3" w:rsidRPr="00FD1BC0" w:rsidRDefault="006C70F3" w:rsidP="00AA78BD">
                            <w:pPr>
                              <w:pStyle w:val="ListParagraph"/>
                              <w:numPr>
                                <w:ilvl w:val="0"/>
                                <w:numId w:val="23"/>
                              </w:numPr>
                              <w:shd w:val="clear" w:color="auto" w:fill="F4B083" w:themeFill="accent2" w:themeFillTint="99"/>
                              <w:ind w:left="396" w:hanging="198"/>
                              <w:rPr>
                                <w:b/>
                                <w:sz w:val="20"/>
                                <w:szCs w:val="20"/>
                                <w:lang w:val="en-US"/>
                              </w:rPr>
                            </w:pPr>
                            <w:r>
                              <w:rPr>
                                <w:b/>
                                <w:sz w:val="20"/>
                                <w:szCs w:val="20"/>
                                <w:lang w:val="en-US"/>
                              </w:rPr>
                              <w:t>Transformed gender norms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98B8" id="Zone de texte 18" o:spid="_x0000_s1032" type="#_x0000_t202" style="position:absolute;left:0;text-align:left;margin-left:333.45pt;margin-top:21.15pt;width:185.95pt;height:7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" fillcolor="#f4b083 [1941]" strokeweight="1.5pt">
                <v:textbox>
                  <w:txbxContent>
                    <w:p w14:paraId="0AC0E492" w14:textId="77777777" w:rsidR="006C70F3" w:rsidRPr="00B8339B" w:rsidRDefault="006C70F3" w:rsidP="009265A9">
                      <w:pPr>
                        <w:shd w:val="clear" w:color="auto" w:fill="F4B083" w:themeFill="accent2" w:themeFillTint="99"/>
                        <w:rPr>
                          <w:b/>
                          <w:sz w:val="20"/>
                          <w:szCs w:val="20"/>
                          <w:lang w:val="en-US"/>
                        </w:rPr>
                      </w:pPr>
                      <w:r>
                        <w:rPr>
                          <w:b/>
                          <w:sz w:val="20"/>
                          <w:szCs w:val="20"/>
                          <w:lang w:val="en-US"/>
                        </w:rPr>
                        <w:t>HUMAN CAPITAL</w:t>
                      </w:r>
                      <w:r w:rsidRPr="00B8339B">
                        <w:rPr>
                          <w:b/>
                          <w:sz w:val="20"/>
                          <w:szCs w:val="20"/>
                          <w:lang w:val="en-US"/>
                        </w:rPr>
                        <w:t>/ POVERTY REDUCTION</w:t>
                      </w:r>
                    </w:p>
                    <w:p w14:paraId="250D76C1" w14:textId="77777777" w:rsidR="006C70F3" w:rsidRDefault="006C70F3" w:rsidP="00AA78BD">
                      <w:pPr>
                        <w:pStyle w:val="ListParagraph"/>
                        <w:numPr>
                          <w:ilvl w:val="0"/>
                          <w:numId w:val="23"/>
                        </w:numPr>
                        <w:shd w:val="clear" w:color="auto" w:fill="F4B083" w:themeFill="accent2" w:themeFillTint="99"/>
                        <w:ind w:left="396" w:hanging="198"/>
                        <w:rPr>
                          <w:b/>
                          <w:sz w:val="20"/>
                          <w:szCs w:val="20"/>
                          <w:lang w:val="en-US"/>
                        </w:rPr>
                      </w:pPr>
                      <w:r>
                        <w:rPr>
                          <w:b/>
                          <w:sz w:val="20"/>
                          <w:szCs w:val="20"/>
                          <w:lang w:val="en-US"/>
                        </w:rPr>
                        <w:t>Increased capabilities and productivity</w:t>
                      </w:r>
                    </w:p>
                    <w:p w14:paraId="1091890E" w14:textId="77777777" w:rsidR="006C70F3" w:rsidRPr="00FD1BC0" w:rsidRDefault="006C70F3" w:rsidP="00AA78BD">
                      <w:pPr>
                        <w:pStyle w:val="ListParagraph"/>
                        <w:numPr>
                          <w:ilvl w:val="0"/>
                          <w:numId w:val="23"/>
                        </w:numPr>
                        <w:shd w:val="clear" w:color="auto" w:fill="F4B083" w:themeFill="accent2" w:themeFillTint="99"/>
                        <w:ind w:left="396" w:hanging="198"/>
                        <w:rPr>
                          <w:b/>
                          <w:sz w:val="20"/>
                          <w:szCs w:val="20"/>
                          <w:lang w:val="en-US"/>
                        </w:rPr>
                      </w:pPr>
                      <w:r w:rsidRPr="00FD1BC0">
                        <w:rPr>
                          <w:b/>
                          <w:sz w:val="20"/>
                          <w:szCs w:val="20"/>
                          <w:lang w:val="en-US"/>
                        </w:rPr>
                        <w:t>Increased well-being</w:t>
                      </w:r>
                    </w:p>
                    <w:p w14:paraId="3A43A7BE" w14:textId="77777777" w:rsidR="006C70F3" w:rsidRPr="00FD1BC0" w:rsidRDefault="006C70F3" w:rsidP="00AA78BD">
                      <w:pPr>
                        <w:pStyle w:val="ListParagraph"/>
                        <w:numPr>
                          <w:ilvl w:val="0"/>
                          <w:numId w:val="23"/>
                        </w:numPr>
                        <w:shd w:val="clear" w:color="auto" w:fill="F4B083" w:themeFill="accent2" w:themeFillTint="99"/>
                        <w:ind w:left="396" w:hanging="198"/>
                        <w:rPr>
                          <w:b/>
                          <w:sz w:val="20"/>
                          <w:szCs w:val="20"/>
                          <w:lang w:val="en-US"/>
                        </w:rPr>
                      </w:pPr>
                      <w:r>
                        <w:rPr>
                          <w:b/>
                          <w:sz w:val="20"/>
                          <w:szCs w:val="20"/>
                          <w:lang w:val="en-US"/>
                        </w:rPr>
                        <w:t>Transformed gender norms</w:t>
                      </w:r>
                    </w:p>
                  </w:txbxContent>
                </v:textbox>
              </v:shape>
            </w:pict>
          </mc:Fallback>
        </mc:AlternateContent>
      </w:r>
      <w:r w:rsidR="009265A9" w:rsidRPr="00841766">
        <w:rPr>
          <w:rFonts w:cs="Times New Roman"/>
          <w:i/>
          <w:noProof/>
          <w:color w:val="1F3864" w:themeColor="accent1" w:themeShade="80"/>
          <w:sz w:val="18"/>
          <w:szCs w:val="18"/>
          <w:lang w:val="en-US"/>
        </w:rPr>
        <w:drawing>
          <wp:inline distT="0" distB="0" distL="0" distR="0" wp14:anchorId="376E1DA3" wp14:editId="1673D8F9">
            <wp:extent cx="4716379" cy="3115945"/>
            <wp:effectExtent l="0" t="38100" r="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D0D06D8" w14:textId="77777777" w:rsidR="009265A9" w:rsidRPr="00841766" w:rsidRDefault="009265A9" w:rsidP="004C515B">
      <w:pPr>
        <w:autoSpaceDE w:val="0"/>
        <w:autoSpaceDN w:val="0"/>
        <w:adjustRightInd w:val="0"/>
        <w:spacing w:after="240"/>
        <w:rPr>
          <w:rFonts w:cstheme="minorHAnsi"/>
          <w:sz w:val="22"/>
          <w:szCs w:val="22"/>
          <w:lang w:val="en-US"/>
        </w:rPr>
      </w:pPr>
    </w:p>
    <w:p w14:paraId="37CC5B25" w14:textId="77777777" w:rsidR="009265A9" w:rsidRPr="00841766" w:rsidRDefault="009265A9" w:rsidP="004C515B">
      <w:pPr>
        <w:autoSpaceDE w:val="0"/>
        <w:autoSpaceDN w:val="0"/>
        <w:adjustRightInd w:val="0"/>
        <w:spacing w:after="240"/>
        <w:rPr>
          <w:rFonts w:cstheme="minorHAnsi"/>
          <w:sz w:val="22"/>
          <w:szCs w:val="22"/>
          <w:lang w:val="en-US"/>
        </w:rPr>
      </w:pPr>
    </w:p>
    <w:p w14:paraId="0A1B1AF2" w14:textId="77777777" w:rsidR="00CC7F46" w:rsidRPr="00841766" w:rsidRDefault="00CC7F46" w:rsidP="004C515B">
      <w:pPr>
        <w:autoSpaceDE w:val="0"/>
        <w:autoSpaceDN w:val="0"/>
        <w:adjustRightInd w:val="0"/>
        <w:spacing w:after="240"/>
        <w:rPr>
          <w:rFonts w:cstheme="minorHAnsi"/>
          <w:sz w:val="22"/>
          <w:szCs w:val="22"/>
          <w:lang w:val="en-US"/>
        </w:rPr>
      </w:pPr>
    </w:p>
    <w:p w14:paraId="512B7807" w14:textId="39B5C047" w:rsidR="007E0281" w:rsidRPr="00841766" w:rsidRDefault="007E0281" w:rsidP="00552AAD">
      <w:pPr>
        <w:autoSpaceDE w:val="0"/>
        <w:autoSpaceDN w:val="0"/>
        <w:adjustRightInd w:val="0"/>
        <w:spacing w:after="240"/>
        <w:jc w:val="both"/>
        <w:rPr>
          <w:rFonts w:cstheme="minorHAnsi"/>
          <w:sz w:val="22"/>
          <w:szCs w:val="22"/>
          <w:lang w:val="en-US"/>
        </w:rPr>
      </w:pPr>
      <w:r w:rsidRPr="00841766">
        <w:rPr>
          <w:rFonts w:cstheme="minorHAnsi"/>
          <w:sz w:val="22"/>
          <w:szCs w:val="22"/>
          <w:lang w:val="en-US"/>
        </w:rPr>
        <w:t>Access</w:t>
      </w:r>
      <w:r w:rsidR="001450C3">
        <w:rPr>
          <w:rFonts w:cstheme="minorHAnsi"/>
          <w:sz w:val="22"/>
          <w:szCs w:val="22"/>
          <w:lang w:val="en-US"/>
        </w:rPr>
        <w:t>ing quality education and learning opportunities</w:t>
      </w:r>
      <w:r w:rsidRPr="00841766">
        <w:rPr>
          <w:rFonts w:cstheme="minorHAnsi"/>
          <w:sz w:val="22"/>
          <w:szCs w:val="22"/>
          <w:lang w:val="en-US"/>
        </w:rPr>
        <w:t xml:space="preserve"> in </w:t>
      </w:r>
      <w:r w:rsidR="00927A3B" w:rsidRPr="00841766">
        <w:rPr>
          <w:rFonts w:cstheme="minorHAnsi"/>
          <w:sz w:val="22"/>
          <w:szCs w:val="22"/>
          <w:lang w:val="en-US"/>
        </w:rPr>
        <w:t>Timor-Leste</w:t>
      </w:r>
      <w:r w:rsidRPr="00841766">
        <w:rPr>
          <w:rFonts w:cstheme="minorHAnsi"/>
          <w:sz w:val="22"/>
          <w:szCs w:val="22"/>
          <w:lang w:val="en-US"/>
        </w:rPr>
        <w:t xml:space="preserve"> </w:t>
      </w:r>
      <w:r w:rsidR="001450C3">
        <w:rPr>
          <w:rFonts w:cstheme="minorHAnsi"/>
          <w:sz w:val="22"/>
          <w:szCs w:val="22"/>
          <w:lang w:val="en-US"/>
        </w:rPr>
        <w:t xml:space="preserve">remains a challenge for many </w:t>
      </w:r>
      <w:r w:rsidRPr="00841766">
        <w:rPr>
          <w:rFonts w:cstheme="minorHAnsi"/>
          <w:sz w:val="22"/>
          <w:szCs w:val="22"/>
          <w:lang w:val="en-US"/>
        </w:rPr>
        <w:t xml:space="preserve">children and </w:t>
      </w:r>
      <w:r w:rsidR="001450C3">
        <w:rPr>
          <w:rFonts w:cstheme="minorHAnsi"/>
          <w:sz w:val="22"/>
          <w:szCs w:val="22"/>
          <w:lang w:val="en-US"/>
        </w:rPr>
        <w:t>youth, even though their</w:t>
      </w:r>
      <w:r w:rsidRPr="00841766">
        <w:rPr>
          <w:rFonts w:cstheme="minorHAnsi"/>
          <w:sz w:val="22"/>
          <w:szCs w:val="22"/>
          <w:lang w:val="en-US"/>
        </w:rPr>
        <w:t xml:space="preserve"> primary occupation should be learning. </w:t>
      </w:r>
      <w:r w:rsidR="001450C3">
        <w:rPr>
          <w:rFonts w:cstheme="minorHAnsi"/>
          <w:sz w:val="22"/>
          <w:szCs w:val="22"/>
          <w:lang w:val="en-US"/>
        </w:rPr>
        <w:t xml:space="preserve"> </w:t>
      </w:r>
      <w:r w:rsidRPr="00841766">
        <w:rPr>
          <w:rFonts w:cstheme="minorHAnsi"/>
          <w:sz w:val="22"/>
          <w:szCs w:val="22"/>
          <w:lang w:val="en-US"/>
        </w:rPr>
        <w:t xml:space="preserve">This is </w:t>
      </w:r>
      <w:r w:rsidR="001450C3">
        <w:rPr>
          <w:rFonts w:cstheme="minorHAnsi"/>
          <w:sz w:val="22"/>
          <w:szCs w:val="22"/>
          <w:lang w:val="en-US"/>
        </w:rPr>
        <w:t xml:space="preserve">especially evident </w:t>
      </w:r>
      <w:r w:rsidRPr="00841766">
        <w:rPr>
          <w:rFonts w:cstheme="minorHAnsi"/>
          <w:sz w:val="22"/>
          <w:szCs w:val="22"/>
          <w:lang w:val="en-US"/>
        </w:rPr>
        <w:t xml:space="preserve">in the case of children of pre-school going age where the foundations for life-long learning is developed, and for those from </w:t>
      </w:r>
      <w:r w:rsidR="00C7169E">
        <w:rPr>
          <w:rFonts w:cstheme="minorHAnsi"/>
          <w:sz w:val="22"/>
          <w:szCs w:val="22"/>
          <w:lang w:val="en-US"/>
        </w:rPr>
        <w:t>marginalized</w:t>
      </w:r>
      <w:r w:rsidRPr="00841766">
        <w:rPr>
          <w:rFonts w:cstheme="minorHAnsi"/>
          <w:sz w:val="22"/>
          <w:szCs w:val="22"/>
          <w:lang w:val="en-US"/>
        </w:rPr>
        <w:t xml:space="preserve"> and disadvantaged groups such as the very poor, </w:t>
      </w:r>
      <w:r w:rsidR="00426019" w:rsidRPr="00841766">
        <w:rPr>
          <w:rFonts w:cstheme="minorHAnsi"/>
          <w:sz w:val="22"/>
          <w:szCs w:val="22"/>
          <w:lang w:val="en-US"/>
        </w:rPr>
        <w:t xml:space="preserve">those </w:t>
      </w:r>
      <w:r w:rsidRPr="00841766">
        <w:rPr>
          <w:rFonts w:cstheme="minorHAnsi"/>
          <w:sz w:val="22"/>
          <w:szCs w:val="22"/>
          <w:lang w:val="en-US"/>
        </w:rPr>
        <w:t xml:space="preserve">living with disabilities, and </w:t>
      </w:r>
      <w:r w:rsidR="00426019" w:rsidRPr="00841766">
        <w:rPr>
          <w:rFonts w:cstheme="minorHAnsi"/>
          <w:sz w:val="22"/>
          <w:szCs w:val="22"/>
          <w:lang w:val="en-US"/>
        </w:rPr>
        <w:t xml:space="preserve">those </w:t>
      </w:r>
      <w:r w:rsidRPr="00841766">
        <w:rPr>
          <w:rFonts w:cstheme="minorHAnsi"/>
          <w:sz w:val="22"/>
          <w:szCs w:val="22"/>
          <w:lang w:val="en-US"/>
        </w:rPr>
        <w:t xml:space="preserve">in geographically remote locations. </w:t>
      </w:r>
      <w:r w:rsidR="001450C3">
        <w:rPr>
          <w:rFonts w:cstheme="minorHAnsi"/>
          <w:sz w:val="22"/>
          <w:szCs w:val="22"/>
          <w:lang w:val="en-US"/>
        </w:rPr>
        <w:t xml:space="preserve"> </w:t>
      </w:r>
      <w:r w:rsidRPr="00841766">
        <w:rPr>
          <w:rFonts w:cstheme="minorHAnsi"/>
          <w:sz w:val="22"/>
          <w:szCs w:val="22"/>
          <w:lang w:val="en-US"/>
        </w:rPr>
        <w:t>For the ones who have access to education, the quality of education often fall</w:t>
      </w:r>
      <w:r w:rsidR="00CB1C7C" w:rsidRPr="00841766">
        <w:rPr>
          <w:rFonts w:cstheme="minorHAnsi"/>
          <w:sz w:val="22"/>
          <w:szCs w:val="22"/>
          <w:lang w:val="en-US"/>
        </w:rPr>
        <w:t>s</w:t>
      </w:r>
      <w:r w:rsidRPr="00841766">
        <w:rPr>
          <w:rFonts w:cstheme="minorHAnsi"/>
          <w:sz w:val="22"/>
          <w:szCs w:val="22"/>
          <w:lang w:val="en-US"/>
        </w:rPr>
        <w:t xml:space="preserve"> short of helping them realize their full potentials</w:t>
      </w:r>
      <w:r w:rsidR="0049684B" w:rsidRPr="00841766">
        <w:rPr>
          <w:rFonts w:cstheme="minorHAnsi"/>
          <w:sz w:val="22"/>
          <w:szCs w:val="22"/>
          <w:lang w:val="en-US"/>
        </w:rPr>
        <w:t xml:space="preserve">. </w:t>
      </w:r>
      <w:r w:rsidR="001450C3">
        <w:rPr>
          <w:rFonts w:cstheme="minorHAnsi"/>
          <w:sz w:val="22"/>
          <w:szCs w:val="22"/>
          <w:lang w:val="en-US"/>
        </w:rPr>
        <w:t xml:space="preserve"> </w:t>
      </w:r>
      <w:r w:rsidRPr="00841766">
        <w:rPr>
          <w:rFonts w:cstheme="minorHAnsi"/>
          <w:sz w:val="22"/>
          <w:szCs w:val="22"/>
          <w:lang w:val="en-US"/>
        </w:rPr>
        <w:t>Many drop out or graduate without the necessary</w:t>
      </w:r>
      <w:r w:rsidR="001450C3">
        <w:rPr>
          <w:rFonts w:cstheme="minorHAnsi"/>
          <w:sz w:val="22"/>
          <w:szCs w:val="22"/>
          <w:lang w:val="en-US"/>
        </w:rPr>
        <w:t xml:space="preserve"> knowledge and</w:t>
      </w:r>
      <w:r w:rsidRPr="00841766">
        <w:rPr>
          <w:rFonts w:cstheme="minorHAnsi"/>
          <w:sz w:val="22"/>
          <w:szCs w:val="22"/>
          <w:lang w:val="en-US"/>
        </w:rPr>
        <w:t xml:space="preserve"> skills to live productive li</w:t>
      </w:r>
      <w:r w:rsidR="009F5D41">
        <w:rPr>
          <w:rFonts w:cstheme="minorHAnsi"/>
          <w:sz w:val="22"/>
          <w:szCs w:val="22"/>
          <w:lang w:val="en-US"/>
        </w:rPr>
        <w:t xml:space="preserve">ves post </w:t>
      </w:r>
      <w:r w:rsidRPr="00841766">
        <w:rPr>
          <w:rFonts w:cstheme="minorHAnsi"/>
          <w:sz w:val="22"/>
          <w:szCs w:val="22"/>
          <w:lang w:val="en-US"/>
        </w:rPr>
        <w:t>school or training.</w:t>
      </w:r>
    </w:p>
    <w:p w14:paraId="0BA8892D" w14:textId="02BDB7CF" w:rsidR="007E0281" w:rsidRPr="00841766" w:rsidRDefault="007E0281" w:rsidP="00552AAD">
      <w:pPr>
        <w:autoSpaceDE w:val="0"/>
        <w:autoSpaceDN w:val="0"/>
        <w:adjustRightInd w:val="0"/>
        <w:spacing w:after="240"/>
        <w:jc w:val="both"/>
        <w:rPr>
          <w:rFonts w:cstheme="minorHAnsi"/>
          <w:sz w:val="22"/>
          <w:szCs w:val="22"/>
          <w:lang w:val="en-US"/>
        </w:rPr>
      </w:pPr>
      <w:r w:rsidRPr="00841766">
        <w:rPr>
          <w:rFonts w:cstheme="minorHAnsi"/>
          <w:sz w:val="22"/>
          <w:szCs w:val="22"/>
          <w:lang w:val="en-US"/>
        </w:rPr>
        <w:t>Addressing these concerns require</w:t>
      </w:r>
      <w:r w:rsidR="00CB1C7C" w:rsidRPr="00841766">
        <w:rPr>
          <w:rFonts w:cstheme="minorHAnsi"/>
          <w:sz w:val="22"/>
          <w:szCs w:val="22"/>
          <w:lang w:val="en-US"/>
        </w:rPr>
        <w:t>s</w:t>
      </w:r>
      <w:r w:rsidRPr="00841766">
        <w:rPr>
          <w:rFonts w:cstheme="minorHAnsi"/>
          <w:sz w:val="22"/>
          <w:szCs w:val="22"/>
          <w:lang w:val="en-US"/>
        </w:rPr>
        <w:t xml:space="preserve"> a strategy that focus on enhancing both access to and quality of education. </w:t>
      </w:r>
      <w:r w:rsidR="001450C3">
        <w:rPr>
          <w:rFonts w:cstheme="minorHAnsi"/>
          <w:sz w:val="22"/>
          <w:szCs w:val="22"/>
          <w:lang w:val="en-US"/>
        </w:rPr>
        <w:t xml:space="preserve"> A f</w:t>
      </w:r>
      <w:r w:rsidRPr="00841766">
        <w:rPr>
          <w:rFonts w:cstheme="minorHAnsi"/>
          <w:sz w:val="22"/>
          <w:szCs w:val="22"/>
          <w:lang w:val="en-US"/>
        </w:rPr>
        <w:t>ocus on learning</w:t>
      </w:r>
      <w:r w:rsidR="001450C3">
        <w:rPr>
          <w:rFonts w:cstheme="minorHAnsi"/>
          <w:sz w:val="22"/>
          <w:szCs w:val="22"/>
          <w:lang w:val="en-US"/>
        </w:rPr>
        <w:t>, not just schooling,</w:t>
      </w:r>
      <w:r w:rsidRPr="00841766">
        <w:rPr>
          <w:rFonts w:cstheme="minorHAnsi"/>
          <w:sz w:val="22"/>
          <w:szCs w:val="22"/>
          <w:lang w:val="en-US"/>
        </w:rPr>
        <w:t xml:space="preserve"> from early childhood onwards ensure</w:t>
      </w:r>
      <w:r w:rsidR="00426019" w:rsidRPr="00841766">
        <w:rPr>
          <w:rFonts w:cstheme="minorHAnsi"/>
          <w:sz w:val="22"/>
          <w:szCs w:val="22"/>
          <w:lang w:val="en-US"/>
        </w:rPr>
        <w:t>s</w:t>
      </w:r>
      <w:r w:rsidRPr="00841766">
        <w:rPr>
          <w:rFonts w:cstheme="minorHAnsi"/>
          <w:sz w:val="22"/>
          <w:szCs w:val="22"/>
          <w:lang w:val="en-US"/>
        </w:rPr>
        <w:t xml:space="preserve"> a strong foundation for life-long quality learning; and adopting innovative and alternative pathways of learning</w:t>
      </w:r>
      <w:r w:rsidR="001450C3">
        <w:rPr>
          <w:rFonts w:cstheme="minorHAnsi"/>
          <w:sz w:val="22"/>
          <w:szCs w:val="22"/>
          <w:lang w:val="en-US"/>
        </w:rPr>
        <w:t>,</w:t>
      </w:r>
      <w:r w:rsidRPr="00841766">
        <w:rPr>
          <w:rFonts w:cstheme="minorHAnsi"/>
          <w:sz w:val="22"/>
          <w:szCs w:val="22"/>
          <w:lang w:val="en-US"/>
        </w:rPr>
        <w:t xml:space="preserve"> building on the traditional approaches to education</w:t>
      </w:r>
      <w:r w:rsidR="001450C3">
        <w:rPr>
          <w:rFonts w:cstheme="minorHAnsi"/>
          <w:sz w:val="22"/>
          <w:szCs w:val="22"/>
          <w:lang w:val="en-US"/>
        </w:rPr>
        <w:t>,</w:t>
      </w:r>
      <w:r w:rsidRPr="00841766">
        <w:rPr>
          <w:rFonts w:cstheme="minorHAnsi"/>
          <w:sz w:val="22"/>
          <w:szCs w:val="22"/>
          <w:lang w:val="en-US"/>
        </w:rPr>
        <w:t xml:space="preserve"> can substantially enhance </w:t>
      </w:r>
      <w:r w:rsidR="001450C3">
        <w:rPr>
          <w:rFonts w:cstheme="minorHAnsi"/>
          <w:sz w:val="22"/>
          <w:szCs w:val="22"/>
          <w:lang w:val="en-US"/>
        </w:rPr>
        <w:t xml:space="preserve">availability </w:t>
      </w:r>
      <w:r w:rsidRPr="00841766">
        <w:rPr>
          <w:rFonts w:cstheme="minorHAnsi"/>
          <w:sz w:val="22"/>
          <w:szCs w:val="22"/>
          <w:lang w:val="en-US"/>
        </w:rPr>
        <w:t xml:space="preserve">and access to education. </w:t>
      </w:r>
      <w:r w:rsidR="001450C3">
        <w:rPr>
          <w:rFonts w:cstheme="minorHAnsi"/>
          <w:sz w:val="22"/>
          <w:szCs w:val="22"/>
          <w:lang w:val="en-US"/>
        </w:rPr>
        <w:t xml:space="preserve"> </w:t>
      </w:r>
      <w:r w:rsidRPr="00841766">
        <w:rPr>
          <w:rFonts w:cstheme="minorHAnsi"/>
          <w:sz w:val="22"/>
          <w:szCs w:val="22"/>
          <w:lang w:val="en-US"/>
        </w:rPr>
        <w:t>Advancements in technology afford flexibilities that transcend limitations of time and space, and education need not necessarily be confined within four walls of classrooms or physical structures called schools.</w:t>
      </w:r>
    </w:p>
    <w:p w14:paraId="328D160F" w14:textId="434137DF" w:rsidR="007E0281" w:rsidRDefault="00B254D7" w:rsidP="00552AAD">
      <w:pPr>
        <w:autoSpaceDE w:val="0"/>
        <w:autoSpaceDN w:val="0"/>
        <w:adjustRightInd w:val="0"/>
        <w:spacing w:after="240"/>
        <w:jc w:val="both"/>
        <w:rPr>
          <w:rFonts w:cstheme="minorHAnsi"/>
          <w:b/>
          <w:sz w:val="22"/>
          <w:szCs w:val="22"/>
          <w:lang w:val="en-US"/>
        </w:rPr>
      </w:pPr>
      <w:r w:rsidRPr="00841766">
        <w:rPr>
          <w:rFonts w:cstheme="minorHAnsi"/>
          <w:sz w:val="22"/>
          <w:szCs w:val="22"/>
          <w:lang w:val="en-US"/>
        </w:rPr>
        <w:t xml:space="preserve">Life-long learning and quality education will not be achieved in </w:t>
      </w:r>
      <w:r w:rsidR="00927A3B" w:rsidRPr="00841766">
        <w:rPr>
          <w:rFonts w:cstheme="minorHAnsi"/>
          <w:sz w:val="22"/>
          <w:szCs w:val="22"/>
          <w:lang w:val="en-US"/>
        </w:rPr>
        <w:t>Timor-Leste</w:t>
      </w:r>
      <w:r w:rsidRPr="00841766">
        <w:rPr>
          <w:rFonts w:cstheme="minorHAnsi"/>
          <w:sz w:val="22"/>
          <w:szCs w:val="22"/>
          <w:lang w:val="en-US"/>
        </w:rPr>
        <w:t xml:space="preserve"> by 2030 without accelerated progress in both access to and demand for early childhood education and development, increased access to quality basic and secondar</w:t>
      </w:r>
      <w:r w:rsidR="00426019" w:rsidRPr="00841766">
        <w:rPr>
          <w:rFonts w:cstheme="minorHAnsi"/>
          <w:sz w:val="22"/>
          <w:szCs w:val="22"/>
          <w:lang w:val="en-US"/>
        </w:rPr>
        <w:t>y education</w:t>
      </w:r>
      <w:r w:rsidRPr="00841766">
        <w:rPr>
          <w:rFonts w:cstheme="minorHAnsi"/>
          <w:sz w:val="22"/>
          <w:szCs w:val="22"/>
          <w:lang w:val="en-US"/>
        </w:rPr>
        <w:t xml:space="preserve">, and the creation </w:t>
      </w:r>
      <w:r w:rsidR="00426019" w:rsidRPr="00841766">
        <w:rPr>
          <w:rFonts w:cstheme="minorHAnsi"/>
          <w:sz w:val="22"/>
          <w:szCs w:val="22"/>
          <w:lang w:val="en-US"/>
        </w:rPr>
        <w:t xml:space="preserve">of </w:t>
      </w:r>
      <w:r w:rsidR="007E0281" w:rsidRPr="00841766">
        <w:rPr>
          <w:sz w:val="22"/>
          <w:szCs w:val="22"/>
          <w:lang w:val="en-US"/>
        </w:rPr>
        <w:t xml:space="preserve">pathways that promote relevant lifelong learning opportunities, especially for the most </w:t>
      </w:r>
      <w:r w:rsidR="00C7169E">
        <w:rPr>
          <w:sz w:val="22"/>
          <w:szCs w:val="22"/>
          <w:lang w:val="en-US"/>
        </w:rPr>
        <w:t>excluded</w:t>
      </w:r>
      <w:r w:rsidR="007E0281" w:rsidRPr="00841766">
        <w:rPr>
          <w:rFonts w:cstheme="minorHAnsi"/>
          <w:b/>
          <w:sz w:val="22"/>
          <w:szCs w:val="22"/>
          <w:lang w:val="en-US"/>
        </w:rPr>
        <w:t>.</w:t>
      </w:r>
    </w:p>
    <w:p w14:paraId="7546536D" w14:textId="239A54A0" w:rsidR="00C3577A" w:rsidRPr="00841766" w:rsidRDefault="00CC7F46" w:rsidP="00552AAD">
      <w:pPr>
        <w:jc w:val="both"/>
        <w:rPr>
          <w:rFonts w:cstheme="minorHAnsi"/>
          <w:b/>
          <w:sz w:val="22"/>
          <w:szCs w:val="22"/>
          <w:lang w:val="en-US"/>
        </w:rPr>
      </w:pPr>
      <w:r>
        <w:rPr>
          <w:rFonts w:cstheme="minorHAnsi"/>
          <w:b/>
          <w:sz w:val="22"/>
          <w:szCs w:val="22"/>
          <w:lang w:val="en-US"/>
        </w:rPr>
        <w:t>Access to ECD and ECE</w:t>
      </w:r>
    </w:p>
    <w:p w14:paraId="4395945B" w14:textId="511BBAF1" w:rsidR="00B254D7" w:rsidRPr="00841766" w:rsidRDefault="007E0281" w:rsidP="00552AAD">
      <w:pPr>
        <w:jc w:val="both"/>
        <w:rPr>
          <w:rFonts w:cstheme="minorHAnsi"/>
          <w:sz w:val="22"/>
          <w:szCs w:val="22"/>
          <w:lang w:val="en-US"/>
        </w:rPr>
      </w:pPr>
      <w:r w:rsidRPr="003F5AF1">
        <w:rPr>
          <w:rFonts w:cstheme="minorHAnsi"/>
          <w:bCs/>
          <w:sz w:val="22"/>
          <w:szCs w:val="22"/>
          <w:lang w:val="en-US"/>
        </w:rPr>
        <w:t>As a m</w:t>
      </w:r>
      <w:r w:rsidR="00B254D7" w:rsidRPr="003F5AF1">
        <w:rPr>
          <w:rFonts w:cstheme="minorHAnsi"/>
          <w:bCs/>
          <w:sz w:val="22"/>
          <w:szCs w:val="22"/>
          <w:lang w:val="en-US"/>
        </w:rPr>
        <w:t>ajor barrier to life-l</w:t>
      </w:r>
      <w:r w:rsidR="00B254D7" w:rsidRPr="00C3577A">
        <w:rPr>
          <w:rFonts w:cstheme="minorHAnsi"/>
          <w:bCs/>
          <w:sz w:val="22"/>
          <w:szCs w:val="22"/>
          <w:lang w:val="en-US"/>
        </w:rPr>
        <w:t>ong learning, the issue of low access to ECD and ECE needs to be prioritized. The underlying</w:t>
      </w:r>
      <w:r w:rsidR="00B254D7" w:rsidRPr="00714227">
        <w:rPr>
          <w:rFonts w:cstheme="minorHAnsi"/>
          <w:bCs/>
          <w:sz w:val="22"/>
          <w:szCs w:val="22"/>
          <w:lang w:val="en-US"/>
        </w:rPr>
        <w:t xml:space="preserve"> causes must be </w:t>
      </w:r>
      <w:r w:rsidRPr="00714227">
        <w:rPr>
          <w:rFonts w:cstheme="minorHAnsi"/>
          <w:bCs/>
          <w:sz w:val="22"/>
          <w:szCs w:val="22"/>
          <w:lang w:val="en-US"/>
        </w:rPr>
        <w:t>addressed</w:t>
      </w:r>
      <w:r w:rsidR="00B254D7" w:rsidRPr="00714227">
        <w:rPr>
          <w:rFonts w:cstheme="minorHAnsi"/>
          <w:bCs/>
          <w:sz w:val="22"/>
          <w:szCs w:val="22"/>
          <w:lang w:val="en-US"/>
        </w:rPr>
        <w:t xml:space="preserve"> at family, institution and system levels, through the followin</w:t>
      </w:r>
      <w:r w:rsidR="00B254D7" w:rsidRPr="00841766">
        <w:rPr>
          <w:rFonts w:cstheme="minorHAnsi"/>
          <w:sz w:val="22"/>
          <w:szCs w:val="22"/>
          <w:lang w:val="en-US"/>
        </w:rPr>
        <w:t>g measures:</w:t>
      </w:r>
    </w:p>
    <w:p w14:paraId="2DAD530B" w14:textId="38093E48" w:rsidR="007E0281" w:rsidRPr="00841766" w:rsidRDefault="007E0281" w:rsidP="00552AAD">
      <w:pPr>
        <w:pStyle w:val="ListParagraph"/>
        <w:numPr>
          <w:ilvl w:val="0"/>
          <w:numId w:val="10"/>
        </w:numPr>
        <w:autoSpaceDE w:val="0"/>
        <w:autoSpaceDN w:val="0"/>
        <w:adjustRightInd w:val="0"/>
        <w:jc w:val="both"/>
        <w:rPr>
          <w:rFonts w:cstheme="minorHAnsi"/>
          <w:sz w:val="22"/>
          <w:szCs w:val="22"/>
          <w:lang w:val="en-US"/>
        </w:rPr>
      </w:pPr>
      <w:r w:rsidRPr="00841766">
        <w:rPr>
          <w:rFonts w:cstheme="minorHAnsi"/>
          <w:sz w:val="22"/>
          <w:szCs w:val="22"/>
          <w:lang w:val="en-US"/>
        </w:rPr>
        <w:t>Raise awareness of sound child rearing practices and the importance and benefits of early childhood education and development within families</w:t>
      </w:r>
      <w:r w:rsidR="001450C3">
        <w:rPr>
          <w:rFonts w:cstheme="minorHAnsi"/>
          <w:sz w:val="22"/>
          <w:szCs w:val="22"/>
          <w:lang w:val="en-US"/>
        </w:rPr>
        <w:t>;</w:t>
      </w:r>
      <w:r w:rsidRPr="00841766">
        <w:rPr>
          <w:rFonts w:cstheme="minorHAnsi"/>
          <w:sz w:val="22"/>
          <w:szCs w:val="22"/>
          <w:lang w:val="en-US"/>
        </w:rPr>
        <w:t xml:space="preserve"> </w:t>
      </w:r>
    </w:p>
    <w:p w14:paraId="6D57A722" w14:textId="068D69A2" w:rsidR="007E0281" w:rsidRPr="00841766" w:rsidRDefault="007E0281" w:rsidP="00552AAD">
      <w:pPr>
        <w:pStyle w:val="ListParagraph"/>
        <w:numPr>
          <w:ilvl w:val="0"/>
          <w:numId w:val="10"/>
        </w:numPr>
        <w:autoSpaceDE w:val="0"/>
        <w:autoSpaceDN w:val="0"/>
        <w:adjustRightInd w:val="0"/>
        <w:jc w:val="both"/>
        <w:rPr>
          <w:rFonts w:cstheme="minorHAnsi"/>
          <w:sz w:val="22"/>
          <w:szCs w:val="22"/>
          <w:lang w:val="en-US"/>
        </w:rPr>
      </w:pPr>
      <w:r w:rsidRPr="00841766">
        <w:rPr>
          <w:rFonts w:cstheme="minorHAnsi"/>
          <w:sz w:val="22"/>
          <w:szCs w:val="22"/>
          <w:lang w:val="en-US"/>
        </w:rPr>
        <w:lastRenderedPageBreak/>
        <w:t>Increase the number of facilities</w:t>
      </w:r>
      <w:r w:rsidR="001450C3">
        <w:rPr>
          <w:rFonts w:cstheme="minorHAnsi"/>
          <w:sz w:val="22"/>
          <w:szCs w:val="22"/>
          <w:lang w:val="en-US"/>
        </w:rPr>
        <w:t xml:space="preserve"> and delivery modalities</w:t>
      </w:r>
      <w:r w:rsidRPr="00841766">
        <w:rPr>
          <w:rFonts w:cstheme="minorHAnsi"/>
          <w:sz w:val="22"/>
          <w:szCs w:val="22"/>
          <w:lang w:val="en-US"/>
        </w:rPr>
        <w:t xml:space="preserve"> in rural and remote areas and for children with disabilities,</w:t>
      </w:r>
      <w:r w:rsidRPr="00841766">
        <w:rPr>
          <w:sz w:val="22"/>
          <w:szCs w:val="22"/>
          <w:lang w:val="en-US"/>
        </w:rPr>
        <w:t xml:space="preserve"> and</w:t>
      </w:r>
      <w:r w:rsidR="00426019" w:rsidRPr="00841766">
        <w:rPr>
          <w:sz w:val="22"/>
          <w:szCs w:val="22"/>
          <w:lang w:val="en-US"/>
        </w:rPr>
        <w:t xml:space="preserve"> increase </w:t>
      </w:r>
      <w:r w:rsidR="001450C3">
        <w:rPr>
          <w:sz w:val="22"/>
          <w:szCs w:val="22"/>
          <w:lang w:val="en-US"/>
        </w:rPr>
        <w:t xml:space="preserve">availability of </w:t>
      </w:r>
      <w:r w:rsidRPr="00841766">
        <w:rPr>
          <w:sz w:val="22"/>
          <w:szCs w:val="22"/>
          <w:lang w:val="en-US"/>
        </w:rPr>
        <w:t>learning materials</w:t>
      </w:r>
      <w:r w:rsidR="001450C3">
        <w:rPr>
          <w:sz w:val="22"/>
          <w:szCs w:val="22"/>
          <w:lang w:val="en-US"/>
        </w:rPr>
        <w:t>;</w:t>
      </w:r>
    </w:p>
    <w:p w14:paraId="56B3B0E5" w14:textId="7A1A3308" w:rsidR="007E0281" w:rsidRPr="00841766" w:rsidRDefault="007E0281" w:rsidP="00552AAD">
      <w:pPr>
        <w:pStyle w:val="ListParagraph"/>
        <w:numPr>
          <w:ilvl w:val="0"/>
          <w:numId w:val="10"/>
        </w:numPr>
        <w:autoSpaceDE w:val="0"/>
        <w:autoSpaceDN w:val="0"/>
        <w:adjustRightInd w:val="0"/>
        <w:jc w:val="both"/>
        <w:rPr>
          <w:rFonts w:cstheme="minorHAnsi"/>
          <w:sz w:val="22"/>
          <w:szCs w:val="22"/>
          <w:lang w:val="en-US"/>
        </w:rPr>
      </w:pPr>
      <w:r w:rsidRPr="00841766">
        <w:rPr>
          <w:rFonts w:cstheme="minorHAnsi"/>
          <w:sz w:val="22"/>
          <w:szCs w:val="22"/>
          <w:lang w:val="en-US"/>
        </w:rPr>
        <w:t xml:space="preserve">Provide </w:t>
      </w:r>
      <w:r w:rsidR="001450C3">
        <w:rPr>
          <w:rFonts w:cstheme="minorHAnsi"/>
          <w:sz w:val="22"/>
          <w:szCs w:val="22"/>
          <w:lang w:val="en-US"/>
        </w:rPr>
        <w:t xml:space="preserve">targeted </w:t>
      </w:r>
      <w:r w:rsidRPr="00841766">
        <w:rPr>
          <w:rFonts w:cstheme="minorHAnsi"/>
          <w:sz w:val="22"/>
          <w:szCs w:val="22"/>
          <w:lang w:val="en-US"/>
        </w:rPr>
        <w:t xml:space="preserve">support and resources for </w:t>
      </w:r>
      <w:r w:rsidR="001450C3">
        <w:rPr>
          <w:rFonts w:cstheme="minorHAnsi"/>
          <w:sz w:val="22"/>
          <w:szCs w:val="22"/>
          <w:lang w:val="en-US"/>
        </w:rPr>
        <w:t xml:space="preserve">the </w:t>
      </w:r>
      <w:r w:rsidRPr="00841766">
        <w:rPr>
          <w:rFonts w:cstheme="minorHAnsi"/>
          <w:sz w:val="22"/>
          <w:szCs w:val="22"/>
          <w:lang w:val="en-US"/>
        </w:rPr>
        <w:t>urban poor</w:t>
      </w:r>
      <w:r w:rsidR="001450C3">
        <w:rPr>
          <w:rFonts w:cstheme="minorHAnsi"/>
          <w:sz w:val="22"/>
          <w:szCs w:val="22"/>
          <w:lang w:val="en-US"/>
        </w:rPr>
        <w:t>;</w:t>
      </w:r>
    </w:p>
    <w:p w14:paraId="4696309C" w14:textId="5A24A92C" w:rsidR="007E0281" w:rsidRPr="00841766" w:rsidRDefault="007E0281" w:rsidP="00552AAD">
      <w:pPr>
        <w:pStyle w:val="ListParagraph"/>
        <w:numPr>
          <w:ilvl w:val="0"/>
          <w:numId w:val="10"/>
        </w:numPr>
        <w:autoSpaceDE w:val="0"/>
        <w:autoSpaceDN w:val="0"/>
        <w:adjustRightInd w:val="0"/>
        <w:jc w:val="both"/>
        <w:rPr>
          <w:rFonts w:cstheme="minorHAnsi"/>
          <w:sz w:val="22"/>
          <w:szCs w:val="22"/>
          <w:lang w:val="en-US"/>
        </w:rPr>
      </w:pPr>
      <w:r w:rsidRPr="00841766">
        <w:rPr>
          <w:rFonts w:cstheme="minorHAnsi"/>
          <w:sz w:val="22"/>
          <w:szCs w:val="22"/>
          <w:lang w:val="en-US"/>
        </w:rPr>
        <w:t>Train and recruit qualified pre-primary teachers and</w:t>
      </w:r>
      <w:r w:rsidR="00426019" w:rsidRPr="00841766">
        <w:rPr>
          <w:rFonts w:cstheme="minorHAnsi"/>
          <w:sz w:val="22"/>
          <w:szCs w:val="22"/>
          <w:lang w:val="en-US"/>
        </w:rPr>
        <w:t xml:space="preserve"> develop appropriate</w:t>
      </w:r>
      <w:r w:rsidR="001450C3">
        <w:rPr>
          <w:rFonts w:cstheme="minorHAnsi"/>
          <w:sz w:val="22"/>
          <w:szCs w:val="22"/>
          <w:lang w:val="en-US"/>
        </w:rPr>
        <w:t xml:space="preserve"> teaching and</w:t>
      </w:r>
      <w:r w:rsidRPr="00841766">
        <w:rPr>
          <w:rFonts w:cstheme="minorHAnsi"/>
          <w:sz w:val="22"/>
          <w:szCs w:val="22"/>
          <w:lang w:val="en-US"/>
        </w:rPr>
        <w:t xml:space="preserve"> learning materials</w:t>
      </w:r>
      <w:r w:rsidR="001450C3">
        <w:rPr>
          <w:rFonts w:cstheme="minorHAnsi"/>
          <w:sz w:val="22"/>
          <w:szCs w:val="22"/>
          <w:lang w:val="en-US"/>
        </w:rPr>
        <w:t>;</w:t>
      </w:r>
    </w:p>
    <w:p w14:paraId="0AD3AE56" w14:textId="4B7AF325" w:rsidR="007E0281" w:rsidRPr="00841766" w:rsidRDefault="007E0281" w:rsidP="00552AAD">
      <w:pPr>
        <w:pStyle w:val="ListParagraph"/>
        <w:numPr>
          <w:ilvl w:val="0"/>
          <w:numId w:val="10"/>
        </w:numPr>
        <w:autoSpaceDE w:val="0"/>
        <w:autoSpaceDN w:val="0"/>
        <w:adjustRightInd w:val="0"/>
        <w:jc w:val="both"/>
        <w:rPr>
          <w:rFonts w:cstheme="minorHAnsi"/>
          <w:sz w:val="22"/>
          <w:szCs w:val="22"/>
          <w:lang w:val="en-US"/>
        </w:rPr>
      </w:pPr>
      <w:r w:rsidRPr="00841766">
        <w:rPr>
          <w:rFonts w:cstheme="minorHAnsi"/>
          <w:sz w:val="22"/>
          <w:szCs w:val="22"/>
          <w:lang w:val="en-US"/>
        </w:rPr>
        <w:t>Develop policy frameworks that promote alternatives to traditional public, private and catholic preschools; and enhance financing and coordination for the ECD/EC sector</w:t>
      </w:r>
      <w:r w:rsidR="0087696F">
        <w:rPr>
          <w:rFonts w:cstheme="minorHAnsi"/>
          <w:sz w:val="22"/>
          <w:szCs w:val="22"/>
          <w:lang w:val="en-US"/>
        </w:rPr>
        <w:t>; and,</w:t>
      </w:r>
    </w:p>
    <w:p w14:paraId="75D3CEAA" w14:textId="76D57561" w:rsidR="007E0281" w:rsidRPr="00841766" w:rsidRDefault="007E0281" w:rsidP="00552AAD">
      <w:pPr>
        <w:pStyle w:val="ListParagraph"/>
        <w:numPr>
          <w:ilvl w:val="0"/>
          <w:numId w:val="10"/>
        </w:numPr>
        <w:autoSpaceDE w:val="0"/>
        <w:autoSpaceDN w:val="0"/>
        <w:adjustRightInd w:val="0"/>
        <w:spacing w:after="120"/>
        <w:jc w:val="both"/>
        <w:rPr>
          <w:rFonts w:cstheme="minorHAnsi"/>
          <w:sz w:val="22"/>
          <w:szCs w:val="22"/>
          <w:lang w:val="en-US"/>
        </w:rPr>
      </w:pPr>
      <w:r w:rsidRPr="00841766">
        <w:rPr>
          <w:rFonts w:cstheme="minorHAnsi"/>
          <w:sz w:val="22"/>
          <w:szCs w:val="22"/>
          <w:lang w:val="en-US"/>
        </w:rPr>
        <w:t>Address gender norms and power relations</w:t>
      </w:r>
      <w:r w:rsidR="001450C3">
        <w:rPr>
          <w:rFonts w:cstheme="minorHAnsi"/>
          <w:sz w:val="22"/>
          <w:szCs w:val="22"/>
          <w:lang w:val="en-US"/>
        </w:rPr>
        <w:t>,</w:t>
      </w:r>
      <w:r w:rsidRPr="00841766">
        <w:rPr>
          <w:rFonts w:cstheme="minorHAnsi"/>
          <w:sz w:val="22"/>
          <w:szCs w:val="22"/>
          <w:lang w:val="en-US"/>
        </w:rPr>
        <w:t xml:space="preserve"> as well as </w:t>
      </w:r>
      <w:r w:rsidRPr="00841766">
        <w:rPr>
          <w:rFonts w:cstheme="minorHAnsi"/>
          <w:sz w:val="22"/>
          <w:szCs w:val="22"/>
          <w:shd w:val="clear" w:color="auto" w:fill="FFFFFF"/>
          <w:lang w:val="en-US"/>
        </w:rPr>
        <w:t>ameliorate harmful environmental risk factors at home and in communities</w:t>
      </w:r>
      <w:r w:rsidR="001450C3">
        <w:rPr>
          <w:rFonts w:cstheme="minorHAnsi"/>
          <w:sz w:val="22"/>
          <w:szCs w:val="22"/>
          <w:shd w:val="clear" w:color="auto" w:fill="FFFFFF"/>
          <w:lang w:val="en-US"/>
        </w:rPr>
        <w:t>,</w:t>
      </w:r>
      <w:r w:rsidRPr="00841766">
        <w:rPr>
          <w:rFonts w:cstheme="minorHAnsi"/>
          <w:sz w:val="22"/>
          <w:szCs w:val="22"/>
          <w:shd w:val="clear" w:color="auto" w:fill="FFFFFF"/>
          <w:lang w:val="en-US"/>
        </w:rPr>
        <w:t xml:space="preserve"> that promote violence.</w:t>
      </w:r>
    </w:p>
    <w:p w14:paraId="52668F6F" w14:textId="77777777" w:rsidR="00CC7F46" w:rsidRDefault="00CC7F46" w:rsidP="00552AAD">
      <w:pPr>
        <w:jc w:val="both"/>
        <w:rPr>
          <w:rFonts w:cstheme="minorHAnsi"/>
          <w:b/>
          <w:sz w:val="22"/>
          <w:szCs w:val="22"/>
          <w:lang w:val="en-US"/>
        </w:rPr>
      </w:pPr>
      <w:r>
        <w:rPr>
          <w:rFonts w:cstheme="minorHAnsi"/>
          <w:b/>
          <w:sz w:val="22"/>
          <w:szCs w:val="22"/>
          <w:lang w:val="en-US"/>
        </w:rPr>
        <w:t xml:space="preserve">Access to and completion of quality basic and secondary education </w:t>
      </w:r>
    </w:p>
    <w:p w14:paraId="53F241CB" w14:textId="46CEBD70" w:rsidR="00B254D7" w:rsidRPr="00714227" w:rsidRDefault="00B254D7" w:rsidP="00552AAD">
      <w:pPr>
        <w:jc w:val="both"/>
        <w:rPr>
          <w:rFonts w:cstheme="minorHAnsi"/>
          <w:bCs/>
          <w:sz w:val="22"/>
          <w:szCs w:val="22"/>
          <w:lang w:val="en-US"/>
        </w:rPr>
      </w:pPr>
      <w:r w:rsidRPr="00714227">
        <w:rPr>
          <w:rFonts w:cstheme="minorHAnsi"/>
          <w:bCs/>
          <w:sz w:val="22"/>
          <w:szCs w:val="22"/>
          <w:lang w:val="en-US"/>
        </w:rPr>
        <w:t xml:space="preserve">Increasing the quality and inclusiveness of basic education and ensuring the completion </w:t>
      </w:r>
      <w:r w:rsidR="0087696F" w:rsidRPr="00714227">
        <w:rPr>
          <w:rFonts w:cstheme="minorHAnsi"/>
          <w:bCs/>
          <w:sz w:val="22"/>
          <w:szCs w:val="22"/>
          <w:lang w:val="en-US"/>
        </w:rPr>
        <w:t xml:space="preserve">of basic education and </w:t>
      </w:r>
      <w:r w:rsidRPr="00714227">
        <w:rPr>
          <w:rFonts w:cstheme="minorHAnsi"/>
          <w:bCs/>
          <w:sz w:val="22"/>
          <w:szCs w:val="22"/>
          <w:lang w:val="en-US"/>
        </w:rPr>
        <w:t xml:space="preserve">transition towards secondary education needs to be prioritized, while addressing the low access and learning outcomes at secondary level. </w:t>
      </w:r>
    </w:p>
    <w:p w14:paraId="3B6C95CB" w14:textId="77777777" w:rsidR="0087696F" w:rsidRPr="00841766" w:rsidRDefault="0087696F" w:rsidP="00552AAD">
      <w:pPr>
        <w:jc w:val="both"/>
        <w:rPr>
          <w:rFonts w:cstheme="minorHAnsi"/>
          <w:sz w:val="20"/>
          <w:szCs w:val="20"/>
          <w:shd w:val="clear" w:color="auto" w:fill="FFFFFF"/>
          <w:lang w:val="en-US"/>
        </w:rPr>
      </w:pPr>
    </w:p>
    <w:p w14:paraId="0FD2FCBD" w14:textId="77777777" w:rsidR="00B254D7" w:rsidRPr="00841766" w:rsidRDefault="00B254D7" w:rsidP="00552AAD">
      <w:pPr>
        <w:jc w:val="both"/>
        <w:rPr>
          <w:rFonts w:cstheme="minorHAnsi"/>
          <w:sz w:val="22"/>
          <w:szCs w:val="22"/>
          <w:lang w:val="en-US"/>
        </w:rPr>
      </w:pPr>
      <w:r w:rsidRPr="00841766">
        <w:rPr>
          <w:rFonts w:cstheme="minorHAnsi"/>
          <w:sz w:val="22"/>
          <w:szCs w:val="22"/>
          <w:lang w:val="en-US"/>
        </w:rPr>
        <w:t>Efforts should focus on realizing the following changes:</w:t>
      </w:r>
    </w:p>
    <w:p w14:paraId="2C369908" w14:textId="04465A37" w:rsidR="00B254D7" w:rsidRPr="00841766" w:rsidRDefault="00B254D7" w:rsidP="00552AAD">
      <w:pPr>
        <w:pStyle w:val="ListParagraph"/>
        <w:numPr>
          <w:ilvl w:val="0"/>
          <w:numId w:val="11"/>
        </w:numPr>
        <w:jc w:val="both"/>
        <w:rPr>
          <w:rFonts w:cstheme="minorHAnsi"/>
          <w:sz w:val="22"/>
          <w:szCs w:val="22"/>
          <w:lang w:val="en-US"/>
        </w:rPr>
      </w:pPr>
      <w:r w:rsidRPr="00841766">
        <w:rPr>
          <w:rFonts w:cstheme="minorHAnsi"/>
          <w:sz w:val="22"/>
          <w:szCs w:val="22"/>
          <w:lang w:val="en-US"/>
        </w:rPr>
        <w:t>Increase the perceived value of education and parental participation at family level</w:t>
      </w:r>
      <w:r w:rsidR="0087696F">
        <w:rPr>
          <w:rFonts w:cstheme="minorHAnsi"/>
          <w:sz w:val="22"/>
          <w:szCs w:val="22"/>
          <w:lang w:val="en-US"/>
        </w:rPr>
        <w:t>;</w:t>
      </w:r>
    </w:p>
    <w:p w14:paraId="45998E7D" w14:textId="016A9772" w:rsidR="00B254D7" w:rsidRPr="00841766" w:rsidRDefault="00B254D7" w:rsidP="00552AAD">
      <w:pPr>
        <w:pStyle w:val="ListParagraph"/>
        <w:numPr>
          <w:ilvl w:val="0"/>
          <w:numId w:val="11"/>
        </w:numPr>
        <w:jc w:val="both"/>
        <w:rPr>
          <w:rFonts w:cstheme="minorHAnsi"/>
          <w:sz w:val="22"/>
          <w:szCs w:val="22"/>
          <w:lang w:val="en-US"/>
        </w:rPr>
      </w:pPr>
      <w:r w:rsidRPr="00841766">
        <w:rPr>
          <w:rFonts w:cstheme="minorHAnsi"/>
          <w:sz w:val="22"/>
          <w:szCs w:val="22"/>
          <w:lang w:val="en-US"/>
        </w:rPr>
        <w:t xml:space="preserve">Create adequate quantities and </w:t>
      </w:r>
      <w:r w:rsidR="0087696F">
        <w:rPr>
          <w:rFonts w:cstheme="minorHAnsi"/>
          <w:sz w:val="22"/>
          <w:szCs w:val="22"/>
          <w:lang w:val="en-US"/>
        </w:rPr>
        <w:t xml:space="preserve">improve </w:t>
      </w:r>
      <w:r w:rsidRPr="00841766">
        <w:rPr>
          <w:rFonts w:cstheme="minorHAnsi"/>
          <w:sz w:val="22"/>
          <w:szCs w:val="22"/>
          <w:lang w:val="en-US"/>
        </w:rPr>
        <w:t>quality of schools/classrooms (especially in rural areas)</w:t>
      </w:r>
      <w:r w:rsidR="0087696F">
        <w:rPr>
          <w:rFonts w:cstheme="minorHAnsi"/>
          <w:sz w:val="22"/>
          <w:szCs w:val="22"/>
          <w:lang w:val="en-US"/>
        </w:rPr>
        <w:t>;</w:t>
      </w:r>
    </w:p>
    <w:p w14:paraId="458E92E5" w14:textId="714094FA" w:rsidR="00F2398F" w:rsidRPr="00841766" w:rsidRDefault="00F2398F" w:rsidP="00552AAD">
      <w:pPr>
        <w:pStyle w:val="ListParagraph"/>
        <w:numPr>
          <w:ilvl w:val="0"/>
          <w:numId w:val="11"/>
        </w:numPr>
        <w:jc w:val="both"/>
        <w:rPr>
          <w:rFonts w:cstheme="minorHAnsi"/>
          <w:sz w:val="22"/>
          <w:szCs w:val="22"/>
          <w:lang w:val="en-US"/>
        </w:rPr>
      </w:pPr>
      <w:r w:rsidRPr="00841766">
        <w:rPr>
          <w:sz w:val="22"/>
          <w:szCs w:val="22"/>
          <w:lang w:val="en-US"/>
        </w:rPr>
        <w:t xml:space="preserve">Create </w:t>
      </w:r>
      <w:r w:rsidR="0087696F">
        <w:rPr>
          <w:sz w:val="22"/>
          <w:szCs w:val="22"/>
          <w:lang w:val="en-US"/>
        </w:rPr>
        <w:t xml:space="preserve">a </w:t>
      </w:r>
      <w:r w:rsidRPr="00841766">
        <w:rPr>
          <w:sz w:val="22"/>
          <w:szCs w:val="22"/>
          <w:lang w:val="en-US"/>
        </w:rPr>
        <w:t>conducive learning environment through linkages with other programmes and initiatives (aimed at improving services and access to water, WASH facilities, quality of school feeding, etc</w:t>
      </w:r>
      <w:r w:rsidR="00426019" w:rsidRPr="00841766">
        <w:rPr>
          <w:sz w:val="22"/>
          <w:szCs w:val="22"/>
          <w:lang w:val="en-US"/>
        </w:rPr>
        <w:t>.</w:t>
      </w:r>
      <w:r w:rsidRPr="00841766">
        <w:rPr>
          <w:sz w:val="22"/>
          <w:szCs w:val="22"/>
          <w:lang w:val="en-US"/>
        </w:rPr>
        <w:t>)</w:t>
      </w:r>
      <w:r w:rsidR="0087696F">
        <w:rPr>
          <w:sz w:val="22"/>
          <w:szCs w:val="22"/>
          <w:lang w:val="en-US"/>
        </w:rPr>
        <w:t>;</w:t>
      </w:r>
    </w:p>
    <w:p w14:paraId="2EFC2F4C" w14:textId="7CF44A42" w:rsidR="00B254D7" w:rsidRPr="00841766" w:rsidRDefault="00B254D7" w:rsidP="00552AAD">
      <w:pPr>
        <w:pStyle w:val="ListParagraph"/>
        <w:numPr>
          <w:ilvl w:val="0"/>
          <w:numId w:val="11"/>
        </w:numPr>
        <w:jc w:val="both"/>
        <w:rPr>
          <w:rFonts w:cstheme="minorHAnsi"/>
          <w:sz w:val="22"/>
          <w:szCs w:val="22"/>
          <w:lang w:val="en-US"/>
        </w:rPr>
      </w:pPr>
      <w:r w:rsidRPr="00841766">
        <w:rPr>
          <w:rFonts w:cstheme="minorHAnsi"/>
          <w:sz w:val="22"/>
          <w:szCs w:val="22"/>
          <w:lang w:val="en-US"/>
        </w:rPr>
        <w:t>Target the disadvantages of those not speaking the language of instruction</w:t>
      </w:r>
      <w:r w:rsidR="0087696F">
        <w:rPr>
          <w:rFonts w:cstheme="minorHAnsi"/>
          <w:sz w:val="22"/>
          <w:szCs w:val="22"/>
          <w:lang w:val="en-US"/>
        </w:rPr>
        <w:t xml:space="preserve"> and</w:t>
      </w:r>
      <w:r w:rsidRPr="00841766">
        <w:rPr>
          <w:rFonts w:cstheme="minorHAnsi"/>
          <w:sz w:val="22"/>
          <w:szCs w:val="22"/>
          <w:lang w:val="en-US"/>
        </w:rPr>
        <w:t xml:space="preserve"> of adolescent girls and children with disabilities</w:t>
      </w:r>
      <w:r w:rsidR="0087696F">
        <w:rPr>
          <w:rFonts w:cstheme="minorHAnsi"/>
          <w:sz w:val="22"/>
          <w:szCs w:val="22"/>
          <w:lang w:val="en-US"/>
        </w:rPr>
        <w:t>;</w:t>
      </w:r>
      <w:r w:rsidRPr="00841766">
        <w:rPr>
          <w:rFonts w:cstheme="minorHAnsi"/>
          <w:sz w:val="22"/>
          <w:szCs w:val="22"/>
          <w:lang w:val="en-US"/>
        </w:rPr>
        <w:t xml:space="preserve"> </w:t>
      </w:r>
    </w:p>
    <w:p w14:paraId="1BAF40F1" w14:textId="42D1C2A8" w:rsidR="00B254D7" w:rsidRPr="00841766" w:rsidRDefault="00B254D7" w:rsidP="00552AAD">
      <w:pPr>
        <w:pStyle w:val="ListParagraph"/>
        <w:numPr>
          <w:ilvl w:val="0"/>
          <w:numId w:val="11"/>
        </w:numPr>
        <w:jc w:val="both"/>
        <w:rPr>
          <w:rFonts w:cstheme="minorHAnsi"/>
          <w:sz w:val="22"/>
          <w:szCs w:val="22"/>
          <w:lang w:val="en-US"/>
        </w:rPr>
      </w:pPr>
      <w:r w:rsidRPr="00841766">
        <w:rPr>
          <w:rFonts w:cstheme="minorHAnsi"/>
          <w:sz w:val="22"/>
          <w:szCs w:val="22"/>
          <w:lang w:val="en-US"/>
        </w:rPr>
        <w:t xml:space="preserve">Increase the number of qualified teachers and the volume </w:t>
      </w:r>
      <w:r w:rsidR="0087696F">
        <w:rPr>
          <w:rFonts w:cstheme="minorHAnsi"/>
          <w:sz w:val="22"/>
          <w:szCs w:val="22"/>
          <w:lang w:val="en-US"/>
        </w:rPr>
        <w:t xml:space="preserve">and quality </w:t>
      </w:r>
      <w:r w:rsidRPr="00841766">
        <w:rPr>
          <w:rFonts w:cstheme="minorHAnsi"/>
          <w:sz w:val="22"/>
          <w:szCs w:val="22"/>
          <w:lang w:val="en-US"/>
        </w:rPr>
        <w:t>of learning materials</w:t>
      </w:r>
      <w:r w:rsidR="0087696F">
        <w:rPr>
          <w:rFonts w:cstheme="minorHAnsi"/>
          <w:sz w:val="22"/>
          <w:szCs w:val="22"/>
          <w:lang w:val="en-US"/>
        </w:rPr>
        <w:t>,</w:t>
      </w:r>
      <w:r w:rsidRPr="00841766">
        <w:rPr>
          <w:rFonts w:cstheme="minorHAnsi"/>
          <w:sz w:val="22"/>
          <w:szCs w:val="22"/>
          <w:lang w:val="en-US"/>
        </w:rPr>
        <w:t xml:space="preserve"> including STEM (Science, Technology, Engineering and Mathematics) and ICT</w:t>
      </w:r>
      <w:r w:rsidR="0087696F">
        <w:rPr>
          <w:rFonts w:cstheme="minorHAnsi"/>
          <w:sz w:val="22"/>
          <w:szCs w:val="22"/>
          <w:lang w:val="en-US"/>
        </w:rPr>
        <w:t>;</w:t>
      </w:r>
    </w:p>
    <w:p w14:paraId="75290751" w14:textId="2F3DAC22" w:rsidR="007E0281" w:rsidRPr="00841766" w:rsidRDefault="007E0281" w:rsidP="00552AAD">
      <w:pPr>
        <w:pStyle w:val="ListParagraph"/>
        <w:numPr>
          <w:ilvl w:val="0"/>
          <w:numId w:val="11"/>
        </w:numPr>
        <w:jc w:val="both"/>
        <w:rPr>
          <w:rFonts w:cstheme="minorHAnsi"/>
          <w:sz w:val="22"/>
          <w:szCs w:val="22"/>
          <w:lang w:val="en-US"/>
        </w:rPr>
      </w:pPr>
      <w:r w:rsidRPr="00841766">
        <w:rPr>
          <w:rFonts w:eastAsiaTheme="minorEastAsia" w:hAnsi="Calibri"/>
          <w:color w:val="000000" w:themeColor="text1"/>
          <w:kern w:val="24"/>
          <w:sz w:val="22"/>
          <w:szCs w:val="22"/>
          <w:lang w:val="en-US"/>
        </w:rPr>
        <w:t xml:space="preserve">Develop teachers’ capacity to appropriately manage learning </w:t>
      </w:r>
      <w:r w:rsidR="0087696F">
        <w:rPr>
          <w:rFonts w:eastAsiaTheme="minorEastAsia" w:hAnsi="Calibri"/>
          <w:color w:val="000000" w:themeColor="text1"/>
          <w:kern w:val="24"/>
          <w:sz w:val="22"/>
          <w:szCs w:val="22"/>
          <w:lang w:val="en-US"/>
        </w:rPr>
        <w:t>and</w:t>
      </w:r>
      <w:r w:rsidRPr="00841766">
        <w:rPr>
          <w:rFonts w:eastAsiaTheme="minorEastAsia" w:hAnsi="Calibri"/>
          <w:color w:val="000000" w:themeColor="text1"/>
          <w:kern w:val="24"/>
          <w:sz w:val="22"/>
          <w:szCs w:val="22"/>
          <w:lang w:val="en-US"/>
        </w:rPr>
        <w:t xml:space="preserve"> make it stimulating through use of alternative </w:t>
      </w:r>
      <w:r w:rsidR="0087696F">
        <w:rPr>
          <w:rFonts w:eastAsiaTheme="minorEastAsia" w:hAnsi="Calibri"/>
          <w:color w:val="000000" w:themeColor="text1"/>
          <w:kern w:val="24"/>
          <w:sz w:val="22"/>
          <w:szCs w:val="22"/>
          <w:lang w:val="en-US"/>
        </w:rPr>
        <w:t xml:space="preserve">teaching methods and use of various </w:t>
      </w:r>
      <w:r w:rsidRPr="00841766">
        <w:rPr>
          <w:rFonts w:eastAsiaTheme="minorEastAsia" w:hAnsi="Calibri"/>
          <w:color w:val="000000" w:themeColor="text1"/>
          <w:kern w:val="24"/>
          <w:sz w:val="22"/>
          <w:szCs w:val="22"/>
          <w:lang w:val="en-US"/>
        </w:rPr>
        <w:t>media</w:t>
      </w:r>
      <w:r w:rsidR="0087696F">
        <w:rPr>
          <w:rFonts w:eastAsiaTheme="minorEastAsia" w:hAnsi="Calibri"/>
          <w:color w:val="000000" w:themeColor="text1"/>
          <w:kern w:val="24"/>
          <w:sz w:val="22"/>
          <w:szCs w:val="22"/>
          <w:lang w:val="en-US"/>
        </w:rPr>
        <w:t>,</w:t>
      </w:r>
      <w:r w:rsidRPr="00841766">
        <w:rPr>
          <w:rFonts w:eastAsiaTheme="minorEastAsia" w:hAnsi="Calibri"/>
          <w:color w:val="000000" w:themeColor="text1"/>
          <w:kern w:val="24"/>
          <w:sz w:val="22"/>
          <w:szCs w:val="22"/>
          <w:lang w:val="en-US"/>
        </w:rPr>
        <w:t xml:space="preserve"> such as ICT</w:t>
      </w:r>
      <w:r w:rsidR="0087696F">
        <w:rPr>
          <w:rFonts w:eastAsiaTheme="minorEastAsia" w:hAnsi="Calibri"/>
          <w:color w:val="000000" w:themeColor="text1"/>
          <w:kern w:val="24"/>
          <w:sz w:val="22"/>
          <w:szCs w:val="22"/>
          <w:lang w:val="en-US"/>
        </w:rPr>
        <w:t>;</w:t>
      </w:r>
    </w:p>
    <w:p w14:paraId="2D5B1839" w14:textId="6C0150F7" w:rsidR="00B254D7" w:rsidRPr="00841766" w:rsidRDefault="00B254D7" w:rsidP="00552AAD">
      <w:pPr>
        <w:pStyle w:val="ListParagraph"/>
        <w:numPr>
          <w:ilvl w:val="0"/>
          <w:numId w:val="11"/>
        </w:numPr>
        <w:jc w:val="both"/>
        <w:rPr>
          <w:rFonts w:cstheme="minorHAnsi"/>
          <w:sz w:val="22"/>
          <w:szCs w:val="22"/>
          <w:lang w:val="en-US"/>
        </w:rPr>
      </w:pPr>
      <w:r w:rsidRPr="00841766">
        <w:rPr>
          <w:rFonts w:cstheme="minorHAnsi"/>
          <w:sz w:val="22"/>
          <w:szCs w:val="22"/>
          <w:lang w:val="en-US"/>
        </w:rPr>
        <w:t>Tac</w:t>
      </w:r>
      <w:r w:rsidR="00FB0EC6" w:rsidRPr="00841766">
        <w:rPr>
          <w:rFonts w:cstheme="minorHAnsi"/>
          <w:sz w:val="22"/>
          <w:szCs w:val="22"/>
          <w:lang w:val="en-US"/>
        </w:rPr>
        <w:t>kle violence in school settings</w:t>
      </w:r>
      <w:r w:rsidRPr="00841766">
        <w:rPr>
          <w:rFonts w:cstheme="minorHAnsi"/>
          <w:sz w:val="22"/>
          <w:szCs w:val="22"/>
          <w:lang w:val="en-US"/>
        </w:rPr>
        <w:t xml:space="preserve"> </w:t>
      </w:r>
      <w:r w:rsidR="00FB0EC6" w:rsidRPr="00841766">
        <w:rPr>
          <w:rFonts w:cstheme="minorHAnsi"/>
          <w:sz w:val="22"/>
          <w:szCs w:val="22"/>
          <w:lang w:val="en-US"/>
        </w:rPr>
        <w:t>and increase skills and application of positive discipline practices by educators and parents</w:t>
      </w:r>
      <w:r w:rsidR="0087696F">
        <w:rPr>
          <w:rFonts w:cstheme="minorHAnsi"/>
          <w:sz w:val="22"/>
          <w:szCs w:val="22"/>
          <w:lang w:val="en-US"/>
        </w:rPr>
        <w:t>;</w:t>
      </w:r>
    </w:p>
    <w:p w14:paraId="1ABCFECD" w14:textId="098C11EA" w:rsidR="00B254D7" w:rsidRPr="00841766" w:rsidRDefault="00B254D7" w:rsidP="00552AAD">
      <w:pPr>
        <w:pStyle w:val="ListParagraph"/>
        <w:numPr>
          <w:ilvl w:val="0"/>
          <w:numId w:val="11"/>
        </w:numPr>
        <w:jc w:val="both"/>
        <w:rPr>
          <w:rFonts w:cstheme="minorHAnsi"/>
          <w:sz w:val="22"/>
          <w:szCs w:val="22"/>
          <w:lang w:val="en-US"/>
        </w:rPr>
      </w:pPr>
      <w:r w:rsidRPr="00841766">
        <w:rPr>
          <w:rFonts w:cstheme="minorHAnsi"/>
          <w:sz w:val="22"/>
          <w:szCs w:val="22"/>
          <w:lang w:val="en-US"/>
        </w:rPr>
        <w:t>Define standardized measures of learning outcomes, planning and financing and management</w:t>
      </w:r>
      <w:r w:rsidR="0087696F">
        <w:rPr>
          <w:rFonts w:cstheme="minorHAnsi"/>
          <w:sz w:val="22"/>
          <w:szCs w:val="22"/>
          <w:lang w:val="en-US"/>
        </w:rPr>
        <w:t>;</w:t>
      </w:r>
    </w:p>
    <w:p w14:paraId="5F87CBDF" w14:textId="286B7B7B" w:rsidR="00B254D7" w:rsidRPr="00841766" w:rsidRDefault="00B254D7" w:rsidP="00552AAD">
      <w:pPr>
        <w:pStyle w:val="ListParagraph"/>
        <w:numPr>
          <w:ilvl w:val="0"/>
          <w:numId w:val="11"/>
        </w:numPr>
        <w:jc w:val="both"/>
        <w:rPr>
          <w:rStyle w:val="Emphasis"/>
          <w:rFonts w:cstheme="minorHAnsi"/>
          <w:b/>
          <w:bCs/>
          <w:i w:val="0"/>
          <w:iCs w:val="0"/>
          <w:sz w:val="22"/>
          <w:szCs w:val="22"/>
          <w:lang w:val="en-US"/>
        </w:rPr>
      </w:pPr>
      <w:r w:rsidRPr="00841766">
        <w:rPr>
          <w:rFonts w:cstheme="minorHAnsi"/>
          <w:sz w:val="22"/>
          <w:szCs w:val="22"/>
          <w:lang w:val="en-US"/>
        </w:rPr>
        <w:t>A</w:t>
      </w:r>
      <w:r w:rsidRPr="00841766">
        <w:rPr>
          <w:rStyle w:val="Emphasis"/>
          <w:rFonts w:cstheme="minorHAnsi"/>
          <w:bCs/>
          <w:i w:val="0"/>
          <w:sz w:val="22"/>
          <w:szCs w:val="22"/>
          <w:shd w:val="clear" w:color="auto" w:fill="FFFFFF"/>
          <w:lang w:val="en-US"/>
        </w:rPr>
        <w:t xml:space="preserve">ddress harmful </w:t>
      </w:r>
      <w:r w:rsidRPr="00841766">
        <w:rPr>
          <w:rStyle w:val="Emphasis"/>
          <w:rFonts w:cstheme="minorHAnsi"/>
          <w:bCs/>
          <w:i w:val="0"/>
          <w:iCs w:val="0"/>
          <w:sz w:val="22"/>
          <w:szCs w:val="22"/>
          <w:shd w:val="clear" w:color="auto" w:fill="FFFFFF"/>
          <w:lang w:val="en-US"/>
        </w:rPr>
        <w:t>gender norms through direct learning on gender and through opportunities for socialization within an environment that promotes health</w:t>
      </w:r>
      <w:r w:rsidR="0087696F">
        <w:rPr>
          <w:rStyle w:val="Emphasis"/>
          <w:rFonts w:cstheme="minorHAnsi"/>
          <w:bCs/>
          <w:i w:val="0"/>
          <w:iCs w:val="0"/>
          <w:sz w:val="22"/>
          <w:szCs w:val="22"/>
          <w:shd w:val="clear" w:color="auto" w:fill="FFFFFF"/>
          <w:lang w:val="en-US"/>
        </w:rPr>
        <w:t>y</w:t>
      </w:r>
      <w:r w:rsidRPr="00841766">
        <w:rPr>
          <w:rStyle w:val="Emphasis"/>
          <w:rFonts w:cstheme="minorHAnsi"/>
          <w:bCs/>
          <w:i w:val="0"/>
          <w:iCs w:val="0"/>
          <w:sz w:val="22"/>
          <w:szCs w:val="22"/>
          <w:shd w:val="clear" w:color="auto" w:fill="FFFFFF"/>
          <w:lang w:val="en-US"/>
        </w:rPr>
        <w:t xml:space="preserve"> gender norms and practices, including </w:t>
      </w:r>
      <w:r w:rsidR="0087696F">
        <w:rPr>
          <w:rStyle w:val="Emphasis"/>
          <w:rFonts w:cstheme="minorHAnsi"/>
          <w:bCs/>
          <w:i w:val="0"/>
          <w:iCs w:val="0"/>
          <w:sz w:val="22"/>
          <w:szCs w:val="22"/>
          <w:shd w:val="clear" w:color="auto" w:fill="FFFFFF"/>
          <w:lang w:val="en-US"/>
        </w:rPr>
        <w:t xml:space="preserve">addressing </w:t>
      </w:r>
      <w:r w:rsidRPr="00841766">
        <w:rPr>
          <w:rStyle w:val="Emphasis"/>
          <w:rFonts w:cstheme="minorHAnsi"/>
          <w:bCs/>
          <w:i w:val="0"/>
          <w:iCs w:val="0"/>
          <w:sz w:val="22"/>
          <w:szCs w:val="22"/>
          <w:shd w:val="clear" w:color="auto" w:fill="FFFFFF"/>
          <w:lang w:val="en-US"/>
        </w:rPr>
        <w:t>all forms of violence</w:t>
      </w:r>
      <w:r w:rsidR="0087696F">
        <w:rPr>
          <w:rStyle w:val="Emphasis"/>
          <w:rFonts w:cstheme="minorHAnsi"/>
          <w:bCs/>
          <w:i w:val="0"/>
          <w:iCs w:val="0"/>
          <w:sz w:val="22"/>
          <w:szCs w:val="22"/>
          <w:shd w:val="clear" w:color="auto" w:fill="FFFFFF"/>
          <w:lang w:val="en-US"/>
        </w:rPr>
        <w:t>;</w:t>
      </w:r>
      <w:r w:rsidRPr="00841766">
        <w:rPr>
          <w:rStyle w:val="Emphasis"/>
          <w:rFonts w:cstheme="minorHAnsi"/>
          <w:bCs/>
          <w:i w:val="0"/>
          <w:iCs w:val="0"/>
          <w:sz w:val="22"/>
          <w:szCs w:val="22"/>
          <w:shd w:val="clear" w:color="auto" w:fill="FFFFFF"/>
          <w:lang w:val="en-US"/>
        </w:rPr>
        <w:t xml:space="preserve"> </w:t>
      </w:r>
    </w:p>
    <w:p w14:paraId="77A51C33" w14:textId="3E6CE1CB" w:rsidR="00B254D7" w:rsidRPr="00841766" w:rsidRDefault="00B254D7" w:rsidP="00552AAD">
      <w:pPr>
        <w:pStyle w:val="ListParagraph"/>
        <w:numPr>
          <w:ilvl w:val="0"/>
          <w:numId w:val="11"/>
        </w:numPr>
        <w:jc w:val="both"/>
        <w:rPr>
          <w:rStyle w:val="Emphasis"/>
          <w:rFonts w:cstheme="minorHAnsi"/>
          <w:bCs/>
          <w:i w:val="0"/>
          <w:iCs w:val="0"/>
          <w:sz w:val="22"/>
          <w:szCs w:val="22"/>
          <w:shd w:val="clear" w:color="auto" w:fill="FFFFFF"/>
          <w:lang w:val="en-US"/>
        </w:rPr>
      </w:pPr>
      <w:r w:rsidRPr="00841766">
        <w:rPr>
          <w:rStyle w:val="Emphasis"/>
          <w:rFonts w:cstheme="minorHAnsi"/>
          <w:bCs/>
          <w:i w:val="0"/>
          <w:iCs w:val="0"/>
          <w:sz w:val="22"/>
          <w:szCs w:val="22"/>
          <w:shd w:val="clear" w:color="auto" w:fill="FFFFFF"/>
          <w:lang w:val="en-US"/>
        </w:rPr>
        <w:t>Include notions of resilience, climate change and environmental protection within the curriculum</w:t>
      </w:r>
      <w:r w:rsidR="0087696F">
        <w:rPr>
          <w:rStyle w:val="Emphasis"/>
          <w:rFonts w:cstheme="minorHAnsi"/>
          <w:bCs/>
          <w:i w:val="0"/>
          <w:iCs w:val="0"/>
          <w:sz w:val="22"/>
          <w:szCs w:val="22"/>
          <w:shd w:val="clear" w:color="auto" w:fill="FFFFFF"/>
          <w:lang w:val="en-US"/>
        </w:rPr>
        <w:t>; and,</w:t>
      </w:r>
    </w:p>
    <w:p w14:paraId="44AEAB68" w14:textId="721F06DA" w:rsidR="007E0281" w:rsidRPr="00841766" w:rsidRDefault="007E0281" w:rsidP="00552AAD">
      <w:pPr>
        <w:pStyle w:val="ListParagraph"/>
        <w:numPr>
          <w:ilvl w:val="0"/>
          <w:numId w:val="11"/>
        </w:numPr>
        <w:jc w:val="both"/>
        <w:rPr>
          <w:rStyle w:val="Emphasis"/>
          <w:b/>
          <w:i w:val="0"/>
          <w:shd w:val="clear" w:color="auto" w:fill="FFFFFF"/>
          <w:lang w:val="en-US"/>
        </w:rPr>
      </w:pPr>
      <w:r w:rsidRPr="00841766">
        <w:rPr>
          <w:rStyle w:val="Emphasis"/>
          <w:rFonts w:cstheme="minorHAnsi"/>
          <w:bCs/>
          <w:i w:val="0"/>
          <w:sz w:val="22"/>
          <w:szCs w:val="22"/>
          <w:shd w:val="clear" w:color="auto" w:fill="FFFFFF"/>
          <w:lang w:val="en-US"/>
        </w:rPr>
        <w:t>Imbed 21</w:t>
      </w:r>
      <w:r w:rsidRPr="00985039">
        <w:rPr>
          <w:rStyle w:val="Emphasis"/>
          <w:rFonts w:cstheme="minorHAnsi"/>
          <w:bCs/>
          <w:i w:val="0"/>
          <w:sz w:val="22"/>
          <w:szCs w:val="22"/>
          <w:shd w:val="clear" w:color="auto" w:fill="FFFFFF"/>
          <w:vertAlign w:val="superscript"/>
          <w:lang w:val="en-US"/>
        </w:rPr>
        <w:t>st</w:t>
      </w:r>
      <w:r w:rsidR="0087696F">
        <w:rPr>
          <w:rStyle w:val="Emphasis"/>
          <w:rFonts w:cstheme="minorHAnsi"/>
          <w:bCs/>
          <w:i w:val="0"/>
          <w:sz w:val="22"/>
          <w:szCs w:val="22"/>
          <w:shd w:val="clear" w:color="auto" w:fill="FFFFFF"/>
          <w:lang w:val="en-US"/>
        </w:rPr>
        <w:t xml:space="preserve"> century</w:t>
      </w:r>
      <w:r w:rsidRPr="00841766">
        <w:rPr>
          <w:rStyle w:val="Emphasis"/>
          <w:rFonts w:cstheme="minorHAnsi"/>
          <w:bCs/>
          <w:i w:val="0"/>
          <w:sz w:val="22"/>
          <w:szCs w:val="22"/>
          <w:shd w:val="clear" w:color="auto" w:fill="FFFFFF"/>
          <w:lang w:val="en-US"/>
        </w:rPr>
        <w:t xml:space="preserve"> skills</w:t>
      </w:r>
      <w:r w:rsidR="0087696F">
        <w:rPr>
          <w:rStyle w:val="Emphasis"/>
          <w:rFonts w:cstheme="minorHAnsi"/>
          <w:bCs/>
          <w:i w:val="0"/>
          <w:sz w:val="22"/>
          <w:szCs w:val="22"/>
          <w:shd w:val="clear" w:color="auto" w:fill="FFFFFF"/>
          <w:lang w:val="en-US"/>
        </w:rPr>
        <w:t xml:space="preserve"> </w:t>
      </w:r>
      <w:r w:rsidRPr="00841766">
        <w:rPr>
          <w:rStyle w:val="Emphasis"/>
          <w:rFonts w:cstheme="minorHAnsi"/>
          <w:bCs/>
          <w:i w:val="0"/>
          <w:sz w:val="22"/>
          <w:szCs w:val="22"/>
          <w:shd w:val="clear" w:color="auto" w:fill="FFFFFF"/>
          <w:lang w:val="en-US"/>
        </w:rPr>
        <w:t>life skills into teaching and learning subject</w:t>
      </w:r>
      <w:r w:rsidR="0087696F">
        <w:rPr>
          <w:rStyle w:val="Emphasis"/>
          <w:rFonts w:cstheme="minorHAnsi"/>
          <w:bCs/>
          <w:i w:val="0"/>
          <w:sz w:val="22"/>
          <w:szCs w:val="22"/>
          <w:shd w:val="clear" w:color="auto" w:fill="FFFFFF"/>
          <w:lang w:val="en-US"/>
        </w:rPr>
        <w:t>s</w:t>
      </w:r>
      <w:r w:rsidRPr="00841766">
        <w:rPr>
          <w:rStyle w:val="Emphasis"/>
          <w:rFonts w:cstheme="minorHAnsi"/>
          <w:bCs/>
          <w:i w:val="0"/>
          <w:sz w:val="22"/>
          <w:szCs w:val="22"/>
          <w:shd w:val="clear" w:color="auto" w:fill="FFFFFF"/>
          <w:lang w:val="en-US"/>
        </w:rPr>
        <w:t xml:space="preserve"> in the curriculum and train the teachers on</w:t>
      </w:r>
      <w:r w:rsidR="0087696F">
        <w:rPr>
          <w:rStyle w:val="Emphasis"/>
          <w:rFonts w:cstheme="minorHAnsi"/>
          <w:bCs/>
          <w:i w:val="0"/>
          <w:sz w:val="22"/>
          <w:szCs w:val="22"/>
          <w:shd w:val="clear" w:color="auto" w:fill="FFFFFF"/>
          <w:lang w:val="en-US"/>
        </w:rPr>
        <w:t xml:space="preserve"> imparting and developing</w:t>
      </w:r>
      <w:r w:rsidRPr="00841766">
        <w:rPr>
          <w:rStyle w:val="Emphasis"/>
          <w:rFonts w:cstheme="minorHAnsi"/>
          <w:bCs/>
          <w:i w:val="0"/>
          <w:sz w:val="22"/>
          <w:szCs w:val="22"/>
          <w:shd w:val="clear" w:color="auto" w:fill="FFFFFF"/>
          <w:lang w:val="en-US"/>
        </w:rPr>
        <w:t xml:space="preserve"> 21</w:t>
      </w:r>
      <w:r w:rsidRPr="00985039">
        <w:rPr>
          <w:rStyle w:val="Emphasis"/>
          <w:rFonts w:cstheme="minorHAnsi"/>
          <w:bCs/>
          <w:i w:val="0"/>
          <w:sz w:val="22"/>
          <w:szCs w:val="22"/>
          <w:shd w:val="clear" w:color="auto" w:fill="FFFFFF"/>
          <w:vertAlign w:val="superscript"/>
          <w:lang w:val="en-US"/>
        </w:rPr>
        <w:t>st</w:t>
      </w:r>
      <w:r w:rsidR="0087696F">
        <w:rPr>
          <w:rStyle w:val="Emphasis"/>
          <w:rFonts w:cstheme="minorHAnsi"/>
          <w:bCs/>
          <w:i w:val="0"/>
          <w:sz w:val="22"/>
          <w:szCs w:val="22"/>
          <w:shd w:val="clear" w:color="auto" w:fill="FFFFFF"/>
          <w:lang w:val="en-US"/>
        </w:rPr>
        <w:t xml:space="preserve"> century</w:t>
      </w:r>
      <w:r w:rsidRPr="00841766">
        <w:rPr>
          <w:rStyle w:val="Emphasis"/>
          <w:rFonts w:cstheme="minorHAnsi"/>
          <w:bCs/>
          <w:i w:val="0"/>
          <w:sz w:val="22"/>
          <w:szCs w:val="22"/>
          <w:shd w:val="clear" w:color="auto" w:fill="FFFFFF"/>
          <w:lang w:val="en-US"/>
        </w:rPr>
        <w:t xml:space="preserve"> skills</w:t>
      </w:r>
      <w:r w:rsidR="0087696F">
        <w:rPr>
          <w:rStyle w:val="Emphasis"/>
          <w:rFonts w:cstheme="minorHAnsi"/>
          <w:bCs/>
          <w:i w:val="0"/>
          <w:sz w:val="22"/>
          <w:szCs w:val="22"/>
          <w:shd w:val="clear" w:color="auto" w:fill="FFFFFF"/>
          <w:lang w:val="en-US"/>
        </w:rPr>
        <w:t xml:space="preserve"> in students</w:t>
      </w:r>
      <w:r w:rsidRPr="00841766">
        <w:rPr>
          <w:rStyle w:val="Emphasis"/>
          <w:rFonts w:cstheme="minorHAnsi"/>
          <w:bCs/>
          <w:i w:val="0"/>
          <w:sz w:val="22"/>
          <w:szCs w:val="22"/>
          <w:shd w:val="clear" w:color="auto" w:fill="FFFFFF"/>
          <w:lang w:val="en-US"/>
        </w:rPr>
        <w:t>.</w:t>
      </w:r>
    </w:p>
    <w:p w14:paraId="1437C9D7" w14:textId="10CE758E" w:rsidR="00B254D7" w:rsidRDefault="00B254D7" w:rsidP="00552AAD">
      <w:pPr>
        <w:jc w:val="both"/>
        <w:rPr>
          <w:rFonts w:cstheme="minorHAnsi"/>
          <w:sz w:val="22"/>
          <w:szCs w:val="22"/>
          <w:lang w:val="en-US"/>
        </w:rPr>
      </w:pPr>
    </w:p>
    <w:p w14:paraId="5B8073D1" w14:textId="4F2B6DD6" w:rsidR="00686D21" w:rsidRPr="00714227" w:rsidRDefault="00686D21" w:rsidP="00552AAD">
      <w:pPr>
        <w:jc w:val="both"/>
        <w:rPr>
          <w:rFonts w:cstheme="minorHAnsi"/>
          <w:b/>
          <w:bCs/>
          <w:sz w:val="22"/>
          <w:szCs w:val="22"/>
          <w:lang w:val="en-US"/>
        </w:rPr>
      </w:pPr>
      <w:r w:rsidRPr="00714227">
        <w:rPr>
          <w:rFonts w:cstheme="minorHAnsi"/>
          <w:b/>
          <w:bCs/>
          <w:sz w:val="22"/>
          <w:szCs w:val="22"/>
          <w:lang w:val="en-US"/>
        </w:rPr>
        <w:t>Life-long learning</w:t>
      </w:r>
    </w:p>
    <w:p w14:paraId="3B46F394" w14:textId="2B56DECB" w:rsidR="00B254D7" w:rsidRPr="00841766" w:rsidRDefault="00B254D7" w:rsidP="00552AAD">
      <w:pPr>
        <w:widowControl w:val="0"/>
        <w:autoSpaceDE w:val="0"/>
        <w:autoSpaceDN w:val="0"/>
        <w:adjustRightInd w:val="0"/>
        <w:jc w:val="both"/>
        <w:rPr>
          <w:rFonts w:eastAsia="Times New Roman" w:cs="Arial"/>
          <w:b/>
          <w:sz w:val="22"/>
          <w:szCs w:val="22"/>
          <w:lang w:val="en-US"/>
        </w:rPr>
      </w:pPr>
      <w:r w:rsidRPr="00714227">
        <w:rPr>
          <w:rFonts w:cstheme="minorHAnsi"/>
          <w:bCs/>
          <w:sz w:val="22"/>
          <w:szCs w:val="22"/>
          <w:lang w:val="en-US"/>
        </w:rPr>
        <w:t xml:space="preserve">Access to quality education and life-long learning also requires </w:t>
      </w:r>
      <w:r w:rsidRPr="00714227">
        <w:rPr>
          <w:rFonts w:eastAsia="Times New Roman" w:cs="Arial"/>
          <w:bCs/>
          <w:sz w:val="22"/>
          <w:szCs w:val="22"/>
          <w:lang w:val="en-US"/>
        </w:rPr>
        <w:t xml:space="preserve">increasing access to inclusive, equitable, relevant and quality formal and non-formal education and innovative learning pathway to </w:t>
      </w:r>
      <w:r w:rsidRPr="00714227">
        <w:rPr>
          <w:rFonts w:cstheme="minorHAnsi"/>
          <w:bCs/>
          <w:color w:val="000000"/>
          <w:sz w:val="22"/>
          <w:szCs w:val="22"/>
          <w:lang w:val="en-US"/>
        </w:rPr>
        <w:t>ensure tha</w:t>
      </w:r>
      <w:r w:rsidRPr="00841766">
        <w:rPr>
          <w:rFonts w:cstheme="minorHAnsi"/>
          <w:color w:val="000000"/>
          <w:sz w:val="22"/>
          <w:szCs w:val="22"/>
          <w:lang w:val="en-US"/>
        </w:rPr>
        <w:t>t out-of-school children</w:t>
      </w:r>
      <w:r w:rsidR="0087696F">
        <w:rPr>
          <w:rFonts w:cstheme="minorHAnsi"/>
          <w:color w:val="000000"/>
          <w:sz w:val="22"/>
          <w:szCs w:val="22"/>
          <w:lang w:val="en-US"/>
        </w:rPr>
        <w:t xml:space="preserve"> from early education to upper secondary</w:t>
      </w:r>
      <w:r w:rsidRPr="00841766">
        <w:rPr>
          <w:rFonts w:cstheme="minorHAnsi"/>
          <w:color w:val="000000"/>
          <w:sz w:val="22"/>
          <w:szCs w:val="22"/>
          <w:lang w:val="en-US"/>
        </w:rPr>
        <w:t xml:space="preserve">, </w:t>
      </w:r>
      <w:r w:rsidR="0087696F">
        <w:rPr>
          <w:rFonts w:cstheme="minorHAnsi"/>
          <w:color w:val="000000"/>
          <w:sz w:val="22"/>
          <w:szCs w:val="22"/>
          <w:lang w:val="en-US"/>
        </w:rPr>
        <w:t xml:space="preserve">children and youth differently abled, </w:t>
      </w:r>
      <w:r w:rsidRPr="00841766">
        <w:rPr>
          <w:rFonts w:cstheme="minorHAnsi"/>
          <w:color w:val="000000"/>
          <w:sz w:val="22"/>
          <w:szCs w:val="22"/>
          <w:lang w:val="en-US"/>
        </w:rPr>
        <w:t xml:space="preserve">youth, young mothers, </w:t>
      </w:r>
      <w:r w:rsidRPr="00841766">
        <w:rPr>
          <w:rFonts w:eastAsia="Calibri" w:cstheme="minorHAnsi"/>
          <w:color w:val="000000"/>
          <w:kern w:val="24"/>
          <w:sz w:val="22"/>
          <w:szCs w:val="22"/>
          <w:lang w:val="en-US"/>
        </w:rPr>
        <w:t xml:space="preserve">and adults </w:t>
      </w:r>
      <w:r w:rsidRPr="00841766">
        <w:rPr>
          <w:rFonts w:cstheme="minorHAnsi"/>
          <w:color w:val="000000"/>
          <w:sz w:val="22"/>
          <w:szCs w:val="22"/>
          <w:lang w:val="en-US"/>
        </w:rPr>
        <w:t>(especially in rural areas)</w:t>
      </w:r>
      <w:r w:rsidRPr="00841766">
        <w:rPr>
          <w:rFonts w:cstheme="minorHAnsi"/>
          <w:color w:val="000000"/>
          <w:sz w:val="20"/>
          <w:szCs w:val="20"/>
          <w:lang w:val="en-US"/>
        </w:rPr>
        <w:t xml:space="preserve"> </w:t>
      </w:r>
      <w:r w:rsidR="00180AED" w:rsidRPr="00841766">
        <w:rPr>
          <w:rFonts w:eastAsia="Calibri" w:cstheme="minorHAnsi"/>
          <w:color w:val="000000"/>
          <w:kern w:val="24"/>
          <w:sz w:val="22"/>
          <w:szCs w:val="22"/>
          <w:lang w:val="en-US"/>
        </w:rPr>
        <w:t xml:space="preserve">continue to learn </w:t>
      </w:r>
      <w:r w:rsidRPr="00841766">
        <w:rPr>
          <w:rFonts w:eastAsia="Calibri" w:cstheme="minorHAnsi"/>
          <w:color w:val="000000"/>
          <w:kern w:val="24"/>
          <w:sz w:val="22"/>
          <w:szCs w:val="22"/>
          <w:lang w:val="en-US"/>
        </w:rPr>
        <w:t>either through formal or non-formal education,</w:t>
      </w:r>
      <w:r w:rsidR="00A442EB">
        <w:rPr>
          <w:rFonts w:eastAsia="Calibri" w:cstheme="minorHAnsi"/>
          <w:color w:val="000000"/>
          <w:kern w:val="24"/>
          <w:sz w:val="22"/>
          <w:szCs w:val="22"/>
          <w:lang w:val="en-US"/>
        </w:rPr>
        <w:t xml:space="preserve"> including through social protection and other schemes,</w:t>
      </w:r>
      <w:r w:rsidR="00180AED" w:rsidRPr="00841766">
        <w:rPr>
          <w:rFonts w:eastAsia="Calibri" w:cstheme="minorHAnsi"/>
          <w:color w:val="000000"/>
          <w:kern w:val="24"/>
          <w:sz w:val="22"/>
          <w:szCs w:val="22"/>
          <w:lang w:val="en-US"/>
        </w:rPr>
        <w:t xml:space="preserve"> </w:t>
      </w:r>
      <w:r w:rsidRPr="00841766">
        <w:rPr>
          <w:rFonts w:eastAsia="Calibri" w:cstheme="minorHAnsi"/>
          <w:color w:val="000000"/>
          <w:kern w:val="24"/>
          <w:sz w:val="22"/>
          <w:szCs w:val="22"/>
          <w:lang w:val="en-US"/>
        </w:rPr>
        <w:t xml:space="preserve">and that they have capabilities to be </w:t>
      </w:r>
      <w:r w:rsidRPr="00841766">
        <w:rPr>
          <w:rFonts w:cstheme="minorHAnsi"/>
          <w:sz w:val="22"/>
          <w:szCs w:val="22"/>
          <w:shd w:val="clear" w:color="auto" w:fill="FFFFFF"/>
          <w:lang w:val="en-US"/>
        </w:rPr>
        <w:t xml:space="preserve">economically productive and improve </w:t>
      </w:r>
      <w:r w:rsidR="0087696F">
        <w:rPr>
          <w:rFonts w:cstheme="minorHAnsi"/>
          <w:sz w:val="22"/>
          <w:szCs w:val="22"/>
          <w:shd w:val="clear" w:color="auto" w:fill="FFFFFF"/>
          <w:lang w:val="en-US"/>
        </w:rPr>
        <w:t xml:space="preserve">social and </w:t>
      </w:r>
      <w:r w:rsidRPr="00841766">
        <w:rPr>
          <w:rFonts w:cstheme="minorHAnsi"/>
          <w:color w:val="000000"/>
          <w:sz w:val="22"/>
          <w:szCs w:val="22"/>
          <w:lang w:val="en-US"/>
        </w:rPr>
        <w:t>personal growth.</w:t>
      </w:r>
      <w:r w:rsidRPr="00841766">
        <w:rPr>
          <w:rFonts w:cstheme="minorHAnsi"/>
          <w:color w:val="000000"/>
          <w:sz w:val="20"/>
          <w:szCs w:val="20"/>
          <w:lang w:val="en-US"/>
        </w:rPr>
        <w:t xml:space="preserve"> </w:t>
      </w:r>
    </w:p>
    <w:p w14:paraId="53D54697" w14:textId="77777777" w:rsidR="00D948DD" w:rsidRPr="00841766" w:rsidRDefault="00D948DD" w:rsidP="00552AAD">
      <w:pPr>
        <w:widowControl w:val="0"/>
        <w:autoSpaceDE w:val="0"/>
        <w:autoSpaceDN w:val="0"/>
        <w:adjustRightInd w:val="0"/>
        <w:jc w:val="both"/>
        <w:rPr>
          <w:rFonts w:cstheme="minorHAnsi"/>
          <w:sz w:val="22"/>
          <w:szCs w:val="22"/>
          <w:lang w:val="en-US"/>
        </w:rPr>
      </w:pPr>
    </w:p>
    <w:p w14:paraId="6EE3EA48" w14:textId="182B713D" w:rsidR="005133E7" w:rsidRPr="00985039" w:rsidRDefault="00B254D7" w:rsidP="00552AAD">
      <w:pPr>
        <w:pStyle w:val="paragraph"/>
        <w:jc w:val="both"/>
        <w:textAlignment w:val="baseline"/>
        <w:rPr>
          <w:rFonts w:asciiTheme="minorHAnsi" w:hAnsiTheme="minorHAnsi" w:cstheme="minorHAnsi"/>
        </w:rPr>
      </w:pPr>
      <w:r w:rsidRPr="00985039">
        <w:rPr>
          <w:rFonts w:asciiTheme="minorHAnsi" w:hAnsiTheme="minorHAnsi" w:cstheme="minorHAnsi"/>
          <w:sz w:val="22"/>
          <w:szCs w:val="22"/>
        </w:rPr>
        <w:t xml:space="preserve">Currently, around 11% of children (6-17yrs) have never attended school. </w:t>
      </w:r>
      <w:r w:rsidR="005133E7" w:rsidRPr="00985039">
        <w:rPr>
          <w:rFonts w:asciiTheme="minorHAnsi" w:hAnsiTheme="minorHAnsi" w:cstheme="minorHAnsi"/>
          <w:sz w:val="22"/>
          <w:szCs w:val="22"/>
        </w:rPr>
        <w:t xml:space="preserve"> </w:t>
      </w:r>
      <w:r w:rsidRPr="00985039">
        <w:rPr>
          <w:rFonts w:asciiTheme="minorHAnsi" w:hAnsiTheme="minorHAnsi" w:cstheme="minorHAnsi"/>
          <w:sz w:val="22"/>
          <w:szCs w:val="22"/>
        </w:rPr>
        <w:t>Among them</w:t>
      </w:r>
      <w:r w:rsidR="005133E7" w:rsidRPr="00985039">
        <w:rPr>
          <w:rFonts w:asciiTheme="minorHAnsi" w:hAnsiTheme="minorHAnsi" w:cstheme="minorHAnsi"/>
          <w:sz w:val="22"/>
          <w:szCs w:val="22"/>
        </w:rPr>
        <w:t xml:space="preserve"> are</w:t>
      </w:r>
      <w:r w:rsidRPr="00985039">
        <w:rPr>
          <w:rFonts w:asciiTheme="minorHAnsi" w:hAnsiTheme="minorHAnsi" w:cstheme="minorHAnsi"/>
          <w:sz w:val="22"/>
          <w:szCs w:val="22"/>
        </w:rPr>
        <w:t xml:space="preserve"> working children, young female farmers and young parents</w:t>
      </w:r>
      <w:r w:rsidR="005133E7" w:rsidRPr="00985039">
        <w:rPr>
          <w:rFonts w:asciiTheme="minorHAnsi" w:hAnsiTheme="minorHAnsi" w:cstheme="minorHAnsi"/>
          <w:sz w:val="22"/>
          <w:szCs w:val="22"/>
        </w:rPr>
        <w:t>:</w:t>
      </w:r>
      <w:r w:rsidRPr="00985039">
        <w:rPr>
          <w:rFonts w:asciiTheme="minorHAnsi" w:hAnsiTheme="minorHAnsi" w:cstheme="minorHAnsi"/>
          <w:sz w:val="22"/>
          <w:szCs w:val="22"/>
        </w:rPr>
        <w:t xml:space="preserve"> 19.6 % of young mothers reported that they had stopped </w:t>
      </w:r>
      <w:r w:rsidR="005133E7" w:rsidRPr="00985039">
        <w:rPr>
          <w:rFonts w:asciiTheme="minorHAnsi" w:hAnsiTheme="minorHAnsi" w:cstheme="minorHAnsi"/>
          <w:sz w:val="22"/>
          <w:szCs w:val="22"/>
        </w:rPr>
        <w:t xml:space="preserve">going to </w:t>
      </w:r>
      <w:r w:rsidRPr="00985039">
        <w:rPr>
          <w:rFonts w:asciiTheme="minorHAnsi" w:hAnsiTheme="minorHAnsi" w:cstheme="minorHAnsi"/>
          <w:sz w:val="22"/>
          <w:szCs w:val="22"/>
        </w:rPr>
        <w:t>school</w:t>
      </w:r>
      <w:r w:rsidR="005133E7" w:rsidRPr="00985039">
        <w:rPr>
          <w:rFonts w:asciiTheme="minorHAnsi" w:hAnsiTheme="minorHAnsi" w:cstheme="minorHAnsi"/>
          <w:sz w:val="22"/>
          <w:szCs w:val="22"/>
        </w:rPr>
        <w:t xml:space="preserve"> due to motherhood</w:t>
      </w:r>
      <w:r w:rsidRPr="00985039">
        <w:rPr>
          <w:rFonts w:asciiTheme="minorHAnsi" w:hAnsiTheme="minorHAnsi" w:cstheme="minorHAnsi"/>
          <w:sz w:val="22"/>
          <w:szCs w:val="22"/>
        </w:rPr>
        <w:t xml:space="preserve">. </w:t>
      </w:r>
      <w:r w:rsidR="005133E7" w:rsidRPr="00985039">
        <w:rPr>
          <w:rFonts w:asciiTheme="minorHAnsi" w:hAnsiTheme="minorHAnsi" w:cstheme="minorHAnsi"/>
          <w:sz w:val="22"/>
          <w:szCs w:val="22"/>
        </w:rPr>
        <w:t xml:space="preserve"> </w:t>
      </w:r>
      <w:r w:rsidRPr="00985039">
        <w:rPr>
          <w:rFonts w:asciiTheme="minorHAnsi" w:hAnsiTheme="minorHAnsi" w:cstheme="minorHAnsi"/>
          <w:sz w:val="22"/>
          <w:szCs w:val="22"/>
        </w:rPr>
        <w:t>32% of the population aged 15 years and older</w:t>
      </w:r>
      <w:r w:rsidR="005133E7" w:rsidRPr="00985039">
        <w:rPr>
          <w:rFonts w:asciiTheme="minorHAnsi" w:hAnsiTheme="minorHAnsi" w:cstheme="minorHAnsi"/>
          <w:sz w:val="22"/>
          <w:szCs w:val="22"/>
        </w:rPr>
        <w:t xml:space="preserve"> are illiterate</w:t>
      </w:r>
      <w:r w:rsidRPr="00985039">
        <w:rPr>
          <w:rFonts w:asciiTheme="minorHAnsi" w:hAnsiTheme="minorHAnsi" w:cstheme="minorHAnsi"/>
          <w:sz w:val="22"/>
          <w:szCs w:val="22"/>
        </w:rPr>
        <w:t>.</w:t>
      </w:r>
      <w:r w:rsidR="005133E7" w:rsidRPr="00985039">
        <w:rPr>
          <w:rFonts w:asciiTheme="minorHAnsi" w:hAnsiTheme="minorHAnsi" w:cstheme="minorHAnsi"/>
          <w:sz w:val="22"/>
          <w:szCs w:val="22"/>
        </w:rPr>
        <w:t xml:space="preserve">  </w:t>
      </w:r>
      <w:r w:rsidR="005133E7" w:rsidRPr="00985039">
        <w:rPr>
          <w:rStyle w:val="eop"/>
          <w:rFonts w:asciiTheme="minorHAnsi" w:hAnsiTheme="minorHAnsi" w:cstheme="minorHAnsi"/>
          <w:sz w:val="22"/>
          <w:szCs w:val="22"/>
        </w:rPr>
        <w:t>Additionally, opportunities to develop new skills and gain new knowledge relevant not only to employment</w:t>
      </w:r>
      <w:r w:rsidR="005133E7">
        <w:rPr>
          <w:rStyle w:val="eop"/>
          <w:rFonts w:asciiTheme="minorHAnsi" w:hAnsiTheme="minorHAnsi" w:cstheme="minorHAnsi"/>
          <w:sz w:val="22"/>
          <w:szCs w:val="22"/>
        </w:rPr>
        <w:t xml:space="preserve"> and</w:t>
      </w:r>
      <w:r w:rsidR="005133E7" w:rsidRPr="00985039">
        <w:rPr>
          <w:rStyle w:val="eop"/>
          <w:rFonts w:asciiTheme="minorHAnsi" w:hAnsiTheme="minorHAnsi" w:cstheme="minorHAnsi"/>
          <w:sz w:val="22"/>
          <w:szCs w:val="22"/>
        </w:rPr>
        <w:t xml:space="preserve"> productivity but also to social and personal development are limited and difficult to access for marginalized groups.  Digital skills and digital literacy need to be further strengthened across </w:t>
      </w:r>
      <w:r w:rsidR="005133E7" w:rsidRPr="00985039">
        <w:rPr>
          <w:rStyle w:val="eop"/>
          <w:rFonts w:asciiTheme="minorHAnsi" w:hAnsiTheme="minorHAnsi" w:cstheme="minorHAnsi"/>
          <w:sz w:val="22"/>
          <w:szCs w:val="22"/>
        </w:rPr>
        <w:lastRenderedPageBreak/>
        <w:t>the board</w:t>
      </w:r>
      <w:r w:rsidR="005133E7">
        <w:rPr>
          <w:rStyle w:val="eop"/>
          <w:rFonts w:asciiTheme="minorHAnsi" w:hAnsiTheme="minorHAnsi" w:cstheme="minorHAnsi"/>
          <w:sz w:val="22"/>
          <w:szCs w:val="22"/>
        </w:rPr>
        <w:t>,</w:t>
      </w:r>
      <w:r w:rsidR="005133E7" w:rsidRPr="00985039">
        <w:rPr>
          <w:rStyle w:val="eop"/>
          <w:rFonts w:asciiTheme="minorHAnsi" w:hAnsiTheme="minorHAnsi" w:cstheme="minorHAnsi"/>
          <w:sz w:val="22"/>
          <w:szCs w:val="22"/>
        </w:rPr>
        <w:t xml:space="preserve"> together with 21st century skills to navigate both socially and economically in the societies of tomorrow.</w:t>
      </w:r>
    </w:p>
    <w:p w14:paraId="2BFB50A1" w14:textId="389FC3AB" w:rsidR="00B254D7" w:rsidRPr="000E793D" w:rsidRDefault="00B254D7" w:rsidP="00552AAD">
      <w:pPr>
        <w:widowControl w:val="0"/>
        <w:autoSpaceDE w:val="0"/>
        <w:autoSpaceDN w:val="0"/>
        <w:adjustRightInd w:val="0"/>
        <w:jc w:val="both"/>
        <w:rPr>
          <w:rFonts w:eastAsia="Times New Roman" w:cstheme="minorHAnsi"/>
          <w:b/>
          <w:sz w:val="22"/>
          <w:szCs w:val="22"/>
          <w:lang w:val="en-US"/>
        </w:rPr>
      </w:pPr>
    </w:p>
    <w:p w14:paraId="6350FE7D" w14:textId="77777777" w:rsidR="00B254D7" w:rsidRPr="00841766" w:rsidRDefault="00B254D7" w:rsidP="00552AAD">
      <w:pPr>
        <w:widowControl w:val="0"/>
        <w:autoSpaceDE w:val="0"/>
        <w:autoSpaceDN w:val="0"/>
        <w:adjustRightInd w:val="0"/>
        <w:jc w:val="both"/>
        <w:rPr>
          <w:rFonts w:cstheme="minorHAnsi"/>
          <w:sz w:val="22"/>
          <w:szCs w:val="22"/>
          <w:lang w:val="en-US"/>
        </w:rPr>
      </w:pPr>
      <w:r w:rsidRPr="00841766">
        <w:rPr>
          <w:rFonts w:cstheme="minorHAnsi"/>
          <w:sz w:val="22"/>
          <w:szCs w:val="22"/>
          <w:lang w:val="en-US"/>
        </w:rPr>
        <w:t>The necessary change in this area entails:</w:t>
      </w:r>
    </w:p>
    <w:p w14:paraId="353FDE9F" w14:textId="55A3DF64" w:rsidR="00B254D7" w:rsidRPr="00841766" w:rsidRDefault="00B254D7" w:rsidP="00552AAD">
      <w:pPr>
        <w:pStyle w:val="ListParagraph"/>
        <w:widowControl w:val="0"/>
        <w:numPr>
          <w:ilvl w:val="0"/>
          <w:numId w:val="11"/>
        </w:numPr>
        <w:autoSpaceDE w:val="0"/>
        <w:autoSpaceDN w:val="0"/>
        <w:adjustRightInd w:val="0"/>
        <w:jc w:val="both"/>
        <w:rPr>
          <w:rFonts w:cstheme="minorHAnsi"/>
          <w:sz w:val="22"/>
          <w:szCs w:val="22"/>
          <w:lang w:val="en-US"/>
        </w:rPr>
      </w:pPr>
      <w:r w:rsidRPr="00841766">
        <w:rPr>
          <w:rFonts w:cstheme="minorHAnsi"/>
          <w:sz w:val="22"/>
          <w:szCs w:val="22"/>
          <w:lang w:val="en-US"/>
        </w:rPr>
        <w:t>Addressing the negative perception of PLWD and the obstacles to their full education and skills development</w:t>
      </w:r>
      <w:r w:rsidR="005133E7">
        <w:rPr>
          <w:rFonts w:cstheme="minorHAnsi"/>
          <w:sz w:val="22"/>
          <w:szCs w:val="22"/>
          <w:lang w:val="en-US"/>
        </w:rPr>
        <w:t>;</w:t>
      </w:r>
    </w:p>
    <w:p w14:paraId="6E4C521A" w14:textId="0ABDDBF1" w:rsidR="00B254D7" w:rsidRPr="00841766" w:rsidRDefault="00B254D7" w:rsidP="00552AAD">
      <w:pPr>
        <w:pStyle w:val="ListParagraph"/>
        <w:widowControl w:val="0"/>
        <w:numPr>
          <w:ilvl w:val="0"/>
          <w:numId w:val="11"/>
        </w:numPr>
        <w:autoSpaceDE w:val="0"/>
        <w:autoSpaceDN w:val="0"/>
        <w:adjustRightInd w:val="0"/>
        <w:jc w:val="both"/>
        <w:rPr>
          <w:rFonts w:cstheme="minorHAnsi"/>
          <w:sz w:val="22"/>
          <w:szCs w:val="22"/>
          <w:lang w:val="en-US"/>
        </w:rPr>
      </w:pPr>
      <w:r w:rsidRPr="00841766">
        <w:rPr>
          <w:rFonts w:cstheme="minorHAnsi"/>
          <w:sz w:val="22"/>
          <w:szCs w:val="22"/>
          <w:lang w:val="en-US"/>
        </w:rPr>
        <w:t>Changing the patriarchal and social norms on pregnant girls</w:t>
      </w:r>
      <w:r w:rsidR="005133E7">
        <w:rPr>
          <w:rFonts w:cstheme="minorHAnsi"/>
          <w:sz w:val="22"/>
          <w:szCs w:val="22"/>
          <w:lang w:val="en-US"/>
        </w:rPr>
        <w:t>,</w:t>
      </w:r>
      <w:r w:rsidRPr="00841766">
        <w:rPr>
          <w:rFonts w:cstheme="minorHAnsi"/>
          <w:sz w:val="22"/>
          <w:szCs w:val="22"/>
          <w:lang w:val="en-US"/>
        </w:rPr>
        <w:t xml:space="preserve"> such as no re-entry policy</w:t>
      </w:r>
      <w:r w:rsidR="005133E7">
        <w:rPr>
          <w:rFonts w:cstheme="minorHAnsi"/>
          <w:sz w:val="22"/>
          <w:szCs w:val="22"/>
          <w:lang w:val="en-US"/>
        </w:rPr>
        <w:t>;</w:t>
      </w:r>
    </w:p>
    <w:p w14:paraId="00F68F35" w14:textId="30AB7382" w:rsidR="00B254D7" w:rsidRPr="00841766" w:rsidRDefault="00B254D7" w:rsidP="00552AAD">
      <w:pPr>
        <w:pStyle w:val="ListParagraph"/>
        <w:widowControl w:val="0"/>
        <w:numPr>
          <w:ilvl w:val="0"/>
          <w:numId w:val="11"/>
        </w:numPr>
        <w:autoSpaceDE w:val="0"/>
        <w:autoSpaceDN w:val="0"/>
        <w:adjustRightInd w:val="0"/>
        <w:jc w:val="both"/>
        <w:rPr>
          <w:rFonts w:cstheme="minorHAnsi"/>
          <w:sz w:val="22"/>
          <w:szCs w:val="22"/>
          <w:lang w:val="en-US"/>
        </w:rPr>
      </w:pPr>
      <w:r w:rsidRPr="00841766">
        <w:rPr>
          <w:rFonts w:cstheme="minorHAnsi"/>
          <w:sz w:val="22"/>
          <w:szCs w:val="22"/>
          <w:lang w:val="en-US"/>
        </w:rPr>
        <w:t>Providing access to child workers/labor (sessional, part-time)</w:t>
      </w:r>
      <w:r w:rsidR="005133E7">
        <w:rPr>
          <w:rFonts w:cstheme="minorHAnsi"/>
          <w:sz w:val="22"/>
          <w:szCs w:val="22"/>
          <w:lang w:val="en-US"/>
        </w:rPr>
        <w:t>;</w:t>
      </w:r>
    </w:p>
    <w:p w14:paraId="0DE09D21" w14:textId="3C7B1C97" w:rsidR="00B254D7" w:rsidRDefault="00B254D7" w:rsidP="00552AAD">
      <w:pPr>
        <w:pStyle w:val="ListParagraph"/>
        <w:widowControl w:val="0"/>
        <w:numPr>
          <w:ilvl w:val="0"/>
          <w:numId w:val="11"/>
        </w:numPr>
        <w:autoSpaceDE w:val="0"/>
        <w:autoSpaceDN w:val="0"/>
        <w:adjustRightInd w:val="0"/>
        <w:jc w:val="both"/>
        <w:rPr>
          <w:rFonts w:cstheme="minorHAnsi"/>
          <w:sz w:val="22"/>
          <w:szCs w:val="22"/>
          <w:lang w:val="en-US"/>
        </w:rPr>
      </w:pPr>
      <w:r w:rsidRPr="00841766">
        <w:rPr>
          <w:rFonts w:cstheme="minorHAnsi"/>
          <w:sz w:val="22"/>
          <w:szCs w:val="22"/>
          <w:lang w:val="en-US"/>
        </w:rPr>
        <w:t>Enhancing the institutional capacity</w:t>
      </w:r>
      <w:r w:rsidR="005133E7">
        <w:rPr>
          <w:rFonts w:cstheme="minorHAnsi"/>
          <w:sz w:val="22"/>
          <w:szCs w:val="22"/>
          <w:lang w:val="en-US"/>
        </w:rPr>
        <w:t xml:space="preserve"> and cooperation across institutions</w:t>
      </w:r>
      <w:r w:rsidRPr="00841766">
        <w:rPr>
          <w:rFonts w:cstheme="minorHAnsi"/>
          <w:sz w:val="22"/>
          <w:szCs w:val="22"/>
          <w:lang w:val="en-US"/>
        </w:rPr>
        <w:t xml:space="preserve"> to </w:t>
      </w:r>
      <w:r w:rsidR="007E0281" w:rsidRPr="00841766">
        <w:rPr>
          <w:rFonts w:cstheme="minorHAnsi"/>
          <w:sz w:val="22"/>
          <w:szCs w:val="22"/>
          <w:lang w:val="en-US"/>
        </w:rPr>
        <w:t xml:space="preserve">provide a </w:t>
      </w:r>
      <w:r w:rsidR="005133E7">
        <w:rPr>
          <w:rFonts w:cstheme="minorHAnsi"/>
          <w:sz w:val="22"/>
          <w:szCs w:val="22"/>
          <w:lang w:val="en-US"/>
        </w:rPr>
        <w:t xml:space="preserve">relevant and effective </w:t>
      </w:r>
      <w:r w:rsidR="007E0281" w:rsidRPr="00841766">
        <w:rPr>
          <w:rFonts w:cstheme="minorHAnsi"/>
          <w:sz w:val="22"/>
          <w:szCs w:val="22"/>
          <w:lang w:val="en-US"/>
        </w:rPr>
        <w:t>continuum of learning</w:t>
      </w:r>
      <w:r w:rsidR="005133E7">
        <w:rPr>
          <w:rFonts w:cstheme="minorHAnsi"/>
          <w:sz w:val="22"/>
          <w:szCs w:val="22"/>
          <w:lang w:val="en-US"/>
        </w:rPr>
        <w:t>;</w:t>
      </w:r>
    </w:p>
    <w:p w14:paraId="1B962D4C" w14:textId="6684E1A9" w:rsidR="005133E7" w:rsidRDefault="005133E7" w:rsidP="00552AAD">
      <w:pPr>
        <w:pStyle w:val="paragraph"/>
        <w:numPr>
          <w:ilvl w:val="0"/>
          <w:numId w:val="11"/>
        </w:numPr>
        <w:jc w:val="both"/>
        <w:textAlignment w:val="baseline"/>
        <w:rPr>
          <w:rFonts w:ascii="Calibri" w:hAnsi="Calibri" w:cs="Calibri"/>
          <w:sz w:val="22"/>
          <w:szCs w:val="22"/>
        </w:rPr>
      </w:pPr>
      <w:r>
        <w:rPr>
          <w:rFonts w:ascii="Calibri" w:hAnsi="Calibri" w:cs="Calibri"/>
          <w:sz w:val="22"/>
          <w:szCs w:val="22"/>
        </w:rPr>
        <w:t>Improved understanding among stakeholders on 21</w:t>
      </w:r>
      <w:r w:rsidRPr="00DA7004">
        <w:rPr>
          <w:rFonts w:ascii="Calibri" w:hAnsi="Calibri" w:cs="Calibri"/>
          <w:sz w:val="22"/>
          <w:szCs w:val="22"/>
          <w:vertAlign w:val="superscript"/>
        </w:rPr>
        <w:t>st</w:t>
      </w:r>
      <w:r>
        <w:rPr>
          <w:rFonts w:ascii="Calibri" w:hAnsi="Calibri" w:cs="Calibri"/>
          <w:sz w:val="22"/>
          <w:szCs w:val="22"/>
        </w:rPr>
        <w:t xml:space="preserve"> century skills and knowledge needed, not only for employment and productivity enhancement, </w:t>
      </w:r>
      <w:r w:rsidR="0087492B">
        <w:rPr>
          <w:rFonts w:ascii="Calibri" w:hAnsi="Calibri" w:cs="Calibri"/>
          <w:sz w:val="22"/>
          <w:szCs w:val="22"/>
        </w:rPr>
        <w:t xml:space="preserve">however </w:t>
      </w:r>
      <w:r>
        <w:rPr>
          <w:rFonts w:ascii="Calibri" w:hAnsi="Calibri" w:cs="Calibri"/>
          <w:sz w:val="22"/>
          <w:szCs w:val="22"/>
        </w:rPr>
        <w:t>especially for social and personal development;</w:t>
      </w:r>
    </w:p>
    <w:p w14:paraId="7F385647" w14:textId="5E70136B" w:rsidR="005133E7" w:rsidRPr="00985039" w:rsidRDefault="005133E7" w:rsidP="00552AAD">
      <w:pPr>
        <w:pStyle w:val="paragraph"/>
        <w:numPr>
          <w:ilvl w:val="0"/>
          <w:numId w:val="11"/>
        </w:numPr>
        <w:jc w:val="both"/>
        <w:textAlignment w:val="baseline"/>
        <w:rPr>
          <w:rFonts w:ascii="Calibri" w:hAnsi="Calibri" w:cs="Calibri"/>
          <w:sz w:val="22"/>
          <w:szCs w:val="22"/>
        </w:rPr>
      </w:pPr>
      <w:r>
        <w:rPr>
          <w:rFonts w:ascii="Calibri" w:hAnsi="Calibri" w:cs="Calibri"/>
          <w:sz w:val="22"/>
          <w:szCs w:val="22"/>
        </w:rPr>
        <w:t>Improved institutional and human capacities to impart 21</w:t>
      </w:r>
      <w:r w:rsidRPr="00DA7004">
        <w:rPr>
          <w:rFonts w:ascii="Calibri" w:hAnsi="Calibri" w:cs="Calibri"/>
          <w:sz w:val="22"/>
          <w:szCs w:val="22"/>
          <w:vertAlign w:val="superscript"/>
        </w:rPr>
        <w:t>st</w:t>
      </w:r>
      <w:r>
        <w:rPr>
          <w:rFonts w:ascii="Calibri" w:hAnsi="Calibri" w:cs="Calibri"/>
          <w:sz w:val="22"/>
          <w:szCs w:val="22"/>
        </w:rPr>
        <w:t xml:space="preserve"> century skills through relevant mechanisms and pathways; and,</w:t>
      </w:r>
    </w:p>
    <w:p w14:paraId="7CF8A94B" w14:textId="00F77AB9" w:rsidR="00B254D7" w:rsidRPr="00841766" w:rsidRDefault="00B254D7" w:rsidP="00552AAD">
      <w:pPr>
        <w:pStyle w:val="ListParagraph"/>
        <w:widowControl w:val="0"/>
        <w:numPr>
          <w:ilvl w:val="0"/>
          <w:numId w:val="11"/>
        </w:numPr>
        <w:autoSpaceDE w:val="0"/>
        <w:autoSpaceDN w:val="0"/>
        <w:adjustRightInd w:val="0"/>
        <w:jc w:val="both"/>
        <w:rPr>
          <w:rFonts w:cstheme="minorHAnsi"/>
          <w:sz w:val="22"/>
          <w:szCs w:val="22"/>
          <w:lang w:val="en-US"/>
        </w:rPr>
      </w:pPr>
      <w:r w:rsidRPr="00841766">
        <w:rPr>
          <w:rFonts w:cstheme="minorHAnsi"/>
          <w:sz w:val="22"/>
          <w:szCs w:val="22"/>
          <w:lang w:val="en-US"/>
        </w:rPr>
        <w:t xml:space="preserve">Providing alternative learning pathway/non-conventional learning (community preschool, </w:t>
      </w:r>
      <w:r w:rsidRPr="00841766">
        <w:rPr>
          <w:rFonts w:cstheme="minorHAnsi"/>
          <w:color w:val="000000"/>
          <w:sz w:val="22"/>
          <w:szCs w:val="22"/>
          <w:lang w:val="en-US"/>
        </w:rPr>
        <w:t>ICT-based education and e-learning platforms</w:t>
      </w:r>
      <w:r w:rsidRPr="00841766">
        <w:rPr>
          <w:rFonts w:cstheme="minorHAnsi"/>
          <w:sz w:val="22"/>
          <w:szCs w:val="22"/>
          <w:lang w:val="en-US"/>
        </w:rPr>
        <w:t>, teacher training, parenting</w:t>
      </w:r>
      <w:r w:rsidR="007E0281" w:rsidRPr="00841766">
        <w:rPr>
          <w:rFonts w:cstheme="minorHAnsi"/>
          <w:sz w:val="22"/>
          <w:szCs w:val="22"/>
          <w:lang w:val="en-US"/>
        </w:rPr>
        <w:t>,</w:t>
      </w:r>
      <w:r w:rsidRPr="00841766">
        <w:rPr>
          <w:rFonts w:cstheme="minorHAnsi"/>
          <w:sz w:val="22"/>
          <w:szCs w:val="22"/>
          <w:lang w:val="en-US"/>
        </w:rPr>
        <w:t xml:space="preserve"> </w:t>
      </w:r>
      <w:r w:rsidR="007E0281" w:rsidRPr="00841766">
        <w:rPr>
          <w:sz w:val="22"/>
          <w:szCs w:val="22"/>
          <w:lang w:val="en-US"/>
        </w:rPr>
        <w:t>youth/adult liter</w:t>
      </w:r>
      <w:r w:rsidR="00BA1222" w:rsidRPr="00841766">
        <w:rPr>
          <w:sz w:val="22"/>
          <w:szCs w:val="22"/>
          <w:lang w:val="en-US"/>
        </w:rPr>
        <w:t xml:space="preserve">acy program/ equivalency </w:t>
      </w:r>
      <w:r w:rsidR="00BA1222" w:rsidRPr="00841766">
        <w:rPr>
          <w:rFonts w:cstheme="minorHAnsi"/>
          <w:sz w:val="22"/>
          <w:szCs w:val="22"/>
          <w:lang w:val="en-US"/>
        </w:rPr>
        <w:t xml:space="preserve">programmes for </w:t>
      </w:r>
      <w:r w:rsidR="00BA1222" w:rsidRPr="00841766">
        <w:rPr>
          <w:sz w:val="22"/>
          <w:szCs w:val="22"/>
          <w:lang w:val="en-US"/>
        </w:rPr>
        <w:t>primary, secondary equivalency</w:t>
      </w:r>
      <w:r w:rsidRPr="00841766">
        <w:rPr>
          <w:rFonts w:cstheme="minorHAnsi"/>
          <w:sz w:val="22"/>
          <w:szCs w:val="22"/>
          <w:lang w:val="en-US"/>
        </w:rPr>
        <w:t>).</w:t>
      </w:r>
    </w:p>
    <w:p w14:paraId="6A839153" w14:textId="77777777" w:rsidR="00B254D7" w:rsidRPr="00841766" w:rsidRDefault="00B254D7" w:rsidP="00552AAD">
      <w:pPr>
        <w:jc w:val="both"/>
        <w:rPr>
          <w:rFonts w:cstheme="minorHAnsi"/>
          <w:sz w:val="22"/>
          <w:szCs w:val="22"/>
          <w:lang w:val="en-US"/>
        </w:rPr>
      </w:pPr>
    </w:p>
    <w:p w14:paraId="2257DDC1" w14:textId="77777777" w:rsidR="00385D62" w:rsidRPr="00385D62" w:rsidRDefault="00385D62" w:rsidP="00552AAD">
      <w:pPr>
        <w:jc w:val="both"/>
        <w:rPr>
          <w:rFonts w:cstheme="minorHAnsi"/>
          <w:b/>
          <w:bCs/>
          <w:lang w:val="en-US"/>
        </w:rPr>
      </w:pPr>
      <w:bookmarkStart w:id="58" w:name="_Toc29540795"/>
      <w:bookmarkStart w:id="59" w:name="_Toc29550727"/>
      <w:bookmarkStart w:id="60" w:name="_Toc29550822"/>
      <w:bookmarkStart w:id="61" w:name="_Toc29900356"/>
      <w:bookmarkStart w:id="62" w:name="_Toc30407939"/>
      <w:bookmarkStart w:id="63" w:name="_Toc31376345"/>
      <w:r w:rsidRPr="00385D62">
        <w:rPr>
          <w:rFonts w:cstheme="minorHAnsi"/>
          <w:b/>
          <w:bCs/>
          <w:lang w:val="en-US"/>
        </w:rPr>
        <w:t>Contribution to SDGs</w:t>
      </w:r>
    </w:p>
    <w:p w14:paraId="5F385812" w14:textId="2AFCE61C" w:rsidR="00385D62" w:rsidRDefault="00385D62" w:rsidP="00552AAD">
      <w:pPr>
        <w:jc w:val="both"/>
        <w:rPr>
          <w:rFonts w:cstheme="minorHAnsi"/>
          <w:sz w:val="22"/>
          <w:szCs w:val="22"/>
          <w:lang w:val="en-US"/>
        </w:rPr>
      </w:pPr>
      <w:r w:rsidRPr="00385D62">
        <w:rPr>
          <w:rFonts w:cstheme="minorHAnsi"/>
          <w:sz w:val="22"/>
          <w:szCs w:val="22"/>
          <w:lang w:val="en-US"/>
        </w:rPr>
        <w:t>Outcome 3 will specifically contribute and measure progress towards quality education (SDG 4) and gender equality (SDG 5). Focusing on these strategic areas will contribute to positive spillover effects, accelerating progress towards to no poverty (SDG 1), good health and well-being (SDG 3), decent work and economic growth (SDG 8) and reduced inequalities (SDG 10).</w:t>
      </w:r>
    </w:p>
    <w:p w14:paraId="355D0BA5" w14:textId="77777777" w:rsidR="00385D62" w:rsidRDefault="00385D62" w:rsidP="00552AAD">
      <w:pPr>
        <w:jc w:val="both"/>
        <w:rPr>
          <w:b/>
          <w:bCs/>
          <w:lang w:val="en-US"/>
        </w:rPr>
      </w:pPr>
    </w:p>
    <w:p w14:paraId="546B151D" w14:textId="3ED8ABA6" w:rsidR="00B254D7" w:rsidRPr="000135BE" w:rsidRDefault="00B254D7" w:rsidP="00552AAD">
      <w:pPr>
        <w:jc w:val="both"/>
        <w:rPr>
          <w:b/>
          <w:bCs/>
          <w:lang w:val="en-US"/>
        </w:rPr>
      </w:pPr>
      <w:r w:rsidRPr="000135BE">
        <w:rPr>
          <w:b/>
          <w:bCs/>
          <w:lang w:val="en-US"/>
        </w:rPr>
        <w:t xml:space="preserve">UN Comparative advantages, partnership and South-South or </w:t>
      </w:r>
      <w:r w:rsidR="00552AAD">
        <w:rPr>
          <w:b/>
          <w:bCs/>
          <w:lang w:val="en-US"/>
        </w:rPr>
        <w:t>T</w:t>
      </w:r>
      <w:r w:rsidRPr="000135BE">
        <w:rPr>
          <w:b/>
          <w:bCs/>
          <w:lang w:val="en-US"/>
        </w:rPr>
        <w:t>riangular Cooperation</w:t>
      </w:r>
      <w:bookmarkEnd w:id="58"/>
      <w:bookmarkEnd w:id="59"/>
      <w:bookmarkEnd w:id="60"/>
      <w:bookmarkEnd w:id="61"/>
      <w:bookmarkEnd w:id="62"/>
      <w:bookmarkEnd w:id="63"/>
    </w:p>
    <w:p w14:paraId="31540ECC" w14:textId="5A04A8F1" w:rsidR="00FC6F26" w:rsidRPr="00DA7004" w:rsidRDefault="00FC6F26" w:rsidP="00552AAD">
      <w:pPr>
        <w:pStyle w:val="paragraph"/>
        <w:jc w:val="both"/>
        <w:textAlignment w:val="baseline"/>
        <w:rPr>
          <w:rFonts w:asciiTheme="minorHAnsi" w:hAnsiTheme="minorHAnsi" w:cstheme="minorHAnsi"/>
          <w:sz w:val="22"/>
          <w:szCs w:val="22"/>
        </w:rPr>
      </w:pPr>
      <w:r w:rsidRPr="008F441C">
        <w:rPr>
          <w:rStyle w:val="normaltextrun1"/>
          <w:rFonts w:ascii="Calibri" w:hAnsi="Calibri" w:cs="Calibri"/>
          <w:sz w:val="22"/>
          <w:szCs w:val="22"/>
        </w:rPr>
        <w:t>The UN in Timor-Leste has built a strong cooperation with government, particularly with the Ministry of Education Youth and Sports</w:t>
      </w:r>
      <w:r>
        <w:rPr>
          <w:rStyle w:val="normaltextrun1"/>
          <w:rFonts w:ascii="Calibri" w:hAnsi="Calibri" w:cs="Calibri"/>
          <w:sz w:val="22"/>
          <w:szCs w:val="22"/>
        </w:rPr>
        <w:t xml:space="preserve"> and </w:t>
      </w:r>
      <w:r w:rsidRPr="008F441C">
        <w:rPr>
          <w:rStyle w:val="normaltextrun1"/>
          <w:rFonts w:ascii="Calibri" w:hAnsi="Calibri" w:cs="Calibri"/>
          <w:sz w:val="22"/>
          <w:szCs w:val="22"/>
        </w:rPr>
        <w:t xml:space="preserve">the Ministry of </w:t>
      </w:r>
      <w:r>
        <w:rPr>
          <w:rStyle w:val="normaltextrun1"/>
          <w:rFonts w:ascii="Calibri" w:hAnsi="Calibri" w:cs="Calibri"/>
          <w:sz w:val="22"/>
          <w:szCs w:val="22"/>
        </w:rPr>
        <w:t>H</w:t>
      </w:r>
      <w:r w:rsidRPr="008F441C">
        <w:rPr>
          <w:rStyle w:val="normaltextrun1"/>
          <w:rFonts w:ascii="Calibri" w:hAnsi="Calibri" w:cs="Calibri"/>
          <w:sz w:val="22"/>
          <w:szCs w:val="22"/>
        </w:rPr>
        <w:t xml:space="preserve">igher Education, </w:t>
      </w:r>
      <w:r>
        <w:rPr>
          <w:rStyle w:val="normaltextrun1"/>
          <w:rFonts w:ascii="Calibri" w:hAnsi="Calibri" w:cs="Calibri"/>
          <w:sz w:val="22"/>
          <w:szCs w:val="22"/>
        </w:rPr>
        <w:t>Science and Culture, along with m</w:t>
      </w:r>
      <w:r w:rsidRPr="008F441C">
        <w:rPr>
          <w:rStyle w:val="normaltextrun1"/>
          <w:rFonts w:ascii="Calibri" w:hAnsi="Calibri" w:cs="Calibri"/>
          <w:sz w:val="22"/>
          <w:szCs w:val="22"/>
        </w:rPr>
        <w:t>unicipal authorities</w:t>
      </w:r>
      <w:r>
        <w:rPr>
          <w:rStyle w:val="normaltextrun1"/>
          <w:rFonts w:ascii="Calibri" w:hAnsi="Calibri" w:cs="Calibri"/>
          <w:sz w:val="22"/>
          <w:szCs w:val="22"/>
        </w:rPr>
        <w:t xml:space="preserve">, </w:t>
      </w:r>
      <w:r w:rsidRPr="008F441C">
        <w:rPr>
          <w:rStyle w:val="normaltextrun1"/>
          <w:rFonts w:ascii="Calibri" w:hAnsi="Calibri" w:cs="Calibri"/>
          <w:sz w:val="22"/>
          <w:szCs w:val="22"/>
        </w:rPr>
        <w:t>school management and teachers</w:t>
      </w:r>
      <w:r>
        <w:rPr>
          <w:rStyle w:val="normaltextrun1"/>
          <w:rFonts w:ascii="Calibri" w:hAnsi="Calibri" w:cs="Calibri"/>
          <w:sz w:val="22"/>
          <w:szCs w:val="22"/>
        </w:rPr>
        <w:t>.  The UN</w:t>
      </w:r>
      <w:r w:rsidRPr="008F441C">
        <w:rPr>
          <w:rStyle w:val="normaltextrun1"/>
          <w:rFonts w:ascii="Calibri" w:hAnsi="Calibri" w:cs="Calibri"/>
          <w:sz w:val="22"/>
          <w:szCs w:val="22"/>
        </w:rPr>
        <w:t xml:space="preserve"> provid</w:t>
      </w:r>
      <w:r>
        <w:rPr>
          <w:rStyle w:val="normaltextrun1"/>
          <w:rFonts w:ascii="Calibri" w:hAnsi="Calibri" w:cs="Calibri"/>
          <w:sz w:val="22"/>
          <w:szCs w:val="22"/>
        </w:rPr>
        <w:t>es</w:t>
      </w:r>
      <w:r w:rsidRPr="008F441C">
        <w:rPr>
          <w:rStyle w:val="normaltextrun1"/>
          <w:rFonts w:ascii="Calibri" w:hAnsi="Calibri" w:cs="Calibri"/>
          <w:sz w:val="22"/>
          <w:szCs w:val="22"/>
        </w:rPr>
        <w:t xml:space="preserve"> technical assistance for evidence generation and modeling, capacity building at all levels, application of relevant i</w:t>
      </w:r>
      <w:r w:rsidRPr="00DA7004">
        <w:rPr>
          <w:rStyle w:val="normaltextrun1"/>
          <w:rFonts w:ascii="Calibri" w:hAnsi="Calibri" w:cs="Calibri"/>
          <w:color w:val="000000"/>
          <w:sz w:val="22"/>
          <w:szCs w:val="22"/>
        </w:rPr>
        <w:t>nternational norms and standards, addressing equity and inclusion, including gender equality and disabilities</w:t>
      </w:r>
      <w:r>
        <w:rPr>
          <w:rStyle w:val="normaltextrun1"/>
          <w:rFonts w:ascii="Calibri" w:hAnsi="Calibri" w:cs="Calibri"/>
          <w:color w:val="000000"/>
          <w:sz w:val="22"/>
          <w:szCs w:val="22"/>
        </w:rPr>
        <w:t>,</w:t>
      </w:r>
      <w:r w:rsidRPr="00DA7004">
        <w:rPr>
          <w:rStyle w:val="normaltextrun1"/>
          <w:rFonts w:ascii="Calibri" w:hAnsi="Calibri" w:cs="Calibri"/>
          <w:color w:val="000000"/>
          <w:sz w:val="22"/>
          <w:szCs w:val="22"/>
        </w:rPr>
        <w:t xml:space="preserve"> and </w:t>
      </w:r>
      <w:r>
        <w:rPr>
          <w:rStyle w:val="normaltextrun1"/>
          <w:rFonts w:ascii="Calibri" w:hAnsi="Calibri" w:cs="Calibri"/>
          <w:color w:val="000000"/>
          <w:sz w:val="22"/>
          <w:szCs w:val="22"/>
        </w:rPr>
        <w:t xml:space="preserve">identifying and adapting to risks related to </w:t>
      </w:r>
      <w:r w:rsidRPr="00DA7004">
        <w:rPr>
          <w:rStyle w:val="normaltextrun1"/>
          <w:rFonts w:ascii="Calibri" w:hAnsi="Calibri" w:cs="Calibri"/>
          <w:color w:val="000000"/>
          <w:sz w:val="22"/>
          <w:szCs w:val="22"/>
        </w:rPr>
        <w:t xml:space="preserve">climate change and </w:t>
      </w:r>
      <w:r>
        <w:rPr>
          <w:rStyle w:val="normaltextrun1"/>
          <w:rFonts w:ascii="Calibri" w:hAnsi="Calibri" w:cs="Calibri"/>
          <w:color w:val="000000"/>
          <w:sz w:val="22"/>
          <w:szCs w:val="22"/>
        </w:rPr>
        <w:t>natural disasters</w:t>
      </w:r>
      <w:r w:rsidRPr="00DA7004">
        <w:rPr>
          <w:rStyle w:val="normaltextrun1"/>
          <w:rFonts w:ascii="Calibri" w:hAnsi="Calibri" w:cs="Calibri"/>
          <w:color w:val="000000"/>
          <w:sz w:val="22"/>
          <w:szCs w:val="22"/>
        </w:rPr>
        <w:t>.</w:t>
      </w:r>
      <w:r>
        <w:rPr>
          <w:rStyle w:val="normaltextrun1"/>
          <w:rFonts w:ascii="Calibri" w:hAnsi="Calibri" w:cs="Calibri"/>
          <w:color w:val="000000"/>
          <w:sz w:val="22"/>
          <w:szCs w:val="22"/>
        </w:rPr>
        <w:t xml:space="preserve">  The UN also plays a critical role with government, development partners, </w:t>
      </w:r>
      <w:r w:rsidRPr="00DA7004">
        <w:rPr>
          <w:rStyle w:val="normaltextrun1"/>
          <w:rFonts w:asciiTheme="minorHAnsi" w:hAnsiTheme="minorHAnsi" w:cstheme="minorHAnsi"/>
          <w:color w:val="000000"/>
          <w:sz w:val="22"/>
          <w:szCs w:val="22"/>
        </w:rPr>
        <w:t xml:space="preserve">civil society and other stakeholder </w:t>
      </w:r>
      <w:r>
        <w:rPr>
          <w:rStyle w:val="normaltextrun1"/>
          <w:rFonts w:asciiTheme="minorHAnsi" w:hAnsiTheme="minorHAnsi" w:cstheme="minorHAnsi"/>
          <w:color w:val="000000"/>
          <w:sz w:val="22"/>
          <w:szCs w:val="22"/>
        </w:rPr>
        <w:t xml:space="preserve">in education sector </w:t>
      </w:r>
      <w:r w:rsidRPr="00DA7004">
        <w:rPr>
          <w:rStyle w:val="normaltextrun1"/>
          <w:rFonts w:asciiTheme="minorHAnsi" w:hAnsiTheme="minorHAnsi" w:cstheme="minorHAnsi"/>
          <w:sz w:val="22"/>
          <w:szCs w:val="22"/>
        </w:rPr>
        <w:t>convening and coordination, resource mobilization, and plays a key advocacy role with government and partners. </w:t>
      </w:r>
      <w:r w:rsidRPr="00DA7004">
        <w:rPr>
          <w:rStyle w:val="eop"/>
          <w:rFonts w:asciiTheme="minorHAnsi" w:hAnsiTheme="minorHAnsi" w:cstheme="minorHAnsi"/>
          <w:sz w:val="22"/>
          <w:szCs w:val="22"/>
        </w:rPr>
        <w:t> </w:t>
      </w:r>
    </w:p>
    <w:p w14:paraId="4EB3D155" w14:textId="77777777" w:rsidR="00D948DD" w:rsidRPr="00841766" w:rsidRDefault="00D948DD" w:rsidP="00552AAD">
      <w:pPr>
        <w:autoSpaceDE w:val="0"/>
        <w:autoSpaceDN w:val="0"/>
        <w:adjustRightInd w:val="0"/>
        <w:jc w:val="both"/>
        <w:rPr>
          <w:rFonts w:cstheme="minorHAnsi"/>
          <w:sz w:val="22"/>
          <w:szCs w:val="22"/>
          <w:lang w:val="en-US"/>
        </w:rPr>
      </w:pPr>
    </w:p>
    <w:p w14:paraId="7E3E4859" w14:textId="532D3654" w:rsidR="00B254D7" w:rsidRDefault="00B254D7" w:rsidP="00552AAD">
      <w:pPr>
        <w:autoSpaceDE w:val="0"/>
        <w:autoSpaceDN w:val="0"/>
        <w:adjustRightInd w:val="0"/>
        <w:jc w:val="both"/>
        <w:rPr>
          <w:rFonts w:cstheme="minorHAnsi"/>
          <w:sz w:val="22"/>
          <w:szCs w:val="22"/>
          <w:lang w:val="en-US"/>
        </w:rPr>
      </w:pPr>
      <w:r w:rsidRPr="00841766">
        <w:rPr>
          <w:rFonts w:cstheme="minorHAnsi"/>
          <w:sz w:val="22"/>
          <w:szCs w:val="22"/>
          <w:lang w:val="en-US"/>
        </w:rPr>
        <w:t xml:space="preserve">Partners look to the UN to continue this convening, advocacy and technical role but expect a greater role of CSOs in providing and expanding ECD/ECE opportunities for </w:t>
      </w:r>
      <w:r w:rsidR="00C7169E">
        <w:rPr>
          <w:rFonts w:cstheme="minorHAnsi"/>
          <w:sz w:val="22"/>
          <w:szCs w:val="22"/>
          <w:lang w:val="en-US"/>
        </w:rPr>
        <w:t>marginalized</w:t>
      </w:r>
      <w:r w:rsidRPr="00841766">
        <w:rPr>
          <w:rFonts w:cstheme="minorHAnsi"/>
          <w:sz w:val="22"/>
          <w:szCs w:val="22"/>
          <w:lang w:val="en-US"/>
        </w:rPr>
        <w:t xml:space="preserve"> populations.</w:t>
      </w:r>
      <w:r w:rsidRPr="00841766">
        <w:rPr>
          <w:rFonts w:cs="Times New Roman"/>
          <w:sz w:val="22"/>
          <w:szCs w:val="22"/>
          <w:lang w:val="en-US"/>
        </w:rPr>
        <w:t xml:space="preserve"> </w:t>
      </w:r>
      <w:r w:rsidR="00FC6F26">
        <w:rPr>
          <w:rFonts w:cs="Times New Roman"/>
          <w:sz w:val="22"/>
          <w:szCs w:val="22"/>
          <w:lang w:val="en-US"/>
        </w:rPr>
        <w:t xml:space="preserve"> </w:t>
      </w:r>
      <w:r w:rsidRPr="00841766">
        <w:rPr>
          <w:rFonts w:cstheme="minorHAnsi"/>
          <w:sz w:val="22"/>
          <w:szCs w:val="22"/>
          <w:lang w:val="en-US"/>
        </w:rPr>
        <w:t>In the area of access to quality basic and secondary education, partners look to the UN to continue this convening and technical role, ensuring strong coordination and alignment with government priorities</w:t>
      </w:r>
      <w:r w:rsidR="00FC6F26">
        <w:rPr>
          <w:rFonts w:cstheme="minorHAnsi"/>
          <w:sz w:val="22"/>
          <w:szCs w:val="22"/>
          <w:lang w:val="en-US"/>
        </w:rPr>
        <w:t>,</w:t>
      </w:r>
      <w:r w:rsidRPr="00841766">
        <w:rPr>
          <w:rFonts w:cstheme="minorHAnsi"/>
          <w:sz w:val="22"/>
          <w:szCs w:val="22"/>
          <w:lang w:val="en-US"/>
        </w:rPr>
        <w:t xml:space="preserve"> in particular to increase partners’ support to secondary education.</w:t>
      </w:r>
    </w:p>
    <w:p w14:paraId="088A0644" w14:textId="77777777" w:rsidR="009F5D41" w:rsidRDefault="009F5D41" w:rsidP="00552AAD">
      <w:pPr>
        <w:autoSpaceDE w:val="0"/>
        <w:autoSpaceDN w:val="0"/>
        <w:adjustRightInd w:val="0"/>
        <w:jc w:val="both"/>
        <w:rPr>
          <w:rFonts w:cstheme="minorHAnsi"/>
          <w:sz w:val="22"/>
          <w:szCs w:val="22"/>
          <w:lang w:val="en-US"/>
        </w:rPr>
      </w:pPr>
    </w:p>
    <w:p w14:paraId="6103BC42" w14:textId="442C3A9F" w:rsidR="00FC6F26" w:rsidRPr="000E793D" w:rsidRDefault="00FC6F26" w:rsidP="00552AAD">
      <w:pPr>
        <w:autoSpaceDE w:val="0"/>
        <w:autoSpaceDN w:val="0"/>
        <w:adjustRightInd w:val="0"/>
        <w:jc w:val="both"/>
        <w:rPr>
          <w:rFonts w:cstheme="minorHAnsi"/>
          <w:sz w:val="22"/>
          <w:szCs w:val="22"/>
          <w:lang w:val="en-US"/>
        </w:rPr>
      </w:pPr>
      <w:r w:rsidRPr="00985039">
        <w:rPr>
          <w:rFonts w:eastAsia="Times New Roman" w:cstheme="minorHAnsi"/>
          <w:sz w:val="22"/>
          <w:szCs w:val="22"/>
          <w:lang w:val="en-US"/>
        </w:rPr>
        <w:t xml:space="preserve">The UN plays a critical role in south-south and triangular cooperation, bringing in </w:t>
      </w:r>
      <w:r w:rsidRPr="00985039">
        <w:rPr>
          <w:rFonts w:cstheme="minorHAnsi"/>
          <w:lang w:val="en-US"/>
        </w:rPr>
        <w:t>internat</w:t>
      </w:r>
      <w:r w:rsidRPr="00985039">
        <w:rPr>
          <w:rFonts w:cstheme="minorHAnsi"/>
          <w:sz w:val="22"/>
          <w:szCs w:val="22"/>
          <w:lang w:val="en-US"/>
        </w:rPr>
        <w:t>ional</w:t>
      </w:r>
      <w:r w:rsidRPr="00985039">
        <w:rPr>
          <w:rFonts w:eastAsia="Times New Roman" w:cstheme="minorHAnsi"/>
          <w:sz w:val="22"/>
          <w:szCs w:val="22"/>
          <w:lang w:val="en-US"/>
        </w:rPr>
        <w:t xml:space="preserve"> expertise and experience that can be applied within the Timor-Leste context, related to adoption and application </w:t>
      </w:r>
      <w:r w:rsidRPr="00985039">
        <w:rPr>
          <w:rFonts w:cstheme="minorHAnsi"/>
          <w:sz w:val="22"/>
          <w:szCs w:val="22"/>
          <w:lang w:val="en-US"/>
        </w:rPr>
        <w:t>of international</w:t>
      </w:r>
      <w:r w:rsidRPr="00985039">
        <w:rPr>
          <w:rFonts w:cstheme="minorHAnsi"/>
          <w:lang w:val="en-US"/>
        </w:rPr>
        <w:t xml:space="preserve"> </w:t>
      </w:r>
      <w:r w:rsidRPr="00985039">
        <w:rPr>
          <w:rFonts w:eastAsia="Times New Roman" w:cstheme="minorHAnsi"/>
          <w:sz w:val="22"/>
          <w:szCs w:val="22"/>
          <w:lang w:val="en-US"/>
        </w:rPr>
        <w:t>norms and standards, development of internationa</w:t>
      </w:r>
      <w:r w:rsidRPr="00985039">
        <w:rPr>
          <w:rFonts w:cstheme="minorHAnsi"/>
          <w:sz w:val="22"/>
          <w:szCs w:val="22"/>
          <w:lang w:val="en-US"/>
        </w:rPr>
        <w:t>l</w:t>
      </w:r>
      <w:r w:rsidRPr="00985039">
        <w:rPr>
          <w:rFonts w:eastAsia="Times New Roman" w:cstheme="minorHAnsi"/>
          <w:sz w:val="22"/>
          <w:szCs w:val="22"/>
          <w:lang w:val="en-US"/>
        </w:rPr>
        <w:t>l</w:t>
      </w:r>
      <w:r w:rsidRPr="00985039">
        <w:rPr>
          <w:rFonts w:cstheme="minorHAnsi"/>
          <w:sz w:val="22"/>
          <w:szCs w:val="22"/>
          <w:lang w:val="en-US"/>
        </w:rPr>
        <w:t>y</w:t>
      </w:r>
      <w:r w:rsidRPr="00985039">
        <w:rPr>
          <w:rFonts w:eastAsia="Times New Roman" w:cstheme="minorHAnsi"/>
          <w:sz w:val="22"/>
          <w:szCs w:val="22"/>
          <w:lang w:val="en-US"/>
        </w:rPr>
        <w:t xml:space="preserve"> comparative learning outcomes measurement</w:t>
      </w:r>
      <w:r w:rsidRPr="00985039">
        <w:rPr>
          <w:rFonts w:cstheme="minorHAnsi"/>
          <w:sz w:val="22"/>
          <w:szCs w:val="22"/>
          <w:lang w:val="en-US"/>
        </w:rPr>
        <w:t>s</w:t>
      </w:r>
      <w:r w:rsidRPr="00985039">
        <w:rPr>
          <w:rFonts w:eastAsia="Times New Roman" w:cstheme="minorHAnsi"/>
          <w:sz w:val="22"/>
          <w:szCs w:val="22"/>
          <w:lang w:val="en-US"/>
        </w:rPr>
        <w:t xml:space="preserve">, </w:t>
      </w:r>
      <w:r w:rsidRPr="00985039">
        <w:rPr>
          <w:rFonts w:cstheme="minorHAnsi"/>
          <w:sz w:val="22"/>
          <w:szCs w:val="22"/>
          <w:lang w:val="en-US"/>
        </w:rPr>
        <w:t xml:space="preserve">strategies for </w:t>
      </w:r>
      <w:r w:rsidRPr="00985039">
        <w:rPr>
          <w:rFonts w:eastAsia="Times New Roman" w:cstheme="minorHAnsi"/>
          <w:sz w:val="22"/>
          <w:szCs w:val="22"/>
          <w:lang w:val="en-US"/>
        </w:rPr>
        <w:t xml:space="preserve">appropriate application of ICT and innovative models for teaching and learning, and </w:t>
      </w:r>
      <w:r w:rsidRPr="00985039">
        <w:rPr>
          <w:rFonts w:cstheme="minorHAnsi"/>
          <w:sz w:val="22"/>
          <w:szCs w:val="22"/>
          <w:lang w:val="en-US"/>
        </w:rPr>
        <w:t xml:space="preserve">introducing </w:t>
      </w:r>
      <w:r w:rsidRPr="00985039">
        <w:rPr>
          <w:rFonts w:eastAsia="Times New Roman" w:cstheme="minorHAnsi"/>
          <w:sz w:val="22"/>
          <w:szCs w:val="22"/>
          <w:lang w:val="en-US"/>
        </w:rPr>
        <w:t xml:space="preserve">approaches for increasing equity and inclusiveness of education and learning for marginalized groups. </w:t>
      </w:r>
      <w:r w:rsidR="004C1577">
        <w:rPr>
          <w:rFonts w:eastAsia="Times New Roman" w:cstheme="minorHAnsi"/>
          <w:sz w:val="22"/>
          <w:szCs w:val="22"/>
          <w:lang w:val="en-US"/>
        </w:rPr>
        <w:t xml:space="preserve"> </w:t>
      </w:r>
      <w:r w:rsidRPr="00985039">
        <w:rPr>
          <w:rFonts w:eastAsia="Times New Roman" w:cstheme="minorHAnsi"/>
          <w:sz w:val="22"/>
          <w:szCs w:val="22"/>
          <w:lang w:val="en-US"/>
        </w:rPr>
        <w:t>The U</w:t>
      </w:r>
      <w:r w:rsidRPr="00985039">
        <w:rPr>
          <w:rFonts w:cstheme="minorHAnsi"/>
          <w:sz w:val="22"/>
          <w:szCs w:val="22"/>
          <w:lang w:val="en-US"/>
        </w:rPr>
        <w:t xml:space="preserve">N </w:t>
      </w:r>
      <w:r w:rsidRPr="00985039">
        <w:rPr>
          <w:rFonts w:eastAsia="Times New Roman" w:cstheme="minorHAnsi"/>
          <w:sz w:val="22"/>
          <w:szCs w:val="22"/>
          <w:lang w:val="en-US"/>
        </w:rPr>
        <w:t>will continue to support country</w:t>
      </w:r>
      <w:r w:rsidR="004C1577">
        <w:rPr>
          <w:rFonts w:eastAsia="Times New Roman" w:cstheme="minorHAnsi"/>
          <w:sz w:val="22"/>
          <w:szCs w:val="22"/>
          <w:lang w:val="en-US"/>
        </w:rPr>
        <w:t>-</w:t>
      </w:r>
      <w:r w:rsidRPr="00985039">
        <w:rPr>
          <w:rFonts w:eastAsia="Times New Roman" w:cstheme="minorHAnsi"/>
          <w:sz w:val="22"/>
          <w:szCs w:val="22"/>
          <w:lang w:val="en-US"/>
        </w:rPr>
        <w:t>to</w:t>
      </w:r>
      <w:r w:rsidR="004C1577">
        <w:rPr>
          <w:rFonts w:eastAsia="Times New Roman" w:cstheme="minorHAnsi"/>
          <w:sz w:val="22"/>
          <w:szCs w:val="22"/>
          <w:lang w:val="en-US"/>
        </w:rPr>
        <w:t>-</w:t>
      </w:r>
      <w:r w:rsidRPr="00985039">
        <w:rPr>
          <w:rFonts w:eastAsia="Times New Roman" w:cstheme="minorHAnsi"/>
          <w:sz w:val="22"/>
          <w:szCs w:val="22"/>
          <w:lang w:val="en-US"/>
        </w:rPr>
        <w:t>country and cross</w:t>
      </w:r>
      <w:r w:rsidR="004C1577">
        <w:rPr>
          <w:rFonts w:eastAsia="Times New Roman" w:cstheme="minorHAnsi"/>
          <w:sz w:val="22"/>
          <w:szCs w:val="22"/>
          <w:lang w:val="en-US"/>
        </w:rPr>
        <w:t>-</w:t>
      </w:r>
      <w:r w:rsidRPr="00985039">
        <w:rPr>
          <w:rFonts w:eastAsia="Times New Roman" w:cstheme="minorHAnsi"/>
          <w:sz w:val="22"/>
          <w:szCs w:val="22"/>
          <w:lang w:val="en-US"/>
        </w:rPr>
        <w:t>institution</w:t>
      </w:r>
      <w:r w:rsidR="004C1577">
        <w:rPr>
          <w:rFonts w:eastAsia="Times New Roman" w:cstheme="minorHAnsi"/>
          <w:sz w:val="22"/>
          <w:szCs w:val="22"/>
          <w:lang w:val="en-US"/>
        </w:rPr>
        <w:t>al</w:t>
      </w:r>
      <w:r w:rsidRPr="00985039">
        <w:rPr>
          <w:rFonts w:eastAsia="Times New Roman" w:cstheme="minorHAnsi"/>
          <w:sz w:val="22"/>
          <w:szCs w:val="22"/>
          <w:lang w:val="en-US"/>
        </w:rPr>
        <w:t xml:space="preserve"> exchange and collaboration, as well as support government with opportunities for shared learning and exchange at global and regional levels.</w:t>
      </w:r>
    </w:p>
    <w:p w14:paraId="2103F649" w14:textId="77777777" w:rsidR="00B254D7" w:rsidRPr="00841766" w:rsidRDefault="00B254D7" w:rsidP="00552AAD">
      <w:pPr>
        <w:autoSpaceDE w:val="0"/>
        <w:autoSpaceDN w:val="0"/>
        <w:adjustRightInd w:val="0"/>
        <w:jc w:val="both"/>
        <w:rPr>
          <w:b/>
          <w:lang w:val="en-US"/>
        </w:rPr>
      </w:pPr>
    </w:p>
    <w:p w14:paraId="5B24FDBC" w14:textId="0DC4DF9C" w:rsidR="00B254D7" w:rsidRDefault="00B254D7" w:rsidP="00552AAD">
      <w:pPr>
        <w:pStyle w:val="Heading3"/>
        <w:jc w:val="both"/>
        <w:rPr>
          <w:lang w:val="en-US"/>
        </w:rPr>
      </w:pPr>
      <w:bookmarkStart w:id="64" w:name="_Toc29540797"/>
      <w:bookmarkStart w:id="65" w:name="_Toc29550729"/>
      <w:bookmarkStart w:id="66" w:name="_Toc40265801"/>
      <w:r w:rsidRPr="00841766">
        <w:rPr>
          <w:lang w:val="en-US"/>
        </w:rPr>
        <w:lastRenderedPageBreak/>
        <w:t xml:space="preserve">COOPERATION </w:t>
      </w:r>
      <w:r w:rsidR="00C95212" w:rsidRPr="00841766">
        <w:rPr>
          <w:lang w:val="en-US"/>
        </w:rPr>
        <w:t>FRAMEWORK OUTCOME 4: Q</w:t>
      </w:r>
      <w:r w:rsidRPr="00841766">
        <w:rPr>
          <w:lang w:val="en-US"/>
        </w:rPr>
        <w:t>uality health</w:t>
      </w:r>
      <w:r w:rsidR="000135BE">
        <w:rPr>
          <w:lang w:val="en-US"/>
        </w:rPr>
        <w:t xml:space="preserve"> </w:t>
      </w:r>
      <w:r w:rsidRPr="00841766">
        <w:rPr>
          <w:lang w:val="en-US"/>
        </w:rPr>
        <w:t>care and well-being</w:t>
      </w:r>
      <w:bookmarkEnd w:id="64"/>
      <w:bookmarkEnd w:id="65"/>
      <w:bookmarkEnd w:id="66"/>
    </w:p>
    <w:p w14:paraId="03D7E231" w14:textId="77777777" w:rsidR="003F4865" w:rsidRPr="003F4865" w:rsidRDefault="003F4865" w:rsidP="00552AAD">
      <w:pPr>
        <w:jc w:val="both"/>
        <w:rPr>
          <w:lang w:val="en-US"/>
        </w:rPr>
      </w:pPr>
    </w:p>
    <w:p w14:paraId="3526F3A2" w14:textId="57EFB4B9" w:rsidR="00B254D7" w:rsidRDefault="00B254D7" w:rsidP="00552AAD">
      <w:pPr>
        <w:jc w:val="both"/>
        <w:rPr>
          <w:rFonts w:eastAsia="Times New Roman" w:cs="Times New Roman"/>
          <w:lang w:val="en-US" w:eastAsia="fr-FR"/>
        </w:rPr>
      </w:pPr>
      <w:r w:rsidRPr="00841766">
        <w:rPr>
          <w:rFonts w:cs="Calibri"/>
          <w:color w:val="000000"/>
          <w:lang w:val="en-US"/>
        </w:rPr>
        <w:t>“</w:t>
      </w:r>
      <w:r w:rsidRPr="00841766">
        <w:rPr>
          <w:rFonts w:eastAsia="Times New Roman" w:cs="Calibri"/>
          <w:color w:val="000000"/>
          <w:lang w:val="en-US" w:eastAsia="fr-FR"/>
        </w:rPr>
        <w:t>By</w:t>
      </w:r>
      <w:r w:rsidRPr="00841766">
        <w:rPr>
          <w:rFonts w:eastAsia="Times New Roman" w:cs="Calibri"/>
          <w:b/>
          <w:bCs/>
          <w:color w:val="000000"/>
          <w:lang w:val="en-US" w:eastAsia="fr-FR"/>
        </w:rPr>
        <w:t xml:space="preserve"> </w:t>
      </w:r>
      <w:r w:rsidRPr="00841766">
        <w:rPr>
          <w:rFonts w:eastAsia="Times New Roman" w:cs="Calibri"/>
          <w:color w:val="000000"/>
          <w:lang w:val="en-US" w:eastAsia="fr-FR"/>
        </w:rPr>
        <w:t>2025, the people of Timor-Leste increasingly demand and have access to gender-responsive equitable, high quality, resilient and inclusive Primary Health Care and strengthened social protection, including in time of emergencies”</w:t>
      </w:r>
      <w:r w:rsidRPr="00841766">
        <w:rPr>
          <w:rFonts w:eastAsia="Times New Roman" w:cs="Times New Roman"/>
          <w:lang w:val="en-US" w:eastAsia="fr-FR"/>
        </w:rPr>
        <w:t>.</w:t>
      </w:r>
    </w:p>
    <w:p w14:paraId="21F513F8" w14:textId="520BE71C" w:rsidR="00677CBE" w:rsidRPr="00677CBE" w:rsidRDefault="00677CBE" w:rsidP="00552AAD">
      <w:pPr>
        <w:jc w:val="both"/>
        <w:rPr>
          <w:b/>
          <w:bCs/>
          <w:lang w:val="en-US"/>
        </w:rPr>
      </w:pPr>
    </w:p>
    <w:p w14:paraId="44F9CDCE" w14:textId="77777777" w:rsidR="00677CBE" w:rsidRPr="00677CBE" w:rsidRDefault="00677CBE" w:rsidP="00552AAD">
      <w:pPr>
        <w:jc w:val="both"/>
        <w:rPr>
          <w:b/>
          <w:bCs/>
          <w:lang w:val="en-US"/>
        </w:rPr>
      </w:pPr>
      <w:r w:rsidRPr="00677CBE">
        <w:rPr>
          <w:b/>
          <w:bCs/>
          <w:lang w:val="en-US"/>
        </w:rPr>
        <w:t xml:space="preserve">Intended Development Results </w:t>
      </w:r>
    </w:p>
    <w:p w14:paraId="08EC5D1B" w14:textId="64FC7AA4" w:rsidR="00677CBE" w:rsidRPr="00677CBE" w:rsidRDefault="00677CBE" w:rsidP="00552AAD">
      <w:pPr>
        <w:pStyle w:val="Default"/>
        <w:tabs>
          <w:tab w:val="left" w:pos="284"/>
        </w:tabs>
        <w:spacing w:after="120"/>
        <w:jc w:val="both"/>
        <w:rPr>
          <w:rFonts w:asciiTheme="minorHAnsi" w:hAnsiTheme="minorHAnsi" w:cstheme="minorBidi"/>
          <w:color w:val="auto"/>
          <w:sz w:val="22"/>
          <w:szCs w:val="22"/>
          <w:lang w:val="en-US"/>
        </w:rPr>
      </w:pPr>
      <w:r w:rsidRPr="00677CBE">
        <w:rPr>
          <w:rFonts w:asciiTheme="minorHAnsi" w:hAnsiTheme="minorHAnsi" w:cstheme="minorBidi"/>
          <w:color w:val="auto"/>
          <w:sz w:val="22"/>
          <w:szCs w:val="22"/>
          <w:lang w:val="en-US"/>
        </w:rPr>
        <w:t xml:space="preserve">The UNSDCF will support greater and equitable access to Primary Health Care services with a view to help Timor-Leste to achieve universal health coverage, including in time of emergency, resulting in improved outcomes for health including sexual and reproductive health, continued reduction of maternal and neonatal mortality, eradication of tuberculosis, and reduction of Non-Communicable Diseases.  Under this priority, the UNSDCF will also seek to increase health financing to support the development and retention of a trained health workforce, improve access to essential medicine and reduce the cost of health services and the financial hardship from out-of-pocket expenditures, including through social protection programmes and services. </w:t>
      </w:r>
    </w:p>
    <w:p w14:paraId="2DEDDBAF" w14:textId="77777777" w:rsidR="00FF1E51" w:rsidRPr="00841766" w:rsidRDefault="00FF1E51" w:rsidP="00552AAD">
      <w:pPr>
        <w:jc w:val="both"/>
        <w:rPr>
          <w:rFonts w:eastAsia="Times New Roman" w:cs="Times New Roman"/>
          <w:lang w:val="en-US" w:eastAsia="fr-FR"/>
        </w:rPr>
      </w:pPr>
    </w:p>
    <w:p w14:paraId="0C0D25CE" w14:textId="77777777" w:rsidR="003F4865" w:rsidRPr="000135BE" w:rsidRDefault="003F4865" w:rsidP="004C515B">
      <w:pPr>
        <w:rPr>
          <w:b/>
          <w:bCs/>
          <w:lang w:val="pt-PT"/>
        </w:rPr>
      </w:pPr>
      <w:bookmarkStart w:id="67" w:name="_Toc29540798"/>
      <w:bookmarkStart w:id="68" w:name="_Toc29550730"/>
      <w:bookmarkStart w:id="69" w:name="_Toc29550825"/>
      <w:bookmarkStart w:id="70" w:name="_Toc29900359"/>
      <w:bookmarkStart w:id="71" w:name="_Toc30407942"/>
      <w:bookmarkStart w:id="72" w:name="_Toc31376348"/>
      <w:r w:rsidRPr="000135BE">
        <w:rPr>
          <w:b/>
          <w:bCs/>
          <w:lang w:val="pt-PT"/>
        </w:rPr>
        <w:t xml:space="preserve">Partners </w:t>
      </w:r>
    </w:p>
    <w:tbl>
      <w:tblPr>
        <w:tblStyle w:val="TableGrid"/>
        <w:tblW w:w="0" w:type="auto"/>
        <w:tblLook w:val="04A0" w:firstRow="1" w:lastRow="0" w:firstColumn="1" w:lastColumn="0" w:noHBand="0" w:noVBand="1"/>
      </w:tblPr>
      <w:tblGrid>
        <w:gridCol w:w="2515"/>
        <w:gridCol w:w="6837"/>
      </w:tblGrid>
      <w:tr w:rsidR="003F4865" w14:paraId="7C299F67" w14:textId="77777777" w:rsidTr="00273B6D">
        <w:tc>
          <w:tcPr>
            <w:tcW w:w="2515" w:type="dxa"/>
          </w:tcPr>
          <w:p w14:paraId="6F70058F" w14:textId="77777777" w:rsidR="003F4865" w:rsidRPr="00242171" w:rsidRDefault="003F4865" w:rsidP="004C515B">
            <w:pPr>
              <w:rPr>
                <w:lang w:val="en-US"/>
              </w:rPr>
            </w:pPr>
            <w:r w:rsidRPr="003B5E3F">
              <w:rPr>
                <w:lang w:val="en-US"/>
              </w:rPr>
              <w:t>Government</w:t>
            </w:r>
          </w:p>
        </w:tc>
        <w:tc>
          <w:tcPr>
            <w:tcW w:w="6837" w:type="dxa"/>
          </w:tcPr>
          <w:p w14:paraId="379221DB" w14:textId="0581DF4D" w:rsidR="003F4865" w:rsidRPr="00A95AC7" w:rsidRDefault="003F4865" w:rsidP="004C515B">
            <w:pPr>
              <w:rPr>
                <w:rFonts w:eastAsiaTheme="minorEastAsia" w:hAnsi="Calibri"/>
                <w:color w:val="000000" w:themeColor="text1"/>
                <w:kern w:val="24"/>
                <w:sz w:val="22"/>
                <w:szCs w:val="22"/>
                <w:lang w:val="en-US"/>
              </w:rPr>
            </w:pPr>
            <w:r w:rsidRPr="00A95AC7">
              <w:rPr>
                <w:rFonts w:eastAsiaTheme="minorEastAsia" w:hAnsi="Calibri"/>
                <w:color w:val="000000" w:themeColor="text1"/>
                <w:kern w:val="24"/>
                <w:sz w:val="22"/>
                <w:szCs w:val="22"/>
                <w:lang w:val="en-US"/>
              </w:rPr>
              <w:t>Ministry of Health, Ministry of Education, Youth and Sports</w:t>
            </w:r>
            <w:r w:rsidR="004B26CB">
              <w:rPr>
                <w:rFonts w:eastAsiaTheme="minorEastAsia" w:hAnsi="Calibri"/>
                <w:color w:val="000000" w:themeColor="text1"/>
                <w:kern w:val="24"/>
                <w:sz w:val="22"/>
                <w:szCs w:val="22"/>
                <w:lang w:val="en-US"/>
              </w:rPr>
              <w:t>,</w:t>
            </w:r>
            <w:r w:rsidRPr="00A95AC7">
              <w:rPr>
                <w:rFonts w:eastAsiaTheme="minorEastAsia" w:hAnsi="Calibri"/>
                <w:color w:val="000000" w:themeColor="text1"/>
                <w:kern w:val="24"/>
                <w:sz w:val="22"/>
                <w:szCs w:val="22"/>
                <w:lang w:val="en-US"/>
              </w:rPr>
              <w:t xml:space="preserve"> Ministry of Finance, Ministry of Interior, Ministry of Legislative Reform and Parliamentary Affairs, Ministry of State Administration, Ministry of Social Solidarity and Inclusion</w:t>
            </w:r>
            <w:r w:rsidR="000E26E9">
              <w:rPr>
                <w:rFonts w:eastAsiaTheme="minorEastAsia" w:hAnsi="Calibri"/>
                <w:color w:val="000000" w:themeColor="text1"/>
                <w:kern w:val="24"/>
                <w:sz w:val="22"/>
                <w:szCs w:val="22"/>
                <w:lang w:val="en-US"/>
              </w:rPr>
              <w:t>,</w:t>
            </w:r>
            <w:r w:rsidRPr="00A95AC7">
              <w:rPr>
                <w:rFonts w:eastAsiaTheme="minorEastAsia" w:hAnsi="Calibri"/>
                <w:color w:val="000000" w:themeColor="text1"/>
                <w:kern w:val="24"/>
                <w:sz w:val="22"/>
                <w:szCs w:val="22"/>
                <w:lang w:val="en-US"/>
              </w:rPr>
              <w:t xml:space="preserve"> Ministry of Plans and Strategic Investment Ministry of Public Works, Ministry of Transport and Communication</w:t>
            </w:r>
            <w:r w:rsidR="004B26CB">
              <w:rPr>
                <w:rFonts w:eastAsiaTheme="minorEastAsia" w:hAnsi="Calibri"/>
                <w:color w:val="000000" w:themeColor="text1"/>
                <w:kern w:val="24"/>
                <w:sz w:val="22"/>
                <w:szCs w:val="22"/>
                <w:lang w:val="en-US"/>
              </w:rPr>
              <w:t>,</w:t>
            </w:r>
            <w:r w:rsidRPr="00A95AC7">
              <w:rPr>
                <w:rFonts w:eastAsiaTheme="minorEastAsia" w:hAnsi="Calibri"/>
                <w:color w:val="000000" w:themeColor="text1"/>
                <w:kern w:val="24"/>
                <w:sz w:val="22"/>
                <w:szCs w:val="22"/>
                <w:lang w:val="en-US"/>
              </w:rPr>
              <w:t xml:space="preserve"> Ministry of Tourism, Ministry of Trade and Industry, Ministry of Agriculture and Fisheries, Public Service Commission, Regulatory Authorities in Health, National Institute for Social Security</w:t>
            </w:r>
          </w:p>
        </w:tc>
      </w:tr>
      <w:tr w:rsidR="003F4865" w14:paraId="56DF5D00" w14:textId="77777777" w:rsidTr="00273B6D">
        <w:tc>
          <w:tcPr>
            <w:tcW w:w="2515" w:type="dxa"/>
          </w:tcPr>
          <w:p w14:paraId="63D5323E" w14:textId="77777777" w:rsidR="003F4865" w:rsidRPr="00242171" w:rsidRDefault="003F4865" w:rsidP="004C515B">
            <w:pPr>
              <w:rPr>
                <w:lang w:val="en-US"/>
              </w:rPr>
            </w:pPr>
            <w:r w:rsidRPr="003B5E3F">
              <w:rPr>
                <w:lang w:val="en-US"/>
              </w:rPr>
              <w:t>UN</w:t>
            </w:r>
          </w:p>
        </w:tc>
        <w:tc>
          <w:tcPr>
            <w:tcW w:w="6837" w:type="dxa"/>
          </w:tcPr>
          <w:p w14:paraId="04F5703C" w14:textId="1D2D5466" w:rsidR="003F4865" w:rsidRPr="00A95AC7" w:rsidRDefault="00EF3C42" w:rsidP="004C515B">
            <w:pPr>
              <w:rPr>
                <w:rFonts w:eastAsiaTheme="minorEastAsia" w:hAnsi="Calibri"/>
                <w:color w:val="000000" w:themeColor="text1"/>
                <w:kern w:val="24"/>
                <w:sz w:val="22"/>
                <w:szCs w:val="22"/>
                <w:lang w:val="en-US"/>
              </w:rPr>
            </w:pPr>
            <w:r w:rsidRPr="002A7985">
              <w:rPr>
                <w:rFonts w:cstheme="minorHAnsi"/>
                <w:sz w:val="22"/>
                <w:szCs w:val="22"/>
                <w:lang w:val="en-US"/>
              </w:rPr>
              <w:t>FAO</w:t>
            </w:r>
            <w:r>
              <w:rPr>
                <w:rFonts w:cstheme="minorHAnsi"/>
                <w:sz w:val="22"/>
                <w:szCs w:val="22"/>
                <w:lang w:val="en-US"/>
              </w:rPr>
              <w:t>,</w:t>
            </w:r>
            <w:r w:rsidRPr="002A7985">
              <w:rPr>
                <w:rFonts w:cstheme="minorHAnsi"/>
                <w:sz w:val="22"/>
                <w:szCs w:val="22"/>
                <w:lang w:val="en-US"/>
              </w:rPr>
              <w:t xml:space="preserve"> ILO</w:t>
            </w:r>
            <w:r>
              <w:rPr>
                <w:rFonts w:cstheme="minorHAnsi"/>
                <w:sz w:val="22"/>
                <w:szCs w:val="22"/>
                <w:lang w:val="en-US"/>
              </w:rPr>
              <w:t xml:space="preserve">, </w:t>
            </w:r>
            <w:r w:rsidRPr="002A7985">
              <w:rPr>
                <w:rFonts w:cstheme="minorHAnsi"/>
                <w:sz w:val="22"/>
                <w:szCs w:val="22"/>
                <w:lang w:val="en-US"/>
              </w:rPr>
              <w:t>IOM, UNDP, UNFPA</w:t>
            </w:r>
            <w:r>
              <w:rPr>
                <w:rFonts w:cstheme="minorHAnsi"/>
                <w:sz w:val="22"/>
                <w:szCs w:val="22"/>
                <w:lang w:val="en-US"/>
              </w:rPr>
              <w:t xml:space="preserve">, </w:t>
            </w:r>
            <w:r w:rsidRPr="002A7985">
              <w:rPr>
                <w:rFonts w:cstheme="minorHAnsi"/>
                <w:sz w:val="22"/>
                <w:szCs w:val="22"/>
                <w:lang w:val="en-US"/>
              </w:rPr>
              <w:t>UNICEF,</w:t>
            </w:r>
            <w:r>
              <w:rPr>
                <w:rFonts w:cstheme="minorHAnsi"/>
                <w:sz w:val="22"/>
                <w:szCs w:val="22"/>
                <w:lang w:val="en-US"/>
              </w:rPr>
              <w:t xml:space="preserve"> </w:t>
            </w:r>
            <w:r w:rsidRPr="002A7985">
              <w:rPr>
                <w:rFonts w:cstheme="minorHAnsi"/>
                <w:sz w:val="22"/>
                <w:szCs w:val="22"/>
                <w:lang w:val="en-US"/>
              </w:rPr>
              <w:t>UN Women</w:t>
            </w:r>
            <w:r>
              <w:rPr>
                <w:rFonts w:cstheme="minorHAnsi"/>
                <w:sz w:val="22"/>
                <w:szCs w:val="22"/>
                <w:lang w:val="en-US"/>
              </w:rPr>
              <w:t xml:space="preserve">, </w:t>
            </w:r>
            <w:r w:rsidRPr="002A7985">
              <w:rPr>
                <w:rFonts w:cstheme="minorHAnsi"/>
                <w:sz w:val="22"/>
                <w:szCs w:val="22"/>
                <w:lang w:val="en-US"/>
              </w:rPr>
              <w:t>WFP</w:t>
            </w:r>
            <w:r>
              <w:rPr>
                <w:rFonts w:cstheme="minorHAnsi"/>
                <w:sz w:val="22"/>
                <w:szCs w:val="22"/>
                <w:lang w:val="en-US"/>
              </w:rPr>
              <w:t xml:space="preserve">, </w:t>
            </w:r>
            <w:r w:rsidRPr="002A7985">
              <w:rPr>
                <w:rFonts w:cstheme="minorHAnsi"/>
                <w:sz w:val="22"/>
                <w:szCs w:val="22"/>
                <w:lang w:val="en-US"/>
              </w:rPr>
              <w:t xml:space="preserve">WHO </w:t>
            </w:r>
          </w:p>
        </w:tc>
      </w:tr>
      <w:tr w:rsidR="003F4865" w14:paraId="4EC5EED0" w14:textId="77777777" w:rsidTr="00273B6D">
        <w:tc>
          <w:tcPr>
            <w:tcW w:w="2515" w:type="dxa"/>
          </w:tcPr>
          <w:p w14:paraId="51FFB379" w14:textId="77777777" w:rsidR="003F4865" w:rsidRPr="00242171" w:rsidRDefault="003F4865" w:rsidP="004C515B">
            <w:pPr>
              <w:rPr>
                <w:lang w:val="en-US"/>
              </w:rPr>
            </w:pPr>
            <w:r w:rsidRPr="003B5E3F">
              <w:rPr>
                <w:lang w:val="en-US"/>
              </w:rPr>
              <w:t>Other</w:t>
            </w:r>
          </w:p>
        </w:tc>
        <w:tc>
          <w:tcPr>
            <w:tcW w:w="6837" w:type="dxa"/>
          </w:tcPr>
          <w:p w14:paraId="7A453C78" w14:textId="234E20F6" w:rsidR="007A175E" w:rsidRPr="00841766" w:rsidRDefault="007A175E" w:rsidP="004C515B">
            <w:pPr>
              <w:rPr>
                <w:rFonts w:cstheme="minorHAnsi"/>
                <w:sz w:val="22"/>
                <w:szCs w:val="22"/>
                <w:lang w:val="en-US"/>
              </w:rPr>
            </w:pPr>
            <w:r w:rsidRPr="00841766">
              <w:rPr>
                <w:rFonts w:cstheme="minorHAnsi"/>
                <w:sz w:val="22"/>
                <w:szCs w:val="22"/>
                <w:lang w:val="en-US"/>
              </w:rPr>
              <w:t xml:space="preserve">World Bank, </w:t>
            </w:r>
            <w:r w:rsidR="00EB0F4B">
              <w:rPr>
                <w:rFonts w:cstheme="minorHAnsi"/>
                <w:sz w:val="22"/>
                <w:szCs w:val="22"/>
                <w:lang w:val="en-US"/>
              </w:rPr>
              <w:t>b</w:t>
            </w:r>
            <w:r w:rsidRPr="00841766">
              <w:rPr>
                <w:rFonts w:cstheme="minorHAnsi"/>
                <w:sz w:val="22"/>
                <w:szCs w:val="22"/>
                <w:lang w:val="en-US"/>
              </w:rPr>
              <w:t>ilateral partners</w:t>
            </w:r>
            <w:r w:rsidR="008E7BC4">
              <w:rPr>
                <w:rFonts w:cstheme="minorHAnsi"/>
                <w:sz w:val="22"/>
                <w:szCs w:val="22"/>
                <w:lang w:val="en-US"/>
              </w:rPr>
              <w:t>, u</w:t>
            </w:r>
            <w:r w:rsidRPr="00841766">
              <w:rPr>
                <w:rFonts w:cstheme="minorHAnsi"/>
                <w:sz w:val="22"/>
                <w:szCs w:val="22"/>
                <w:lang w:val="en-US"/>
              </w:rPr>
              <w:t xml:space="preserve">niversities, </w:t>
            </w:r>
            <w:r w:rsidR="00EB0F4B">
              <w:rPr>
                <w:rFonts w:cstheme="minorHAnsi"/>
                <w:sz w:val="22"/>
                <w:szCs w:val="22"/>
                <w:lang w:val="en-US"/>
              </w:rPr>
              <w:t>m</w:t>
            </w:r>
            <w:r w:rsidRPr="00841766">
              <w:rPr>
                <w:rFonts w:cstheme="minorHAnsi"/>
                <w:sz w:val="22"/>
                <w:szCs w:val="22"/>
                <w:lang w:val="en-US"/>
              </w:rPr>
              <w:t>edia establishments</w:t>
            </w:r>
            <w:r w:rsidR="00EB0F4B">
              <w:rPr>
                <w:rFonts w:cstheme="minorHAnsi"/>
                <w:sz w:val="22"/>
                <w:szCs w:val="22"/>
                <w:lang w:val="en-US"/>
              </w:rPr>
              <w:t>,</w:t>
            </w:r>
            <w:r w:rsidRPr="00841766">
              <w:rPr>
                <w:rFonts w:cstheme="minorHAnsi"/>
                <w:sz w:val="22"/>
                <w:szCs w:val="22"/>
                <w:lang w:val="en-US"/>
              </w:rPr>
              <w:t xml:space="preserve"> other health cente</w:t>
            </w:r>
            <w:r>
              <w:rPr>
                <w:rFonts w:cstheme="minorHAnsi"/>
                <w:sz w:val="22"/>
                <w:szCs w:val="22"/>
                <w:lang w:val="en-US"/>
              </w:rPr>
              <w:t>r</w:t>
            </w:r>
            <w:r w:rsidRPr="00841766">
              <w:rPr>
                <w:rFonts w:cstheme="minorHAnsi"/>
                <w:sz w:val="22"/>
                <w:szCs w:val="22"/>
                <w:lang w:val="en-US"/>
              </w:rPr>
              <w:t>s</w:t>
            </w:r>
            <w:r w:rsidR="00EF3C42">
              <w:rPr>
                <w:rFonts w:cstheme="minorHAnsi"/>
                <w:sz w:val="22"/>
                <w:szCs w:val="22"/>
                <w:lang w:val="en-US"/>
              </w:rPr>
              <w:t>, t</w:t>
            </w:r>
            <w:r w:rsidR="00EF3C42" w:rsidRPr="002A7985">
              <w:rPr>
                <w:rFonts w:cstheme="minorHAnsi"/>
                <w:sz w:val="22"/>
                <w:szCs w:val="22"/>
                <w:lang w:val="en-US"/>
              </w:rPr>
              <w:t>raditional medical practitioners</w:t>
            </w:r>
            <w:r w:rsidR="00EF3C42">
              <w:rPr>
                <w:rFonts w:cstheme="minorHAnsi"/>
                <w:sz w:val="22"/>
                <w:szCs w:val="22"/>
                <w:lang w:val="en-US"/>
              </w:rPr>
              <w:t xml:space="preserve">, </w:t>
            </w:r>
            <w:r w:rsidR="00EB0F4B">
              <w:rPr>
                <w:rFonts w:cstheme="minorHAnsi"/>
                <w:sz w:val="22"/>
                <w:szCs w:val="22"/>
                <w:lang w:val="en-US"/>
              </w:rPr>
              <w:t xml:space="preserve">Employers Representatives (CCI-TL), Workers Representatives (KS-TL), </w:t>
            </w:r>
            <w:r w:rsidR="00EF3C42" w:rsidRPr="002A7985">
              <w:rPr>
                <w:rFonts w:cstheme="minorHAnsi"/>
                <w:sz w:val="22"/>
                <w:szCs w:val="22"/>
                <w:lang w:val="en-US"/>
              </w:rPr>
              <w:t xml:space="preserve">National Alliance for Tobacco Control, </w:t>
            </w:r>
            <w:proofErr w:type="spellStart"/>
            <w:r w:rsidR="00EF3C42" w:rsidRPr="002A7985">
              <w:rPr>
                <w:rFonts w:cstheme="minorHAnsi"/>
                <w:sz w:val="22"/>
                <w:szCs w:val="22"/>
                <w:lang w:val="en-US"/>
              </w:rPr>
              <w:t>Alola</w:t>
            </w:r>
            <w:proofErr w:type="spellEnd"/>
            <w:r w:rsidR="00EF3C42" w:rsidRPr="002A7985">
              <w:rPr>
                <w:rFonts w:cstheme="minorHAnsi"/>
                <w:sz w:val="22"/>
                <w:szCs w:val="22"/>
                <w:lang w:val="en-US"/>
              </w:rPr>
              <w:t xml:space="preserve"> Foundation and others;</w:t>
            </w:r>
            <w:r w:rsidR="00611C29">
              <w:rPr>
                <w:rFonts w:cstheme="minorHAnsi"/>
                <w:sz w:val="22"/>
                <w:szCs w:val="22"/>
                <w:lang w:val="en-US"/>
              </w:rPr>
              <w:t xml:space="preserve"> c</w:t>
            </w:r>
            <w:r w:rsidR="00611C29" w:rsidRPr="002A7985">
              <w:rPr>
                <w:rFonts w:cstheme="minorHAnsi"/>
                <w:sz w:val="22"/>
                <w:szCs w:val="22"/>
                <w:lang w:val="en-US"/>
              </w:rPr>
              <w:t>hurch and other religious institutions,</w:t>
            </w:r>
            <w:r w:rsidR="00EF3C42" w:rsidRPr="002A7985">
              <w:rPr>
                <w:rFonts w:cstheme="minorHAnsi"/>
                <w:sz w:val="22"/>
                <w:szCs w:val="22"/>
                <w:lang w:val="en-US"/>
              </w:rPr>
              <w:t xml:space="preserve"> Women, youth and organizations of groups most left behind (persons with disabilities, LGBTI, people living with HIV, etc.)</w:t>
            </w:r>
          </w:p>
          <w:p w14:paraId="453CF669" w14:textId="77777777" w:rsidR="003F4865" w:rsidRPr="00A95AC7" w:rsidRDefault="003F4865" w:rsidP="004C515B">
            <w:pPr>
              <w:rPr>
                <w:rFonts w:eastAsiaTheme="minorEastAsia" w:hAnsi="Calibri"/>
                <w:color w:val="000000" w:themeColor="text1"/>
                <w:kern w:val="24"/>
                <w:sz w:val="22"/>
                <w:szCs w:val="22"/>
                <w:lang w:val="en-US"/>
              </w:rPr>
            </w:pPr>
          </w:p>
        </w:tc>
      </w:tr>
    </w:tbl>
    <w:p w14:paraId="764A0065" w14:textId="77777777" w:rsidR="00552AAD" w:rsidRDefault="00552AAD" w:rsidP="004C515B">
      <w:pPr>
        <w:rPr>
          <w:b/>
          <w:bCs/>
          <w:lang w:val="en-US"/>
        </w:rPr>
      </w:pPr>
    </w:p>
    <w:p w14:paraId="325D5BA1" w14:textId="193DE369" w:rsidR="00B254D7" w:rsidRPr="000135BE" w:rsidRDefault="00FF1E51" w:rsidP="004C515B">
      <w:pPr>
        <w:rPr>
          <w:rFonts w:eastAsia="Times New Roman" w:cs="Times New Roman"/>
          <w:b/>
          <w:bCs/>
          <w:lang w:val="en-US" w:eastAsia="fr-FR"/>
        </w:rPr>
      </w:pPr>
      <w:r w:rsidRPr="00C07DC8">
        <w:rPr>
          <w:b/>
          <w:bCs/>
          <w:lang w:val="en-US"/>
        </w:rPr>
        <w:t>Theory of change underpinning outcome 4:</w:t>
      </w:r>
      <w:bookmarkEnd w:id="67"/>
      <w:bookmarkEnd w:id="68"/>
      <w:bookmarkEnd w:id="69"/>
      <w:bookmarkEnd w:id="70"/>
      <w:bookmarkEnd w:id="71"/>
      <w:bookmarkEnd w:id="72"/>
    </w:p>
    <w:p w14:paraId="25B8F813" w14:textId="260131B7" w:rsidR="000D54F9" w:rsidRPr="00841766" w:rsidRDefault="000D54F9" w:rsidP="004C515B">
      <w:pPr>
        <w:rPr>
          <w:b/>
          <w:lang w:val="en-US"/>
        </w:rPr>
      </w:pPr>
    </w:p>
    <w:p w14:paraId="4411A4FA" w14:textId="55F3195A" w:rsidR="000D54F9" w:rsidRPr="00841766" w:rsidRDefault="000D54F9" w:rsidP="004C515B">
      <w:pPr>
        <w:rPr>
          <w:rFonts w:eastAsia="Times New Roman" w:cs="Times New Roman"/>
          <w:lang w:val="en-US" w:eastAsia="fr-FR"/>
        </w:rPr>
      </w:pPr>
    </w:p>
    <w:p w14:paraId="73F2EDDF" w14:textId="16DD09A8" w:rsidR="000D54F9" w:rsidRPr="00841766" w:rsidRDefault="00551B00" w:rsidP="004C515B">
      <w:pPr>
        <w:autoSpaceDE w:val="0"/>
        <w:autoSpaceDN w:val="0"/>
        <w:adjustRightInd w:val="0"/>
        <w:ind w:left="993"/>
        <w:rPr>
          <w:rFonts w:cs="Times New Roman"/>
          <w:sz w:val="22"/>
          <w:szCs w:val="22"/>
          <w:lang w:val="en-US"/>
        </w:rPr>
      </w:pPr>
      <w:r w:rsidRPr="00841766">
        <w:rPr>
          <w:b/>
          <w:noProof/>
          <w:lang w:val="en-US"/>
        </w:rPr>
        <w:lastRenderedPageBreak/>
        <mc:AlternateContent>
          <mc:Choice Requires="wps">
            <w:drawing>
              <wp:anchor distT="0" distB="0" distL="114300" distR="114300" simplePos="0" relativeHeight="251671552" behindDoc="1" locked="0" layoutInCell="1" allowOverlap="1" wp14:anchorId="557CABC5" wp14:editId="2E07850C">
                <wp:simplePos x="0" y="0"/>
                <wp:positionH relativeFrom="column">
                  <wp:posOffset>915670</wp:posOffset>
                </wp:positionH>
                <wp:positionV relativeFrom="paragraph">
                  <wp:posOffset>-247060</wp:posOffset>
                </wp:positionV>
                <wp:extent cx="4204482" cy="3821723"/>
                <wp:effectExtent l="0" t="0" r="12065" b="13970"/>
                <wp:wrapNone/>
                <wp:docPr id="20" name="Ellipse 20"/>
                <wp:cNvGraphicFramePr/>
                <a:graphic xmlns:a="http://schemas.openxmlformats.org/drawingml/2006/main">
                  <a:graphicData uri="http://schemas.microsoft.com/office/word/2010/wordprocessingShape">
                    <wps:wsp>
                      <wps:cNvSpPr/>
                      <wps:spPr>
                        <a:xfrm>
                          <a:off x="0" y="0"/>
                          <a:ext cx="4204482" cy="3821723"/>
                        </a:xfrm>
                        <a:prstGeom prst="ellipse">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722025" w14:textId="77777777" w:rsidR="006C70F3" w:rsidRDefault="006C70F3" w:rsidP="000D54F9">
                            <w:pPr>
                              <w:jc w:val="center"/>
                              <w:rPr>
                                <w:b/>
                                <w:color w:val="FFFFFF" w:themeColor="background1"/>
                                <w:sz w:val="32"/>
                                <w:lang w:val="en-US"/>
                              </w:rPr>
                            </w:pPr>
                          </w:p>
                          <w:p w14:paraId="0A480090" w14:textId="77777777" w:rsidR="006C70F3" w:rsidRDefault="006C70F3" w:rsidP="000D54F9">
                            <w:pPr>
                              <w:jc w:val="center"/>
                              <w:rPr>
                                <w:b/>
                                <w:color w:val="FFFFFF" w:themeColor="background1"/>
                                <w:sz w:val="32"/>
                                <w:lang w:val="en-US"/>
                              </w:rPr>
                            </w:pPr>
                          </w:p>
                          <w:p w14:paraId="074A54FB" w14:textId="77777777" w:rsidR="006C70F3" w:rsidRDefault="006C70F3" w:rsidP="000D54F9">
                            <w:pPr>
                              <w:jc w:val="center"/>
                              <w:rPr>
                                <w:b/>
                                <w:color w:val="FFFFFF" w:themeColor="background1"/>
                                <w:sz w:val="32"/>
                                <w:lang w:val="en-US"/>
                              </w:rPr>
                            </w:pPr>
                          </w:p>
                          <w:p w14:paraId="49AACB4B" w14:textId="77777777" w:rsidR="006C70F3" w:rsidRDefault="006C70F3" w:rsidP="000D54F9">
                            <w:pPr>
                              <w:jc w:val="center"/>
                              <w:rPr>
                                <w:b/>
                                <w:color w:val="FFFFFF" w:themeColor="background1"/>
                                <w:sz w:val="32"/>
                                <w:lang w:val="en-US"/>
                              </w:rPr>
                            </w:pPr>
                          </w:p>
                          <w:p w14:paraId="3845D93C" w14:textId="77777777" w:rsidR="006C70F3" w:rsidRDefault="006C70F3" w:rsidP="000D54F9">
                            <w:pPr>
                              <w:jc w:val="center"/>
                              <w:rPr>
                                <w:b/>
                                <w:color w:val="FFFFFF" w:themeColor="background1"/>
                                <w:sz w:val="32"/>
                                <w:lang w:val="en-US"/>
                              </w:rPr>
                            </w:pPr>
                          </w:p>
                          <w:p w14:paraId="6AAB963B" w14:textId="77777777" w:rsidR="006C70F3" w:rsidRDefault="006C70F3" w:rsidP="000D54F9">
                            <w:pPr>
                              <w:jc w:val="right"/>
                              <w:rPr>
                                <w:b/>
                                <w:color w:val="FFFFFF" w:themeColor="background1"/>
                                <w:sz w:val="32"/>
                                <w:lang w:val="en-US"/>
                              </w:rPr>
                            </w:pPr>
                          </w:p>
                          <w:p w14:paraId="53AF418E" w14:textId="77777777" w:rsidR="006C70F3" w:rsidRDefault="006C70F3" w:rsidP="000D54F9">
                            <w:pPr>
                              <w:jc w:val="right"/>
                              <w:rPr>
                                <w:b/>
                                <w:color w:val="FFFFFF" w:themeColor="background1"/>
                                <w:sz w:val="32"/>
                                <w:lang w:val="en-US"/>
                              </w:rPr>
                            </w:pPr>
                          </w:p>
                          <w:p w14:paraId="0572C28D" w14:textId="77777777" w:rsidR="006C70F3" w:rsidRDefault="006C70F3" w:rsidP="000D54F9">
                            <w:pPr>
                              <w:jc w:val="right"/>
                              <w:rPr>
                                <w:b/>
                                <w:color w:val="FFFFFF" w:themeColor="background1"/>
                                <w:sz w:val="32"/>
                                <w:lang w:val="en-US"/>
                              </w:rPr>
                            </w:pPr>
                          </w:p>
                          <w:p w14:paraId="1E9E4629" w14:textId="77777777" w:rsidR="006C70F3" w:rsidRDefault="006C70F3" w:rsidP="000D54F9">
                            <w:pPr>
                              <w:jc w:val="right"/>
                              <w:rPr>
                                <w:b/>
                                <w:color w:val="FFFFFF" w:themeColor="background1"/>
                                <w:sz w:val="32"/>
                                <w:lang w:val="en-US"/>
                              </w:rPr>
                            </w:pPr>
                          </w:p>
                          <w:p w14:paraId="38F64971" w14:textId="77777777" w:rsidR="006C70F3" w:rsidRPr="00A94A11" w:rsidRDefault="006C70F3" w:rsidP="000D54F9">
                            <w:pPr>
                              <w:jc w:val="center"/>
                              <w:rPr>
                                <w:b/>
                                <w:color w:val="FFFFFF" w:themeColor="background1"/>
                                <w:sz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CABC5" id="Ellipse 20" o:spid="_x0000_s1033" style="position:absolute;left:0;text-align:left;margin-left:72.1pt;margin-top:-19.45pt;width:331.05pt;height:30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" fillcolor="#f4b083 [1941]" strokecolor="black [3213]" strokeweight="1pt">
                <v:stroke joinstyle="miter"/>
                <v:textbox>
                  <w:txbxContent>
                    <w:p w14:paraId="59722025" w14:textId="77777777" w:rsidR="006C70F3" w:rsidRDefault="006C70F3" w:rsidP="000D54F9">
                      <w:pPr>
                        <w:jc w:val="center"/>
                        <w:rPr>
                          <w:b/>
                          <w:color w:val="FFFFFF" w:themeColor="background1"/>
                          <w:sz w:val="32"/>
                          <w:lang w:val="en-US"/>
                        </w:rPr>
                      </w:pPr>
                    </w:p>
                    <w:p w14:paraId="0A480090" w14:textId="77777777" w:rsidR="006C70F3" w:rsidRDefault="006C70F3" w:rsidP="000D54F9">
                      <w:pPr>
                        <w:jc w:val="center"/>
                        <w:rPr>
                          <w:b/>
                          <w:color w:val="FFFFFF" w:themeColor="background1"/>
                          <w:sz w:val="32"/>
                          <w:lang w:val="en-US"/>
                        </w:rPr>
                      </w:pPr>
                    </w:p>
                    <w:p w14:paraId="074A54FB" w14:textId="77777777" w:rsidR="006C70F3" w:rsidRDefault="006C70F3" w:rsidP="000D54F9">
                      <w:pPr>
                        <w:jc w:val="center"/>
                        <w:rPr>
                          <w:b/>
                          <w:color w:val="FFFFFF" w:themeColor="background1"/>
                          <w:sz w:val="32"/>
                          <w:lang w:val="en-US"/>
                        </w:rPr>
                      </w:pPr>
                    </w:p>
                    <w:p w14:paraId="49AACB4B" w14:textId="77777777" w:rsidR="006C70F3" w:rsidRDefault="006C70F3" w:rsidP="000D54F9">
                      <w:pPr>
                        <w:jc w:val="center"/>
                        <w:rPr>
                          <w:b/>
                          <w:color w:val="FFFFFF" w:themeColor="background1"/>
                          <w:sz w:val="32"/>
                          <w:lang w:val="en-US"/>
                        </w:rPr>
                      </w:pPr>
                    </w:p>
                    <w:p w14:paraId="3845D93C" w14:textId="77777777" w:rsidR="006C70F3" w:rsidRDefault="006C70F3" w:rsidP="000D54F9">
                      <w:pPr>
                        <w:jc w:val="center"/>
                        <w:rPr>
                          <w:b/>
                          <w:color w:val="FFFFFF" w:themeColor="background1"/>
                          <w:sz w:val="32"/>
                          <w:lang w:val="en-US"/>
                        </w:rPr>
                      </w:pPr>
                    </w:p>
                    <w:p w14:paraId="6AAB963B" w14:textId="77777777" w:rsidR="006C70F3" w:rsidRDefault="006C70F3" w:rsidP="000D54F9">
                      <w:pPr>
                        <w:jc w:val="right"/>
                        <w:rPr>
                          <w:b/>
                          <w:color w:val="FFFFFF" w:themeColor="background1"/>
                          <w:sz w:val="32"/>
                          <w:lang w:val="en-US"/>
                        </w:rPr>
                      </w:pPr>
                    </w:p>
                    <w:p w14:paraId="53AF418E" w14:textId="77777777" w:rsidR="006C70F3" w:rsidRDefault="006C70F3" w:rsidP="000D54F9">
                      <w:pPr>
                        <w:jc w:val="right"/>
                        <w:rPr>
                          <w:b/>
                          <w:color w:val="FFFFFF" w:themeColor="background1"/>
                          <w:sz w:val="32"/>
                          <w:lang w:val="en-US"/>
                        </w:rPr>
                      </w:pPr>
                    </w:p>
                    <w:p w14:paraId="0572C28D" w14:textId="77777777" w:rsidR="006C70F3" w:rsidRDefault="006C70F3" w:rsidP="000D54F9">
                      <w:pPr>
                        <w:jc w:val="right"/>
                        <w:rPr>
                          <w:b/>
                          <w:color w:val="FFFFFF" w:themeColor="background1"/>
                          <w:sz w:val="32"/>
                          <w:lang w:val="en-US"/>
                        </w:rPr>
                      </w:pPr>
                    </w:p>
                    <w:p w14:paraId="1E9E4629" w14:textId="77777777" w:rsidR="006C70F3" w:rsidRDefault="006C70F3" w:rsidP="000D54F9">
                      <w:pPr>
                        <w:jc w:val="right"/>
                        <w:rPr>
                          <w:b/>
                          <w:color w:val="FFFFFF" w:themeColor="background1"/>
                          <w:sz w:val="32"/>
                          <w:lang w:val="en-US"/>
                        </w:rPr>
                      </w:pPr>
                    </w:p>
                    <w:p w14:paraId="38F64971" w14:textId="77777777" w:rsidR="006C70F3" w:rsidRPr="00A94A11" w:rsidRDefault="006C70F3" w:rsidP="000D54F9">
                      <w:pPr>
                        <w:jc w:val="center"/>
                        <w:rPr>
                          <w:b/>
                          <w:color w:val="FFFFFF" w:themeColor="background1"/>
                          <w:sz w:val="32"/>
                          <w:lang w:val="en-US"/>
                        </w:rPr>
                      </w:pPr>
                    </w:p>
                  </w:txbxContent>
                </v:textbox>
              </v:oval>
            </w:pict>
          </mc:Fallback>
        </mc:AlternateContent>
      </w:r>
      <w:r w:rsidR="000D54F9" w:rsidRPr="00841766">
        <w:rPr>
          <w:rFonts w:cs="Times New Roman"/>
          <w:i/>
          <w:noProof/>
          <w:color w:val="1F3864" w:themeColor="accent1" w:themeShade="80"/>
          <w:sz w:val="18"/>
          <w:szCs w:val="18"/>
          <w:lang w:val="en-US"/>
        </w:rPr>
        <mc:AlternateContent>
          <mc:Choice Requires="wps">
            <w:drawing>
              <wp:anchor distT="0" distB="0" distL="114300" distR="114300" simplePos="0" relativeHeight="251669504" behindDoc="0" locked="0" layoutInCell="1" allowOverlap="1" wp14:anchorId="499C8929" wp14:editId="1546BB32">
                <wp:simplePos x="0" y="0"/>
                <wp:positionH relativeFrom="column">
                  <wp:posOffset>3851958</wp:posOffset>
                </wp:positionH>
                <wp:positionV relativeFrom="paragraph">
                  <wp:posOffset>2312914</wp:posOffset>
                </wp:positionV>
                <wp:extent cx="2344615" cy="906585"/>
                <wp:effectExtent l="12700" t="12700" r="17780" b="8255"/>
                <wp:wrapNone/>
                <wp:docPr id="19" name="Zone de texte 19"/>
                <wp:cNvGraphicFramePr/>
                <a:graphic xmlns:a="http://schemas.openxmlformats.org/drawingml/2006/main">
                  <a:graphicData uri="http://schemas.microsoft.com/office/word/2010/wordprocessingShape">
                    <wps:wsp>
                      <wps:cNvSpPr txBox="1"/>
                      <wps:spPr>
                        <a:xfrm>
                          <a:off x="0" y="0"/>
                          <a:ext cx="2344615" cy="906585"/>
                        </a:xfrm>
                        <a:prstGeom prst="rect">
                          <a:avLst/>
                        </a:prstGeom>
                        <a:solidFill>
                          <a:schemeClr val="accent2">
                            <a:lumMod val="60000"/>
                            <a:lumOff val="40000"/>
                          </a:schemeClr>
                        </a:solidFill>
                        <a:ln w="19050">
                          <a:solidFill>
                            <a:prstClr val="black"/>
                          </a:solidFill>
                        </a:ln>
                      </wps:spPr>
                      <wps:txbx>
                        <w:txbxContent>
                          <w:p w14:paraId="7A2FC7B1" w14:textId="77777777" w:rsidR="006C70F3" w:rsidRPr="00B8339B" w:rsidRDefault="006C70F3" w:rsidP="000D54F9">
                            <w:pPr>
                              <w:shd w:val="clear" w:color="auto" w:fill="F4B083" w:themeFill="accent2" w:themeFillTint="99"/>
                              <w:rPr>
                                <w:b/>
                                <w:sz w:val="20"/>
                                <w:szCs w:val="20"/>
                                <w:lang w:val="en-US"/>
                              </w:rPr>
                            </w:pPr>
                            <w:r>
                              <w:rPr>
                                <w:b/>
                                <w:sz w:val="20"/>
                                <w:szCs w:val="20"/>
                                <w:lang w:val="en-US"/>
                              </w:rPr>
                              <w:t>HUMAN CAPITAL</w:t>
                            </w:r>
                            <w:r w:rsidRPr="00B8339B">
                              <w:rPr>
                                <w:b/>
                                <w:sz w:val="20"/>
                                <w:szCs w:val="20"/>
                                <w:lang w:val="en-US"/>
                              </w:rPr>
                              <w:t>/ POVERTY REDUCTION</w:t>
                            </w:r>
                          </w:p>
                          <w:p w14:paraId="160CD88D"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 xml:space="preserve">Healthy population </w:t>
                            </w:r>
                          </w:p>
                          <w:p w14:paraId="05DC4775"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More productive workforce</w:t>
                            </w:r>
                          </w:p>
                          <w:p w14:paraId="6EAE09C0" w14:textId="77777777" w:rsidR="006C70F3" w:rsidRPr="002C5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Resilience to health-related shocks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8929" id="Zone de texte 19" o:spid="_x0000_s1034" type="#_x0000_t202" style="position:absolute;left:0;text-align:left;margin-left:303.3pt;margin-top:182.1pt;width:184.6pt;height: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" fillcolor="#f4b083 [1941]" strokeweight="1.5pt">
                <v:textbox>
                  <w:txbxContent>
                    <w:p w14:paraId="7A2FC7B1" w14:textId="77777777" w:rsidR="006C70F3" w:rsidRPr="00B8339B" w:rsidRDefault="006C70F3" w:rsidP="000D54F9">
                      <w:pPr>
                        <w:shd w:val="clear" w:color="auto" w:fill="F4B083" w:themeFill="accent2" w:themeFillTint="99"/>
                        <w:rPr>
                          <w:b/>
                          <w:sz w:val="20"/>
                          <w:szCs w:val="20"/>
                          <w:lang w:val="en-US"/>
                        </w:rPr>
                      </w:pPr>
                      <w:r>
                        <w:rPr>
                          <w:b/>
                          <w:sz w:val="20"/>
                          <w:szCs w:val="20"/>
                          <w:lang w:val="en-US"/>
                        </w:rPr>
                        <w:t>HUMAN CAPITAL</w:t>
                      </w:r>
                      <w:r w:rsidRPr="00B8339B">
                        <w:rPr>
                          <w:b/>
                          <w:sz w:val="20"/>
                          <w:szCs w:val="20"/>
                          <w:lang w:val="en-US"/>
                        </w:rPr>
                        <w:t>/ POVERTY REDUCTION</w:t>
                      </w:r>
                    </w:p>
                    <w:p w14:paraId="160CD88D"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 xml:space="preserve">Healthy population </w:t>
                      </w:r>
                    </w:p>
                    <w:p w14:paraId="05DC4775"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More productive workforce</w:t>
                      </w:r>
                    </w:p>
                    <w:p w14:paraId="6EAE09C0" w14:textId="77777777" w:rsidR="006C70F3" w:rsidRPr="002C5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Resilience to health-related shocks</w:t>
                      </w:r>
                    </w:p>
                  </w:txbxContent>
                </v:textbox>
              </v:shape>
            </w:pict>
          </mc:Fallback>
        </mc:AlternateContent>
      </w:r>
      <w:r w:rsidR="000D54F9" w:rsidRPr="00841766">
        <w:rPr>
          <w:rFonts w:cs="Times New Roman"/>
          <w:i/>
          <w:noProof/>
          <w:color w:val="1F3864" w:themeColor="accent1" w:themeShade="80"/>
          <w:sz w:val="18"/>
          <w:szCs w:val="18"/>
          <w:lang w:val="en-US"/>
        </w:rPr>
        <w:drawing>
          <wp:inline distT="0" distB="0" distL="0" distR="0" wp14:anchorId="558823B6" wp14:editId="0B253688">
            <wp:extent cx="4716379" cy="3115945"/>
            <wp:effectExtent l="0" t="57150" r="0" b="46355"/>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B8074FE" w14:textId="77777777" w:rsidR="000D54F9" w:rsidRPr="00841766" w:rsidRDefault="000D54F9" w:rsidP="004C515B">
      <w:pPr>
        <w:rPr>
          <w:rFonts w:cs="Times New Roman"/>
          <w:sz w:val="22"/>
          <w:szCs w:val="22"/>
          <w:lang w:val="en-US"/>
        </w:rPr>
      </w:pPr>
    </w:p>
    <w:p w14:paraId="36F27B0B" w14:textId="77777777" w:rsidR="00551B00" w:rsidRPr="00841766" w:rsidRDefault="00551B00" w:rsidP="004C515B">
      <w:pPr>
        <w:rPr>
          <w:rFonts w:cs="Calibri"/>
          <w:b/>
          <w:sz w:val="22"/>
          <w:szCs w:val="22"/>
          <w:lang w:val="en-US"/>
        </w:rPr>
      </w:pPr>
    </w:p>
    <w:p w14:paraId="01B8DFA6" w14:textId="59D5C823" w:rsidR="0063343A" w:rsidRDefault="0063343A" w:rsidP="004C515B">
      <w:pPr>
        <w:rPr>
          <w:rFonts w:cs="Calibri"/>
          <w:b/>
          <w:sz w:val="22"/>
          <w:szCs w:val="22"/>
          <w:lang w:val="en-US"/>
        </w:rPr>
      </w:pPr>
    </w:p>
    <w:p w14:paraId="10E5C57B" w14:textId="77777777" w:rsidR="009F5D41" w:rsidRDefault="009F5D41" w:rsidP="004C515B">
      <w:pPr>
        <w:rPr>
          <w:rFonts w:cs="Calibri"/>
          <w:b/>
          <w:sz w:val="22"/>
          <w:szCs w:val="22"/>
          <w:lang w:val="en-US"/>
        </w:rPr>
      </w:pPr>
    </w:p>
    <w:p w14:paraId="7BECE4AC" w14:textId="77777777" w:rsidR="0063343A" w:rsidRDefault="0063343A" w:rsidP="00552AAD">
      <w:pPr>
        <w:jc w:val="both"/>
        <w:rPr>
          <w:rFonts w:cs="Calibri"/>
          <w:b/>
          <w:sz w:val="22"/>
          <w:szCs w:val="22"/>
          <w:lang w:val="en-US"/>
        </w:rPr>
      </w:pPr>
      <w:r>
        <w:rPr>
          <w:rFonts w:cs="Calibri"/>
          <w:b/>
          <w:sz w:val="22"/>
          <w:szCs w:val="22"/>
          <w:lang w:val="en-US"/>
        </w:rPr>
        <w:t>Primary Health Care</w:t>
      </w:r>
    </w:p>
    <w:p w14:paraId="4290F7CB" w14:textId="52F970D3" w:rsidR="00B254D7" w:rsidRPr="00841766" w:rsidRDefault="00B254D7" w:rsidP="00552AAD">
      <w:pPr>
        <w:jc w:val="both"/>
        <w:rPr>
          <w:rFonts w:cs="Calibri"/>
          <w:sz w:val="22"/>
          <w:szCs w:val="22"/>
          <w:lang w:val="en-US"/>
        </w:rPr>
      </w:pPr>
      <w:r w:rsidRPr="00714227">
        <w:rPr>
          <w:rFonts w:cs="Calibri"/>
          <w:bCs/>
          <w:sz w:val="22"/>
          <w:szCs w:val="22"/>
          <w:lang w:val="en-US"/>
        </w:rPr>
        <w:t xml:space="preserve">Increasing the access to </w:t>
      </w:r>
      <w:r w:rsidRPr="00714227">
        <w:rPr>
          <w:bCs/>
          <w:sz w:val="22"/>
          <w:szCs w:val="22"/>
          <w:lang w:val="en-US"/>
        </w:rPr>
        <w:t>comprehensive,</w:t>
      </w:r>
      <w:r w:rsidRPr="00714227">
        <w:rPr>
          <w:rFonts w:cs="Calibri"/>
          <w:bCs/>
          <w:sz w:val="22"/>
          <w:szCs w:val="22"/>
          <w:lang w:val="en-US"/>
        </w:rPr>
        <w:t xml:space="preserve"> quality and resilient Primary Health Care (PHC) systems is essential to reach the hardest to reach and ensure greater health outcomes in the areas of NCDs, TB</w:t>
      </w:r>
      <w:r w:rsidRPr="00841766">
        <w:rPr>
          <w:rFonts w:cs="Calibri"/>
          <w:sz w:val="22"/>
          <w:szCs w:val="22"/>
          <w:lang w:val="en-US"/>
        </w:rPr>
        <w:t xml:space="preserve">, HIV/AIDS, Hepatitis, Sexual and Reproductive Health, Maternal, newborn and Child Health, response to </w:t>
      </w:r>
      <w:r w:rsidR="00096E64">
        <w:rPr>
          <w:rFonts w:cs="Calibri"/>
          <w:sz w:val="22"/>
          <w:szCs w:val="22"/>
          <w:lang w:val="en-US"/>
        </w:rPr>
        <w:t>g</w:t>
      </w:r>
      <w:r w:rsidR="00096E64" w:rsidRPr="00841766">
        <w:rPr>
          <w:rFonts w:cs="Calibri"/>
          <w:sz w:val="22"/>
          <w:szCs w:val="22"/>
          <w:lang w:val="en-US"/>
        </w:rPr>
        <w:t>ender</w:t>
      </w:r>
      <w:r w:rsidR="00096E64">
        <w:rPr>
          <w:rFonts w:cs="Calibri"/>
          <w:sz w:val="22"/>
          <w:szCs w:val="22"/>
          <w:lang w:val="en-US"/>
        </w:rPr>
        <w:t>-</w:t>
      </w:r>
      <w:r w:rsidRPr="00841766">
        <w:rPr>
          <w:rFonts w:cs="Calibri"/>
          <w:sz w:val="22"/>
          <w:szCs w:val="22"/>
          <w:lang w:val="en-US"/>
        </w:rPr>
        <w:t xml:space="preserve">based violence and preventable diseases. </w:t>
      </w:r>
      <w:r w:rsidR="00AB51CA">
        <w:rPr>
          <w:rFonts w:cs="Calibri"/>
          <w:sz w:val="22"/>
          <w:szCs w:val="22"/>
          <w:lang w:val="en-US"/>
        </w:rPr>
        <w:t xml:space="preserve"> </w:t>
      </w:r>
      <w:r w:rsidRPr="00841766">
        <w:rPr>
          <w:rFonts w:cs="Calibri"/>
          <w:sz w:val="22"/>
          <w:szCs w:val="22"/>
          <w:lang w:val="en-US"/>
        </w:rPr>
        <w:t>At present</w:t>
      </w:r>
      <w:r w:rsidRPr="00841766">
        <w:rPr>
          <w:rFonts w:cs="Calibri"/>
          <w:b/>
          <w:sz w:val="22"/>
          <w:szCs w:val="22"/>
          <w:lang w:val="en-US"/>
        </w:rPr>
        <w:t xml:space="preserve"> </w:t>
      </w:r>
      <w:r w:rsidRPr="00841766">
        <w:rPr>
          <w:sz w:val="22"/>
          <w:szCs w:val="22"/>
          <w:lang w:val="en-US"/>
        </w:rPr>
        <w:t xml:space="preserve">70% of people living in rural and remote mountainous areas and a quarter of households are more than 2 hours walk to the nearest primary health facility. </w:t>
      </w:r>
    </w:p>
    <w:p w14:paraId="30FD0A72" w14:textId="77777777" w:rsidR="00AB51CA" w:rsidRDefault="00AB51CA" w:rsidP="00552AAD">
      <w:pPr>
        <w:jc w:val="both"/>
        <w:rPr>
          <w:sz w:val="22"/>
          <w:szCs w:val="22"/>
          <w:lang w:val="en-US"/>
        </w:rPr>
      </w:pPr>
    </w:p>
    <w:p w14:paraId="4E7F0B73" w14:textId="5111BFEF" w:rsidR="00B254D7" w:rsidRPr="00841766" w:rsidRDefault="00B254D7" w:rsidP="00552AAD">
      <w:pPr>
        <w:jc w:val="both"/>
        <w:rPr>
          <w:rFonts w:cs="Calibri"/>
          <w:sz w:val="22"/>
          <w:szCs w:val="22"/>
          <w:lang w:val="en-US"/>
        </w:rPr>
      </w:pPr>
      <w:r w:rsidRPr="00841766">
        <w:rPr>
          <w:sz w:val="22"/>
          <w:szCs w:val="22"/>
          <w:lang w:val="en-US"/>
        </w:rPr>
        <w:t>The following changes need to be prioritized:</w:t>
      </w:r>
    </w:p>
    <w:p w14:paraId="0EC6BACC" w14:textId="13C8E1CF" w:rsidR="00B254D7" w:rsidRPr="00841766" w:rsidRDefault="00B254D7" w:rsidP="00552AAD">
      <w:pPr>
        <w:pStyle w:val="ListParagraph"/>
        <w:numPr>
          <w:ilvl w:val="0"/>
          <w:numId w:val="11"/>
        </w:numPr>
        <w:jc w:val="both"/>
        <w:rPr>
          <w:sz w:val="22"/>
          <w:szCs w:val="22"/>
          <w:lang w:val="en-US"/>
        </w:rPr>
      </w:pPr>
      <w:r w:rsidRPr="00841766">
        <w:rPr>
          <w:rFonts w:cs="Calibri"/>
          <w:sz w:val="22"/>
          <w:szCs w:val="22"/>
          <w:lang w:val="en-US"/>
        </w:rPr>
        <w:t>Implement the PHC Essential Service Package across all levels of the PHC system</w:t>
      </w:r>
      <w:r w:rsidR="00AB51CA">
        <w:rPr>
          <w:rFonts w:cs="Calibri"/>
          <w:sz w:val="22"/>
          <w:szCs w:val="22"/>
          <w:lang w:val="en-US"/>
        </w:rPr>
        <w:t>;</w:t>
      </w:r>
      <w:r w:rsidRPr="00841766">
        <w:rPr>
          <w:rFonts w:cs="Calibri"/>
          <w:sz w:val="22"/>
          <w:szCs w:val="22"/>
          <w:lang w:val="en-US"/>
        </w:rPr>
        <w:t xml:space="preserve"> </w:t>
      </w:r>
    </w:p>
    <w:p w14:paraId="78F8DC14" w14:textId="1C8B783A" w:rsidR="00B254D7" w:rsidRPr="00841766" w:rsidRDefault="00B254D7" w:rsidP="00552AAD">
      <w:pPr>
        <w:pStyle w:val="ListParagraph"/>
        <w:numPr>
          <w:ilvl w:val="0"/>
          <w:numId w:val="11"/>
        </w:numPr>
        <w:jc w:val="both"/>
        <w:rPr>
          <w:sz w:val="22"/>
          <w:szCs w:val="22"/>
          <w:lang w:val="en-US"/>
        </w:rPr>
      </w:pPr>
      <w:r w:rsidRPr="00841766">
        <w:rPr>
          <w:sz w:val="22"/>
          <w:szCs w:val="22"/>
          <w:lang w:val="en-US"/>
        </w:rPr>
        <w:t>Increase qualifications of workforce (skills and capacities) including managerial capacity</w:t>
      </w:r>
      <w:r w:rsidR="00AB51CA">
        <w:rPr>
          <w:sz w:val="22"/>
          <w:szCs w:val="22"/>
          <w:lang w:val="en-US"/>
        </w:rPr>
        <w:t>;</w:t>
      </w:r>
    </w:p>
    <w:p w14:paraId="7E1FDF67" w14:textId="2D8FFB20" w:rsidR="00B254D7" w:rsidRPr="00841766" w:rsidRDefault="00B254D7" w:rsidP="00552AAD">
      <w:pPr>
        <w:pStyle w:val="ListParagraph"/>
        <w:numPr>
          <w:ilvl w:val="0"/>
          <w:numId w:val="11"/>
        </w:numPr>
        <w:jc w:val="both"/>
        <w:rPr>
          <w:sz w:val="22"/>
          <w:szCs w:val="22"/>
          <w:lang w:val="en-US"/>
        </w:rPr>
      </w:pPr>
      <w:r w:rsidRPr="00841766">
        <w:rPr>
          <w:sz w:val="22"/>
          <w:szCs w:val="22"/>
          <w:lang w:val="en-US"/>
        </w:rPr>
        <w:t>Improve facilities (hygiene</w:t>
      </w:r>
      <w:r w:rsidR="00BA1222" w:rsidRPr="00841766">
        <w:rPr>
          <w:sz w:val="22"/>
          <w:szCs w:val="22"/>
          <w:lang w:val="en-US"/>
        </w:rPr>
        <w:t>, water</w:t>
      </w:r>
      <w:r w:rsidRPr="00841766">
        <w:rPr>
          <w:sz w:val="22"/>
          <w:szCs w:val="22"/>
          <w:lang w:val="en-US"/>
        </w:rPr>
        <w:t xml:space="preserve"> and availability of basic equipment)</w:t>
      </w:r>
      <w:r w:rsidR="00AB51CA">
        <w:rPr>
          <w:sz w:val="22"/>
          <w:szCs w:val="22"/>
          <w:lang w:val="en-US"/>
        </w:rPr>
        <w:t>;</w:t>
      </w:r>
    </w:p>
    <w:p w14:paraId="27CA613D" w14:textId="07A1BAFE" w:rsidR="00B254D7" w:rsidRPr="00841766" w:rsidRDefault="00B254D7" w:rsidP="00552AAD">
      <w:pPr>
        <w:pStyle w:val="ListParagraph"/>
        <w:numPr>
          <w:ilvl w:val="0"/>
          <w:numId w:val="11"/>
        </w:numPr>
        <w:jc w:val="both"/>
        <w:rPr>
          <w:rFonts w:cs="Calibri"/>
          <w:sz w:val="22"/>
          <w:szCs w:val="22"/>
          <w:lang w:val="en-US"/>
        </w:rPr>
      </w:pPr>
      <w:r w:rsidRPr="00841766">
        <w:rPr>
          <w:sz w:val="22"/>
          <w:szCs w:val="22"/>
          <w:lang w:val="en-US"/>
        </w:rPr>
        <w:t>Improve quality of care (based on clinical best practice) with a particular focus on the needs of</w:t>
      </w:r>
      <w:r w:rsidRPr="00841766">
        <w:rPr>
          <w:rFonts w:cs="Calibri"/>
          <w:sz w:val="22"/>
          <w:szCs w:val="22"/>
          <w:lang w:val="en-US"/>
        </w:rPr>
        <w:t xml:space="preserve"> the poor, less educated, rural communities, women and children, persons with disabilities, migrant and mobile populat</w:t>
      </w:r>
      <w:r w:rsidR="00C7169E">
        <w:rPr>
          <w:rFonts w:cs="Calibri"/>
          <w:sz w:val="22"/>
          <w:szCs w:val="22"/>
          <w:lang w:val="en-US"/>
        </w:rPr>
        <w:t xml:space="preserve">ions and other marginalized </w:t>
      </w:r>
      <w:r w:rsidRPr="00841766">
        <w:rPr>
          <w:rFonts w:cs="Calibri"/>
          <w:sz w:val="22"/>
          <w:szCs w:val="22"/>
          <w:lang w:val="en-US"/>
        </w:rPr>
        <w:t>groups</w:t>
      </w:r>
      <w:r w:rsidR="00AB51CA">
        <w:rPr>
          <w:rFonts w:cs="Calibri"/>
          <w:sz w:val="22"/>
          <w:szCs w:val="22"/>
          <w:lang w:val="en-US"/>
        </w:rPr>
        <w:t>; and,</w:t>
      </w:r>
      <w:r w:rsidRPr="00841766">
        <w:rPr>
          <w:rFonts w:cs="Calibri"/>
          <w:sz w:val="22"/>
          <w:szCs w:val="22"/>
          <w:lang w:val="en-US"/>
        </w:rPr>
        <w:t xml:space="preserve"> </w:t>
      </w:r>
    </w:p>
    <w:p w14:paraId="1A012D84" w14:textId="3BE42F41" w:rsidR="00B254D7" w:rsidRPr="00841766" w:rsidRDefault="00B254D7" w:rsidP="00552AAD">
      <w:pPr>
        <w:pStyle w:val="ListParagraph"/>
        <w:numPr>
          <w:ilvl w:val="0"/>
          <w:numId w:val="11"/>
        </w:numPr>
        <w:spacing w:after="240"/>
        <w:jc w:val="both"/>
        <w:rPr>
          <w:rFonts w:cs="Calibri"/>
          <w:sz w:val="22"/>
          <w:szCs w:val="22"/>
          <w:lang w:val="en-US"/>
        </w:rPr>
      </w:pPr>
      <w:r w:rsidRPr="00841766">
        <w:rPr>
          <w:rFonts w:cs="Calibri"/>
          <w:sz w:val="22"/>
          <w:szCs w:val="22"/>
          <w:lang w:val="en-US"/>
        </w:rPr>
        <w:t>Increase resilience to shocks through multi-sectoral coordination, long-term planning and financing, information sharing and strengthening of health system governance and workforce capacity</w:t>
      </w:r>
      <w:r w:rsidR="00D948DD" w:rsidRPr="00841766">
        <w:rPr>
          <w:rFonts w:cs="Calibri"/>
          <w:sz w:val="22"/>
          <w:szCs w:val="22"/>
          <w:lang w:val="en-US"/>
        </w:rPr>
        <w:t>.</w:t>
      </w:r>
    </w:p>
    <w:p w14:paraId="088F3145" w14:textId="430A6678" w:rsidR="0063343A" w:rsidRDefault="0063343A" w:rsidP="00552AAD">
      <w:pPr>
        <w:pStyle w:val="CommentText"/>
        <w:spacing w:after="120"/>
        <w:jc w:val="both"/>
        <w:rPr>
          <w:rFonts w:asciiTheme="minorHAnsi" w:hAnsiTheme="minorHAnsi" w:cstheme="minorHAnsi"/>
          <w:b/>
          <w:sz w:val="22"/>
          <w:szCs w:val="22"/>
          <w:lang w:val="en-US"/>
        </w:rPr>
      </w:pPr>
      <w:r>
        <w:rPr>
          <w:rFonts w:asciiTheme="minorHAnsi" w:hAnsiTheme="minorHAnsi" w:cstheme="minorHAnsi"/>
          <w:b/>
          <w:sz w:val="22"/>
          <w:szCs w:val="22"/>
          <w:lang w:val="en-US"/>
        </w:rPr>
        <w:t>Evidence-based decision-making and digital systems</w:t>
      </w:r>
    </w:p>
    <w:p w14:paraId="24D86B8E" w14:textId="3E462EFC" w:rsidR="00B254D7" w:rsidRPr="00841766" w:rsidRDefault="00604FD3" w:rsidP="00552AAD">
      <w:pPr>
        <w:pStyle w:val="CommentText"/>
        <w:spacing w:after="120"/>
        <w:jc w:val="both"/>
        <w:rPr>
          <w:rFonts w:asciiTheme="minorHAnsi" w:hAnsiTheme="minorHAnsi" w:cstheme="minorHAnsi"/>
          <w:sz w:val="22"/>
          <w:szCs w:val="22"/>
          <w:lang w:val="en-US"/>
        </w:rPr>
      </w:pPr>
      <w:r w:rsidRPr="000135BE">
        <w:rPr>
          <w:rFonts w:asciiTheme="minorHAnsi" w:hAnsiTheme="minorHAnsi" w:cstheme="minorHAnsi"/>
          <w:bCs/>
          <w:sz w:val="22"/>
          <w:szCs w:val="22"/>
          <w:lang w:val="en-US"/>
        </w:rPr>
        <w:t xml:space="preserve">Quality </w:t>
      </w:r>
      <w:r w:rsidR="00B254D7" w:rsidRPr="000135BE">
        <w:rPr>
          <w:rFonts w:asciiTheme="minorHAnsi" w:hAnsiTheme="minorHAnsi" w:cstheme="minorHAnsi"/>
          <w:bCs/>
          <w:sz w:val="22"/>
          <w:szCs w:val="22"/>
          <w:lang w:val="en-US"/>
        </w:rPr>
        <w:t>and comprehensive data is key</w:t>
      </w:r>
      <w:r w:rsidR="00C95212" w:rsidRPr="000135BE">
        <w:rPr>
          <w:rFonts w:asciiTheme="minorHAnsi" w:hAnsiTheme="minorHAnsi" w:cstheme="minorHAnsi"/>
          <w:bCs/>
          <w:sz w:val="22"/>
          <w:szCs w:val="22"/>
          <w:lang w:val="en-US"/>
        </w:rPr>
        <w:t xml:space="preserve"> to understanding health needs</w:t>
      </w:r>
      <w:r w:rsidR="00B254D7" w:rsidRPr="000135BE">
        <w:rPr>
          <w:rFonts w:asciiTheme="minorHAnsi" w:hAnsiTheme="minorHAnsi" w:cstheme="minorHAnsi"/>
          <w:bCs/>
          <w:sz w:val="22"/>
          <w:szCs w:val="22"/>
          <w:lang w:val="en-US"/>
        </w:rPr>
        <w:t xml:space="preserve">, and designing programmes and policies, guiding investment and public health decisions targeting the most </w:t>
      </w:r>
      <w:r w:rsidR="00C7169E" w:rsidRPr="000135BE">
        <w:rPr>
          <w:rFonts w:asciiTheme="minorHAnsi" w:hAnsiTheme="minorHAnsi" w:cstheme="minorHAnsi"/>
          <w:bCs/>
          <w:sz w:val="22"/>
          <w:szCs w:val="22"/>
          <w:lang w:val="en-US"/>
        </w:rPr>
        <w:t>excluded</w:t>
      </w:r>
      <w:r w:rsidR="00B254D7" w:rsidRPr="000135BE">
        <w:rPr>
          <w:rFonts w:asciiTheme="minorHAnsi" w:hAnsiTheme="minorHAnsi" w:cstheme="minorHAnsi"/>
          <w:bCs/>
          <w:sz w:val="22"/>
          <w:szCs w:val="22"/>
          <w:lang w:val="en-US"/>
        </w:rPr>
        <w:t xml:space="preserve">. </w:t>
      </w:r>
      <w:r w:rsidR="00B254D7" w:rsidRPr="009F5D41">
        <w:rPr>
          <w:rFonts w:asciiTheme="minorHAnsi" w:hAnsiTheme="minorHAnsi" w:cstheme="minorHAnsi"/>
          <w:sz w:val="22"/>
          <w:szCs w:val="22"/>
          <w:lang w:val="en-US"/>
        </w:rPr>
        <w:t xml:space="preserve">With continuing support to improve quality of existing data sources (administrative data, </w:t>
      </w:r>
      <w:r w:rsidR="00B254D7" w:rsidRPr="00841766">
        <w:rPr>
          <w:rFonts w:asciiTheme="minorHAnsi" w:hAnsiTheme="minorHAnsi" w:cstheme="minorHAnsi"/>
          <w:sz w:val="22"/>
          <w:szCs w:val="22"/>
          <w:lang w:val="en-US"/>
        </w:rPr>
        <w:t xml:space="preserve">census, surveys, etc.), digital technologies need to be used to improve quality of data, including </w:t>
      </w:r>
      <w:r w:rsidR="00FB0EC6" w:rsidRPr="00841766">
        <w:rPr>
          <w:rFonts w:asciiTheme="minorHAnsi" w:hAnsiTheme="minorHAnsi" w:cstheme="minorHAnsi"/>
          <w:sz w:val="22"/>
          <w:szCs w:val="22"/>
          <w:lang w:val="en-US"/>
        </w:rPr>
        <w:t xml:space="preserve">sex, age and disability </w:t>
      </w:r>
      <w:r w:rsidR="00B254D7" w:rsidRPr="00841766">
        <w:rPr>
          <w:rFonts w:asciiTheme="minorHAnsi" w:hAnsiTheme="minorHAnsi" w:cstheme="minorHAnsi"/>
          <w:sz w:val="22"/>
          <w:szCs w:val="22"/>
          <w:lang w:val="en-US"/>
        </w:rPr>
        <w:t xml:space="preserve">disaggregated data, as well as specific data collection system targeting </w:t>
      </w:r>
      <w:r w:rsidR="00FB0EC6" w:rsidRPr="00841766">
        <w:rPr>
          <w:rFonts w:asciiTheme="minorHAnsi" w:hAnsiTheme="minorHAnsi" w:cstheme="minorHAnsi"/>
          <w:sz w:val="22"/>
          <w:szCs w:val="22"/>
          <w:lang w:val="en-US"/>
        </w:rPr>
        <w:t xml:space="preserve">and involving participation of </w:t>
      </w:r>
      <w:r w:rsidR="00B254D7" w:rsidRPr="00841766">
        <w:rPr>
          <w:rFonts w:asciiTheme="minorHAnsi" w:hAnsiTheme="minorHAnsi" w:cstheme="minorHAnsi"/>
          <w:sz w:val="22"/>
          <w:szCs w:val="22"/>
          <w:lang w:val="en-US"/>
        </w:rPr>
        <w:t>the marginalized groups.</w:t>
      </w:r>
      <w:r>
        <w:rPr>
          <w:rFonts w:asciiTheme="minorHAnsi" w:hAnsiTheme="minorHAnsi" w:cstheme="minorHAnsi"/>
          <w:sz w:val="22"/>
          <w:szCs w:val="22"/>
          <w:lang w:val="en-US"/>
        </w:rPr>
        <w:t xml:space="preserve"> </w:t>
      </w:r>
    </w:p>
    <w:p w14:paraId="2A1959BB" w14:textId="628CB019" w:rsidR="00C95212" w:rsidRPr="00841766" w:rsidRDefault="00C95212" w:rsidP="00552AAD">
      <w:pPr>
        <w:spacing w:after="240"/>
        <w:jc w:val="both"/>
        <w:rPr>
          <w:rFonts w:cstheme="minorHAnsi"/>
          <w:sz w:val="22"/>
          <w:szCs w:val="22"/>
          <w:lang w:val="en-US"/>
        </w:rPr>
      </w:pPr>
      <w:r w:rsidRPr="00841766">
        <w:rPr>
          <w:rFonts w:cstheme="minorHAnsi"/>
          <w:sz w:val="22"/>
          <w:szCs w:val="22"/>
          <w:lang w:val="en-US"/>
        </w:rPr>
        <w:t xml:space="preserve">At the moment, there exists parallel digitalized system/tools (District Health Information System-2, Human Resources Registration System, Logistics Management Information System, maternal health, </w:t>
      </w:r>
      <w:r w:rsidRPr="00841766">
        <w:rPr>
          <w:rFonts w:cstheme="minorHAnsi"/>
          <w:sz w:val="22"/>
          <w:szCs w:val="22"/>
          <w:lang w:val="en-US"/>
        </w:rPr>
        <w:lastRenderedPageBreak/>
        <w:t xml:space="preserve">ambulance system, quality control system and others). </w:t>
      </w:r>
      <w:r w:rsidR="00AB51CA">
        <w:rPr>
          <w:rFonts w:cstheme="minorHAnsi"/>
          <w:sz w:val="22"/>
          <w:szCs w:val="22"/>
          <w:lang w:val="en-US"/>
        </w:rPr>
        <w:t xml:space="preserve"> </w:t>
      </w:r>
      <w:r w:rsidRPr="00841766">
        <w:rPr>
          <w:rFonts w:cstheme="minorHAnsi"/>
          <w:sz w:val="22"/>
          <w:szCs w:val="22"/>
          <w:lang w:val="en-US"/>
        </w:rPr>
        <w:t xml:space="preserve">These systems need to be reviewed, made interoperable and integrated into one comprehensive system. </w:t>
      </w:r>
    </w:p>
    <w:p w14:paraId="4A01F84F" w14:textId="4C35969C" w:rsidR="00786559" w:rsidRDefault="009F5D41" w:rsidP="00552AAD">
      <w:pPr>
        <w:jc w:val="both"/>
        <w:rPr>
          <w:rFonts w:cstheme="minorHAnsi"/>
          <w:b/>
          <w:sz w:val="22"/>
          <w:szCs w:val="22"/>
          <w:lang w:val="en-US"/>
        </w:rPr>
      </w:pPr>
      <w:r>
        <w:rPr>
          <w:rFonts w:cstheme="minorHAnsi"/>
          <w:b/>
          <w:sz w:val="22"/>
          <w:szCs w:val="22"/>
          <w:lang w:val="en-US"/>
        </w:rPr>
        <w:t xml:space="preserve">Supporting </w:t>
      </w:r>
      <w:proofErr w:type="spellStart"/>
      <w:r>
        <w:rPr>
          <w:rFonts w:cstheme="minorHAnsi"/>
          <w:b/>
          <w:sz w:val="22"/>
          <w:szCs w:val="22"/>
          <w:lang w:val="en-US"/>
        </w:rPr>
        <w:t>b</w:t>
      </w:r>
      <w:r w:rsidR="00786559">
        <w:rPr>
          <w:rFonts w:cstheme="minorHAnsi"/>
          <w:b/>
          <w:sz w:val="22"/>
          <w:szCs w:val="22"/>
          <w:lang w:val="en-US"/>
        </w:rPr>
        <w:t>ehaviour</w:t>
      </w:r>
      <w:proofErr w:type="spellEnd"/>
      <w:r w:rsidR="00786559">
        <w:rPr>
          <w:rFonts w:cstheme="minorHAnsi"/>
          <w:b/>
          <w:sz w:val="22"/>
          <w:szCs w:val="22"/>
          <w:lang w:val="en-US"/>
        </w:rPr>
        <w:t xml:space="preserve"> change</w:t>
      </w:r>
      <w:r>
        <w:rPr>
          <w:rFonts w:cstheme="minorHAnsi"/>
          <w:b/>
          <w:sz w:val="22"/>
          <w:szCs w:val="22"/>
          <w:lang w:val="en-US"/>
        </w:rPr>
        <w:t xml:space="preserve"> to improve the</w:t>
      </w:r>
      <w:r w:rsidR="00786559">
        <w:rPr>
          <w:rFonts w:cstheme="minorHAnsi"/>
          <w:b/>
          <w:sz w:val="22"/>
          <w:szCs w:val="22"/>
          <w:lang w:val="en-US"/>
        </w:rPr>
        <w:t xml:space="preserve"> determinants of health </w:t>
      </w:r>
    </w:p>
    <w:p w14:paraId="10FB0B48" w14:textId="7EF9A37D" w:rsidR="00B254D7" w:rsidRPr="00841766" w:rsidRDefault="00C95212" w:rsidP="00552AAD">
      <w:pPr>
        <w:jc w:val="both"/>
        <w:rPr>
          <w:rFonts w:cstheme="minorHAnsi"/>
          <w:sz w:val="22"/>
          <w:szCs w:val="22"/>
          <w:lang w:val="en-US"/>
        </w:rPr>
      </w:pPr>
      <w:r w:rsidRPr="003F5AF1">
        <w:rPr>
          <w:rFonts w:cstheme="minorHAnsi"/>
          <w:bCs/>
          <w:sz w:val="22"/>
          <w:szCs w:val="22"/>
          <w:lang w:val="en-US"/>
        </w:rPr>
        <w:t>Engaging</w:t>
      </w:r>
      <w:r w:rsidRPr="00714227">
        <w:rPr>
          <w:rFonts w:cstheme="minorHAnsi"/>
          <w:bCs/>
          <w:sz w:val="22"/>
          <w:szCs w:val="22"/>
          <w:lang w:val="en-US"/>
        </w:rPr>
        <w:t xml:space="preserve"> and empowering communities and civil society to enable them to influence decisions and behavior that affect their health and well-being is critical to address all determinants of health, ensure that no one is left behind and the needs of the poor, less educated, rural communities, women a</w:t>
      </w:r>
      <w:r w:rsidRPr="00841766">
        <w:rPr>
          <w:rFonts w:cstheme="minorHAnsi"/>
          <w:sz w:val="22"/>
          <w:szCs w:val="22"/>
          <w:lang w:val="en-US"/>
        </w:rPr>
        <w:t>nd children, persons with disabilities, migrant and mobile populat</w:t>
      </w:r>
      <w:r w:rsidR="00C7169E">
        <w:rPr>
          <w:rFonts w:cstheme="minorHAnsi"/>
          <w:sz w:val="22"/>
          <w:szCs w:val="22"/>
          <w:lang w:val="en-US"/>
        </w:rPr>
        <w:t xml:space="preserve">ions and other marginalized </w:t>
      </w:r>
      <w:r w:rsidRPr="00841766">
        <w:rPr>
          <w:rFonts w:cstheme="minorHAnsi"/>
          <w:sz w:val="22"/>
          <w:szCs w:val="22"/>
          <w:lang w:val="en-US"/>
        </w:rPr>
        <w:t>population groups are met.</w:t>
      </w:r>
    </w:p>
    <w:p w14:paraId="0F4BA9B0" w14:textId="0475AA51" w:rsidR="00AB51CA" w:rsidRDefault="00B254D7" w:rsidP="00552AAD">
      <w:pPr>
        <w:jc w:val="both"/>
        <w:rPr>
          <w:rFonts w:cstheme="minorHAnsi"/>
          <w:sz w:val="22"/>
          <w:szCs w:val="22"/>
          <w:lang w:val="en-GB"/>
        </w:rPr>
      </w:pPr>
      <w:r w:rsidRPr="00841766">
        <w:rPr>
          <w:rFonts w:cstheme="minorHAnsi"/>
          <w:sz w:val="22"/>
          <w:szCs w:val="22"/>
          <w:lang w:val="en-US"/>
        </w:rPr>
        <w:t>Community participation approach is a cost-effective way to extend a health care system to the geographical and social periphery; empower disenfranchised communities (including women) and facilitate community ownership and accountability.</w:t>
      </w:r>
      <w:r w:rsidR="00AB51CA">
        <w:rPr>
          <w:rFonts w:cstheme="minorHAnsi"/>
          <w:sz w:val="22"/>
          <w:szCs w:val="22"/>
          <w:lang w:val="en-US"/>
        </w:rPr>
        <w:t xml:space="preserve">  </w:t>
      </w:r>
      <w:r w:rsidR="00AB51CA" w:rsidRPr="006C1C4F">
        <w:rPr>
          <w:rFonts w:cstheme="minorHAnsi"/>
          <w:sz w:val="22"/>
          <w:szCs w:val="22"/>
          <w:lang w:val="en-GB"/>
        </w:rPr>
        <w:t xml:space="preserve">Working in partnership with communities, CSOs, local government </w:t>
      </w:r>
      <w:r w:rsidR="00AB51CA" w:rsidRPr="006C1C4F">
        <w:rPr>
          <w:sz w:val="22"/>
          <w:szCs w:val="22"/>
          <w:lang w:val="en-GB"/>
        </w:rPr>
        <w:t>and village leaders,</w:t>
      </w:r>
      <w:r w:rsidR="00AB51CA">
        <w:rPr>
          <w:rFonts w:cstheme="minorHAnsi"/>
          <w:sz w:val="22"/>
          <w:szCs w:val="22"/>
          <w:lang w:val="en-GB"/>
        </w:rPr>
        <w:t xml:space="preserve"> strengthening behaviour and social change will entail taking measures towards improved behaviour, practices and social norms (culture, traditions and beliefs) that are beneficial to the health and wellbeing of individuals and communities. </w:t>
      </w:r>
    </w:p>
    <w:p w14:paraId="6836AFBA" w14:textId="77777777" w:rsidR="00153A16" w:rsidRPr="00841766" w:rsidRDefault="00153A16" w:rsidP="00552AAD">
      <w:pPr>
        <w:jc w:val="both"/>
        <w:rPr>
          <w:rFonts w:cstheme="minorHAnsi"/>
          <w:sz w:val="22"/>
          <w:szCs w:val="22"/>
          <w:lang w:val="en-US"/>
        </w:rPr>
      </w:pPr>
    </w:p>
    <w:p w14:paraId="524AAF71" w14:textId="31139801" w:rsidR="00B254D7" w:rsidRPr="00841766" w:rsidRDefault="00AB51CA" w:rsidP="00552AAD">
      <w:pPr>
        <w:spacing w:after="240"/>
        <w:jc w:val="both"/>
        <w:rPr>
          <w:rFonts w:cstheme="minorHAnsi"/>
          <w:sz w:val="22"/>
          <w:szCs w:val="22"/>
          <w:lang w:val="en-US"/>
        </w:rPr>
      </w:pPr>
      <w:r>
        <w:rPr>
          <w:rFonts w:cstheme="minorHAnsi"/>
          <w:sz w:val="22"/>
          <w:szCs w:val="22"/>
          <w:lang w:val="en-US"/>
        </w:rPr>
        <w:t>For behavior and social change to be effective, i</w:t>
      </w:r>
      <w:r w:rsidR="00B254D7" w:rsidRPr="00841766">
        <w:rPr>
          <w:rFonts w:cstheme="minorHAnsi"/>
          <w:sz w:val="22"/>
          <w:szCs w:val="22"/>
          <w:lang w:val="en-US"/>
        </w:rPr>
        <w:t xml:space="preserve">nnovative ways to increase social accountability need to be explored (e.g. the online social accountability, social audits and community-based monitoring). </w:t>
      </w:r>
      <w:r w:rsidR="00FB0EC6" w:rsidRPr="00841766">
        <w:rPr>
          <w:rFonts w:cstheme="minorHAnsi"/>
          <w:sz w:val="22"/>
          <w:szCs w:val="22"/>
          <w:lang w:val="en-US"/>
        </w:rPr>
        <w:t>This will particularly need to engage the diverse networks of women and youth groups across the country, including groups representing persons with disabilities, survivors of violence and members of the LGBTI community who face greater barriers to accessing basic health services.</w:t>
      </w:r>
    </w:p>
    <w:p w14:paraId="2184E22C" w14:textId="77777777" w:rsidR="00BC35E3" w:rsidRDefault="00BC35E3" w:rsidP="00552AAD">
      <w:pPr>
        <w:jc w:val="both"/>
        <w:rPr>
          <w:rFonts w:cstheme="minorHAnsi"/>
          <w:b/>
          <w:sz w:val="22"/>
          <w:szCs w:val="22"/>
          <w:lang w:val="en-US"/>
        </w:rPr>
      </w:pPr>
      <w:r>
        <w:rPr>
          <w:rFonts w:cstheme="minorHAnsi"/>
          <w:b/>
          <w:sz w:val="22"/>
          <w:szCs w:val="22"/>
          <w:lang w:val="en-US"/>
        </w:rPr>
        <w:t>Health financing and budgeting</w:t>
      </w:r>
    </w:p>
    <w:p w14:paraId="3B66B0C1" w14:textId="57BB2924" w:rsidR="00826E7F" w:rsidRDefault="00B254D7" w:rsidP="00552AAD">
      <w:pPr>
        <w:jc w:val="both"/>
        <w:rPr>
          <w:rFonts w:cstheme="minorHAnsi"/>
          <w:sz w:val="22"/>
          <w:szCs w:val="22"/>
          <w:lang w:val="en-US"/>
        </w:rPr>
      </w:pPr>
      <w:r w:rsidRPr="00714227">
        <w:rPr>
          <w:rFonts w:cstheme="minorHAnsi"/>
          <w:bCs/>
          <w:sz w:val="22"/>
          <w:szCs w:val="22"/>
          <w:lang w:val="en-US"/>
        </w:rPr>
        <w:t xml:space="preserve">Sustainable financing is required to enable </w:t>
      </w:r>
      <w:r w:rsidR="00927A3B" w:rsidRPr="00714227">
        <w:rPr>
          <w:rFonts w:cstheme="minorHAnsi"/>
          <w:bCs/>
          <w:sz w:val="22"/>
          <w:szCs w:val="22"/>
          <w:lang w:val="en-US"/>
        </w:rPr>
        <w:t>Timor-Leste</w:t>
      </w:r>
      <w:r w:rsidRPr="00714227">
        <w:rPr>
          <w:rFonts w:cstheme="minorHAnsi"/>
          <w:bCs/>
          <w:sz w:val="22"/>
          <w:szCs w:val="22"/>
          <w:lang w:val="en-US"/>
        </w:rPr>
        <w:t xml:space="preserve"> to reduce unmet need</w:t>
      </w:r>
      <w:r w:rsidR="007C4167" w:rsidRPr="00714227">
        <w:rPr>
          <w:rFonts w:cstheme="minorHAnsi"/>
          <w:bCs/>
          <w:sz w:val="22"/>
          <w:szCs w:val="22"/>
          <w:lang w:val="en-US"/>
        </w:rPr>
        <w:t>s</w:t>
      </w:r>
      <w:r w:rsidRPr="00714227">
        <w:rPr>
          <w:rFonts w:cstheme="minorHAnsi"/>
          <w:bCs/>
          <w:sz w:val="22"/>
          <w:szCs w:val="22"/>
          <w:lang w:val="en-US"/>
        </w:rPr>
        <w:t xml:space="preserve"> for services and financial hardship arising from out-of-pocket payments</w:t>
      </w:r>
      <w:r w:rsidR="00890342" w:rsidRPr="00714227">
        <w:rPr>
          <w:rFonts w:cstheme="minorHAnsi"/>
          <w:bCs/>
          <w:sz w:val="22"/>
          <w:szCs w:val="22"/>
          <w:lang w:val="en-US"/>
        </w:rPr>
        <w:t>, a major barrier to accessing care</w:t>
      </w:r>
      <w:r w:rsidRPr="00714227">
        <w:rPr>
          <w:rFonts w:cstheme="minorHAnsi"/>
          <w:bCs/>
          <w:sz w:val="22"/>
          <w:szCs w:val="22"/>
          <w:lang w:val="en-US"/>
        </w:rPr>
        <w:t>.</w:t>
      </w:r>
      <w:r w:rsidR="007C4167" w:rsidRPr="00714227">
        <w:rPr>
          <w:rFonts w:cstheme="minorHAnsi"/>
          <w:bCs/>
          <w:sz w:val="22"/>
          <w:szCs w:val="22"/>
          <w:lang w:val="en-US"/>
        </w:rPr>
        <w:t xml:space="preserve"> </w:t>
      </w:r>
    </w:p>
    <w:p w14:paraId="16396E40" w14:textId="5418183D" w:rsidR="00B254D7" w:rsidRPr="00841766" w:rsidRDefault="007C4167" w:rsidP="00552AAD">
      <w:pPr>
        <w:jc w:val="both"/>
        <w:rPr>
          <w:rFonts w:cstheme="minorHAnsi"/>
          <w:sz w:val="22"/>
          <w:szCs w:val="22"/>
          <w:lang w:val="en-US"/>
        </w:rPr>
      </w:pPr>
      <w:r w:rsidRPr="00841766">
        <w:rPr>
          <w:rFonts w:cstheme="minorHAnsi"/>
          <w:sz w:val="22"/>
          <w:szCs w:val="22"/>
          <w:lang w:val="en-US"/>
        </w:rPr>
        <w:t>In Timor-L</w:t>
      </w:r>
      <w:r w:rsidR="00B254D7" w:rsidRPr="00841766">
        <w:rPr>
          <w:rFonts w:cstheme="minorHAnsi"/>
          <w:sz w:val="22"/>
          <w:szCs w:val="22"/>
          <w:lang w:val="en-US"/>
        </w:rPr>
        <w:t>este, 83% of TB patients</w:t>
      </w:r>
      <w:r w:rsidR="00623E93" w:rsidRPr="00841766">
        <w:rPr>
          <w:rFonts w:cstheme="minorHAnsi"/>
          <w:sz w:val="22"/>
          <w:szCs w:val="22"/>
          <w:lang w:val="en-US"/>
        </w:rPr>
        <w:t xml:space="preserve"> experienced catastrophic costs</w:t>
      </w:r>
      <w:r w:rsidRPr="00841766">
        <w:rPr>
          <w:rFonts w:cstheme="minorHAnsi"/>
          <w:sz w:val="22"/>
          <w:szCs w:val="22"/>
          <w:lang w:val="en-US"/>
        </w:rPr>
        <w:t>. Ensuring that</w:t>
      </w:r>
      <w:r w:rsidR="00B254D7" w:rsidRPr="00841766">
        <w:rPr>
          <w:rFonts w:cstheme="minorHAnsi"/>
          <w:sz w:val="22"/>
          <w:szCs w:val="22"/>
          <w:lang w:val="en-US"/>
        </w:rPr>
        <w:t xml:space="preserve"> TB patients, vulnerable</w:t>
      </w:r>
      <w:r w:rsidRPr="00841766">
        <w:rPr>
          <w:rFonts w:cstheme="minorHAnsi"/>
          <w:sz w:val="22"/>
          <w:szCs w:val="22"/>
          <w:lang w:val="en-US"/>
        </w:rPr>
        <w:t xml:space="preserve"> people</w:t>
      </w:r>
      <w:r w:rsidR="00B254D7" w:rsidRPr="00841766">
        <w:rPr>
          <w:rFonts w:cstheme="minorHAnsi"/>
          <w:sz w:val="22"/>
          <w:szCs w:val="22"/>
          <w:lang w:val="en-US"/>
        </w:rPr>
        <w:t>, migrant and mobile populations are accounted for in financial risk protection schemes</w:t>
      </w:r>
      <w:r w:rsidRPr="00841766">
        <w:rPr>
          <w:rFonts w:cstheme="minorHAnsi"/>
          <w:sz w:val="22"/>
          <w:szCs w:val="22"/>
          <w:lang w:val="en-US"/>
        </w:rPr>
        <w:t xml:space="preserve"> is necessary</w:t>
      </w:r>
      <w:r w:rsidR="00B254D7" w:rsidRPr="00841766">
        <w:rPr>
          <w:rFonts w:cstheme="minorHAnsi"/>
          <w:sz w:val="22"/>
          <w:szCs w:val="22"/>
          <w:lang w:val="en-US"/>
        </w:rPr>
        <w:t>.</w:t>
      </w:r>
    </w:p>
    <w:p w14:paraId="34474BD1" w14:textId="79699927" w:rsidR="00B254D7" w:rsidRPr="00841766" w:rsidRDefault="00992178" w:rsidP="00552AAD">
      <w:pPr>
        <w:jc w:val="both"/>
        <w:rPr>
          <w:rFonts w:cstheme="minorHAnsi"/>
          <w:sz w:val="22"/>
          <w:szCs w:val="22"/>
          <w:lang w:val="en-US"/>
        </w:rPr>
      </w:pPr>
      <w:r w:rsidRPr="00841766">
        <w:rPr>
          <w:rFonts w:cstheme="minorHAnsi"/>
          <w:sz w:val="22"/>
          <w:szCs w:val="22"/>
          <w:lang w:val="en-US"/>
        </w:rPr>
        <w:t>Furthermore,</w:t>
      </w:r>
      <w:r w:rsidR="00B254D7" w:rsidRPr="00841766">
        <w:rPr>
          <w:rFonts w:cstheme="minorHAnsi"/>
          <w:sz w:val="22"/>
          <w:szCs w:val="22"/>
          <w:lang w:val="en-US"/>
        </w:rPr>
        <w:t xml:space="preserve"> establishing and progressively strengthening systems to mobilize adequate resources for </w:t>
      </w:r>
      <w:r w:rsidR="00025F93" w:rsidRPr="00841766">
        <w:rPr>
          <w:rFonts w:cstheme="minorHAnsi"/>
          <w:sz w:val="22"/>
          <w:szCs w:val="22"/>
          <w:lang w:val="en-US"/>
        </w:rPr>
        <w:t>health and to spend them better</w:t>
      </w:r>
      <w:r w:rsidRPr="00841766">
        <w:rPr>
          <w:rFonts w:cstheme="minorHAnsi"/>
          <w:sz w:val="22"/>
          <w:szCs w:val="22"/>
          <w:lang w:val="en-US"/>
        </w:rPr>
        <w:t xml:space="preserve"> is required </w:t>
      </w:r>
      <w:r w:rsidR="00B254D7" w:rsidRPr="00841766">
        <w:rPr>
          <w:rFonts w:cstheme="minorHAnsi"/>
          <w:sz w:val="22"/>
          <w:szCs w:val="22"/>
          <w:lang w:val="en-US"/>
        </w:rPr>
        <w:t>to deliver more health for the money.</w:t>
      </w:r>
    </w:p>
    <w:p w14:paraId="2E345E1A" w14:textId="77777777" w:rsidR="00B254D7" w:rsidRPr="00841766" w:rsidRDefault="00B254D7" w:rsidP="00552AAD">
      <w:pPr>
        <w:jc w:val="both"/>
        <w:rPr>
          <w:rFonts w:cstheme="minorHAnsi"/>
          <w:sz w:val="22"/>
          <w:szCs w:val="22"/>
          <w:lang w:val="en-US"/>
        </w:rPr>
      </w:pPr>
      <w:r w:rsidRPr="00841766">
        <w:rPr>
          <w:rFonts w:cstheme="minorHAnsi"/>
          <w:sz w:val="22"/>
          <w:szCs w:val="22"/>
          <w:lang w:val="en-US"/>
        </w:rPr>
        <w:t xml:space="preserve">In the context of Timor-Leste, where development assistance is significant, it also involves improving the effectiveness of external funding support. Other sources of revenue (e.g. sin taxes – for tobacco, alcohol, sugary drinks) as development assistance declines need to be explored. </w:t>
      </w:r>
    </w:p>
    <w:p w14:paraId="2A0AE8BC" w14:textId="50154F59" w:rsidR="00B254D7" w:rsidRDefault="00B254D7" w:rsidP="00552AAD">
      <w:pPr>
        <w:jc w:val="both"/>
        <w:rPr>
          <w:rFonts w:cstheme="minorHAnsi"/>
          <w:sz w:val="22"/>
          <w:szCs w:val="22"/>
          <w:lang w:val="en-US"/>
        </w:rPr>
      </w:pPr>
    </w:p>
    <w:p w14:paraId="5C91F022" w14:textId="62B85B23" w:rsidR="00A818CC" w:rsidRPr="00A818CC" w:rsidRDefault="00A818CC" w:rsidP="00552AAD">
      <w:pPr>
        <w:jc w:val="both"/>
        <w:rPr>
          <w:rFonts w:cstheme="minorHAnsi"/>
          <w:b/>
          <w:bCs/>
          <w:lang w:val="en-US"/>
        </w:rPr>
      </w:pPr>
      <w:r w:rsidRPr="00A818CC">
        <w:rPr>
          <w:rFonts w:cstheme="minorHAnsi"/>
          <w:b/>
          <w:bCs/>
          <w:lang w:val="en-US"/>
        </w:rPr>
        <w:t>Contribution to SDGs</w:t>
      </w:r>
    </w:p>
    <w:p w14:paraId="37FF16AA" w14:textId="113F7C9E" w:rsidR="00A818CC" w:rsidRPr="00C1662F" w:rsidRDefault="00A818CC" w:rsidP="00552AAD">
      <w:pPr>
        <w:tabs>
          <w:tab w:val="left" w:pos="284"/>
        </w:tabs>
        <w:autoSpaceDE w:val="0"/>
        <w:autoSpaceDN w:val="0"/>
        <w:adjustRightInd w:val="0"/>
        <w:spacing w:after="120"/>
        <w:jc w:val="both"/>
        <w:rPr>
          <w:rFonts w:cstheme="minorHAnsi"/>
          <w:sz w:val="22"/>
          <w:szCs w:val="22"/>
          <w:lang w:val="en-US"/>
        </w:rPr>
      </w:pPr>
      <w:bookmarkStart w:id="73" w:name="_Toc29540799"/>
      <w:bookmarkStart w:id="74" w:name="_Toc29550731"/>
      <w:bookmarkStart w:id="75" w:name="_Toc29550826"/>
      <w:bookmarkStart w:id="76" w:name="_Toc29900360"/>
      <w:bookmarkStart w:id="77" w:name="_Toc30407943"/>
      <w:bookmarkStart w:id="78" w:name="_Toc31376349"/>
      <w:r w:rsidRPr="00C1662F">
        <w:rPr>
          <w:rFonts w:cstheme="minorHAnsi"/>
          <w:sz w:val="22"/>
          <w:szCs w:val="22"/>
          <w:lang w:val="en-US"/>
        </w:rPr>
        <w:t xml:space="preserve">Outcome 4 will specifically contribute and measure progress towards good health and well-being (SDG 3), gender equality (SDG 5), no poverty (SDG 1) and partnerships for the goals (SDG 17). Focusing on these strategic areas will contribute to positive spillover effects, accelerating progress towards zero hunger (SDG 2) and quality education (SDG 4). </w:t>
      </w:r>
    </w:p>
    <w:p w14:paraId="7F8F2D3D" w14:textId="1F5D4D41" w:rsidR="00B254D7" w:rsidRPr="00242171" w:rsidRDefault="00B254D7" w:rsidP="00552AAD">
      <w:pPr>
        <w:jc w:val="both"/>
        <w:rPr>
          <w:b/>
          <w:bCs/>
          <w:lang w:val="en-US"/>
        </w:rPr>
      </w:pPr>
      <w:r w:rsidRPr="003B5E3F">
        <w:rPr>
          <w:b/>
          <w:bCs/>
          <w:lang w:val="en-US"/>
        </w:rPr>
        <w:t xml:space="preserve">UN Comparative advantages, partnership and South-South or </w:t>
      </w:r>
      <w:r w:rsidR="00552AAD">
        <w:rPr>
          <w:b/>
          <w:bCs/>
          <w:lang w:val="en-US"/>
        </w:rPr>
        <w:t>T</w:t>
      </w:r>
      <w:r w:rsidRPr="003B5E3F">
        <w:rPr>
          <w:b/>
          <w:bCs/>
          <w:lang w:val="en-US"/>
        </w:rPr>
        <w:t>riangular Cooperation</w:t>
      </w:r>
      <w:bookmarkEnd w:id="73"/>
      <w:bookmarkEnd w:id="74"/>
      <w:bookmarkEnd w:id="75"/>
      <w:bookmarkEnd w:id="76"/>
      <w:bookmarkEnd w:id="77"/>
      <w:bookmarkEnd w:id="78"/>
    </w:p>
    <w:p w14:paraId="5FAC2218" w14:textId="0EDA524D" w:rsidR="00623E93" w:rsidRPr="00841766" w:rsidRDefault="00623E93" w:rsidP="00552AAD">
      <w:pPr>
        <w:autoSpaceDE w:val="0"/>
        <w:autoSpaceDN w:val="0"/>
        <w:adjustRightInd w:val="0"/>
        <w:jc w:val="both"/>
        <w:rPr>
          <w:rFonts w:cstheme="minorHAnsi"/>
          <w:sz w:val="22"/>
          <w:szCs w:val="22"/>
          <w:lang w:val="en-US"/>
        </w:rPr>
      </w:pPr>
      <w:r w:rsidRPr="00841766">
        <w:rPr>
          <w:rFonts w:cstheme="minorHAnsi"/>
          <w:sz w:val="22"/>
          <w:szCs w:val="22"/>
          <w:lang w:val="en-US"/>
        </w:rPr>
        <w:t>The UN play</w:t>
      </w:r>
      <w:r w:rsidR="009F5D41">
        <w:rPr>
          <w:rFonts w:cstheme="minorHAnsi"/>
          <w:sz w:val="22"/>
          <w:szCs w:val="22"/>
          <w:lang w:val="en-US"/>
        </w:rPr>
        <w:t>s</w:t>
      </w:r>
      <w:r w:rsidRPr="00841766">
        <w:rPr>
          <w:rFonts w:cstheme="minorHAnsi"/>
          <w:sz w:val="22"/>
          <w:szCs w:val="22"/>
          <w:lang w:val="en-US"/>
        </w:rPr>
        <w:t xml:space="preserve"> an important role by providing technical assistance to the M</w:t>
      </w:r>
      <w:r w:rsidR="009F5D41">
        <w:rPr>
          <w:rFonts w:cstheme="minorHAnsi"/>
          <w:sz w:val="22"/>
          <w:szCs w:val="22"/>
          <w:lang w:val="en-US"/>
        </w:rPr>
        <w:t>inistry  of Health</w:t>
      </w:r>
      <w:r w:rsidRPr="00841766">
        <w:rPr>
          <w:rFonts w:cstheme="minorHAnsi"/>
          <w:sz w:val="22"/>
          <w:szCs w:val="22"/>
          <w:lang w:val="en-US"/>
        </w:rPr>
        <w:t>, setting norms and standards, supporting capacity building interventions and using its convening power to work with other development partners to collaborate in strengthening Primary Health Care</w:t>
      </w:r>
      <w:r w:rsidR="009F5D41">
        <w:rPr>
          <w:rFonts w:cstheme="minorHAnsi"/>
          <w:sz w:val="22"/>
          <w:szCs w:val="22"/>
          <w:lang w:val="en-US"/>
        </w:rPr>
        <w:t xml:space="preserve"> and</w:t>
      </w:r>
      <w:r w:rsidRPr="00841766">
        <w:rPr>
          <w:rFonts w:cstheme="minorHAnsi"/>
          <w:sz w:val="22"/>
          <w:szCs w:val="22"/>
          <w:lang w:val="en-US"/>
        </w:rPr>
        <w:t xml:space="preserve"> determinants of health a</w:t>
      </w:r>
      <w:r w:rsidR="009F5D41">
        <w:rPr>
          <w:rFonts w:cstheme="minorHAnsi"/>
          <w:sz w:val="22"/>
          <w:szCs w:val="22"/>
          <w:lang w:val="en-US"/>
        </w:rPr>
        <w:t xml:space="preserve">s well as </w:t>
      </w:r>
      <w:r w:rsidRPr="00841766">
        <w:rPr>
          <w:rFonts w:cstheme="minorHAnsi"/>
          <w:sz w:val="22"/>
          <w:szCs w:val="22"/>
          <w:lang w:val="en-US"/>
        </w:rPr>
        <w:t xml:space="preserve">building evidence-based health policies and programs </w:t>
      </w:r>
      <w:r w:rsidR="009F5D41">
        <w:rPr>
          <w:rFonts w:cstheme="minorHAnsi"/>
          <w:sz w:val="22"/>
          <w:szCs w:val="22"/>
          <w:lang w:val="en-US"/>
        </w:rPr>
        <w:t xml:space="preserve">to improve </w:t>
      </w:r>
      <w:r w:rsidRPr="00841766">
        <w:rPr>
          <w:rFonts w:cstheme="minorHAnsi"/>
          <w:sz w:val="22"/>
          <w:szCs w:val="22"/>
          <w:lang w:val="en-US"/>
        </w:rPr>
        <w:t>Universal Health Coverage.</w:t>
      </w:r>
      <w:r w:rsidR="00CB1C7C" w:rsidRPr="00841766">
        <w:rPr>
          <w:rFonts w:cstheme="minorHAnsi"/>
          <w:sz w:val="22"/>
          <w:szCs w:val="22"/>
          <w:lang w:val="en-US"/>
        </w:rPr>
        <w:t xml:space="preserve"> </w:t>
      </w:r>
      <w:r w:rsidRPr="00841766">
        <w:rPr>
          <w:rFonts w:cstheme="minorHAnsi"/>
          <w:sz w:val="22"/>
          <w:szCs w:val="22"/>
          <w:lang w:val="en-US"/>
        </w:rPr>
        <w:t xml:space="preserve">Like the existing partnership with Sri Lanka on immunization and with Macau SAR on Quality Improvement, the UN can continue to </w:t>
      </w:r>
      <w:r w:rsidR="00876ADE" w:rsidRPr="00841766">
        <w:rPr>
          <w:rFonts w:cstheme="minorHAnsi"/>
          <w:sz w:val="22"/>
          <w:szCs w:val="22"/>
          <w:lang w:val="en-US"/>
        </w:rPr>
        <w:t>play a catalytic</w:t>
      </w:r>
      <w:r w:rsidRPr="00841766">
        <w:rPr>
          <w:rFonts w:cstheme="minorHAnsi"/>
          <w:sz w:val="22"/>
          <w:szCs w:val="22"/>
          <w:lang w:val="en-US"/>
        </w:rPr>
        <w:t xml:space="preserve"> role in bilateral, South-South or triangular partnership in several areas of health systems strengthening and diseases prevention and control. </w:t>
      </w:r>
    </w:p>
    <w:p w14:paraId="69A4D300" w14:textId="77777777" w:rsidR="00623E93" w:rsidRPr="00841766" w:rsidRDefault="00623E93" w:rsidP="00552AAD">
      <w:pPr>
        <w:autoSpaceDE w:val="0"/>
        <w:autoSpaceDN w:val="0"/>
        <w:adjustRightInd w:val="0"/>
        <w:jc w:val="both"/>
        <w:rPr>
          <w:rFonts w:cstheme="minorHAnsi"/>
          <w:sz w:val="22"/>
          <w:szCs w:val="22"/>
          <w:lang w:val="en-US"/>
        </w:rPr>
      </w:pPr>
    </w:p>
    <w:p w14:paraId="733F907F" w14:textId="1437C26E" w:rsidR="00623E93" w:rsidRPr="00841766" w:rsidRDefault="00623E93" w:rsidP="00552AAD">
      <w:pPr>
        <w:jc w:val="both"/>
        <w:rPr>
          <w:rFonts w:cstheme="minorHAnsi"/>
          <w:sz w:val="22"/>
          <w:szCs w:val="22"/>
          <w:lang w:val="en-US"/>
        </w:rPr>
      </w:pPr>
      <w:r w:rsidRPr="00841766">
        <w:rPr>
          <w:rFonts w:cstheme="minorHAnsi"/>
          <w:sz w:val="22"/>
          <w:szCs w:val="22"/>
          <w:lang w:val="en-US"/>
        </w:rPr>
        <w:t>In the areas of sustainable financing, the UN, together with other partners, can advocate for increased domestic resources for health and PFM strengthening as well as use examples of good practice</w:t>
      </w:r>
      <w:r w:rsidR="00552AAD">
        <w:rPr>
          <w:rFonts w:cstheme="minorHAnsi"/>
          <w:sz w:val="22"/>
          <w:szCs w:val="22"/>
          <w:lang w:val="en-US"/>
        </w:rPr>
        <w:t>s</w:t>
      </w:r>
      <w:r w:rsidRPr="00841766">
        <w:rPr>
          <w:rFonts w:cstheme="minorHAnsi"/>
          <w:sz w:val="22"/>
          <w:szCs w:val="22"/>
          <w:lang w:val="en-US"/>
        </w:rPr>
        <w:t xml:space="preserve"> from </w:t>
      </w:r>
      <w:r w:rsidRPr="00841766">
        <w:rPr>
          <w:rFonts w:cstheme="minorHAnsi"/>
          <w:sz w:val="22"/>
          <w:szCs w:val="22"/>
          <w:lang w:val="en-US"/>
        </w:rPr>
        <w:lastRenderedPageBreak/>
        <w:t>other countries to advocate for sustainable financing options that reduce OOPE for people, especially the poor and marginalized.</w:t>
      </w:r>
    </w:p>
    <w:p w14:paraId="1B18452D" w14:textId="77777777" w:rsidR="00B254D7" w:rsidRPr="00841766" w:rsidRDefault="00B254D7" w:rsidP="004C515B">
      <w:pPr>
        <w:autoSpaceDE w:val="0"/>
        <w:autoSpaceDN w:val="0"/>
        <w:adjustRightInd w:val="0"/>
        <w:rPr>
          <w:rFonts w:cs="Calibri"/>
          <w:sz w:val="22"/>
          <w:szCs w:val="22"/>
          <w:lang w:val="en-US"/>
        </w:rPr>
      </w:pPr>
    </w:p>
    <w:p w14:paraId="05528D49" w14:textId="77777777" w:rsidR="00CB1C7C" w:rsidRPr="00841766" w:rsidRDefault="00CB1C7C" w:rsidP="00552AAD">
      <w:pPr>
        <w:autoSpaceDE w:val="0"/>
        <w:autoSpaceDN w:val="0"/>
        <w:adjustRightInd w:val="0"/>
        <w:jc w:val="both"/>
        <w:rPr>
          <w:rFonts w:cs="Calibri"/>
          <w:sz w:val="22"/>
          <w:szCs w:val="22"/>
          <w:lang w:val="en-US"/>
        </w:rPr>
      </w:pPr>
    </w:p>
    <w:p w14:paraId="02886D3B" w14:textId="2D3A8FCE" w:rsidR="00B254D7" w:rsidRPr="00841766" w:rsidRDefault="00B254D7" w:rsidP="00552AAD">
      <w:pPr>
        <w:pStyle w:val="Heading3"/>
        <w:jc w:val="both"/>
        <w:rPr>
          <w:rFonts w:eastAsia="Times New Roman"/>
          <w:lang w:val="en-US" w:eastAsia="fr-FR"/>
        </w:rPr>
      </w:pPr>
      <w:bookmarkStart w:id="79" w:name="_Toc29550732"/>
      <w:bookmarkStart w:id="80" w:name="_Toc40265802"/>
      <w:r w:rsidRPr="00841766">
        <w:rPr>
          <w:rFonts w:cstheme="minorHAnsi"/>
          <w:lang w:val="en-US"/>
        </w:rPr>
        <w:t>COOPERATION FRAMEWORK OUTCOME 5: A</w:t>
      </w:r>
      <w:r w:rsidRPr="00841766">
        <w:rPr>
          <w:rFonts w:eastAsia="Times New Roman"/>
          <w:lang w:val="en-US" w:eastAsia="fr-FR"/>
        </w:rPr>
        <w:t>ccountable, Inclusive and Participatory Governance and Quality Public Services</w:t>
      </w:r>
      <w:bookmarkEnd w:id="79"/>
      <w:bookmarkEnd w:id="80"/>
    </w:p>
    <w:p w14:paraId="46D31CF1" w14:textId="2B47B3A4" w:rsidR="00B254D7" w:rsidRPr="00841766" w:rsidRDefault="00FF1E51" w:rsidP="00552AAD">
      <w:pPr>
        <w:jc w:val="both"/>
        <w:rPr>
          <w:rFonts w:eastAsia="Times New Roman" w:cs="Calibri"/>
          <w:color w:val="000000"/>
          <w:lang w:val="en-US" w:eastAsia="fr-FR"/>
        </w:rPr>
      </w:pPr>
      <w:r w:rsidRPr="00841766">
        <w:rPr>
          <w:rFonts w:cs="Calibri"/>
          <w:color w:val="000000"/>
          <w:lang w:val="en-US"/>
        </w:rPr>
        <w:t>“</w:t>
      </w:r>
      <w:r w:rsidR="00B254D7" w:rsidRPr="00841766">
        <w:rPr>
          <w:rFonts w:cs="Calibri"/>
          <w:color w:val="000000"/>
          <w:lang w:val="en-US"/>
        </w:rPr>
        <w:t>B</w:t>
      </w:r>
      <w:r w:rsidR="00B254D7" w:rsidRPr="00841766">
        <w:rPr>
          <w:rFonts w:eastAsia="Times New Roman" w:cs="Calibri"/>
          <w:color w:val="000000"/>
          <w:lang w:val="en-US" w:eastAsia="fr-FR"/>
        </w:rPr>
        <w:t>y 2025, the people of Timor-Leste, especially the most excluded are empowered to claim their rights, </w:t>
      </w:r>
      <w:r w:rsidR="00B254D7" w:rsidRPr="00841766">
        <w:rPr>
          <w:rFonts w:eastAsia="Times New Roman" w:cs="Calibri"/>
          <w:iCs/>
          <w:color w:val="000000"/>
          <w:lang w:val="en-US" w:eastAsia="fr-FR"/>
        </w:rPr>
        <w:t>including freedom from violence,</w:t>
      </w:r>
      <w:r w:rsidR="00B254D7" w:rsidRPr="00841766">
        <w:rPr>
          <w:rFonts w:eastAsia="Times New Roman" w:cs="Calibri"/>
          <w:color w:val="000000"/>
          <w:lang w:val="en-US" w:eastAsia="fr-FR"/>
        </w:rPr>
        <w:t> through accessible and accountable and gender responsive governance systems, institutions and services at national and subnational levels</w:t>
      </w:r>
      <w:r w:rsidRPr="00841766">
        <w:rPr>
          <w:rFonts w:eastAsia="Times New Roman" w:cs="Calibri"/>
          <w:color w:val="000000"/>
          <w:lang w:val="en-US" w:eastAsia="fr-FR"/>
        </w:rPr>
        <w:t>”</w:t>
      </w:r>
    </w:p>
    <w:p w14:paraId="2C0A1F59" w14:textId="6E570238" w:rsidR="00B254D7" w:rsidRDefault="00B254D7" w:rsidP="00552AAD">
      <w:pPr>
        <w:autoSpaceDE w:val="0"/>
        <w:autoSpaceDN w:val="0"/>
        <w:adjustRightInd w:val="0"/>
        <w:jc w:val="both"/>
        <w:rPr>
          <w:rFonts w:cs="Times New Roman"/>
          <w:i/>
          <w:color w:val="1F3864" w:themeColor="accent1" w:themeShade="80"/>
          <w:sz w:val="18"/>
          <w:szCs w:val="18"/>
          <w:lang w:val="en-US"/>
        </w:rPr>
      </w:pPr>
    </w:p>
    <w:p w14:paraId="514FBAA1" w14:textId="77777777" w:rsidR="00BE454C" w:rsidRPr="00BE454C" w:rsidRDefault="00BE454C" w:rsidP="00552AAD">
      <w:pPr>
        <w:jc w:val="both"/>
        <w:rPr>
          <w:b/>
          <w:bCs/>
          <w:lang w:val="en-US"/>
        </w:rPr>
      </w:pPr>
      <w:r w:rsidRPr="00BE454C">
        <w:rPr>
          <w:b/>
          <w:bCs/>
          <w:lang w:val="en-US"/>
        </w:rPr>
        <w:t xml:space="preserve">Intended Development Results </w:t>
      </w:r>
    </w:p>
    <w:p w14:paraId="0E8F13C7" w14:textId="1EBAE7F3" w:rsidR="00BE454C" w:rsidRDefault="00BE454C" w:rsidP="00552AAD">
      <w:pPr>
        <w:jc w:val="both"/>
        <w:rPr>
          <w:sz w:val="22"/>
          <w:szCs w:val="22"/>
          <w:lang w:val="en-US"/>
        </w:rPr>
      </w:pPr>
      <w:r w:rsidRPr="00BE454C">
        <w:rPr>
          <w:sz w:val="22"/>
          <w:szCs w:val="22"/>
          <w:lang w:val="en-US"/>
        </w:rPr>
        <w:t xml:space="preserve">To ensure transparent, inclusive, accountable and gender-responsive governance systems focused on people’s rights and needs, the UNSDCF will support the consolidation of public institutions and increasing people’s democratic participation, particularly those excluded or under-represented such as the rural poor, women, children and migrants.  The intended result is not only to give access to the rule of law and public services to all people of Timor-Leste, </w:t>
      </w:r>
      <w:r w:rsidR="002922F0">
        <w:rPr>
          <w:sz w:val="22"/>
          <w:szCs w:val="22"/>
          <w:lang w:val="en-US"/>
        </w:rPr>
        <w:t>however</w:t>
      </w:r>
      <w:r w:rsidRPr="00BE454C">
        <w:rPr>
          <w:sz w:val="22"/>
          <w:szCs w:val="22"/>
          <w:lang w:val="en-US"/>
        </w:rPr>
        <w:t xml:space="preserve"> also to contribute to social cohesion and end violence against women and children. </w:t>
      </w:r>
    </w:p>
    <w:p w14:paraId="04CBDDD9" w14:textId="77777777" w:rsidR="00BE454C" w:rsidRPr="002922F0" w:rsidRDefault="00BE454C" w:rsidP="00552AAD">
      <w:pPr>
        <w:jc w:val="both"/>
        <w:rPr>
          <w:b/>
          <w:bCs/>
          <w:lang w:val="en-US"/>
        </w:rPr>
      </w:pPr>
    </w:p>
    <w:p w14:paraId="775F5996" w14:textId="21F666A0" w:rsidR="009F3ECD" w:rsidRPr="000135BE" w:rsidRDefault="009F3ECD" w:rsidP="00552AAD">
      <w:pPr>
        <w:jc w:val="both"/>
        <w:rPr>
          <w:b/>
          <w:bCs/>
          <w:lang w:val="pt-PT"/>
        </w:rPr>
      </w:pPr>
      <w:r w:rsidRPr="000135BE">
        <w:rPr>
          <w:b/>
          <w:bCs/>
          <w:lang w:val="pt-PT"/>
        </w:rPr>
        <w:t xml:space="preserve">Partners </w:t>
      </w:r>
    </w:p>
    <w:tbl>
      <w:tblPr>
        <w:tblStyle w:val="TableGrid"/>
        <w:tblW w:w="0" w:type="auto"/>
        <w:tblLook w:val="04A0" w:firstRow="1" w:lastRow="0" w:firstColumn="1" w:lastColumn="0" w:noHBand="0" w:noVBand="1"/>
      </w:tblPr>
      <w:tblGrid>
        <w:gridCol w:w="2515"/>
        <w:gridCol w:w="6837"/>
      </w:tblGrid>
      <w:tr w:rsidR="009F3ECD" w14:paraId="1482B34B" w14:textId="77777777" w:rsidTr="00273B6D">
        <w:tc>
          <w:tcPr>
            <w:tcW w:w="2515" w:type="dxa"/>
          </w:tcPr>
          <w:p w14:paraId="1FFCC788" w14:textId="77777777" w:rsidR="009F3ECD" w:rsidRPr="000135BE" w:rsidRDefault="009F3ECD" w:rsidP="004C515B">
            <w:pPr>
              <w:rPr>
                <w:lang w:val="en-US"/>
              </w:rPr>
            </w:pPr>
            <w:r w:rsidRPr="000135BE">
              <w:rPr>
                <w:lang w:val="en-US"/>
              </w:rPr>
              <w:t>Government</w:t>
            </w:r>
          </w:p>
        </w:tc>
        <w:tc>
          <w:tcPr>
            <w:tcW w:w="6837" w:type="dxa"/>
          </w:tcPr>
          <w:p w14:paraId="3F7F5F95" w14:textId="03295D04" w:rsidR="009F3ECD" w:rsidRPr="00A95AC7" w:rsidRDefault="009F3ECD" w:rsidP="004C515B">
            <w:pPr>
              <w:rPr>
                <w:rFonts w:eastAsiaTheme="minorEastAsia" w:hAnsi="Calibri"/>
                <w:color w:val="000000" w:themeColor="text1"/>
                <w:kern w:val="24"/>
                <w:sz w:val="22"/>
                <w:szCs w:val="22"/>
                <w:lang w:val="en-US"/>
              </w:rPr>
            </w:pPr>
            <w:r w:rsidRPr="00841766">
              <w:rPr>
                <w:rFonts w:cstheme="minorHAnsi"/>
                <w:sz w:val="22"/>
                <w:szCs w:val="22"/>
                <w:lang w:val="en-US"/>
              </w:rPr>
              <w:t>Ministry of Interior</w:t>
            </w:r>
            <w:r>
              <w:rPr>
                <w:rFonts w:cstheme="minorHAnsi"/>
                <w:sz w:val="22"/>
                <w:szCs w:val="22"/>
                <w:lang w:val="en-US"/>
              </w:rPr>
              <w:t xml:space="preserve">, </w:t>
            </w:r>
            <w:r w:rsidRPr="00841766">
              <w:rPr>
                <w:rFonts w:cstheme="minorHAnsi"/>
                <w:sz w:val="22"/>
                <w:szCs w:val="22"/>
                <w:lang w:val="en-US"/>
              </w:rPr>
              <w:t>Ministry of Justice</w:t>
            </w:r>
            <w:r>
              <w:rPr>
                <w:rFonts w:cstheme="minorHAnsi"/>
                <w:sz w:val="22"/>
                <w:szCs w:val="22"/>
                <w:lang w:val="en-US"/>
              </w:rPr>
              <w:t xml:space="preserve">, </w:t>
            </w:r>
            <w:r w:rsidRPr="00841766">
              <w:rPr>
                <w:rFonts w:cstheme="minorHAnsi"/>
                <w:sz w:val="22"/>
                <w:szCs w:val="22"/>
                <w:lang w:val="en-US"/>
              </w:rPr>
              <w:t>National Police of Timor-Leste</w:t>
            </w:r>
            <w:r w:rsidR="00CC3522">
              <w:rPr>
                <w:rFonts w:cstheme="minorHAnsi"/>
                <w:sz w:val="22"/>
                <w:szCs w:val="22"/>
                <w:lang w:val="en-US"/>
              </w:rPr>
              <w:t xml:space="preserve">, </w:t>
            </w:r>
            <w:r w:rsidRPr="00841766">
              <w:rPr>
                <w:rFonts w:cstheme="minorHAnsi"/>
                <w:sz w:val="22"/>
                <w:szCs w:val="22"/>
                <w:lang w:val="en-US"/>
              </w:rPr>
              <w:t xml:space="preserve">Office of the </w:t>
            </w:r>
            <w:proofErr w:type="spellStart"/>
            <w:r w:rsidRPr="00841766">
              <w:rPr>
                <w:rFonts w:cstheme="minorHAnsi"/>
                <w:sz w:val="22"/>
                <w:szCs w:val="22"/>
                <w:lang w:val="en-US"/>
              </w:rPr>
              <w:t>Provedor</w:t>
            </w:r>
            <w:proofErr w:type="spellEnd"/>
            <w:r w:rsidRPr="00841766">
              <w:rPr>
                <w:rFonts w:cstheme="minorHAnsi"/>
                <w:sz w:val="22"/>
                <w:szCs w:val="22"/>
                <w:lang w:val="en-US"/>
              </w:rPr>
              <w:t xml:space="preserve"> for Human Rights and Justice</w:t>
            </w:r>
            <w:r>
              <w:rPr>
                <w:rFonts w:cstheme="minorHAnsi"/>
                <w:sz w:val="22"/>
                <w:szCs w:val="22"/>
                <w:lang w:val="en-US"/>
              </w:rPr>
              <w:t xml:space="preserve">, </w:t>
            </w:r>
            <w:r w:rsidR="0076205F">
              <w:rPr>
                <w:rFonts w:cstheme="minorHAnsi"/>
                <w:sz w:val="22"/>
                <w:szCs w:val="22"/>
                <w:lang w:val="en-US"/>
              </w:rPr>
              <w:t xml:space="preserve">Office of the Prime Minister, </w:t>
            </w:r>
            <w:r w:rsidRPr="00841766">
              <w:rPr>
                <w:rFonts w:cstheme="minorHAnsi"/>
                <w:sz w:val="22"/>
                <w:szCs w:val="22"/>
                <w:lang w:val="en-US"/>
              </w:rPr>
              <w:t>National Parliament</w:t>
            </w:r>
            <w:r w:rsidR="00CC3522">
              <w:rPr>
                <w:rFonts w:cstheme="minorHAnsi"/>
                <w:sz w:val="22"/>
                <w:szCs w:val="22"/>
                <w:lang w:val="en-US"/>
              </w:rPr>
              <w:t xml:space="preserve">, </w:t>
            </w:r>
            <w:r w:rsidRPr="00841766">
              <w:rPr>
                <w:rFonts w:cstheme="minorHAnsi"/>
                <w:sz w:val="22"/>
                <w:szCs w:val="22"/>
                <w:lang w:val="en-US"/>
              </w:rPr>
              <w:t>Secretary of State for Equality and Inclusion</w:t>
            </w:r>
            <w:r>
              <w:rPr>
                <w:rFonts w:cstheme="minorHAnsi"/>
                <w:sz w:val="22"/>
                <w:szCs w:val="22"/>
                <w:lang w:val="en-US"/>
              </w:rPr>
              <w:t xml:space="preserve">, </w:t>
            </w:r>
            <w:r w:rsidR="00D96039">
              <w:rPr>
                <w:rFonts w:cstheme="minorHAnsi"/>
                <w:sz w:val="22"/>
                <w:szCs w:val="22"/>
                <w:lang w:val="en-US"/>
              </w:rPr>
              <w:t xml:space="preserve">Ministry of Social Solidarity, </w:t>
            </w:r>
            <w:r w:rsidRPr="00841766">
              <w:rPr>
                <w:rFonts w:cstheme="minorHAnsi"/>
                <w:sz w:val="22"/>
                <w:szCs w:val="22"/>
                <w:lang w:val="en-US"/>
              </w:rPr>
              <w:t>Ministry of Foreign Affairs</w:t>
            </w:r>
            <w:r w:rsidR="00CC3522">
              <w:rPr>
                <w:rFonts w:cstheme="minorHAnsi"/>
                <w:sz w:val="22"/>
                <w:szCs w:val="22"/>
                <w:lang w:val="en-US"/>
              </w:rPr>
              <w:t xml:space="preserve">, Ministry of Finance, </w:t>
            </w:r>
            <w:r w:rsidRPr="00841766">
              <w:rPr>
                <w:rFonts w:cstheme="minorHAnsi"/>
                <w:sz w:val="22"/>
                <w:szCs w:val="22"/>
                <w:lang w:val="en-US"/>
              </w:rPr>
              <w:t>Ministry of State Administration</w:t>
            </w:r>
            <w:r>
              <w:rPr>
                <w:rFonts w:cstheme="minorHAnsi"/>
                <w:sz w:val="22"/>
                <w:szCs w:val="22"/>
                <w:lang w:val="en-US"/>
              </w:rPr>
              <w:t xml:space="preserve">, </w:t>
            </w:r>
            <w:r w:rsidRPr="00841766">
              <w:rPr>
                <w:rFonts w:cstheme="minorHAnsi"/>
                <w:sz w:val="22"/>
                <w:szCs w:val="22"/>
                <w:lang w:val="en-US"/>
              </w:rPr>
              <w:t>Civil service Commission</w:t>
            </w:r>
            <w:r>
              <w:rPr>
                <w:rFonts w:cstheme="minorHAnsi"/>
                <w:sz w:val="22"/>
                <w:szCs w:val="22"/>
                <w:lang w:val="en-US"/>
              </w:rPr>
              <w:t xml:space="preserve">, </w:t>
            </w:r>
            <w:r w:rsidRPr="00841766">
              <w:rPr>
                <w:rFonts w:cstheme="minorHAnsi"/>
                <w:sz w:val="22"/>
                <w:szCs w:val="22"/>
                <w:lang w:val="en-US"/>
              </w:rPr>
              <w:t>Anti-Corruption Commission</w:t>
            </w:r>
            <w:r w:rsidR="00024FF9">
              <w:rPr>
                <w:rFonts w:cstheme="minorHAnsi"/>
                <w:sz w:val="22"/>
                <w:szCs w:val="22"/>
                <w:lang w:val="en-US"/>
              </w:rPr>
              <w:t xml:space="preserve">, Secretary State for Youth and Sports, </w:t>
            </w:r>
            <w:r w:rsidR="004B26CB">
              <w:rPr>
                <w:rFonts w:cstheme="minorHAnsi"/>
                <w:sz w:val="22"/>
                <w:szCs w:val="22"/>
                <w:lang w:val="en-US"/>
              </w:rPr>
              <w:t>M</w:t>
            </w:r>
            <w:r w:rsidR="00024FF9">
              <w:rPr>
                <w:rFonts w:cstheme="minorHAnsi"/>
                <w:sz w:val="22"/>
                <w:szCs w:val="22"/>
                <w:lang w:val="en-US"/>
              </w:rPr>
              <w:t>inistry of Education</w:t>
            </w:r>
          </w:p>
        </w:tc>
      </w:tr>
      <w:tr w:rsidR="009F3ECD" w14:paraId="39A226BB" w14:textId="77777777" w:rsidTr="00273B6D">
        <w:tc>
          <w:tcPr>
            <w:tcW w:w="2515" w:type="dxa"/>
          </w:tcPr>
          <w:p w14:paraId="752507C1" w14:textId="77777777" w:rsidR="009F3ECD" w:rsidRPr="000135BE" w:rsidRDefault="009F3ECD" w:rsidP="004C515B">
            <w:pPr>
              <w:rPr>
                <w:lang w:val="en-US"/>
              </w:rPr>
            </w:pPr>
            <w:r w:rsidRPr="000135BE">
              <w:rPr>
                <w:lang w:val="en-US"/>
              </w:rPr>
              <w:t>UN</w:t>
            </w:r>
          </w:p>
        </w:tc>
        <w:tc>
          <w:tcPr>
            <w:tcW w:w="6837" w:type="dxa"/>
          </w:tcPr>
          <w:p w14:paraId="28A76A34" w14:textId="2C9F20CC" w:rsidR="009F3ECD" w:rsidRPr="00A95AC7" w:rsidRDefault="009F3ECD" w:rsidP="004C515B">
            <w:pPr>
              <w:rPr>
                <w:rFonts w:eastAsiaTheme="minorEastAsia" w:hAnsi="Calibri"/>
                <w:color w:val="000000" w:themeColor="text1"/>
                <w:kern w:val="24"/>
                <w:sz w:val="22"/>
                <w:szCs w:val="22"/>
                <w:lang w:val="en-US"/>
              </w:rPr>
            </w:pPr>
            <w:r>
              <w:rPr>
                <w:rFonts w:cstheme="minorHAnsi"/>
                <w:sz w:val="22"/>
                <w:szCs w:val="22"/>
                <w:lang w:val="en-US"/>
              </w:rPr>
              <w:t xml:space="preserve">HRAU, </w:t>
            </w:r>
            <w:r w:rsidRPr="00841766">
              <w:rPr>
                <w:rFonts w:cstheme="minorHAnsi"/>
                <w:sz w:val="22"/>
                <w:szCs w:val="22"/>
                <w:lang w:val="en-US"/>
              </w:rPr>
              <w:t>ILO, IOM</w:t>
            </w:r>
            <w:r>
              <w:rPr>
                <w:rFonts w:cstheme="minorHAnsi"/>
                <w:sz w:val="22"/>
                <w:szCs w:val="22"/>
                <w:lang w:val="en-US"/>
              </w:rPr>
              <w:t xml:space="preserve">, UNDP, </w:t>
            </w:r>
            <w:r w:rsidRPr="00841766">
              <w:rPr>
                <w:rFonts w:cstheme="minorHAnsi"/>
                <w:sz w:val="22"/>
                <w:szCs w:val="22"/>
                <w:lang w:val="en-US"/>
              </w:rPr>
              <w:t>UNESCO</w:t>
            </w:r>
            <w:r>
              <w:rPr>
                <w:rFonts w:cstheme="minorHAnsi"/>
                <w:sz w:val="22"/>
                <w:szCs w:val="22"/>
                <w:lang w:val="en-US"/>
              </w:rPr>
              <w:t xml:space="preserve">, UNICEF, </w:t>
            </w:r>
            <w:r w:rsidRPr="00841766">
              <w:rPr>
                <w:rFonts w:cstheme="minorHAnsi"/>
                <w:sz w:val="22"/>
                <w:szCs w:val="22"/>
                <w:lang w:val="en-US"/>
              </w:rPr>
              <w:t>UN Women</w:t>
            </w:r>
            <w:r w:rsidR="00CC3522">
              <w:rPr>
                <w:rFonts w:cstheme="minorHAnsi"/>
                <w:sz w:val="22"/>
                <w:szCs w:val="22"/>
                <w:lang w:val="en-US"/>
              </w:rPr>
              <w:t>, WHO</w:t>
            </w:r>
            <w:r w:rsidRPr="00841766">
              <w:rPr>
                <w:rFonts w:cstheme="minorHAnsi"/>
                <w:sz w:val="22"/>
                <w:szCs w:val="22"/>
                <w:lang w:val="en-US"/>
              </w:rPr>
              <w:t xml:space="preserve"> </w:t>
            </w:r>
            <w:r>
              <w:rPr>
                <w:rFonts w:cstheme="minorHAnsi"/>
                <w:sz w:val="22"/>
                <w:szCs w:val="22"/>
                <w:lang w:val="en-US"/>
              </w:rPr>
              <w:t xml:space="preserve"> </w:t>
            </w:r>
          </w:p>
        </w:tc>
      </w:tr>
      <w:tr w:rsidR="009F3ECD" w14:paraId="1B052421" w14:textId="77777777" w:rsidTr="00273B6D">
        <w:tc>
          <w:tcPr>
            <w:tcW w:w="2515" w:type="dxa"/>
          </w:tcPr>
          <w:p w14:paraId="1CB4A59C" w14:textId="77777777" w:rsidR="009F3ECD" w:rsidRPr="000135BE" w:rsidRDefault="009F3ECD" w:rsidP="004C515B">
            <w:pPr>
              <w:rPr>
                <w:lang w:val="en-US"/>
              </w:rPr>
            </w:pPr>
            <w:r w:rsidRPr="000135BE">
              <w:rPr>
                <w:lang w:val="en-US"/>
              </w:rPr>
              <w:t>Other</w:t>
            </w:r>
          </w:p>
        </w:tc>
        <w:tc>
          <w:tcPr>
            <w:tcW w:w="6837" w:type="dxa"/>
          </w:tcPr>
          <w:p w14:paraId="282B2A5E" w14:textId="375F60CF" w:rsidR="009F3ECD" w:rsidRPr="0076205F" w:rsidRDefault="0076205F" w:rsidP="004C515B">
            <w:pPr>
              <w:rPr>
                <w:rFonts w:cstheme="minorHAnsi"/>
                <w:sz w:val="22"/>
                <w:szCs w:val="22"/>
                <w:lang w:val="en-US"/>
              </w:rPr>
            </w:pPr>
            <w:r w:rsidRPr="00841766">
              <w:rPr>
                <w:rFonts w:cstheme="minorHAnsi"/>
                <w:sz w:val="22"/>
                <w:szCs w:val="22"/>
                <w:lang w:val="en-US"/>
              </w:rPr>
              <w:t>Civil society organizations</w:t>
            </w:r>
            <w:r w:rsidR="002B3603">
              <w:rPr>
                <w:rFonts w:cstheme="minorHAnsi"/>
                <w:sz w:val="22"/>
                <w:szCs w:val="22"/>
                <w:lang w:val="en-US"/>
              </w:rPr>
              <w:t xml:space="preserve">, </w:t>
            </w:r>
            <w:r w:rsidR="00024FF9" w:rsidRPr="00841766">
              <w:rPr>
                <w:rFonts w:cstheme="minorHAnsi"/>
                <w:sz w:val="22"/>
                <w:szCs w:val="22"/>
                <w:lang w:val="en-US"/>
              </w:rPr>
              <w:t xml:space="preserve">Rede </w:t>
            </w:r>
            <w:proofErr w:type="spellStart"/>
            <w:r w:rsidR="00024FF9" w:rsidRPr="00841766">
              <w:rPr>
                <w:rFonts w:cstheme="minorHAnsi"/>
                <w:sz w:val="22"/>
                <w:szCs w:val="22"/>
                <w:lang w:val="en-US"/>
              </w:rPr>
              <w:t>Feto</w:t>
            </w:r>
            <w:proofErr w:type="spellEnd"/>
            <w:r w:rsidR="00024FF9" w:rsidRPr="00841766">
              <w:rPr>
                <w:rFonts w:cstheme="minorHAnsi"/>
                <w:sz w:val="22"/>
                <w:szCs w:val="22"/>
                <w:lang w:val="en-US"/>
              </w:rPr>
              <w:t xml:space="preserve">, </w:t>
            </w:r>
            <w:proofErr w:type="spellStart"/>
            <w:r w:rsidR="00024FF9" w:rsidRPr="00841766">
              <w:rPr>
                <w:rFonts w:cstheme="minorHAnsi"/>
                <w:sz w:val="22"/>
                <w:szCs w:val="22"/>
                <w:lang w:val="en-US"/>
              </w:rPr>
              <w:t>Alfela</w:t>
            </w:r>
            <w:proofErr w:type="spellEnd"/>
            <w:r w:rsidR="00024FF9" w:rsidRPr="00841766">
              <w:rPr>
                <w:rFonts w:cstheme="minorHAnsi"/>
                <w:sz w:val="22"/>
                <w:szCs w:val="22"/>
                <w:lang w:val="en-US"/>
              </w:rPr>
              <w:t xml:space="preserve">, </w:t>
            </w:r>
            <w:proofErr w:type="spellStart"/>
            <w:r w:rsidR="00024FF9" w:rsidRPr="00841766">
              <w:rPr>
                <w:rFonts w:cstheme="minorHAnsi"/>
                <w:sz w:val="22"/>
                <w:szCs w:val="22"/>
                <w:lang w:val="en-US"/>
              </w:rPr>
              <w:t>Alola</w:t>
            </w:r>
            <w:proofErr w:type="spellEnd"/>
            <w:r w:rsidR="00024FF9" w:rsidRPr="00841766">
              <w:rPr>
                <w:rFonts w:cstheme="minorHAnsi"/>
                <w:sz w:val="22"/>
                <w:szCs w:val="22"/>
                <w:lang w:val="en-US"/>
              </w:rPr>
              <w:t xml:space="preserve"> Foundation, </w:t>
            </w:r>
            <w:proofErr w:type="spellStart"/>
            <w:r w:rsidR="00024FF9" w:rsidRPr="00841766">
              <w:rPr>
                <w:rFonts w:cstheme="minorHAnsi"/>
                <w:sz w:val="22"/>
                <w:szCs w:val="22"/>
                <w:lang w:val="en-US"/>
              </w:rPr>
              <w:t>Fokupers</w:t>
            </w:r>
            <w:proofErr w:type="spellEnd"/>
            <w:r w:rsidR="00024FF9" w:rsidRPr="00841766">
              <w:rPr>
                <w:rFonts w:cstheme="minorHAnsi"/>
                <w:sz w:val="22"/>
                <w:szCs w:val="22"/>
                <w:lang w:val="en-US"/>
              </w:rPr>
              <w:t xml:space="preserve">, </w:t>
            </w:r>
            <w:proofErr w:type="spellStart"/>
            <w:r w:rsidR="00024FF9" w:rsidRPr="00841766">
              <w:rPr>
                <w:rFonts w:cstheme="minorHAnsi"/>
                <w:sz w:val="22"/>
                <w:szCs w:val="22"/>
                <w:lang w:val="en-US"/>
              </w:rPr>
              <w:t>Pradet</w:t>
            </w:r>
            <w:proofErr w:type="spellEnd"/>
            <w:r w:rsidR="00024FF9" w:rsidRPr="00841766">
              <w:rPr>
                <w:rFonts w:cstheme="minorHAnsi"/>
                <w:sz w:val="22"/>
                <w:szCs w:val="22"/>
                <w:lang w:val="en-US"/>
              </w:rPr>
              <w:t>, Casa Vida, etc.</w:t>
            </w:r>
          </w:p>
        </w:tc>
      </w:tr>
    </w:tbl>
    <w:p w14:paraId="1AFD02C1" w14:textId="77777777" w:rsidR="009F3ECD" w:rsidRPr="00841766" w:rsidRDefault="009F3ECD" w:rsidP="004C515B">
      <w:pPr>
        <w:autoSpaceDE w:val="0"/>
        <w:autoSpaceDN w:val="0"/>
        <w:adjustRightInd w:val="0"/>
        <w:rPr>
          <w:rFonts w:cs="Times New Roman"/>
          <w:i/>
          <w:color w:val="1F3864" w:themeColor="accent1" w:themeShade="80"/>
          <w:sz w:val="18"/>
          <w:szCs w:val="18"/>
          <w:lang w:val="en-US"/>
        </w:rPr>
      </w:pPr>
    </w:p>
    <w:p w14:paraId="1B6162FD" w14:textId="77777777" w:rsidR="00B254D7" w:rsidRPr="000135BE" w:rsidRDefault="00B254D7" w:rsidP="004C515B">
      <w:pPr>
        <w:rPr>
          <w:rFonts w:eastAsia="Times New Roman" w:cs="Times New Roman"/>
          <w:b/>
          <w:bCs/>
          <w:lang w:val="en-US" w:eastAsia="fr-FR"/>
        </w:rPr>
      </w:pPr>
      <w:bookmarkStart w:id="81" w:name="_Toc29540800"/>
      <w:bookmarkStart w:id="82" w:name="_Toc29550733"/>
      <w:bookmarkStart w:id="83" w:name="_Toc29550828"/>
      <w:bookmarkStart w:id="84" w:name="_Toc29900362"/>
      <w:bookmarkStart w:id="85" w:name="_Toc30407945"/>
      <w:bookmarkStart w:id="86" w:name="_Toc31376351"/>
      <w:r w:rsidRPr="000135BE">
        <w:rPr>
          <w:b/>
          <w:bCs/>
          <w:lang w:val="en-US"/>
        </w:rPr>
        <w:t>Theory of change underpinning outcome 5:</w:t>
      </w:r>
      <w:bookmarkEnd w:id="81"/>
      <w:bookmarkEnd w:id="82"/>
      <w:bookmarkEnd w:id="83"/>
      <w:bookmarkEnd w:id="84"/>
      <w:bookmarkEnd w:id="85"/>
      <w:bookmarkEnd w:id="86"/>
    </w:p>
    <w:p w14:paraId="5F4B455D" w14:textId="77777777" w:rsidR="00AF75F9" w:rsidRPr="00841766" w:rsidRDefault="00AF75F9" w:rsidP="004C515B">
      <w:pPr>
        <w:rPr>
          <w:b/>
          <w:lang w:val="en-US"/>
        </w:rPr>
      </w:pPr>
    </w:p>
    <w:p w14:paraId="65B0F153" w14:textId="0A3B8BE7" w:rsidR="00AF75F9" w:rsidRPr="00841766" w:rsidRDefault="00AF75F9" w:rsidP="004C515B">
      <w:pPr>
        <w:rPr>
          <w:b/>
          <w:lang w:val="en-US"/>
        </w:rPr>
      </w:pPr>
    </w:p>
    <w:p w14:paraId="5026F69C" w14:textId="167C9F99" w:rsidR="00AF75F9" w:rsidRPr="00841766" w:rsidRDefault="00AF75F9" w:rsidP="004C515B">
      <w:pPr>
        <w:rPr>
          <w:rFonts w:eastAsia="Times New Roman" w:cs="Times New Roman"/>
          <w:lang w:val="en-US" w:eastAsia="fr-FR"/>
        </w:rPr>
      </w:pPr>
    </w:p>
    <w:p w14:paraId="01CFA960" w14:textId="2B1BCE7E" w:rsidR="00AF75F9" w:rsidRPr="00841766" w:rsidRDefault="00024FF9" w:rsidP="004C515B">
      <w:pPr>
        <w:autoSpaceDE w:val="0"/>
        <w:autoSpaceDN w:val="0"/>
        <w:adjustRightInd w:val="0"/>
        <w:rPr>
          <w:rFonts w:cs="Times New Roman"/>
          <w:sz w:val="22"/>
          <w:szCs w:val="22"/>
          <w:lang w:val="en-US"/>
        </w:rPr>
      </w:pPr>
      <w:r w:rsidRPr="00841766">
        <w:rPr>
          <w:b/>
          <w:noProof/>
          <w:lang w:val="en-US"/>
        </w:rPr>
        <w:lastRenderedPageBreak/>
        <mc:AlternateContent>
          <mc:Choice Requires="wps">
            <w:drawing>
              <wp:anchor distT="0" distB="0" distL="114300" distR="114300" simplePos="0" relativeHeight="251680768" behindDoc="1" locked="0" layoutInCell="1" allowOverlap="1" wp14:anchorId="64CD736A" wp14:editId="1B789CF8">
                <wp:simplePos x="0" y="0"/>
                <wp:positionH relativeFrom="column">
                  <wp:posOffset>611643</wp:posOffset>
                </wp:positionH>
                <wp:positionV relativeFrom="paragraph">
                  <wp:posOffset>-175095</wp:posOffset>
                </wp:positionV>
                <wp:extent cx="4204335" cy="3821430"/>
                <wp:effectExtent l="0" t="0" r="24765" b="26670"/>
                <wp:wrapNone/>
                <wp:docPr id="21" name="Ellipse 21"/>
                <wp:cNvGraphicFramePr/>
                <a:graphic xmlns:a="http://schemas.openxmlformats.org/drawingml/2006/main">
                  <a:graphicData uri="http://schemas.microsoft.com/office/word/2010/wordprocessingShape">
                    <wps:wsp>
                      <wps:cNvSpPr/>
                      <wps:spPr>
                        <a:xfrm>
                          <a:off x="0" y="0"/>
                          <a:ext cx="4204335" cy="3821430"/>
                        </a:xfrm>
                        <a:prstGeom prst="ellipse">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285AD" w14:textId="77777777" w:rsidR="006C70F3" w:rsidRDefault="006C70F3" w:rsidP="00024FF9">
                            <w:pPr>
                              <w:jc w:val="center"/>
                              <w:rPr>
                                <w:b/>
                                <w:color w:val="FFFFFF" w:themeColor="background1"/>
                                <w:sz w:val="32"/>
                                <w:lang w:val="en-US"/>
                              </w:rPr>
                            </w:pPr>
                          </w:p>
                          <w:p w14:paraId="6B5EFCDC" w14:textId="77777777" w:rsidR="006C70F3" w:rsidRDefault="006C70F3" w:rsidP="00024FF9">
                            <w:pPr>
                              <w:jc w:val="center"/>
                              <w:rPr>
                                <w:b/>
                                <w:color w:val="FFFFFF" w:themeColor="background1"/>
                                <w:sz w:val="32"/>
                                <w:lang w:val="en-US"/>
                              </w:rPr>
                            </w:pPr>
                          </w:p>
                          <w:p w14:paraId="36177AE9" w14:textId="77777777" w:rsidR="006C70F3" w:rsidRDefault="006C70F3" w:rsidP="00024FF9">
                            <w:pPr>
                              <w:jc w:val="center"/>
                              <w:rPr>
                                <w:b/>
                                <w:color w:val="FFFFFF" w:themeColor="background1"/>
                                <w:sz w:val="32"/>
                                <w:lang w:val="en-US"/>
                              </w:rPr>
                            </w:pPr>
                          </w:p>
                          <w:p w14:paraId="3DD30134" w14:textId="77777777" w:rsidR="006C70F3" w:rsidRDefault="006C70F3" w:rsidP="00024FF9">
                            <w:pPr>
                              <w:jc w:val="center"/>
                              <w:rPr>
                                <w:b/>
                                <w:color w:val="FFFFFF" w:themeColor="background1"/>
                                <w:sz w:val="32"/>
                                <w:lang w:val="en-US"/>
                              </w:rPr>
                            </w:pPr>
                          </w:p>
                          <w:p w14:paraId="62E20972" w14:textId="77777777" w:rsidR="006C70F3" w:rsidRDefault="006C70F3" w:rsidP="00024FF9">
                            <w:pPr>
                              <w:jc w:val="right"/>
                              <w:rPr>
                                <w:b/>
                                <w:color w:val="FFFFFF" w:themeColor="background1"/>
                                <w:sz w:val="32"/>
                                <w:lang w:val="en-US"/>
                              </w:rPr>
                            </w:pPr>
                          </w:p>
                          <w:p w14:paraId="1491474A" w14:textId="77777777" w:rsidR="006C70F3" w:rsidRDefault="006C70F3" w:rsidP="00024FF9">
                            <w:pPr>
                              <w:jc w:val="right"/>
                              <w:rPr>
                                <w:b/>
                                <w:color w:val="FFFFFF" w:themeColor="background1"/>
                                <w:sz w:val="32"/>
                                <w:lang w:val="en-US"/>
                              </w:rPr>
                            </w:pPr>
                          </w:p>
                          <w:p w14:paraId="24689270" w14:textId="77777777" w:rsidR="006C70F3" w:rsidRDefault="006C70F3" w:rsidP="00024FF9">
                            <w:pPr>
                              <w:jc w:val="right"/>
                              <w:rPr>
                                <w:b/>
                                <w:color w:val="FFFFFF" w:themeColor="background1"/>
                                <w:sz w:val="32"/>
                                <w:lang w:val="en-US"/>
                              </w:rPr>
                            </w:pPr>
                          </w:p>
                          <w:p w14:paraId="5AC6A123" w14:textId="77777777" w:rsidR="006C70F3" w:rsidRDefault="006C70F3" w:rsidP="00024FF9">
                            <w:pPr>
                              <w:jc w:val="right"/>
                              <w:rPr>
                                <w:b/>
                                <w:color w:val="FFFFFF" w:themeColor="background1"/>
                                <w:sz w:val="32"/>
                                <w:lang w:val="en-US"/>
                              </w:rPr>
                            </w:pPr>
                          </w:p>
                          <w:p w14:paraId="11209C60" w14:textId="77777777" w:rsidR="006C70F3" w:rsidRPr="00A94A11" w:rsidRDefault="006C70F3" w:rsidP="00024FF9">
                            <w:pPr>
                              <w:jc w:val="center"/>
                              <w:rPr>
                                <w:b/>
                                <w:color w:val="FFFFFF" w:themeColor="background1"/>
                                <w:sz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D736A" id="Ellipse 21" o:spid="_x0000_s1035" style="position:absolute;margin-left:48.15pt;margin-top:-13.8pt;width:331.05pt;height:300.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" fillcolor="#f4b083 [1941]" strokecolor="black [3213]" strokeweight="1pt">
                <v:stroke joinstyle="miter"/>
                <v:textbox>
                  <w:txbxContent>
                    <w:p w14:paraId="14D285AD" w14:textId="77777777" w:rsidR="006C70F3" w:rsidRDefault="006C70F3" w:rsidP="00024FF9">
                      <w:pPr>
                        <w:jc w:val="center"/>
                        <w:rPr>
                          <w:b/>
                          <w:color w:val="FFFFFF" w:themeColor="background1"/>
                          <w:sz w:val="32"/>
                          <w:lang w:val="en-US"/>
                        </w:rPr>
                      </w:pPr>
                    </w:p>
                    <w:p w14:paraId="6B5EFCDC" w14:textId="77777777" w:rsidR="006C70F3" w:rsidRDefault="006C70F3" w:rsidP="00024FF9">
                      <w:pPr>
                        <w:jc w:val="center"/>
                        <w:rPr>
                          <w:b/>
                          <w:color w:val="FFFFFF" w:themeColor="background1"/>
                          <w:sz w:val="32"/>
                          <w:lang w:val="en-US"/>
                        </w:rPr>
                      </w:pPr>
                    </w:p>
                    <w:p w14:paraId="36177AE9" w14:textId="77777777" w:rsidR="006C70F3" w:rsidRDefault="006C70F3" w:rsidP="00024FF9">
                      <w:pPr>
                        <w:jc w:val="center"/>
                        <w:rPr>
                          <w:b/>
                          <w:color w:val="FFFFFF" w:themeColor="background1"/>
                          <w:sz w:val="32"/>
                          <w:lang w:val="en-US"/>
                        </w:rPr>
                      </w:pPr>
                    </w:p>
                    <w:p w14:paraId="3DD30134" w14:textId="77777777" w:rsidR="006C70F3" w:rsidRDefault="006C70F3" w:rsidP="00024FF9">
                      <w:pPr>
                        <w:jc w:val="center"/>
                        <w:rPr>
                          <w:b/>
                          <w:color w:val="FFFFFF" w:themeColor="background1"/>
                          <w:sz w:val="32"/>
                          <w:lang w:val="en-US"/>
                        </w:rPr>
                      </w:pPr>
                    </w:p>
                    <w:p w14:paraId="62E20972" w14:textId="77777777" w:rsidR="006C70F3" w:rsidRDefault="006C70F3" w:rsidP="00024FF9">
                      <w:pPr>
                        <w:jc w:val="right"/>
                        <w:rPr>
                          <w:b/>
                          <w:color w:val="FFFFFF" w:themeColor="background1"/>
                          <w:sz w:val="32"/>
                          <w:lang w:val="en-US"/>
                        </w:rPr>
                      </w:pPr>
                    </w:p>
                    <w:p w14:paraId="1491474A" w14:textId="77777777" w:rsidR="006C70F3" w:rsidRDefault="006C70F3" w:rsidP="00024FF9">
                      <w:pPr>
                        <w:jc w:val="right"/>
                        <w:rPr>
                          <w:b/>
                          <w:color w:val="FFFFFF" w:themeColor="background1"/>
                          <w:sz w:val="32"/>
                          <w:lang w:val="en-US"/>
                        </w:rPr>
                      </w:pPr>
                    </w:p>
                    <w:p w14:paraId="24689270" w14:textId="77777777" w:rsidR="006C70F3" w:rsidRDefault="006C70F3" w:rsidP="00024FF9">
                      <w:pPr>
                        <w:jc w:val="right"/>
                        <w:rPr>
                          <w:b/>
                          <w:color w:val="FFFFFF" w:themeColor="background1"/>
                          <w:sz w:val="32"/>
                          <w:lang w:val="en-US"/>
                        </w:rPr>
                      </w:pPr>
                    </w:p>
                    <w:p w14:paraId="5AC6A123" w14:textId="77777777" w:rsidR="006C70F3" w:rsidRDefault="006C70F3" w:rsidP="00024FF9">
                      <w:pPr>
                        <w:jc w:val="right"/>
                        <w:rPr>
                          <w:b/>
                          <w:color w:val="FFFFFF" w:themeColor="background1"/>
                          <w:sz w:val="32"/>
                          <w:lang w:val="en-US"/>
                        </w:rPr>
                      </w:pPr>
                    </w:p>
                    <w:p w14:paraId="11209C60" w14:textId="77777777" w:rsidR="006C70F3" w:rsidRPr="00A94A11" w:rsidRDefault="006C70F3" w:rsidP="00024FF9">
                      <w:pPr>
                        <w:jc w:val="center"/>
                        <w:rPr>
                          <w:b/>
                          <w:color w:val="FFFFFF" w:themeColor="background1"/>
                          <w:sz w:val="32"/>
                          <w:lang w:val="en-US"/>
                        </w:rPr>
                      </w:pPr>
                    </w:p>
                  </w:txbxContent>
                </v:textbox>
              </v:oval>
            </w:pict>
          </mc:Fallback>
        </mc:AlternateContent>
      </w:r>
      <w:r w:rsidR="00AF75F9" w:rsidRPr="00841766">
        <w:rPr>
          <w:rFonts w:cs="Times New Roman"/>
          <w:i/>
          <w:noProof/>
          <w:color w:val="1F3864" w:themeColor="accent1" w:themeShade="80"/>
          <w:sz w:val="18"/>
          <w:szCs w:val="18"/>
          <w:lang w:val="en-US"/>
        </w:rPr>
        <mc:AlternateContent>
          <mc:Choice Requires="wps">
            <w:drawing>
              <wp:anchor distT="0" distB="0" distL="114300" distR="114300" simplePos="0" relativeHeight="251674624" behindDoc="0" locked="0" layoutInCell="1" allowOverlap="1" wp14:anchorId="4C6D22C9" wp14:editId="64CFD95C">
                <wp:simplePos x="0" y="0"/>
                <wp:positionH relativeFrom="column">
                  <wp:posOffset>3844143</wp:posOffset>
                </wp:positionH>
                <wp:positionV relativeFrom="paragraph">
                  <wp:posOffset>2328740</wp:posOffset>
                </wp:positionV>
                <wp:extent cx="2368062" cy="1016000"/>
                <wp:effectExtent l="12700" t="12700" r="6985" b="12700"/>
                <wp:wrapNone/>
                <wp:docPr id="22" name="Zone de texte 22"/>
                <wp:cNvGraphicFramePr/>
                <a:graphic xmlns:a="http://schemas.openxmlformats.org/drawingml/2006/main">
                  <a:graphicData uri="http://schemas.microsoft.com/office/word/2010/wordprocessingShape">
                    <wps:wsp>
                      <wps:cNvSpPr txBox="1"/>
                      <wps:spPr>
                        <a:xfrm>
                          <a:off x="0" y="0"/>
                          <a:ext cx="2368062" cy="1016000"/>
                        </a:xfrm>
                        <a:prstGeom prst="rect">
                          <a:avLst/>
                        </a:prstGeom>
                        <a:solidFill>
                          <a:schemeClr val="accent2">
                            <a:lumMod val="60000"/>
                            <a:lumOff val="40000"/>
                          </a:schemeClr>
                        </a:solidFill>
                        <a:ln w="19050">
                          <a:solidFill>
                            <a:prstClr val="black"/>
                          </a:solidFill>
                        </a:ln>
                      </wps:spPr>
                      <wps:txbx>
                        <w:txbxContent>
                          <w:p w14:paraId="3594A430" w14:textId="77777777" w:rsidR="006C70F3" w:rsidRDefault="006C70F3" w:rsidP="00AF75F9">
                            <w:pPr>
                              <w:shd w:val="clear" w:color="auto" w:fill="F4B083" w:themeFill="accent2" w:themeFillTint="99"/>
                              <w:rPr>
                                <w:b/>
                                <w:sz w:val="20"/>
                                <w:szCs w:val="20"/>
                                <w:lang w:val="en-US"/>
                              </w:rPr>
                            </w:pPr>
                            <w:r>
                              <w:rPr>
                                <w:b/>
                                <w:sz w:val="20"/>
                                <w:szCs w:val="20"/>
                                <w:lang w:val="en-US"/>
                              </w:rPr>
                              <w:t>SUSTAINABILITY / TRANSFORMATION</w:t>
                            </w:r>
                          </w:p>
                          <w:p w14:paraId="226B952A"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Peace and social cohesion</w:t>
                            </w:r>
                          </w:p>
                          <w:p w14:paraId="144629ED"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Equity in access to services</w:t>
                            </w:r>
                          </w:p>
                          <w:p w14:paraId="62C32F61"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sidRPr="00462FFB">
                              <w:rPr>
                                <w:b/>
                                <w:sz w:val="20"/>
                                <w:szCs w:val="20"/>
                                <w:lang w:val="en-US"/>
                              </w:rPr>
                              <w:t>Gender equality</w:t>
                            </w:r>
                          </w:p>
                          <w:p w14:paraId="74FD849C" w14:textId="77777777" w:rsidR="006C70F3" w:rsidRPr="00462FFB"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Increased participation and reduced vulnerabilities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D22C9" id="Zone de texte 22" o:spid="_x0000_s1036" type="#_x0000_t202" style="position:absolute;margin-left:302.7pt;margin-top:183.35pt;width:186.45pt;height: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" fillcolor="#f4b083 [1941]" strokeweight="1.5pt">
                <v:textbox>
                  <w:txbxContent>
                    <w:p w14:paraId="3594A430" w14:textId="77777777" w:rsidR="006C70F3" w:rsidRDefault="006C70F3" w:rsidP="00AF75F9">
                      <w:pPr>
                        <w:shd w:val="clear" w:color="auto" w:fill="F4B083" w:themeFill="accent2" w:themeFillTint="99"/>
                        <w:rPr>
                          <w:b/>
                          <w:sz w:val="20"/>
                          <w:szCs w:val="20"/>
                          <w:lang w:val="en-US"/>
                        </w:rPr>
                      </w:pPr>
                      <w:r>
                        <w:rPr>
                          <w:b/>
                          <w:sz w:val="20"/>
                          <w:szCs w:val="20"/>
                          <w:lang w:val="en-US"/>
                        </w:rPr>
                        <w:t>SUSTAINABILITY / TRANSFORMATION</w:t>
                      </w:r>
                    </w:p>
                    <w:p w14:paraId="226B952A"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Peace and social cohesion</w:t>
                      </w:r>
                    </w:p>
                    <w:p w14:paraId="144629ED"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Equity in access to services</w:t>
                      </w:r>
                    </w:p>
                    <w:p w14:paraId="62C32F61"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sidRPr="00462FFB">
                        <w:rPr>
                          <w:b/>
                          <w:sz w:val="20"/>
                          <w:szCs w:val="20"/>
                          <w:lang w:val="en-US"/>
                        </w:rPr>
                        <w:t>Gender equality</w:t>
                      </w:r>
                    </w:p>
                    <w:p w14:paraId="74FD849C" w14:textId="77777777" w:rsidR="006C70F3" w:rsidRPr="00462FFB"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Increased participation and reduced vulnerabilities</w:t>
                      </w:r>
                    </w:p>
                  </w:txbxContent>
                </v:textbox>
              </v:shape>
            </w:pict>
          </mc:Fallback>
        </mc:AlternateContent>
      </w:r>
      <w:r w:rsidRPr="00841766">
        <w:rPr>
          <w:rFonts w:cs="Times New Roman"/>
          <w:noProof/>
          <w:sz w:val="22"/>
          <w:szCs w:val="22"/>
          <w:lang w:val="en-US"/>
        </w:rPr>
        <w:drawing>
          <wp:inline distT="0" distB="0" distL="0" distR="0" wp14:anchorId="4E3DF5DD" wp14:editId="3A0DEC76">
            <wp:extent cx="5486400" cy="3200400"/>
            <wp:effectExtent l="0" t="38100" r="0" b="5715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7DE8999" w14:textId="77777777" w:rsidR="00AF75F9" w:rsidRPr="00841766" w:rsidRDefault="00AF75F9" w:rsidP="004C515B">
      <w:pPr>
        <w:autoSpaceDE w:val="0"/>
        <w:autoSpaceDN w:val="0"/>
        <w:adjustRightInd w:val="0"/>
        <w:rPr>
          <w:rFonts w:cs="Times New Roman"/>
          <w:sz w:val="22"/>
          <w:szCs w:val="22"/>
          <w:lang w:val="en-US"/>
        </w:rPr>
      </w:pPr>
    </w:p>
    <w:p w14:paraId="05CA1E0B" w14:textId="77777777" w:rsidR="00B254D7" w:rsidRPr="00841766" w:rsidRDefault="00B254D7" w:rsidP="004C515B">
      <w:pPr>
        <w:autoSpaceDE w:val="0"/>
        <w:autoSpaceDN w:val="0"/>
        <w:adjustRightInd w:val="0"/>
        <w:rPr>
          <w:rFonts w:cs="Times New Roman"/>
          <w:sz w:val="22"/>
          <w:szCs w:val="22"/>
          <w:lang w:val="en-US"/>
        </w:rPr>
      </w:pPr>
    </w:p>
    <w:p w14:paraId="2FE459CA" w14:textId="77777777" w:rsidR="00F74E62" w:rsidRDefault="00F74E62" w:rsidP="00552AAD">
      <w:pPr>
        <w:autoSpaceDE w:val="0"/>
        <w:autoSpaceDN w:val="0"/>
        <w:adjustRightInd w:val="0"/>
        <w:spacing w:after="120"/>
        <w:ind w:right="-11"/>
        <w:jc w:val="both"/>
        <w:rPr>
          <w:rFonts w:cs="Arial"/>
          <w:iCs/>
          <w:sz w:val="22"/>
          <w:szCs w:val="22"/>
          <w:lang w:val="en-US"/>
        </w:rPr>
      </w:pPr>
    </w:p>
    <w:p w14:paraId="239D876C" w14:textId="72F158B0" w:rsidR="00BF5B89" w:rsidRDefault="00BF5B89" w:rsidP="00552AAD">
      <w:pPr>
        <w:autoSpaceDE w:val="0"/>
        <w:autoSpaceDN w:val="0"/>
        <w:adjustRightInd w:val="0"/>
        <w:spacing w:after="120"/>
        <w:ind w:right="-11"/>
        <w:jc w:val="both"/>
        <w:rPr>
          <w:rFonts w:cs="Arial"/>
          <w:sz w:val="22"/>
          <w:szCs w:val="22"/>
          <w:lang w:val="en-US"/>
        </w:rPr>
      </w:pPr>
      <w:r>
        <w:rPr>
          <w:rFonts w:cs="Arial"/>
          <w:iCs/>
          <w:sz w:val="22"/>
          <w:szCs w:val="22"/>
          <w:lang w:val="en-US"/>
        </w:rPr>
        <w:t>Accountable, inclusive and participatory govern</w:t>
      </w:r>
      <w:r w:rsidR="009F5D41">
        <w:rPr>
          <w:rFonts w:cs="Arial"/>
          <w:iCs/>
          <w:sz w:val="22"/>
          <w:szCs w:val="22"/>
          <w:lang w:val="en-US"/>
        </w:rPr>
        <w:t xml:space="preserve">ance </w:t>
      </w:r>
      <w:r>
        <w:rPr>
          <w:rFonts w:cs="Arial"/>
          <w:iCs/>
          <w:sz w:val="22"/>
          <w:szCs w:val="22"/>
          <w:lang w:val="en-US"/>
        </w:rPr>
        <w:t>and quality public services needs to be strengthened, particular</w:t>
      </w:r>
      <w:r w:rsidR="009F5D41">
        <w:rPr>
          <w:rFonts w:cs="Arial"/>
          <w:iCs/>
          <w:sz w:val="22"/>
          <w:szCs w:val="22"/>
          <w:lang w:val="en-US"/>
        </w:rPr>
        <w:t>ly</w:t>
      </w:r>
      <w:r>
        <w:rPr>
          <w:rFonts w:cs="Arial"/>
          <w:iCs/>
          <w:sz w:val="22"/>
          <w:szCs w:val="22"/>
          <w:lang w:val="en-US"/>
        </w:rPr>
        <w:t xml:space="preserve"> at </w:t>
      </w:r>
      <w:r w:rsidR="009F5D41">
        <w:rPr>
          <w:rFonts w:cs="Arial"/>
          <w:iCs/>
          <w:sz w:val="22"/>
          <w:szCs w:val="22"/>
          <w:lang w:val="en-US"/>
        </w:rPr>
        <w:t xml:space="preserve">municipal and </w:t>
      </w:r>
      <w:r>
        <w:rPr>
          <w:rFonts w:cs="Arial"/>
          <w:iCs/>
          <w:sz w:val="22"/>
          <w:szCs w:val="22"/>
          <w:lang w:val="en-US"/>
        </w:rPr>
        <w:t>local level</w:t>
      </w:r>
      <w:r w:rsidR="009F5D41">
        <w:rPr>
          <w:rFonts w:cs="Arial"/>
          <w:iCs/>
          <w:sz w:val="22"/>
          <w:szCs w:val="22"/>
          <w:lang w:val="en-US"/>
        </w:rPr>
        <w:t>s</w:t>
      </w:r>
      <w:r>
        <w:rPr>
          <w:rFonts w:cs="Arial"/>
          <w:iCs/>
          <w:sz w:val="22"/>
          <w:szCs w:val="22"/>
          <w:lang w:val="en-US"/>
        </w:rPr>
        <w:t>. A limited legal framework, implementing capacity of the government, and weak control mechanisms hinder the overall capacity of the country to achieve the SDGs by the end of 2030</w:t>
      </w:r>
      <w:r>
        <w:rPr>
          <w:rStyle w:val="FootnoteReference"/>
          <w:rFonts w:cs="Arial"/>
          <w:iCs/>
          <w:sz w:val="22"/>
          <w:szCs w:val="22"/>
          <w:lang w:val="en-US"/>
        </w:rPr>
        <w:footnoteReference w:id="66"/>
      </w:r>
      <w:r>
        <w:rPr>
          <w:rFonts w:cs="Arial"/>
          <w:iCs/>
          <w:sz w:val="22"/>
          <w:szCs w:val="22"/>
          <w:lang w:val="en-US"/>
        </w:rPr>
        <w:t>.</w:t>
      </w:r>
      <w:r>
        <w:rPr>
          <w:rFonts w:cs="Arial"/>
          <w:sz w:val="22"/>
          <w:szCs w:val="22"/>
          <w:lang w:val="en-US"/>
        </w:rPr>
        <w:t xml:space="preserve"> Existing social norms and negative attitudes further hampers specific groups </w:t>
      </w:r>
      <w:r>
        <w:rPr>
          <w:rFonts w:cs="Arial"/>
          <w:bCs/>
          <w:sz w:val="22"/>
          <w:szCs w:val="22"/>
          <w:lang w:val="en-US"/>
        </w:rPr>
        <w:t>(</w:t>
      </w:r>
      <w:r>
        <w:rPr>
          <w:rFonts w:cs="Arial"/>
          <w:sz w:val="22"/>
          <w:szCs w:val="22"/>
          <w:lang w:val="en-US"/>
        </w:rPr>
        <w:t xml:space="preserve">such as children, women and girls, persons with disabilities, migrants, and households in rural areas) to fulfill their human rights, especially in terms of access to information, justice, services and freedom of violence. UNSDCF will accompany the decentralization process, which offers new opportunities for democratic participation and efficient and fair service delivery. Although the decentralization of planning and budgeting to municipalities for key programme areas is a key component of the government’s agenda, the delegation of competencies and power to municipalities remains low. </w:t>
      </w:r>
    </w:p>
    <w:p w14:paraId="6D60F49A" w14:textId="08012214" w:rsidR="00BF5B89" w:rsidRDefault="009F5D41" w:rsidP="00552AAD">
      <w:pPr>
        <w:autoSpaceDE w:val="0"/>
        <w:autoSpaceDN w:val="0"/>
        <w:adjustRightInd w:val="0"/>
        <w:spacing w:after="120"/>
        <w:ind w:right="-11"/>
        <w:jc w:val="both"/>
        <w:rPr>
          <w:rFonts w:cs="Calibri"/>
          <w:bCs/>
          <w:sz w:val="22"/>
          <w:szCs w:val="22"/>
          <w:lang w:val="en-US"/>
        </w:rPr>
      </w:pPr>
      <w:r>
        <w:rPr>
          <w:rFonts w:cs="Calibri"/>
          <w:bCs/>
          <w:sz w:val="22"/>
          <w:szCs w:val="22"/>
          <w:lang w:val="en-US"/>
        </w:rPr>
        <w:t>F</w:t>
      </w:r>
      <w:r w:rsidR="00BF5B89">
        <w:rPr>
          <w:rFonts w:cs="Calibri"/>
          <w:bCs/>
          <w:sz w:val="22"/>
          <w:szCs w:val="22"/>
          <w:lang w:val="en-US"/>
        </w:rPr>
        <w:t xml:space="preserve">or the Timorese people, especially those most left behind, to claim rights and access services it is crucial to build gender-responsive and accountable government systems, specifically focusing on the rule of law, public administration, and decentralized service delivery. Concurrently, the UNDCF will support the civil society, including Organizations of Persons with Disabilities and women’s organizations, to advocate for and participate in decision-making and hold the government accountable to implement the human rights commitments. This will be accelerated by addressing negative social norms and attitudes, especially those tolerating GBV, bringing forward a transformative environment where everyone can fulfill their full potential. </w:t>
      </w:r>
    </w:p>
    <w:p w14:paraId="19CBA7D7" w14:textId="45FF8037" w:rsidR="003F5AF1" w:rsidRPr="000135BE" w:rsidRDefault="003F5AF1" w:rsidP="00552AAD">
      <w:pPr>
        <w:jc w:val="both"/>
        <w:rPr>
          <w:rFonts w:cstheme="minorHAnsi"/>
          <w:b/>
          <w:sz w:val="22"/>
          <w:szCs w:val="22"/>
          <w:lang w:val="en-US"/>
        </w:rPr>
      </w:pPr>
      <w:r w:rsidRPr="000135BE">
        <w:rPr>
          <w:rFonts w:cstheme="minorHAnsi"/>
          <w:b/>
          <w:sz w:val="22"/>
          <w:szCs w:val="22"/>
          <w:lang w:val="en-US"/>
        </w:rPr>
        <w:t>Rule of law and access to justice</w:t>
      </w:r>
    </w:p>
    <w:p w14:paraId="7586BCC9" w14:textId="6C4D4BA5" w:rsidR="00BF5B89" w:rsidRDefault="00BF5B89" w:rsidP="00552AAD">
      <w:pPr>
        <w:jc w:val="both"/>
        <w:rPr>
          <w:rFonts w:cs="Calibri"/>
          <w:sz w:val="22"/>
          <w:szCs w:val="22"/>
          <w:lang w:val="en-US"/>
        </w:rPr>
      </w:pPr>
      <w:r w:rsidRPr="000135BE">
        <w:rPr>
          <w:rFonts w:cstheme="minorHAnsi"/>
          <w:bCs/>
          <w:sz w:val="22"/>
          <w:szCs w:val="22"/>
          <w:lang w:val="en-US"/>
        </w:rPr>
        <w:t>Increased access to justice and rule of law institutions is critical for the people of Timor-Leste to be better</w:t>
      </w:r>
      <w:r w:rsidRPr="000135BE">
        <w:rPr>
          <w:rFonts w:cs="Calibri"/>
          <w:bCs/>
          <w:sz w:val="22"/>
          <w:szCs w:val="22"/>
          <w:lang w:val="en-US"/>
        </w:rPr>
        <w:t xml:space="preserve"> able to claim their rights and duty-bearers to fulfil their obligations, </w:t>
      </w:r>
      <w:r w:rsidRPr="00EF6929">
        <w:rPr>
          <w:rFonts w:cs="Calibri"/>
          <w:bCs/>
          <w:sz w:val="22"/>
          <w:szCs w:val="22"/>
          <w:lang w:val="en-US"/>
        </w:rPr>
        <w:t xml:space="preserve">in line with international </w:t>
      </w:r>
      <w:r>
        <w:rPr>
          <w:rFonts w:cs="Calibri"/>
          <w:sz w:val="22"/>
          <w:szCs w:val="22"/>
          <w:lang w:val="en-US"/>
        </w:rPr>
        <w:t>and national human rights commitments (with special focus on CEDAW, CRC, UPR, CRPD, and Global Compact for Migration) and Justice Sector Strategic Plan 2011-2030.</w:t>
      </w:r>
      <w:r w:rsidR="003F5AF1">
        <w:rPr>
          <w:rFonts w:cs="Calibri"/>
          <w:sz w:val="22"/>
          <w:szCs w:val="22"/>
          <w:lang w:val="en-US"/>
        </w:rPr>
        <w:t xml:space="preserve"> </w:t>
      </w:r>
      <w:r w:rsidR="000135BE">
        <w:rPr>
          <w:rFonts w:cs="Calibri"/>
          <w:sz w:val="22"/>
          <w:szCs w:val="22"/>
          <w:lang w:val="en-US"/>
        </w:rPr>
        <w:t xml:space="preserve"> </w:t>
      </w:r>
      <w:r>
        <w:rPr>
          <w:rFonts w:cs="Calibri"/>
          <w:sz w:val="22"/>
          <w:szCs w:val="22"/>
          <w:lang w:val="en-US"/>
        </w:rPr>
        <w:t>Progress needs to be accelerated in the following areas:</w:t>
      </w:r>
    </w:p>
    <w:p w14:paraId="4D056E98" w14:textId="77777777" w:rsidR="00BF5B89" w:rsidRDefault="00BF5B89" w:rsidP="00552AAD">
      <w:pPr>
        <w:pStyle w:val="ListParagraph"/>
        <w:numPr>
          <w:ilvl w:val="0"/>
          <w:numId w:val="71"/>
        </w:numPr>
        <w:jc w:val="both"/>
        <w:rPr>
          <w:rFonts w:cs="Calibri"/>
          <w:sz w:val="22"/>
          <w:szCs w:val="22"/>
          <w:lang w:val="en-US"/>
        </w:rPr>
      </w:pPr>
      <w:r>
        <w:rPr>
          <w:rFonts w:cs="Calibri"/>
          <w:sz w:val="22"/>
          <w:szCs w:val="22"/>
          <w:lang w:val="en-US"/>
        </w:rPr>
        <w:t>Pursuing the development of the legal framework and its improved implementation, including legal aid and Alternative Dispute Resolution,</w:t>
      </w:r>
    </w:p>
    <w:p w14:paraId="6470958F" w14:textId="77777777" w:rsidR="00BF5B89" w:rsidRDefault="00BF5B89" w:rsidP="00552AAD">
      <w:pPr>
        <w:pStyle w:val="ListParagraph"/>
        <w:numPr>
          <w:ilvl w:val="0"/>
          <w:numId w:val="71"/>
        </w:numPr>
        <w:jc w:val="both"/>
        <w:rPr>
          <w:rFonts w:cs="Calibri"/>
          <w:sz w:val="22"/>
          <w:szCs w:val="22"/>
          <w:lang w:val="en-US"/>
        </w:rPr>
      </w:pPr>
      <w:r>
        <w:rPr>
          <w:rFonts w:cs="Calibri"/>
          <w:sz w:val="22"/>
          <w:szCs w:val="22"/>
          <w:lang w:val="en-US"/>
        </w:rPr>
        <w:lastRenderedPageBreak/>
        <w:t xml:space="preserve">Developing of physical and human resources capacity of formal and customary justice institutions and security institutions at the national and local levels (continued investments in pre-service and in-service training institutions) imbedded in human rights. </w:t>
      </w:r>
    </w:p>
    <w:p w14:paraId="4E266EB5" w14:textId="24285725" w:rsidR="00BF5B89" w:rsidRDefault="00BF5B89" w:rsidP="00552AAD">
      <w:pPr>
        <w:pStyle w:val="ListParagraph"/>
        <w:numPr>
          <w:ilvl w:val="0"/>
          <w:numId w:val="71"/>
        </w:numPr>
        <w:jc w:val="both"/>
        <w:rPr>
          <w:rFonts w:cs="Calibri"/>
          <w:sz w:val="22"/>
          <w:szCs w:val="22"/>
          <w:lang w:val="en-US"/>
        </w:rPr>
      </w:pPr>
      <w:r>
        <w:rPr>
          <w:rFonts w:cs="Calibri"/>
          <w:sz w:val="22"/>
          <w:szCs w:val="22"/>
          <w:lang w:val="en-US"/>
        </w:rPr>
        <w:t xml:space="preserve">Transforming social norms and attitudes and empowering citizens, the aforementioned most excluded people with knowledge, resources and voice to claim their rights through gender-responsive legal aid, empowered public defenders’ institutions, alternative dispute resolution mechanisms. </w:t>
      </w:r>
    </w:p>
    <w:p w14:paraId="03280C5E" w14:textId="77777777" w:rsidR="00F74E62" w:rsidRDefault="00B61977" w:rsidP="00B61977">
      <w:pPr>
        <w:pStyle w:val="ListParagraph"/>
        <w:numPr>
          <w:ilvl w:val="0"/>
          <w:numId w:val="71"/>
        </w:numPr>
        <w:jc w:val="both"/>
        <w:rPr>
          <w:rFonts w:cs="Calibri"/>
          <w:sz w:val="22"/>
          <w:szCs w:val="22"/>
          <w:lang w:val="en-US"/>
        </w:rPr>
      </w:pPr>
      <w:r>
        <w:rPr>
          <w:rFonts w:cs="Calibri"/>
          <w:sz w:val="22"/>
          <w:szCs w:val="22"/>
          <w:lang w:val="en-US"/>
        </w:rPr>
        <w:t>Support</w:t>
      </w:r>
      <w:r w:rsidR="00F74E62">
        <w:rPr>
          <w:rFonts w:cs="Calibri"/>
          <w:sz w:val="22"/>
          <w:szCs w:val="22"/>
          <w:lang w:val="en-US"/>
        </w:rPr>
        <w:t xml:space="preserve">ing </w:t>
      </w:r>
      <w:r>
        <w:rPr>
          <w:rFonts w:cs="Calibri"/>
          <w:sz w:val="22"/>
          <w:szCs w:val="22"/>
          <w:lang w:val="en-US"/>
        </w:rPr>
        <w:t xml:space="preserve">Anti-Human Trafficking Technical Working Group to review and update the </w:t>
      </w:r>
      <w:r w:rsidR="00F74E62">
        <w:rPr>
          <w:rFonts w:cs="Calibri"/>
          <w:sz w:val="22"/>
          <w:szCs w:val="22"/>
          <w:lang w:val="en-US"/>
        </w:rPr>
        <w:t>National Action Plan (</w:t>
      </w:r>
      <w:r>
        <w:rPr>
          <w:rFonts w:cs="Calibri"/>
          <w:sz w:val="22"/>
          <w:szCs w:val="22"/>
          <w:lang w:val="en-US"/>
        </w:rPr>
        <w:t>NAP</w:t>
      </w:r>
      <w:r w:rsidR="00F74E62">
        <w:rPr>
          <w:rFonts w:cs="Calibri"/>
          <w:sz w:val="22"/>
          <w:szCs w:val="22"/>
          <w:lang w:val="en-US"/>
        </w:rPr>
        <w:t>)</w:t>
      </w:r>
      <w:r>
        <w:rPr>
          <w:rFonts w:cs="Calibri"/>
          <w:sz w:val="22"/>
          <w:szCs w:val="22"/>
          <w:lang w:val="en-US"/>
        </w:rPr>
        <w:t xml:space="preserve"> on Human Trafficking</w:t>
      </w:r>
      <w:r w:rsidR="00F74E62">
        <w:rPr>
          <w:rFonts w:cs="Calibri"/>
          <w:sz w:val="22"/>
          <w:szCs w:val="22"/>
          <w:lang w:val="en-US"/>
        </w:rPr>
        <w:t>,</w:t>
      </w:r>
      <w:r>
        <w:rPr>
          <w:rFonts w:cs="Calibri"/>
          <w:sz w:val="22"/>
          <w:szCs w:val="22"/>
          <w:lang w:val="en-US"/>
        </w:rPr>
        <w:t xml:space="preserve"> which expired in 2018. </w:t>
      </w:r>
    </w:p>
    <w:p w14:paraId="25D9F478" w14:textId="5FF69EDA" w:rsidR="00B61977" w:rsidRDefault="00B61977" w:rsidP="00B61977">
      <w:pPr>
        <w:pStyle w:val="ListParagraph"/>
        <w:numPr>
          <w:ilvl w:val="0"/>
          <w:numId w:val="71"/>
        </w:numPr>
        <w:jc w:val="both"/>
        <w:rPr>
          <w:rFonts w:cs="Calibri"/>
          <w:sz w:val="22"/>
          <w:szCs w:val="22"/>
          <w:lang w:val="en-US"/>
        </w:rPr>
      </w:pPr>
      <w:r>
        <w:rPr>
          <w:rFonts w:cs="Calibri"/>
          <w:sz w:val="22"/>
          <w:szCs w:val="22"/>
          <w:lang w:val="en-US"/>
        </w:rPr>
        <w:t>Monitor</w:t>
      </w:r>
      <w:r w:rsidR="00F74E62">
        <w:rPr>
          <w:rFonts w:cs="Calibri"/>
          <w:sz w:val="22"/>
          <w:szCs w:val="22"/>
          <w:lang w:val="en-US"/>
        </w:rPr>
        <w:t>ing</w:t>
      </w:r>
      <w:r>
        <w:rPr>
          <w:rFonts w:cs="Calibri"/>
          <w:sz w:val="22"/>
          <w:szCs w:val="22"/>
          <w:lang w:val="en-US"/>
        </w:rPr>
        <w:t xml:space="preserve"> the human trafficking situation in the country and contribute to US Trafficking in Persons Report and Global Compact for Safe, Orderly and Regular Migration (GCM) annual report. </w:t>
      </w:r>
    </w:p>
    <w:p w14:paraId="761C4E9A" w14:textId="77777777" w:rsidR="00F74E62" w:rsidRDefault="00F74E62" w:rsidP="00552AAD">
      <w:pPr>
        <w:spacing w:after="240"/>
        <w:jc w:val="both"/>
        <w:rPr>
          <w:rFonts w:cs="Calibri"/>
          <w:sz w:val="22"/>
          <w:szCs w:val="22"/>
          <w:lang w:val="en-US"/>
        </w:rPr>
      </w:pPr>
    </w:p>
    <w:p w14:paraId="3371F4D7" w14:textId="66556BFA" w:rsidR="00BF5B89" w:rsidRDefault="00BF5B89" w:rsidP="00552AAD">
      <w:pPr>
        <w:spacing w:after="240"/>
        <w:jc w:val="both"/>
        <w:rPr>
          <w:rFonts w:cs="Calibri"/>
          <w:sz w:val="22"/>
          <w:szCs w:val="22"/>
          <w:lang w:val="en-US"/>
        </w:rPr>
      </w:pPr>
      <w:r>
        <w:rPr>
          <w:rFonts w:cs="Calibri"/>
          <w:sz w:val="22"/>
          <w:szCs w:val="22"/>
          <w:lang w:val="en-US"/>
        </w:rPr>
        <w:t xml:space="preserve">Throughout particular attention needs to be given to access to justice and security for those most left behind ensuring also that the justice system in Timor-Leste is child-friendly. </w:t>
      </w:r>
    </w:p>
    <w:p w14:paraId="56AE479D" w14:textId="77777777" w:rsidR="003F5AF1" w:rsidRPr="00EF6929" w:rsidRDefault="003F5AF1" w:rsidP="00552AAD">
      <w:pPr>
        <w:jc w:val="both"/>
        <w:rPr>
          <w:rFonts w:cstheme="minorHAnsi"/>
          <w:b/>
          <w:sz w:val="22"/>
          <w:szCs w:val="22"/>
          <w:lang w:val="en-US"/>
        </w:rPr>
      </w:pPr>
      <w:r w:rsidRPr="00EF6929">
        <w:rPr>
          <w:rFonts w:cstheme="minorHAnsi"/>
          <w:b/>
          <w:sz w:val="22"/>
          <w:szCs w:val="22"/>
          <w:lang w:val="en-US"/>
        </w:rPr>
        <w:t>Reform of public administration</w:t>
      </w:r>
    </w:p>
    <w:p w14:paraId="2A1A709C" w14:textId="1B75DA7C" w:rsidR="00B254D7" w:rsidRPr="00841766" w:rsidRDefault="00B254D7" w:rsidP="00552AAD">
      <w:pPr>
        <w:jc w:val="both"/>
        <w:rPr>
          <w:rFonts w:cs="Calibri"/>
          <w:iCs/>
          <w:color w:val="000000" w:themeColor="text1"/>
          <w:sz w:val="22"/>
          <w:szCs w:val="22"/>
          <w:lang w:val="en-US"/>
        </w:rPr>
      </w:pPr>
      <w:r w:rsidRPr="000135BE">
        <w:rPr>
          <w:rFonts w:cstheme="minorHAnsi"/>
          <w:bCs/>
          <w:sz w:val="22"/>
          <w:szCs w:val="22"/>
          <w:lang w:val="en-US"/>
        </w:rPr>
        <w:t xml:space="preserve">An effective </w:t>
      </w:r>
      <w:r w:rsidR="00BF5B89" w:rsidRPr="000135BE">
        <w:rPr>
          <w:rFonts w:cstheme="minorHAnsi"/>
          <w:bCs/>
          <w:sz w:val="22"/>
          <w:szCs w:val="22"/>
          <w:lang w:val="en-US"/>
        </w:rPr>
        <w:t xml:space="preserve">and decentralized </w:t>
      </w:r>
      <w:r w:rsidRPr="000135BE">
        <w:rPr>
          <w:rFonts w:cstheme="minorHAnsi"/>
          <w:bCs/>
          <w:sz w:val="22"/>
          <w:szCs w:val="22"/>
          <w:lang w:val="en-US"/>
        </w:rPr>
        <w:t>public administration that is grounded in transparent and accountable institutions</w:t>
      </w:r>
      <w:r w:rsidRPr="000135BE">
        <w:rPr>
          <w:rFonts w:cs="Calibri"/>
          <w:bCs/>
          <w:sz w:val="22"/>
          <w:szCs w:val="22"/>
          <w:lang w:val="en-US"/>
        </w:rPr>
        <w:t xml:space="preserve"> at all levels is paramount to ensuring service delivery, keeping the governments transparent and accountable to the people they govern.</w:t>
      </w:r>
      <w:r w:rsidR="003F5AF1">
        <w:rPr>
          <w:rFonts w:cs="Calibri"/>
          <w:iCs/>
          <w:color w:val="000000" w:themeColor="text1"/>
          <w:sz w:val="22"/>
          <w:szCs w:val="22"/>
          <w:lang w:val="en-US"/>
        </w:rPr>
        <w:t xml:space="preserve"> </w:t>
      </w:r>
      <w:r w:rsidRPr="00841766">
        <w:rPr>
          <w:rFonts w:cs="Calibri"/>
          <w:iCs/>
          <w:color w:val="000000" w:themeColor="text1"/>
          <w:sz w:val="22"/>
          <w:szCs w:val="22"/>
          <w:lang w:val="en-US"/>
        </w:rPr>
        <w:t xml:space="preserve">With a particular focus on </w:t>
      </w:r>
      <w:r w:rsidRPr="00841766">
        <w:rPr>
          <w:rFonts w:cs="Calibri"/>
          <w:sz w:val="22"/>
          <w:szCs w:val="22"/>
          <w:lang w:val="en-US"/>
        </w:rPr>
        <w:t>anti-corruption, civil service, planning, budgeting and oversight institutions/line ministries, service delivery institutions, ombudsperson, Parliament, a</w:t>
      </w:r>
      <w:r w:rsidRPr="00841766">
        <w:rPr>
          <w:rFonts w:cs="Calibri"/>
          <w:iCs/>
          <w:color w:val="000000" w:themeColor="text1"/>
          <w:sz w:val="22"/>
          <w:szCs w:val="22"/>
          <w:lang w:val="en-US"/>
        </w:rPr>
        <w:t>reas for improved results include:</w:t>
      </w:r>
    </w:p>
    <w:p w14:paraId="535ED5AE" w14:textId="7BF604F1" w:rsidR="00B254D7" w:rsidRPr="00841766" w:rsidRDefault="00BF5B89" w:rsidP="00552AAD">
      <w:pPr>
        <w:pStyle w:val="ListParagraph"/>
        <w:numPr>
          <w:ilvl w:val="0"/>
          <w:numId w:val="13"/>
        </w:numPr>
        <w:jc w:val="both"/>
        <w:rPr>
          <w:rFonts w:cs="Calibri"/>
          <w:iCs/>
          <w:color w:val="000000" w:themeColor="text1"/>
          <w:sz w:val="22"/>
          <w:szCs w:val="22"/>
          <w:lang w:val="en-US"/>
        </w:rPr>
      </w:pPr>
      <w:r>
        <w:rPr>
          <w:rFonts w:cs="Calibri"/>
          <w:iCs/>
          <w:color w:val="000000" w:themeColor="text1"/>
          <w:sz w:val="22"/>
          <w:szCs w:val="22"/>
          <w:lang w:val="en-US"/>
        </w:rPr>
        <w:t>Integrity m</w:t>
      </w:r>
      <w:r w:rsidRPr="00841766">
        <w:rPr>
          <w:rFonts w:cs="Calibri"/>
          <w:iCs/>
          <w:color w:val="000000" w:themeColor="text1"/>
          <w:sz w:val="22"/>
          <w:szCs w:val="22"/>
          <w:lang w:val="en-US"/>
        </w:rPr>
        <w:t xml:space="preserve">onitoring </w:t>
      </w:r>
      <w:r w:rsidR="00B254D7" w:rsidRPr="00841766">
        <w:rPr>
          <w:rFonts w:cs="Calibri"/>
          <w:iCs/>
          <w:color w:val="000000" w:themeColor="text1"/>
          <w:sz w:val="22"/>
          <w:szCs w:val="22"/>
          <w:lang w:val="en-US"/>
        </w:rPr>
        <w:t>of public services,</w:t>
      </w:r>
    </w:p>
    <w:p w14:paraId="78385936" w14:textId="77777777" w:rsidR="00B254D7" w:rsidRPr="00841766" w:rsidRDefault="00B254D7" w:rsidP="00552AAD">
      <w:pPr>
        <w:pStyle w:val="ListParagraph"/>
        <w:numPr>
          <w:ilvl w:val="0"/>
          <w:numId w:val="13"/>
        </w:numPr>
        <w:jc w:val="both"/>
        <w:rPr>
          <w:rFonts w:eastAsia="Times New Roman" w:cs="Calibri"/>
          <w:sz w:val="22"/>
          <w:szCs w:val="22"/>
          <w:lang w:val="en-US"/>
        </w:rPr>
      </w:pPr>
      <w:r w:rsidRPr="00841766">
        <w:rPr>
          <w:rFonts w:cs="Calibri"/>
          <w:iCs/>
          <w:color w:val="000000" w:themeColor="text1"/>
          <w:sz w:val="22"/>
          <w:szCs w:val="22"/>
          <w:lang w:val="en-US"/>
        </w:rPr>
        <w:t>P</w:t>
      </w:r>
      <w:r w:rsidRPr="00841766">
        <w:rPr>
          <w:rFonts w:cs="Calibri"/>
          <w:sz w:val="22"/>
          <w:szCs w:val="22"/>
          <w:lang w:val="en-US"/>
        </w:rPr>
        <w:t>erformance, compliance, accountability,</w:t>
      </w:r>
    </w:p>
    <w:p w14:paraId="24C36720" w14:textId="77777777" w:rsidR="00B254D7" w:rsidRPr="00841766" w:rsidRDefault="00B254D7" w:rsidP="00552AAD">
      <w:pPr>
        <w:pStyle w:val="ListParagraph"/>
        <w:numPr>
          <w:ilvl w:val="0"/>
          <w:numId w:val="13"/>
        </w:numPr>
        <w:jc w:val="both"/>
        <w:rPr>
          <w:rFonts w:eastAsia="Times New Roman" w:cs="Calibri"/>
          <w:sz w:val="22"/>
          <w:szCs w:val="22"/>
          <w:lang w:val="en-US"/>
        </w:rPr>
      </w:pPr>
      <w:r w:rsidRPr="00841766">
        <w:rPr>
          <w:rFonts w:cs="Calibri"/>
          <w:iCs/>
          <w:color w:val="000000" w:themeColor="text1"/>
          <w:sz w:val="22"/>
          <w:szCs w:val="22"/>
          <w:lang w:val="en-US"/>
        </w:rPr>
        <w:t>G</w:t>
      </w:r>
      <w:r w:rsidRPr="00841766">
        <w:rPr>
          <w:rFonts w:cs="Calibri"/>
          <w:sz w:val="22"/>
          <w:szCs w:val="22"/>
          <w:lang w:val="en-US"/>
        </w:rPr>
        <w:t>ender-responsiveness of public administration,</w:t>
      </w:r>
    </w:p>
    <w:p w14:paraId="77580FDD" w14:textId="0FFA899D" w:rsidR="00B254D7" w:rsidRPr="00841766" w:rsidRDefault="00B254D7" w:rsidP="00552AAD">
      <w:pPr>
        <w:pStyle w:val="ListParagraph"/>
        <w:numPr>
          <w:ilvl w:val="0"/>
          <w:numId w:val="13"/>
        </w:numPr>
        <w:jc w:val="both"/>
        <w:rPr>
          <w:rFonts w:eastAsia="Times New Roman" w:cs="Calibri"/>
          <w:sz w:val="22"/>
          <w:szCs w:val="22"/>
          <w:lang w:val="en-US"/>
        </w:rPr>
      </w:pPr>
      <w:r w:rsidRPr="00841766">
        <w:rPr>
          <w:rFonts w:cs="Calibri"/>
          <w:iCs/>
          <w:color w:val="000000" w:themeColor="text1"/>
          <w:sz w:val="22"/>
          <w:szCs w:val="22"/>
          <w:lang w:val="en-US"/>
        </w:rPr>
        <w:t>G</w:t>
      </w:r>
      <w:r w:rsidRPr="00841766">
        <w:rPr>
          <w:rFonts w:cs="Calibri"/>
          <w:sz w:val="22"/>
          <w:szCs w:val="22"/>
          <w:lang w:val="en-US"/>
        </w:rPr>
        <w:t>ender</w:t>
      </w:r>
      <w:r w:rsidR="00BA1222" w:rsidRPr="00841766">
        <w:rPr>
          <w:rFonts w:cs="Calibri"/>
          <w:sz w:val="22"/>
          <w:szCs w:val="22"/>
          <w:lang w:val="en-US"/>
        </w:rPr>
        <w:t xml:space="preserve"> and child</w:t>
      </w:r>
      <w:r w:rsidRPr="00841766">
        <w:rPr>
          <w:rFonts w:cs="Calibri"/>
          <w:sz w:val="22"/>
          <w:szCs w:val="22"/>
          <w:lang w:val="en-US"/>
        </w:rPr>
        <w:t xml:space="preserve">-responsiveness planning, budgeting and monitoring processes, </w:t>
      </w:r>
    </w:p>
    <w:p w14:paraId="086577F1" w14:textId="7CFA2697" w:rsidR="00B254D7" w:rsidRPr="00841766" w:rsidRDefault="00B254D7" w:rsidP="00552AAD">
      <w:pPr>
        <w:pStyle w:val="ListParagraph"/>
        <w:numPr>
          <w:ilvl w:val="0"/>
          <w:numId w:val="13"/>
        </w:numPr>
        <w:jc w:val="both"/>
        <w:rPr>
          <w:rFonts w:eastAsia="Times New Roman" w:cs="Calibri"/>
          <w:sz w:val="22"/>
          <w:szCs w:val="22"/>
          <w:lang w:val="en-US"/>
        </w:rPr>
      </w:pPr>
      <w:r w:rsidRPr="00841766">
        <w:rPr>
          <w:rFonts w:cs="Calibri"/>
          <w:sz w:val="22"/>
          <w:szCs w:val="22"/>
          <w:lang w:val="en-US"/>
        </w:rPr>
        <w:t>Professionalism, meritocracy, efficiency of functions and business processes in the country</w:t>
      </w:r>
      <w:r w:rsidR="00153A16" w:rsidRPr="00841766">
        <w:rPr>
          <w:rFonts w:cs="Calibri"/>
          <w:sz w:val="22"/>
          <w:szCs w:val="22"/>
          <w:lang w:val="en-US"/>
        </w:rPr>
        <w:t>,</w:t>
      </w:r>
    </w:p>
    <w:p w14:paraId="37B70655" w14:textId="7950BAA3" w:rsidR="00B254D7" w:rsidRPr="00841766" w:rsidRDefault="00BF5B89" w:rsidP="00552AAD">
      <w:pPr>
        <w:pStyle w:val="ListParagraph"/>
        <w:numPr>
          <w:ilvl w:val="0"/>
          <w:numId w:val="13"/>
        </w:numPr>
        <w:spacing w:after="240"/>
        <w:jc w:val="both"/>
        <w:rPr>
          <w:rFonts w:eastAsia="Times New Roman" w:cs="Calibri"/>
          <w:sz w:val="22"/>
          <w:szCs w:val="22"/>
          <w:lang w:val="en-US"/>
        </w:rPr>
      </w:pPr>
      <w:r>
        <w:rPr>
          <w:rFonts w:eastAsia="Times New Roman" w:cs="Calibri"/>
          <w:sz w:val="22"/>
          <w:szCs w:val="22"/>
          <w:lang w:val="en-US"/>
        </w:rPr>
        <w:t>Strengthening women’s e</w:t>
      </w:r>
      <w:r w:rsidR="00BA1222" w:rsidRPr="00841766">
        <w:rPr>
          <w:rFonts w:eastAsia="Times New Roman" w:cs="Calibri"/>
          <w:sz w:val="22"/>
          <w:szCs w:val="22"/>
          <w:lang w:val="en-US"/>
        </w:rPr>
        <w:t xml:space="preserve">mpowerment </w:t>
      </w:r>
      <w:r w:rsidR="00E50866">
        <w:rPr>
          <w:rFonts w:eastAsia="Times New Roman" w:cs="Calibri"/>
          <w:sz w:val="22"/>
          <w:szCs w:val="22"/>
          <w:lang w:val="en-US"/>
        </w:rPr>
        <w:t>in decision-making.</w:t>
      </w:r>
    </w:p>
    <w:p w14:paraId="664CD068" w14:textId="77777777" w:rsidR="003F5AF1" w:rsidRDefault="003F5AF1" w:rsidP="00552AAD">
      <w:pPr>
        <w:jc w:val="both"/>
        <w:rPr>
          <w:rFonts w:cs="Calibri"/>
          <w:b/>
          <w:iCs/>
          <w:sz w:val="22"/>
          <w:szCs w:val="22"/>
          <w:lang w:val="en-US"/>
        </w:rPr>
      </w:pPr>
      <w:r>
        <w:rPr>
          <w:rFonts w:cs="Calibri"/>
          <w:b/>
          <w:iCs/>
          <w:sz w:val="22"/>
          <w:szCs w:val="22"/>
          <w:lang w:val="en-US"/>
        </w:rPr>
        <w:t>Citizens participation and decentralized service delivery</w:t>
      </w:r>
    </w:p>
    <w:p w14:paraId="17BFB9AF" w14:textId="2BD07DE7" w:rsidR="00B254D7" w:rsidRPr="00EF6929" w:rsidRDefault="00B254D7" w:rsidP="00552AAD">
      <w:pPr>
        <w:jc w:val="both"/>
        <w:rPr>
          <w:rFonts w:cs="Calibri"/>
          <w:bCs/>
          <w:iCs/>
          <w:sz w:val="22"/>
          <w:szCs w:val="22"/>
          <w:lang w:val="en-US"/>
        </w:rPr>
      </w:pPr>
      <w:r w:rsidRPr="000135BE">
        <w:rPr>
          <w:rFonts w:cs="Calibri"/>
          <w:bCs/>
          <w:iCs/>
          <w:sz w:val="22"/>
          <w:szCs w:val="22"/>
          <w:lang w:val="en-US"/>
        </w:rPr>
        <w:t xml:space="preserve">The sustainability and responsiveness of service delivery is dependent on the representation of the citizens at local, municipal and national levels (through elections and through other forms), and on their participation in decision-making processes. </w:t>
      </w:r>
      <w:r w:rsidRPr="00EF6929">
        <w:rPr>
          <w:rFonts w:cs="Calibri"/>
          <w:bCs/>
          <w:iCs/>
          <w:sz w:val="22"/>
          <w:szCs w:val="22"/>
          <w:lang w:val="en-US"/>
        </w:rPr>
        <w:t>A focus will be on the following results:</w:t>
      </w:r>
    </w:p>
    <w:p w14:paraId="31432054" w14:textId="11415028" w:rsidR="00B254D7" w:rsidRPr="00841766" w:rsidRDefault="00B254D7" w:rsidP="00552AAD">
      <w:pPr>
        <w:pStyle w:val="ListParagraph"/>
        <w:numPr>
          <w:ilvl w:val="0"/>
          <w:numId w:val="13"/>
        </w:numPr>
        <w:jc w:val="both"/>
        <w:rPr>
          <w:rFonts w:cs="Calibri"/>
          <w:iCs/>
          <w:color w:val="000000" w:themeColor="text1"/>
          <w:sz w:val="22"/>
          <w:szCs w:val="22"/>
          <w:lang w:val="en-US"/>
        </w:rPr>
      </w:pPr>
      <w:r w:rsidRPr="00841766">
        <w:rPr>
          <w:rFonts w:cs="Calibri"/>
          <w:iCs/>
          <w:color w:val="000000" w:themeColor="text1"/>
          <w:sz w:val="22"/>
          <w:szCs w:val="22"/>
          <w:lang w:val="en-US"/>
        </w:rPr>
        <w:t>Public participation (in particular</w:t>
      </w:r>
      <w:r w:rsidR="00BA1222" w:rsidRPr="00841766">
        <w:rPr>
          <w:rFonts w:cs="Calibri"/>
          <w:iCs/>
          <w:color w:val="000000" w:themeColor="text1"/>
          <w:sz w:val="22"/>
          <w:szCs w:val="22"/>
          <w:lang w:val="en-US"/>
        </w:rPr>
        <w:t xml:space="preserve"> children, women and</w:t>
      </w:r>
      <w:r w:rsidRPr="00841766">
        <w:rPr>
          <w:rFonts w:cs="Calibri"/>
          <w:iCs/>
          <w:color w:val="000000" w:themeColor="text1"/>
          <w:sz w:val="22"/>
          <w:szCs w:val="22"/>
          <w:lang w:val="en-US"/>
        </w:rPr>
        <w:t xml:space="preserve"> youth) in governance and human rights institutions,</w:t>
      </w:r>
    </w:p>
    <w:p w14:paraId="773C015E" w14:textId="68CCAAA9" w:rsidR="00B254D7" w:rsidRPr="00841766" w:rsidRDefault="00B254D7" w:rsidP="00552AAD">
      <w:pPr>
        <w:pStyle w:val="ListParagraph"/>
        <w:numPr>
          <w:ilvl w:val="0"/>
          <w:numId w:val="13"/>
        </w:numPr>
        <w:jc w:val="both"/>
        <w:rPr>
          <w:rFonts w:cs="Calibri"/>
          <w:iCs/>
          <w:sz w:val="22"/>
          <w:szCs w:val="22"/>
          <w:lang w:val="en-US"/>
        </w:rPr>
      </w:pPr>
      <w:r w:rsidRPr="00841766">
        <w:rPr>
          <w:rFonts w:cs="Calibri"/>
          <w:iCs/>
          <w:sz w:val="22"/>
          <w:szCs w:val="22"/>
          <w:lang w:val="en-US"/>
        </w:rPr>
        <w:t xml:space="preserve">Provision of basic citizen services through </w:t>
      </w:r>
      <w:r w:rsidR="00BA1222" w:rsidRPr="00841766">
        <w:rPr>
          <w:rFonts w:cs="Calibri"/>
          <w:iCs/>
          <w:sz w:val="22"/>
          <w:szCs w:val="22"/>
          <w:lang w:val="en-US"/>
        </w:rPr>
        <w:t xml:space="preserve">enhanced birth registration and </w:t>
      </w:r>
      <w:r w:rsidRPr="00841766">
        <w:rPr>
          <w:rFonts w:cs="Calibri"/>
          <w:iCs/>
          <w:sz w:val="22"/>
          <w:szCs w:val="22"/>
          <w:lang w:val="en-US"/>
        </w:rPr>
        <w:t>one-stop-shop models (IDs, passports, licensing), and service delivery agents</w:t>
      </w:r>
      <w:r w:rsidR="00153A16" w:rsidRPr="00841766">
        <w:rPr>
          <w:rFonts w:cs="Calibri"/>
          <w:iCs/>
          <w:sz w:val="22"/>
          <w:szCs w:val="22"/>
          <w:lang w:val="en-US"/>
        </w:rPr>
        <w:t>,</w:t>
      </w:r>
      <w:r w:rsidRPr="00841766">
        <w:rPr>
          <w:rFonts w:cs="Calibri"/>
          <w:iCs/>
          <w:sz w:val="22"/>
          <w:szCs w:val="22"/>
          <w:lang w:val="en-US"/>
        </w:rPr>
        <w:t xml:space="preserve"> </w:t>
      </w:r>
    </w:p>
    <w:p w14:paraId="4A31EE95" w14:textId="77777777" w:rsidR="00C044C2" w:rsidRDefault="00C044C2" w:rsidP="00552AAD">
      <w:pPr>
        <w:pStyle w:val="ListParagraph"/>
        <w:numPr>
          <w:ilvl w:val="0"/>
          <w:numId w:val="13"/>
        </w:numPr>
        <w:jc w:val="both"/>
        <w:rPr>
          <w:rFonts w:cs="Calibri"/>
          <w:iCs/>
          <w:sz w:val="22"/>
          <w:szCs w:val="22"/>
          <w:lang w:val="en-US"/>
        </w:rPr>
      </w:pPr>
      <w:r>
        <w:rPr>
          <w:rFonts w:cs="Calibri"/>
          <w:iCs/>
          <w:sz w:val="22"/>
          <w:szCs w:val="22"/>
          <w:lang w:val="en-US"/>
        </w:rPr>
        <w:t xml:space="preserve">Strengthening of local power and administrative decentralization structure through participatory decision-making processes, </w:t>
      </w:r>
    </w:p>
    <w:p w14:paraId="789AA490" w14:textId="77777777" w:rsidR="00C044C2" w:rsidRDefault="00C044C2" w:rsidP="00552AAD">
      <w:pPr>
        <w:pStyle w:val="ListParagraph"/>
        <w:numPr>
          <w:ilvl w:val="0"/>
          <w:numId w:val="13"/>
        </w:numPr>
        <w:jc w:val="both"/>
        <w:rPr>
          <w:rFonts w:cs="Calibri"/>
          <w:iCs/>
          <w:sz w:val="22"/>
          <w:szCs w:val="22"/>
          <w:lang w:val="en-US"/>
        </w:rPr>
      </w:pPr>
      <w:r>
        <w:rPr>
          <w:rFonts w:cs="Calibri"/>
          <w:iCs/>
          <w:sz w:val="22"/>
          <w:szCs w:val="22"/>
          <w:lang w:val="en-US"/>
        </w:rPr>
        <w:t>Improving operation of multi-sectoral coordination mechanisms,</w:t>
      </w:r>
    </w:p>
    <w:p w14:paraId="5FA831BB" w14:textId="77777777" w:rsidR="00C044C2" w:rsidRDefault="00C044C2" w:rsidP="00552AAD">
      <w:pPr>
        <w:pStyle w:val="ListParagraph"/>
        <w:numPr>
          <w:ilvl w:val="0"/>
          <w:numId w:val="13"/>
        </w:numPr>
        <w:jc w:val="both"/>
        <w:rPr>
          <w:rFonts w:cs="Calibri"/>
          <w:iCs/>
          <w:sz w:val="22"/>
          <w:szCs w:val="22"/>
          <w:lang w:val="en-US"/>
        </w:rPr>
      </w:pPr>
      <w:r>
        <w:rPr>
          <w:rFonts w:cs="Calibri"/>
          <w:iCs/>
          <w:sz w:val="22"/>
          <w:szCs w:val="22"/>
          <w:lang w:val="en-US"/>
        </w:rPr>
        <w:t>Support to the electoral management bodies to implement transparent, accountable and inclusive electoral processes at the national and local levels.</w:t>
      </w:r>
    </w:p>
    <w:p w14:paraId="12B6D7FA" w14:textId="77777777" w:rsidR="00B254D7" w:rsidRPr="00841766" w:rsidRDefault="00B254D7" w:rsidP="00552AAD">
      <w:pPr>
        <w:tabs>
          <w:tab w:val="num" w:pos="720"/>
        </w:tabs>
        <w:ind w:right="-7"/>
        <w:jc w:val="both"/>
        <w:rPr>
          <w:rFonts w:cs="Calibri"/>
          <w:sz w:val="22"/>
          <w:szCs w:val="22"/>
          <w:lang w:val="en-US"/>
        </w:rPr>
      </w:pPr>
    </w:p>
    <w:p w14:paraId="6FD20941" w14:textId="75B2CE27" w:rsidR="00096E64" w:rsidRDefault="00096E64" w:rsidP="00552AAD">
      <w:pPr>
        <w:tabs>
          <w:tab w:val="num" w:pos="720"/>
        </w:tabs>
        <w:ind w:right="-7"/>
        <w:jc w:val="both"/>
        <w:rPr>
          <w:rFonts w:cs="Calibri"/>
          <w:b/>
          <w:sz w:val="22"/>
          <w:szCs w:val="22"/>
          <w:lang w:val="en-US"/>
        </w:rPr>
      </w:pPr>
      <w:r>
        <w:rPr>
          <w:rFonts w:cs="Calibri"/>
          <w:b/>
          <w:sz w:val="22"/>
          <w:szCs w:val="22"/>
          <w:lang w:val="en-US"/>
        </w:rPr>
        <w:t xml:space="preserve">Elimination of </w:t>
      </w:r>
      <w:r w:rsidR="0061634C">
        <w:rPr>
          <w:rFonts w:cs="Calibri"/>
          <w:b/>
          <w:sz w:val="22"/>
          <w:szCs w:val="22"/>
          <w:lang w:val="en-US"/>
        </w:rPr>
        <w:t>g</w:t>
      </w:r>
      <w:r>
        <w:rPr>
          <w:rFonts w:cs="Calibri"/>
          <w:b/>
          <w:sz w:val="22"/>
          <w:szCs w:val="22"/>
          <w:lang w:val="en-US"/>
        </w:rPr>
        <w:t>ender-</w:t>
      </w:r>
      <w:r w:rsidR="0061634C">
        <w:rPr>
          <w:rFonts w:cs="Calibri"/>
          <w:b/>
          <w:sz w:val="22"/>
          <w:szCs w:val="22"/>
          <w:lang w:val="en-US"/>
        </w:rPr>
        <w:t>b</w:t>
      </w:r>
      <w:r>
        <w:rPr>
          <w:rFonts w:cs="Calibri"/>
          <w:b/>
          <w:sz w:val="22"/>
          <w:szCs w:val="22"/>
          <w:lang w:val="en-US"/>
        </w:rPr>
        <w:t>ased violence and violence against children</w:t>
      </w:r>
    </w:p>
    <w:p w14:paraId="064D20FC" w14:textId="5401B8E0" w:rsidR="00B254D7" w:rsidRPr="00841766" w:rsidRDefault="00B254D7" w:rsidP="00552AAD">
      <w:pPr>
        <w:tabs>
          <w:tab w:val="num" w:pos="720"/>
        </w:tabs>
        <w:ind w:right="-7"/>
        <w:jc w:val="both"/>
        <w:rPr>
          <w:rFonts w:cs="Calibri"/>
          <w:sz w:val="22"/>
          <w:szCs w:val="22"/>
          <w:lang w:val="en-US"/>
        </w:rPr>
      </w:pPr>
      <w:r w:rsidRPr="000135BE">
        <w:rPr>
          <w:rFonts w:cs="Calibri"/>
          <w:bCs/>
          <w:sz w:val="22"/>
          <w:szCs w:val="22"/>
          <w:lang w:val="en-US"/>
        </w:rPr>
        <w:t>Increasing prevention and response to violence against women and children is critical to eliminate</w:t>
      </w:r>
      <w:r w:rsidRPr="000135BE">
        <w:rPr>
          <w:rFonts w:cs="Calibri"/>
          <w:bCs/>
          <w:color w:val="000000" w:themeColor="text1"/>
          <w:sz w:val="22"/>
          <w:szCs w:val="22"/>
          <w:lang w:val="en-US"/>
        </w:rPr>
        <w:t xml:space="preserve"> gender-based violence and violence against children and to enable the people of </w:t>
      </w:r>
      <w:r w:rsidR="00927A3B" w:rsidRPr="000135BE">
        <w:rPr>
          <w:rFonts w:cs="Calibri"/>
          <w:bCs/>
          <w:color w:val="000000" w:themeColor="text1"/>
          <w:sz w:val="22"/>
          <w:szCs w:val="22"/>
          <w:lang w:val="en-US"/>
        </w:rPr>
        <w:t>Timor-Leste</w:t>
      </w:r>
      <w:r w:rsidRPr="000135BE">
        <w:rPr>
          <w:rFonts w:cs="Calibri"/>
          <w:bCs/>
          <w:color w:val="000000" w:themeColor="text1"/>
          <w:sz w:val="22"/>
          <w:szCs w:val="22"/>
          <w:lang w:val="en-US"/>
        </w:rPr>
        <w:t xml:space="preserve"> to live in a peaceful and cohesive society.</w:t>
      </w:r>
      <w:r w:rsidR="00096E64">
        <w:rPr>
          <w:rFonts w:cs="Calibri"/>
          <w:sz w:val="22"/>
          <w:szCs w:val="22"/>
          <w:lang w:val="en-US"/>
        </w:rPr>
        <w:t xml:space="preserve"> </w:t>
      </w:r>
      <w:r w:rsidRPr="00841766">
        <w:rPr>
          <w:rFonts w:cs="Calibri"/>
          <w:sz w:val="22"/>
          <w:szCs w:val="22"/>
          <w:lang w:val="en-US"/>
        </w:rPr>
        <w:t xml:space="preserve">Through evidence-based and survivor-centered approaches to prevent and respond to gender-based </w:t>
      </w:r>
      <w:r w:rsidR="00BA1222" w:rsidRPr="00841766">
        <w:rPr>
          <w:rFonts w:cs="Calibri"/>
          <w:sz w:val="22"/>
          <w:szCs w:val="22"/>
          <w:lang w:val="en-US"/>
        </w:rPr>
        <w:t xml:space="preserve">violence </w:t>
      </w:r>
      <w:r w:rsidR="00BA1222" w:rsidRPr="00841766">
        <w:rPr>
          <w:sz w:val="22"/>
          <w:szCs w:val="22"/>
          <w:lang w:val="en-US"/>
        </w:rPr>
        <w:t>and violence against children</w:t>
      </w:r>
      <w:r w:rsidRPr="00841766">
        <w:rPr>
          <w:rFonts w:cs="Calibri"/>
          <w:sz w:val="22"/>
          <w:szCs w:val="22"/>
          <w:lang w:val="en-US"/>
        </w:rPr>
        <w:t>, progress needs to be made as follows:</w:t>
      </w:r>
    </w:p>
    <w:p w14:paraId="57F70710" w14:textId="3728ACB3" w:rsidR="00B254D7" w:rsidRPr="00841766" w:rsidRDefault="00FB0EC6" w:rsidP="00552AAD">
      <w:pPr>
        <w:pStyle w:val="ListParagraph"/>
        <w:numPr>
          <w:ilvl w:val="0"/>
          <w:numId w:val="14"/>
        </w:numPr>
        <w:tabs>
          <w:tab w:val="num" w:pos="720"/>
        </w:tabs>
        <w:ind w:right="-7"/>
        <w:jc w:val="both"/>
        <w:rPr>
          <w:rFonts w:cs="Calibri"/>
          <w:sz w:val="22"/>
          <w:szCs w:val="22"/>
          <w:lang w:val="en-US"/>
        </w:rPr>
      </w:pPr>
      <w:r w:rsidRPr="00841766">
        <w:rPr>
          <w:rFonts w:cs="Calibri"/>
          <w:sz w:val="22"/>
          <w:szCs w:val="22"/>
          <w:lang w:val="en-US"/>
        </w:rPr>
        <w:t xml:space="preserve">Ensuring implementation of </w:t>
      </w:r>
      <w:r w:rsidR="00B254D7" w:rsidRPr="00841766">
        <w:rPr>
          <w:rFonts w:cs="Calibri"/>
          <w:sz w:val="22"/>
          <w:szCs w:val="22"/>
          <w:lang w:val="en-US"/>
        </w:rPr>
        <w:t>an enabling legislative and policy environment in line with international standards on ending violence against women and children and other forms of discrimination is in place and translated into action</w:t>
      </w:r>
      <w:r w:rsidR="00153A16" w:rsidRPr="00841766">
        <w:rPr>
          <w:rFonts w:cs="Calibri"/>
          <w:sz w:val="22"/>
          <w:szCs w:val="22"/>
          <w:lang w:val="en-US"/>
        </w:rPr>
        <w:t>,</w:t>
      </w:r>
    </w:p>
    <w:p w14:paraId="3AD6CE66" w14:textId="0F048FBF" w:rsidR="00B254D7" w:rsidRPr="00841766" w:rsidRDefault="00B254D7" w:rsidP="00552AAD">
      <w:pPr>
        <w:pStyle w:val="ListParagraph"/>
        <w:numPr>
          <w:ilvl w:val="0"/>
          <w:numId w:val="14"/>
        </w:numPr>
        <w:tabs>
          <w:tab w:val="num" w:pos="720"/>
        </w:tabs>
        <w:ind w:right="-7"/>
        <w:jc w:val="both"/>
        <w:rPr>
          <w:rFonts w:cs="Calibri"/>
          <w:sz w:val="22"/>
          <w:szCs w:val="22"/>
          <w:lang w:val="en-US"/>
        </w:rPr>
      </w:pPr>
      <w:r w:rsidRPr="00841766">
        <w:rPr>
          <w:rFonts w:cs="Calibri"/>
          <w:sz w:val="22"/>
          <w:szCs w:val="22"/>
          <w:lang w:val="en-US"/>
        </w:rPr>
        <w:lastRenderedPageBreak/>
        <w:t xml:space="preserve">Promoting </w:t>
      </w:r>
      <w:r w:rsidR="00BA1222" w:rsidRPr="00841766">
        <w:rPr>
          <w:rFonts w:cs="Calibri"/>
          <w:sz w:val="22"/>
          <w:szCs w:val="22"/>
          <w:lang w:val="en-US"/>
        </w:rPr>
        <w:t>positive</w:t>
      </w:r>
      <w:r w:rsidRPr="00841766">
        <w:rPr>
          <w:rFonts w:cs="Calibri"/>
          <w:sz w:val="22"/>
          <w:szCs w:val="22"/>
          <w:lang w:val="en-US"/>
        </w:rPr>
        <w:t xml:space="preserve"> social norms, attitudes and behaviors are promoted at community and individual levels to prevent violence against women and children</w:t>
      </w:r>
      <w:r w:rsidR="00153A16" w:rsidRPr="00841766">
        <w:rPr>
          <w:rFonts w:cs="Calibri"/>
          <w:sz w:val="22"/>
          <w:szCs w:val="22"/>
          <w:lang w:val="en-US"/>
        </w:rPr>
        <w:t>,</w:t>
      </w:r>
      <w:r w:rsidRPr="00841766">
        <w:rPr>
          <w:rFonts w:cs="Calibri"/>
          <w:sz w:val="22"/>
          <w:szCs w:val="22"/>
          <w:lang w:val="en-US"/>
        </w:rPr>
        <w:t xml:space="preserve"> </w:t>
      </w:r>
    </w:p>
    <w:p w14:paraId="5DB8F3DF" w14:textId="6F18000B" w:rsidR="00B254D7" w:rsidRPr="00841766" w:rsidRDefault="00B254D7" w:rsidP="00552AAD">
      <w:pPr>
        <w:pStyle w:val="ListParagraph"/>
        <w:numPr>
          <w:ilvl w:val="0"/>
          <w:numId w:val="14"/>
        </w:numPr>
        <w:tabs>
          <w:tab w:val="num" w:pos="720"/>
        </w:tabs>
        <w:ind w:right="-7"/>
        <w:jc w:val="both"/>
        <w:rPr>
          <w:rFonts w:cs="Calibri"/>
          <w:sz w:val="22"/>
          <w:szCs w:val="22"/>
          <w:lang w:val="en-US"/>
        </w:rPr>
      </w:pPr>
      <w:r w:rsidRPr="00841766">
        <w:rPr>
          <w:rFonts w:cs="Calibri"/>
          <w:sz w:val="22"/>
          <w:szCs w:val="22"/>
          <w:lang w:val="en-US"/>
        </w:rPr>
        <w:t>Empower</w:t>
      </w:r>
      <w:r w:rsidR="00FB0EC6" w:rsidRPr="00841766">
        <w:rPr>
          <w:rFonts w:cs="Calibri"/>
          <w:sz w:val="22"/>
          <w:szCs w:val="22"/>
          <w:lang w:val="en-US"/>
        </w:rPr>
        <w:t>ing</w:t>
      </w:r>
      <w:r w:rsidRPr="00841766">
        <w:rPr>
          <w:rFonts w:cs="Calibri"/>
          <w:sz w:val="22"/>
          <w:szCs w:val="22"/>
          <w:lang w:val="en-US"/>
        </w:rPr>
        <w:t xml:space="preserve"> women and children who experience violence to use available, accessible &amp; quality essential services &amp; recover from violence</w:t>
      </w:r>
      <w:r w:rsidR="00153A16" w:rsidRPr="00841766">
        <w:rPr>
          <w:rFonts w:cs="Calibri"/>
          <w:sz w:val="22"/>
          <w:szCs w:val="22"/>
          <w:lang w:val="en-US"/>
        </w:rPr>
        <w:t>,</w:t>
      </w:r>
    </w:p>
    <w:p w14:paraId="608BB8AB" w14:textId="30D56AB2" w:rsidR="00FB0EC6" w:rsidRDefault="00FB0EC6" w:rsidP="00552AAD">
      <w:pPr>
        <w:pStyle w:val="ListParagraph"/>
        <w:numPr>
          <w:ilvl w:val="0"/>
          <w:numId w:val="14"/>
        </w:numPr>
        <w:tabs>
          <w:tab w:val="num" w:pos="720"/>
        </w:tabs>
        <w:ind w:right="-7"/>
        <w:jc w:val="both"/>
        <w:rPr>
          <w:rFonts w:cs="Calibri"/>
          <w:sz w:val="22"/>
          <w:szCs w:val="22"/>
          <w:lang w:val="en-US"/>
        </w:rPr>
      </w:pPr>
      <w:r w:rsidRPr="00841766">
        <w:rPr>
          <w:rFonts w:cs="Calibri"/>
          <w:sz w:val="22"/>
          <w:szCs w:val="22"/>
          <w:lang w:val="en-US"/>
        </w:rPr>
        <w:t xml:space="preserve">Supporting coordination and collaboration across government, civil society organizations, including groups representing women, youth, members of the LGBTI community, persons with disabilities, among other marginalized groups and development partners for greater impact and sustainability over time. </w:t>
      </w:r>
    </w:p>
    <w:p w14:paraId="066AFB52" w14:textId="140162EB" w:rsidR="00B61977" w:rsidRDefault="00F74E62" w:rsidP="00552AAD">
      <w:pPr>
        <w:pStyle w:val="ListParagraph"/>
        <w:numPr>
          <w:ilvl w:val="0"/>
          <w:numId w:val="14"/>
        </w:numPr>
        <w:tabs>
          <w:tab w:val="num" w:pos="720"/>
        </w:tabs>
        <w:ind w:right="-7"/>
        <w:jc w:val="both"/>
        <w:rPr>
          <w:rFonts w:cs="Calibri"/>
          <w:sz w:val="22"/>
          <w:szCs w:val="22"/>
          <w:lang w:val="en-US"/>
        </w:rPr>
      </w:pPr>
      <w:r>
        <w:rPr>
          <w:rFonts w:cs="Calibri"/>
          <w:sz w:val="22"/>
          <w:szCs w:val="22"/>
          <w:lang w:val="en-US"/>
        </w:rPr>
        <w:t>S</w:t>
      </w:r>
      <w:r w:rsidR="00B61977">
        <w:rPr>
          <w:rFonts w:cs="Calibri"/>
          <w:sz w:val="22"/>
          <w:szCs w:val="22"/>
          <w:lang w:val="en-US"/>
        </w:rPr>
        <w:t xml:space="preserve">ocialization of Trafficking in Persons Law (2016), alongside the Law on Domestic Violence. </w:t>
      </w:r>
    </w:p>
    <w:p w14:paraId="15E33CB0" w14:textId="3B379998" w:rsidR="00CF29D6" w:rsidRDefault="00CF29D6" w:rsidP="00552AAD">
      <w:pPr>
        <w:tabs>
          <w:tab w:val="num" w:pos="720"/>
        </w:tabs>
        <w:ind w:right="-7"/>
        <w:jc w:val="both"/>
        <w:rPr>
          <w:rFonts w:cs="Calibri"/>
          <w:sz w:val="22"/>
          <w:szCs w:val="22"/>
          <w:lang w:val="en-US"/>
        </w:rPr>
      </w:pPr>
    </w:p>
    <w:p w14:paraId="39212304" w14:textId="77777777" w:rsidR="00CF29D6" w:rsidRPr="00CF29D6" w:rsidRDefault="00CF29D6" w:rsidP="00552AAD">
      <w:pPr>
        <w:jc w:val="both"/>
        <w:rPr>
          <w:rFonts w:cstheme="minorHAnsi"/>
          <w:b/>
          <w:bCs/>
          <w:lang w:val="en-US"/>
        </w:rPr>
      </w:pPr>
      <w:r w:rsidRPr="00CF29D6">
        <w:rPr>
          <w:b/>
          <w:bCs/>
          <w:lang w:val="en-US"/>
        </w:rPr>
        <w:t>Contribution</w:t>
      </w:r>
      <w:r w:rsidRPr="00CF29D6">
        <w:rPr>
          <w:rFonts w:cstheme="minorHAnsi"/>
          <w:b/>
          <w:bCs/>
          <w:lang w:val="en-US"/>
        </w:rPr>
        <w:t xml:space="preserve"> to the SDGs</w:t>
      </w:r>
    </w:p>
    <w:p w14:paraId="71719B68" w14:textId="7DE0110A" w:rsidR="00CF29D6" w:rsidRPr="00CF29D6" w:rsidRDefault="00CF29D6" w:rsidP="00552AAD">
      <w:pPr>
        <w:tabs>
          <w:tab w:val="left" w:pos="284"/>
        </w:tabs>
        <w:autoSpaceDE w:val="0"/>
        <w:autoSpaceDN w:val="0"/>
        <w:adjustRightInd w:val="0"/>
        <w:spacing w:after="120"/>
        <w:jc w:val="both"/>
        <w:rPr>
          <w:rFonts w:cstheme="minorHAnsi"/>
          <w:b/>
          <w:bCs/>
          <w:sz w:val="22"/>
          <w:szCs w:val="22"/>
          <w:lang w:val="en-US"/>
        </w:rPr>
      </w:pPr>
      <w:r w:rsidRPr="00CF29D6">
        <w:rPr>
          <w:rFonts w:cstheme="minorHAnsi"/>
          <w:sz w:val="22"/>
          <w:szCs w:val="22"/>
          <w:lang w:val="en-US"/>
        </w:rPr>
        <w:t xml:space="preserve">Outcome 5 will specifically contribute and measure progress towards peace and justice, strong institutions (SDG 16), reduced inequalities (SDG 10), gender equality (SDG 5). Focusing on these strategic areas will contribute to positive spillover effects, accelerating progress towards zero hunger (SDG 2) and quality education (SDG 4). </w:t>
      </w:r>
    </w:p>
    <w:p w14:paraId="1B70A388" w14:textId="77777777" w:rsidR="00B254D7" w:rsidRPr="00841766" w:rsidRDefault="00B254D7" w:rsidP="00552AAD">
      <w:pPr>
        <w:autoSpaceDE w:val="0"/>
        <w:autoSpaceDN w:val="0"/>
        <w:adjustRightInd w:val="0"/>
        <w:jc w:val="both"/>
        <w:rPr>
          <w:rFonts w:cs="Times New Roman"/>
          <w:sz w:val="22"/>
          <w:szCs w:val="22"/>
          <w:lang w:val="en-US"/>
        </w:rPr>
      </w:pPr>
    </w:p>
    <w:p w14:paraId="4B3E5300" w14:textId="10880CD0" w:rsidR="00B254D7" w:rsidRPr="000135BE" w:rsidRDefault="00B254D7" w:rsidP="00552AAD">
      <w:pPr>
        <w:jc w:val="both"/>
        <w:rPr>
          <w:b/>
          <w:bCs/>
          <w:lang w:val="en-US"/>
        </w:rPr>
      </w:pPr>
      <w:bookmarkStart w:id="87" w:name="_Toc29540801"/>
      <w:bookmarkStart w:id="88" w:name="_Toc29550734"/>
      <w:bookmarkStart w:id="89" w:name="_Toc29550829"/>
      <w:bookmarkStart w:id="90" w:name="_Toc29900363"/>
      <w:bookmarkStart w:id="91" w:name="_Toc30407946"/>
      <w:bookmarkStart w:id="92" w:name="_Toc31376352"/>
      <w:r w:rsidRPr="000135BE">
        <w:rPr>
          <w:b/>
          <w:bCs/>
          <w:lang w:val="en-US"/>
        </w:rPr>
        <w:t xml:space="preserve">UN Comparative advantages, partnership and South-South or </w:t>
      </w:r>
      <w:r w:rsidR="00552AAD">
        <w:rPr>
          <w:b/>
          <w:bCs/>
          <w:lang w:val="en-US"/>
        </w:rPr>
        <w:t>T</w:t>
      </w:r>
      <w:r w:rsidRPr="000135BE">
        <w:rPr>
          <w:b/>
          <w:bCs/>
          <w:lang w:val="en-US"/>
        </w:rPr>
        <w:t>riangular Cooperation</w:t>
      </w:r>
      <w:bookmarkEnd w:id="87"/>
      <w:bookmarkEnd w:id="88"/>
      <w:bookmarkEnd w:id="89"/>
      <w:bookmarkEnd w:id="90"/>
      <w:bookmarkEnd w:id="91"/>
      <w:bookmarkEnd w:id="92"/>
    </w:p>
    <w:p w14:paraId="5B8346EE" w14:textId="76B17369" w:rsidR="00B254D7" w:rsidRPr="00841766" w:rsidRDefault="00E5688F" w:rsidP="00552AAD">
      <w:pPr>
        <w:jc w:val="both"/>
        <w:rPr>
          <w:rFonts w:cs="Calibri"/>
          <w:sz w:val="22"/>
          <w:szCs w:val="22"/>
          <w:lang w:val="en-US"/>
        </w:rPr>
      </w:pPr>
      <w:r>
        <w:rPr>
          <w:rFonts w:cs="Calibri"/>
          <w:sz w:val="22"/>
          <w:szCs w:val="22"/>
          <w:lang w:val="en-US"/>
        </w:rPr>
        <w:t xml:space="preserve">The UN is uniquely positioned to work on accountable, inclusive and participatory governance and quality public services. This is based on the historic cooperation with the Government of Timor-Leste, even before the </w:t>
      </w:r>
      <w:r w:rsidR="009F5D41">
        <w:rPr>
          <w:rFonts w:cs="Calibri"/>
          <w:sz w:val="22"/>
          <w:szCs w:val="22"/>
          <w:lang w:val="en-US"/>
        </w:rPr>
        <w:t xml:space="preserve">country’s </w:t>
      </w:r>
      <w:r>
        <w:rPr>
          <w:rFonts w:cs="Calibri"/>
          <w:sz w:val="22"/>
          <w:szCs w:val="22"/>
          <w:lang w:val="en-US"/>
        </w:rPr>
        <w:t xml:space="preserve">independence. The UNs impartial and rights-based body of technical assistance that respects national priority and works together to achieve national goals. </w:t>
      </w:r>
      <w:r w:rsidR="00B254D7" w:rsidRPr="00841766">
        <w:rPr>
          <w:rFonts w:cs="Calibri"/>
          <w:sz w:val="22"/>
          <w:szCs w:val="22"/>
          <w:lang w:val="en-US"/>
        </w:rPr>
        <w:t xml:space="preserve">The UN has supported the progress made to develop current institutional capacity, the legislative framework, and socialization of key legislation, and can work with partners to scale-up results. Partners view the role of the UN not as doing direct line functions inside the justice institutions, but rather focused on technical assistance, institutional strengthening, and empowering citizens, bringing innovative solutions to access to justice. </w:t>
      </w:r>
    </w:p>
    <w:p w14:paraId="56450A47" w14:textId="1CDE6AA9" w:rsidR="00B254D7" w:rsidRDefault="00B254D7" w:rsidP="00552AAD">
      <w:pPr>
        <w:jc w:val="both"/>
        <w:rPr>
          <w:rFonts w:cs="Calibri"/>
          <w:sz w:val="22"/>
          <w:szCs w:val="22"/>
          <w:lang w:val="en-US"/>
        </w:rPr>
      </w:pPr>
    </w:p>
    <w:p w14:paraId="6C32BC64" w14:textId="77777777" w:rsidR="00E5688F" w:rsidRPr="00714227" w:rsidRDefault="00E5688F" w:rsidP="00552AAD">
      <w:pPr>
        <w:jc w:val="both"/>
        <w:rPr>
          <w:rFonts w:cs="Calibri"/>
          <w:sz w:val="22"/>
          <w:szCs w:val="22"/>
          <w:lang w:val="en-US"/>
        </w:rPr>
      </w:pPr>
      <w:r w:rsidRPr="00714227">
        <w:rPr>
          <w:rFonts w:cs="Calibri"/>
          <w:sz w:val="22"/>
          <w:szCs w:val="22"/>
          <w:lang w:val="en-US"/>
        </w:rPr>
        <w:t xml:space="preserve">The UN Family’s year-long support to the government and civil society and their expertise in Violence Against Women and Girls globally, as well as the collaboration with private sector and other development partners, will create innovative approaches to address VAWG. Building on evidence-based interventions, it will help raise the visibility and support the expansion of effective practices – from the various pilots implemented in the past 17 years -- as well as new initiatives and innovations from communities themselves. </w:t>
      </w:r>
    </w:p>
    <w:p w14:paraId="1BAE92EA" w14:textId="77777777" w:rsidR="00E5688F" w:rsidRPr="00841766" w:rsidRDefault="00E5688F" w:rsidP="00552AAD">
      <w:pPr>
        <w:jc w:val="both"/>
        <w:rPr>
          <w:rFonts w:cs="Calibri"/>
          <w:sz w:val="22"/>
          <w:szCs w:val="22"/>
          <w:lang w:val="en-US"/>
        </w:rPr>
      </w:pPr>
    </w:p>
    <w:p w14:paraId="31A81C43" w14:textId="2D5971F2" w:rsidR="00B254D7" w:rsidRPr="00841766" w:rsidRDefault="00B254D7" w:rsidP="00552AAD">
      <w:pPr>
        <w:jc w:val="both"/>
        <w:rPr>
          <w:rFonts w:cs="Calibri"/>
          <w:sz w:val="22"/>
          <w:szCs w:val="22"/>
          <w:lang w:val="en-US"/>
        </w:rPr>
      </w:pPr>
      <w:r w:rsidRPr="00841766">
        <w:rPr>
          <w:rFonts w:cs="Calibri"/>
          <w:sz w:val="22"/>
          <w:szCs w:val="22"/>
          <w:lang w:val="en-US"/>
        </w:rPr>
        <w:t xml:space="preserve">Based on the historical support the UN has provided to the establishment and improving of the systems and processes </w:t>
      </w:r>
      <w:r w:rsidR="00E5688F">
        <w:rPr>
          <w:rFonts w:cs="Calibri"/>
          <w:sz w:val="22"/>
          <w:szCs w:val="22"/>
          <w:lang w:val="en-US"/>
        </w:rPr>
        <w:t>building strong institutions</w:t>
      </w:r>
      <w:r w:rsidRPr="00841766">
        <w:rPr>
          <w:rFonts w:cs="Calibri"/>
          <w:sz w:val="22"/>
          <w:szCs w:val="22"/>
          <w:lang w:val="en-US"/>
        </w:rPr>
        <w:t xml:space="preserve"> in several countries, as well as on the specific capacities and mandates that each of the agencies can contribute to, the UN family is well positioned to answer the challenges of the public administration in Timor-Leste. </w:t>
      </w:r>
    </w:p>
    <w:p w14:paraId="409FFDE1" w14:textId="77777777" w:rsidR="0022226F" w:rsidRPr="00841766" w:rsidRDefault="0022226F" w:rsidP="00552AAD">
      <w:pPr>
        <w:jc w:val="both"/>
        <w:rPr>
          <w:rFonts w:cs="Calibri"/>
          <w:sz w:val="22"/>
          <w:szCs w:val="22"/>
          <w:lang w:val="en-US"/>
        </w:rPr>
      </w:pPr>
    </w:p>
    <w:p w14:paraId="19510159" w14:textId="70954CAB" w:rsidR="00B254D7" w:rsidRPr="00841766" w:rsidRDefault="00B254D7" w:rsidP="00552AAD">
      <w:pPr>
        <w:jc w:val="both"/>
        <w:rPr>
          <w:rFonts w:cs="Calibri"/>
          <w:color w:val="FF0000"/>
          <w:sz w:val="22"/>
          <w:szCs w:val="22"/>
          <w:lang w:val="en-US"/>
        </w:rPr>
      </w:pPr>
      <w:r w:rsidRPr="00841766">
        <w:rPr>
          <w:rFonts w:cs="Calibri"/>
          <w:sz w:val="22"/>
          <w:szCs w:val="22"/>
          <w:lang w:val="en-US"/>
        </w:rPr>
        <w:t xml:space="preserve">The </w:t>
      </w:r>
      <w:r w:rsidR="00552AAD">
        <w:rPr>
          <w:rFonts w:cs="Calibri"/>
          <w:sz w:val="22"/>
          <w:szCs w:val="22"/>
          <w:lang w:val="en-US"/>
        </w:rPr>
        <w:t>G</w:t>
      </w:r>
      <w:r w:rsidRPr="00841766">
        <w:rPr>
          <w:rFonts w:cs="Calibri"/>
          <w:sz w:val="22"/>
          <w:szCs w:val="22"/>
          <w:lang w:val="en-US"/>
        </w:rPr>
        <w:t xml:space="preserve">overnment </w:t>
      </w:r>
      <w:r w:rsidR="00552AAD">
        <w:rPr>
          <w:rFonts w:cs="Calibri"/>
          <w:sz w:val="22"/>
          <w:szCs w:val="22"/>
          <w:lang w:val="en-US"/>
        </w:rPr>
        <w:t xml:space="preserve">has </w:t>
      </w:r>
      <w:r w:rsidRPr="00841766">
        <w:rPr>
          <w:rFonts w:cs="Calibri"/>
          <w:sz w:val="22"/>
          <w:szCs w:val="22"/>
          <w:lang w:val="en-US"/>
        </w:rPr>
        <w:t>openly requested several UN agencies to support them in moving forward to a more effective and innovative public service administration, evidence-based planning and budgeting systems with civil service professionals that provide timely, efficient, gender-responsive and accessible services to all people of Timor-Leste.</w:t>
      </w:r>
    </w:p>
    <w:p w14:paraId="53AD5FFD" w14:textId="77777777" w:rsidR="00B254D7" w:rsidRPr="00841766" w:rsidRDefault="00B254D7" w:rsidP="00552AAD">
      <w:pPr>
        <w:tabs>
          <w:tab w:val="num" w:pos="720"/>
        </w:tabs>
        <w:ind w:right="-7"/>
        <w:jc w:val="both"/>
        <w:rPr>
          <w:rFonts w:cs="Calibri"/>
          <w:sz w:val="22"/>
          <w:szCs w:val="22"/>
          <w:lang w:val="en-US"/>
        </w:rPr>
      </w:pPr>
    </w:p>
    <w:p w14:paraId="3D4850A4" w14:textId="5F76262D" w:rsidR="00B254D7" w:rsidRDefault="00B254D7" w:rsidP="00552AAD">
      <w:pPr>
        <w:tabs>
          <w:tab w:val="num" w:pos="720"/>
        </w:tabs>
        <w:ind w:right="-7"/>
        <w:jc w:val="both"/>
        <w:rPr>
          <w:rFonts w:cs="Calibri"/>
          <w:sz w:val="22"/>
          <w:szCs w:val="22"/>
          <w:lang w:val="en-US"/>
        </w:rPr>
      </w:pPr>
      <w:r w:rsidRPr="00841766">
        <w:rPr>
          <w:rFonts w:cs="Calibri"/>
          <w:sz w:val="22"/>
          <w:szCs w:val="22"/>
          <w:lang w:val="en-US"/>
        </w:rPr>
        <w:t xml:space="preserve">Government, civil society and development partners affirmed the value for the UN to increase investments in addressing gender inequality as a bottleneck and human rights violation, which can also contribute to greater resilience of communities. GBV </w:t>
      </w:r>
      <w:r w:rsidR="00FF1E51" w:rsidRPr="00841766">
        <w:rPr>
          <w:rFonts w:cs="Calibri"/>
          <w:sz w:val="22"/>
          <w:szCs w:val="22"/>
          <w:lang w:val="en-US"/>
        </w:rPr>
        <w:t xml:space="preserve">and violence against children </w:t>
      </w:r>
      <w:r w:rsidR="00BA1222" w:rsidRPr="00841766">
        <w:rPr>
          <w:rFonts w:cs="Calibri"/>
          <w:sz w:val="22"/>
          <w:szCs w:val="22"/>
          <w:lang w:val="en-US"/>
        </w:rPr>
        <w:t>are</w:t>
      </w:r>
      <w:r w:rsidRPr="00841766">
        <w:rPr>
          <w:rFonts w:cs="Calibri"/>
          <w:sz w:val="22"/>
          <w:szCs w:val="22"/>
          <w:lang w:val="en-US"/>
        </w:rPr>
        <w:t xml:space="preserve"> a Government priority and requires partnership and sustained investment across sectors and stakeholders, which the UN is well positioned to do, and can ensure investments can be sustained beyond the UNSDCF period.</w:t>
      </w:r>
      <w:r w:rsidR="007772D2" w:rsidRPr="00841766">
        <w:rPr>
          <w:rFonts w:cs="Calibri"/>
          <w:sz w:val="22"/>
          <w:szCs w:val="22"/>
          <w:lang w:val="en-US"/>
        </w:rPr>
        <w:t xml:space="preserve"> The Spotlight initiative</w:t>
      </w:r>
      <w:r w:rsidR="00EA7125" w:rsidRPr="00841766">
        <w:rPr>
          <w:rFonts w:cs="Calibri"/>
          <w:sz w:val="22"/>
          <w:szCs w:val="22"/>
          <w:lang w:val="en-US"/>
        </w:rPr>
        <w:t xml:space="preserve"> on EVAWG</w:t>
      </w:r>
      <w:r w:rsidR="007772D2" w:rsidRPr="00841766">
        <w:rPr>
          <w:rFonts w:cs="Calibri"/>
          <w:sz w:val="22"/>
          <w:szCs w:val="22"/>
          <w:lang w:val="en-US"/>
        </w:rPr>
        <w:t xml:space="preserve"> brings a new way of working together, harnessing the individual UN agency expertise and collective experiences on EVAWG in Timor-Leste and around the world. </w:t>
      </w:r>
      <w:r w:rsidRPr="00841766">
        <w:rPr>
          <w:rFonts w:cs="Calibri"/>
          <w:sz w:val="22"/>
          <w:szCs w:val="22"/>
          <w:lang w:val="en-US"/>
        </w:rPr>
        <w:t xml:space="preserve"> </w:t>
      </w:r>
      <w:r w:rsidR="00EA7125" w:rsidRPr="00841766">
        <w:rPr>
          <w:rFonts w:cs="Calibri"/>
          <w:sz w:val="22"/>
          <w:szCs w:val="22"/>
          <w:lang w:val="en-US"/>
        </w:rPr>
        <w:t xml:space="preserve">The UN system will work in close partnership with the EU to model this change in its investment and approach to partnership, </w:t>
      </w:r>
      <w:r w:rsidR="00EA7125" w:rsidRPr="00841766">
        <w:rPr>
          <w:rFonts w:cs="Calibri"/>
          <w:sz w:val="22"/>
          <w:szCs w:val="22"/>
          <w:lang w:val="en-US"/>
        </w:rPr>
        <w:lastRenderedPageBreak/>
        <w:t>striving to ‘walk the talk’ in EVAWG and strengthen the momentum of the existing movement for equality in Timor-Leste.</w:t>
      </w:r>
    </w:p>
    <w:p w14:paraId="52A3777F" w14:textId="77777777" w:rsidR="00FE7ABF" w:rsidRPr="00841766" w:rsidRDefault="00FE7ABF" w:rsidP="00552AAD">
      <w:pPr>
        <w:tabs>
          <w:tab w:val="num" w:pos="720"/>
        </w:tabs>
        <w:ind w:right="-7"/>
        <w:jc w:val="both"/>
        <w:rPr>
          <w:rFonts w:cs="Calibri"/>
          <w:sz w:val="22"/>
          <w:szCs w:val="22"/>
          <w:lang w:val="en-US"/>
        </w:rPr>
      </w:pPr>
    </w:p>
    <w:p w14:paraId="12AA38A7" w14:textId="7701CF25" w:rsidR="00FE7ABF" w:rsidRDefault="00FE7ABF" w:rsidP="00552AAD">
      <w:pPr>
        <w:tabs>
          <w:tab w:val="num" w:pos="720"/>
        </w:tabs>
        <w:ind w:right="-7"/>
        <w:jc w:val="both"/>
        <w:rPr>
          <w:rFonts w:cs="Calibri"/>
          <w:sz w:val="22"/>
          <w:szCs w:val="22"/>
          <w:lang w:val="en-US"/>
        </w:rPr>
      </w:pPr>
      <w:r>
        <w:rPr>
          <w:rFonts w:cs="Calibri"/>
          <w:sz w:val="22"/>
          <w:szCs w:val="22"/>
          <w:lang w:val="en-US"/>
        </w:rPr>
        <w:t xml:space="preserve">To address VAWG and gender equality, it is importantly to bring women and girls to the </w:t>
      </w:r>
      <w:proofErr w:type="spellStart"/>
      <w:r>
        <w:rPr>
          <w:rFonts w:cs="Calibri"/>
          <w:sz w:val="22"/>
          <w:szCs w:val="22"/>
          <w:lang w:val="en-US"/>
        </w:rPr>
        <w:t>centre</w:t>
      </w:r>
      <w:proofErr w:type="spellEnd"/>
      <w:r>
        <w:rPr>
          <w:rFonts w:cs="Calibri"/>
          <w:sz w:val="22"/>
          <w:szCs w:val="22"/>
          <w:lang w:val="en-US"/>
        </w:rPr>
        <w:t xml:space="preserve"> of the interventions, recognizing that the empowerment of women and girls, in their diversity, is the starting point to eliminating the violence and lack of voice they face. Therefore partnerships with established and new women’s organizations, representing women in their diversity will be a </w:t>
      </w:r>
      <w:proofErr w:type="spellStart"/>
      <w:r>
        <w:rPr>
          <w:rFonts w:cs="Calibri"/>
          <w:sz w:val="22"/>
          <w:szCs w:val="22"/>
          <w:lang w:val="en-US"/>
        </w:rPr>
        <w:t>centre</w:t>
      </w:r>
      <w:proofErr w:type="spellEnd"/>
      <w:r>
        <w:rPr>
          <w:rFonts w:cs="Calibri"/>
          <w:sz w:val="22"/>
          <w:szCs w:val="22"/>
          <w:lang w:val="en-US"/>
        </w:rPr>
        <w:t xml:space="preserve"> piece of UN’s work on VAWG, and will also further deepen the linkages to link the collaboration to other programmes, to ensure that all Governance related work has a clear women’s empowerment agenda driven by women and girls themselves (including from youth, feminists, women with disabilities and LBTI). </w:t>
      </w:r>
      <w:r w:rsidRPr="00714227">
        <w:rPr>
          <w:rFonts w:cs="Calibri"/>
          <w:sz w:val="22"/>
          <w:szCs w:val="22"/>
          <w:lang w:val="en-US"/>
        </w:rPr>
        <w:t xml:space="preserve">To achieve </w:t>
      </w:r>
      <w:r>
        <w:rPr>
          <w:rFonts w:cs="Calibri"/>
          <w:sz w:val="22"/>
          <w:szCs w:val="22"/>
          <w:lang w:val="en-US"/>
        </w:rPr>
        <w:t>Priority</w:t>
      </w:r>
      <w:r w:rsidRPr="00714227">
        <w:rPr>
          <w:rFonts w:cs="Calibri"/>
          <w:sz w:val="22"/>
          <w:szCs w:val="22"/>
          <w:lang w:val="en-US"/>
        </w:rPr>
        <w:t xml:space="preserve"> 5 the UN will generate new connections, leverage each agency and the wider UN system’s </w:t>
      </w:r>
      <w:r>
        <w:rPr>
          <w:rFonts w:cs="Calibri"/>
          <w:sz w:val="22"/>
          <w:szCs w:val="22"/>
          <w:lang w:val="en-US"/>
        </w:rPr>
        <w:t xml:space="preserve">opportunities and entry points, and facilitate creativity in seeking solutions to entrenched challenges around norms and attitudes. It will listen and build on the priorities of key stakeholders and recognize that empowerment and change must start from within. The UN will also strengthen and widen partnerships and solidarity across civil society, government, media, private sector and development partners. Building on the Spotlight Initiative which involves 5 UN Agencies it will empower individuals, equip institutions at national, sub-national and community levels with the policies, systems and mechanisms to prevent and respond to VAWG and gender equality, and encourage the public to challenge harmful gender norms. </w:t>
      </w:r>
    </w:p>
    <w:p w14:paraId="274C20E8" w14:textId="77777777" w:rsidR="00FE7ABF" w:rsidRDefault="00FE7ABF" w:rsidP="00552AAD">
      <w:pPr>
        <w:tabs>
          <w:tab w:val="num" w:pos="720"/>
        </w:tabs>
        <w:ind w:right="-7"/>
        <w:jc w:val="both"/>
        <w:rPr>
          <w:rFonts w:cs="Calibri"/>
          <w:sz w:val="22"/>
          <w:szCs w:val="22"/>
          <w:lang w:val="en-US"/>
        </w:rPr>
      </w:pPr>
    </w:p>
    <w:p w14:paraId="430F3645" w14:textId="0C8F38C7" w:rsidR="00FE7ABF" w:rsidRPr="00714227" w:rsidRDefault="00FE7ABF" w:rsidP="004C515B">
      <w:pPr>
        <w:tabs>
          <w:tab w:val="num" w:pos="720"/>
        </w:tabs>
        <w:ind w:right="-7"/>
        <w:rPr>
          <w:rFonts w:cs="Calibri"/>
          <w:sz w:val="22"/>
          <w:szCs w:val="22"/>
          <w:lang w:val="en-US"/>
        </w:rPr>
      </w:pPr>
      <w:r w:rsidRPr="00714227">
        <w:rPr>
          <w:rFonts w:cs="Calibri"/>
          <w:sz w:val="22"/>
          <w:szCs w:val="22"/>
          <w:lang w:val="en-US"/>
        </w:rPr>
        <w:t xml:space="preserve">Through the regional work of the UN Agencies, each agency will continue to engage with other member states in the region, building into their interventions learning from other countries. In the framework of women’s empowerment, UN will also continue to link civil society, especially women’s organizations and gender advocates, to larger regional networks as the women’s mediators network, the regional vendors associations. </w:t>
      </w:r>
      <w:r w:rsidR="00CC5428">
        <w:rPr>
          <w:rFonts w:cs="Calibri"/>
          <w:sz w:val="22"/>
          <w:szCs w:val="22"/>
          <w:lang w:val="en-US"/>
        </w:rPr>
        <w:t xml:space="preserve">The UN will </w:t>
      </w:r>
      <w:r w:rsidRPr="00714227">
        <w:rPr>
          <w:rFonts w:cs="Calibri"/>
          <w:sz w:val="22"/>
          <w:szCs w:val="22"/>
          <w:lang w:val="en-US"/>
        </w:rPr>
        <w:t xml:space="preserve">also continue engaging Government Institutions in the regional and global human rights platforms, including on Women, Peace and Security, CEDAW, Beijing Platform of Action. </w:t>
      </w:r>
    </w:p>
    <w:p w14:paraId="1A4A745A" w14:textId="77777777" w:rsidR="00B254D7" w:rsidRPr="00841766" w:rsidRDefault="00B254D7" w:rsidP="004C515B">
      <w:pPr>
        <w:autoSpaceDE w:val="0"/>
        <w:autoSpaceDN w:val="0"/>
        <w:adjustRightInd w:val="0"/>
        <w:rPr>
          <w:rFonts w:cs="Times New Roman"/>
          <w:sz w:val="22"/>
          <w:szCs w:val="22"/>
          <w:lang w:val="en-US"/>
        </w:rPr>
      </w:pPr>
    </w:p>
    <w:p w14:paraId="355E7331" w14:textId="77777777" w:rsidR="00B254D7" w:rsidRPr="00841766" w:rsidRDefault="00B254D7" w:rsidP="00552AAD">
      <w:pPr>
        <w:autoSpaceDE w:val="0"/>
        <w:autoSpaceDN w:val="0"/>
        <w:adjustRightInd w:val="0"/>
        <w:jc w:val="both"/>
        <w:rPr>
          <w:rFonts w:cs="Times New Roman"/>
          <w:sz w:val="22"/>
          <w:szCs w:val="22"/>
          <w:lang w:val="en-US"/>
        </w:rPr>
      </w:pPr>
    </w:p>
    <w:p w14:paraId="5874F467" w14:textId="580985E6" w:rsidR="00B254D7" w:rsidRDefault="00A261B4" w:rsidP="00552AAD">
      <w:pPr>
        <w:pStyle w:val="Heading3"/>
        <w:spacing w:after="120"/>
        <w:jc w:val="both"/>
        <w:rPr>
          <w:rFonts w:eastAsia="Times New Roman"/>
          <w:lang w:val="en-US" w:eastAsia="fr-FR"/>
        </w:rPr>
      </w:pPr>
      <w:bookmarkStart w:id="93" w:name="_Toc29550735"/>
      <w:bookmarkStart w:id="94" w:name="_Toc40265803"/>
      <w:r w:rsidRPr="00841766">
        <w:rPr>
          <w:rFonts w:cstheme="minorHAnsi"/>
          <w:lang w:val="en-US"/>
        </w:rPr>
        <w:t xml:space="preserve">COOPERATION FRAMEWORK OUTCOME 6: </w:t>
      </w:r>
      <w:r w:rsidRPr="00841766">
        <w:rPr>
          <w:rFonts w:eastAsia="Times New Roman"/>
          <w:lang w:val="en-US" w:eastAsia="fr-FR"/>
        </w:rPr>
        <w:t>Sustainable Management of Natural Resources and resilience to Climate change</w:t>
      </w:r>
      <w:bookmarkEnd w:id="93"/>
      <w:bookmarkEnd w:id="94"/>
    </w:p>
    <w:p w14:paraId="00629C7B" w14:textId="77777777" w:rsidR="00985039" w:rsidRPr="00985039" w:rsidRDefault="00985039" w:rsidP="00552AAD">
      <w:pPr>
        <w:jc w:val="both"/>
        <w:rPr>
          <w:lang w:val="en-US" w:eastAsia="fr-FR"/>
        </w:rPr>
      </w:pPr>
    </w:p>
    <w:p w14:paraId="19D10563" w14:textId="4882D6D7" w:rsidR="00B254D7" w:rsidRDefault="00FF1E51" w:rsidP="00552AAD">
      <w:pPr>
        <w:jc w:val="both"/>
        <w:rPr>
          <w:rFonts w:cs="Calibri"/>
          <w:color w:val="000000"/>
          <w:lang w:val="en-US"/>
        </w:rPr>
      </w:pPr>
      <w:r w:rsidRPr="00841766">
        <w:rPr>
          <w:rFonts w:cs="Calibri"/>
          <w:color w:val="000000"/>
          <w:lang w:val="en-US"/>
        </w:rPr>
        <w:t>“</w:t>
      </w:r>
      <w:r w:rsidR="00B254D7" w:rsidRPr="00841766">
        <w:rPr>
          <w:rFonts w:cs="Calibri"/>
          <w:color w:val="000000"/>
          <w:lang w:val="en-US"/>
        </w:rPr>
        <w:t>By 2025, national and sub-national institutions and communities (particularly at-risk populations including women and children) in Timor-Leste are better able to manage natural resources and achieve enhanced resilience to impacts of climate change, natural and human-induced hazards, and environmental degradation, inclusively and sustainably.</w:t>
      </w:r>
      <w:r w:rsidRPr="00841766">
        <w:rPr>
          <w:rFonts w:cs="Calibri"/>
          <w:color w:val="000000"/>
          <w:lang w:val="en-US"/>
        </w:rPr>
        <w:t>”</w:t>
      </w:r>
    </w:p>
    <w:p w14:paraId="5E78C9F3" w14:textId="5AE852EE" w:rsidR="000E26B5" w:rsidRDefault="000E26B5" w:rsidP="00552AAD">
      <w:pPr>
        <w:jc w:val="both"/>
        <w:rPr>
          <w:rFonts w:cs="Calibri"/>
          <w:color w:val="000000"/>
          <w:lang w:val="en-US"/>
        </w:rPr>
      </w:pPr>
    </w:p>
    <w:p w14:paraId="1DC264A2" w14:textId="6B332987" w:rsidR="000E26B5" w:rsidRPr="000E26B5" w:rsidRDefault="000E26B5" w:rsidP="00552AAD">
      <w:pPr>
        <w:jc w:val="both"/>
        <w:rPr>
          <w:rFonts w:cs="Calibri"/>
          <w:b/>
          <w:bCs/>
          <w:color w:val="000000"/>
          <w:lang w:val="en-US"/>
        </w:rPr>
      </w:pPr>
      <w:r w:rsidRPr="000E26B5">
        <w:rPr>
          <w:rFonts w:cs="Calibri"/>
          <w:b/>
          <w:bCs/>
          <w:color w:val="000000"/>
          <w:lang w:val="en-US"/>
        </w:rPr>
        <w:t>Intended Development Results</w:t>
      </w:r>
    </w:p>
    <w:p w14:paraId="69896304" w14:textId="1B7A71F0" w:rsidR="000E26B5" w:rsidRPr="00395A14" w:rsidRDefault="000E26B5" w:rsidP="00552AAD">
      <w:pPr>
        <w:pStyle w:val="Default"/>
        <w:spacing w:after="120"/>
        <w:jc w:val="both"/>
        <w:rPr>
          <w:rFonts w:asciiTheme="minorHAnsi" w:hAnsiTheme="minorHAnsi" w:cstheme="minorHAnsi"/>
          <w:sz w:val="22"/>
          <w:szCs w:val="22"/>
          <w:highlight w:val="yellow"/>
          <w:lang w:val="en-US"/>
        </w:rPr>
      </w:pPr>
      <w:r w:rsidRPr="000E26B5">
        <w:rPr>
          <w:rFonts w:asciiTheme="minorHAnsi" w:hAnsiTheme="minorHAnsi" w:cstheme="minorHAnsi"/>
          <w:sz w:val="22"/>
          <w:szCs w:val="22"/>
          <w:lang w:val="en-US"/>
        </w:rPr>
        <w:t xml:space="preserve">The UNSDCF aims to ensure the sustainability of development progress in Timor-Leste by strengthening the ability of its institutions and communities to adapt to climate change and manage the risks of natural disasters, to mitigate their impacts on people’s lives, livelihoods, services and infrastructures, while preserving its natural resources.  </w:t>
      </w:r>
    </w:p>
    <w:p w14:paraId="49D8B7E0" w14:textId="77777777" w:rsidR="000E26B5" w:rsidRDefault="000E26B5" w:rsidP="004C515B">
      <w:pPr>
        <w:rPr>
          <w:rFonts w:cs="Calibri"/>
          <w:b/>
          <w:bCs/>
          <w:color w:val="000000"/>
          <w:lang w:val="en-US"/>
        </w:rPr>
      </w:pPr>
    </w:p>
    <w:p w14:paraId="0579FBC5" w14:textId="3570F7A1" w:rsidR="006976AD" w:rsidRPr="000135BE" w:rsidRDefault="006976AD" w:rsidP="004C515B">
      <w:pPr>
        <w:rPr>
          <w:rFonts w:cs="Calibri"/>
          <w:b/>
          <w:bCs/>
          <w:color w:val="000000"/>
          <w:lang w:val="en-US"/>
        </w:rPr>
      </w:pPr>
      <w:r w:rsidRPr="000135BE">
        <w:rPr>
          <w:rFonts w:cs="Calibri"/>
          <w:b/>
          <w:bCs/>
          <w:color w:val="000000"/>
          <w:lang w:val="en-US"/>
        </w:rPr>
        <w:t>Partners</w:t>
      </w:r>
    </w:p>
    <w:tbl>
      <w:tblPr>
        <w:tblStyle w:val="TableGrid"/>
        <w:tblW w:w="0" w:type="auto"/>
        <w:tblLook w:val="04A0" w:firstRow="1" w:lastRow="0" w:firstColumn="1" w:lastColumn="0" w:noHBand="0" w:noVBand="1"/>
      </w:tblPr>
      <w:tblGrid>
        <w:gridCol w:w="2515"/>
        <w:gridCol w:w="6837"/>
      </w:tblGrid>
      <w:tr w:rsidR="002B3603" w:rsidRPr="00A95AC7" w14:paraId="2DC3D64C" w14:textId="77777777" w:rsidTr="00273B6D">
        <w:tc>
          <w:tcPr>
            <w:tcW w:w="2515" w:type="dxa"/>
          </w:tcPr>
          <w:p w14:paraId="39D0174A" w14:textId="77777777" w:rsidR="002B3603" w:rsidRPr="000135BE" w:rsidRDefault="002B3603" w:rsidP="004C515B">
            <w:pPr>
              <w:rPr>
                <w:lang w:val="en-US"/>
              </w:rPr>
            </w:pPr>
            <w:r w:rsidRPr="000135BE">
              <w:rPr>
                <w:lang w:val="en-US"/>
              </w:rPr>
              <w:t>Government</w:t>
            </w:r>
          </w:p>
        </w:tc>
        <w:tc>
          <w:tcPr>
            <w:tcW w:w="6837" w:type="dxa"/>
          </w:tcPr>
          <w:p w14:paraId="04D09BE6" w14:textId="5D376043" w:rsidR="002B3603" w:rsidRPr="003F4BC2" w:rsidRDefault="002B3603" w:rsidP="004C515B">
            <w:pPr>
              <w:rPr>
                <w:rFonts w:cstheme="minorHAnsi"/>
                <w:sz w:val="22"/>
                <w:szCs w:val="22"/>
                <w:lang w:val="en-US"/>
              </w:rPr>
            </w:pPr>
            <w:r w:rsidRPr="003F4BC2">
              <w:rPr>
                <w:rFonts w:cstheme="minorHAnsi"/>
                <w:sz w:val="22"/>
                <w:szCs w:val="22"/>
                <w:lang w:val="en-US"/>
              </w:rPr>
              <w:t>Ministry of Social Solidarity and Inclusion</w:t>
            </w:r>
            <w:r>
              <w:rPr>
                <w:rFonts w:cstheme="minorHAnsi"/>
                <w:sz w:val="22"/>
                <w:szCs w:val="22"/>
                <w:lang w:val="en-US"/>
              </w:rPr>
              <w:t xml:space="preserve">, </w:t>
            </w:r>
            <w:r w:rsidRPr="003F4BC2">
              <w:rPr>
                <w:rFonts w:cstheme="minorHAnsi"/>
                <w:sz w:val="22"/>
                <w:szCs w:val="22"/>
                <w:lang w:val="en-US"/>
              </w:rPr>
              <w:t>Ministry of Interior (Civil Protection Directorate, NDRMD and NDOC)</w:t>
            </w:r>
            <w:r>
              <w:rPr>
                <w:rFonts w:cstheme="minorHAnsi"/>
                <w:sz w:val="22"/>
                <w:szCs w:val="22"/>
                <w:lang w:val="en-US"/>
              </w:rPr>
              <w:t xml:space="preserve">, </w:t>
            </w:r>
            <w:r w:rsidRPr="003F4BC2">
              <w:rPr>
                <w:rFonts w:cstheme="minorHAnsi"/>
                <w:sz w:val="22"/>
                <w:szCs w:val="22"/>
                <w:lang w:val="en-US"/>
              </w:rPr>
              <w:t>Ministry of Public Works (National Directorate for Hydrology)</w:t>
            </w:r>
            <w:r>
              <w:rPr>
                <w:rFonts w:cstheme="minorHAnsi"/>
                <w:sz w:val="22"/>
                <w:szCs w:val="22"/>
                <w:lang w:val="en-US"/>
              </w:rPr>
              <w:t xml:space="preserve">, </w:t>
            </w:r>
            <w:r w:rsidRPr="003F4BC2">
              <w:rPr>
                <w:rFonts w:cstheme="minorHAnsi"/>
                <w:sz w:val="22"/>
                <w:szCs w:val="22"/>
                <w:lang w:val="en-US"/>
              </w:rPr>
              <w:t>National Directorate for Meteorology</w:t>
            </w:r>
            <w:r>
              <w:rPr>
                <w:rFonts w:cstheme="minorHAnsi"/>
                <w:sz w:val="22"/>
                <w:szCs w:val="22"/>
                <w:lang w:val="en-US"/>
              </w:rPr>
              <w:t xml:space="preserve">, </w:t>
            </w:r>
            <w:r w:rsidRPr="003F4BC2">
              <w:rPr>
                <w:rFonts w:cstheme="minorHAnsi"/>
                <w:sz w:val="22"/>
                <w:szCs w:val="22"/>
                <w:lang w:val="en-US"/>
              </w:rPr>
              <w:t>Ministry of Agriculture and Fisheries</w:t>
            </w:r>
            <w:r>
              <w:rPr>
                <w:rFonts w:cstheme="minorHAnsi"/>
                <w:sz w:val="22"/>
                <w:szCs w:val="22"/>
                <w:lang w:val="en-US"/>
              </w:rPr>
              <w:t xml:space="preserve">, </w:t>
            </w:r>
            <w:r w:rsidRPr="003F4BC2">
              <w:rPr>
                <w:rFonts w:cstheme="minorHAnsi"/>
                <w:sz w:val="22"/>
                <w:szCs w:val="22"/>
                <w:lang w:val="en-US"/>
              </w:rPr>
              <w:t xml:space="preserve">Ministry of Finance </w:t>
            </w:r>
          </w:p>
          <w:p w14:paraId="7F1A4486" w14:textId="06743532" w:rsidR="002B3603" w:rsidRPr="002B3603" w:rsidRDefault="002B3603" w:rsidP="004C515B">
            <w:pPr>
              <w:rPr>
                <w:rFonts w:cstheme="minorHAnsi"/>
                <w:sz w:val="22"/>
                <w:szCs w:val="22"/>
                <w:lang w:val="en-US"/>
              </w:rPr>
            </w:pPr>
            <w:r w:rsidRPr="003F4BC2">
              <w:rPr>
                <w:rFonts w:cstheme="minorHAnsi"/>
                <w:sz w:val="22"/>
                <w:szCs w:val="22"/>
                <w:lang w:val="en-US"/>
              </w:rPr>
              <w:t>Ministry of State Administration</w:t>
            </w:r>
            <w:r>
              <w:rPr>
                <w:rFonts w:cstheme="minorHAnsi"/>
                <w:sz w:val="22"/>
                <w:szCs w:val="22"/>
                <w:lang w:val="en-US"/>
              </w:rPr>
              <w:t xml:space="preserve">, </w:t>
            </w:r>
            <w:r w:rsidRPr="003F4BC2">
              <w:rPr>
                <w:rFonts w:cstheme="minorHAnsi"/>
                <w:sz w:val="22"/>
                <w:szCs w:val="22"/>
                <w:lang w:val="en-US"/>
              </w:rPr>
              <w:t>Ministry of Education</w:t>
            </w:r>
            <w:r>
              <w:rPr>
                <w:rFonts w:cstheme="minorHAnsi"/>
                <w:sz w:val="22"/>
                <w:szCs w:val="22"/>
                <w:lang w:val="en-US"/>
              </w:rPr>
              <w:t>, Ministry of Health</w:t>
            </w:r>
            <w:r w:rsidR="00FB7936">
              <w:rPr>
                <w:rFonts w:cstheme="minorHAnsi"/>
                <w:sz w:val="22"/>
                <w:szCs w:val="22"/>
                <w:lang w:val="en-US"/>
              </w:rPr>
              <w:t>, Secretary State for Environment, Ministry of Justice</w:t>
            </w:r>
            <w:r>
              <w:rPr>
                <w:rFonts w:cstheme="minorHAnsi"/>
                <w:sz w:val="22"/>
                <w:szCs w:val="22"/>
                <w:lang w:val="en-US"/>
              </w:rPr>
              <w:t xml:space="preserve"> </w:t>
            </w:r>
          </w:p>
        </w:tc>
      </w:tr>
      <w:tr w:rsidR="002B3603" w:rsidRPr="00A95AC7" w14:paraId="051FA018" w14:textId="77777777" w:rsidTr="00273B6D">
        <w:tc>
          <w:tcPr>
            <w:tcW w:w="2515" w:type="dxa"/>
          </w:tcPr>
          <w:p w14:paraId="4D00E0C6" w14:textId="77777777" w:rsidR="002B3603" w:rsidRPr="000135BE" w:rsidRDefault="002B3603" w:rsidP="004C515B">
            <w:pPr>
              <w:rPr>
                <w:lang w:val="en-US"/>
              </w:rPr>
            </w:pPr>
            <w:r w:rsidRPr="000135BE">
              <w:rPr>
                <w:lang w:val="en-US"/>
              </w:rPr>
              <w:t>UN</w:t>
            </w:r>
          </w:p>
        </w:tc>
        <w:tc>
          <w:tcPr>
            <w:tcW w:w="6837" w:type="dxa"/>
          </w:tcPr>
          <w:p w14:paraId="35BBEA7D" w14:textId="5918BF6F" w:rsidR="002B3603" w:rsidRPr="00A95AC7" w:rsidRDefault="002B3603" w:rsidP="004C515B">
            <w:pPr>
              <w:rPr>
                <w:rFonts w:eastAsiaTheme="minorEastAsia" w:hAnsi="Calibri"/>
                <w:color w:val="000000" w:themeColor="text1"/>
                <w:kern w:val="24"/>
                <w:sz w:val="22"/>
                <w:szCs w:val="22"/>
                <w:lang w:val="en-US"/>
              </w:rPr>
            </w:pPr>
            <w:r>
              <w:rPr>
                <w:rFonts w:cstheme="minorHAnsi"/>
                <w:sz w:val="22"/>
                <w:szCs w:val="22"/>
                <w:lang w:val="en-US"/>
              </w:rPr>
              <w:t xml:space="preserve">FAO, </w:t>
            </w:r>
            <w:r w:rsidR="00F40E38">
              <w:rPr>
                <w:rFonts w:cstheme="minorHAnsi"/>
                <w:sz w:val="22"/>
                <w:szCs w:val="22"/>
                <w:lang w:val="en-US"/>
              </w:rPr>
              <w:t xml:space="preserve">IOM, </w:t>
            </w:r>
            <w:r w:rsidR="00776D6E">
              <w:rPr>
                <w:rFonts w:cstheme="minorHAnsi"/>
                <w:sz w:val="22"/>
                <w:szCs w:val="22"/>
                <w:lang w:val="en-US"/>
              </w:rPr>
              <w:t xml:space="preserve">UNDP, </w:t>
            </w:r>
            <w:r w:rsidRPr="002A7985">
              <w:rPr>
                <w:rFonts w:cstheme="minorHAnsi"/>
                <w:sz w:val="22"/>
                <w:szCs w:val="22"/>
                <w:lang w:val="en-US"/>
              </w:rPr>
              <w:t xml:space="preserve">UNESCO, </w:t>
            </w:r>
            <w:r w:rsidR="00776D6E">
              <w:rPr>
                <w:rFonts w:cstheme="minorHAnsi"/>
                <w:sz w:val="22"/>
                <w:szCs w:val="22"/>
                <w:lang w:val="en-US"/>
              </w:rPr>
              <w:t xml:space="preserve">UN Women </w:t>
            </w:r>
          </w:p>
        </w:tc>
      </w:tr>
      <w:tr w:rsidR="002B3603" w:rsidRPr="0076205F" w14:paraId="4CE227C7" w14:textId="77777777" w:rsidTr="00273B6D">
        <w:tc>
          <w:tcPr>
            <w:tcW w:w="2515" w:type="dxa"/>
          </w:tcPr>
          <w:p w14:paraId="294D74AA" w14:textId="77777777" w:rsidR="002B3603" w:rsidRPr="000135BE" w:rsidRDefault="002B3603" w:rsidP="004C515B">
            <w:pPr>
              <w:rPr>
                <w:lang w:val="en-US"/>
              </w:rPr>
            </w:pPr>
            <w:r w:rsidRPr="000135BE">
              <w:rPr>
                <w:lang w:val="en-US"/>
              </w:rPr>
              <w:lastRenderedPageBreak/>
              <w:t>Other</w:t>
            </w:r>
          </w:p>
        </w:tc>
        <w:tc>
          <w:tcPr>
            <w:tcW w:w="6837" w:type="dxa"/>
          </w:tcPr>
          <w:p w14:paraId="1B815D3A" w14:textId="140577CD" w:rsidR="002B3603" w:rsidRPr="0076205F" w:rsidRDefault="002B3603" w:rsidP="004C515B">
            <w:pPr>
              <w:rPr>
                <w:rFonts w:cstheme="minorHAnsi"/>
                <w:sz w:val="22"/>
                <w:szCs w:val="22"/>
                <w:lang w:val="en-US"/>
              </w:rPr>
            </w:pPr>
            <w:proofErr w:type="spellStart"/>
            <w:r w:rsidRPr="003F4BC2">
              <w:rPr>
                <w:rFonts w:cstheme="minorHAnsi"/>
                <w:sz w:val="22"/>
                <w:szCs w:val="22"/>
                <w:lang w:val="en-US"/>
              </w:rPr>
              <w:t>Suco</w:t>
            </w:r>
            <w:proofErr w:type="spellEnd"/>
            <w:r w:rsidRPr="003F4BC2">
              <w:rPr>
                <w:rFonts w:cstheme="minorHAnsi"/>
                <w:sz w:val="22"/>
                <w:szCs w:val="22"/>
                <w:lang w:val="en-US"/>
              </w:rPr>
              <w:t xml:space="preserve"> Disaster Management Committee</w:t>
            </w:r>
            <w:r w:rsidR="00FB7936">
              <w:rPr>
                <w:rFonts w:cstheme="minorHAnsi"/>
                <w:sz w:val="22"/>
                <w:szCs w:val="22"/>
                <w:lang w:val="en-US"/>
              </w:rPr>
              <w:t>, Government at sub-national levels, l</w:t>
            </w:r>
            <w:r w:rsidRPr="003F4BC2">
              <w:rPr>
                <w:rFonts w:cstheme="minorHAnsi"/>
                <w:sz w:val="22"/>
                <w:szCs w:val="22"/>
                <w:lang w:val="en-US"/>
              </w:rPr>
              <w:t xml:space="preserve">ocal </w:t>
            </w:r>
            <w:r w:rsidR="00FB7936">
              <w:rPr>
                <w:rFonts w:cstheme="minorHAnsi"/>
                <w:sz w:val="22"/>
                <w:szCs w:val="22"/>
                <w:lang w:val="en-US"/>
              </w:rPr>
              <w:t>p</w:t>
            </w:r>
            <w:r w:rsidRPr="003F4BC2">
              <w:rPr>
                <w:rFonts w:cstheme="minorHAnsi"/>
                <w:sz w:val="22"/>
                <w:szCs w:val="22"/>
                <w:lang w:val="en-US"/>
              </w:rPr>
              <w:t>artners includ</w:t>
            </w:r>
            <w:r w:rsidR="00FB7936">
              <w:rPr>
                <w:rFonts w:cstheme="minorHAnsi"/>
                <w:sz w:val="22"/>
                <w:szCs w:val="22"/>
                <w:lang w:val="en-US"/>
              </w:rPr>
              <w:t>ing</w:t>
            </w:r>
            <w:r w:rsidRPr="003F4BC2">
              <w:rPr>
                <w:rFonts w:cstheme="minorHAnsi"/>
                <w:sz w:val="22"/>
                <w:szCs w:val="22"/>
                <w:lang w:val="en-US"/>
              </w:rPr>
              <w:t xml:space="preserve"> civil society</w:t>
            </w:r>
            <w:r w:rsidR="00FB7936">
              <w:rPr>
                <w:rFonts w:cstheme="minorHAnsi"/>
                <w:sz w:val="22"/>
                <w:szCs w:val="22"/>
                <w:lang w:val="en-US"/>
              </w:rPr>
              <w:t>, private sector</w:t>
            </w:r>
          </w:p>
        </w:tc>
      </w:tr>
    </w:tbl>
    <w:p w14:paraId="111A5233" w14:textId="77777777" w:rsidR="002B3603" w:rsidRPr="00841766" w:rsidRDefault="002B3603" w:rsidP="004C515B">
      <w:pPr>
        <w:rPr>
          <w:rFonts w:cstheme="minorHAnsi"/>
          <w:b/>
          <w:lang w:val="en-US"/>
        </w:rPr>
      </w:pPr>
    </w:p>
    <w:p w14:paraId="02C86502" w14:textId="77777777" w:rsidR="00B254D7" w:rsidRPr="00841766" w:rsidRDefault="00B254D7" w:rsidP="004C515B">
      <w:pPr>
        <w:autoSpaceDE w:val="0"/>
        <w:autoSpaceDN w:val="0"/>
        <w:adjustRightInd w:val="0"/>
        <w:rPr>
          <w:rFonts w:cs="Times New Roman"/>
          <w:i/>
          <w:color w:val="1F3864" w:themeColor="accent1" w:themeShade="80"/>
          <w:sz w:val="18"/>
          <w:szCs w:val="18"/>
          <w:lang w:val="en-US"/>
        </w:rPr>
      </w:pPr>
    </w:p>
    <w:p w14:paraId="5CD7C07C" w14:textId="77777777" w:rsidR="00B254D7" w:rsidRPr="000135BE" w:rsidRDefault="00B254D7" w:rsidP="004C515B">
      <w:pPr>
        <w:rPr>
          <w:rFonts w:eastAsia="Times New Roman" w:cs="Times New Roman"/>
          <w:b/>
          <w:bCs/>
          <w:lang w:val="en-US" w:eastAsia="fr-FR"/>
        </w:rPr>
      </w:pPr>
      <w:bookmarkStart w:id="95" w:name="_Toc29540802"/>
      <w:bookmarkStart w:id="96" w:name="_Toc29550736"/>
      <w:bookmarkStart w:id="97" w:name="_Toc29550831"/>
      <w:bookmarkStart w:id="98" w:name="_Toc29900365"/>
      <w:bookmarkStart w:id="99" w:name="_Toc30407948"/>
      <w:bookmarkStart w:id="100" w:name="_Toc31376354"/>
      <w:r w:rsidRPr="000135BE">
        <w:rPr>
          <w:b/>
          <w:bCs/>
          <w:lang w:val="en-US"/>
        </w:rPr>
        <w:t>Theory of change underpinning outcome 6:</w:t>
      </w:r>
      <w:bookmarkEnd w:id="95"/>
      <w:bookmarkEnd w:id="96"/>
      <w:bookmarkEnd w:id="97"/>
      <w:bookmarkEnd w:id="98"/>
      <w:bookmarkEnd w:id="99"/>
      <w:bookmarkEnd w:id="100"/>
    </w:p>
    <w:p w14:paraId="5C004F2E" w14:textId="187F024D" w:rsidR="00B254D7" w:rsidRPr="00841766" w:rsidRDefault="00B254D7" w:rsidP="004C515B">
      <w:pPr>
        <w:autoSpaceDE w:val="0"/>
        <w:autoSpaceDN w:val="0"/>
        <w:adjustRightInd w:val="0"/>
        <w:rPr>
          <w:rFonts w:cs="Times New Roman"/>
          <w:sz w:val="22"/>
          <w:szCs w:val="22"/>
          <w:lang w:val="en-US"/>
        </w:rPr>
      </w:pPr>
    </w:p>
    <w:p w14:paraId="595A2AD0" w14:textId="77777777" w:rsidR="00ED1B1A" w:rsidRPr="00841766" w:rsidRDefault="00ED1B1A" w:rsidP="004C515B">
      <w:pPr>
        <w:rPr>
          <w:b/>
          <w:lang w:val="en-US"/>
        </w:rPr>
      </w:pPr>
    </w:p>
    <w:p w14:paraId="73295722" w14:textId="77777777" w:rsidR="00ED1B1A" w:rsidRPr="00841766" w:rsidRDefault="00ED1B1A" w:rsidP="004C515B">
      <w:pPr>
        <w:rPr>
          <w:b/>
          <w:lang w:val="en-US"/>
        </w:rPr>
      </w:pPr>
    </w:p>
    <w:p w14:paraId="1400B0EF" w14:textId="6472EFCD" w:rsidR="00ED1B1A" w:rsidRPr="00841766" w:rsidRDefault="00273B6D" w:rsidP="004C515B">
      <w:pPr>
        <w:autoSpaceDE w:val="0"/>
        <w:autoSpaceDN w:val="0"/>
        <w:adjustRightInd w:val="0"/>
        <w:rPr>
          <w:rFonts w:cs="Times New Roman"/>
          <w:sz w:val="22"/>
          <w:szCs w:val="22"/>
          <w:lang w:val="en-US"/>
        </w:rPr>
      </w:pPr>
      <w:r w:rsidRPr="00841766">
        <w:rPr>
          <w:rFonts w:cs="Times New Roman"/>
          <w:i/>
          <w:noProof/>
          <w:color w:val="1F3864" w:themeColor="accent1" w:themeShade="80"/>
          <w:sz w:val="18"/>
          <w:szCs w:val="18"/>
          <w:lang w:val="en-US"/>
        </w:rPr>
        <mc:AlternateContent>
          <mc:Choice Requires="wps">
            <w:drawing>
              <wp:anchor distT="0" distB="0" distL="114300" distR="114300" simplePos="0" relativeHeight="251676672" behindDoc="0" locked="0" layoutInCell="1" allowOverlap="1" wp14:anchorId="799084C8" wp14:editId="3EF1342C">
                <wp:simplePos x="0" y="0"/>
                <wp:positionH relativeFrom="column">
                  <wp:posOffset>3786505</wp:posOffset>
                </wp:positionH>
                <wp:positionV relativeFrom="paragraph">
                  <wp:posOffset>66674</wp:posOffset>
                </wp:positionV>
                <wp:extent cx="2466340" cy="1419225"/>
                <wp:effectExtent l="0" t="0" r="10160" b="28575"/>
                <wp:wrapNone/>
                <wp:docPr id="23" name="Zone de texte 23"/>
                <wp:cNvGraphicFramePr/>
                <a:graphic xmlns:a="http://schemas.openxmlformats.org/drawingml/2006/main">
                  <a:graphicData uri="http://schemas.microsoft.com/office/word/2010/wordprocessingShape">
                    <wps:wsp>
                      <wps:cNvSpPr txBox="1"/>
                      <wps:spPr>
                        <a:xfrm>
                          <a:off x="0" y="0"/>
                          <a:ext cx="2466340" cy="1419225"/>
                        </a:xfrm>
                        <a:prstGeom prst="rect">
                          <a:avLst/>
                        </a:prstGeom>
                        <a:solidFill>
                          <a:schemeClr val="accent2">
                            <a:lumMod val="60000"/>
                            <a:lumOff val="40000"/>
                          </a:schemeClr>
                        </a:solidFill>
                        <a:ln w="19050">
                          <a:solidFill>
                            <a:prstClr val="black"/>
                          </a:solidFill>
                        </a:ln>
                      </wps:spPr>
                      <wps:txbx>
                        <w:txbxContent>
                          <w:p w14:paraId="314A8426" w14:textId="77777777" w:rsidR="006C70F3" w:rsidRDefault="006C70F3" w:rsidP="00ED1B1A">
                            <w:pPr>
                              <w:shd w:val="clear" w:color="auto" w:fill="F4B083" w:themeFill="accent2" w:themeFillTint="99"/>
                              <w:rPr>
                                <w:b/>
                                <w:sz w:val="20"/>
                                <w:szCs w:val="20"/>
                                <w:lang w:val="en-US"/>
                              </w:rPr>
                            </w:pPr>
                            <w:r>
                              <w:rPr>
                                <w:b/>
                                <w:sz w:val="20"/>
                                <w:szCs w:val="20"/>
                                <w:lang w:val="en-US"/>
                              </w:rPr>
                              <w:t>SUSTAINABILITY / POVERTY REDUCTION</w:t>
                            </w:r>
                          </w:p>
                          <w:p w14:paraId="12BC645F"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Individual and institutional resilience to shocks</w:t>
                            </w:r>
                          </w:p>
                          <w:p w14:paraId="60635DB0"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Reduction of vulnerabilities</w:t>
                            </w:r>
                          </w:p>
                          <w:p w14:paraId="5F0E0639"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Sustainability of resources</w:t>
                            </w:r>
                          </w:p>
                          <w:p w14:paraId="38119804" w14:textId="1F499629"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Increased livelihood</w:t>
                            </w:r>
                          </w:p>
                          <w:p w14:paraId="65126428" w14:textId="27EFA654" w:rsidR="006C70F3" w:rsidRPr="00462FFB"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Increased participation of marginalized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84C8" id="Zone de texte 23" o:spid="_x0000_s1037" type="#_x0000_t202" style="position:absolute;margin-left:298.15pt;margin-top:5.25pt;width:194.2pt;height:1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" fillcolor="#f4b083 [1941]" strokeweight="1.5pt">
                <v:textbox>
                  <w:txbxContent>
                    <w:p w14:paraId="314A8426" w14:textId="77777777" w:rsidR="006C70F3" w:rsidRDefault="006C70F3" w:rsidP="00ED1B1A">
                      <w:pPr>
                        <w:shd w:val="clear" w:color="auto" w:fill="F4B083" w:themeFill="accent2" w:themeFillTint="99"/>
                        <w:rPr>
                          <w:b/>
                          <w:sz w:val="20"/>
                          <w:szCs w:val="20"/>
                          <w:lang w:val="en-US"/>
                        </w:rPr>
                      </w:pPr>
                      <w:r>
                        <w:rPr>
                          <w:b/>
                          <w:sz w:val="20"/>
                          <w:szCs w:val="20"/>
                          <w:lang w:val="en-US"/>
                        </w:rPr>
                        <w:t>SUSTAINABILITY / POVERTY REDUCTION</w:t>
                      </w:r>
                    </w:p>
                    <w:p w14:paraId="12BC645F"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Individual and institutional resilience to shocks</w:t>
                      </w:r>
                    </w:p>
                    <w:p w14:paraId="60635DB0"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Reduction of vulnerabilities</w:t>
                      </w:r>
                    </w:p>
                    <w:p w14:paraId="5F0E0639" w14:textId="77777777"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Sustainability of resources</w:t>
                      </w:r>
                    </w:p>
                    <w:p w14:paraId="38119804" w14:textId="1F499629" w:rsidR="006C70F3"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Increased livelihood</w:t>
                      </w:r>
                    </w:p>
                    <w:p w14:paraId="65126428" w14:textId="27EFA654" w:rsidR="006C70F3" w:rsidRPr="00462FFB" w:rsidRDefault="006C70F3" w:rsidP="00AA78BD">
                      <w:pPr>
                        <w:pStyle w:val="ListParagraph"/>
                        <w:numPr>
                          <w:ilvl w:val="0"/>
                          <w:numId w:val="24"/>
                        </w:numPr>
                        <w:shd w:val="clear" w:color="auto" w:fill="F4B083" w:themeFill="accent2" w:themeFillTint="99"/>
                        <w:ind w:left="396" w:hanging="198"/>
                        <w:rPr>
                          <w:b/>
                          <w:sz w:val="20"/>
                          <w:szCs w:val="20"/>
                          <w:lang w:val="en-US"/>
                        </w:rPr>
                      </w:pPr>
                      <w:r>
                        <w:rPr>
                          <w:b/>
                          <w:sz w:val="20"/>
                          <w:szCs w:val="20"/>
                          <w:lang w:val="en-US"/>
                        </w:rPr>
                        <w:t>Increased participation of marginalized groups</w:t>
                      </w:r>
                    </w:p>
                  </w:txbxContent>
                </v:textbox>
              </v:shape>
            </w:pict>
          </mc:Fallback>
        </mc:AlternateContent>
      </w:r>
      <w:r w:rsidR="00ED1B1A" w:rsidRPr="00841766">
        <w:rPr>
          <w:b/>
          <w:noProof/>
          <w:lang w:val="en-US"/>
        </w:rPr>
        <mc:AlternateContent>
          <mc:Choice Requires="wps">
            <w:drawing>
              <wp:anchor distT="0" distB="0" distL="114300" distR="114300" simplePos="0" relativeHeight="251678720" behindDoc="1" locked="0" layoutInCell="1" allowOverlap="1" wp14:anchorId="1AEEA123" wp14:editId="24825B6F">
                <wp:simplePos x="0" y="0"/>
                <wp:positionH relativeFrom="column">
                  <wp:posOffset>632460</wp:posOffset>
                </wp:positionH>
                <wp:positionV relativeFrom="paragraph">
                  <wp:posOffset>-298562</wp:posOffset>
                </wp:positionV>
                <wp:extent cx="4204482" cy="3821723"/>
                <wp:effectExtent l="0" t="0" r="12065" b="13970"/>
                <wp:wrapNone/>
                <wp:docPr id="24" name="Ellipse 24"/>
                <wp:cNvGraphicFramePr/>
                <a:graphic xmlns:a="http://schemas.openxmlformats.org/drawingml/2006/main">
                  <a:graphicData uri="http://schemas.microsoft.com/office/word/2010/wordprocessingShape">
                    <wps:wsp>
                      <wps:cNvSpPr/>
                      <wps:spPr>
                        <a:xfrm>
                          <a:off x="0" y="0"/>
                          <a:ext cx="4204482" cy="3821723"/>
                        </a:xfrm>
                        <a:prstGeom prst="ellipse">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356A3" w14:textId="77777777" w:rsidR="006C70F3" w:rsidRDefault="006C70F3" w:rsidP="00ED1B1A">
                            <w:pPr>
                              <w:jc w:val="center"/>
                              <w:rPr>
                                <w:b/>
                                <w:color w:val="FFFFFF" w:themeColor="background1"/>
                                <w:sz w:val="32"/>
                                <w:lang w:val="en-US"/>
                              </w:rPr>
                            </w:pPr>
                          </w:p>
                          <w:p w14:paraId="7C9F85F3" w14:textId="77777777" w:rsidR="006C70F3" w:rsidRDefault="006C70F3" w:rsidP="00ED1B1A">
                            <w:pPr>
                              <w:jc w:val="center"/>
                              <w:rPr>
                                <w:b/>
                                <w:color w:val="FFFFFF" w:themeColor="background1"/>
                                <w:sz w:val="32"/>
                                <w:lang w:val="en-US"/>
                              </w:rPr>
                            </w:pPr>
                          </w:p>
                          <w:p w14:paraId="0EE2BA36" w14:textId="77777777" w:rsidR="006C70F3" w:rsidRDefault="006C70F3" w:rsidP="00ED1B1A">
                            <w:pPr>
                              <w:jc w:val="center"/>
                              <w:rPr>
                                <w:b/>
                                <w:color w:val="FFFFFF" w:themeColor="background1"/>
                                <w:sz w:val="32"/>
                                <w:lang w:val="en-US"/>
                              </w:rPr>
                            </w:pPr>
                          </w:p>
                          <w:p w14:paraId="2B0E51B5" w14:textId="77777777" w:rsidR="006C70F3" w:rsidRDefault="006C70F3" w:rsidP="00ED1B1A">
                            <w:pPr>
                              <w:jc w:val="center"/>
                              <w:rPr>
                                <w:b/>
                                <w:color w:val="FFFFFF" w:themeColor="background1"/>
                                <w:sz w:val="32"/>
                                <w:lang w:val="en-US"/>
                              </w:rPr>
                            </w:pPr>
                          </w:p>
                          <w:p w14:paraId="5F61470C" w14:textId="77777777" w:rsidR="006C70F3" w:rsidRDefault="006C70F3" w:rsidP="00ED1B1A">
                            <w:pPr>
                              <w:jc w:val="center"/>
                              <w:rPr>
                                <w:b/>
                                <w:color w:val="FFFFFF" w:themeColor="background1"/>
                                <w:sz w:val="32"/>
                                <w:lang w:val="en-US"/>
                              </w:rPr>
                            </w:pPr>
                          </w:p>
                          <w:p w14:paraId="31EF7D57" w14:textId="77777777" w:rsidR="006C70F3" w:rsidRDefault="006C70F3" w:rsidP="00ED1B1A">
                            <w:pPr>
                              <w:jc w:val="right"/>
                              <w:rPr>
                                <w:b/>
                                <w:color w:val="FFFFFF" w:themeColor="background1"/>
                                <w:sz w:val="32"/>
                                <w:lang w:val="en-US"/>
                              </w:rPr>
                            </w:pPr>
                          </w:p>
                          <w:p w14:paraId="4BA82E3F" w14:textId="77777777" w:rsidR="006C70F3" w:rsidRDefault="006C70F3" w:rsidP="00ED1B1A">
                            <w:pPr>
                              <w:jc w:val="right"/>
                              <w:rPr>
                                <w:b/>
                                <w:color w:val="FFFFFF" w:themeColor="background1"/>
                                <w:sz w:val="32"/>
                                <w:lang w:val="en-US"/>
                              </w:rPr>
                            </w:pPr>
                          </w:p>
                          <w:p w14:paraId="0E031735" w14:textId="77777777" w:rsidR="006C70F3" w:rsidRDefault="006C70F3" w:rsidP="00ED1B1A">
                            <w:pPr>
                              <w:jc w:val="right"/>
                              <w:rPr>
                                <w:b/>
                                <w:color w:val="FFFFFF" w:themeColor="background1"/>
                                <w:sz w:val="32"/>
                                <w:lang w:val="en-US"/>
                              </w:rPr>
                            </w:pPr>
                          </w:p>
                          <w:p w14:paraId="279E0A72" w14:textId="77777777" w:rsidR="006C70F3" w:rsidRDefault="006C70F3" w:rsidP="00ED1B1A">
                            <w:pPr>
                              <w:jc w:val="right"/>
                              <w:rPr>
                                <w:b/>
                                <w:color w:val="FFFFFF" w:themeColor="background1"/>
                                <w:sz w:val="32"/>
                                <w:lang w:val="en-US"/>
                              </w:rPr>
                            </w:pPr>
                          </w:p>
                          <w:p w14:paraId="7503881C" w14:textId="77777777" w:rsidR="006C70F3" w:rsidRPr="00A94A11" w:rsidRDefault="006C70F3" w:rsidP="00ED1B1A">
                            <w:pPr>
                              <w:jc w:val="center"/>
                              <w:rPr>
                                <w:b/>
                                <w:color w:val="FFFFFF" w:themeColor="background1"/>
                                <w:sz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EA123" id="Ellipse 24" o:spid="_x0000_s1038" style="position:absolute;margin-left:49.8pt;margin-top:-23.5pt;width:331.05pt;height:300.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" fillcolor="#f4b083 [1941]" strokecolor="black [3213]" strokeweight="1pt">
                <v:stroke joinstyle="miter"/>
                <v:textbox>
                  <w:txbxContent>
                    <w:p w14:paraId="4F8356A3" w14:textId="77777777" w:rsidR="006C70F3" w:rsidRDefault="006C70F3" w:rsidP="00ED1B1A">
                      <w:pPr>
                        <w:jc w:val="center"/>
                        <w:rPr>
                          <w:b/>
                          <w:color w:val="FFFFFF" w:themeColor="background1"/>
                          <w:sz w:val="32"/>
                          <w:lang w:val="en-US"/>
                        </w:rPr>
                      </w:pPr>
                    </w:p>
                    <w:p w14:paraId="7C9F85F3" w14:textId="77777777" w:rsidR="006C70F3" w:rsidRDefault="006C70F3" w:rsidP="00ED1B1A">
                      <w:pPr>
                        <w:jc w:val="center"/>
                        <w:rPr>
                          <w:b/>
                          <w:color w:val="FFFFFF" w:themeColor="background1"/>
                          <w:sz w:val="32"/>
                          <w:lang w:val="en-US"/>
                        </w:rPr>
                      </w:pPr>
                    </w:p>
                    <w:p w14:paraId="0EE2BA36" w14:textId="77777777" w:rsidR="006C70F3" w:rsidRDefault="006C70F3" w:rsidP="00ED1B1A">
                      <w:pPr>
                        <w:jc w:val="center"/>
                        <w:rPr>
                          <w:b/>
                          <w:color w:val="FFFFFF" w:themeColor="background1"/>
                          <w:sz w:val="32"/>
                          <w:lang w:val="en-US"/>
                        </w:rPr>
                      </w:pPr>
                    </w:p>
                    <w:p w14:paraId="2B0E51B5" w14:textId="77777777" w:rsidR="006C70F3" w:rsidRDefault="006C70F3" w:rsidP="00ED1B1A">
                      <w:pPr>
                        <w:jc w:val="center"/>
                        <w:rPr>
                          <w:b/>
                          <w:color w:val="FFFFFF" w:themeColor="background1"/>
                          <w:sz w:val="32"/>
                          <w:lang w:val="en-US"/>
                        </w:rPr>
                      </w:pPr>
                    </w:p>
                    <w:p w14:paraId="5F61470C" w14:textId="77777777" w:rsidR="006C70F3" w:rsidRDefault="006C70F3" w:rsidP="00ED1B1A">
                      <w:pPr>
                        <w:jc w:val="center"/>
                        <w:rPr>
                          <w:b/>
                          <w:color w:val="FFFFFF" w:themeColor="background1"/>
                          <w:sz w:val="32"/>
                          <w:lang w:val="en-US"/>
                        </w:rPr>
                      </w:pPr>
                    </w:p>
                    <w:p w14:paraId="31EF7D57" w14:textId="77777777" w:rsidR="006C70F3" w:rsidRDefault="006C70F3" w:rsidP="00ED1B1A">
                      <w:pPr>
                        <w:jc w:val="right"/>
                        <w:rPr>
                          <w:b/>
                          <w:color w:val="FFFFFF" w:themeColor="background1"/>
                          <w:sz w:val="32"/>
                          <w:lang w:val="en-US"/>
                        </w:rPr>
                      </w:pPr>
                    </w:p>
                    <w:p w14:paraId="4BA82E3F" w14:textId="77777777" w:rsidR="006C70F3" w:rsidRDefault="006C70F3" w:rsidP="00ED1B1A">
                      <w:pPr>
                        <w:jc w:val="right"/>
                        <w:rPr>
                          <w:b/>
                          <w:color w:val="FFFFFF" w:themeColor="background1"/>
                          <w:sz w:val="32"/>
                          <w:lang w:val="en-US"/>
                        </w:rPr>
                      </w:pPr>
                    </w:p>
                    <w:p w14:paraId="0E031735" w14:textId="77777777" w:rsidR="006C70F3" w:rsidRDefault="006C70F3" w:rsidP="00ED1B1A">
                      <w:pPr>
                        <w:jc w:val="right"/>
                        <w:rPr>
                          <w:b/>
                          <w:color w:val="FFFFFF" w:themeColor="background1"/>
                          <w:sz w:val="32"/>
                          <w:lang w:val="en-US"/>
                        </w:rPr>
                      </w:pPr>
                    </w:p>
                    <w:p w14:paraId="279E0A72" w14:textId="77777777" w:rsidR="006C70F3" w:rsidRDefault="006C70F3" w:rsidP="00ED1B1A">
                      <w:pPr>
                        <w:jc w:val="right"/>
                        <w:rPr>
                          <w:b/>
                          <w:color w:val="FFFFFF" w:themeColor="background1"/>
                          <w:sz w:val="32"/>
                          <w:lang w:val="en-US"/>
                        </w:rPr>
                      </w:pPr>
                    </w:p>
                    <w:p w14:paraId="7503881C" w14:textId="77777777" w:rsidR="006C70F3" w:rsidRPr="00A94A11" w:rsidRDefault="006C70F3" w:rsidP="00ED1B1A">
                      <w:pPr>
                        <w:jc w:val="center"/>
                        <w:rPr>
                          <w:b/>
                          <w:color w:val="FFFFFF" w:themeColor="background1"/>
                          <w:sz w:val="32"/>
                          <w:lang w:val="en-US"/>
                        </w:rPr>
                      </w:pPr>
                    </w:p>
                  </w:txbxContent>
                </v:textbox>
              </v:oval>
            </w:pict>
          </mc:Fallback>
        </mc:AlternateContent>
      </w:r>
      <w:r w:rsidR="00ED1B1A" w:rsidRPr="00841766">
        <w:rPr>
          <w:rFonts w:cs="Times New Roman"/>
          <w:noProof/>
          <w:sz w:val="22"/>
          <w:szCs w:val="22"/>
          <w:lang w:val="en-US"/>
        </w:rPr>
        <w:drawing>
          <wp:inline distT="0" distB="0" distL="0" distR="0" wp14:anchorId="7912B66C" wp14:editId="7DFE0695">
            <wp:extent cx="5416062" cy="3048000"/>
            <wp:effectExtent l="0" t="57150" r="0" b="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2D4960D7" w14:textId="77777777" w:rsidR="00880704" w:rsidRDefault="00880704" w:rsidP="004C515B">
      <w:pPr>
        <w:autoSpaceDE w:val="0"/>
        <w:autoSpaceDN w:val="0"/>
        <w:adjustRightInd w:val="0"/>
        <w:rPr>
          <w:rFonts w:cs="Times New Roman"/>
          <w:b/>
          <w:bCs/>
          <w:sz w:val="22"/>
          <w:szCs w:val="22"/>
          <w:lang w:val="en-US"/>
        </w:rPr>
      </w:pPr>
    </w:p>
    <w:p w14:paraId="038D39DE" w14:textId="77777777" w:rsidR="00880704" w:rsidRDefault="00880704" w:rsidP="004C515B">
      <w:pPr>
        <w:autoSpaceDE w:val="0"/>
        <w:autoSpaceDN w:val="0"/>
        <w:adjustRightInd w:val="0"/>
        <w:rPr>
          <w:rFonts w:cs="Times New Roman"/>
          <w:b/>
          <w:bCs/>
          <w:sz w:val="22"/>
          <w:szCs w:val="22"/>
          <w:lang w:val="en-US"/>
        </w:rPr>
      </w:pPr>
    </w:p>
    <w:p w14:paraId="636E6091" w14:textId="77777777" w:rsidR="00880704" w:rsidRDefault="00880704" w:rsidP="004C515B">
      <w:pPr>
        <w:autoSpaceDE w:val="0"/>
        <w:autoSpaceDN w:val="0"/>
        <w:adjustRightInd w:val="0"/>
        <w:rPr>
          <w:rFonts w:cs="Times New Roman"/>
          <w:b/>
          <w:bCs/>
          <w:sz w:val="22"/>
          <w:szCs w:val="22"/>
          <w:lang w:val="en-US"/>
        </w:rPr>
      </w:pPr>
    </w:p>
    <w:p w14:paraId="5B87F520" w14:textId="5BF1B9B6" w:rsidR="00ED1B1A" w:rsidRPr="00714227" w:rsidRDefault="00826E7F" w:rsidP="00552AAD">
      <w:pPr>
        <w:autoSpaceDE w:val="0"/>
        <w:autoSpaceDN w:val="0"/>
        <w:adjustRightInd w:val="0"/>
        <w:jc w:val="both"/>
        <w:rPr>
          <w:rFonts w:cs="Times New Roman"/>
          <w:b/>
          <w:bCs/>
          <w:sz w:val="22"/>
          <w:szCs w:val="22"/>
          <w:lang w:val="en-US"/>
        </w:rPr>
      </w:pPr>
      <w:r w:rsidRPr="00714227">
        <w:rPr>
          <w:rFonts w:cs="Times New Roman"/>
          <w:b/>
          <w:bCs/>
          <w:sz w:val="22"/>
          <w:szCs w:val="22"/>
          <w:lang w:val="en-US"/>
        </w:rPr>
        <w:t>Disasters Risk Management and Climate Change Adaption</w:t>
      </w:r>
    </w:p>
    <w:p w14:paraId="4AF2B347" w14:textId="7103669F" w:rsidR="00B254D7" w:rsidRPr="00841766" w:rsidRDefault="00273B6D" w:rsidP="00552AAD">
      <w:pPr>
        <w:jc w:val="both"/>
        <w:rPr>
          <w:rFonts w:cs="Calibri"/>
          <w:bCs/>
          <w:sz w:val="22"/>
          <w:szCs w:val="22"/>
          <w:lang w:val="en-US"/>
        </w:rPr>
      </w:pPr>
      <w:r w:rsidRPr="00714227">
        <w:rPr>
          <w:rFonts w:cs="Calibri"/>
          <w:bCs/>
          <w:sz w:val="22"/>
          <w:szCs w:val="22"/>
          <w:lang w:val="en-US"/>
        </w:rPr>
        <w:t xml:space="preserve">Gender-responsive and equitable </w:t>
      </w:r>
      <w:r w:rsidR="00B254D7" w:rsidRPr="00714227">
        <w:rPr>
          <w:rFonts w:cs="Calibri"/>
          <w:bCs/>
          <w:sz w:val="22"/>
          <w:szCs w:val="22"/>
          <w:lang w:val="en-US"/>
        </w:rPr>
        <w:t>polic</w:t>
      </w:r>
      <w:r w:rsidR="006B7104" w:rsidRPr="00714227">
        <w:rPr>
          <w:rFonts w:cs="Calibri"/>
          <w:bCs/>
          <w:sz w:val="22"/>
          <w:szCs w:val="22"/>
          <w:lang w:val="en-US"/>
        </w:rPr>
        <w:t>i</w:t>
      </w:r>
      <w:r w:rsidR="00B254D7" w:rsidRPr="00714227">
        <w:rPr>
          <w:rFonts w:cs="Calibri"/>
          <w:bCs/>
          <w:sz w:val="22"/>
          <w:szCs w:val="22"/>
          <w:lang w:val="en-US"/>
        </w:rPr>
        <w:t>es, programmes and capacities in Disasters Risk Management and Climate Change Adaptation</w:t>
      </w:r>
      <w:r w:rsidRPr="00714227">
        <w:rPr>
          <w:rFonts w:cs="Calibri"/>
          <w:bCs/>
          <w:sz w:val="22"/>
          <w:szCs w:val="22"/>
          <w:lang w:val="en-US"/>
        </w:rPr>
        <w:t xml:space="preserve"> (DRM/CCA)</w:t>
      </w:r>
      <w:r w:rsidR="00B254D7" w:rsidRPr="00714227">
        <w:rPr>
          <w:rFonts w:cs="Calibri"/>
          <w:bCs/>
          <w:sz w:val="22"/>
          <w:szCs w:val="22"/>
          <w:lang w:val="en-US"/>
        </w:rPr>
        <w:t xml:space="preserve"> and management at all levels of Government, within communities and by civil society partners, are vital to manage disaster risk</w:t>
      </w:r>
      <w:r w:rsidRPr="00714227">
        <w:rPr>
          <w:rFonts w:cs="Calibri"/>
          <w:bCs/>
          <w:sz w:val="22"/>
          <w:szCs w:val="22"/>
          <w:lang w:val="en-US"/>
        </w:rPr>
        <w:t>s and</w:t>
      </w:r>
      <w:r w:rsidR="00B254D7" w:rsidRPr="00714227">
        <w:rPr>
          <w:rFonts w:cs="Calibri"/>
          <w:bCs/>
          <w:sz w:val="22"/>
          <w:szCs w:val="22"/>
          <w:lang w:val="en-US"/>
        </w:rPr>
        <w:t xml:space="preserve"> build long term resilience to climate change impacts and other shocks.</w:t>
      </w:r>
      <w:r>
        <w:rPr>
          <w:rFonts w:cs="Calibri"/>
          <w:sz w:val="22"/>
          <w:szCs w:val="22"/>
          <w:lang w:val="en-US"/>
        </w:rPr>
        <w:t xml:space="preserve"> </w:t>
      </w:r>
      <w:r w:rsidR="00B254D7" w:rsidRPr="00841766">
        <w:rPr>
          <w:rFonts w:cs="Calibri"/>
          <w:sz w:val="22"/>
          <w:szCs w:val="22"/>
          <w:lang w:val="en-US"/>
        </w:rPr>
        <w:t xml:space="preserve">The most </w:t>
      </w:r>
      <w:r w:rsidR="00907986" w:rsidRPr="00841766">
        <w:rPr>
          <w:rFonts w:cs="Calibri"/>
          <w:sz w:val="22"/>
          <w:szCs w:val="22"/>
          <w:lang w:val="en-US"/>
        </w:rPr>
        <w:t>excluded</w:t>
      </w:r>
      <w:r w:rsidR="00B254D7" w:rsidRPr="00841766">
        <w:rPr>
          <w:rFonts w:cs="Calibri"/>
          <w:sz w:val="22"/>
          <w:szCs w:val="22"/>
          <w:lang w:val="en-US"/>
        </w:rPr>
        <w:t xml:space="preserve">/at-risk (women, persons with disabilities, displaced populations, persons dependent on climate-sensitive livelihoods) </w:t>
      </w:r>
      <w:r w:rsidR="008C3FD6" w:rsidRPr="00841766">
        <w:rPr>
          <w:rFonts w:cs="Calibri"/>
          <w:sz w:val="22"/>
          <w:szCs w:val="22"/>
          <w:lang w:val="en-US"/>
        </w:rPr>
        <w:t>need to</w:t>
      </w:r>
      <w:r w:rsidR="00B254D7" w:rsidRPr="00841766">
        <w:rPr>
          <w:rFonts w:cs="Calibri"/>
          <w:sz w:val="22"/>
          <w:szCs w:val="22"/>
          <w:lang w:val="en-US"/>
        </w:rPr>
        <w:t xml:space="preserve"> be empowered, through</w:t>
      </w:r>
      <w:r w:rsidR="004D1DC7">
        <w:rPr>
          <w:rFonts w:cs="Calibri"/>
          <w:sz w:val="22"/>
          <w:szCs w:val="22"/>
          <w:lang w:val="en-US"/>
        </w:rPr>
        <w:t xml:space="preserve"> </w:t>
      </w:r>
      <w:r>
        <w:rPr>
          <w:rFonts w:cs="Calibri"/>
          <w:sz w:val="22"/>
          <w:szCs w:val="22"/>
          <w:lang w:val="en-US"/>
        </w:rPr>
        <w:t xml:space="preserve">inclusive DRM/CCA and </w:t>
      </w:r>
      <w:r w:rsidR="004D1DC7">
        <w:rPr>
          <w:rFonts w:cs="Calibri"/>
          <w:sz w:val="22"/>
          <w:szCs w:val="22"/>
          <w:lang w:val="en-US"/>
        </w:rPr>
        <w:t xml:space="preserve">social protection programmes </w:t>
      </w:r>
      <w:r>
        <w:rPr>
          <w:rFonts w:cs="Calibri"/>
          <w:sz w:val="22"/>
          <w:szCs w:val="22"/>
          <w:lang w:val="en-US"/>
        </w:rPr>
        <w:t xml:space="preserve">that mainstream </w:t>
      </w:r>
      <w:r w:rsidR="00B254D7" w:rsidRPr="00841766">
        <w:rPr>
          <w:rFonts w:cs="Calibri"/>
          <w:sz w:val="22"/>
          <w:szCs w:val="22"/>
          <w:lang w:val="en-US"/>
        </w:rPr>
        <w:t xml:space="preserve">gender </w:t>
      </w:r>
      <w:r>
        <w:rPr>
          <w:rFonts w:cs="Calibri"/>
          <w:sz w:val="22"/>
          <w:szCs w:val="22"/>
          <w:lang w:val="en-US"/>
        </w:rPr>
        <w:t xml:space="preserve">by addressing the gender-related dimensions of DRM in the context of climate change, and promote human rights based strategies to </w:t>
      </w:r>
      <w:r w:rsidR="00B254D7" w:rsidRPr="00841766">
        <w:rPr>
          <w:rFonts w:cs="Calibri"/>
          <w:sz w:val="22"/>
          <w:szCs w:val="22"/>
          <w:lang w:val="en-US"/>
        </w:rPr>
        <w:t>build resilience to climate-induced slow and rapid onset disasters, and environmental degradation.</w:t>
      </w:r>
      <w:r w:rsidR="00B254D7" w:rsidRPr="00841766">
        <w:rPr>
          <w:rFonts w:cs="Calibri"/>
          <w:bCs/>
          <w:sz w:val="22"/>
          <w:szCs w:val="22"/>
          <w:lang w:val="en-US"/>
        </w:rPr>
        <w:t xml:space="preserve"> </w:t>
      </w:r>
    </w:p>
    <w:p w14:paraId="5BD481DC" w14:textId="156F94FA" w:rsidR="00B254D7" w:rsidRDefault="00B254D7" w:rsidP="00552AAD">
      <w:pPr>
        <w:autoSpaceDE w:val="0"/>
        <w:autoSpaceDN w:val="0"/>
        <w:adjustRightInd w:val="0"/>
        <w:jc w:val="both"/>
        <w:rPr>
          <w:sz w:val="22"/>
          <w:szCs w:val="22"/>
          <w:lang w:val="en-US"/>
        </w:rPr>
      </w:pPr>
    </w:p>
    <w:p w14:paraId="52BE25E8" w14:textId="0AC51901" w:rsidR="00273B6D" w:rsidRDefault="00273B6D" w:rsidP="00552AAD">
      <w:pPr>
        <w:jc w:val="both"/>
        <w:rPr>
          <w:rFonts w:cs="Calibri"/>
          <w:bCs/>
          <w:sz w:val="22"/>
          <w:szCs w:val="22"/>
          <w:lang w:val="en-US"/>
        </w:rPr>
      </w:pPr>
      <w:r>
        <w:rPr>
          <w:rFonts w:cs="Calibri"/>
          <w:bCs/>
          <w:sz w:val="22"/>
          <w:szCs w:val="22"/>
          <w:lang w:val="en-US"/>
        </w:rPr>
        <w:t>The key areas of change include:</w:t>
      </w:r>
    </w:p>
    <w:p w14:paraId="63C122F9" w14:textId="74DF0FD0" w:rsidR="00273B6D" w:rsidRDefault="00273B6D" w:rsidP="00552AAD">
      <w:pPr>
        <w:pStyle w:val="ListParagraph"/>
        <w:numPr>
          <w:ilvl w:val="0"/>
          <w:numId w:val="38"/>
        </w:numPr>
        <w:jc w:val="both"/>
        <w:rPr>
          <w:rFonts w:cs="Calibri"/>
          <w:bCs/>
          <w:sz w:val="22"/>
          <w:szCs w:val="22"/>
          <w:lang w:val="en-US"/>
        </w:rPr>
      </w:pPr>
      <w:r>
        <w:rPr>
          <w:rFonts w:cs="Calibri"/>
          <w:bCs/>
          <w:sz w:val="22"/>
          <w:szCs w:val="22"/>
          <w:lang w:val="en-US"/>
        </w:rPr>
        <w:t xml:space="preserve">Strengthening sectoral policies and strategies for DRM/CCA; </w:t>
      </w:r>
    </w:p>
    <w:p w14:paraId="0367A7AB" w14:textId="26D404BC" w:rsidR="00273B6D" w:rsidRDefault="00273B6D" w:rsidP="00552AAD">
      <w:pPr>
        <w:pStyle w:val="ListParagraph"/>
        <w:numPr>
          <w:ilvl w:val="0"/>
          <w:numId w:val="38"/>
        </w:numPr>
        <w:jc w:val="both"/>
        <w:rPr>
          <w:rFonts w:cs="Calibri"/>
          <w:bCs/>
          <w:sz w:val="22"/>
          <w:szCs w:val="22"/>
          <w:lang w:val="en-US"/>
        </w:rPr>
      </w:pPr>
      <w:r>
        <w:rPr>
          <w:rFonts w:cs="Calibri"/>
          <w:bCs/>
          <w:sz w:val="22"/>
          <w:szCs w:val="22"/>
          <w:lang w:val="en-US"/>
        </w:rPr>
        <w:t xml:space="preserve">Improving institutional capacities to manage DRM/CCA programmes; </w:t>
      </w:r>
    </w:p>
    <w:p w14:paraId="3A97EC3D" w14:textId="176950DD" w:rsidR="00273B6D" w:rsidRDefault="00273B6D" w:rsidP="00552AAD">
      <w:pPr>
        <w:pStyle w:val="ListParagraph"/>
        <w:numPr>
          <w:ilvl w:val="0"/>
          <w:numId w:val="38"/>
        </w:numPr>
        <w:jc w:val="both"/>
        <w:rPr>
          <w:rFonts w:cs="Calibri"/>
          <w:bCs/>
          <w:sz w:val="22"/>
          <w:szCs w:val="22"/>
          <w:lang w:val="en-US"/>
        </w:rPr>
      </w:pPr>
      <w:r>
        <w:rPr>
          <w:rFonts w:cs="Calibri"/>
          <w:bCs/>
          <w:sz w:val="22"/>
          <w:szCs w:val="22"/>
          <w:lang w:val="en-US"/>
        </w:rPr>
        <w:t>Strengthening early warning system and capacities;</w:t>
      </w:r>
    </w:p>
    <w:p w14:paraId="714EC4F0" w14:textId="1A3E5FE2" w:rsidR="00273B6D" w:rsidRPr="00FD75EE" w:rsidRDefault="00273B6D" w:rsidP="00552AAD">
      <w:pPr>
        <w:pStyle w:val="ListParagraph"/>
        <w:numPr>
          <w:ilvl w:val="0"/>
          <w:numId w:val="38"/>
        </w:numPr>
        <w:jc w:val="both"/>
        <w:rPr>
          <w:rFonts w:cs="Calibri"/>
          <w:bCs/>
          <w:sz w:val="22"/>
          <w:szCs w:val="22"/>
          <w:lang w:val="en-US"/>
        </w:rPr>
      </w:pPr>
      <w:r>
        <w:rPr>
          <w:rFonts w:cs="Calibri"/>
          <w:bCs/>
          <w:sz w:val="22"/>
          <w:szCs w:val="22"/>
          <w:lang w:val="en-US"/>
        </w:rPr>
        <w:t xml:space="preserve">Improving DRM/CCA awareness at all levels within Government, communities and CSOs; </w:t>
      </w:r>
    </w:p>
    <w:p w14:paraId="75E610CA" w14:textId="62D28DA5" w:rsidR="00273B6D" w:rsidRDefault="00273B6D" w:rsidP="00552AAD">
      <w:pPr>
        <w:pStyle w:val="ListParagraph"/>
        <w:numPr>
          <w:ilvl w:val="0"/>
          <w:numId w:val="38"/>
        </w:numPr>
        <w:jc w:val="both"/>
        <w:rPr>
          <w:rFonts w:cs="Calibri"/>
          <w:bCs/>
          <w:sz w:val="22"/>
          <w:szCs w:val="22"/>
          <w:lang w:val="en-US"/>
        </w:rPr>
      </w:pPr>
      <w:r>
        <w:rPr>
          <w:rFonts w:cs="Calibri"/>
          <w:bCs/>
          <w:sz w:val="22"/>
          <w:szCs w:val="22"/>
          <w:lang w:val="en-US"/>
        </w:rPr>
        <w:t>Increasing participation of marginalized groups in DRM/CCA programming; and,</w:t>
      </w:r>
    </w:p>
    <w:p w14:paraId="161EFAEA" w14:textId="77777777" w:rsidR="00273B6D" w:rsidRPr="00FD75EE" w:rsidRDefault="00273B6D" w:rsidP="00552AAD">
      <w:pPr>
        <w:pStyle w:val="ListParagraph"/>
        <w:numPr>
          <w:ilvl w:val="0"/>
          <w:numId w:val="38"/>
        </w:numPr>
        <w:jc w:val="both"/>
        <w:rPr>
          <w:rFonts w:cs="Calibri"/>
          <w:bCs/>
          <w:sz w:val="22"/>
          <w:szCs w:val="22"/>
          <w:lang w:val="en-US"/>
        </w:rPr>
      </w:pPr>
      <w:r>
        <w:rPr>
          <w:rFonts w:cs="Calibri"/>
          <w:bCs/>
          <w:sz w:val="22"/>
          <w:szCs w:val="22"/>
          <w:lang w:val="en-US"/>
        </w:rPr>
        <w:t>Improving access to social protection programmes.</w:t>
      </w:r>
    </w:p>
    <w:p w14:paraId="74B2EF91" w14:textId="77777777" w:rsidR="00273B6D" w:rsidRPr="00841766" w:rsidRDefault="00273B6D" w:rsidP="00552AAD">
      <w:pPr>
        <w:autoSpaceDE w:val="0"/>
        <w:autoSpaceDN w:val="0"/>
        <w:adjustRightInd w:val="0"/>
        <w:jc w:val="both"/>
        <w:rPr>
          <w:sz w:val="22"/>
          <w:szCs w:val="22"/>
          <w:lang w:val="en-US"/>
        </w:rPr>
      </w:pPr>
    </w:p>
    <w:p w14:paraId="2BAC457E" w14:textId="5A9E706D" w:rsidR="00826E7F" w:rsidRDefault="00826E7F" w:rsidP="00552AAD">
      <w:pPr>
        <w:autoSpaceDE w:val="0"/>
        <w:autoSpaceDN w:val="0"/>
        <w:adjustRightInd w:val="0"/>
        <w:jc w:val="both"/>
        <w:rPr>
          <w:b/>
          <w:sz w:val="22"/>
          <w:szCs w:val="22"/>
          <w:lang w:val="en-US"/>
        </w:rPr>
      </w:pPr>
      <w:r>
        <w:rPr>
          <w:b/>
          <w:sz w:val="22"/>
          <w:szCs w:val="22"/>
          <w:lang w:val="en-US"/>
        </w:rPr>
        <w:t>Resilient Infrastructure</w:t>
      </w:r>
    </w:p>
    <w:p w14:paraId="0286B150" w14:textId="19BFD89C" w:rsidR="00B254D7" w:rsidRDefault="00B254D7" w:rsidP="00552AAD">
      <w:pPr>
        <w:autoSpaceDE w:val="0"/>
        <w:autoSpaceDN w:val="0"/>
        <w:adjustRightInd w:val="0"/>
        <w:jc w:val="both"/>
        <w:rPr>
          <w:sz w:val="22"/>
          <w:szCs w:val="22"/>
          <w:lang w:val="en-US"/>
        </w:rPr>
      </w:pPr>
      <w:r w:rsidRPr="00714227">
        <w:rPr>
          <w:bCs/>
          <w:sz w:val="22"/>
          <w:szCs w:val="22"/>
          <w:lang w:val="en-US"/>
        </w:rPr>
        <w:t>Enhancing the resilience</w:t>
      </w:r>
      <w:r w:rsidR="00273B6D" w:rsidRPr="00714227">
        <w:rPr>
          <w:bCs/>
          <w:sz w:val="22"/>
          <w:szCs w:val="22"/>
          <w:lang w:val="en-US"/>
        </w:rPr>
        <w:t xml:space="preserve"> and gender-responsiveness</w:t>
      </w:r>
      <w:r w:rsidRPr="00714227">
        <w:rPr>
          <w:bCs/>
          <w:sz w:val="22"/>
          <w:szCs w:val="22"/>
          <w:lang w:val="en-US"/>
        </w:rPr>
        <w:t xml:space="preserve"> of infrastructure (</w:t>
      </w:r>
      <w:r w:rsidR="00273B6D" w:rsidRPr="00714227">
        <w:rPr>
          <w:bCs/>
          <w:sz w:val="22"/>
          <w:szCs w:val="22"/>
          <w:lang w:val="en-US"/>
        </w:rPr>
        <w:t>hous</w:t>
      </w:r>
      <w:r w:rsidR="009F5D41">
        <w:rPr>
          <w:bCs/>
          <w:sz w:val="22"/>
          <w:szCs w:val="22"/>
          <w:lang w:val="en-US"/>
        </w:rPr>
        <w:t>ing</w:t>
      </w:r>
      <w:r w:rsidR="00273B6D" w:rsidRPr="00714227">
        <w:rPr>
          <w:bCs/>
          <w:sz w:val="22"/>
          <w:szCs w:val="22"/>
          <w:lang w:val="en-US"/>
        </w:rPr>
        <w:t xml:space="preserve">, </w:t>
      </w:r>
      <w:r w:rsidRPr="00714227">
        <w:rPr>
          <w:bCs/>
          <w:sz w:val="22"/>
          <w:szCs w:val="22"/>
          <w:lang w:val="en-US"/>
        </w:rPr>
        <w:t>roads, energy, water systems and sanitation etc</w:t>
      </w:r>
      <w:r w:rsidR="00273B6D" w:rsidRPr="00714227">
        <w:rPr>
          <w:bCs/>
          <w:sz w:val="22"/>
          <w:szCs w:val="22"/>
          <w:lang w:val="en-US"/>
        </w:rPr>
        <w:t>.</w:t>
      </w:r>
      <w:r w:rsidRPr="00714227">
        <w:rPr>
          <w:bCs/>
          <w:sz w:val="22"/>
          <w:szCs w:val="22"/>
          <w:lang w:val="en-US"/>
        </w:rPr>
        <w:t>) and livelihood systems</w:t>
      </w:r>
      <w:r w:rsidR="00273B6D" w:rsidRPr="00714227">
        <w:rPr>
          <w:bCs/>
          <w:sz w:val="22"/>
          <w:szCs w:val="22"/>
          <w:lang w:val="en-US"/>
        </w:rPr>
        <w:t xml:space="preserve"> (human settlements and safe public spaces)</w:t>
      </w:r>
      <w:r w:rsidRPr="00714227">
        <w:rPr>
          <w:bCs/>
          <w:sz w:val="22"/>
          <w:szCs w:val="22"/>
          <w:lang w:val="en-US"/>
        </w:rPr>
        <w:t xml:space="preserve"> </w:t>
      </w:r>
      <w:r w:rsidRPr="00841766">
        <w:rPr>
          <w:sz w:val="22"/>
          <w:szCs w:val="22"/>
          <w:lang w:val="en-US"/>
        </w:rPr>
        <w:t xml:space="preserve">is needed in </w:t>
      </w:r>
      <w:r w:rsidR="00927A3B" w:rsidRPr="00841766">
        <w:rPr>
          <w:sz w:val="22"/>
          <w:szCs w:val="22"/>
          <w:lang w:val="en-US"/>
        </w:rPr>
        <w:t>Timor-Leste</w:t>
      </w:r>
      <w:r w:rsidRPr="00841766">
        <w:rPr>
          <w:sz w:val="22"/>
          <w:szCs w:val="22"/>
          <w:lang w:val="en-US"/>
        </w:rPr>
        <w:t xml:space="preserve"> to reduce people’s vulnerability to climate-induced hazards and environmental processes. </w:t>
      </w:r>
      <w:r w:rsidR="00273B6D">
        <w:rPr>
          <w:sz w:val="22"/>
          <w:szCs w:val="22"/>
          <w:lang w:val="en-US"/>
        </w:rPr>
        <w:t xml:space="preserve"> </w:t>
      </w:r>
      <w:r w:rsidRPr="00841766">
        <w:rPr>
          <w:sz w:val="22"/>
          <w:szCs w:val="22"/>
          <w:lang w:val="en-US"/>
        </w:rPr>
        <w:lastRenderedPageBreak/>
        <w:t xml:space="preserve">Greater efforts are needed to </w:t>
      </w:r>
      <w:r w:rsidR="00273B6D">
        <w:rPr>
          <w:sz w:val="22"/>
          <w:szCs w:val="22"/>
          <w:lang w:val="en-US"/>
        </w:rPr>
        <w:t xml:space="preserve">address </w:t>
      </w:r>
      <w:r w:rsidR="00273B6D" w:rsidRPr="004F7195">
        <w:rPr>
          <w:sz w:val="22"/>
          <w:szCs w:val="22"/>
          <w:lang w:val="en-US"/>
        </w:rPr>
        <w:t>the</w:t>
      </w:r>
      <w:r w:rsidR="00273B6D" w:rsidRPr="004F7195">
        <w:rPr>
          <w:rFonts w:cs="Arial"/>
          <w:bCs/>
          <w:sz w:val="22"/>
          <w:lang w:val="en-US"/>
        </w:rPr>
        <w:t xml:space="preserve"> lack of resilient, climate-smart infrastructure that poses barriers to effective adaptation, risk prevention, mitigation and disaster response</w:t>
      </w:r>
      <w:r w:rsidR="00273B6D">
        <w:rPr>
          <w:sz w:val="22"/>
          <w:szCs w:val="22"/>
          <w:lang w:val="en-US"/>
        </w:rPr>
        <w:t xml:space="preserve">.  </w:t>
      </w:r>
      <w:r w:rsidR="004D3742">
        <w:rPr>
          <w:sz w:val="22"/>
          <w:szCs w:val="22"/>
          <w:lang w:val="en-US"/>
        </w:rPr>
        <w:t>T</w:t>
      </w:r>
      <w:r w:rsidR="00273B6D">
        <w:rPr>
          <w:sz w:val="22"/>
          <w:szCs w:val="22"/>
          <w:lang w:val="en-US"/>
        </w:rPr>
        <w:t xml:space="preserve">here is also </w:t>
      </w:r>
      <w:r w:rsidR="004D3742">
        <w:rPr>
          <w:sz w:val="22"/>
          <w:szCs w:val="22"/>
          <w:lang w:val="en-US"/>
        </w:rPr>
        <w:t xml:space="preserve">scope </w:t>
      </w:r>
      <w:r w:rsidR="00273B6D">
        <w:rPr>
          <w:sz w:val="22"/>
          <w:szCs w:val="22"/>
          <w:lang w:val="en-US"/>
        </w:rPr>
        <w:t xml:space="preserve">to increase </w:t>
      </w:r>
      <w:r w:rsidRPr="00841766">
        <w:rPr>
          <w:sz w:val="22"/>
          <w:szCs w:val="22"/>
          <w:lang w:val="en-US"/>
        </w:rPr>
        <w:t>support</w:t>
      </w:r>
      <w:r w:rsidR="00273B6D">
        <w:rPr>
          <w:sz w:val="22"/>
          <w:szCs w:val="22"/>
          <w:lang w:val="en-US"/>
        </w:rPr>
        <w:t xml:space="preserve"> to</w:t>
      </w:r>
      <w:r w:rsidRPr="00841766">
        <w:rPr>
          <w:sz w:val="22"/>
          <w:szCs w:val="22"/>
          <w:lang w:val="en-US"/>
        </w:rPr>
        <w:t xml:space="preserve"> subsistence farmers whose livelihood</w:t>
      </w:r>
      <w:r w:rsidR="004D3742">
        <w:rPr>
          <w:sz w:val="22"/>
          <w:szCs w:val="22"/>
          <w:lang w:val="en-US"/>
        </w:rPr>
        <w:t>s are</w:t>
      </w:r>
      <w:r w:rsidRPr="00841766">
        <w:rPr>
          <w:sz w:val="22"/>
          <w:szCs w:val="22"/>
          <w:lang w:val="en-US"/>
        </w:rPr>
        <w:t xml:space="preserve"> particularly sensitive to climate-change</w:t>
      </w:r>
      <w:r w:rsidR="00273B6D">
        <w:rPr>
          <w:sz w:val="22"/>
          <w:szCs w:val="22"/>
          <w:lang w:val="en-US"/>
        </w:rPr>
        <w:t>,</w:t>
      </w:r>
      <w:r w:rsidR="00907986" w:rsidRPr="00841766">
        <w:rPr>
          <w:sz w:val="22"/>
          <w:szCs w:val="22"/>
          <w:lang w:val="en-US"/>
        </w:rPr>
        <w:t xml:space="preserve"> and ensure equal participation of women and persons with disabilities in policy decisions related to these systems</w:t>
      </w:r>
      <w:r w:rsidRPr="00841766">
        <w:rPr>
          <w:sz w:val="22"/>
          <w:szCs w:val="22"/>
          <w:lang w:val="en-US"/>
        </w:rPr>
        <w:t>.</w:t>
      </w:r>
    </w:p>
    <w:p w14:paraId="1C08874F" w14:textId="77777777" w:rsidR="00273B6D" w:rsidRPr="00841766" w:rsidRDefault="00273B6D" w:rsidP="00552AAD">
      <w:pPr>
        <w:autoSpaceDE w:val="0"/>
        <w:autoSpaceDN w:val="0"/>
        <w:adjustRightInd w:val="0"/>
        <w:jc w:val="both"/>
        <w:rPr>
          <w:sz w:val="22"/>
          <w:szCs w:val="22"/>
          <w:lang w:val="en-US"/>
        </w:rPr>
      </w:pPr>
    </w:p>
    <w:p w14:paraId="044CFC1E" w14:textId="77777777" w:rsidR="00B254D7" w:rsidRPr="00841766" w:rsidRDefault="00B254D7" w:rsidP="00552AAD">
      <w:pPr>
        <w:autoSpaceDE w:val="0"/>
        <w:autoSpaceDN w:val="0"/>
        <w:adjustRightInd w:val="0"/>
        <w:jc w:val="both"/>
        <w:rPr>
          <w:rFonts w:cs="Calibri"/>
          <w:sz w:val="22"/>
          <w:szCs w:val="22"/>
          <w:lang w:val="en-US"/>
        </w:rPr>
      </w:pPr>
      <w:r w:rsidRPr="00841766">
        <w:rPr>
          <w:rFonts w:cs="Calibri"/>
          <w:sz w:val="22"/>
          <w:szCs w:val="22"/>
          <w:lang w:val="en-US"/>
        </w:rPr>
        <w:t>The key areas of change include:</w:t>
      </w:r>
    </w:p>
    <w:p w14:paraId="1870CB44" w14:textId="431A9DBA" w:rsidR="00B254D7" w:rsidRPr="00841766" w:rsidRDefault="00B254D7" w:rsidP="00552AAD">
      <w:pPr>
        <w:pStyle w:val="ListParagraph"/>
        <w:numPr>
          <w:ilvl w:val="0"/>
          <w:numId w:val="16"/>
        </w:numPr>
        <w:autoSpaceDE w:val="0"/>
        <w:autoSpaceDN w:val="0"/>
        <w:adjustRightInd w:val="0"/>
        <w:jc w:val="both"/>
        <w:rPr>
          <w:rFonts w:cs="Calibri"/>
          <w:sz w:val="22"/>
          <w:szCs w:val="22"/>
          <w:lang w:val="en-US"/>
        </w:rPr>
      </w:pPr>
      <w:r w:rsidRPr="00841766">
        <w:rPr>
          <w:rFonts w:cs="Calibri"/>
          <w:sz w:val="22"/>
          <w:szCs w:val="22"/>
          <w:lang w:val="en-US"/>
        </w:rPr>
        <w:t>Improving living conditions</w:t>
      </w:r>
      <w:r w:rsidR="00273B6D">
        <w:rPr>
          <w:rFonts w:cs="Calibri"/>
          <w:sz w:val="22"/>
          <w:szCs w:val="22"/>
          <w:lang w:val="en-US"/>
        </w:rPr>
        <w:t>;</w:t>
      </w:r>
    </w:p>
    <w:p w14:paraId="3A32BB4C" w14:textId="6F21C16F" w:rsidR="00B254D7" w:rsidRPr="00841766" w:rsidRDefault="00B254D7" w:rsidP="00552AAD">
      <w:pPr>
        <w:pStyle w:val="ListParagraph"/>
        <w:numPr>
          <w:ilvl w:val="0"/>
          <w:numId w:val="16"/>
        </w:numPr>
        <w:autoSpaceDE w:val="0"/>
        <w:autoSpaceDN w:val="0"/>
        <w:adjustRightInd w:val="0"/>
        <w:jc w:val="both"/>
        <w:rPr>
          <w:rFonts w:cs="Calibri"/>
          <w:sz w:val="22"/>
          <w:szCs w:val="22"/>
          <w:lang w:val="en-US"/>
        </w:rPr>
      </w:pPr>
      <w:r w:rsidRPr="00841766">
        <w:rPr>
          <w:rFonts w:cs="Calibri"/>
          <w:sz w:val="22"/>
          <w:szCs w:val="22"/>
          <w:lang w:val="en-US"/>
        </w:rPr>
        <w:t>Increasing access to secure and safe housing, including urban populations in slums/informal settlements/inadequate housing</w:t>
      </w:r>
      <w:r w:rsidR="00273B6D">
        <w:rPr>
          <w:rFonts w:cs="Calibri"/>
          <w:sz w:val="22"/>
          <w:szCs w:val="22"/>
          <w:lang w:val="en-US"/>
        </w:rPr>
        <w:t>;</w:t>
      </w:r>
      <w:r w:rsidRPr="00841766">
        <w:rPr>
          <w:rFonts w:cs="Calibri"/>
          <w:sz w:val="22"/>
          <w:szCs w:val="22"/>
          <w:lang w:val="en-US"/>
        </w:rPr>
        <w:t xml:space="preserve"> </w:t>
      </w:r>
    </w:p>
    <w:p w14:paraId="474827C4" w14:textId="7D06A97F" w:rsidR="00B254D7" w:rsidRPr="00841766" w:rsidRDefault="00B254D7" w:rsidP="00552AAD">
      <w:pPr>
        <w:pStyle w:val="ListParagraph"/>
        <w:numPr>
          <w:ilvl w:val="0"/>
          <w:numId w:val="16"/>
        </w:numPr>
        <w:autoSpaceDE w:val="0"/>
        <w:autoSpaceDN w:val="0"/>
        <w:adjustRightInd w:val="0"/>
        <w:jc w:val="both"/>
        <w:rPr>
          <w:rFonts w:cs="Calibri"/>
          <w:sz w:val="22"/>
          <w:szCs w:val="22"/>
          <w:lang w:val="en-US"/>
        </w:rPr>
      </w:pPr>
      <w:r w:rsidRPr="00841766">
        <w:rPr>
          <w:rFonts w:cs="Calibri"/>
          <w:sz w:val="22"/>
          <w:szCs w:val="22"/>
          <w:lang w:val="en-US"/>
        </w:rPr>
        <w:t>Addressing damage to critical infrastructure</w:t>
      </w:r>
      <w:r w:rsidR="00325AE0" w:rsidRPr="00841766">
        <w:rPr>
          <w:rFonts w:cs="Calibri"/>
          <w:sz w:val="22"/>
          <w:szCs w:val="22"/>
          <w:lang w:val="en-US"/>
        </w:rPr>
        <w:t xml:space="preserve"> </w:t>
      </w:r>
      <w:r w:rsidRPr="00841766">
        <w:rPr>
          <w:rFonts w:cs="Calibri"/>
          <w:sz w:val="22"/>
          <w:szCs w:val="22"/>
          <w:lang w:val="en-US"/>
        </w:rPr>
        <w:t>and disruptions to basic service,</w:t>
      </w:r>
      <w:r w:rsidR="00325AE0" w:rsidRPr="00841766">
        <w:rPr>
          <w:rFonts w:cs="Calibri"/>
          <w:sz w:val="22"/>
          <w:szCs w:val="22"/>
          <w:lang w:val="en-US"/>
        </w:rPr>
        <w:t xml:space="preserve"> including water services</w:t>
      </w:r>
      <w:r w:rsidR="00273B6D">
        <w:rPr>
          <w:rFonts w:cs="Calibri"/>
          <w:sz w:val="22"/>
          <w:szCs w:val="22"/>
          <w:lang w:val="en-US"/>
        </w:rPr>
        <w:t>; and,</w:t>
      </w:r>
    </w:p>
    <w:p w14:paraId="362A6192" w14:textId="4F9E70BB" w:rsidR="00B254D7" w:rsidRPr="00841766" w:rsidRDefault="00B254D7" w:rsidP="00552AAD">
      <w:pPr>
        <w:pStyle w:val="ListParagraph"/>
        <w:numPr>
          <w:ilvl w:val="0"/>
          <w:numId w:val="16"/>
        </w:numPr>
        <w:autoSpaceDE w:val="0"/>
        <w:autoSpaceDN w:val="0"/>
        <w:adjustRightInd w:val="0"/>
        <w:jc w:val="both"/>
        <w:rPr>
          <w:rFonts w:cs="Calibri"/>
          <w:sz w:val="22"/>
          <w:szCs w:val="22"/>
          <w:lang w:val="en-US"/>
        </w:rPr>
      </w:pPr>
      <w:r w:rsidRPr="00841766">
        <w:rPr>
          <w:rFonts w:cs="Calibri"/>
          <w:sz w:val="22"/>
          <w:szCs w:val="22"/>
          <w:lang w:val="en-US"/>
        </w:rPr>
        <w:t>Increasing access to safe public spaces and aligns with national and local climate adaptation/disaster risk reduction</w:t>
      </w:r>
      <w:r w:rsidR="00907986" w:rsidRPr="00841766">
        <w:rPr>
          <w:rFonts w:cs="Calibri"/>
          <w:sz w:val="22"/>
          <w:szCs w:val="22"/>
          <w:lang w:val="en-US"/>
        </w:rPr>
        <w:t xml:space="preserve"> and gender equality</w:t>
      </w:r>
      <w:r w:rsidRPr="00841766">
        <w:rPr>
          <w:rFonts w:cs="Calibri"/>
          <w:sz w:val="22"/>
          <w:szCs w:val="22"/>
          <w:lang w:val="en-US"/>
        </w:rPr>
        <w:t xml:space="preserve"> strategies. </w:t>
      </w:r>
    </w:p>
    <w:p w14:paraId="12EDEFF0" w14:textId="6807BD00" w:rsidR="00B254D7" w:rsidRDefault="00B254D7" w:rsidP="00552AAD">
      <w:pPr>
        <w:autoSpaceDE w:val="0"/>
        <w:autoSpaceDN w:val="0"/>
        <w:adjustRightInd w:val="0"/>
        <w:jc w:val="both"/>
        <w:rPr>
          <w:sz w:val="22"/>
          <w:szCs w:val="22"/>
          <w:lang w:val="en-US"/>
        </w:rPr>
      </w:pPr>
    </w:p>
    <w:p w14:paraId="0BEA9CFE" w14:textId="598C4DB6" w:rsidR="00CD1D47" w:rsidRPr="00714227" w:rsidRDefault="00CD1D47" w:rsidP="00552AAD">
      <w:pPr>
        <w:autoSpaceDE w:val="0"/>
        <w:autoSpaceDN w:val="0"/>
        <w:adjustRightInd w:val="0"/>
        <w:jc w:val="both"/>
        <w:rPr>
          <w:b/>
          <w:bCs/>
          <w:sz w:val="22"/>
          <w:szCs w:val="22"/>
          <w:lang w:val="en-US"/>
        </w:rPr>
      </w:pPr>
      <w:r w:rsidRPr="00714227">
        <w:rPr>
          <w:b/>
          <w:bCs/>
          <w:sz w:val="22"/>
          <w:szCs w:val="22"/>
          <w:lang w:val="en-US"/>
        </w:rPr>
        <w:t xml:space="preserve">Terrestrial and Ocean Resources Sustainable Management </w:t>
      </w:r>
    </w:p>
    <w:p w14:paraId="4D1A921E" w14:textId="03A155D1" w:rsidR="00B254D7" w:rsidRPr="00714227" w:rsidRDefault="00B254D7" w:rsidP="00552AAD">
      <w:pPr>
        <w:jc w:val="both"/>
        <w:rPr>
          <w:rFonts w:cs="Calibri"/>
          <w:color w:val="000000" w:themeColor="text1"/>
          <w:sz w:val="22"/>
          <w:szCs w:val="22"/>
          <w:lang w:val="en-US"/>
        </w:rPr>
      </w:pPr>
      <w:r w:rsidRPr="00714227">
        <w:rPr>
          <w:rFonts w:cstheme="minorHAnsi"/>
          <w:sz w:val="22"/>
          <w:szCs w:val="22"/>
          <w:lang w:val="en-US"/>
        </w:rPr>
        <w:t xml:space="preserve">Effective and gender-equitable strategies and systems for sustainably managed land, forest, coastal and marine resources are key to </w:t>
      </w:r>
      <w:r w:rsidRPr="00714227">
        <w:rPr>
          <w:sz w:val="22"/>
          <w:szCs w:val="22"/>
          <w:lang w:val="en-US"/>
        </w:rPr>
        <w:t>manage</w:t>
      </w:r>
      <w:r w:rsidRPr="00714227">
        <w:rPr>
          <w:rFonts w:cs="Calibri"/>
          <w:sz w:val="22"/>
          <w:szCs w:val="22"/>
          <w:lang w:val="en-US"/>
        </w:rPr>
        <w:t xml:space="preserve"> natural resources, including terrestrial, coastal and marine ecosystems, </w:t>
      </w:r>
      <w:r w:rsidRPr="00714227">
        <w:rPr>
          <w:rFonts w:cs="Calibri"/>
          <w:color w:val="000000" w:themeColor="text1"/>
          <w:sz w:val="22"/>
          <w:szCs w:val="22"/>
          <w:lang w:val="en-US"/>
        </w:rPr>
        <w:t>and adopt practices that are sustainable.</w:t>
      </w:r>
    </w:p>
    <w:p w14:paraId="055917FB" w14:textId="77777777" w:rsidR="00273B6D" w:rsidRPr="00841766" w:rsidRDefault="00273B6D" w:rsidP="00552AAD">
      <w:pPr>
        <w:jc w:val="both"/>
        <w:rPr>
          <w:rFonts w:cstheme="minorHAnsi"/>
          <w:b/>
          <w:color w:val="000000" w:themeColor="text1"/>
          <w:sz w:val="22"/>
          <w:szCs w:val="22"/>
          <w:lang w:val="en-US"/>
        </w:rPr>
      </w:pPr>
    </w:p>
    <w:p w14:paraId="0F647121" w14:textId="4268429C" w:rsidR="00B254D7" w:rsidRPr="00841766" w:rsidRDefault="00B254D7" w:rsidP="00552AAD">
      <w:pPr>
        <w:jc w:val="both"/>
        <w:rPr>
          <w:rFonts w:cs="Calibri"/>
          <w:sz w:val="22"/>
          <w:szCs w:val="22"/>
          <w:lang w:val="en-US"/>
        </w:rPr>
      </w:pPr>
      <w:r w:rsidRPr="00841766">
        <w:rPr>
          <w:rFonts w:cs="Calibri"/>
          <w:sz w:val="22"/>
          <w:szCs w:val="22"/>
          <w:lang w:val="en-US"/>
        </w:rPr>
        <w:t>These policies and systems need to be targeted to address:</w:t>
      </w:r>
    </w:p>
    <w:p w14:paraId="1B54A581" w14:textId="5F65DCF5" w:rsidR="00B254D7" w:rsidRPr="00841766" w:rsidRDefault="00B254D7" w:rsidP="00552AAD">
      <w:pPr>
        <w:pStyle w:val="ListParagraph"/>
        <w:numPr>
          <w:ilvl w:val="0"/>
          <w:numId w:val="16"/>
        </w:numPr>
        <w:jc w:val="both"/>
        <w:rPr>
          <w:rFonts w:cs="Calibri"/>
          <w:sz w:val="22"/>
          <w:szCs w:val="22"/>
          <w:lang w:val="en-US"/>
        </w:rPr>
      </w:pPr>
      <w:r w:rsidRPr="00841766">
        <w:rPr>
          <w:rFonts w:cs="Calibri"/>
          <w:sz w:val="22"/>
          <w:szCs w:val="22"/>
          <w:lang w:val="en-US"/>
        </w:rPr>
        <w:t>Unsustainable agricultural practices</w:t>
      </w:r>
      <w:r w:rsidR="00273B6D">
        <w:rPr>
          <w:rFonts w:cs="Calibri"/>
          <w:sz w:val="22"/>
          <w:szCs w:val="22"/>
          <w:lang w:val="en-US"/>
        </w:rPr>
        <w:t>;</w:t>
      </w:r>
    </w:p>
    <w:p w14:paraId="195E0747" w14:textId="61DA9F62" w:rsidR="00B254D7" w:rsidRPr="00841766" w:rsidRDefault="00B254D7" w:rsidP="00552AAD">
      <w:pPr>
        <w:pStyle w:val="ListParagraph"/>
        <w:numPr>
          <w:ilvl w:val="0"/>
          <w:numId w:val="16"/>
        </w:numPr>
        <w:jc w:val="both"/>
        <w:rPr>
          <w:rFonts w:cs="Calibri"/>
          <w:sz w:val="22"/>
          <w:szCs w:val="22"/>
          <w:lang w:val="en-US"/>
        </w:rPr>
      </w:pPr>
      <w:r w:rsidRPr="00841766">
        <w:rPr>
          <w:rFonts w:cs="Calibri"/>
          <w:sz w:val="22"/>
          <w:szCs w:val="22"/>
          <w:lang w:val="en-US"/>
        </w:rPr>
        <w:t>High rates of deforestation</w:t>
      </w:r>
      <w:r w:rsidR="00273B6D">
        <w:rPr>
          <w:rFonts w:cs="Calibri"/>
          <w:sz w:val="22"/>
          <w:szCs w:val="22"/>
          <w:lang w:val="en-US"/>
        </w:rPr>
        <w:t>;</w:t>
      </w:r>
    </w:p>
    <w:p w14:paraId="4749F839" w14:textId="1B216086" w:rsidR="00B254D7" w:rsidRPr="00841766" w:rsidRDefault="00B254D7" w:rsidP="00552AAD">
      <w:pPr>
        <w:pStyle w:val="ListParagraph"/>
        <w:numPr>
          <w:ilvl w:val="0"/>
          <w:numId w:val="16"/>
        </w:numPr>
        <w:jc w:val="both"/>
        <w:rPr>
          <w:rFonts w:cs="Calibri"/>
          <w:sz w:val="22"/>
          <w:szCs w:val="22"/>
          <w:lang w:val="en-US"/>
        </w:rPr>
      </w:pPr>
      <w:r w:rsidRPr="00841766">
        <w:rPr>
          <w:rFonts w:cs="Calibri"/>
          <w:sz w:val="22"/>
          <w:szCs w:val="22"/>
          <w:lang w:val="en-US"/>
        </w:rPr>
        <w:t>Protection and restoration of water-related ecosystems</w:t>
      </w:r>
      <w:r w:rsidR="00273B6D">
        <w:rPr>
          <w:rFonts w:cs="Calibri"/>
          <w:sz w:val="22"/>
          <w:szCs w:val="22"/>
          <w:lang w:val="en-US"/>
        </w:rPr>
        <w:t>;</w:t>
      </w:r>
      <w:r w:rsidRPr="00841766">
        <w:rPr>
          <w:rFonts w:cs="Calibri"/>
          <w:sz w:val="22"/>
          <w:szCs w:val="22"/>
          <w:lang w:val="en-US"/>
        </w:rPr>
        <w:t xml:space="preserve"> </w:t>
      </w:r>
    </w:p>
    <w:p w14:paraId="7BC47CD8" w14:textId="6A80BA10" w:rsidR="00B254D7" w:rsidRPr="00841766" w:rsidRDefault="00B254D7" w:rsidP="00552AAD">
      <w:pPr>
        <w:pStyle w:val="ListParagraph"/>
        <w:numPr>
          <w:ilvl w:val="0"/>
          <w:numId w:val="16"/>
        </w:numPr>
        <w:jc w:val="both"/>
        <w:rPr>
          <w:rFonts w:cs="Calibri"/>
          <w:sz w:val="22"/>
          <w:szCs w:val="22"/>
          <w:lang w:val="en-US"/>
        </w:rPr>
      </w:pPr>
      <w:r w:rsidRPr="00841766">
        <w:rPr>
          <w:rFonts w:cs="Calibri"/>
          <w:sz w:val="22"/>
          <w:szCs w:val="22"/>
          <w:lang w:val="en-US"/>
        </w:rPr>
        <w:t>Terrestrial and coastal ecosystem degradation, including preservation of fish stocks</w:t>
      </w:r>
      <w:r w:rsidR="000754FD">
        <w:rPr>
          <w:rFonts w:cs="Calibri"/>
          <w:sz w:val="22"/>
          <w:szCs w:val="22"/>
          <w:lang w:val="en-US"/>
        </w:rPr>
        <w:t>;</w:t>
      </w:r>
      <w:r w:rsidRPr="00841766">
        <w:rPr>
          <w:rFonts w:cs="Calibri"/>
          <w:sz w:val="22"/>
          <w:szCs w:val="22"/>
          <w:lang w:val="en-US"/>
        </w:rPr>
        <w:t xml:space="preserve"> </w:t>
      </w:r>
    </w:p>
    <w:p w14:paraId="3BF65804" w14:textId="676ED94B" w:rsidR="00B254D7" w:rsidRPr="00841766" w:rsidRDefault="00B254D7" w:rsidP="00552AAD">
      <w:pPr>
        <w:pStyle w:val="ListParagraph"/>
        <w:numPr>
          <w:ilvl w:val="0"/>
          <w:numId w:val="16"/>
        </w:numPr>
        <w:jc w:val="both"/>
        <w:rPr>
          <w:rFonts w:cs="Calibri"/>
          <w:sz w:val="22"/>
          <w:szCs w:val="22"/>
          <w:lang w:val="en-US"/>
        </w:rPr>
      </w:pPr>
      <w:r w:rsidRPr="00841766">
        <w:rPr>
          <w:rFonts w:cs="Calibri"/>
          <w:sz w:val="22"/>
          <w:szCs w:val="22"/>
          <w:lang w:val="en-US"/>
        </w:rPr>
        <w:t>Overcrowding, effective waste management</w:t>
      </w:r>
      <w:r w:rsidR="000754FD">
        <w:rPr>
          <w:rFonts w:cs="Calibri"/>
          <w:sz w:val="22"/>
          <w:szCs w:val="22"/>
          <w:lang w:val="en-US"/>
        </w:rPr>
        <w:t>;</w:t>
      </w:r>
    </w:p>
    <w:p w14:paraId="749B5A81" w14:textId="2292F827" w:rsidR="00B254D7" w:rsidRPr="00841766" w:rsidRDefault="00B254D7" w:rsidP="00552AAD">
      <w:pPr>
        <w:pStyle w:val="ListParagraph"/>
        <w:numPr>
          <w:ilvl w:val="0"/>
          <w:numId w:val="16"/>
        </w:numPr>
        <w:jc w:val="both"/>
        <w:rPr>
          <w:rFonts w:cs="Calibri"/>
          <w:sz w:val="22"/>
          <w:szCs w:val="22"/>
          <w:lang w:val="en-US"/>
        </w:rPr>
      </w:pPr>
      <w:r w:rsidRPr="00841766">
        <w:rPr>
          <w:rFonts w:cs="Calibri"/>
          <w:sz w:val="22"/>
          <w:szCs w:val="22"/>
          <w:lang w:val="en-US"/>
        </w:rPr>
        <w:t>Population displacement</w:t>
      </w:r>
      <w:r w:rsidR="000754FD">
        <w:rPr>
          <w:rFonts w:cs="Calibri"/>
          <w:sz w:val="22"/>
          <w:szCs w:val="22"/>
          <w:lang w:val="en-US"/>
        </w:rPr>
        <w:t>;</w:t>
      </w:r>
    </w:p>
    <w:p w14:paraId="06EC0AE4" w14:textId="7B46A4D7" w:rsidR="00B254D7" w:rsidRPr="00841766" w:rsidRDefault="00907986" w:rsidP="00552AAD">
      <w:pPr>
        <w:pStyle w:val="ListParagraph"/>
        <w:numPr>
          <w:ilvl w:val="0"/>
          <w:numId w:val="16"/>
        </w:numPr>
        <w:jc w:val="both"/>
        <w:rPr>
          <w:rFonts w:cs="Calibri"/>
          <w:sz w:val="22"/>
          <w:szCs w:val="22"/>
          <w:lang w:val="en-US"/>
        </w:rPr>
      </w:pPr>
      <w:r w:rsidRPr="00841766">
        <w:rPr>
          <w:rFonts w:cs="Calibri"/>
          <w:sz w:val="22"/>
          <w:szCs w:val="22"/>
          <w:lang w:val="en-US"/>
        </w:rPr>
        <w:t>Uncontrolled fire</w:t>
      </w:r>
      <w:r w:rsidR="000754FD">
        <w:rPr>
          <w:rFonts w:cs="Calibri"/>
          <w:sz w:val="22"/>
          <w:szCs w:val="22"/>
          <w:lang w:val="en-US"/>
        </w:rPr>
        <w:t>; and,</w:t>
      </w:r>
    </w:p>
    <w:p w14:paraId="603475B6" w14:textId="5ECD2AD5" w:rsidR="00907986" w:rsidRPr="00841766" w:rsidRDefault="00907986" w:rsidP="00552AAD">
      <w:pPr>
        <w:pStyle w:val="ListParagraph"/>
        <w:numPr>
          <w:ilvl w:val="0"/>
          <w:numId w:val="16"/>
        </w:numPr>
        <w:jc w:val="both"/>
        <w:rPr>
          <w:rFonts w:cs="Calibri"/>
          <w:sz w:val="22"/>
          <w:szCs w:val="22"/>
          <w:lang w:val="en-US"/>
        </w:rPr>
      </w:pPr>
      <w:r w:rsidRPr="00841766">
        <w:rPr>
          <w:rFonts w:cs="Calibri"/>
          <w:sz w:val="22"/>
          <w:szCs w:val="22"/>
          <w:lang w:val="en-US"/>
        </w:rPr>
        <w:t xml:space="preserve">Lack of integrated urban planning and infrastructure development. </w:t>
      </w:r>
    </w:p>
    <w:p w14:paraId="286A8267" w14:textId="77777777" w:rsidR="00B254D7" w:rsidRPr="00841766" w:rsidRDefault="00B254D7" w:rsidP="00552AAD">
      <w:pPr>
        <w:autoSpaceDE w:val="0"/>
        <w:autoSpaceDN w:val="0"/>
        <w:adjustRightInd w:val="0"/>
        <w:jc w:val="both"/>
        <w:rPr>
          <w:rFonts w:cs="Times New Roman"/>
          <w:sz w:val="22"/>
          <w:szCs w:val="22"/>
          <w:lang w:val="en-US"/>
        </w:rPr>
      </w:pPr>
    </w:p>
    <w:p w14:paraId="45E29E83" w14:textId="77777777" w:rsidR="002E612E" w:rsidRPr="002E612E" w:rsidRDefault="002E612E" w:rsidP="00552AAD">
      <w:pPr>
        <w:jc w:val="both"/>
        <w:rPr>
          <w:b/>
          <w:bCs/>
          <w:lang w:val="en-US"/>
        </w:rPr>
      </w:pPr>
      <w:bookmarkStart w:id="101" w:name="_Toc29540803"/>
      <w:bookmarkStart w:id="102" w:name="_Toc29550737"/>
      <w:bookmarkStart w:id="103" w:name="_Toc29550832"/>
      <w:bookmarkStart w:id="104" w:name="_Toc29900366"/>
      <w:bookmarkStart w:id="105" w:name="_Toc30407949"/>
      <w:bookmarkStart w:id="106" w:name="_Toc31376355"/>
      <w:r w:rsidRPr="002E612E">
        <w:rPr>
          <w:b/>
          <w:bCs/>
          <w:lang w:val="en-US"/>
        </w:rPr>
        <w:t>Contribution to the SDGs</w:t>
      </w:r>
    </w:p>
    <w:p w14:paraId="1586D7FD" w14:textId="00D9EDCC" w:rsidR="002E612E" w:rsidRDefault="002E612E" w:rsidP="00552AAD">
      <w:pPr>
        <w:jc w:val="both"/>
        <w:rPr>
          <w:rFonts w:cstheme="minorHAnsi"/>
          <w:sz w:val="22"/>
          <w:szCs w:val="22"/>
          <w:lang w:val="en-US"/>
        </w:rPr>
      </w:pPr>
      <w:r w:rsidRPr="002E612E">
        <w:rPr>
          <w:lang w:val="en-US"/>
        </w:rPr>
        <w:t>O</w:t>
      </w:r>
      <w:r w:rsidRPr="002E612E">
        <w:rPr>
          <w:rFonts w:cstheme="minorHAnsi"/>
          <w:sz w:val="22"/>
          <w:szCs w:val="22"/>
          <w:lang w:val="en-US"/>
        </w:rPr>
        <w:t xml:space="preserve">utcome 6 will specifically contribute and measure progress towards sustainable cities and communities (SDG 11), climate action (SDG 13), life below water (SDG 14), life on land (SDG 15). Focusing on these strategic areas will contribute to positive spillover effects, accelerating progress towards reduced inequalities (SDG 10). </w:t>
      </w:r>
    </w:p>
    <w:p w14:paraId="0E915F6C" w14:textId="77777777" w:rsidR="002E612E" w:rsidRPr="002E612E" w:rsidRDefault="002E612E" w:rsidP="00552AAD">
      <w:pPr>
        <w:jc w:val="both"/>
        <w:rPr>
          <w:rFonts w:cstheme="minorHAnsi"/>
          <w:sz w:val="22"/>
          <w:szCs w:val="22"/>
          <w:lang w:val="en-US"/>
        </w:rPr>
      </w:pPr>
    </w:p>
    <w:p w14:paraId="19197E64" w14:textId="01E07FD3" w:rsidR="00B254D7" w:rsidRPr="000135BE" w:rsidRDefault="00B254D7" w:rsidP="00552AAD">
      <w:pPr>
        <w:jc w:val="both"/>
        <w:rPr>
          <w:b/>
          <w:bCs/>
          <w:lang w:val="en-US"/>
        </w:rPr>
      </w:pPr>
      <w:r w:rsidRPr="000135BE">
        <w:rPr>
          <w:b/>
          <w:bCs/>
          <w:lang w:val="en-US"/>
        </w:rPr>
        <w:t xml:space="preserve">UN Comparative advantages, partnership and South-South or </w:t>
      </w:r>
      <w:r w:rsidR="00552AAD">
        <w:rPr>
          <w:b/>
          <w:bCs/>
          <w:lang w:val="en-US"/>
        </w:rPr>
        <w:t>T</w:t>
      </w:r>
      <w:r w:rsidRPr="000135BE">
        <w:rPr>
          <w:b/>
          <w:bCs/>
          <w:lang w:val="en-US"/>
        </w:rPr>
        <w:t>riangular Cooperation</w:t>
      </w:r>
      <w:bookmarkEnd w:id="101"/>
      <w:bookmarkEnd w:id="102"/>
      <w:bookmarkEnd w:id="103"/>
      <w:bookmarkEnd w:id="104"/>
      <w:bookmarkEnd w:id="105"/>
      <w:bookmarkEnd w:id="106"/>
    </w:p>
    <w:p w14:paraId="14D3E0B0" w14:textId="222FEF92" w:rsidR="00246CE3" w:rsidRPr="00841766" w:rsidRDefault="00B254D7" w:rsidP="00552AAD">
      <w:pPr>
        <w:spacing w:after="120"/>
        <w:jc w:val="both"/>
        <w:rPr>
          <w:rFonts w:cs="Calibri"/>
          <w:sz w:val="22"/>
          <w:szCs w:val="22"/>
          <w:lang w:val="en-US"/>
        </w:rPr>
      </w:pPr>
      <w:r w:rsidRPr="00841766">
        <w:rPr>
          <w:rFonts w:cs="Calibri"/>
          <w:sz w:val="22"/>
          <w:szCs w:val="22"/>
          <w:lang w:val="en-US"/>
        </w:rPr>
        <w:t>The UN is well positioned to support the delivery of results in this area</w:t>
      </w:r>
      <w:r w:rsidR="00232D36">
        <w:rPr>
          <w:rFonts w:cs="Calibri"/>
          <w:sz w:val="22"/>
          <w:szCs w:val="22"/>
          <w:lang w:val="en-US"/>
        </w:rPr>
        <w:t>,</w:t>
      </w:r>
      <w:r w:rsidRPr="00841766">
        <w:rPr>
          <w:rFonts w:cs="Calibri"/>
          <w:sz w:val="22"/>
          <w:szCs w:val="22"/>
          <w:lang w:val="en-US"/>
        </w:rPr>
        <w:t xml:space="preserve"> having contributed to strengthening institutional capacity on DRM and CCA at national level; conducting disaster and environmental research; </w:t>
      </w:r>
      <w:r w:rsidR="00232D36">
        <w:rPr>
          <w:rFonts w:cs="Calibri"/>
          <w:sz w:val="22"/>
          <w:szCs w:val="22"/>
          <w:lang w:val="en-US"/>
        </w:rPr>
        <w:t xml:space="preserve">and, </w:t>
      </w:r>
      <w:r w:rsidRPr="00841766">
        <w:rPr>
          <w:rFonts w:cs="Calibri"/>
          <w:sz w:val="22"/>
          <w:szCs w:val="22"/>
          <w:lang w:val="en-US"/>
        </w:rPr>
        <w:t>promoting disaster risk and vulnerability reduction through community-based disaster risk planning, awareness and advocacy.</w:t>
      </w:r>
    </w:p>
    <w:p w14:paraId="2BF27A26" w14:textId="3AD785B0" w:rsidR="00246CE3" w:rsidRPr="00841766" w:rsidRDefault="00B254D7" w:rsidP="00552AAD">
      <w:pPr>
        <w:spacing w:after="120"/>
        <w:jc w:val="both"/>
        <w:rPr>
          <w:rFonts w:cs="Calibri"/>
          <w:sz w:val="22"/>
          <w:szCs w:val="22"/>
          <w:lang w:val="en-US"/>
        </w:rPr>
      </w:pPr>
      <w:r w:rsidRPr="00841766">
        <w:rPr>
          <w:rFonts w:cs="Calibri"/>
          <w:sz w:val="22"/>
          <w:szCs w:val="22"/>
          <w:lang w:val="en-US"/>
        </w:rPr>
        <w:t xml:space="preserve">Furthermore, the UN </w:t>
      </w:r>
      <w:r w:rsidR="00325AE0" w:rsidRPr="00841766">
        <w:rPr>
          <w:rFonts w:cs="Calibri"/>
          <w:sz w:val="22"/>
          <w:szCs w:val="22"/>
          <w:lang w:val="en-US"/>
        </w:rPr>
        <w:t>has</w:t>
      </w:r>
      <w:r w:rsidRPr="00841766">
        <w:rPr>
          <w:rFonts w:cs="Calibri"/>
          <w:sz w:val="22"/>
          <w:szCs w:val="22"/>
          <w:lang w:val="en-US"/>
        </w:rPr>
        <w:t xml:space="preserve"> expertise in community-based natural resource management, addressing deforestation, land degradation and soil erosion; promoting coral reef protection; sustainable fisheries management; water resource management; integrated land and water resource management; and climate-smart livelihoods.</w:t>
      </w:r>
    </w:p>
    <w:p w14:paraId="15AECF48" w14:textId="3208819F" w:rsidR="0085615D" w:rsidRDefault="00B254D7" w:rsidP="00552AAD">
      <w:pPr>
        <w:autoSpaceDE w:val="0"/>
        <w:autoSpaceDN w:val="0"/>
        <w:adjustRightInd w:val="0"/>
        <w:jc w:val="both"/>
        <w:rPr>
          <w:sz w:val="22"/>
          <w:szCs w:val="22"/>
          <w:lang w:val="en-US"/>
        </w:rPr>
      </w:pPr>
      <w:r w:rsidRPr="00841766">
        <w:rPr>
          <w:rFonts w:cs="Calibri"/>
          <w:sz w:val="22"/>
          <w:szCs w:val="22"/>
          <w:lang w:val="en-US"/>
        </w:rPr>
        <w:t>The UN is also well position</w:t>
      </w:r>
      <w:r w:rsidR="00232D36">
        <w:rPr>
          <w:rFonts w:cs="Calibri"/>
          <w:sz w:val="22"/>
          <w:szCs w:val="22"/>
          <w:lang w:val="en-US"/>
        </w:rPr>
        <w:t>ed</w:t>
      </w:r>
      <w:r w:rsidRPr="00841766">
        <w:rPr>
          <w:rFonts w:cs="Calibri"/>
          <w:sz w:val="22"/>
          <w:szCs w:val="22"/>
          <w:lang w:val="en-US"/>
        </w:rPr>
        <w:t xml:space="preserve"> to support the </w:t>
      </w:r>
      <w:r w:rsidRPr="00841766">
        <w:rPr>
          <w:sz w:val="22"/>
          <w:szCs w:val="22"/>
          <w:lang w:val="en-US"/>
        </w:rPr>
        <w:t>climate proofing of rural and urban infrastructure, safe shelter, and the promotion of sustainable human settlements</w:t>
      </w:r>
      <w:r w:rsidR="00907986" w:rsidRPr="00841766">
        <w:rPr>
          <w:sz w:val="22"/>
          <w:szCs w:val="22"/>
          <w:lang w:val="en-US"/>
        </w:rPr>
        <w:t xml:space="preserve"> and public spaces</w:t>
      </w:r>
      <w:r w:rsidRPr="00841766">
        <w:rPr>
          <w:sz w:val="22"/>
          <w:szCs w:val="22"/>
          <w:lang w:val="en-US"/>
        </w:rPr>
        <w:t xml:space="preserve"> in an inclusive and gender sensitive manner.</w:t>
      </w:r>
    </w:p>
    <w:p w14:paraId="0B61800A" w14:textId="3679B9DA" w:rsidR="00232D36" w:rsidRDefault="00232D36" w:rsidP="00552AAD">
      <w:pPr>
        <w:autoSpaceDE w:val="0"/>
        <w:autoSpaceDN w:val="0"/>
        <w:adjustRightInd w:val="0"/>
        <w:jc w:val="both"/>
        <w:rPr>
          <w:sz w:val="22"/>
          <w:szCs w:val="22"/>
          <w:lang w:val="en-US"/>
        </w:rPr>
      </w:pPr>
    </w:p>
    <w:p w14:paraId="66BE5C7D" w14:textId="518BC106" w:rsidR="00232D36" w:rsidRPr="004F7195" w:rsidRDefault="00232D36" w:rsidP="00552AAD">
      <w:pPr>
        <w:autoSpaceDE w:val="0"/>
        <w:autoSpaceDN w:val="0"/>
        <w:adjustRightInd w:val="0"/>
        <w:jc w:val="both"/>
        <w:rPr>
          <w:sz w:val="22"/>
          <w:szCs w:val="22"/>
          <w:lang w:val="en-US"/>
        </w:rPr>
      </w:pPr>
      <w:r>
        <w:rPr>
          <w:sz w:val="22"/>
          <w:szCs w:val="22"/>
          <w:lang w:val="en-US"/>
        </w:rPr>
        <w:t xml:space="preserve">CSOs </w:t>
      </w:r>
      <w:r w:rsidRPr="00403E0D">
        <w:rPr>
          <w:sz w:val="22"/>
          <w:szCs w:val="22"/>
          <w:lang w:val="en-US"/>
        </w:rPr>
        <w:t>play a critical role in DRM/CCA programming</w:t>
      </w:r>
      <w:r>
        <w:rPr>
          <w:sz w:val="22"/>
          <w:szCs w:val="22"/>
          <w:lang w:val="en-US"/>
        </w:rPr>
        <w:t xml:space="preserve"> in</w:t>
      </w:r>
      <w:r w:rsidRPr="00403E0D">
        <w:rPr>
          <w:sz w:val="22"/>
          <w:szCs w:val="22"/>
          <w:lang w:val="en-US"/>
        </w:rPr>
        <w:t xml:space="preserve"> Timor-Leste. </w:t>
      </w:r>
      <w:r>
        <w:rPr>
          <w:sz w:val="22"/>
          <w:szCs w:val="22"/>
          <w:lang w:val="en-US"/>
        </w:rPr>
        <w:t xml:space="preserve"> The UN is well positioned to partner with CSOs and has the expertise to build CSO capacities.  The UN is a member </w:t>
      </w:r>
      <w:r w:rsidRPr="00403E0D">
        <w:rPr>
          <w:sz w:val="22"/>
          <w:szCs w:val="22"/>
          <w:lang w:val="en-US"/>
        </w:rPr>
        <w:t>of the C</w:t>
      </w:r>
      <w:r>
        <w:rPr>
          <w:sz w:val="22"/>
          <w:szCs w:val="22"/>
          <w:lang w:val="en-US"/>
        </w:rPr>
        <w:t xml:space="preserve">ommunity </w:t>
      </w:r>
      <w:r w:rsidRPr="00403E0D">
        <w:rPr>
          <w:sz w:val="22"/>
          <w:szCs w:val="22"/>
          <w:lang w:val="en-US"/>
        </w:rPr>
        <w:t>B</w:t>
      </w:r>
      <w:r>
        <w:rPr>
          <w:sz w:val="22"/>
          <w:szCs w:val="22"/>
          <w:lang w:val="en-US"/>
        </w:rPr>
        <w:t xml:space="preserve">ased </w:t>
      </w:r>
      <w:r w:rsidRPr="00403E0D">
        <w:rPr>
          <w:sz w:val="22"/>
          <w:szCs w:val="22"/>
          <w:lang w:val="en-US"/>
        </w:rPr>
        <w:lastRenderedPageBreak/>
        <w:t>D</w:t>
      </w:r>
      <w:r>
        <w:rPr>
          <w:sz w:val="22"/>
          <w:szCs w:val="22"/>
          <w:lang w:val="en-US"/>
        </w:rPr>
        <w:t xml:space="preserve">isaster </w:t>
      </w:r>
      <w:r w:rsidRPr="00403E0D">
        <w:rPr>
          <w:sz w:val="22"/>
          <w:szCs w:val="22"/>
          <w:lang w:val="en-US"/>
        </w:rPr>
        <w:t>R</w:t>
      </w:r>
      <w:r>
        <w:rPr>
          <w:sz w:val="22"/>
          <w:szCs w:val="22"/>
          <w:lang w:val="en-US"/>
        </w:rPr>
        <w:t xml:space="preserve">isk </w:t>
      </w:r>
      <w:r w:rsidRPr="00403E0D">
        <w:rPr>
          <w:sz w:val="22"/>
          <w:szCs w:val="22"/>
          <w:lang w:val="en-US"/>
        </w:rPr>
        <w:t>M</w:t>
      </w:r>
      <w:r>
        <w:rPr>
          <w:sz w:val="22"/>
          <w:szCs w:val="22"/>
          <w:lang w:val="en-US"/>
        </w:rPr>
        <w:t>anagement (CBDRM)</w:t>
      </w:r>
      <w:r w:rsidRPr="00403E0D">
        <w:rPr>
          <w:sz w:val="22"/>
          <w:szCs w:val="22"/>
          <w:lang w:val="en-US"/>
        </w:rPr>
        <w:t xml:space="preserve"> Network and works closely with local and international </w:t>
      </w:r>
      <w:r>
        <w:rPr>
          <w:sz w:val="22"/>
          <w:szCs w:val="22"/>
          <w:lang w:val="en-US"/>
        </w:rPr>
        <w:t xml:space="preserve">CSOs </w:t>
      </w:r>
      <w:r w:rsidRPr="00403E0D">
        <w:rPr>
          <w:sz w:val="22"/>
          <w:szCs w:val="22"/>
          <w:lang w:val="en-US"/>
        </w:rPr>
        <w:t xml:space="preserve">to promote a coherent DRM/CCA approach to </w:t>
      </w:r>
      <w:r>
        <w:rPr>
          <w:sz w:val="22"/>
          <w:szCs w:val="22"/>
          <w:lang w:val="en-US"/>
        </w:rPr>
        <w:t xml:space="preserve">address </w:t>
      </w:r>
      <w:r w:rsidRPr="00403E0D">
        <w:rPr>
          <w:sz w:val="22"/>
          <w:szCs w:val="22"/>
          <w:lang w:val="en-US"/>
        </w:rPr>
        <w:t>the</w:t>
      </w:r>
      <w:r w:rsidRPr="00FD75EE">
        <w:rPr>
          <w:rFonts w:cs="Arial"/>
          <w:bCs/>
          <w:sz w:val="22"/>
        </w:rPr>
        <w:t xml:space="preserve"> </w:t>
      </w:r>
      <w:r w:rsidRPr="004F7195">
        <w:rPr>
          <w:rFonts w:cs="Arial"/>
          <w:bCs/>
          <w:sz w:val="22"/>
          <w:lang w:val="en-US"/>
        </w:rPr>
        <w:t>lack of mainstreaming of DRM/CCA issues into all affected sectors, and focus on the missing link between DRM/CCA and relevant sectoral programming, as well as the limited understanding of relevant climate change issues by sector actors.</w:t>
      </w:r>
    </w:p>
    <w:p w14:paraId="2FEF242B" w14:textId="77777777" w:rsidR="00232D36" w:rsidRDefault="00232D36" w:rsidP="00552AAD">
      <w:pPr>
        <w:autoSpaceDE w:val="0"/>
        <w:autoSpaceDN w:val="0"/>
        <w:adjustRightInd w:val="0"/>
        <w:jc w:val="both"/>
        <w:rPr>
          <w:sz w:val="22"/>
          <w:szCs w:val="22"/>
          <w:lang w:val="en-US"/>
        </w:rPr>
      </w:pPr>
    </w:p>
    <w:p w14:paraId="044B49A9" w14:textId="20625FEA" w:rsidR="00232D36" w:rsidRPr="00FD75EE" w:rsidRDefault="00232D36" w:rsidP="00552AAD">
      <w:pPr>
        <w:autoSpaceDE w:val="0"/>
        <w:autoSpaceDN w:val="0"/>
        <w:adjustRightInd w:val="0"/>
        <w:jc w:val="both"/>
        <w:rPr>
          <w:sz w:val="22"/>
          <w:szCs w:val="22"/>
          <w:highlight w:val="yellow"/>
          <w:lang w:val="en-US"/>
        </w:rPr>
      </w:pPr>
      <w:r>
        <w:rPr>
          <w:sz w:val="22"/>
          <w:szCs w:val="22"/>
          <w:lang w:val="en-US"/>
        </w:rPr>
        <w:t>The UN also has the technical capacity to support e</w:t>
      </w:r>
      <w:r w:rsidRPr="009D43D1">
        <w:rPr>
          <w:sz w:val="22"/>
          <w:szCs w:val="22"/>
          <w:lang w:val="en-US"/>
        </w:rPr>
        <w:t xml:space="preserve">ngagement </w:t>
      </w:r>
      <w:r w:rsidRPr="001769FE">
        <w:rPr>
          <w:sz w:val="22"/>
          <w:szCs w:val="22"/>
          <w:lang w:val="en-US"/>
        </w:rPr>
        <w:t>with regional or sub-regional inter-governmental or th</w:t>
      </w:r>
      <w:r w:rsidRPr="00BD0962">
        <w:rPr>
          <w:sz w:val="22"/>
          <w:szCs w:val="22"/>
          <w:lang w:val="en-US"/>
        </w:rPr>
        <w:t>ematic forums</w:t>
      </w:r>
      <w:r w:rsidRPr="00111433">
        <w:rPr>
          <w:sz w:val="22"/>
          <w:szCs w:val="22"/>
          <w:lang w:val="en-US"/>
        </w:rPr>
        <w:t xml:space="preserve"> for DRM/CCA, and reporting to the </w:t>
      </w:r>
      <w:r w:rsidRPr="00FD75EE">
        <w:rPr>
          <w:sz w:val="22"/>
          <w:szCs w:val="22"/>
          <w:lang w:val="en-US"/>
        </w:rPr>
        <w:t>United Nations Framework Convention on Climate Change (UNFCCC) and Kyoto Protoc</w:t>
      </w:r>
      <w:r w:rsidR="004F7195">
        <w:rPr>
          <w:sz w:val="22"/>
          <w:szCs w:val="22"/>
          <w:lang w:val="en-US"/>
        </w:rPr>
        <w:t>o</w:t>
      </w:r>
      <w:r w:rsidRPr="00FD75EE">
        <w:rPr>
          <w:sz w:val="22"/>
          <w:szCs w:val="22"/>
          <w:lang w:val="en-US"/>
        </w:rPr>
        <w:t xml:space="preserve">l to the UNFCCC, to which Timor-Leste has an obligation to submit its national communication (INC) to the Conference of the Parties (COP). </w:t>
      </w:r>
      <w:r>
        <w:rPr>
          <w:sz w:val="22"/>
          <w:szCs w:val="22"/>
          <w:lang w:val="en-US"/>
        </w:rPr>
        <w:t xml:space="preserve"> </w:t>
      </w:r>
      <w:r w:rsidRPr="00FD75EE">
        <w:rPr>
          <w:sz w:val="22"/>
          <w:szCs w:val="22"/>
          <w:lang w:val="en-US"/>
        </w:rPr>
        <w:t xml:space="preserve">In addition, the UN has the expertise to support the Government align relevant policies, strategies and programmes with the </w:t>
      </w:r>
      <w:r w:rsidRPr="001769FE">
        <w:rPr>
          <w:sz w:val="22"/>
          <w:szCs w:val="22"/>
          <w:lang w:val="en-US"/>
        </w:rPr>
        <w:t>Sendai Framework</w:t>
      </w:r>
      <w:r w:rsidRPr="00FD75EE">
        <w:rPr>
          <w:sz w:val="22"/>
          <w:szCs w:val="22"/>
          <w:lang w:val="en-US"/>
        </w:rPr>
        <w:t xml:space="preserve"> for Disaster Risk Management; </w:t>
      </w:r>
      <w:r>
        <w:rPr>
          <w:sz w:val="22"/>
          <w:szCs w:val="22"/>
          <w:lang w:val="en-US"/>
        </w:rPr>
        <w:t>CEDAW r</w:t>
      </w:r>
      <w:r w:rsidRPr="00FD75EE">
        <w:rPr>
          <w:sz w:val="22"/>
          <w:szCs w:val="22"/>
          <w:lang w:val="en-US"/>
        </w:rPr>
        <w:t>ecommendation</w:t>
      </w:r>
      <w:r>
        <w:rPr>
          <w:sz w:val="22"/>
          <w:szCs w:val="22"/>
          <w:lang w:val="en-US"/>
        </w:rPr>
        <w:t>s</w:t>
      </w:r>
      <w:r w:rsidRPr="001769FE">
        <w:rPr>
          <w:sz w:val="22"/>
          <w:szCs w:val="22"/>
          <w:lang w:val="en-US"/>
        </w:rPr>
        <w:t xml:space="preserve"> on</w:t>
      </w:r>
      <w:r>
        <w:rPr>
          <w:sz w:val="22"/>
          <w:szCs w:val="22"/>
          <w:lang w:val="en-US"/>
        </w:rPr>
        <w:t xml:space="preserve"> the</w:t>
      </w:r>
      <w:r w:rsidRPr="001769FE">
        <w:rPr>
          <w:sz w:val="22"/>
          <w:szCs w:val="22"/>
          <w:lang w:val="en-US"/>
        </w:rPr>
        <w:t xml:space="preserve"> gender</w:t>
      </w:r>
      <w:r w:rsidRPr="00643A00">
        <w:rPr>
          <w:sz w:val="22"/>
          <w:szCs w:val="22"/>
          <w:lang w:val="en-US"/>
        </w:rPr>
        <w:t>-related dimensions of disaster risk reduction in the context of climate change</w:t>
      </w:r>
      <w:r>
        <w:rPr>
          <w:sz w:val="22"/>
          <w:szCs w:val="22"/>
          <w:lang w:val="en-US"/>
        </w:rPr>
        <w:t>, as well as strengthen Timor-Leste’s participation in regional forums and coordination of national forums such as the Timor-Leste National Climate Change Conference.</w:t>
      </w:r>
    </w:p>
    <w:p w14:paraId="5755892C" w14:textId="77777777" w:rsidR="00232D36" w:rsidRPr="00841766" w:rsidRDefault="00232D36" w:rsidP="004C515B">
      <w:pPr>
        <w:autoSpaceDE w:val="0"/>
        <w:autoSpaceDN w:val="0"/>
        <w:adjustRightInd w:val="0"/>
        <w:rPr>
          <w:sz w:val="22"/>
          <w:szCs w:val="22"/>
          <w:lang w:val="en-US"/>
        </w:rPr>
      </w:pPr>
    </w:p>
    <w:p w14:paraId="7A3DDF97" w14:textId="128C32FB" w:rsidR="0085615D" w:rsidRPr="00841766" w:rsidRDefault="0085615D" w:rsidP="00552AAD">
      <w:pPr>
        <w:pStyle w:val="Heading2"/>
        <w:jc w:val="both"/>
        <w:rPr>
          <w:rFonts w:asciiTheme="minorHAnsi" w:hAnsiTheme="minorHAnsi"/>
          <w:sz w:val="28"/>
          <w:lang w:val="en-US"/>
        </w:rPr>
      </w:pPr>
      <w:bookmarkStart w:id="107" w:name="_Toc40265804"/>
      <w:r w:rsidRPr="00841766">
        <w:rPr>
          <w:rFonts w:asciiTheme="minorHAnsi" w:hAnsiTheme="minorHAnsi"/>
          <w:sz w:val="28"/>
          <w:lang w:val="en-US"/>
        </w:rPr>
        <w:t>2.</w:t>
      </w:r>
      <w:r w:rsidR="002C16D5">
        <w:rPr>
          <w:rFonts w:asciiTheme="minorHAnsi" w:hAnsiTheme="minorHAnsi"/>
          <w:sz w:val="28"/>
          <w:lang w:val="en-US"/>
        </w:rPr>
        <w:t>4</w:t>
      </w:r>
      <w:r w:rsidRPr="00841766">
        <w:rPr>
          <w:rFonts w:asciiTheme="minorHAnsi" w:hAnsiTheme="minorHAnsi"/>
          <w:sz w:val="28"/>
          <w:lang w:val="en-US"/>
        </w:rPr>
        <w:t>. Synergies between Cooperation Framework outcomes</w:t>
      </w:r>
      <w:bookmarkEnd w:id="107"/>
      <w:r w:rsidRPr="00841766">
        <w:rPr>
          <w:rFonts w:asciiTheme="minorHAnsi" w:hAnsiTheme="minorHAnsi"/>
          <w:sz w:val="28"/>
          <w:lang w:val="en-US"/>
        </w:rPr>
        <w:t xml:space="preserve"> </w:t>
      </w:r>
    </w:p>
    <w:p w14:paraId="138B3455" w14:textId="3143D597" w:rsidR="00FC3A59" w:rsidRPr="00841766" w:rsidRDefault="00FC3A59" w:rsidP="00552AAD">
      <w:pPr>
        <w:spacing w:after="120"/>
        <w:jc w:val="both"/>
        <w:rPr>
          <w:b/>
          <w:sz w:val="22"/>
          <w:szCs w:val="22"/>
          <w:lang w:val="en-US"/>
        </w:rPr>
      </w:pPr>
      <w:bookmarkStart w:id="108" w:name="_Toc29540804"/>
      <w:bookmarkStart w:id="109" w:name="_Toc29550738"/>
      <w:r w:rsidRPr="00841766">
        <w:rPr>
          <w:b/>
          <w:sz w:val="22"/>
          <w:szCs w:val="22"/>
          <w:lang w:val="en-US"/>
        </w:rPr>
        <w:t>Human capital development</w:t>
      </w:r>
    </w:p>
    <w:p w14:paraId="2617DDFC" w14:textId="602EC08B" w:rsidR="00FC3A59" w:rsidRPr="00841766" w:rsidRDefault="00917AC8" w:rsidP="00552AAD">
      <w:pPr>
        <w:jc w:val="both"/>
        <w:rPr>
          <w:sz w:val="22"/>
          <w:szCs w:val="22"/>
          <w:lang w:val="en-US"/>
        </w:rPr>
      </w:pPr>
      <w:r w:rsidRPr="00841766">
        <w:rPr>
          <w:sz w:val="22"/>
          <w:szCs w:val="22"/>
          <w:lang w:val="en-US"/>
        </w:rPr>
        <w:t>O</w:t>
      </w:r>
      <w:r w:rsidR="00FC3A59" w:rsidRPr="00841766">
        <w:rPr>
          <w:sz w:val="22"/>
          <w:szCs w:val="22"/>
          <w:lang w:val="en-US"/>
        </w:rPr>
        <w:t xml:space="preserve">utcomes one, three and four </w:t>
      </w:r>
      <w:r w:rsidRPr="00841766">
        <w:rPr>
          <w:sz w:val="22"/>
          <w:szCs w:val="22"/>
          <w:lang w:val="en-US"/>
        </w:rPr>
        <w:t xml:space="preserve">will together contribute </w:t>
      </w:r>
      <w:r w:rsidR="00FC3A59" w:rsidRPr="00841766">
        <w:rPr>
          <w:sz w:val="22"/>
          <w:szCs w:val="22"/>
          <w:lang w:val="en-US"/>
        </w:rPr>
        <w:t>in a mutually reinforcing way</w:t>
      </w:r>
      <w:r w:rsidRPr="00841766">
        <w:rPr>
          <w:sz w:val="22"/>
          <w:szCs w:val="22"/>
          <w:lang w:val="en-US"/>
        </w:rPr>
        <w:t xml:space="preserve"> to improving health outcomes, cognitive capacity and learning outcomes</w:t>
      </w:r>
      <w:r w:rsidR="00FC3A59" w:rsidRPr="00841766">
        <w:rPr>
          <w:sz w:val="22"/>
          <w:szCs w:val="22"/>
          <w:lang w:val="en-US"/>
        </w:rPr>
        <w:t xml:space="preserve">. </w:t>
      </w:r>
      <w:r w:rsidR="00985039">
        <w:rPr>
          <w:sz w:val="22"/>
          <w:szCs w:val="22"/>
          <w:lang w:val="en-US"/>
        </w:rPr>
        <w:t xml:space="preserve"> </w:t>
      </w:r>
      <w:r w:rsidR="00FC3A59" w:rsidRPr="00841766">
        <w:rPr>
          <w:sz w:val="22"/>
          <w:szCs w:val="22"/>
          <w:lang w:val="en-US"/>
        </w:rPr>
        <w:t>While outcome one on Food security, Nutrition and Sustainable Agriculture will focus on reducing stunting and wasting levels increasi</w:t>
      </w:r>
      <w:r w:rsidR="005800DA" w:rsidRPr="00841766">
        <w:rPr>
          <w:sz w:val="22"/>
          <w:szCs w:val="22"/>
          <w:lang w:val="en-US"/>
        </w:rPr>
        <w:t xml:space="preserve">ng access to nutrition, water, sanitation hygiene and </w:t>
      </w:r>
      <w:r w:rsidR="00FC3A59" w:rsidRPr="00841766">
        <w:rPr>
          <w:sz w:val="22"/>
          <w:szCs w:val="22"/>
          <w:lang w:val="en-US"/>
        </w:rPr>
        <w:t>food</w:t>
      </w:r>
      <w:r w:rsidR="005800DA" w:rsidRPr="00841766">
        <w:rPr>
          <w:sz w:val="22"/>
          <w:szCs w:val="22"/>
          <w:lang w:val="en-US"/>
        </w:rPr>
        <w:t xml:space="preserve"> security</w:t>
      </w:r>
      <w:r w:rsidR="00FC3A59" w:rsidRPr="00841766">
        <w:rPr>
          <w:sz w:val="22"/>
          <w:szCs w:val="22"/>
          <w:lang w:val="en-US"/>
        </w:rPr>
        <w:t xml:space="preserve">, efforts under outcome four </w:t>
      </w:r>
      <w:r w:rsidR="00254CBC" w:rsidRPr="00841766">
        <w:rPr>
          <w:sz w:val="22"/>
          <w:szCs w:val="22"/>
          <w:lang w:val="en-US"/>
        </w:rPr>
        <w:t>to strengthen Primary Health</w:t>
      </w:r>
      <w:r w:rsidR="00584BB1">
        <w:rPr>
          <w:sz w:val="22"/>
          <w:szCs w:val="22"/>
          <w:lang w:val="en-US"/>
        </w:rPr>
        <w:t xml:space="preserve"> C</w:t>
      </w:r>
      <w:r w:rsidR="00584BB1" w:rsidRPr="00841766">
        <w:rPr>
          <w:sz w:val="22"/>
          <w:szCs w:val="22"/>
          <w:lang w:val="en-US"/>
        </w:rPr>
        <w:t xml:space="preserve">are </w:t>
      </w:r>
      <w:r w:rsidR="005800DA" w:rsidRPr="00841766">
        <w:rPr>
          <w:sz w:val="22"/>
          <w:szCs w:val="22"/>
          <w:lang w:val="en-US"/>
        </w:rPr>
        <w:t xml:space="preserve">systems </w:t>
      </w:r>
      <w:r w:rsidR="00254CBC" w:rsidRPr="00841766">
        <w:rPr>
          <w:sz w:val="22"/>
          <w:szCs w:val="22"/>
          <w:lang w:val="en-US"/>
        </w:rPr>
        <w:t xml:space="preserve">will include supporting access to </w:t>
      </w:r>
      <w:r w:rsidR="005800DA" w:rsidRPr="00841766">
        <w:rPr>
          <w:sz w:val="22"/>
          <w:szCs w:val="22"/>
          <w:lang w:val="en-US"/>
        </w:rPr>
        <w:t xml:space="preserve">better quality </w:t>
      </w:r>
      <w:r w:rsidR="00254CBC" w:rsidRPr="00841766">
        <w:rPr>
          <w:sz w:val="22"/>
          <w:szCs w:val="22"/>
          <w:lang w:val="en-US"/>
        </w:rPr>
        <w:t xml:space="preserve">nutrition services and addressing the </w:t>
      </w:r>
      <w:r w:rsidR="005800DA" w:rsidRPr="00841766">
        <w:rPr>
          <w:sz w:val="22"/>
          <w:szCs w:val="22"/>
          <w:lang w:val="en-US"/>
        </w:rPr>
        <w:t xml:space="preserve">social </w:t>
      </w:r>
      <w:r w:rsidR="00254CBC" w:rsidRPr="00841766">
        <w:rPr>
          <w:sz w:val="22"/>
          <w:szCs w:val="22"/>
          <w:lang w:val="en-US"/>
        </w:rPr>
        <w:t xml:space="preserve">determinants of health </w:t>
      </w:r>
      <w:r w:rsidR="005800DA" w:rsidRPr="00841766">
        <w:rPr>
          <w:sz w:val="22"/>
          <w:szCs w:val="22"/>
          <w:lang w:val="en-US"/>
        </w:rPr>
        <w:t>conducive</w:t>
      </w:r>
      <w:r w:rsidR="00254CBC" w:rsidRPr="00841766">
        <w:rPr>
          <w:sz w:val="22"/>
          <w:szCs w:val="22"/>
          <w:lang w:val="en-US"/>
        </w:rPr>
        <w:t xml:space="preserve"> to inadequate water, sanitation, hygiene and feeding practices. Outcome three will simultaneously support an increase in demand for and supply of early childhood development and education services, including by supporting the development of sound child rearing practices. Actions under this outcome will </w:t>
      </w:r>
      <w:r w:rsidR="00BF1BB1" w:rsidRPr="00841766">
        <w:rPr>
          <w:sz w:val="22"/>
          <w:szCs w:val="22"/>
          <w:lang w:val="en-US"/>
        </w:rPr>
        <w:t xml:space="preserve">therefore </w:t>
      </w:r>
      <w:r w:rsidR="00254CBC" w:rsidRPr="00841766">
        <w:rPr>
          <w:sz w:val="22"/>
          <w:szCs w:val="22"/>
          <w:lang w:val="en-US"/>
        </w:rPr>
        <w:t>contribute to</w:t>
      </w:r>
      <w:r w:rsidRPr="00841766">
        <w:rPr>
          <w:sz w:val="22"/>
          <w:szCs w:val="22"/>
          <w:lang w:val="en-US"/>
        </w:rPr>
        <w:t xml:space="preserve"> improving</w:t>
      </w:r>
      <w:r w:rsidR="00254CBC" w:rsidRPr="00841766">
        <w:rPr>
          <w:sz w:val="22"/>
          <w:szCs w:val="22"/>
          <w:lang w:val="en-US"/>
        </w:rPr>
        <w:t xml:space="preserve"> nutrition and health outcomes</w:t>
      </w:r>
      <w:r w:rsidRPr="00841766">
        <w:rPr>
          <w:sz w:val="22"/>
          <w:szCs w:val="22"/>
          <w:lang w:val="en-US"/>
        </w:rPr>
        <w:t>, while</w:t>
      </w:r>
      <w:r w:rsidR="00254CBC" w:rsidRPr="00841766">
        <w:rPr>
          <w:sz w:val="22"/>
          <w:szCs w:val="22"/>
          <w:lang w:val="en-US"/>
        </w:rPr>
        <w:t xml:space="preserve"> learning outcome results </w:t>
      </w:r>
      <w:r w:rsidRPr="00841766">
        <w:rPr>
          <w:sz w:val="22"/>
          <w:szCs w:val="22"/>
          <w:lang w:val="en-US"/>
        </w:rPr>
        <w:t xml:space="preserve">will </w:t>
      </w:r>
      <w:r w:rsidR="00254CBC" w:rsidRPr="00841766">
        <w:rPr>
          <w:sz w:val="22"/>
          <w:szCs w:val="22"/>
          <w:lang w:val="en-US"/>
        </w:rPr>
        <w:t>benefit from greater nutrition and health status of under five children</w:t>
      </w:r>
      <w:r w:rsidR="00BF1BB1" w:rsidRPr="00841766">
        <w:rPr>
          <w:sz w:val="22"/>
          <w:szCs w:val="22"/>
          <w:lang w:val="en-US"/>
        </w:rPr>
        <w:t xml:space="preserve"> as well as from </w:t>
      </w:r>
      <w:r w:rsidR="00BF1BB1" w:rsidRPr="00841766">
        <w:rPr>
          <w:rFonts w:cs="Calibri"/>
          <w:sz w:val="22"/>
          <w:szCs w:val="22"/>
          <w:lang w:val="en-US"/>
        </w:rPr>
        <w:t>investment in health and nutrition of school-age children</w:t>
      </w:r>
      <w:r w:rsidR="00BF1BB1" w:rsidRPr="00841766">
        <w:rPr>
          <w:sz w:val="22"/>
          <w:szCs w:val="22"/>
          <w:lang w:val="en-US"/>
        </w:rPr>
        <w:t>.</w:t>
      </w:r>
    </w:p>
    <w:p w14:paraId="0779177B" w14:textId="7930738C" w:rsidR="00180AED" w:rsidRPr="00236F69" w:rsidRDefault="00990DB1" w:rsidP="00552AAD">
      <w:pPr>
        <w:spacing w:after="240"/>
        <w:jc w:val="both"/>
        <w:rPr>
          <w:sz w:val="22"/>
          <w:szCs w:val="22"/>
          <w:lang w:val="en-US"/>
        </w:rPr>
      </w:pPr>
      <w:r w:rsidRPr="00841766">
        <w:rPr>
          <w:sz w:val="22"/>
          <w:szCs w:val="22"/>
          <w:lang w:val="en-US"/>
        </w:rPr>
        <w:t xml:space="preserve">Social protection </w:t>
      </w:r>
      <w:r w:rsidR="00BF1BB1" w:rsidRPr="00841766">
        <w:rPr>
          <w:sz w:val="22"/>
          <w:szCs w:val="22"/>
          <w:lang w:val="en-US"/>
        </w:rPr>
        <w:t xml:space="preserve">as a mean to increase the capacity of the </w:t>
      </w:r>
      <w:r w:rsidR="00917AC8" w:rsidRPr="00841766">
        <w:rPr>
          <w:sz w:val="22"/>
          <w:szCs w:val="22"/>
          <w:lang w:val="en-US"/>
        </w:rPr>
        <w:t>most vulnerable to</w:t>
      </w:r>
      <w:r w:rsidR="00BF1BB1" w:rsidRPr="00841766">
        <w:rPr>
          <w:sz w:val="22"/>
          <w:szCs w:val="22"/>
          <w:lang w:val="en-US"/>
        </w:rPr>
        <w:t xml:space="preserve"> </w:t>
      </w:r>
      <w:r w:rsidR="00F032FD" w:rsidRPr="00841766">
        <w:rPr>
          <w:sz w:val="22"/>
          <w:szCs w:val="22"/>
          <w:lang w:val="en-US"/>
        </w:rPr>
        <w:t>withstand</w:t>
      </w:r>
      <w:r w:rsidR="00BF1BB1" w:rsidRPr="00841766">
        <w:rPr>
          <w:sz w:val="22"/>
          <w:szCs w:val="22"/>
          <w:lang w:val="en-US"/>
        </w:rPr>
        <w:t xml:space="preserve"> shocks and to access basic services </w:t>
      </w:r>
      <w:r w:rsidRPr="00841766">
        <w:rPr>
          <w:sz w:val="22"/>
          <w:szCs w:val="22"/>
          <w:lang w:val="en-US"/>
        </w:rPr>
        <w:t xml:space="preserve">will </w:t>
      </w:r>
      <w:r w:rsidR="005800DA" w:rsidRPr="00841766">
        <w:rPr>
          <w:sz w:val="22"/>
          <w:szCs w:val="22"/>
          <w:lang w:val="en-US"/>
        </w:rPr>
        <w:t xml:space="preserve">also be </w:t>
      </w:r>
      <w:r w:rsidRPr="00841766">
        <w:rPr>
          <w:sz w:val="22"/>
          <w:szCs w:val="22"/>
          <w:lang w:val="en-US"/>
        </w:rPr>
        <w:t xml:space="preserve">an important component of outcome one, three and four and an area for integrated programming. </w:t>
      </w:r>
    </w:p>
    <w:p w14:paraId="237ACCD6" w14:textId="2964457A" w:rsidR="00254CBC" w:rsidRPr="00841766" w:rsidRDefault="00254CBC" w:rsidP="00552AAD">
      <w:pPr>
        <w:spacing w:after="120"/>
        <w:jc w:val="both"/>
        <w:rPr>
          <w:b/>
          <w:sz w:val="22"/>
          <w:szCs w:val="22"/>
          <w:lang w:val="en-US"/>
        </w:rPr>
      </w:pPr>
      <w:r w:rsidRPr="00841766">
        <w:rPr>
          <w:b/>
          <w:sz w:val="22"/>
          <w:szCs w:val="22"/>
          <w:lang w:val="en-US"/>
        </w:rPr>
        <w:t>Economic diversification</w:t>
      </w:r>
    </w:p>
    <w:p w14:paraId="6F6C50CA" w14:textId="2379A1CC" w:rsidR="00254CBC" w:rsidRPr="00841766" w:rsidRDefault="0049684B" w:rsidP="00552AAD">
      <w:pPr>
        <w:jc w:val="both"/>
        <w:rPr>
          <w:sz w:val="22"/>
          <w:szCs w:val="22"/>
          <w:lang w:val="en-US"/>
        </w:rPr>
      </w:pPr>
      <w:r w:rsidRPr="00841766">
        <w:rPr>
          <w:sz w:val="22"/>
          <w:szCs w:val="22"/>
          <w:lang w:val="en-US"/>
        </w:rPr>
        <w:t xml:space="preserve">The Cooperation Framework intends to contribute to economic diversification through a particular focus on developing sustainable agriculture and </w:t>
      </w:r>
      <w:proofErr w:type="spellStart"/>
      <w:r w:rsidRPr="00841766">
        <w:rPr>
          <w:sz w:val="22"/>
          <w:szCs w:val="22"/>
          <w:lang w:val="en-US"/>
        </w:rPr>
        <w:t>agrifood</w:t>
      </w:r>
      <w:proofErr w:type="spellEnd"/>
      <w:r w:rsidRPr="00841766">
        <w:rPr>
          <w:sz w:val="22"/>
          <w:szCs w:val="22"/>
          <w:lang w:val="en-US"/>
        </w:rPr>
        <w:t xml:space="preserve"> systems </w:t>
      </w:r>
      <w:r w:rsidR="00917AC8" w:rsidRPr="00841766">
        <w:rPr>
          <w:sz w:val="22"/>
          <w:szCs w:val="22"/>
          <w:lang w:val="en-US"/>
        </w:rPr>
        <w:t>(</w:t>
      </w:r>
      <w:r w:rsidRPr="00841766">
        <w:rPr>
          <w:sz w:val="22"/>
          <w:szCs w:val="22"/>
          <w:lang w:val="en-US"/>
        </w:rPr>
        <w:t>outcome one</w:t>
      </w:r>
      <w:r w:rsidR="00917AC8" w:rsidRPr="00841766">
        <w:rPr>
          <w:sz w:val="22"/>
          <w:szCs w:val="22"/>
          <w:lang w:val="en-US"/>
        </w:rPr>
        <w:t>)</w:t>
      </w:r>
      <w:r w:rsidRPr="00841766">
        <w:rPr>
          <w:sz w:val="22"/>
          <w:szCs w:val="22"/>
          <w:lang w:val="en-US"/>
        </w:rPr>
        <w:t xml:space="preserve">, as well as through outcome two (Sustainable Economic Opportunities and Decent Work for all) </w:t>
      </w:r>
      <w:r w:rsidR="00994CE3" w:rsidRPr="00841766">
        <w:rPr>
          <w:sz w:val="22"/>
          <w:szCs w:val="22"/>
          <w:lang w:val="en-US"/>
        </w:rPr>
        <w:t xml:space="preserve">which will foster the creation of the business eco-systems needed for new economic development pathways including sustainable agriculture and </w:t>
      </w:r>
      <w:proofErr w:type="spellStart"/>
      <w:r w:rsidR="00994CE3" w:rsidRPr="00841766">
        <w:rPr>
          <w:sz w:val="22"/>
          <w:szCs w:val="22"/>
          <w:lang w:val="en-US"/>
        </w:rPr>
        <w:t>agrifood</w:t>
      </w:r>
      <w:proofErr w:type="spellEnd"/>
      <w:r w:rsidR="00994CE3" w:rsidRPr="00841766">
        <w:rPr>
          <w:sz w:val="22"/>
          <w:szCs w:val="22"/>
          <w:lang w:val="en-US"/>
        </w:rPr>
        <w:t xml:space="preserve"> systems</w:t>
      </w:r>
      <w:r w:rsidR="00917AC8" w:rsidRPr="00841766">
        <w:rPr>
          <w:sz w:val="22"/>
          <w:szCs w:val="22"/>
          <w:lang w:val="en-US"/>
        </w:rPr>
        <w:t xml:space="preserve"> and sustainable tourism as well as </w:t>
      </w:r>
      <w:r w:rsidR="00994CE3" w:rsidRPr="00841766">
        <w:rPr>
          <w:sz w:val="22"/>
          <w:szCs w:val="22"/>
          <w:lang w:val="en-US"/>
        </w:rPr>
        <w:t xml:space="preserve">circular </w:t>
      </w:r>
      <w:r w:rsidR="00917AC8" w:rsidRPr="00841766">
        <w:rPr>
          <w:sz w:val="22"/>
          <w:szCs w:val="22"/>
          <w:lang w:val="en-US"/>
        </w:rPr>
        <w:t>economy</w:t>
      </w:r>
      <w:r w:rsidR="00994CE3" w:rsidRPr="00841766">
        <w:rPr>
          <w:sz w:val="22"/>
          <w:szCs w:val="22"/>
          <w:lang w:val="en-US"/>
        </w:rPr>
        <w:t xml:space="preserve"> models. As part of outcome two</w:t>
      </w:r>
      <w:r w:rsidR="00BF1BB1" w:rsidRPr="00841766">
        <w:rPr>
          <w:sz w:val="22"/>
          <w:szCs w:val="22"/>
          <w:lang w:val="en-US"/>
        </w:rPr>
        <w:t>,</w:t>
      </w:r>
      <w:r w:rsidR="00994CE3" w:rsidRPr="00841766">
        <w:rPr>
          <w:sz w:val="22"/>
          <w:szCs w:val="22"/>
          <w:lang w:val="en-US"/>
        </w:rPr>
        <w:t xml:space="preserve"> and in </w:t>
      </w:r>
      <w:r w:rsidR="00180AED" w:rsidRPr="00841766">
        <w:rPr>
          <w:sz w:val="22"/>
          <w:szCs w:val="22"/>
          <w:lang w:val="en-US"/>
        </w:rPr>
        <w:t>complementarity with</w:t>
      </w:r>
      <w:r w:rsidR="00994CE3" w:rsidRPr="00841766">
        <w:rPr>
          <w:sz w:val="22"/>
          <w:szCs w:val="22"/>
          <w:lang w:val="en-US"/>
        </w:rPr>
        <w:t xml:space="preserve"> outcome three focus on </w:t>
      </w:r>
      <w:r w:rsidR="00180AED" w:rsidRPr="00841766">
        <w:rPr>
          <w:sz w:val="22"/>
          <w:szCs w:val="22"/>
          <w:lang w:val="en-US"/>
        </w:rPr>
        <w:t>quality learning outcomes and increasing of 21</w:t>
      </w:r>
      <w:r w:rsidR="00180AED" w:rsidRPr="00841766">
        <w:rPr>
          <w:sz w:val="22"/>
          <w:szCs w:val="22"/>
          <w:vertAlign w:val="superscript"/>
          <w:lang w:val="en-US"/>
        </w:rPr>
        <w:t>st</w:t>
      </w:r>
      <w:r w:rsidR="00180AED" w:rsidRPr="00841766">
        <w:rPr>
          <w:sz w:val="22"/>
          <w:szCs w:val="22"/>
          <w:lang w:val="en-US"/>
        </w:rPr>
        <w:t xml:space="preserve"> century’ skills through formal and informal education systems, efforts will be invested in developing the skills required for this economic transformation.</w:t>
      </w:r>
      <w:r w:rsidR="00BF1BB1" w:rsidRPr="00841766">
        <w:rPr>
          <w:sz w:val="22"/>
          <w:szCs w:val="22"/>
          <w:lang w:val="en-US"/>
        </w:rPr>
        <w:t xml:space="preserve"> </w:t>
      </w:r>
    </w:p>
    <w:p w14:paraId="11FFCFE5" w14:textId="0C40E488" w:rsidR="00BF1BB1" w:rsidRPr="00841766" w:rsidRDefault="00BF1BB1" w:rsidP="00552AAD">
      <w:pPr>
        <w:jc w:val="both"/>
        <w:rPr>
          <w:sz w:val="22"/>
          <w:szCs w:val="22"/>
          <w:lang w:val="en-US"/>
        </w:rPr>
      </w:pPr>
      <w:r w:rsidRPr="00841766">
        <w:rPr>
          <w:sz w:val="22"/>
          <w:szCs w:val="22"/>
          <w:lang w:val="en-US"/>
        </w:rPr>
        <w:t>Sustainability of efforts in these areas will be reinforced by actions under outcome 6</w:t>
      </w:r>
      <w:r w:rsidR="00917AC8" w:rsidRPr="00841766">
        <w:rPr>
          <w:sz w:val="22"/>
          <w:szCs w:val="22"/>
          <w:lang w:val="en-US"/>
        </w:rPr>
        <w:t>,</w:t>
      </w:r>
      <w:r w:rsidRPr="00841766">
        <w:rPr>
          <w:sz w:val="22"/>
          <w:szCs w:val="22"/>
          <w:lang w:val="en-US"/>
        </w:rPr>
        <w:t xml:space="preserve"> which will ensure policies and community involvement in policy implementation in support of sustainable </w:t>
      </w:r>
      <w:r w:rsidR="00FC1A18" w:rsidRPr="00841766">
        <w:rPr>
          <w:sz w:val="22"/>
          <w:szCs w:val="22"/>
          <w:lang w:val="en-US"/>
        </w:rPr>
        <w:t xml:space="preserve">livelihoods </w:t>
      </w:r>
      <w:r w:rsidRPr="00841766">
        <w:rPr>
          <w:sz w:val="22"/>
          <w:szCs w:val="22"/>
          <w:lang w:val="en-US"/>
        </w:rPr>
        <w:t>practices and management of natural resources</w:t>
      </w:r>
      <w:r w:rsidR="00FC1A18" w:rsidRPr="00841766">
        <w:rPr>
          <w:sz w:val="22"/>
          <w:szCs w:val="22"/>
          <w:lang w:val="en-US"/>
        </w:rPr>
        <w:t>.</w:t>
      </w:r>
    </w:p>
    <w:p w14:paraId="562DBD77" w14:textId="77777777" w:rsidR="00FC1A18" w:rsidRPr="00841766" w:rsidRDefault="00FC1A18" w:rsidP="00552AAD">
      <w:pPr>
        <w:jc w:val="both"/>
        <w:rPr>
          <w:sz w:val="22"/>
          <w:szCs w:val="22"/>
          <w:lang w:val="en-US"/>
        </w:rPr>
      </w:pPr>
    </w:p>
    <w:p w14:paraId="08C0EE27" w14:textId="651D2C09" w:rsidR="00FE7789" w:rsidRPr="00841766" w:rsidRDefault="00FE7789" w:rsidP="00552AAD">
      <w:pPr>
        <w:spacing w:after="120"/>
        <w:jc w:val="both"/>
        <w:rPr>
          <w:b/>
          <w:sz w:val="22"/>
          <w:szCs w:val="22"/>
          <w:lang w:val="en-US"/>
        </w:rPr>
      </w:pPr>
      <w:r w:rsidRPr="00841766">
        <w:rPr>
          <w:b/>
          <w:sz w:val="22"/>
          <w:szCs w:val="22"/>
          <w:lang w:val="en-US"/>
        </w:rPr>
        <w:t>Sustainability</w:t>
      </w:r>
    </w:p>
    <w:p w14:paraId="7D68B904" w14:textId="6C7CF2E1" w:rsidR="007877B3" w:rsidRPr="00841766" w:rsidRDefault="00FC1A18" w:rsidP="00552AAD">
      <w:pPr>
        <w:spacing w:after="120"/>
        <w:jc w:val="both"/>
        <w:rPr>
          <w:sz w:val="22"/>
          <w:szCs w:val="22"/>
          <w:lang w:val="en-US"/>
        </w:rPr>
      </w:pPr>
      <w:r w:rsidRPr="00841766">
        <w:rPr>
          <w:sz w:val="22"/>
          <w:szCs w:val="22"/>
          <w:lang w:val="en-US"/>
        </w:rPr>
        <w:t xml:space="preserve">Outcome five on Accountable, inclusive and participatory Governance and accessible public services will work </w:t>
      </w:r>
      <w:r w:rsidR="00F16CD5" w:rsidRPr="00841766">
        <w:rPr>
          <w:sz w:val="22"/>
          <w:szCs w:val="22"/>
          <w:lang w:val="en-US"/>
        </w:rPr>
        <w:t>towards</w:t>
      </w:r>
      <w:r w:rsidRPr="00841766">
        <w:rPr>
          <w:sz w:val="22"/>
          <w:szCs w:val="22"/>
          <w:lang w:val="en-US"/>
        </w:rPr>
        <w:t xml:space="preserve"> improving the enabling environment and transform the structural and democratic </w:t>
      </w:r>
      <w:r w:rsidRPr="00841766">
        <w:rPr>
          <w:sz w:val="22"/>
          <w:szCs w:val="22"/>
          <w:lang w:val="en-US"/>
        </w:rPr>
        <w:lastRenderedPageBreak/>
        <w:t xml:space="preserve">conditions needed for progress to be achieved in particular in increasing access to basic </w:t>
      </w:r>
      <w:r w:rsidR="007877B3" w:rsidRPr="00841766">
        <w:rPr>
          <w:sz w:val="22"/>
          <w:szCs w:val="22"/>
          <w:lang w:val="en-US"/>
        </w:rPr>
        <w:t>services for</w:t>
      </w:r>
      <w:r w:rsidRPr="00841766">
        <w:rPr>
          <w:sz w:val="22"/>
          <w:szCs w:val="22"/>
          <w:lang w:val="en-US"/>
        </w:rPr>
        <w:t xml:space="preserve"> those left behind.</w:t>
      </w:r>
      <w:r w:rsidR="003A4DAA" w:rsidRPr="00841766">
        <w:rPr>
          <w:sz w:val="22"/>
          <w:szCs w:val="22"/>
          <w:lang w:val="en-US"/>
        </w:rPr>
        <w:t xml:space="preserve"> Strengthening evidence-based planning and budgeting systems for the public institutions, and providing space for inclusive decision-making processes is essential to setting up sustainable strategies in place in different areas of public policy.</w:t>
      </w:r>
    </w:p>
    <w:p w14:paraId="72A61434" w14:textId="1C94671E" w:rsidR="00F16CD5" w:rsidRPr="000135BE" w:rsidRDefault="007877B3" w:rsidP="00552AAD">
      <w:pPr>
        <w:jc w:val="both"/>
        <w:rPr>
          <w:sz w:val="22"/>
          <w:szCs w:val="22"/>
          <w:lang w:val="en-US"/>
        </w:rPr>
      </w:pPr>
      <w:bookmarkStart w:id="110" w:name="_Toc29900368"/>
      <w:bookmarkStart w:id="111" w:name="_Toc30407951"/>
      <w:bookmarkStart w:id="112" w:name="_Toc31376357"/>
      <w:r w:rsidRPr="000135BE">
        <w:rPr>
          <w:sz w:val="22"/>
          <w:szCs w:val="22"/>
          <w:lang w:val="en-US"/>
        </w:rPr>
        <w:t xml:space="preserve">Finally, the outcome six on Sustainable Management of Natural Resources and resilience to Climate change will also ensure sustainability of efforts in all other outcomes by reducing the impact of climate-related shocks </w:t>
      </w:r>
      <w:r w:rsidR="00236F69" w:rsidRPr="000135BE">
        <w:rPr>
          <w:sz w:val="22"/>
          <w:szCs w:val="22"/>
          <w:lang w:val="en-US"/>
        </w:rPr>
        <w:t xml:space="preserve">on livelihoods, health, water and food security, and the provision of basic services in general, </w:t>
      </w:r>
      <w:r w:rsidRPr="000135BE">
        <w:rPr>
          <w:sz w:val="22"/>
          <w:szCs w:val="22"/>
          <w:lang w:val="en-US"/>
        </w:rPr>
        <w:t xml:space="preserve">through strengthening of preparedness capacity and </w:t>
      </w:r>
      <w:r w:rsidR="00F16CD5" w:rsidRPr="000135BE">
        <w:rPr>
          <w:sz w:val="22"/>
          <w:szCs w:val="22"/>
          <w:lang w:val="en-US"/>
        </w:rPr>
        <w:t xml:space="preserve">building of infrastructure and livelihoods’ </w:t>
      </w:r>
      <w:r w:rsidRPr="000135BE">
        <w:rPr>
          <w:sz w:val="22"/>
          <w:szCs w:val="22"/>
          <w:lang w:val="en-US"/>
        </w:rPr>
        <w:t>resilience.</w:t>
      </w:r>
      <w:r w:rsidR="00F16CD5" w:rsidRPr="000135BE">
        <w:rPr>
          <w:sz w:val="22"/>
          <w:szCs w:val="22"/>
          <w:lang w:val="en-US"/>
        </w:rPr>
        <w:t xml:space="preserve"> </w:t>
      </w:r>
      <w:r w:rsidR="00552AAD">
        <w:rPr>
          <w:sz w:val="22"/>
          <w:szCs w:val="22"/>
          <w:lang w:val="en-US"/>
        </w:rPr>
        <w:t xml:space="preserve"> </w:t>
      </w:r>
      <w:r w:rsidR="00F16CD5" w:rsidRPr="000135BE">
        <w:rPr>
          <w:sz w:val="22"/>
          <w:szCs w:val="22"/>
          <w:lang w:val="en-US"/>
        </w:rPr>
        <w:t>Specific synergies between outcome one and six will be established.</w:t>
      </w:r>
      <w:bookmarkEnd w:id="110"/>
      <w:bookmarkEnd w:id="111"/>
      <w:bookmarkEnd w:id="112"/>
      <w:r w:rsidR="00F16CD5" w:rsidRPr="000135BE">
        <w:rPr>
          <w:sz w:val="22"/>
          <w:szCs w:val="22"/>
          <w:lang w:val="en-US"/>
        </w:rPr>
        <w:t xml:space="preserve">  </w:t>
      </w:r>
    </w:p>
    <w:p w14:paraId="5A4A5328" w14:textId="5216E4E7" w:rsidR="000A626C" w:rsidRPr="00841766" w:rsidRDefault="000A626C" w:rsidP="004C515B">
      <w:pPr>
        <w:pStyle w:val="Heading2"/>
        <w:rPr>
          <w:rFonts w:asciiTheme="minorHAnsi" w:hAnsiTheme="minorHAnsi"/>
          <w:sz w:val="28"/>
          <w:lang w:val="en-US"/>
        </w:rPr>
      </w:pPr>
      <w:bookmarkStart w:id="113" w:name="_Toc40265805"/>
      <w:r w:rsidRPr="00841766">
        <w:rPr>
          <w:rFonts w:asciiTheme="minorHAnsi" w:hAnsiTheme="minorHAnsi"/>
          <w:sz w:val="28"/>
          <w:lang w:val="en-US"/>
        </w:rPr>
        <w:t>2.</w:t>
      </w:r>
      <w:r w:rsidR="002C16D5">
        <w:rPr>
          <w:rFonts w:asciiTheme="minorHAnsi" w:hAnsiTheme="minorHAnsi"/>
          <w:sz w:val="28"/>
          <w:lang w:val="en-US"/>
        </w:rPr>
        <w:t>5</w:t>
      </w:r>
      <w:r w:rsidRPr="00841766">
        <w:rPr>
          <w:rFonts w:asciiTheme="minorHAnsi" w:hAnsiTheme="minorHAnsi"/>
          <w:sz w:val="28"/>
          <w:lang w:val="en-US"/>
        </w:rPr>
        <w:t>. Sustainability</w:t>
      </w:r>
      <w:bookmarkEnd w:id="108"/>
      <w:bookmarkEnd w:id="109"/>
      <w:bookmarkEnd w:id="113"/>
    </w:p>
    <w:p w14:paraId="1C4A548A" w14:textId="0FF465B6" w:rsidR="006F2C32" w:rsidRDefault="002B097F" w:rsidP="00552AAD">
      <w:pPr>
        <w:autoSpaceDE w:val="0"/>
        <w:autoSpaceDN w:val="0"/>
        <w:adjustRightInd w:val="0"/>
        <w:jc w:val="both"/>
        <w:rPr>
          <w:rFonts w:cstheme="minorHAnsi"/>
          <w:sz w:val="22"/>
          <w:szCs w:val="22"/>
          <w:lang w:val="en-US"/>
        </w:rPr>
      </w:pPr>
      <w:r>
        <w:rPr>
          <w:rFonts w:cstheme="minorHAnsi"/>
          <w:sz w:val="22"/>
          <w:szCs w:val="22"/>
          <w:lang w:val="en-US"/>
        </w:rPr>
        <w:t xml:space="preserve">Sustainability of the </w:t>
      </w:r>
      <w:r w:rsidR="006F2C32">
        <w:rPr>
          <w:rFonts w:cstheme="minorHAnsi"/>
          <w:sz w:val="22"/>
          <w:szCs w:val="22"/>
          <w:lang w:val="en-US"/>
        </w:rPr>
        <w:t xml:space="preserve">impact </w:t>
      </w:r>
      <w:r>
        <w:rPr>
          <w:rFonts w:cstheme="minorHAnsi"/>
          <w:sz w:val="22"/>
          <w:szCs w:val="22"/>
          <w:lang w:val="en-US"/>
        </w:rPr>
        <w:t>of UNSDCF</w:t>
      </w:r>
      <w:r w:rsidR="006F2C32">
        <w:rPr>
          <w:rFonts w:cstheme="minorHAnsi"/>
          <w:sz w:val="22"/>
          <w:szCs w:val="22"/>
          <w:lang w:val="en-US"/>
        </w:rPr>
        <w:t xml:space="preserve"> results</w:t>
      </w:r>
      <w:r>
        <w:rPr>
          <w:rFonts w:cstheme="minorHAnsi"/>
          <w:sz w:val="22"/>
          <w:szCs w:val="22"/>
          <w:lang w:val="en-US"/>
        </w:rPr>
        <w:t xml:space="preserve"> beyond 2025 is ensured through</w:t>
      </w:r>
      <w:r w:rsidR="006F2C32">
        <w:rPr>
          <w:rFonts w:cstheme="minorHAnsi"/>
          <w:sz w:val="22"/>
          <w:szCs w:val="22"/>
          <w:lang w:val="en-US"/>
        </w:rPr>
        <w:t xml:space="preserve"> taking the following three-pronged approach</w:t>
      </w:r>
      <w:r>
        <w:rPr>
          <w:rFonts w:cstheme="minorHAnsi"/>
          <w:sz w:val="22"/>
          <w:szCs w:val="22"/>
          <w:lang w:val="en-US"/>
        </w:rPr>
        <w:t xml:space="preserve">: </w:t>
      </w:r>
    </w:p>
    <w:p w14:paraId="43827329" w14:textId="62E1B803" w:rsidR="008839E3" w:rsidRPr="00985039" w:rsidRDefault="00A23A9C" w:rsidP="00552AAD">
      <w:pPr>
        <w:pStyle w:val="ListParagraph"/>
        <w:numPr>
          <w:ilvl w:val="0"/>
          <w:numId w:val="32"/>
        </w:numPr>
        <w:autoSpaceDE w:val="0"/>
        <w:autoSpaceDN w:val="0"/>
        <w:adjustRightInd w:val="0"/>
        <w:jc w:val="both"/>
        <w:rPr>
          <w:rFonts w:cstheme="minorHAnsi"/>
          <w:sz w:val="22"/>
          <w:szCs w:val="22"/>
          <w:lang w:val="en-US"/>
        </w:rPr>
      </w:pPr>
      <w:r>
        <w:rPr>
          <w:rFonts w:cstheme="minorHAnsi"/>
          <w:sz w:val="22"/>
          <w:szCs w:val="22"/>
          <w:lang w:val="en-US"/>
        </w:rPr>
        <w:t>F</w:t>
      </w:r>
      <w:r w:rsidR="006F2C32" w:rsidRPr="00985039">
        <w:rPr>
          <w:rFonts w:cstheme="minorHAnsi"/>
          <w:sz w:val="22"/>
          <w:szCs w:val="22"/>
          <w:lang w:val="en-US"/>
        </w:rPr>
        <w:t>ocus on building human capital</w:t>
      </w:r>
      <w:r w:rsidR="00897DBE">
        <w:rPr>
          <w:rFonts w:cstheme="minorHAnsi"/>
          <w:sz w:val="22"/>
          <w:szCs w:val="22"/>
          <w:lang w:val="en-US"/>
        </w:rPr>
        <w:t xml:space="preserve"> starting from very early years and taking a life-cycle approach</w:t>
      </w:r>
      <w:r w:rsidR="006F2C32" w:rsidRPr="00985039">
        <w:rPr>
          <w:rFonts w:cstheme="minorHAnsi"/>
          <w:sz w:val="22"/>
          <w:szCs w:val="22"/>
          <w:lang w:val="en-US"/>
        </w:rPr>
        <w:t xml:space="preserve">, particularly </w:t>
      </w:r>
      <w:r w:rsidR="00897DBE">
        <w:rPr>
          <w:rFonts w:cstheme="minorHAnsi"/>
          <w:sz w:val="22"/>
          <w:szCs w:val="22"/>
          <w:lang w:val="en-US"/>
        </w:rPr>
        <w:t xml:space="preserve">of </w:t>
      </w:r>
      <w:r w:rsidR="006F2C32" w:rsidRPr="00985039">
        <w:rPr>
          <w:rFonts w:cstheme="minorHAnsi"/>
          <w:sz w:val="22"/>
          <w:szCs w:val="22"/>
          <w:lang w:val="en-US"/>
        </w:rPr>
        <w:t>those most at-risk of being left behind</w:t>
      </w:r>
      <w:r w:rsidR="008839E3" w:rsidRPr="00985039">
        <w:rPr>
          <w:rFonts w:cstheme="minorHAnsi"/>
          <w:sz w:val="22"/>
          <w:szCs w:val="22"/>
          <w:lang w:val="en-US"/>
        </w:rPr>
        <w:t>, through strategic investments in systems and institutions</w:t>
      </w:r>
      <w:r w:rsidR="006F2C32" w:rsidRPr="00985039">
        <w:rPr>
          <w:rFonts w:cstheme="minorHAnsi"/>
          <w:sz w:val="22"/>
          <w:szCs w:val="22"/>
          <w:lang w:val="en-US"/>
        </w:rPr>
        <w:t>;</w:t>
      </w:r>
    </w:p>
    <w:p w14:paraId="26AD1668" w14:textId="77777777" w:rsidR="00A23A9C" w:rsidRDefault="008839E3" w:rsidP="00552AAD">
      <w:pPr>
        <w:pStyle w:val="ListParagraph"/>
        <w:numPr>
          <w:ilvl w:val="0"/>
          <w:numId w:val="32"/>
        </w:numPr>
        <w:jc w:val="both"/>
        <w:rPr>
          <w:rFonts w:cstheme="minorHAnsi"/>
          <w:sz w:val="22"/>
          <w:szCs w:val="22"/>
          <w:lang w:val="en-US"/>
        </w:rPr>
      </w:pPr>
      <w:r>
        <w:rPr>
          <w:rFonts w:cstheme="minorHAnsi"/>
          <w:sz w:val="22"/>
          <w:szCs w:val="22"/>
          <w:lang w:val="en-US"/>
        </w:rPr>
        <w:t>Frontloading of catalytic support that contribute towards economic diversification and economic transformation</w:t>
      </w:r>
      <w:r w:rsidR="00A23A9C">
        <w:rPr>
          <w:rFonts w:cstheme="minorHAnsi"/>
          <w:sz w:val="22"/>
          <w:szCs w:val="22"/>
          <w:lang w:val="en-US"/>
        </w:rPr>
        <w:t>; and,</w:t>
      </w:r>
    </w:p>
    <w:p w14:paraId="5BE54C4E" w14:textId="6199EEE9" w:rsidR="009B16FC" w:rsidRPr="00985039" w:rsidRDefault="00A23A9C" w:rsidP="00552AAD">
      <w:pPr>
        <w:pStyle w:val="ListParagraph"/>
        <w:numPr>
          <w:ilvl w:val="0"/>
          <w:numId w:val="32"/>
        </w:numPr>
        <w:jc w:val="both"/>
        <w:rPr>
          <w:rFonts w:cstheme="minorHAnsi"/>
          <w:sz w:val="22"/>
          <w:szCs w:val="22"/>
          <w:lang w:val="en-US"/>
        </w:rPr>
      </w:pPr>
      <w:r>
        <w:rPr>
          <w:rFonts w:cstheme="minorHAnsi"/>
          <w:sz w:val="22"/>
          <w:szCs w:val="22"/>
          <w:lang w:val="en-US"/>
        </w:rPr>
        <w:t>Addressing the root causes of climate</w:t>
      </w:r>
      <w:r w:rsidR="009B16FC">
        <w:rPr>
          <w:rFonts w:cstheme="minorHAnsi"/>
          <w:sz w:val="22"/>
          <w:szCs w:val="22"/>
          <w:lang w:val="en-US"/>
        </w:rPr>
        <w:t>, conflict and other risks</w:t>
      </w:r>
      <w:r>
        <w:rPr>
          <w:rFonts w:cstheme="minorHAnsi"/>
          <w:sz w:val="22"/>
          <w:szCs w:val="22"/>
          <w:lang w:val="en-US"/>
        </w:rPr>
        <w:t xml:space="preserve"> </w:t>
      </w:r>
      <w:r w:rsidR="00BF1AA7">
        <w:rPr>
          <w:rFonts w:cstheme="minorHAnsi"/>
          <w:sz w:val="22"/>
          <w:szCs w:val="22"/>
          <w:lang w:val="en-US"/>
        </w:rPr>
        <w:t>and</w:t>
      </w:r>
      <w:r>
        <w:rPr>
          <w:rFonts w:cstheme="minorHAnsi"/>
          <w:sz w:val="22"/>
          <w:szCs w:val="22"/>
          <w:lang w:val="en-US"/>
        </w:rPr>
        <w:t xml:space="preserve"> establish</w:t>
      </w:r>
      <w:r w:rsidR="00BF1AA7">
        <w:rPr>
          <w:rFonts w:cstheme="minorHAnsi"/>
          <w:sz w:val="22"/>
          <w:szCs w:val="22"/>
          <w:lang w:val="en-US"/>
        </w:rPr>
        <w:t>ing</w:t>
      </w:r>
      <w:r>
        <w:rPr>
          <w:rFonts w:cstheme="minorHAnsi"/>
          <w:sz w:val="22"/>
          <w:szCs w:val="22"/>
          <w:lang w:val="en-US"/>
        </w:rPr>
        <w:t xml:space="preserve"> pre-conditions for a peaceful</w:t>
      </w:r>
      <w:r w:rsidR="006F2C32" w:rsidRPr="00985039">
        <w:rPr>
          <w:rFonts w:cstheme="minorHAnsi"/>
          <w:sz w:val="22"/>
          <w:szCs w:val="22"/>
          <w:lang w:val="en-US"/>
        </w:rPr>
        <w:t xml:space="preserve"> </w:t>
      </w:r>
      <w:r w:rsidR="009B16FC">
        <w:rPr>
          <w:rFonts w:cstheme="minorHAnsi"/>
          <w:sz w:val="22"/>
          <w:szCs w:val="22"/>
          <w:lang w:val="en-US"/>
        </w:rPr>
        <w:t>and resilient society.</w:t>
      </w:r>
    </w:p>
    <w:p w14:paraId="7C1726EC" w14:textId="77777777" w:rsidR="00BF1AA7" w:rsidRDefault="00BF1AA7" w:rsidP="00552AAD">
      <w:pPr>
        <w:autoSpaceDE w:val="0"/>
        <w:autoSpaceDN w:val="0"/>
        <w:adjustRightInd w:val="0"/>
        <w:jc w:val="both"/>
        <w:rPr>
          <w:rFonts w:cstheme="minorHAnsi"/>
          <w:sz w:val="22"/>
          <w:szCs w:val="22"/>
          <w:lang w:val="en-US"/>
        </w:rPr>
      </w:pPr>
    </w:p>
    <w:p w14:paraId="2FFB8CEC" w14:textId="6C75DF51" w:rsidR="00BF1AA7" w:rsidRDefault="00BF1AA7" w:rsidP="00552AAD">
      <w:pPr>
        <w:autoSpaceDE w:val="0"/>
        <w:autoSpaceDN w:val="0"/>
        <w:adjustRightInd w:val="0"/>
        <w:jc w:val="both"/>
        <w:rPr>
          <w:rFonts w:cstheme="minorHAnsi"/>
          <w:sz w:val="22"/>
          <w:szCs w:val="22"/>
          <w:lang w:val="en-US"/>
        </w:rPr>
      </w:pPr>
      <w:r w:rsidRPr="00985039">
        <w:rPr>
          <w:rFonts w:cstheme="minorHAnsi"/>
          <w:sz w:val="22"/>
          <w:szCs w:val="22"/>
          <w:lang w:val="en-US"/>
        </w:rPr>
        <w:t>The UNSDCF, as a framework that is firmly grounded on the SDP and the SDGs, is a nationally owned instrument whose implementation will be led by the Government.</w:t>
      </w:r>
      <w:r>
        <w:rPr>
          <w:rFonts w:cstheme="minorHAnsi"/>
          <w:sz w:val="22"/>
          <w:szCs w:val="22"/>
          <w:lang w:val="en-US"/>
        </w:rPr>
        <w:t xml:space="preserve">  As such, throughout the UNSDCF implementation process, the UN will support strengthening of national capacity at all levels.  In addition to Government line ministries and other partners in Dili, a more coordinated and integrated capacity</w:t>
      </w:r>
      <w:r w:rsidR="00A9117F">
        <w:rPr>
          <w:rFonts w:cstheme="minorHAnsi"/>
          <w:sz w:val="22"/>
          <w:szCs w:val="22"/>
          <w:lang w:val="en-US"/>
        </w:rPr>
        <w:t xml:space="preserve"> building support at the municipality level and a joined-up approach to capacity building of civil society and community-based organizations will be pursued.  </w:t>
      </w:r>
      <w:r w:rsidR="004D29F0">
        <w:rPr>
          <w:rFonts w:cstheme="minorHAnsi"/>
          <w:sz w:val="22"/>
          <w:szCs w:val="22"/>
          <w:lang w:val="en-US"/>
        </w:rPr>
        <w:t xml:space="preserve">As </w:t>
      </w:r>
      <w:r w:rsidR="004D29F0" w:rsidRPr="00841766">
        <w:rPr>
          <w:rFonts w:cstheme="minorHAnsi"/>
          <w:sz w:val="22"/>
          <w:szCs w:val="22"/>
          <w:lang w:val="en-US"/>
        </w:rPr>
        <w:t xml:space="preserve">recommended </w:t>
      </w:r>
      <w:r w:rsidR="004D29F0">
        <w:rPr>
          <w:rFonts w:cstheme="minorHAnsi"/>
          <w:sz w:val="22"/>
          <w:szCs w:val="22"/>
          <w:lang w:val="en-US"/>
        </w:rPr>
        <w:t xml:space="preserve">during </w:t>
      </w:r>
      <w:r w:rsidR="004D29F0" w:rsidRPr="00841766">
        <w:rPr>
          <w:rFonts w:cstheme="minorHAnsi"/>
          <w:sz w:val="22"/>
          <w:szCs w:val="22"/>
          <w:lang w:val="en-US"/>
        </w:rPr>
        <w:t xml:space="preserve">the </w:t>
      </w:r>
      <w:r w:rsidR="004D29F0">
        <w:rPr>
          <w:rFonts w:cstheme="minorHAnsi"/>
          <w:sz w:val="22"/>
          <w:szCs w:val="22"/>
          <w:lang w:val="en-US"/>
        </w:rPr>
        <w:t xml:space="preserve">multi-stakeholder </w:t>
      </w:r>
      <w:r w:rsidR="004D29F0" w:rsidRPr="00841766">
        <w:rPr>
          <w:rFonts w:cstheme="minorHAnsi"/>
          <w:sz w:val="22"/>
          <w:szCs w:val="22"/>
          <w:lang w:val="en-US"/>
        </w:rPr>
        <w:t xml:space="preserve">consultative process, </w:t>
      </w:r>
      <w:r w:rsidR="004D29F0">
        <w:rPr>
          <w:rFonts w:cstheme="minorHAnsi"/>
          <w:sz w:val="22"/>
          <w:szCs w:val="22"/>
          <w:lang w:val="en-US"/>
        </w:rPr>
        <w:t xml:space="preserve">capacity building </w:t>
      </w:r>
      <w:r w:rsidR="004D29F0" w:rsidRPr="00841766">
        <w:rPr>
          <w:rFonts w:cstheme="minorHAnsi"/>
          <w:sz w:val="22"/>
          <w:szCs w:val="22"/>
          <w:lang w:val="en-US"/>
        </w:rPr>
        <w:t>will be done less</w:t>
      </w:r>
      <w:r w:rsidR="004D29F0">
        <w:rPr>
          <w:rFonts w:cstheme="minorHAnsi"/>
          <w:sz w:val="22"/>
          <w:szCs w:val="22"/>
          <w:lang w:val="en-US"/>
        </w:rPr>
        <w:t xml:space="preserve"> through</w:t>
      </w:r>
      <w:r w:rsidR="004D29F0" w:rsidRPr="00841766">
        <w:rPr>
          <w:rFonts w:cstheme="minorHAnsi"/>
          <w:sz w:val="22"/>
          <w:szCs w:val="22"/>
          <w:lang w:val="en-US"/>
        </w:rPr>
        <w:t xml:space="preserve"> workshop</w:t>
      </w:r>
      <w:r w:rsidR="004D29F0">
        <w:rPr>
          <w:rFonts w:cstheme="minorHAnsi"/>
          <w:sz w:val="22"/>
          <w:szCs w:val="22"/>
          <w:lang w:val="en-US"/>
        </w:rPr>
        <w:t>s</w:t>
      </w:r>
      <w:r w:rsidR="004D29F0" w:rsidRPr="00841766">
        <w:rPr>
          <w:rFonts w:cstheme="minorHAnsi"/>
          <w:sz w:val="22"/>
          <w:szCs w:val="22"/>
          <w:lang w:val="en-US"/>
        </w:rPr>
        <w:t xml:space="preserve"> and more on-the-job training, coaching and innovations such as social marketing approaches.</w:t>
      </w:r>
      <w:r w:rsidR="004D29F0">
        <w:rPr>
          <w:rFonts w:cstheme="minorHAnsi"/>
          <w:sz w:val="22"/>
          <w:szCs w:val="22"/>
          <w:lang w:val="en-US"/>
        </w:rPr>
        <w:t xml:space="preserve">  </w:t>
      </w:r>
      <w:r w:rsidR="00A9117F">
        <w:rPr>
          <w:rFonts w:cstheme="minorHAnsi"/>
          <w:sz w:val="22"/>
          <w:szCs w:val="22"/>
          <w:lang w:val="en-US"/>
        </w:rPr>
        <w:t>Partnership with academia, research institutions and think-tanks will be further strengthened to facilitate knowledge and evidence-based policies</w:t>
      </w:r>
      <w:r w:rsidR="004D29F0">
        <w:rPr>
          <w:rFonts w:cstheme="minorHAnsi"/>
          <w:sz w:val="22"/>
          <w:szCs w:val="22"/>
          <w:lang w:val="en-US"/>
        </w:rPr>
        <w:t>, planning</w:t>
      </w:r>
      <w:r w:rsidR="00A9117F">
        <w:rPr>
          <w:rFonts w:cstheme="minorHAnsi"/>
          <w:sz w:val="22"/>
          <w:szCs w:val="22"/>
          <w:lang w:val="en-US"/>
        </w:rPr>
        <w:t xml:space="preserve"> and decision-making.</w:t>
      </w:r>
    </w:p>
    <w:p w14:paraId="15BF90D3" w14:textId="7123A6EC" w:rsidR="00A9117F" w:rsidRDefault="00A9117F" w:rsidP="00552AAD">
      <w:pPr>
        <w:autoSpaceDE w:val="0"/>
        <w:autoSpaceDN w:val="0"/>
        <w:adjustRightInd w:val="0"/>
        <w:jc w:val="both"/>
        <w:rPr>
          <w:rFonts w:cstheme="minorHAnsi"/>
          <w:sz w:val="22"/>
          <w:szCs w:val="22"/>
          <w:lang w:val="en-US"/>
        </w:rPr>
      </w:pPr>
    </w:p>
    <w:p w14:paraId="7FC79561" w14:textId="6F175C7E" w:rsidR="00A9117F" w:rsidRPr="00985039" w:rsidRDefault="002634B1" w:rsidP="00552AAD">
      <w:pPr>
        <w:autoSpaceDE w:val="0"/>
        <w:autoSpaceDN w:val="0"/>
        <w:adjustRightInd w:val="0"/>
        <w:jc w:val="both"/>
        <w:rPr>
          <w:rFonts w:cstheme="minorHAnsi"/>
          <w:sz w:val="22"/>
          <w:szCs w:val="22"/>
          <w:lang w:val="en-US"/>
        </w:rPr>
      </w:pPr>
      <w:r>
        <w:rPr>
          <w:rFonts w:cstheme="minorHAnsi"/>
          <w:sz w:val="22"/>
          <w:szCs w:val="22"/>
          <w:lang w:val="en-US"/>
        </w:rPr>
        <w:t>Sustainability of UNSDCF impact will also depend on sustainable financing for development.</w:t>
      </w:r>
      <w:r w:rsidR="005F3C78">
        <w:rPr>
          <w:rFonts w:cstheme="minorHAnsi"/>
          <w:sz w:val="22"/>
          <w:szCs w:val="22"/>
          <w:lang w:val="en-US"/>
        </w:rPr>
        <w:t xml:space="preserve">  In 2019, the Government prepared its </w:t>
      </w:r>
      <w:r>
        <w:rPr>
          <w:rFonts w:cstheme="minorHAnsi"/>
          <w:sz w:val="22"/>
          <w:szCs w:val="22"/>
          <w:lang w:val="en-US"/>
        </w:rPr>
        <w:t>Development F</w:t>
      </w:r>
      <w:r w:rsidR="005F3C78">
        <w:rPr>
          <w:rFonts w:cstheme="minorHAnsi"/>
          <w:sz w:val="22"/>
          <w:szCs w:val="22"/>
          <w:lang w:val="en-US"/>
        </w:rPr>
        <w:t>inancing Assessment with support of UN/UNDP.  Building on this work, the UN will be working to jointly support the Government to develop its Integrated National Financing Framework</w:t>
      </w:r>
      <w:r w:rsidR="0002460A">
        <w:rPr>
          <w:rFonts w:cstheme="minorHAnsi"/>
          <w:sz w:val="22"/>
          <w:szCs w:val="22"/>
          <w:lang w:val="en-US"/>
        </w:rPr>
        <w:t xml:space="preserve"> (INFF)</w:t>
      </w:r>
      <w:r w:rsidR="005F3C78">
        <w:rPr>
          <w:rFonts w:cstheme="minorHAnsi"/>
          <w:sz w:val="22"/>
          <w:szCs w:val="22"/>
          <w:lang w:val="en-US"/>
        </w:rPr>
        <w:t xml:space="preserve"> for sustainable development, in partnership with the WB, the ADB and the EU.</w:t>
      </w:r>
      <w:r w:rsidR="0002460A">
        <w:rPr>
          <w:rFonts w:cstheme="minorHAnsi"/>
          <w:sz w:val="22"/>
          <w:szCs w:val="22"/>
          <w:lang w:val="en-US"/>
        </w:rPr>
        <w:t xml:space="preserve">  The INFF will help bring together domestic and international public and private finance policies and institutions towards a more integrated approach to financing the SDGs</w:t>
      </w:r>
      <w:r w:rsidR="00F74E62">
        <w:rPr>
          <w:rFonts w:cstheme="minorHAnsi"/>
          <w:sz w:val="22"/>
          <w:szCs w:val="22"/>
          <w:lang w:val="en-US"/>
        </w:rPr>
        <w:t>, with options for diversification of sources of</w:t>
      </w:r>
      <w:r w:rsidR="00C70FD6">
        <w:rPr>
          <w:rFonts w:cstheme="minorHAnsi"/>
          <w:sz w:val="22"/>
          <w:szCs w:val="22"/>
          <w:lang w:val="en-US"/>
        </w:rPr>
        <w:t xml:space="preserve"> SDGs financing</w:t>
      </w:r>
      <w:r w:rsidR="0002460A">
        <w:rPr>
          <w:rFonts w:cstheme="minorHAnsi"/>
          <w:sz w:val="22"/>
          <w:szCs w:val="22"/>
          <w:lang w:val="en-US"/>
        </w:rPr>
        <w:t>.  This work will complement the Least Developed Country (LDC) graduation support to Timor-Leste being provided by UN DESA.</w:t>
      </w:r>
    </w:p>
    <w:p w14:paraId="4F088CB2" w14:textId="62D7ABF7" w:rsidR="000A626C" w:rsidRPr="00841766" w:rsidRDefault="00584BB1" w:rsidP="00552AAD">
      <w:pPr>
        <w:pStyle w:val="Default"/>
        <w:jc w:val="both"/>
        <w:rPr>
          <w:rFonts w:cstheme="minorHAnsi"/>
          <w:b/>
          <w:lang w:val="en-US"/>
        </w:rPr>
      </w:pPr>
      <w:r>
        <w:rPr>
          <w:rFonts w:cstheme="minorHAnsi"/>
          <w:sz w:val="22"/>
          <w:szCs w:val="22"/>
          <w:lang w:val="en-US"/>
        </w:rPr>
        <w:t xml:space="preserve"> </w:t>
      </w:r>
    </w:p>
    <w:p w14:paraId="160A5578" w14:textId="00252336" w:rsidR="000A626C" w:rsidRPr="00841766" w:rsidRDefault="000A626C" w:rsidP="004C515B">
      <w:pPr>
        <w:pStyle w:val="Heading2"/>
        <w:rPr>
          <w:rFonts w:asciiTheme="minorHAnsi" w:hAnsiTheme="minorHAnsi"/>
          <w:sz w:val="28"/>
          <w:lang w:val="en-US"/>
        </w:rPr>
      </w:pPr>
      <w:bookmarkStart w:id="114" w:name="_Toc29540805"/>
      <w:bookmarkStart w:id="115" w:name="_Toc29550739"/>
      <w:bookmarkStart w:id="116" w:name="_Toc40265806"/>
      <w:r w:rsidRPr="00841766">
        <w:rPr>
          <w:rFonts w:asciiTheme="minorHAnsi" w:hAnsiTheme="minorHAnsi"/>
          <w:sz w:val="28"/>
          <w:lang w:val="en-US"/>
        </w:rPr>
        <w:t>2.</w:t>
      </w:r>
      <w:r w:rsidR="002C16D5">
        <w:rPr>
          <w:rFonts w:asciiTheme="minorHAnsi" w:hAnsiTheme="minorHAnsi"/>
          <w:sz w:val="28"/>
          <w:lang w:val="en-US"/>
        </w:rPr>
        <w:t>6</w:t>
      </w:r>
      <w:r w:rsidRPr="00841766">
        <w:rPr>
          <w:rFonts w:asciiTheme="minorHAnsi" w:hAnsiTheme="minorHAnsi"/>
          <w:sz w:val="28"/>
          <w:lang w:val="en-US"/>
        </w:rPr>
        <w:t>. UN Comparative Advantages and UNCT configuration</w:t>
      </w:r>
      <w:bookmarkEnd w:id="114"/>
      <w:bookmarkEnd w:id="115"/>
      <w:bookmarkEnd w:id="116"/>
      <w:r w:rsidRPr="00841766">
        <w:rPr>
          <w:rFonts w:asciiTheme="minorHAnsi" w:hAnsiTheme="minorHAnsi"/>
          <w:sz w:val="28"/>
          <w:lang w:val="en-US"/>
        </w:rPr>
        <w:t xml:space="preserve"> </w:t>
      </w:r>
    </w:p>
    <w:p w14:paraId="71D735FB" w14:textId="370A74B5" w:rsidR="00300847" w:rsidRDefault="00255834" w:rsidP="00552AAD">
      <w:pPr>
        <w:autoSpaceDE w:val="0"/>
        <w:autoSpaceDN w:val="0"/>
        <w:adjustRightInd w:val="0"/>
        <w:jc w:val="both"/>
        <w:rPr>
          <w:rFonts w:cstheme="minorHAnsi"/>
          <w:sz w:val="22"/>
          <w:szCs w:val="22"/>
          <w:lang w:val="en-US"/>
        </w:rPr>
      </w:pPr>
      <w:r>
        <w:rPr>
          <w:rFonts w:cstheme="minorHAnsi"/>
          <w:sz w:val="22"/>
          <w:szCs w:val="22"/>
          <w:lang w:val="en-US"/>
        </w:rPr>
        <w:t>T</w:t>
      </w:r>
      <w:r w:rsidRPr="00841766">
        <w:rPr>
          <w:rFonts w:cstheme="minorHAnsi"/>
          <w:sz w:val="22"/>
          <w:szCs w:val="22"/>
          <w:lang w:val="en-US"/>
        </w:rPr>
        <w:t>he</w:t>
      </w:r>
      <w:r>
        <w:rPr>
          <w:rFonts w:cstheme="minorHAnsi"/>
          <w:sz w:val="22"/>
          <w:szCs w:val="22"/>
          <w:lang w:val="en-US"/>
        </w:rPr>
        <w:t>re is a shared understanding of the</w:t>
      </w:r>
      <w:r w:rsidRPr="00841766">
        <w:rPr>
          <w:rFonts w:cstheme="minorHAnsi"/>
          <w:sz w:val="22"/>
          <w:szCs w:val="22"/>
          <w:lang w:val="en-US"/>
        </w:rPr>
        <w:t xml:space="preserve"> co</w:t>
      </w:r>
      <w:r>
        <w:rPr>
          <w:rFonts w:cstheme="minorHAnsi"/>
          <w:sz w:val="22"/>
          <w:szCs w:val="22"/>
          <w:lang w:val="en-US"/>
        </w:rPr>
        <w:t>mpa</w:t>
      </w:r>
      <w:r w:rsidRPr="00841766">
        <w:rPr>
          <w:rFonts w:cstheme="minorHAnsi"/>
          <w:sz w:val="22"/>
          <w:szCs w:val="22"/>
          <w:lang w:val="en-US"/>
        </w:rPr>
        <w:t>rative advantage</w:t>
      </w:r>
      <w:r>
        <w:rPr>
          <w:rFonts w:cstheme="minorHAnsi"/>
          <w:sz w:val="22"/>
          <w:szCs w:val="22"/>
          <w:lang w:val="en-US"/>
        </w:rPr>
        <w:t>s</w:t>
      </w:r>
      <w:r w:rsidRPr="00841766">
        <w:rPr>
          <w:rFonts w:cstheme="minorHAnsi"/>
          <w:sz w:val="22"/>
          <w:szCs w:val="22"/>
          <w:lang w:val="en-US"/>
        </w:rPr>
        <w:t xml:space="preserve"> of the UN in Timor-Leste</w:t>
      </w:r>
      <w:r>
        <w:rPr>
          <w:rFonts w:cstheme="minorHAnsi"/>
          <w:sz w:val="22"/>
          <w:szCs w:val="22"/>
          <w:lang w:val="en-US"/>
        </w:rPr>
        <w:t xml:space="preserve"> amongst the Government and partners, as articulated in</w:t>
      </w:r>
      <w:r w:rsidRPr="00841766">
        <w:rPr>
          <w:rFonts w:cstheme="minorHAnsi"/>
          <w:sz w:val="22"/>
          <w:szCs w:val="22"/>
          <w:lang w:val="en-US"/>
        </w:rPr>
        <w:t xml:space="preserve"> </w:t>
      </w:r>
      <w:r>
        <w:rPr>
          <w:rFonts w:cstheme="minorHAnsi"/>
          <w:sz w:val="22"/>
          <w:szCs w:val="22"/>
          <w:lang w:val="en-US"/>
        </w:rPr>
        <w:t>t</w:t>
      </w:r>
      <w:r w:rsidR="00AF76EE" w:rsidRPr="00841766">
        <w:rPr>
          <w:rFonts w:cstheme="minorHAnsi"/>
          <w:sz w:val="22"/>
          <w:szCs w:val="22"/>
          <w:lang w:val="en-US"/>
        </w:rPr>
        <w:t>he evaluation of the UNDAF 2016-2020</w:t>
      </w:r>
      <w:r>
        <w:rPr>
          <w:rFonts w:cstheme="minorHAnsi"/>
          <w:sz w:val="22"/>
          <w:szCs w:val="22"/>
          <w:lang w:val="en-US"/>
        </w:rPr>
        <w:t xml:space="preserve"> and during the</w:t>
      </w:r>
      <w:r w:rsidR="00AF76EE" w:rsidRPr="00841766">
        <w:rPr>
          <w:rFonts w:cstheme="minorHAnsi"/>
          <w:sz w:val="22"/>
          <w:szCs w:val="22"/>
          <w:lang w:val="en-US"/>
        </w:rPr>
        <w:t xml:space="preserve"> </w:t>
      </w:r>
      <w:r>
        <w:rPr>
          <w:rFonts w:cstheme="minorHAnsi"/>
          <w:sz w:val="22"/>
          <w:szCs w:val="22"/>
          <w:lang w:val="en-US"/>
        </w:rPr>
        <w:t>multi-stakeholder</w:t>
      </w:r>
      <w:r w:rsidR="00AF76EE" w:rsidRPr="00841766">
        <w:rPr>
          <w:rFonts w:cstheme="minorHAnsi"/>
          <w:sz w:val="22"/>
          <w:szCs w:val="22"/>
          <w:lang w:val="en-US"/>
        </w:rPr>
        <w:t xml:space="preserve"> consultations held </w:t>
      </w:r>
      <w:r w:rsidR="00693B55">
        <w:rPr>
          <w:rFonts w:cstheme="minorHAnsi"/>
          <w:sz w:val="22"/>
          <w:szCs w:val="22"/>
          <w:lang w:val="en-US"/>
        </w:rPr>
        <w:t>as part of t</w:t>
      </w:r>
      <w:r w:rsidR="00AF76EE" w:rsidRPr="00841766">
        <w:rPr>
          <w:rFonts w:cstheme="minorHAnsi"/>
          <w:sz w:val="22"/>
          <w:szCs w:val="22"/>
          <w:lang w:val="en-US"/>
        </w:rPr>
        <w:t>he</w:t>
      </w:r>
      <w:r>
        <w:rPr>
          <w:rFonts w:cstheme="minorHAnsi"/>
          <w:sz w:val="22"/>
          <w:szCs w:val="22"/>
          <w:lang w:val="en-US"/>
        </w:rPr>
        <w:t xml:space="preserve"> UNSDCF</w:t>
      </w:r>
      <w:r w:rsidR="00AF76EE" w:rsidRPr="00841766">
        <w:rPr>
          <w:rFonts w:cstheme="minorHAnsi"/>
          <w:sz w:val="22"/>
          <w:szCs w:val="22"/>
          <w:lang w:val="en-US"/>
        </w:rPr>
        <w:t xml:space="preserve"> de</w:t>
      </w:r>
      <w:r>
        <w:rPr>
          <w:rFonts w:cstheme="minorHAnsi"/>
          <w:sz w:val="22"/>
          <w:szCs w:val="22"/>
          <w:lang w:val="en-US"/>
        </w:rPr>
        <w:t>velopment process.</w:t>
      </w:r>
      <w:r w:rsidR="004D3742">
        <w:rPr>
          <w:rFonts w:cstheme="minorHAnsi"/>
          <w:sz w:val="22"/>
          <w:szCs w:val="22"/>
          <w:lang w:val="en-US"/>
        </w:rPr>
        <w:t xml:space="preserve">  There is a clear understanding that Timor-Leste is a valued member state of the United Nations. </w:t>
      </w:r>
      <w:r w:rsidR="00693B55">
        <w:rPr>
          <w:rFonts w:cstheme="minorHAnsi"/>
          <w:sz w:val="22"/>
          <w:szCs w:val="22"/>
          <w:lang w:val="en-US"/>
        </w:rPr>
        <w:t xml:space="preserve"> </w:t>
      </w:r>
      <w:r w:rsidR="004D3742">
        <w:rPr>
          <w:rFonts w:cstheme="minorHAnsi"/>
          <w:sz w:val="22"/>
          <w:szCs w:val="22"/>
          <w:lang w:val="en-US"/>
        </w:rPr>
        <w:t xml:space="preserve">The UN’s role in the country is therefore as a development partner </w:t>
      </w:r>
      <w:r w:rsidR="00F907DD">
        <w:rPr>
          <w:rFonts w:cstheme="minorHAnsi"/>
          <w:sz w:val="22"/>
          <w:szCs w:val="22"/>
          <w:lang w:val="en-US"/>
        </w:rPr>
        <w:t xml:space="preserve">(not a donor) </w:t>
      </w:r>
      <w:r w:rsidR="004D3742">
        <w:rPr>
          <w:rFonts w:cstheme="minorHAnsi"/>
          <w:sz w:val="22"/>
          <w:szCs w:val="22"/>
          <w:lang w:val="en-US"/>
        </w:rPr>
        <w:t xml:space="preserve">in the country. </w:t>
      </w:r>
      <w:r w:rsidR="00693B55">
        <w:rPr>
          <w:rFonts w:cstheme="minorHAnsi"/>
          <w:sz w:val="22"/>
          <w:szCs w:val="22"/>
          <w:lang w:val="en-US"/>
        </w:rPr>
        <w:t xml:space="preserve"> The UN has </w:t>
      </w:r>
      <w:r w:rsidR="002E508C">
        <w:rPr>
          <w:rFonts w:cstheme="minorHAnsi"/>
          <w:sz w:val="22"/>
          <w:szCs w:val="22"/>
          <w:lang w:val="en-US"/>
        </w:rPr>
        <w:t xml:space="preserve">over 370 national </w:t>
      </w:r>
      <w:r w:rsidR="002E508C">
        <w:rPr>
          <w:rFonts w:cstheme="minorHAnsi"/>
          <w:sz w:val="22"/>
          <w:szCs w:val="22"/>
          <w:lang w:val="en-US"/>
        </w:rPr>
        <w:lastRenderedPageBreak/>
        <w:t xml:space="preserve">staff and over 100 international staff in country. Based on its staffing levels and expertise, the UN is the largest development partner in Timor-Leste supported by a global </w:t>
      </w:r>
      <w:r w:rsidR="00A03065">
        <w:rPr>
          <w:rFonts w:cstheme="minorHAnsi"/>
          <w:sz w:val="22"/>
          <w:szCs w:val="22"/>
          <w:lang w:val="en-US"/>
        </w:rPr>
        <w:t xml:space="preserve">knowledge </w:t>
      </w:r>
      <w:r w:rsidR="002E508C">
        <w:rPr>
          <w:rFonts w:cstheme="minorHAnsi"/>
          <w:sz w:val="22"/>
          <w:szCs w:val="22"/>
          <w:lang w:val="en-US"/>
        </w:rPr>
        <w:t xml:space="preserve">network.  </w:t>
      </w:r>
    </w:p>
    <w:p w14:paraId="1D9EE276" w14:textId="77777777" w:rsidR="004D3742" w:rsidRDefault="004D3742" w:rsidP="00552AAD">
      <w:pPr>
        <w:autoSpaceDE w:val="0"/>
        <w:autoSpaceDN w:val="0"/>
        <w:adjustRightInd w:val="0"/>
        <w:jc w:val="both"/>
        <w:rPr>
          <w:rFonts w:cstheme="minorHAnsi"/>
          <w:sz w:val="22"/>
          <w:szCs w:val="22"/>
          <w:lang w:val="en-US"/>
        </w:rPr>
      </w:pPr>
    </w:p>
    <w:p w14:paraId="6F26A21A" w14:textId="7E924E01" w:rsidR="00AF76EE" w:rsidRDefault="00300847" w:rsidP="00552AAD">
      <w:pPr>
        <w:autoSpaceDE w:val="0"/>
        <w:autoSpaceDN w:val="0"/>
        <w:adjustRightInd w:val="0"/>
        <w:jc w:val="both"/>
        <w:rPr>
          <w:rFonts w:cstheme="minorHAnsi"/>
          <w:sz w:val="22"/>
          <w:szCs w:val="22"/>
          <w:lang w:val="en-US"/>
        </w:rPr>
      </w:pPr>
      <w:r>
        <w:rPr>
          <w:rFonts w:cstheme="minorHAnsi"/>
          <w:sz w:val="22"/>
          <w:szCs w:val="22"/>
          <w:lang w:val="en-US"/>
        </w:rPr>
        <w:t>The value</w:t>
      </w:r>
      <w:r w:rsidR="004940C2">
        <w:rPr>
          <w:rFonts w:cstheme="minorHAnsi"/>
          <w:sz w:val="22"/>
          <w:szCs w:val="22"/>
          <w:lang w:val="en-US"/>
        </w:rPr>
        <w:t xml:space="preserve"> proposition of the UN in Timor-Leste is firmly rooted in the UN’s normative</w:t>
      </w:r>
      <w:r w:rsidR="00DE3457">
        <w:rPr>
          <w:rFonts w:cstheme="minorHAnsi"/>
          <w:sz w:val="22"/>
          <w:szCs w:val="22"/>
          <w:lang w:val="en-US"/>
        </w:rPr>
        <w:t xml:space="preserve"> role, including the promotion and protection of human rights, and the ability t</w:t>
      </w:r>
      <w:r w:rsidR="004D3742">
        <w:rPr>
          <w:rFonts w:cstheme="minorHAnsi"/>
          <w:sz w:val="22"/>
          <w:szCs w:val="22"/>
          <w:lang w:val="en-US"/>
        </w:rPr>
        <w:t>o</w:t>
      </w:r>
      <w:r w:rsidR="00DE3457">
        <w:rPr>
          <w:rFonts w:cstheme="minorHAnsi"/>
          <w:sz w:val="22"/>
          <w:szCs w:val="22"/>
          <w:lang w:val="en-US"/>
        </w:rPr>
        <w:t xml:space="preserve"> effectively link the normative and  operational work of the UN</w:t>
      </w:r>
      <w:r w:rsidR="00915E51">
        <w:rPr>
          <w:rFonts w:cstheme="minorHAnsi"/>
          <w:sz w:val="22"/>
          <w:szCs w:val="22"/>
          <w:lang w:val="en-US"/>
        </w:rPr>
        <w:t xml:space="preserve"> to address issues such as gender</w:t>
      </w:r>
      <w:r w:rsidR="004D3742">
        <w:rPr>
          <w:rFonts w:cstheme="minorHAnsi"/>
          <w:sz w:val="22"/>
          <w:szCs w:val="22"/>
          <w:lang w:val="en-US"/>
        </w:rPr>
        <w:t xml:space="preserve"> equality</w:t>
      </w:r>
      <w:r w:rsidR="00915E51">
        <w:rPr>
          <w:rFonts w:cstheme="minorHAnsi"/>
          <w:sz w:val="22"/>
          <w:szCs w:val="22"/>
          <w:lang w:val="en-US"/>
        </w:rPr>
        <w:t>, climate change</w:t>
      </w:r>
      <w:r w:rsidR="004D3742">
        <w:rPr>
          <w:rFonts w:cstheme="minorHAnsi"/>
          <w:sz w:val="22"/>
          <w:szCs w:val="22"/>
          <w:lang w:val="en-US"/>
        </w:rPr>
        <w:t>, humanitarian relief</w:t>
      </w:r>
      <w:r w:rsidR="00915E51">
        <w:rPr>
          <w:rFonts w:cstheme="minorHAnsi"/>
          <w:sz w:val="22"/>
          <w:szCs w:val="22"/>
          <w:lang w:val="en-US"/>
        </w:rPr>
        <w:t xml:space="preserve"> and inequality</w:t>
      </w:r>
      <w:r w:rsidR="00DE3457">
        <w:rPr>
          <w:rFonts w:cstheme="minorHAnsi"/>
          <w:sz w:val="22"/>
          <w:szCs w:val="22"/>
          <w:lang w:val="en-US"/>
        </w:rPr>
        <w:t>.</w:t>
      </w:r>
      <w:r w:rsidR="002E508C">
        <w:rPr>
          <w:rFonts w:cstheme="minorHAnsi"/>
          <w:sz w:val="22"/>
          <w:szCs w:val="22"/>
          <w:lang w:val="en-US"/>
        </w:rPr>
        <w:t xml:space="preserve">  </w:t>
      </w:r>
      <w:r w:rsidR="00255834">
        <w:rPr>
          <w:rFonts w:cstheme="minorHAnsi"/>
          <w:sz w:val="22"/>
          <w:szCs w:val="22"/>
          <w:lang w:val="en-US"/>
        </w:rPr>
        <w:t xml:space="preserve">  </w:t>
      </w:r>
    </w:p>
    <w:p w14:paraId="0CDEA435" w14:textId="544E36B5" w:rsidR="00DE3457" w:rsidRDefault="00DE3457" w:rsidP="00552AAD">
      <w:pPr>
        <w:autoSpaceDE w:val="0"/>
        <w:autoSpaceDN w:val="0"/>
        <w:adjustRightInd w:val="0"/>
        <w:jc w:val="both"/>
        <w:rPr>
          <w:rFonts w:cstheme="minorHAnsi"/>
          <w:sz w:val="22"/>
          <w:szCs w:val="22"/>
          <w:lang w:val="en-US"/>
        </w:rPr>
      </w:pPr>
    </w:p>
    <w:p w14:paraId="0334988D" w14:textId="4F68F347" w:rsidR="005E07C9" w:rsidRDefault="00DE3457" w:rsidP="00552AAD">
      <w:pPr>
        <w:autoSpaceDE w:val="0"/>
        <w:autoSpaceDN w:val="0"/>
        <w:adjustRightInd w:val="0"/>
        <w:jc w:val="both"/>
        <w:rPr>
          <w:rFonts w:cstheme="minorHAnsi"/>
          <w:sz w:val="22"/>
          <w:szCs w:val="22"/>
          <w:lang w:val="en-US"/>
        </w:rPr>
      </w:pPr>
      <w:r>
        <w:rPr>
          <w:rFonts w:cstheme="minorHAnsi"/>
          <w:sz w:val="22"/>
          <w:szCs w:val="22"/>
          <w:lang w:val="en-US"/>
        </w:rPr>
        <w:t xml:space="preserve">The confidence entrusted in the UN by the people and the Government of Timor-Leste as a neutral and impartial actor is founded </w:t>
      </w:r>
      <w:r w:rsidR="00667FA7">
        <w:rPr>
          <w:rFonts w:cstheme="minorHAnsi"/>
          <w:sz w:val="22"/>
          <w:szCs w:val="22"/>
          <w:lang w:val="en-US"/>
        </w:rPr>
        <w:t xml:space="preserve">on the history of the UN in-country starting from the country’s </w:t>
      </w:r>
      <w:r w:rsidR="004D3742">
        <w:rPr>
          <w:rFonts w:cstheme="minorHAnsi"/>
          <w:sz w:val="22"/>
          <w:szCs w:val="22"/>
          <w:lang w:val="en-US"/>
        </w:rPr>
        <w:t>independence</w:t>
      </w:r>
      <w:r w:rsidR="00667FA7">
        <w:rPr>
          <w:rFonts w:cstheme="minorHAnsi"/>
          <w:sz w:val="22"/>
          <w:szCs w:val="22"/>
          <w:lang w:val="en-US"/>
        </w:rPr>
        <w:t xml:space="preserve">.  Over the past twenty years, the UN has accompanied the country’s journey, with currently 16 resident and non-resident agencies </w:t>
      </w:r>
      <w:r w:rsidR="00904643">
        <w:rPr>
          <w:rFonts w:cstheme="minorHAnsi"/>
          <w:sz w:val="22"/>
          <w:szCs w:val="22"/>
          <w:lang w:val="en-US"/>
        </w:rPr>
        <w:t>execut</w:t>
      </w:r>
      <w:r w:rsidR="00667FA7">
        <w:rPr>
          <w:rFonts w:cstheme="minorHAnsi"/>
          <w:sz w:val="22"/>
          <w:szCs w:val="22"/>
          <w:lang w:val="en-US"/>
        </w:rPr>
        <w:t>ing 19% of ODA</w:t>
      </w:r>
      <w:r w:rsidR="00904643">
        <w:rPr>
          <w:rFonts w:cstheme="minorHAnsi"/>
          <w:sz w:val="22"/>
          <w:szCs w:val="22"/>
          <w:lang w:val="en-US"/>
        </w:rPr>
        <w:t xml:space="preserve"> – or USD 30.3 million </w:t>
      </w:r>
      <w:r w:rsidR="004D3742">
        <w:rPr>
          <w:rFonts w:cstheme="minorHAnsi"/>
          <w:sz w:val="22"/>
          <w:szCs w:val="22"/>
          <w:lang w:val="en-US"/>
        </w:rPr>
        <w:t xml:space="preserve">per year </w:t>
      </w:r>
      <w:r w:rsidR="00904643">
        <w:rPr>
          <w:rFonts w:cstheme="minorHAnsi"/>
          <w:sz w:val="22"/>
          <w:szCs w:val="22"/>
          <w:lang w:val="en-US"/>
        </w:rPr>
        <w:t>-</w:t>
      </w:r>
      <w:r w:rsidR="00667FA7">
        <w:rPr>
          <w:rFonts w:cstheme="minorHAnsi"/>
          <w:sz w:val="22"/>
          <w:szCs w:val="22"/>
          <w:lang w:val="en-US"/>
        </w:rPr>
        <w:t xml:space="preserve"> to the country</w:t>
      </w:r>
      <w:r w:rsidR="00904643">
        <w:rPr>
          <w:rStyle w:val="FootnoteReference"/>
          <w:rFonts w:cstheme="minorHAnsi"/>
          <w:sz w:val="22"/>
          <w:szCs w:val="22"/>
          <w:lang w:val="en-US"/>
        </w:rPr>
        <w:footnoteReference w:id="67"/>
      </w:r>
      <w:r w:rsidR="00667FA7">
        <w:rPr>
          <w:rFonts w:cstheme="minorHAnsi"/>
          <w:sz w:val="22"/>
          <w:szCs w:val="22"/>
          <w:lang w:val="en-US"/>
        </w:rPr>
        <w:t>.</w:t>
      </w:r>
      <w:r w:rsidR="00253178">
        <w:rPr>
          <w:rFonts w:cstheme="minorHAnsi"/>
          <w:sz w:val="22"/>
          <w:szCs w:val="22"/>
          <w:lang w:val="en-US"/>
        </w:rPr>
        <w:t xml:space="preserve">  The UN in Timor-Leste will utilize its convening power to bring together development and humanitarian actors, to support the Government to strengthen multi-stakeholder and multi-sectoral </w:t>
      </w:r>
      <w:r w:rsidR="00D65272">
        <w:rPr>
          <w:rFonts w:cstheme="minorHAnsi"/>
          <w:sz w:val="22"/>
          <w:szCs w:val="22"/>
          <w:lang w:val="en-US"/>
        </w:rPr>
        <w:t xml:space="preserve">dialogue and </w:t>
      </w:r>
      <w:r w:rsidR="00253178">
        <w:rPr>
          <w:rFonts w:cstheme="minorHAnsi"/>
          <w:sz w:val="22"/>
          <w:szCs w:val="22"/>
          <w:lang w:val="en-US"/>
        </w:rPr>
        <w:t>coordination</w:t>
      </w:r>
      <w:r w:rsidR="00D65272">
        <w:rPr>
          <w:rFonts w:cstheme="minorHAnsi"/>
          <w:sz w:val="22"/>
          <w:szCs w:val="22"/>
          <w:lang w:val="en-US"/>
        </w:rPr>
        <w:t>,</w:t>
      </w:r>
      <w:r w:rsidR="00253178">
        <w:rPr>
          <w:rFonts w:cstheme="minorHAnsi"/>
          <w:sz w:val="22"/>
          <w:szCs w:val="22"/>
          <w:lang w:val="en-US"/>
        </w:rPr>
        <w:t xml:space="preserve"> including </w:t>
      </w:r>
      <w:r w:rsidR="002E508C">
        <w:rPr>
          <w:rFonts w:cstheme="minorHAnsi"/>
          <w:sz w:val="22"/>
          <w:szCs w:val="22"/>
          <w:lang w:val="en-US"/>
        </w:rPr>
        <w:t xml:space="preserve">the implementation and advocacy for the </w:t>
      </w:r>
      <w:r w:rsidR="00D65272">
        <w:rPr>
          <w:rFonts w:cstheme="minorHAnsi"/>
          <w:sz w:val="22"/>
          <w:szCs w:val="22"/>
          <w:lang w:val="en-US"/>
        </w:rPr>
        <w:t>SDGs.</w:t>
      </w:r>
      <w:r w:rsidR="00253178">
        <w:rPr>
          <w:rFonts w:cstheme="minorHAnsi"/>
          <w:sz w:val="22"/>
          <w:szCs w:val="22"/>
          <w:lang w:val="en-US"/>
        </w:rPr>
        <w:t xml:space="preserve"> </w:t>
      </w:r>
      <w:r w:rsidR="00A85CDB">
        <w:rPr>
          <w:rFonts w:cstheme="minorHAnsi"/>
          <w:sz w:val="22"/>
          <w:szCs w:val="22"/>
          <w:lang w:val="en-US"/>
        </w:rPr>
        <w:t xml:space="preserve">  </w:t>
      </w:r>
    </w:p>
    <w:p w14:paraId="3E5B6A75" w14:textId="77777777" w:rsidR="005E07C9" w:rsidRDefault="005E07C9" w:rsidP="00552AAD">
      <w:pPr>
        <w:autoSpaceDE w:val="0"/>
        <w:autoSpaceDN w:val="0"/>
        <w:adjustRightInd w:val="0"/>
        <w:jc w:val="both"/>
        <w:rPr>
          <w:rFonts w:cstheme="minorHAnsi"/>
          <w:sz w:val="22"/>
          <w:szCs w:val="22"/>
          <w:lang w:val="en-US"/>
        </w:rPr>
      </w:pPr>
    </w:p>
    <w:p w14:paraId="0EB3CCE5" w14:textId="3A416D23" w:rsidR="005E07C9" w:rsidRDefault="005E07C9" w:rsidP="00552AAD">
      <w:pPr>
        <w:jc w:val="both"/>
        <w:rPr>
          <w:rFonts w:cstheme="minorHAnsi"/>
          <w:color w:val="000000" w:themeColor="text1"/>
          <w:sz w:val="22"/>
          <w:szCs w:val="22"/>
          <w:lang w:val="en-US"/>
        </w:rPr>
      </w:pPr>
      <w:r>
        <w:rPr>
          <w:rFonts w:cstheme="minorHAnsi"/>
          <w:color w:val="000000" w:themeColor="text1"/>
          <w:sz w:val="22"/>
          <w:szCs w:val="22"/>
          <w:lang w:val="en-US"/>
        </w:rPr>
        <w:t xml:space="preserve">The relationship of trust with the people and the Government of Timor-Leste allows the UN to effectively play </w:t>
      </w:r>
      <w:r w:rsidR="00A03065">
        <w:rPr>
          <w:rFonts w:cstheme="minorHAnsi"/>
          <w:color w:val="000000" w:themeColor="text1"/>
          <w:sz w:val="22"/>
          <w:szCs w:val="22"/>
          <w:lang w:val="en-US"/>
        </w:rPr>
        <w:t>a p</w:t>
      </w:r>
      <w:r>
        <w:rPr>
          <w:rFonts w:cstheme="minorHAnsi"/>
          <w:color w:val="000000" w:themeColor="text1"/>
          <w:sz w:val="22"/>
          <w:szCs w:val="22"/>
          <w:lang w:val="en-US"/>
        </w:rPr>
        <w:t xml:space="preserve">olicy </w:t>
      </w:r>
      <w:r w:rsidR="00A03065">
        <w:rPr>
          <w:rFonts w:cstheme="minorHAnsi"/>
          <w:color w:val="000000" w:themeColor="text1"/>
          <w:sz w:val="22"/>
          <w:szCs w:val="22"/>
          <w:lang w:val="en-US"/>
        </w:rPr>
        <w:t xml:space="preserve">development and </w:t>
      </w:r>
      <w:r>
        <w:rPr>
          <w:rFonts w:cstheme="minorHAnsi"/>
          <w:color w:val="000000" w:themeColor="text1"/>
          <w:sz w:val="22"/>
          <w:szCs w:val="22"/>
          <w:lang w:val="en-US"/>
        </w:rPr>
        <w:t>advocacy role at all levels, including communication and advocacy efforts that challenges negative social norms and practices at the community level.</w:t>
      </w:r>
    </w:p>
    <w:p w14:paraId="22C82DC8" w14:textId="77777777" w:rsidR="005E07C9" w:rsidRDefault="005E07C9" w:rsidP="00552AAD">
      <w:pPr>
        <w:jc w:val="both"/>
        <w:rPr>
          <w:rFonts w:cstheme="minorHAnsi"/>
          <w:color w:val="000000" w:themeColor="text1"/>
          <w:sz w:val="22"/>
          <w:szCs w:val="22"/>
          <w:lang w:val="en-US"/>
        </w:rPr>
      </w:pPr>
      <w:r>
        <w:rPr>
          <w:rFonts w:cstheme="minorHAnsi"/>
          <w:color w:val="000000" w:themeColor="text1"/>
          <w:sz w:val="22"/>
          <w:szCs w:val="22"/>
          <w:lang w:val="en-US"/>
        </w:rPr>
        <w:t xml:space="preserve">  </w:t>
      </w:r>
    </w:p>
    <w:p w14:paraId="2E3C9CBB" w14:textId="53DD0565" w:rsidR="00AF76EE" w:rsidRPr="00841766" w:rsidRDefault="00A85CDB" w:rsidP="00552AAD">
      <w:pPr>
        <w:autoSpaceDE w:val="0"/>
        <w:autoSpaceDN w:val="0"/>
        <w:adjustRightInd w:val="0"/>
        <w:jc w:val="both"/>
        <w:rPr>
          <w:rFonts w:cstheme="minorHAnsi"/>
          <w:color w:val="000000" w:themeColor="text1"/>
          <w:sz w:val="22"/>
          <w:szCs w:val="22"/>
          <w:lang w:val="en-US"/>
        </w:rPr>
      </w:pPr>
      <w:r>
        <w:rPr>
          <w:rFonts w:cstheme="minorHAnsi"/>
          <w:sz w:val="22"/>
          <w:szCs w:val="22"/>
          <w:lang w:val="en-US"/>
        </w:rPr>
        <w:t>As a</w:t>
      </w:r>
      <w:r w:rsidR="004D3742">
        <w:rPr>
          <w:rFonts w:cstheme="minorHAnsi"/>
          <w:sz w:val="22"/>
          <w:szCs w:val="22"/>
          <w:lang w:val="en-US"/>
        </w:rPr>
        <w:t xml:space="preserve"> multilateral</w:t>
      </w:r>
      <w:r w:rsidR="000135BE">
        <w:rPr>
          <w:rFonts w:cstheme="minorHAnsi"/>
          <w:sz w:val="22"/>
          <w:szCs w:val="22"/>
          <w:lang w:val="en-US"/>
        </w:rPr>
        <w:t xml:space="preserve"> </w:t>
      </w:r>
      <w:r>
        <w:rPr>
          <w:rFonts w:cstheme="minorHAnsi"/>
          <w:sz w:val="22"/>
          <w:szCs w:val="22"/>
          <w:lang w:val="en-US"/>
        </w:rPr>
        <w:t>international organization, the UN in Timor-Leste bring knowledge, expertise, experiences</w:t>
      </w:r>
      <w:r w:rsidR="0007184A">
        <w:rPr>
          <w:rFonts w:cstheme="minorHAnsi"/>
          <w:sz w:val="22"/>
          <w:szCs w:val="22"/>
          <w:lang w:val="en-US"/>
        </w:rPr>
        <w:t xml:space="preserve">, </w:t>
      </w:r>
      <w:r>
        <w:rPr>
          <w:rFonts w:cstheme="minorHAnsi"/>
          <w:sz w:val="22"/>
          <w:szCs w:val="22"/>
          <w:lang w:val="en-US"/>
        </w:rPr>
        <w:t xml:space="preserve">lessons learned </w:t>
      </w:r>
      <w:r w:rsidR="0007184A">
        <w:rPr>
          <w:rFonts w:cstheme="minorHAnsi"/>
          <w:sz w:val="22"/>
          <w:szCs w:val="22"/>
          <w:lang w:val="en-US"/>
        </w:rPr>
        <w:t xml:space="preserve">and innovative approaches </w:t>
      </w:r>
      <w:r>
        <w:rPr>
          <w:rFonts w:cstheme="minorHAnsi"/>
          <w:sz w:val="22"/>
          <w:szCs w:val="22"/>
          <w:lang w:val="en-US"/>
        </w:rPr>
        <w:t>from other countries</w:t>
      </w:r>
      <w:r w:rsidR="000B65D8">
        <w:rPr>
          <w:rFonts w:cstheme="minorHAnsi"/>
          <w:sz w:val="22"/>
          <w:szCs w:val="22"/>
          <w:lang w:val="en-US"/>
        </w:rPr>
        <w:t xml:space="preserve"> and regions</w:t>
      </w:r>
      <w:r>
        <w:rPr>
          <w:rFonts w:cstheme="minorHAnsi"/>
          <w:sz w:val="22"/>
          <w:szCs w:val="22"/>
          <w:lang w:val="en-US"/>
        </w:rPr>
        <w:t>, including through facilitation of south-south and triangular cooperation.</w:t>
      </w:r>
      <w:r w:rsidR="005E07C9">
        <w:rPr>
          <w:rFonts w:cstheme="minorHAnsi"/>
          <w:sz w:val="22"/>
          <w:szCs w:val="22"/>
          <w:lang w:val="en-US"/>
        </w:rPr>
        <w:t xml:space="preserve">  The UN is also well-suited to </w:t>
      </w:r>
      <w:r w:rsidR="00AF76EE" w:rsidRPr="00841766">
        <w:rPr>
          <w:rFonts w:cstheme="minorHAnsi"/>
          <w:color w:val="000000" w:themeColor="text1"/>
          <w:sz w:val="22"/>
          <w:szCs w:val="22"/>
          <w:lang w:val="en-US"/>
        </w:rPr>
        <w:t xml:space="preserve">Timor-Leste’s capacity to deal with </w:t>
      </w:r>
      <w:r w:rsidR="00AF76EE" w:rsidRPr="00841766">
        <w:rPr>
          <w:rFonts w:cstheme="minorHAnsi"/>
          <w:sz w:val="22"/>
          <w:szCs w:val="22"/>
          <w:lang w:val="en-US"/>
        </w:rPr>
        <w:t>cross-boundary and regional issues</w:t>
      </w:r>
      <w:r w:rsidR="005E07C9">
        <w:rPr>
          <w:rFonts w:cstheme="minorHAnsi"/>
          <w:sz w:val="22"/>
          <w:szCs w:val="22"/>
          <w:lang w:val="en-US"/>
        </w:rPr>
        <w:t>,</w:t>
      </w:r>
      <w:r w:rsidR="00AF76EE" w:rsidRPr="00841766">
        <w:rPr>
          <w:rFonts w:cstheme="minorHAnsi"/>
          <w:sz w:val="22"/>
          <w:szCs w:val="22"/>
          <w:lang w:val="en-US"/>
        </w:rPr>
        <w:t xml:space="preserve"> including health </w:t>
      </w:r>
      <w:r w:rsidR="005E07C9">
        <w:rPr>
          <w:rFonts w:cstheme="minorHAnsi"/>
          <w:sz w:val="22"/>
          <w:szCs w:val="22"/>
          <w:lang w:val="en-US"/>
        </w:rPr>
        <w:t>epidemics</w:t>
      </w:r>
      <w:r w:rsidR="00AF76EE" w:rsidRPr="00841766">
        <w:rPr>
          <w:rFonts w:cstheme="minorHAnsi"/>
          <w:sz w:val="22"/>
          <w:szCs w:val="22"/>
          <w:lang w:val="en-US"/>
        </w:rPr>
        <w:t>, migration, maritime issues, organized crime, and cross-border cooperation.</w:t>
      </w:r>
    </w:p>
    <w:p w14:paraId="665579A3" w14:textId="77777777" w:rsidR="00AF76EE" w:rsidRPr="00841766" w:rsidRDefault="00AF76EE" w:rsidP="00552AAD">
      <w:pPr>
        <w:autoSpaceDE w:val="0"/>
        <w:autoSpaceDN w:val="0"/>
        <w:adjustRightInd w:val="0"/>
        <w:jc w:val="both"/>
        <w:rPr>
          <w:rFonts w:cstheme="minorHAnsi"/>
          <w:sz w:val="22"/>
          <w:szCs w:val="22"/>
          <w:lang w:val="en-US"/>
        </w:rPr>
      </w:pPr>
    </w:p>
    <w:p w14:paraId="2F9A7409" w14:textId="60E8E824" w:rsidR="003A0E95" w:rsidRPr="00841766" w:rsidRDefault="003A0E95" w:rsidP="00552AAD">
      <w:pPr>
        <w:autoSpaceDE w:val="0"/>
        <w:autoSpaceDN w:val="0"/>
        <w:adjustRightInd w:val="0"/>
        <w:jc w:val="both"/>
        <w:rPr>
          <w:rFonts w:cstheme="minorHAnsi"/>
          <w:sz w:val="22"/>
          <w:szCs w:val="22"/>
          <w:lang w:val="en-US"/>
        </w:rPr>
      </w:pPr>
      <w:r>
        <w:rPr>
          <w:rFonts w:cstheme="minorHAnsi"/>
          <w:sz w:val="22"/>
          <w:szCs w:val="22"/>
          <w:lang w:val="en-US"/>
        </w:rPr>
        <w:t xml:space="preserve">The UNCT configuration will be agreed with the Government in 2020, to ensure that the required UN capacities and assets are available to contribute to the implementation of UNSDCF starting in 2021.  The </w:t>
      </w:r>
      <w:r w:rsidR="00AF76EE" w:rsidRPr="00841766">
        <w:rPr>
          <w:rFonts w:cstheme="minorHAnsi"/>
          <w:sz w:val="22"/>
          <w:szCs w:val="22"/>
          <w:lang w:val="en-US"/>
        </w:rPr>
        <w:t>following steps</w:t>
      </w:r>
      <w:r>
        <w:rPr>
          <w:rFonts w:cstheme="minorHAnsi"/>
          <w:sz w:val="22"/>
          <w:szCs w:val="22"/>
          <w:lang w:val="en-US"/>
        </w:rPr>
        <w:t xml:space="preserve"> will be taken</w:t>
      </w:r>
      <w:r w:rsidR="00AF76EE" w:rsidRPr="00841766">
        <w:rPr>
          <w:rFonts w:cstheme="minorHAnsi"/>
          <w:sz w:val="22"/>
          <w:szCs w:val="22"/>
          <w:lang w:val="en-US"/>
        </w:rPr>
        <w:t>:</w:t>
      </w:r>
    </w:p>
    <w:p w14:paraId="3F5A5FCB" w14:textId="451199AF" w:rsidR="00AF76EE" w:rsidRPr="00841766" w:rsidRDefault="00AF76EE" w:rsidP="00552AAD">
      <w:pPr>
        <w:pStyle w:val="ListParagraph"/>
        <w:numPr>
          <w:ilvl w:val="0"/>
          <w:numId w:val="33"/>
        </w:numPr>
        <w:autoSpaceDE w:val="0"/>
        <w:autoSpaceDN w:val="0"/>
        <w:adjustRightInd w:val="0"/>
        <w:ind w:left="360"/>
        <w:jc w:val="both"/>
        <w:rPr>
          <w:rFonts w:ascii="Times New Roman" w:hAnsi="Times New Roman" w:cs="Times New Roman"/>
          <w:sz w:val="22"/>
          <w:szCs w:val="22"/>
          <w:lang w:val="en-US"/>
        </w:rPr>
      </w:pPr>
      <w:r w:rsidRPr="00841766">
        <w:rPr>
          <w:rFonts w:cstheme="minorHAnsi"/>
          <w:sz w:val="22"/>
          <w:szCs w:val="22"/>
          <w:lang w:val="en-US"/>
        </w:rPr>
        <w:t xml:space="preserve">Each resident and non-resident agency </w:t>
      </w:r>
      <w:r w:rsidR="003A0E95">
        <w:rPr>
          <w:rFonts w:cstheme="minorHAnsi"/>
          <w:sz w:val="22"/>
          <w:szCs w:val="22"/>
          <w:lang w:val="en-US"/>
        </w:rPr>
        <w:t>to</w:t>
      </w:r>
      <w:r w:rsidRPr="00841766">
        <w:rPr>
          <w:rFonts w:cstheme="minorHAnsi"/>
          <w:sz w:val="22"/>
          <w:szCs w:val="22"/>
          <w:lang w:val="en-US"/>
        </w:rPr>
        <w:t xml:space="preserve"> review their assets, expertise and staff capacity and share their plans to revise their profile</w:t>
      </w:r>
      <w:r w:rsidR="00426019" w:rsidRPr="00841766">
        <w:rPr>
          <w:rFonts w:cstheme="minorHAnsi"/>
          <w:sz w:val="22"/>
          <w:szCs w:val="22"/>
          <w:lang w:val="en-US"/>
        </w:rPr>
        <w:t xml:space="preserve"> </w:t>
      </w:r>
      <w:r w:rsidR="003A0E95">
        <w:rPr>
          <w:rFonts w:cstheme="minorHAnsi"/>
          <w:sz w:val="22"/>
          <w:szCs w:val="22"/>
          <w:lang w:val="en-US"/>
        </w:rPr>
        <w:t>as/</w:t>
      </w:r>
      <w:r w:rsidR="00426019" w:rsidRPr="00841766">
        <w:rPr>
          <w:rFonts w:cstheme="minorHAnsi"/>
          <w:sz w:val="22"/>
          <w:szCs w:val="22"/>
          <w:lang w:val="en-US"/>
        </w:rPr>
        <w:t>when needed</w:t>
      </w:r>
      <w:r w:rsidR="003A0E95">
        <w:rPr>
          <w:rFonts w:cstheme="minorHAnsi"/>
          <w:sz w:val="22"/>
          <w:szCs w:val="22"/>
          <w:lang w:val="en-US"/>
        </w:rPr>
        <w:t>;</w:t>
      </w:r>
      <w:r w:rsidR="00FF1E51" w:rsidRPr="00841766">
        <w:rPr>
          <w:rFonts w:cstheme="minorHAnsi"/>
          <w:sz w:val="22"/>
          <w:szCs w:val="22"/>
          <w:lang w:val="en-US"/>
        </w:rPr>
        <w:t xml:space="preserve"> </w:t>
      </w:r>
    </w:p>
    <w:p w14:paraId="37727042" w14:textId="1494E06A" w:rsidR="00426019" w:rsidRPr="00841766" w:rsidRDefault="003A0E95" w:rsidP="00552AAD">
      <w:pPr>
        <w:pStyle w:val="ListParagraph"/>
        <w:numPr>
          <w:ilvl w:val="0"/>
          <w:numId w:val="33"/>
        </w:numPr>
        <w:autoSpaceDE w:val="0"/>
        <w:autoSpaceDN w:val="0"/>
        <w:adjustRightInd w:val="0"/>
        <w:ind w:left="360"/>
        <w:jc w:val="both"/>
        <w:rPr>
          <w:rFonts w:ascii="Times New Roman" w:hAnsi="Times New Roman" w:cs="Times New Roman"/>
          <w:sz w:val="22"/>
          <w:szCs w:val="22"/>
          <w:lang w:val="en-US"/>
        </w:rPr>
      </w:pPr>
      <w:r>
        <w:rPr>
          <w:rFonts w:cstheme="minorHAnsi"/>
          <w:sz w:val="22"/>
          <w:szCs w:val="22"/>
          <w:lang w:val="en-US"/>
        </w:rPr>
        <w:t>F</w:t>
      </w:r>
      <w:r w:rsidR="00AF76EE" w:rsidRPr="00841766">
        <w:rPr>
          <w:rFonts w:cstheme="minorHAnsi"/>
          <w:sz w:val="22"/>
          <w:szCs w:val="22"/>
          <w:lang w:val="en-US"/>
        </w:rPr>
        <w:t xml:space="preserve">urther consultations </w:t>
      </w:r>
      <w:r>
        <w:rPr>
          <w:rFonts w:cstheme="minorHAnsi"/>
          <w:sz w:val="22"/>
          <w:szCs w:val="22"/>
          <w:lang w:val="en-US"/>
        </w:rPr>
        <w:t>to be held with</w:t>
      </w:r>
      <w:r w:rsidR="00AF76EE" w:rsidRPr="00841766">
        <w:rPr>
          <w:rFonts w:cstheme="minorHAnsi"/>
          <w:sz w:val="22"/>
          <w:szCs w:val="22"/>
          <w:lang w:val="en-US"/>
        </w:rPr>
        <w:t xml:space="preserve"> the UN regional offices, with a view to identify potential gaps and expertise or assets to be mobilized within the UN system regionally </w:t>
      </w:r>
      <w:r>
        <w:rPr>
          <w:rFonts w:cstheme="minorHAnsi"/>
          <w:sz w:val="22"/>
          <w:szCs w:val="22"/>
          <w:lang w:val="en-US"/>
        </w:rPr>
        <w:t>and/</w:t>
      </w:r>
      <w:r w:rsidR="00AF76EE" w:rsidRPr="00841766">
        <w:rPr>
          <w:rFonts w:cstheme="minorHAnsi"/>
          <w:sz w:val="22"/>
          <w:szCs w:val="22"/>
          <w:lang w:val="en-US"/>
        </w:rPr>
        <w:t>or globally</w:t>
      </w:r>
      <w:r>
        <w:rPr>
          <w:rFonts w:cstheme="minorHAnsi"/>
          <w:sz w:val="22"/>
          <w:szCs w:val="22"/>
          <w:lang w:val="en-US"/>
        </w:rPr>
        <w:t>;</w:t>
      </w:r>
      <w:r w:rsidR="004C6DBA" w:rsidRPr="00841766">
        <w:rPr>
          <w:rFonts w:cstheme="minorHAnsi"/>
          <w:sz w:val="22"/>
          <w:szCs w:val="22"/>
          <w:lang w:val="en-US"/>
        </w:rPr>
        <w:t xml:space="preserve"> </w:t>
      </w:r>
    </w:p>
    <w:p w14:paraId="672686AF" w14:textId="748834BC" w:rsidR="00426019" w:rsidRPr="00841766" w:rsidRDefault="00426019" w:rsidP="00552AAD">
      <w:pPr>
        <w:pStyle w:val="ListParagraph"/>
        <w:numPr>
          <w:ilvl w:val="0"/>
          <w:numId w:val="33"/>
        </w:numPr>
        <w:autoSpaceDE w:val="0"/>
        <w:autoSpaceDN w:val="0"/>
        <w:adjustRightInd w:val="0"/>
        <w:ind w:left="360"/>
        <w:jc w:val="both"/>
        <w:rPr>
          <w:rFonts w:cstheme="minorHAnsi"/>
          <w:sz w:val="22"/>
          <w:szCs w:val="22"/>
          <w:lang w:val="en-US"/>
        </w:rPr>
      </w:pPr>
      <w:r w:rsidRPr="00841766">
        <w:rPr>
          <w:rFonts w:cstheme="minorHAnsi"/>
          <w:sz w:val="22"/>
          <w:szCs w:val="22"/>
          <w:lang w:val="en-US"/>
        </w:rPr>
        <w:t xml:space="preserve">UNCT </w:t>
      </w:r>
      <w:r w:rsidR="003A0E95">
        <w:rPr>
          <w:rFonts w:cstheme="minorHAnsi"/>
          <w:sz w:val="22"/>
          <w:szCs w:val="22"/>
          <w:lang w:val="en-US"/>
        </w:rPr>
        <w:t>to</w:t>
      </w:r>
      <w:r w:rsidRPr="00841766">
        <w:rPr>
          <w:rFonts w:cstheme="minorHAnsi"/>
          <w:sz w:val="22"/>
          <w:szCs w:val="22"/>
          <w:lang w:val="en-US"/>
        </w:rPr>
        <w:t xml:space="preserve"> review the overall proposed reconfiguration</w:t>
      </w:r>
      <w:r w:rsidR="003A0E95">
        <w:rPr>
          <w:rFonts w:cstheme="minorHAnsi"/>
          <w:sz w:val="22"/>
          <w:szCs w:val="22"/>
          <w:lang w:val="en-US"/>
        </w:rPr>
        <w:t>; and,</w:t>
      </w:r>
    </w:p>
    <w:p w14:paraId="3F1F5DEC" w14:textId="722319E5" w:rsidR="00AF76EE" w:rsidRPr="00841766" w:rsidRDefault="00AF76EE" w:rsidP="00552AAD">
      <w:pPr>
        <w:pStyle w:val="ListParagraph"/>
        <w:numPr>
          <w:ilvl w:val="0"/>
          <w:numId w:val="33"/>
        </w:numPr>
        <w:autoSpaceDE w:val="0"/>
        <w:autoSpaceDN w:val="0"/>
        <w:adjustRightInd w:val="0"/>
        <w:ind w:left="360"/>
        <w:jc w:val="both"/>
        <w:rPr>
          <w:rFonts w:ascii="Times New Roman" w:hAnsi="Times New Roman" w:cs="Times New Roman"/>
          <w:sz w:val="22"/>
          <w:szCs w:val="22"/>
          <w:lang w:val="en-US"/>
        </w:rPr>
      </w:pPr>
      <w:r w:rsidRPr="00841766">
        <w:rPr>
          <w:rFonts w:cstheme="minorHAnsi"/>
          <w:sz w:val="22"/>
          <w:szCs w:val="22"/>
          <w:lang w:val="en-US"/>
        </w:rPr>
        <w:t xml:space="preserve">RC </w:t>
      </w:r>
      <w:r w:rsidR="003A0E95">
        <w:rPr>
          <w:rFonts w:cstheme="minorHAnsi"/>
          <w:sz w:val="22"/>
          <w:szCs w:val="22"/>
          <w:lang w:val="en-US"/>
        </w:rPr>
        <w:t>to</w:t>
      </w:r>
      <w:r w:rsidRPr="00841766">
        <w:rPr>
          <w:rFonts w:cstheme="minorHAnsi"/>
          <w:sz w:val="22"/>
          <w:szCs w:val="22"/>
          <w:lang w:val="en-US"/>
        </w:rPr>
        <w:t xml:space="preserve"> present to the Government of Timor-Leste the type of </w:t>
      </w:r>
      <w:r w:rsidR="003A0E95">
        <w:rPr>
          <w:rFonts w:cstheme="minorHAnsi"/>
          <w:sz w:val="22"/>
          <w:szCs w:val="22"/>
          <w:lang w:val="en-US"/>
        </w:rPr>
        <w:t xml:space="preserve">UNCT </w:t>
      </w:r>
      <w:r w:rsidRPr="00841766">
        <w:rPr>
          <w:rFonts w:cstheme="minorHAnsi"/>
          <w:sz w:val="22"/>
          <w:szCs w:val="22"/>
          <w:lang w:val="en-US"/>
        </w:rPr>
        <w:t xml:space="preserve">reconfiguration needed to deliver the </w:t>
      </w:r>
      <w:r w:rsidR="003A0E95">
        <w:rPr>
          <w:rFonts w:cstheme="minorHAnsi"/>
          <w:sz w:val="22"/>
          <w:szCs w:val="22"/>
          <w:lang w:val="en-US"/>
        </w:rPr>
        <w:t xml:space="preserve">UNSDCF </w:t>
      </w:r>
      <w:r w:rsidRPr="00841766">
        <w:rPr>
          <w:rFonts w:cstheme="minorHAnsi"/>
          <w:sz w:val="22"/>
          <w:szCs w:val="22"/>
          <w:lang w:val="en-US"/>
        </w:rPr>
        <w:t xml:space="preserve">and seek </w:t>
      </w:r>
      <w:r w:rsidR="00D123D0" w:rsidRPr="00841766">
        <w:rPr>
          <w:rFonts w:cstheme="minorHAnsi"/>
          <w:sz w:val="22"/>
          <w:szCs w:val="22"/>
          <w:lang w:val="en-US"/>
        </w:rPr>
        <w:t>Government</w:t>
      </w:r>
      <w:r w:rsidRPr="00841766">
        <w:rPr>
          <w:rFonts w:cstheme="minorHAnsi"/>
          <w:sz w:val="22"/>
          <w:szCs w:val="22"/>
          <w:lang w:val="en-US"/>
        </w:rPr>
        <w:t xml:space="preserve"> feedback. </w:t>
      </w:r>
    </w:p>
    <w:p w14:paraId="3B4B3968" w14:textId="77777777" w:rsidR="00AF76EE" w:rsidRPr="00841766" w:rsidRDefault="00AF76EE" w:rsidP="00552AAD">
      <w:pPr>
        <w:jc w:val="both"/>
        <w:rPr>
          <w:lang w:val="en-US"/>
        </w:rPr>
      </w:pPr>
    </w:p>
    <w:p w14:paraId="1E6DFD5B" w14:textId="77777777" w:rsidR="000A626C" w:rsidRPr="00841766" w:rsidRDefault="000A626C" w:rsidP="004C515B">
      <w:pPr>
        <w:pStyle w:val="Heading1"/>
        <w:rPr>
          <w:lang w:val="en-US"/>
        </w:rPr>
      </w:pPr>
      <w:bookmarkStart w:id="117" w:name="_Toc29550740"/>
      <w:bookmarkStart w:id="118" w:name="_Toc40265807"/>
      <w:r w:rsidRPr="00841766">
        <w:rPr>
          <w:lang w:val="en-US"/>
        </w:rPr>
        <w:t>CHAPTER 3: COOPERATION FRAMEWORK IMPLEMENTATION PLAN</w:t>
      </w:r>
      <w:bookmarkEnd w:id="117"/>
      <w:bookmarkEnd w:id="118"/>
    </w:p>
    <w:p w14:paraId="02B18A09" w14:textId="77777777" w:rsidR="000A626C" w:rsidRPr="00841766" w:rsidRDefault="000A626C" w:rsidP="004C515B">
      <w:pPr>
        <w:pStyle w:val="Heading2"/>
        <w:rPr>
          <w:rFonts w:asciiTheme="minorHAnsi" w:hAnsiTheme="minorHAnsi"/>
          <w:sz w:val="28"/>
          <w:lang w:val="en-US"/>
        </w:rPr>
      </w:pPr>
      <w:bookmarkStart w:id="119" w:name="_Toc29550741"/>
      <w:bookmarkStart w:id="120" w:name="_Toc40265808"/>
      <w:r w:rsidRPr="00841766">
        <w:rPr>
          <w:rFonts w:asciiTheme="minorHAnsi" w:hAnsiTheme="minorHAnsi"/>
          <w:sz w:val="28"/>
          <w:lang w:val="en-US"/>
        </w:rPr>
        <w:t>3.1. Implementation strategy and strategic partnerships</w:t>
      </w:r>
      <w:bookmarkEnd w:id="119"/>
      <w:bookmarkEnd w:id="120"/>
    </w:p>
    <w:p w14:paraId="2CEE3492" w14:textId="1B0243A2" w:rsidR="000A626C" w:rsidRPr="00841766" w:rsidRDefault="00253178" w:rsidP="00552AAD">
      <w:pPr>
        <w:pStyle w:val="Default"/>
        <w:jc w:val="both"/>
        <w:rPr>
          <w:rFonts w:asciiTheme="minorHAnsi" w:eastAsia="Times New Roman" w:hAnsiTheme="minorHAnsi" w:cstheme="minorHAnsi"/>
          <w:sz w:val="22"/>
          <w:szCs w:val="22"/>
          <w:lang w:val="en-US" w:eastAsia="fr-FR"/>
        </w:rPr>
      </w:pPr>
      <w:r>
        <w:rPr>
          <w:rFonts w:asciiTheme="minorHAnsi" w:hAnsiTheme="minorHAnsi" w:cstheme="minorHAnsi"/>
          <w:sz w:val="22"/>
          <w:szCs w:val="22"/>
          <w:lang w:val="en-US"/>
        </w:rPr>
        <w:t>T</w:t>
      </w:r>
      <w:r w:rsidR="000A626C" w:rsidRPr="00841766">
        <w:rPr>
          <w:rFonts w:asciiTheme="minorHAnsi" w:hAnsiTheme="minorHAnsi" w:cstheme="minorHAnsi"/>
          <w:sz w:val="22"/>
          <w:szCs w:val="22"/>
          <w:lang w:val="en-US"/>
        </w:rPr>
        <w:t>he UNSDCF is</w:t>
      </w:r>
      <w:r w:rsidR="000A626C" w:rsidRPr="00841766">
        <w:rPr>
          <w:rFonts w:asciiTheme="minorHAnsi" w:eastAsia="Times New Roman" w:hAnsiTheme="minorHAnsi" w:cstheme="minorHAnsi"/>
          <w:sz w:val="22"/>
          <w:szCs w:val="22"/>
          <w:lang w:val="en-US" w:eastAsia="fr-FR"/>
        </w:rPr>
        <w:t xml:space="preserve"> the primary instrument for planning and implementation of the UN development activities in support of the implementation of the 2030 Agenda for Sustainable Development in Timor-Leste. </w:t>
      </w:r>
      <w:r>
        <w:rPr>
          <w:rFonts w:asciiTheme="minorHAnsi" w:eastAsia="Times New Roman" w:hAnsiTheme="minorHAnsi" w:cstheme="minorHAnsi"/>
          <w:sz w:val="22"/>
          <w:szCs w:val="22"/>
          <w:lang w:val="en-US" w:eastAsia="fr-FR"/>
        </w:rPr>
        <w:t xml:space="preserve"> </w:t>
      </w:r>
      <w:r w:rsidR="003B236B">
        <w:rPr>
          <w:rFonts w:asciiTheme="minorHAnsi" w:eastAsia="Times New Roman" w:hAnsiTheme="minorHAnsi" w:cstheme="minorHAnsi"/>
          <w:sz w:val="22"/>
          <w:szCs w:val="22"/>
          <w:lang w:val="en-US" w:eastAsia="fr-FR"/>
        </w:rPr>
        <w:t>Unlike with previous UN Development Assistance Frameworks, t</w:t>
      </w:r>
      <w:r w:rsidR="000A626C" w:rsidRPr="00841766">
        <w:rPr>
          <w:rFonts w:asciiTheme="minorHAnsi" w:eastAsia="Times New Roman" w:hAnsiTheme="minorHAnsi" w:cstheme="minorHAnsi"/>
          <w:sz w:val="22"/>
          <w:szCs w:val="22"/>
          <w:lang w:val="en-US" w:eastAsia="fr-FR"/>
        </w:rPr>
        <w:t xml:space="preserve">he </w:t>
      </w:r>
      <w:r>
        <w:rPr>
          <w:rFonts w:asciiTheme="minorHAnsi" w:eastAsia="Times New Roman" w:hAnsiTheme="minorHAnsi" w:cstheme="minorHAnsi"/>
          <w:sz w:val="22"/>
          <w:szCs w:val="22"/>
          <w:lang w:val="en-US" w:eastAsia="fr-FR"/>
        </w:rPr>
        <w:t xml:space="preserve">UNSDCF </w:t>
      </w:r>
      <w:r w:rsidR="000A626C" w:rsidRPr="00841766">
        <w:rPr>
          <w:rFonts w:asciiTheme="minorHAnsi" w:eastAsia="Times New Roman" w:hAnsiTheme="minorHAnsi" w:cstheme="minorHAnsi"/>
          <w:sz w:val="22"/>
          <w:szCs w:val="22"/>
          <w:lang w:val="en-US" w:eastAsia="fr-FR"/>
        </w:rPr>
        <w:t xml:space="preserve">will guide the entire programme cycle (2021-2025), driving planning, implementation, monitoring, reporting and evaluation of the collective UN support for achieving the 2030 Agenda. </w:t>
      </w:r>
      <w:r>
        <w:rPr>
          <w:rFonts w:asciiTheme="minorHAnsi" w:eastAsia="Times New Roman" w:hAnsiTheme="minorHAnsi" w:cstheme="minorHAnsi"/>
          <w:sz w:val="22"/>
          <w:szCs w:val="22"/>
          <w:lang w:val="en-US" w:eastAsia="fr-FR"/>
        </w:rPr>
        <w:t xml:space="preserve"> </w:t>
      </w:r>
      <w:r w:rsidR="000A626C" w:rsidRPr="00841766">
        <w:rPr>
          <w:rFonts w:asciiTheme="minorHAnsi" w:eastAsia="Times New Roman" w:hAnsiTheme="minorHAnsi" w:cstheme="minorHAnsi"/>
          <w:sz w:val="22"/>
          <w:szCs w:val="22"/>
          <w:lang w:val="en-US" w:eastAsia="fr-FR"/>
        </w:rPr>
        <w:t>The UN system will work in close partnership with the Government of Timor-Leste to ensure national ownership of the UN</w:t>
      </w:r>
      <w:r>
        <w:rPr>
          <w:rFonts w:asciiTheme="minorHAnsi" w:eastAsia="Times New Roman" w:hAnsiTheme="minorHAnsi" w:cstheme="minorHAnsi"/>
          <w:sz w:val="22"/>
          <w:szCs w:val="22"/>
          <w:lang w:val="en-US" w:eastAsia="fr-FR"/>
        </w:rPr>
        <w:t>SDCF</w:t>
      </w:r>
      <w:r w:rsidR="000A626C" w:rsidRPr="00841766">
        <w:rPr>
          <w:rFonts w:asciiTheme="minorHAnsi" w:eastAsia="Times New Roman" w:hAnsiTheme="minorHAnsi" w:cstheme="minorHAnsi"/>
          <w:sz w:val="22"/>
          <w:szCs w:val="22"/>
          <w:lang w:val="en-US" w:eastAsia="fr-FR"/>
        </w:rPr>
        <w:t xml:space="preserve"> results and their alignment with national priorities and needs. </w:t>
      </w:r>
      <w:r>
        <w:rPr>
          <w:rFonts w:asciiTheme="minorHAnsi" w:eastAsia="Times New Roman" w:hAnsiTheme="minorHAnsi" w:cstheme="minorHAnsi"/>
          <w:sz w:val="22"/>
          <w:szCs w:val="22"/>
          <w:lang w:val="en-US" w:eastAsia="fr-FR"/>
        </w:rPr>
        <w:t xml:space="preserve"> </w:t>
      </w:r>
      <w:r w:rsidR="000A626C" w:rsidRPr="00841766">
        <w:rPr>
          <w:rFonts w:asciiTheme="minorHAnsi" w:eastAsia="Times New Roman" w:hAnsiTheme="minorHAnsi" w:cstheme="minorHAnsi"/>
          <w:sz w:val="22"/>
          <w:szCs w:val="22"/>
          <w:lang w:val="en-US" w:eastAsia="fr-FR"/>
        </w:rPr>
        <w:t xml:space="preserve">The </w:t>
      </w:r>
      <w:r>
        <w:rPr>
          <w:rFonts w:asciiTheme="minorHAnsi" w:eastAsia="Times New Roman" w:hAnsiTheme="minorHAnsi" w:cstheme="minorHAnsi"/>
          <w:sz w:val="22"/>
          <w:szCs w:val="22"/>
          <w:lang w:val="en-US" w:eastAsia="fr-FR"/>
        </w:rPr>
        <w:t xml:space="preserve">UNSDCF </w:t>
      </w:r>
      <w:r w:rsidR="00313834">
        <w:rPr>
          <w:rFonts w:asciiTheme="minorHAnsi" w:eastAsia="Times New Roman" w:hAnsiTheme="minorHAnsi" w:cstheme="minorHAnsi"/>
          <w:sz w:val="22"/>
          <w:szCs w:val="22"/>
          <w:lang w:val="en-US" w:eastAsia="fr-FR"/>
        </w:rPr>
        <w:t xml:space="preserve">provides a mechanism </w:t>
      </w:r>
      <w:r w:rsidR="000A626C" w:rsidRPr="00841766">
        <w:rPr>
          <w:rFonts w:asciiTheme="minorHAnsi" w:eastAsia="Times New Roman" w:hAnsiTheme="minorHAnsi" w:cstheme="minorHAnsi"/>
          <w:sz w:val="22"/>
          <w:szCs w:val="22"/>
          <w:lang w:val="en-US" w:eastAsia="fr-FR"/>
        </w:rPr>
        <w:t xml:space="preserve">for </w:t>
      </w:r>
      <w:r>
        <w:rPr>
          <w:rFonts w:asciiTheme="minorHAnsi" w:eastAsia="Times New Roman" w:hAnsiTheme="minorHAnsi" w:cstheme="minorHAnsi"/>
          <w:sz w:val="22"/>
          <w:szCs w:val="22"/>
          <w:lang w:val="en-US" w:eastAsia="fr-FR"/>
        </w:rPr>
        <w:t>partnership</w:t>
      </w:r>
      <w:r w:rsidR="00313834">
        <w:rPr>
          <w:rFonts w:asciiTheme="minorHAnsi" w:eastAsia="Times New Roman" w:hAnsiTheme="minorHAnsi" w:cstheme="minorHAnsi"/>
          <w:sz w:val="22"/>
          <w:szCs w:val="22"/>
          <w:lang w:val="en-US" w:eastAsia="fr-FR"/>
        </w:rPr>
        <w:t>s,</w:t>
      </w:r>
      <w:r>
        <w:rPr>
          <w:rFonts w:asciiTheme="minorHAnsi" w:eastAsia="Times New Roman" w:hAnsiTheme="minorHAnsi" w:cstheme="minorHAnsi"/>
          <w:sz w:val="22"/>
          <w:szCs w:val="22"/>
          <w:lang w:val="en-US" w:eastAsia="fr-FR"/>
        </w:rPr>
        <w:t xml:space="preserve"> </w:t>
      </w:r>
      <w:r w:rsidR="000A626C" w:rsidRPr="00841766">
        <w:rPr>
          <w:rFonts w:asciiTheme="minorHAnsi" w:eastAsia="Times New Roman" w:hAnsiTheme="minorHAnsi" w:cstheme="minorHAnsi"/>
          <w:sz w:val="22"/>
          <w:szCs w:val="22"/>
          <w:lang w:val="en-US" w:eastAsia="fr-FR"/>
        </w:rPr>
        <w:t xml:space="preserve">beyond the </w:t>
      </w:r>
      <w:r w:rsidR="000A626C" w:rsidRPr="00841766">
        <w:rPr>
          <w:rFonts w:asciiTheme="minorHAnsi" w:eastAsia="Times New Roman" w:hAnsiTheme="minorHAnsi" w:cstheme="minorHAnsi"/>
          <w:sz w:val="22"/>
          <w:szCs w:val="22"/>
          <w:lang w:val="en-US" w:eastAsia="fr-FR"/>
        </w:rPr>
        <w:lastRenderedPageBreak/>
        <w:t>collaboration with implementing partners</w:t>
      </w:r>
      <w:r w:rsidR="00313834">
        <w:rPr>
          <w:rFonts w:asciiTheme="minorHAnsi" w:eastAsia="Times New Roman" w:hAnsiTheme="minorHAnsi" w:cstheme="minorHAnsi"/>
          <w:sz w:val="22"/>
          <w:szCs w:val="22"/>
          <w:lang w:val="en-US" w:eastAsia="fr-FR"/>
        </w:rPr>
        <w:t>,</w:t>
      </w:r>
      <w:r w:rsidR="000A626C" w:rsidRPr="00841766">
        <w:rPr>
          <w:rFonts w:asciiTheme="minorHAnsi" w:eastAsia="Times New Roman" w:hAnsiTheme="minorHAnsi" w:cstheme="minorHAnsi"/>
          <w:sz w:val="22"/>
          <w:szCs w:val="22"/>
          <w:lang w:val="en-US" w:eastAsia="fr-FR"/>
        </w:rPr>
        <w:t xml:space="preserve"> to embrace all entities and individuals </w:t>
      </w:r>
      <w:r w:rsidR="000A626C" w:rsidRPr="00841766">
        <w:rPr>
          <w:rFonts w:asciiTheme="minorHAnsi" w:hAnsiTheme="minorHAnsi" w:cstheme="minorHAnsi"/>
          <w:sz w:val="22"/>
          <w:szCs w:val="22"/>
          <w:lang w:val="en-US"/>
        </w:rPr>
        <w:t xml:space="preserve">identified as critical to forging sustainable development solutions in </w:t>
      </w:r>
      <w:r w:rsidR="00927A3B" w:rsidRPr="00841766">
        <w:rPr>
          <w:rFonts w:asciiTheme="minorHAnsi" w:hAnsiTheme="minorHAnsi" w:cstheme="minorHAnsi"/>
          <w:sz w:val="22"/>
          <w:szCs w:val="22"/>
          <w:lang w:val="en-US"/>
        </w:rPr>
        <w:t>Timor-Leste</w:t>
      </w:r>
      <w:r w:rsidR="000A626C" w:rsidRPr="00841766">
        <w:rPr>
          <w:rFonts w:asciiTheme="minorHAnsi" w:hAnsiTheme="minorHAnsi" w:cstheme="minorHAnsi"/>
          <w:sz w:val="22"/>
          <w:szCs w:val="22"/>
          <w:lang w:val="en-US"/>
        </w:rPr>
        <w:t>.</w:t>
      </w:r>
    </w:p>
    <w:p w14:paraId="49638135" w14:textId="77777777" w:rsidR="000A626C" w:rsidRPr="00841766" w:rsidRDefault="000A626C" w:rsidP="00552AAD">
      <w:pPr>
        <w:autoSpaceDE w:val="0"/>
        <w:autoSpaceDN w:val="0"/>
        <w:adjustRightInd w:val="0"/>
        <w:spacing w:after="120"/>
        <w:jc w:val="both"/>
        <w:rPr>
          <w:rFonts w:eastAsia="Times New Roman" w:cstheme="minorHAnsi"/>
          <w:sz w:val="22"/>
          <w:szCs w:val="22"/>
          <w:lang w:val="en-US" w:eastAsia="fr-FR"/>
        </w:rPr>
      </w:pPr>
    </w:p>
    <w:p w14:paraId="0960A2A0" w14:textId="1C097FD1" w:rsidR="000A626C" w:rsidRPr="00841766" w:rsidRDefault="000A626C" w:rsidP="00552AAD">
      <w:pPr>
        <w:autoSpaceDE w:val="0"/>
        <w:autoSpaceDN w:val="0"/>
        <w:adjustRightInd w:val="0"/>
        <w:spacing w:after="120"/>
        <w:jc w:val="both"/>
        <w:rPr>
          <w:rFonts w:eastAsia="Times New Roman" w:cstheme="minorHAnsi"/>
          <w:sz w:val="22"/>
          <w:szCs w:val="22"/>
          <w:lang w:val="en-US" w:eastAsia="fr-FR"/>
        </w:rPr>
      </w:pPr>
      <w:r w:rsidRPr="00841766">
        <w:rPr>
          <w:rFonts w:eastAsia="Times New Roman" w:cstheme="minorHAnsi"/>
          <w:sz w:val="22"/>
          <w:szCs w:val="22"/>
          <w:lang w:val="en-US" w:eastAsia="fr-FR"/>
        </w:rPr>
        <w:t>The UN collective knowledge of international human rights norms and standards and its multi-disciplinary development expertise will be leveraged to implement the</w:t>
      </w:r>
      <w:r w:rsidR="00253178">
        <w:rPr>
          <w:rFonts w:eastAsia="Times New Roman" w:cstheme="minorHAnsi"/>
          <w:sz w:val="22"/>
          <w:szCs w:val="22"/>
          <w:lang w:val="en-US" w:eastAsia="fr-FR"/>
        </w:rPr>
        <w:t xml:space="preserve"> UNSDCF</w:t>
      </w:r>
      <w:r w:rsidRPr="00841766">
        <w:rPr>
          <w:rFonts w:eastAsia="Times New Roman" w:cstheme="minorHAnsi"/>
          <w:sz w:val="22"/>
          <w:szCs w:val="22"/>
          <w:lang w:val="en-US" w:eastAsia="fr-FR"/>
        </w:rPr>
        <w:t xml:space="preserve">. </w:t>
      </w:r>
      <w:r w:rsidR="00253178">
        <w:rPr>
          <w:rFonts w:eastAsia="Times New Roman" w:cstheme="minorHAnsi"/>
          <w:sz w:val="22"/>
          <w:szCs w:val="22"/>
          <w:lang w:val="en-US" w:eastAsia="fr-FR"/>
        </w:rPr>
        <w:t xml:space="preserve"> </w:t>
      </w:r>
      <w:r w:rsidR="004C6DBA" w:rsidRPr="00841766">
        <w:rPr>
          <w:rFonts w:eastAsia="Times New Roman" w:cstheme="minorHAnsi"/>
          <w:sz w:val="22"/>
          <w:szCs w:val="22"/>
          <w:lang w:val="en-US" w:eastAsia="fr-FR"/>
        </w:rPr>
        <w:t>Research, a</w:t>
      </w:r>
      <w:r w:rsidRPr="00841766">
        <w:rPr>
          <w:rFonts w:eastAsia="Times New Roman" w:cstheme="minorHAnsi"/>
          <w:sz w:val="22"/>
          <w:szCs w:val="22"/>
          <w:lang w:val="en-US" w:eastAsia="fr-FR"/>
        </w:rPr>
        <w:t>nalysis, policy advice, technical programmes, advocacy and convening will be the main modalities of work of UN agencies, funds and programmes and will be carried out jointly as much as possible and when appropriate.</w:t>
      </w:r>
    </w:p>
    <w:p w14:paraId="7EA60DB2" w14:textId="09EE3357" w:rsidR="000A626C" w:rsidRPr="00841766" w:rsidRDefault="000B65D8" w:rsidP="00552AAD">
      <w:pPr>
        <w:autoSpaceDE w:val="0"/>
        <w:autoSpaceDN w:val="0"/>
        <w:adjustRightInd w:val="0"/>
        <w:jc w:val="both"/>
        <w:rPr>
          <w:rFonts w:eastAsia="Times New Roman" w:cstheme="minorHAnsi"/>
          <w:sz w:val="22"/>
          <w:szCs w:val="22"/>
          <w:lang w:val="en-US" w:eastAsia="fr-FR"/>
        </w:rPr>
      </w:pPr>
      <w:r>
        <w:rPr>
          <w:rFonts w:cstheme="minorHAnsi"/>
          <w:sz w:val="22"/>
          <w:szCs w:val="22"/>
          <w:lang w:val="en-US"/>
        </w:rPr>
        <w:t>The UN will support the Government to strengthen multi-stakeholder and multi-sectoral dialogue and coordination between the Government line ministries and development and humanitarian actors.</w:t>
      </w:r>
      <w:r w:rsidR="00BE61A0">
        <w:rPr>
          <w:rFonts w:cstheme="minorHAnsi"/>
          <w:sz w:val="22"/>
          <w:szCs w:val="22"/>
          <w:lang w:val="en-US"/>
        </w:rPr>
        <w:t xml:space="preserve">  These can be through revitalizing the SDGs Working Group</w:t>
      </w:r>
      <w:r w:rsidRPr="00841766" w:rsidDel="000B65D8">
        <w:rPr>
          <w:rFonts w:eastAsia="Times New Roman" w:cstheme="minorHAnsi"/>
          <w:sz w:val="22"/>
          <w:szCs w:val="22"/>
          <w:lang w:val="en-US" w:eastAsia="fr-FR"/>
        </w:rPr>
        <w:t xml:space="preserve"> </w:t>
      </w:r>
      <w:r w:rsidR="00BE61A0">
        <w:rPr>
          <w:rFonts w:eastAsia="Times New Roman" w:cstheme="minorHAnsi"/>
          <w:sz w:val="22"/>
          <w:szCs w:val="22"/>
          <w:lang w:val="en-US" w:eastAsia="fr-FR"/>
        </w:rPr>
        <w:t xml:space="preserve">and </w:t>
      </w:r>
      <w:r w:rsidR="00BE61A0" w:rsidRPr="00841766">
        <w:rPr>
          <w:rFonts w:eastAsia="Times New Roman" w:cstheme="minorHAnsi"/>
          <w:sz w:val="22"/>
          <w:szCs w:val="22"/>
          <w:lang w:val="en-US" w:eastAsia="fr-FR"/>
        </w:rPr>
        <w:t xml:space="preserve">strengthening of the Timor-Leste Development Partners Group, led by the Ministry of Finance.  </w:t>
      </w:r>
      <w:r>
        <w:rPr>
          <w:rFonts w:eastAsia="Times New Roman" w:cstheme="minorHAnsi"/>
          <w:sz w:val="22"/>
          <w:szCs w:val="22"/>
          <w:lang w:val="en-US" w:eastAsia="fr-FR"/>
        </w:rPr>
        <w:t>Building on existing sectoral coordination mechanisms</w:t>
      </w:r>
      <w:r w:rsidR="000A626C" w:rsidRPr="00841766">
        <w:rPr>
          <w:rFonts w:eastAsia="Times New Roman" w:cstheme="minorHAnsi"/>
          <w:sz w:val="22"/>
          <w:szCs w:val="22"/>
          <w:lang w:val="en-US" w:eastAsia="fr-FR"/>
        </w:rPr>
        <w:t xml:space="preserve">, </w:t>
      </w:r>
      <w:r w:rsidR="00E21AB1" w:rsidRPr="00841766">
        <w:rPr>
          <w:rFonts w:eastAsia="Times New Roman" w:cstheme="minorHAnsi"/>
          <w:sz w:val="22"/>
          <w:szCs w:val="22"/>
          <w:lang w:val="en-US" w:eastAsia="fr-FR"/>
        </w:rPr>
        <w:t xml:space="preserve">the </w:t>
      </w:r>
      <w:r w:rsidR="00E21AB1" w:rsidRPr="00841766">
        <w:rPr>
          <w:rFonts w:ascii="Calibri" w:eastAsia="Times New Roman" w:hAnsi="Calibri" w:cs="Calibri"/>
          <w:color w:val="000000"/>
          <w:sz w:val="22"/>
          <w:szCs w:val="22"/>
          <w:lang w:val="en-US" w:eastAsia="fr-FR"/>
        </w:rPr>
        <w:t>UN will support</w:t>
      </w:r>
      <w:r>
        <w:rPr>
          <w:rFonts w:ascii="Calibri" w:eastAsia="Times New Roman" w:hAnsi="Calibri" w:cs="Calibri"/>
          <w:color w:val="000000"/>
          <w:sz w:val="22"/>
          <w:szCs w:val="22"/>
          <w:lang w:val="en-US" w:eastAsia="fr-FR"/>
        </w:rPr>
        <w:t xml:space="preserve"> to strengthen</w:t>
      </w:r>
      <w:r w:rsidR="000376ED">
        <w:rPr>
          <w:rFonts w:ascii="Calibri" w:eastAsia="Times New Roman" w:hAnsi="Calibri" w:cs="Calibri"/>
          <w:color w:val="000000"/>
          <w:sz w:val="22"/>
          <w:szCs w:val="22"/>
          <w:lang w:val="en-US" w:eastAsia="fr-FR"/>
        </w:rPr>
        <w:t>/establish</w:t>
      </w:r>
      <w:r w:rsidR="00E21AB1" w:rsidRPr="00841766">
        <w:rPr>
          <w:rFonts w:ascii="Calibri" w:eastAsia="Times New Roman" w:hAnsi="Calibri" w:cs="Calibri"/>
          <w:color w:val="000000"/>
          <w:sz w:val="22"/>
          <w:szCs w:val="22"/>
          <w:lang w:val="en-US" w:eastAsia="fr-FR"/>
        </w:rPr>
        <w:t xml:space="preserve"> such mechanisms whe</w:t>
      </w:r>
      <w:r w:rsidR="000376ED">
        <w:rPr>
          <w:rFonts w:ascii="Calibri" w:eastAsia="Times New Roman" w:hAnsi="Calibri" w:cs="Calibri"/>
          <w:color w:val="000000"/>
          <w:sz w:val="22"/>
          <w:szCs w:val="22"/>
          <w:lang w:val="en-US" w:eastAsia="fr-FR"/>
        </w:rPr>
        <w:t>re</w:t>
      </w:r>
      <w:r w:rsidR="00E21AB1" w:rsidRPr="00841766">
        <w:rPr>
          <w:rFonts w:ascii="Calibri" w:eastAsia="Times New Roman" w:hAnsi="Calibri" w:cs="Calibri"/>
          <w:color w:val="000000"/>
          <w:sz w:val="22"/>
          <w:szCs w:val="22"/>
          <w:lang w:val="en-US" w:eastAsia="fr-FR"/>
        </w:rPr>
        <w:t xml:space="preserve"> they do not exist or are not functioning well. </w:t>
      </w:r>
      <w:r w:rsidR="000376ED">
        <w:rPr>
          <w:rFonts w:ascii="Calibri" w:eastAsia="Times New Roman" w:hAnsi="Calibri" w:cs="Calibri"/>
          <w:color w:val="000000"/>
          <w:sz w:val="22"/>
          <w:szCs w:val="22"/>
          <w:lang w:val="en-US" w:eastAsia="fr-FR"/>
        </w:rPr>
        <w:t xml:space="preserve"> </w:t>
      </w:r>
      <w:r w:rsidR="000A626C" w:rsidRPr="00841766">
        <w:rPr>
          <w:rFonts w:eastAsia="Times New Roman" w:cstheme="minorHAnsi"/>
          <w:sz w:val="22"/>
          <w:szCs w:val="22"/>
          <w:lang w:val="en-US" w:eastAsia="fr-FR"/>
        </w:rPr>
        <w:t>In case of any coordination gap, avenues to reconfigure existing structures will be explored</w:t>
      </w:r>
      <w:r w:rsidR="00292E24" w:rsidRPr="00841766">
        <w:rPr>
          <w:rStyle w:val="FootnoteReference"/>
          <w:rFonts w:eastAsia="Times New Roman" w:cstheme="minorHAnsi"/>
          <w:sz w:val="22"/>
          <w:szCs w:val="22"/>
          <w:lang w:val="en-US" w:eastAsia="fr-FR"/>
        </w:rPr>
        <w:footnoteReference w:id="68"/>
      </w:r>
      <w:r w:rsidR="00354CB3" w:rsidRPr="00841766">
        <w:rPr>
          <w:rFonts w:eastAsia="Times New Roman" w:cstheme="minorHAnsi"/>
          <w:sz w:val="22"/>
          <w:szCs w:val="22"/>
          <w:lang w:val="en-US" w:eastAsia="fr-FR"/>
        </w:rPr>
        <w:t xml:space="preserve">. </w:t>
      </w:r>
      <w:r w:rsidR="000376ED">
        <w:rPr>
          <w:rFonts w:eastAsia="Times New Roman" w:cstheme="minorHAnsi"/>
          <w:sz w:val="22"/>
          <w:szCs w:val="22"/>
          <w:lang w:val="en-US" w:eastAsia="fr-FR"/>
        </w:rPr>
        <w:t xml:space="preserve"> </w:t>
      </w:r>
      <w:r w:rsidR="00BE61A0">
        <w:rPr>
          <w:rFonts w:eastAsia="Times New Roman" w:cstheme="minorHAnsi"/>
          <w:sz w:val="22"/>
          <w:szCs w:val="22"/>
          <w:lang w:val="en-US" w:eastAsia="fr-FR"/>
        </w:rPr>
        <w:t>For example, c</w:t>
      </w:r>
      <w:r w:rsidR="00354CB3" w:rsidRPr="00841766">
        <w:rPr>
          <w:rFonts w:eastAsia="Times New Roman" w:cstheme="minorHAnsi"/>
          <w:sz w:val="22"/>
          <w:szCs w:val="22"/>
          <w:lang w:val="en-US" w:eastAsia="fr-FR"/>
        </w:rPr>
        <w:t>oordination with partners in the area of social protection will be reviewed in line with the UNDG guidance</w:t>
      </w:r>
      <w:r w:rsidR="00354CB3" w:rsidRPr="00841766">
        <w:rPr>
          <w:rStyle w:val="FootnoteReference"/>
          <w:rFonts w:eastAsia="Times New Roman" w:cstheme="minorHAnsi"/>
          <w:sz w:val="22"/>
          <w:szCs w:val="22"/>
          <w:lang w:val="en-US" w:eastAsia="fr-FR"/>
        </w:rPr>
        <w:footnoteReference w:id="69"/>
      </w:r>
      <w:r w:rsidR="00BE61A0">
        <w:rPr>
          <w:rFonts w:eastAsia="Times New Roman" w:cstheme="minorHAnsi"/>
          <w:sz w:val="22"/>
          <w:szCs w:val="22"/>
          <w:lang w:val="en-US" w:eastAsia="fr-FR"/>
        </w:rPr>
        <w:t xml:space="preserve">, </w:t>
      </w:r>
      <w:r w:rsidR="00BE61A0" w:rsidRPr="00714227">
        <w:rPr>
          <w:rFonts w:eastAsia="Times New Roman" w:cstheme="minorHAnsi"/>
          <w:sz w:val="22"/>
          <w:szCs w:val="22"/>
          <w:lang w:val="en-US" w:eastAsia="fr-FR"/>
        </w:rPr>
        <w:t>to garner coordinated support to implement the new National Social Protection Strategy.</w:t>
      </w:r>
      <w:r w:rsidR="00266F47">
        <w:rPr>
          <w:rFonts w:eastAsia="Times New Roman" w:cstheme="minorHAnsi"/>
          <w:sz w:val="22"/>
          <w:szCs w:val="22"/>
          <w:lang w:val="en-US" w:eastAsia="fr-FR"/>
        </w:rPr>
        <w:t xml:space="preserve">  Municipality level coordination will also be reviewed and strengthened as appropriate.</w:t>
      </w:r>
    </w:p>
    <w:p w14:paraId="43686544" w14:textId="77777777" w:rsidR="000A626C" w:rsidRPr="00841766" w:rsidRDefault="000A626C" w:rsidP="00552AAD">
      <w:pPr>
        <w:autoSpaceDE w:val="0"/>
        <w:autoSpaceDN w:val="0"/>
        <w:adjustRightInd w:val="0"/>
        <w:jc w:val="both"/>
        <w:rPr>
          <w:rFonts w:eastAsia="Times New Roman" w:cstheme="minorHAnsi"/>
          <w:sz w:val="22"/>
          <w:szCs w:val="22"/>
          <w:lang w:val="en-US" w:eastAsia="fr-FR"/>
        </w:rPr>
      </w:pPr>
    </w:p>
    <w:p w14:paraId="72916030" w14:textId="1C261437" w:rsidR="000A626C" w:rsidRPr="00841766" w:rsidRDefault="00485F17" w:rsidP="00552AAD">
      <w:pPr>
        <w:jc w:val="both"/>
        <w:rPr>
          <w:rFonts w:eastAsia="Times New Roman" w:cstheme="minorHAnsi"/>
          <w:sz w:val="22"/>
          <w:szCs w:val="22"/>
          <w:lang w:val="en-US" w:eastAsia="fr-FR"/>
        </w:rPr>
      </w:pPr>
      <w:r>
        <w:rPr>
          <w:rFonts w:eastAsia="Times New Roman" w:cstheme="minorHAnsi"/>
          <w:sz w:val="22"/>
          <w:szCs w:val="22"/>
          <w:lang w:val="en-US" w:eastAsia="fr-FR"/>
        </w:rPr>
        <w:t xml:space="preserve">The UN </w:t>
      </w:r>
      <w:r w:rsidR="000A626C" w:rsidRPr="00841766">
        <w:rPr>
          <w:rFonts w:eastAsia="Times New Roman" w:cstheme="minorHAnsi"/>
          <w:sz w:val="22"/>
          <w:szCs w:val="22"/>
          <w:lang w:val="en-US" w:eastAsia="fr-FR"/>
        </w:rPr>
        <w:t xml:space="preserve">in </w:t>
      </w:r>
      <w:r w:rsidR="00927A3B" w:rsidRPr="00841766">
        <w:rPr>
          <w:rFonts w:eastAsia="Times New Roman" w:cstheme="minorHAnsi"/>
          <w:sz w:val="22"/>
          <w:szCs w:val="22"/>
          <w:lang w:val="en-US" w:eastAsia="fr-FR"/>
        </w:rPr>
        <w:t>Timor-Leste</w:t>
      </w:r>
      <w:r w:rsidR="000A626C" w:rsidRPr="00841766">
        <w:rPr>
          <w:rFonts w:eastAsia="Times New Roman" w:cstheme="minorHAnsi"/>
          <w:sz w:val="22"/>
          <w:szCs w:val="22"/>
          <w:lang w:val="en-US" w:eastAsia="fr-FR"/>
        </w:rPr>
        <w:t xml:space="preserve"> will also convene, facilitate and leverage strategic engagement of a broad range of state and non-state partners.  In line with the recommendations of the evaluation of the UNDAF 2015-2020, the UN in </w:t>
      </w:r>
      <w:r w:rsidR="00927A3B" w:rsidRPr="00841766">
        <w:rPr>
          <w:rFonts w:eastAsia="Times New Roman" w:cstheme="minorHAnsi"/>
          <w:sz w:val="22"/>
          <w:szCs w:val="22"/>
          <w:lang w:val="en-US" w:eastAsia="fr-FR"/>
        </w:rPr>
        <w:t>Timor-Leste</w:t>
      </w:r>
      <w:r w:rsidR="000A626C" w:rsidRPr="00841766">
        <w:rPr>
          <w:rFonts w:eastAsia="Times New Roman" w:cstheme="minorHAnsi"/>
          <w:sz w:val="22"/>
          <w:szCs w:val="22"/>
          <w:lang w:val="en-US" w:eastAsia="fr-FR"/>
        </w:rPr>
        <w:t xml:space="preserve"> will play a role in fostering dialogue among partners</w:t>
      </w:r>
      <w:r w:rsidR="00F76984">
        <w:rPr>
          <w:rFonts w:eastAsia="Times New Roman" w:cstheme="minorHAnsi"/>
          <w:sz w:val="22"/>
          <w:szCs w:val="22"/>
          <w:lang w:val="en-US" w:eastAsia="fr-FR"/>
        </w:rPr>
        <w:t>,</w:t>
      </w:r>
      <w:r w:rsidR="000A626C" w:rsidRPr="00841766">
        <w:rPr>
          <w:rFonts w:eastAsia="Times New Roman" w:cstheme="minorHAnsi"/>
          <w:sz w:val="22"/>
          <w:szCs w:val="22"/>
          <w:lang w:val="en-US" w:eastAsia="fr-FR"/>
        </w:rPr>
        <w:t xml:space="preserve"> beyond the traditional institutional partners. </w:t>
      </w:r>
      <w:r>
        <w:rPr>
          <w:rFonts w:eastAsia="Times New Roman" w:cstheme="minorHAnsi"/>
          <w:sz w:val="22"/>
          <w:szCs w:val="22"/>
          <w:lang w:val="en-US" w:eastAsia="fr-FR"/>
        </w:rPr>
        <w:t xml:space="preserve"> </w:t>
      </w:r>
      <w:r w:rsidR="000A626C" w:rsidRPr="00841766">
        <w:rPr>
          <w:rFonts w:eastAsia="Times New Roman" w:cstheme="minorHAnsi"/>
          <w:sz w:val="22"/>
          <w:szCs w:val="22"/>
          <w:lang w:val="en-US" w:eastAsia="fr-FR"/>
        </w:rPr>
        <w:t xml:space="preserve">The possibility of setting-up a </w:t>
      </w:r>
      <w:r>
        <w:rPr>
          <w:rFonts w:eastAsia="Times New Roman" w:cstheme="minorHAnsi"/>
          <w:sz w:val="22"/>
          <w:szCs w:val="22"/>
          <w:lang w:val="en-US" w:eastAsia="fr-FR"/>
        </w:rPr>
        <w:t>G</w:t>
      </w:r>
      <w:r w:rsidR="000A626C" w:rsidRPr="00841766">
        <w:rPr>
          <w:rFonts w:eastAsia="Times New Roman" w:cstheme="minorHAnsi"/>
          <w:sz w:val="22"/>
          <w:szCs w:val="22"/>
          <w:lang w:val="en-US" w:eastAsia="fr-FR"/>
        </w:rPr>
        <w:t xml:space="preserve">overnment-led SDG platform all development actors including the private sector will be explored. </w:t>
      </w:r>
      <w:r>
        <w:rPr>
          <w:rFonts w:eastAsia="Times New Roman" w:cstheme="minorHAnsi"/>
          <w:sz w:val="22"/>
          <w:szCs w:val="22"/>
          <w:lang w:val="en-US" w:eastAsia="fr-FR"/>
        </w:rPr>
        <w:t xml:space="preserve"> </w:t>
      </w:r>
      <w:r w:rsidR="000A626C" w:rsidRPr="00841766">
        <w:rPr>
          <w:rFonts w:eastAsia="Times New Roman" w:cstheme="minorHAnsi"/>
          <w:sz w:val="22"/>
          <w:szCs w:val="22"/>
          <w:lang w:val="en-US" w:eastAsia="fr-FR"/>
        </w:rPr>
        <w:t xml:space="preserve">This platform would be a place to collaborate and discuss innovative solutions pertaining to the challenges of Timor-Leste’s sustainable development, and to generate partnerships to finance social innovation SDGs including public-private partnership with social impact investors. </w:t>
      </w:r>
      <w:r>
        <w:rPr>
          <w:rFonts w:eastAsia="Times New Roman" w:cstheme="minorHAnsi"/>
          <w:sz w:val="22"/>
          <w:szCs w:val="22"/>
          <w:lang w:val="en-US" w:eastAsia="fr-FR"/>
        </w:rPr>
        <w:t xml:space="preserve"> S</w:t>
      </w:r>
      <w:r w:rsidR="000A626C" w:rsidRPr="00841766">
        <w:rPr>
          <w:rFonts w:eastAsia="Times New Roman" w:cstheme="minorHAnsi"/>
          <w:sz w:val="22"/>
          <w:szCs w:val="22"/>
          <w:lang w:val="en-US" w:eastAsia="fr-FR"/>
        </w:rPr>
        <w:t xml:space="preserve">uch platform </w:t>
      </w:r>
      <w:r>
        <w:rPr>
          <w:rFonts w:eastAsia="Times New Roman" w:cstheme="minorHAnsi"/>
          <w:sz w:val="22"/>
          <w:szCs w:val="22"/>
          <w:lang w:val="en-US" w:eastAsia="fr-FR"/>
        </w:rPr>
        <w:t>can be used to</w:t>
      </w:r>
      <w:r w:rsidR="000A626C" w:rsidRPr="00841766">
        <w:rPr>
          <w:rFonts w:eastAsia="Times New Roman" w:cstheme="minorHAnsi"/>
          <w:sz w:val="22"/>
          <w:szCs w:val="22"/>
          <w:lang w:val="en-US" w:eastAsia="fr-FR"/>
        </w:rPr>
        <w:t xml:space="preserve"> identify opportunities for aligning profit generation with the acceleration of progress towards Timor-Leste’s sustainable development priorities. </w:t>
      </w:r>
    </w:p>
    <w:p w14:paraId="4E240BA5" w14:textId="77777777" w:rsidR="000A626C" w:rsidRPr="00841766" w:rsidRDefault="000A626C" w:rsidP="00552AAD">
      <w:pPr>
        <w:autoSpaceDE w:val="0"/>
        <w:autoSpaceDN w:val="0"/>
        <w:adjustRightInd w:val="0"/>
        <w:jc w:val="both"/>
        <w:rPr>
          <w:rFonts w:cstheme="minorHAnsi"/>
          <w:sz w:val="22"/>
          <w:szCs w:val="22"/>
          <w:lang w:val="en-US"/>
        </w:rPr>
      </w:pPr>
    </w:p>
    <w:p w14:paraId="57DF9CAB" w14:textId="77777777" w:rsidR="000A626C" w:rsidRPr="00841766" w:rsidRDefault="000A626C" w:rsidP="004C515B">
      <w:pPr>
        <w:pStyle w:val="Heading2"/>
        <w:rPr>
          <w:rFonts w:asciiTheme="minorHAnsi" w:hAnsiTheme="minorHAnsi"/>
          <w:sz w:val="28"/>
          <w:lang w:val="en-US"/>
        </w:rPr>
      </w:pPr>
      <w:bookmarkStart w:id="121" w:name="_Toc29550742"/>
      <w:bookmarkStart w:id="122" w:name="_Toc40265809"/>
      <w:r w:rsidRPr="00841766">
        <w:rPr>
          <w:rFonts w:asciiTheme="minorHAnsi" w:hAnsiTheme="minorHAnsi"/>
          <w:sz w:val="28"/>
          <w:lang w:val="en-US"/>
        </w:rPr>
        <w:t>3.2. Joint workplans</w:t>
      </w:r>
      <w:bookmarkEnd w:id="121"/>
      <w:bookmarkEnd w:id="122"/>
    </w:p>
    <w:p w14:paraId="2B430D79" w14:textId="6B73585E" w:rsidR="000A626C" w:rsidRDefault="000A626C" w:rsidP="00552AAD">
      <w:pPr>
        <w:jc w:val="both"/>
        <w:rPr>
          <w:rFonts w:cstheme="minorHAnsi"/>
          <w:sz w:val="22"/>
          <w:szCs w:val="22"/>
          <w:lang w:val="en-US"/>
        </w:rPr>
      </w:pPr>
      <w:r w:rsidRPr="00841766">
        <w:rPr>
          <w:rFonts w:cstheme="minorHAnsi"/>
          <w:sz w:val="22"/>
          <w:szCs w:val="22"/>
          <w:lang w:val="en-US"/>
        </w:rPr>
        <w:t xml:space="preserve">The </w:t>
      </w:r>
      <w:r w:rsidR="00373BFA">
        <w:rPr>
          <w:rFonts w:cstheme="minorHAnsi"/>
          <w:sz w:val="22"/>
          <w:szCs w:val="22"/>
          <w:lang w:val="en-US"/>
        </w:rPr>
        <w:t xml:space="preserve">UNSDCF </w:t>
      </w:r>
      <w:r w:rsidRPr="00841766">
        <w:rPr>
          <w:rFonts w:cstheme="minorHAnsi"/>
          <w:sz w:val="22"/>
          <w:szCs w:val="22"/>
          <w:lang w:val="en-US"/>
        </w:rPr>
        <w:t xml:space="preserve">will be </w:t>
      </w:r>
      <w:r w:rsidR="00373BFA">
        <w:rPr>
          <w:rFonts w:cstheme="minorHAnsi"/>
          <w:sz w:val="22"/>
          <w:szCs w:val="22"/>
          <w:lang w:val="en-US"/>
        </w:rPr>
        <w:t>operationaliz</w:t>
      </w:r>
      <w:r w:rsidRPr="00841766">
        <w:rPr>
          <w:rFonts w:cstheme="minorHAnsi"/>
          <w:sz w:val="22"/>
          <w:szCs w:val="22"/>
          <w:lang w:val="en-US"/>
        </w:rPr>
        <w:t xml:space="preserve">ed through </w:t>
      </w:r>
      <w:r w:rsidR="005F35C6">
        <w:rPr>
          <w:rFonts w:cstheme="minorHAnsi"/>
          <w:sz w:val="22"/>
          <w:szCs w:val="22"/>
          <w:lang w:val="en-US"/>
        </w:rPr>
        <w:t xml:space="preserve">the </w:t>
      </w:r>
      <w:r w:rsidRPr="00841766">
        <w:rPr>
          <w:rFonts w:cstheme="minorHAnsi"/>
          <w:sz w:val="22"/>
          <w:szCs w:val="22"/>
          <w:lang w:val="en-US"/>
        </w:rPr>
        <w:t>joint work</w:t>
      </w:r>
      <w:r w:rsidR="005F35C6">
        <w:rPr>
          <w:rFonts w:cstheme="minorHAnsi"/>
          <w:sz w:val="22"/>
          <w:szCs w:val="22"/>
          <w:lang w:val="en-US"/>
        </w:rPr>
        <w:t xml:space="preserve"> </w:t>
      </w:r>
      <w:r w:rsidRPr="00841766">
        <w:rPr>
          <w:rFonts w:cstheme="minorHAnsi"/>
          <w:sz w:val="22"/>
          <w:szCs w:val="22"/>
          <w:lang w:val="en-US"/>
        </w:rPr>
        <w:t>plans</w:t>
      </w:r>
      <w:r w:rsidR="005F35C6">
        <w:rPr>
          <w:rFonts w:cstheme="minorHAnsi"/>
          <w:sz w:val="22"/>
          <w:szCs w:val="22"/>
          <w:lang w:val="en-US"/>
        </w:rPr>
        <w:t xml:space="preserve"> of the six Results Groups.  The joint work plans</w:t>
      </w:r>
      <w:r w:rsidRPr="00841766">
        <w:rPr>
          <w:rFonts w:cstheme="minorHAnsi"/>
          <w:sz w:val="22"/>
          <w:szCs w:val="22"/>
          <w:lang w:val="en-US"/>
        </w:rPr>
        <w:t xml:space="preserve"> will capture</w:t>
      </w:r>
      <w:r w:rsidR="005F35C6">
        <w:rPr>
          <w:rFonts w:cstheme="minorHAnsi"/>
          <w:sz w:val="22"/>
          <w:szCs w:val="22"/>
          <w:lang w:val="en-US"/>
        </w:rPr>
        <w:t xml:space="preserve"> “how” the UN will be jointly working to deliver the intended development results.  The UN </w:t>
      </w:r>
      <w:r w:rsidRPr="00841766">
        <w:rPr>
          <w:rFonts w:cstheme="minorHAnsi"/>
          <w:sz w:val="22"/>
          <w:szCs w:val="22"/>
          <w:lang w:val="en-US"/>
        </w:rPr>
        <w:t>will be accountable</w:t>
      </w:r>
      <w:r w:rsidR="005F35C6">
        <w:rPr>
          <w:rFonts w:cstheme="minorHAnsi"/>
          <w:sz w:val="22"/>
          <w:szCs w:val="22"/>
          <w:lang w:val="en-US"/>
        </w:rPr>
        <w:t xml:space="preserve"> for the outputs that are articulated in the joint work plans</w:t>
      </w:r>
      <w:r w:rsidRPr="00841766">
        <w:rPr>
          <w:rFonts w:cstheme="minorHAnsi"/>
          <w:sz w:val="22"/>
          <w:szCs w:val="22"/>
          <w:lang w:val="en-US"/>
        </w:rPr>
        <w:t>.</w:t>
      </w:r>
    </w:p>
    <w:p w14:paraId="4477BB74" w14:textId="77777777" w:rsidR="005F35C6" w:rsidRPr="00841766" w:rsidRDefault="005F35C6" w:rsidP="00552AAD">
      <w:pPr>
        <w:jc w:val="both"/>
        <w:rPr>
          <w:rFonts w:cstheme="minorHAnsi"/>
          <w:sz w:val="22"/>
          <w:szCs w:val="22"/>
          <w:lang w:val="en-US"/>
        </w:rPr>
      </w:pPr>
    </w:p>
    <w:p w14:paraId="3D9ED276" w14:textId="6F43D492" w:rsidR="005F35C6" w:rsidRDefault="000A626C" w:rsidP="00552AAD">
      <w:pPr>
        <w:jc w:val="both"/>
        <w:rPr>
          <w:rFonts w:cstheme="minorHAnsi"/>
          <w:sz w:val="22"/>
          <w:szCs w:val="22"/>
          <w:lang w:val="en-US"/>
        </w:rPr>
      </w:pPr>
      <w:r w:rsidRPr="00841766">
        <w:rPr>
          <w:rFonts w:cstheme="minorHAnsi"/>
          <w:sz w:val="22"/>
          <w:szCs w:val="22"/>
          <w:lang w:val="en-US"/>
        </w:rPr>
        <w:t>More specifically, these outputs will contribute to progress under each sub-outcome in the</w:t>
      </w:r>
      <w:r w:rsidR="005F35C6">
        <w:rPr>
          <w:rFonts w:cstheme="minorHAnsi"/>
          <w:sz w:val="22"/>
          <w:szCs w:val="22"/>
          <w:lang w:val="en-US"/>
        </w:rPr>
        <w:t xml:space="preserve"> UNSDCF Result Matrix</w:t>
      </w:r>
      <w:r w:rsidRPr="00841766">
        <w:rPr>
          <w:rFonts w:cstheme="minorHAnsi"/>
          <w:sz w:val="22"/>
          <w:szCs w:val="22"/>
          <w:lang w:val="en-US"/>
        </w:rPr>
        <w:t xml:space="preserve">. </w:t>
      </w:r>
      <w:r w:rsidR="005F35C6">
        <w:rPr>
          <w:rFonts w:cstheme="minorHAnsi"/>
          <w:sz w:val="22"/>
          <w:szCs w:val="22"/>
          <w:lang w:val="en-US"/>
        </w:rPr>
        <w:t xml:space="preserve"> </w:t>
      </w:r>
      <w:r w:rsidRPr="00841766">
        <w:rPr>
          <w:rFonts w:cstheme="minorHAnsi"/>
          <w:sz w:val="22"/>
          <w:szCs w:val="22"/>
          <w:lang w:val="en-US"/>
        </w:rPr>
        <w:t xml:space="preserve">Jointly identified by the six </w:t>
      </w:r>
      <w:r w:rsidR="005F35C6">
        <w:rPr>
          <w:rFonts w:cstheme="minorHAnsi"/>
          <w:sz w:val="22"/>
          <w:szCs w:val="22"/>
          <w:lang w:val="en-US"/>
        </w:rPr>
        <w:t>R</w:t>
      </w:r>
      <w:r w:rsidRPr="00841766">
        <w:rPr>
          <w:rFonts w:cstheme="minorHAnsi"/>
          <w:sz w:val="22"/>
          <w:szCs w:val="22"/>
          <w:lang w:val="en-US"/>
        </w:rPr>
        <w:t xml:space="preserve">esults </w:t>
      </w:r>
      <w:r w:rsidR="005F35C6">
        <w:rPr>
          <w:rFonts w:cstheme="minorHAnsi"/>
          <w:sz w:val="22"/>
          <w:szCs w:val="22"/>
          <w:lang w:val="en-US"/>
        </w:rPr>
        <w:t>G</w:t>
      </w:r>
      <w:r w:rsidRPr="00841766">
        <w:rPr>
          <w:rFonts w:cstheme="minorHAnsi"/>
          <w:sz w:val="22"/>
          <w:szCs w:val="22"/>
          <w:lang w:val="en-US"/>
        </w:rPr>
        <w:t>roups</w:t>
      </w:r>
      <w:r w:rsidR="005F35C6">
        <w:rPr>
          <w:rFonts w:cstheme="minorHAnsi"/>
          <w:sz w:val="22"/>
          <w:szCs w:val="22"/>
          <w:lang w:val="en-US"/>
        </w:rPr>
        <w:t xml:space="preserve"> and their partners</w:t>
      </w:r>
      <w:r w:rsidRPr="00841766">
        <w:rPr>
          <w:rFonts w:cstheme="minorHAnsi"/>
          <w:sz w:val="22"/>
          <w:szCs w:val="22"/>
          <w:lang w:val="en-US"/>
        </w:rPr>
        <w:t>, these outputs will be implemented by one or m</w:t>
      </w:r>
      <w:r w:rsidR="005F35C6">
        <w:rPr>
          <w:rFonts w:cstheme="minorHAnsi"/>
          <w:sz w:val="22"/>
          <w:szCs w:val="22"/>
          <w:lang w:val="en-US"/>
        </w:rPr>
        <w:t>ore</w:t>
      </w:r>
      <w:r w:rsidRPr="00841766">
        <w:rPr>
          <w:rFonts w:cstheme="minorHAnsi"/>
          <w:sz w:val="22"/>
          <w:szCs w:val="22"/>
          <w:lang w:val="en-US"/>
        </w:rPr>
        <w:t xml:space="preserve"> agencies. </w:t>
      </w:r>
      <w:r w:rsidR="005F35C6">
        <w:rPr>
          <w:rFonts w:cstheme="minorHAnsi"/>
          <w:sz w:val="22"/>
          <w:szCs w:val="22"/>
          <w:lang w:val="en-US"/>
        </w:rPr>
        <w:t xml:space="preserve"> </w:t>
      </w:r>
      <w:r w:rsidRPr="00841766">
        <w:rPr>
          <w:rFonts w:cstheme="minorHAnsi"/>
          <w:sz w:val="22"/>
          <w:szCs w:val="22"/>
          <w:lang w:val="en-US"/>
        </w:rPr>
        <w:t xml:space="preserve">When </w:t>
      </w:r>
      <w:r w:rsidR="005F35C6">
        <w:rPr>
          <w:rFonts w:cstheme="minorHAnsi"/>
          <w:sz w:val="22"/>
          <w:szCs w:val="22"/>
          <w:lang w:val="en-US"/>
        </w:rPr>
        <w:t>multiple</w:t>
      </w:r>
      <w:r w:rsidRPr="00841766">
        <w:rPr>
          <w:rFonts w:cstheme="minorHAnsi"/>
          <w:sz w:val="22"/>
          <w:szCs w:val="22"/>
          <w:lang w:val="en-US"/>
        </w:rPr>
        <w:t xml:space="preserve"> UN agencies are involved in the delivery of </w:t>
      </w:r>
      <w:r w:rsidR="005F35C6">
        <w:rPr>
          <w:rFonts w:cstheme="minorHAnsi"/>
          <w:sz w:val="22"/>
          <w:szCs w:val="22"/>
          <w:lang w:val="en-US"/>
        </w:rPr>
        <w:t>one</w:t>
      </w:r>
      <w:r w:rsidRPr="00841766">
        <w:rPr>
          <w:rFonts w:cstheme="minorHAnsi"/>
          <w:sz w:val="22"/>
          <w:szCs w:val="22"/>
          <w:lang w:val="en-US"/>
        </w:rPr>
        <w:t xml:space="preserve"> output, UN agencies will examine the need for joint delivery and seek to maximize synergies and leverage complementarities</w:t>
      </w:r>
      <w:r w:rsidR="005F35C6">
        <w:rPr>
          <w:rFonts w:cstheme="minorHAnsi"/>
          <w:sz w:val="22"/>
          <w:szCs w:val="22"/>
          <w:lang w:val="en-US"/>
        </w:rPr>
        <w:t>, including</w:t>
      </w:r>
      <w:r w:rsidRPr="00841766">
        <w:rPr>
          <w:rFonts w:cstheme="minorHAnsi"/>
          <w:sz w:val="22"/>
          <w:szCs w:val="22"/>
          <w:lang w:val="en-US"/>
        </w:rPr>
        <w:t xml:space="preserve"> through joint programmes</w:t>
      </w:r>
      <w:r w:rsidRPr="00841766">
        <w:rPr>
          <w:rStyle w:val="FootnoteReference"/>
          <w:rFonts w:cstheme="minorHAnsi"/>
          <w:sz w:val="22"/>
          <w:szCs w:val="22"/>
          <w:lang w:val="en-US"/>
        </w:rPr>
        <w:footnoteReference w:id="70"/>
      </w:r>
      <w:r w:rsidR="005F35C6">
        <w:rPr>
          <w:rFonts w:cstheme="minorHAnsi"/>
          <w:sz w:val="22"/>
          <w:szCs w:val="22"/>
          <w:lang w:val="en-US"/>
        </w:rPr>
        <w:t xml:space="preserve"> where appropriate</w:t>
      </w:r>
      <w:r w:rsidRPr="00841766">
        <w:rPr>
          <w:rFonts w:cstheme="minorHAnsi"/>
          <w:sz w:val="22"/>
          <w:szCs w:val="22"/>
          <w:lang w:val="en-US"/>
        </w:rPr>
        <w:t>.</w:t>
      </w:r>
    </w:p>
    <w:p w14:paraId="4668B446" w14:textId="78CF23D6" w:rsidR="000A626C" w:rsidRPr="00841766" w:rsidRDefault="000A626C" w:rsidP="00552AAD">
      <w:pPr>
        <w:jc w:val="both"/>
        <w:rPr>
          <w:rFonts w:cstheme="minorHAnsi"/>
          <w:sz w:val="22"/>
          <w:szCs w:val="22"/>
          <w:lang w:val="en-US"/>
        </w:rPr>
      </w:pPr>
      <w:r w:rsidRPr="00841766">
        <w:rPr>
          <w:rFonts w:cstheme="minorHAnsi"/>
          <w:sz w:val="22"/>
          <w:szCs w:val="22"/>
          <w:lang w:val="en-US"/>
        </w:rPr>
        <w:t xml:space="preserve"> </w:t>
      </w:r>
    </w:p>
    <w:p w14:paraId="39D8A8B0" w14:textId="6B248ED3" w:rsidR="000A626C" w:rsidRPr="00841766" w:rsidRDefault="000A626C" w:rsidP="00552AAD">
      <w:pPr>
        <w:jc w:val="both"/>
        <w:rPr>
          <w:rFonts w:cstheme="minorHAnsi"/>
          <w:sz w:val="22"/>
          <w:szCs w:val="22"/>
          <w:lang w:val="en-US"/>
        </w:rPr>
      </w:pPr>
      <w:r w:rsidRPr="00841766">
        <w:rPr>
          <w:rFonts w:cstheme="minorHAnsi"/>
          <w:sz w:val="22"/>
          <w:szCs w:val="22"/>
          <w:lang w:val="en-US"/>
        </w:rPr>
        <w:t xml:space="preserve">Developed during the last year before the beginning of the </w:t>
      </w:r>
      <w:r w:rsidR="005F35C6">
        <w:rPr>
          <w:rFonts w:cstheme="minorHAnsi"/>
          <w:sz w:val="22"/>
          <w:szCs w:val="22"/>
          <w:lang w:val="en-US"/>
        </w:rPr>
        <w:t xml:space="preserve">UNSDCF </w:t>
      </w:r>
      <w:r w:rsidRPr="00841766">
        <w:rPr>
          <w:rFonts w:cstheme="minorHAnsi"/>
          <w:sz w:val="22"/>
          <w:szCs w:val="22"/>
          <w:lang w:val="en-US"/>
        </w:rPr>
        <w:t>cycle, these work</w:t>
      </w:r>
      <w:r w:rsidR="005F35C6">
        <w:rPr>
          <w:rFonts w:cstheme="minorHAnsi"/>
          <w:sz w:val="22"/>
          <w:szCs w:val="22"/>
          <w:lang w:val="en-US"/>
        </w:rPr>
        <w:t xml:space="preserve"> </w:t>
      </w:r>
      <w:r w:rsidRPr="00841766">
        <w:rPr>
          <w:rFonts w:cstheme="minorHAnsi"/>
          <w:sz w:val="22"/>
          <w:szCs w:val="22"/>
          <w:lang w:val="en-US"/>
        </w:rPr>
        <w:t xml:space="preserve">plans will serve as the main tool for the UN </w:t>
      </w:r>
      <w:r w:rsidR="005F35C6">
        <w:rPr>
          <w:rFonts w:cstheme="minorHAnsi"/>
          <w:sz w:val="22"/>
          <w:szCs w:val="22"/>
          <w:lang w:val="en-US"/>
        </w:rPr>
        <w:t xml:space="preserve">in Timor-Leste </w:t>
      </w:r>
      <w:r w:rsidRPr="00841766">
        <w:rPr>
          <w:rFonts w:cstheme="minorHAnsi"/>
          <w:sz w:val="22"/>
          <w:szCs w:val="22"/>
          <w:lang w:val="en-US"/>
        </w:rPr>
        <w:t xml:space="preserve">to carry out programming, </w:t>
      </w:r>
      <w:r w:rsidR="005F35C6">
        <w:rPr>
          <w:rFonts w:cstheme="minorHAnsi"/>
          <w:sz w:val="22"/>
          <w:szCs w:val="22"/>
          <w:lang w:val="en-US"/>
        </w:rPr>
        <w:t>resource mobilization</w:t>
      </w:r>
      <w:r w:rsidRPr="00841766">
        <w:rPr>
          <w:rFonts w:cstheme="minorHAnsi"/>
          <w:sz w:val="22"/>
          <w:szCs w:val="22"/>
          <w:lang w:val="en-US"/>
        </w:rPr>
        <w:t xml:space="preserve">, monitoring and reporting activities in a joint manner. </w:t>
      </w:r>
    </w:p>
    <w:p w14:paraId="0085F22B" w14:textId="77777777" w:rsidR="000A626C" w:rsidRPr="00841766" w:rsidRDefault="000A626C" w:rsidP="004C515B">
      <w:pPr>
        <w:pStyle w:val="Heading2"/>
        <w:rPr>
          <w:rFonts w:asciiTheme="minorHAnsi" w:hAnsiTheme="minorHAnsi"/>
          <w:sz w:val="28"/>
          <w:szCs w:val="28"/>
          <w:lang w:val="en-US"/>
        </w:rPr>
      </w:pPr>
      <w:bookmarkStart w:id="123" w:name="_Toc29550743"/>
      <w:bookmarkStart w:id="124" w:name="_Toc40265810"/>
      <w:r w:rsidRPr="00841766">
        <w:rPr>
          <w:rFonts w:asciiTheme="minorHAnsi" w:hAnsiTheme="minorHAnsi"/>
          <w:sz w:val="28"/>
          <w:szCs w:val="28"/>
          <w:lang w:val="en-US"/>
        </w:rPr>
        <w:lastRenderedPageBreak/>
        <w:t>3.3. Governance</w:t>
      </w:r>
      <w:bookmarkEnd w:id="123"/>
      <w:bookmarkEnd w:id="124"/>
    </w:p>
    <w:p w14:paraId="4C71000B" w14:textId="4438194D" w:rsidR="00F76551" w:rsidRDefault="000A626C" w:rsidP="00552AAD">
      <w:pPr>
        <w:jc w:val="both"/>
        <w:rPr>
          <w:rFonts w:cstheme="minorHAnsi"/>
          <w:sz w:val="22"/>
          <w:szCs w:val="22"/>
          <w:lang w:val="en-US"/>
        </w:rPr>
      </w:pPr>
      <w:r w:rsidRPr="00841766">
        <w:rPr>
          <w:rFonts w:cstheme="minorHAnsi"/>
          <w:sz w:val="22"/>
          <w:szCs w:val="22"/>
          <w:lang w:val="en-US"/>
        </w:rPr>
        <w:t>T</w:t>
      </w:r>
      <w:r w:rsidR="00F76551">
        <w:rPr>
          <w:rFonts w:cstheme="minorHAnsi"/>
          <w:sz w:val="22"/>
          <w:szCs w:val="22"/>
          <w:lang w:val="en-US"/>
        </w:rPr>
        <w:t xml:space="preserve">o provide strategic guidance and </w:t>
      </w:r>
      <w:r w:rsidRPr="00841766">
        <w:rPr>
          <w:rFonts w:cstheme="minorHAnsi"/>
          <w:sz w:val="22"/>
          <w:szCs w:val="22"/>
          <w:lang w:val="en-US"/>
        </w:rPr>
        <w:t xml:space="preserve">oversight </w:t>
      </w:r>
      <w:r w:rsidR="00F76551">
        <w:rPr>
          <w:rFonts w:cstheme="minorHAnsi"/>
          <w:sz w:val="22"/>
          <w:szCs w:val="22"/>
          <w:lang w:val="en-US"/>
        </w:rPr>
        <w:t xml:space="preserve">to </w:t>
      </w:r>
      <w:r w:rsidRPr="00841766">
        <w:rPr>
          <w:rFonts w:cstheme="minorHAnsi"/>
          <w:sz w:val="22"/>
          <w:szCs w:val="22"/>
          <w:lang w:val="en-US"/>
        </w:rPr>
        <w:t xml:space="preserve">the </w:t>
      </w:r>
      <w:r w:rsidR="00F76551">
        <w:rPr>
          <w:rFonts w:cstheme="minorHAnsi"/>
          <w:sz w:val="22"/>
          <w:szCs w:val="22"/>
          <w:lang w:val="en-US"/>
        </w:rPr>
        <w:t xml:space="preserve">UNSDCF implementation, </w:t>
      </w:r>
      <w:r w:rsidRPr="00841766">
        <w:rPr>
          <w:rFonts w:cstheme="minorHAnsi"/>
          <w:sz w:val="22"/>
          <w:szCs w:val="22"/>
          <w:lang w:val="en-US"/>
        </w:rPr>
        <w:t xml:space="preserve">a </w:t>
      </w:r>
      <w:r w:rsidRPr="00841766">
        <w:rPr>
          <w:rFonts w:cstheme="minorHAnsi"/>
          <w:b/>
          <w:sz w:val="22"/>
          <w:szCs w:val="22"/>
          <w:lang w:val="en-US"/>
        </w:rPr>
        <w:t>Joint Steering Committee</w:t>
      </w:r>
      <w:r w:rsidRPr="00841766">
        <w:rPr>
          <w:rFonts w:cstheme="minorHAnsi"/>
          <w:sz w:val="22"/>
          <w:szCs w:val="22"/>
          <w:lang w:val="en-US"/>
        </w:rPr>
        <w:t xml:space="preserve"> (JSC) </w:t>
      </w:r>
      <w:r w:rsidR="00F76551">
        <w:rPr>
          <w:rFonts w:cstheme="minorHAnsi"/>
          <w:sz w:val="22"/>
          <w:szCs w:val="22"/>
          <w:lang w:val="en-US"/>
        </w:rPr>
        <w:t xml:space="preserve">jointly </w:t>
      </w:r>
      <w:r w:rsidRPr="00841766">
        <w:rPr>
          <w:rFonts w:cstheme="minorHAnsi"/>
          <w:sz w:val="22"/>
          <w:szCs w:val="22"/>
          <w:lang w:val="en-US"/>
        </w:rPr>
        <w:t xml:space="preserve">chaired by the </w:t>
      </w:r>
      <w:r w:rsidR="00F76551">
        <w:rPr>
          <w:rFonts w:cstheme="minorHAnsi"/>
          <w:sz w:val="22"/>
          <w:szCs w:val="22"/>
          <w:lang w:val="en-US"/>
        </w:rPr>
        <w:t>UN Resident Coordinator</w:t>
      </w:r>
      <w:r w:rsidRPr="00841766">
        <w:rPr>
          <w:rFonts w:cstheme="minorHAnsi"/>
          <w:sz w:val="22"/>
          <w:szCs w:val="22"/>
          <w:lang w:val="en-US"/>
        </w:rPr>
        <w:t xml:space="preserve"> and</w:t>
      </w:r>
      <w:r w:rsidR="00F76551">
        <w:rPr>
          <w:rFonts w:cstheme="minorHAnsi"/>
          <w:sz w:val="22"/>
          <w:szCs w:val="22"/>
          <w:lang w:val="en-US"/>
        </w:rPr>
        <w:t xml:space="preserve"> </w:t>
      </w:r>
      <w:r w:rsidR="00F76551" w:rsidRPr="004F7195">
        <w:rPr>
          <w:rFonts w:cstheme="minorHAnsi"/>
          <w:sz w:val="22"/>
          <w:szCs w:val="22"/>
          <w:lang w:val="en-US"/>
        </w:rPr>
        <w:t>a senior Government representative</w:t>
      </w:r>
      <w:r w:rsidR="00F76551">
        <w:rPr>
          <w:rFonts w:cstheme="minorHAnsi"/>
          <w:sz w:val="22"/>
          <w:szCs w:val="22"/>
          <w:lang w:val="en-US"/>
        </w:rPr>
        <w:t xml:space="preserve"> designated by the Prime Minister</w:t>
      </w:r>
      <w:r w:rsidRPr="00841766">
        <w:rPr>
          <w:rFonts w:cstheme="minorHAnsi"/>
          <w:sz w:val="22"/>
          <w:szCs w:val="22"/>
          <w:lang w:val="en-US"/>
        </w:rPr>
        <w:t xml:space="preserve">. </w:t>
      </w:r>
      <w:r w:rsidR="00F76551">
        <w:rPr>
          <w:rFonts w:cstheme="minorHAnsi"/>
          <w:sz w:val="22"/>
          <w:szCs w:val="22"/>
          <w:lang w:val="en-US"/>
        </w:rPr>
        <w:t xml:space="preserve"> While the full </w:t>
      </w:r>
      <w:r w:rsidR="004D3742">
        <w:rPr>
          <w:rFonts w:cstheme="minorHAnsi"/>
          <w:sz w:val="22"/>
          <w:szCs w:val="22"/>
          <w:lang w:val="en-US"/>
        </w:rPr>
        <w:t xml:space="preserve">terms of reference </w:t>
      </w:r>
      <w:r w:rsidR="00F76551">
        <w:rPr>
          <w:rFonts w:cstheme="minorHAnsi"/>
          <w:sz w:val="22"/>
          <w:szCs w:val="22"/>
          <w:lang w:val="en-US"/>
        </w:rPr>
        <w:t>will be developed</w:t>
      </w:r>
      <w:r w:rsidR="00EB14B6">
        <w:rPr>
          <w:rFonts w:cstheme="minorHAnsi"/>
          <w:sz w:val="22"/>
          <w:szCs w:val="22"/>
          <w:lang w:val="en-US"/>
        </w:rPr>
        <w:t xml:space="preserve"> and agreed</w:t>
      </w:r>
      <w:r w:rsidR="00F76551">
        <w:rPr>
          <w:rFonts w:cstheme="minorHAnsi"/>
          <w:sz w:val="22"/>
          <w:szCs w:val="22"/>
          <w:lang w:val="en-US"/>
        </w:rPr>
        <w:t xml:space="preserve"> with the Government in 2020, the</w:t>
      </w:r>
      <w:r w:rsidRPr="00841766">
        <w:rPr>
          <w:rFonts w:cstheme="minorHAnsi"/>
          <w:sz w:val="22"/>
          <w:szCs w:val="22"/>
          <w:lang w:val="en-US"/>
        </w:rPr>
        <w:t xml:space="preserve"> membership</w:t>
      </w:r>
      <w:r w:rsidR="00F76551">
        <w:rPr>
          <w:rFonts w:cstheme="minorHAnsi"/>
          <w:sz w:val="22"/>
          <w:szCs w:val="22"/>
          <w:lang w:val="en-US"/>
        </w:rPr>
        <w:t xml:space="preserve"> of the JSC will</w:t>
      </w:r>
      <w:r w:rsidRPr="00841766">
        <w:rPr>
          <w:rFonts w:cstheme="minorHAnsi"/>
          <w:sz w:val="22"/>
          <w:szCs w:val="22"/>
          <w:lang w:val="en-US"/>
        </w:rPr>
        <w:t xml:space="preserve"> include</w:t>
      </w:r>
      <w:r w:rsidR="00F76551">
        <w:rPr>
          <w:rFonts w:cstheme="minorHAnsi"/>
          <w:sz w:val="22"/>
          <w:szCs w:val="22"/>
          <w:lang w:val="en-US"/>
        </w:rPr>
        <w:t>: representatives of the key Government ministries;</w:t>
      </w:r>
      <w:r w:rsidRPr="00841766">
        <w:rPr>
          <w:rFonts w:cstheme="minorHAnsi"/>
          <w:sz w:val="22"/>
          <w:szCs w:val="22"/>
          <w:lang w:val="en-US"/>
        </w:rPr>
        <w:t xml:space="preserve"> </w:t>
      </w:r>
      <w:r w:rsidR="00F76551">
        <w:rPr>
          <w:rFonts w:cstheme="minorHAnsi"/>
          <w:sz w:val="22"/>
          <w:szCs w:val="22"/>
          <w:lang w:val="en-US"/>
        </w:rPr>
        <w:t xml:space="preserve">civil society </w:t>
      </w:r>
      <w:r w:rsidRPr="00841766">
        <w:rPr>
          <w:rFonts w:cstheme="minorHAnsi"/>
          <w:sz w:val="22"/>
          <w:szCs w:val="22"/>
          <w:lang w:val="en-US"/>
        </w:rPr>
        <w:t>representatives</w:t>
      </w:r>
      <w:r w:rsidR="00F76551">
        <w:rPr>
          <w:rFonts w:cstheme="minorHAnsi"/>
          <w:sz w:val="22"/>
          <w:szCs w:val="22"/>
          <w:lang w:val="en-US"/>
        </w:rPr>
        <w:t>; and UN Chair/Co-Chair of the UNSDCF Results Groups</w:t>
      </w:r>
      <w:r w:rsidRPr="00841766">
        <w:rPr>
          <w:rFonts w:cstheme="minorHAnsi"/>
          <w:sz w:val="22"/>
          <w:szCs w:val="22"/>
          <w:lang w:val="en-US"/>
        </w:rPr>
        <w:t>.</w:t>
      </w:r>
    </w:p>
    <w:p w14:paraId="24ED5186" w14:textId="4716B029" w:rsidR="000A626C" w:rsidRPr="00841766" w:rsidRDefault="000A626C" w:rsidP="00552AAD">
      <w:pPr>
        <w:jc w:val="both"/>
        <w:rPr>
          <w:rFonts w:cstheme="minorHAnsi"/>
          <w:sz w:val="22"/>
          <w:szCs w:val="22"/>
          <w:lang w:val="en-US"/>
        </w:rPr>
      </w:pPr>
      <w:r w:rsidRPr="00841766">
        <w:rPr>
          <w:rFonts w:cstheme="minorHAnsi"/>
          <w:sz w:val="22"/>
          <w:szCs w:val="22"/>
          <w:lang w:val="en-US"/>
        </w:rPr>
        <w:t xml:space="preserve"> </w:t>
      </w:r>
    </w:p>
    <w:p w14:paraId="3F5D3A97" w14:textId="6469BC70" w:rsidR="000A626C" w:rsidRDefault="000A626C" w:rsidP="00552AAD">
      <w:pPr>
        <w:jc w:val="both"/>
        <w:rPr>
          <w:rFonts w:cstheme="minorHAnsi"/>
          <w:sz w:val="22"/>
          <w:szCs w:val="22"/>
          <w:lang w:val="en-US"/>
        </w:rPr>
      </w:pPr>
      <w:r w:rsidRPr="00841766">
        <w:rPr>
          <w:rFonts w:cstheme="minorHAnsi"/>
          <w:sz w:val="22"/>
          <w:szCs w:val="22"/>
          <w:lang w:val="en-US"/>
        </w:rPr>
        <w:t xml:space="preserve">The JSC ensures alignment with national, regional and international development processes, mechanisms and goals and links with other processes such as the Voluntary National Reviews. </w:t>
      </w:r>
      <w:r w:rsidR="00F76551">
        <w:rPr>
          <w:rFonts w:cstheme="minorHAnsi"/>
          <w:sz w:val="22"/>
          <w:szCs w:val="22"/>
          <w:lang w:val="en-US"/>
        </w:rPr>
        <w:t xml:space="preserve"> </w:t>
      </w:r>
      <w:r w:rsidRPr="00841766">
        <w:rPr>
          <w:rFonts w:cstheme="minorHAnsi"/>
          <w:sz w:val="22"/>
          <w:szCs w:val="22"/>
          <w:lang w:val="en-US"/>
        </w:rPr>
        <w:t>The JSC will</w:t>
      </w:r>
      <w:r w:rsidR="00F76551">
        <w:rPr>
          <w:rFonts w:cstheme="minorHAnsi"/>
          <w:sz w:val="22"/>
          <w:szCs w:val="22"/>
          <w:lang w:val="en-US"/>
        </w:rPr>
        <w:t>:</w:t>
      </w:r>
      <w:r w:rsidRPr="00841766">
        <w:rPr>
          <w:rFonts w:cstheme="minorHAnsi"/>
          <w:sz w:val="22"/>
          <w:szCs w:val="22"/>
          <w:lang w:val="en-US"/>
        </w:rPr>
        <w:t xml:space="preserve"> </w:t>
      </w:r>
      <w:r w:rsidR="00F76551">
        <w:rPr>
          <w:rFonts w:cstheme="minorHAnsi"/>
          <w:sz w:val="22"/>
          <w:szCs w:val="22"/>
          <w:lang w:val="en-US"/>
        </w:rPr>
        <w:t>review</w:t>
      </w:r>
      <w:r w:rsidRPr="00841766">
        <w:rPr>
          <w:rFonts w:cstheme="minorHAnsi"/>
          <w:sz w:val="22"/>
          <w:szCs w:val="22"/>
          <w:lang w:val="en-US"/>
        </w:rPr>
        <w:t xml:space="preserve"> progress</w:t>
      </w:r>
      <w:r w:rsidR="00F76551">
        <w:rPr>
          <w:rFonts w:cstheme="minorHAnsi"/>
          <w:sz w:val="22"/>
          <w:szCs w:val="22"/>
          <w:lang w:val="en-US"/>
        </w:rPr>
        <w:t xml:space="preserve"> in UNSDCF implementation; provide strategic guidance related to priorities</w:t>
      </w:r>
      <w:r w:rsidR="0065371D">
        <w:rPr>
          <w:rFonts w:cstheme="minorHAnsi"/>
          <w:sz w:val="22"/>
          <w:szCs w:val="22"/>
          <w:lang w:val="en-US"/>
        </w:rPr>
        <w:t xml:space="preserve"> for the coming year</w:t>
      </w:r>
      <w:r w:rsidRPr="00841766">
        <w:rPr>
          <w:rFonts w:cstheme="minorHAnsi"/>
          <w:sz w:val="22"/>
          <w:szCs w:val="22"/>
          <w:lang w:val="en-US"/>
        </w:rPr>
        <w:t xml:space="preserve">, </w:t>
      </w:r>
      <w:r w:rsidR="0065371D">
        <w:rPr>
          <w:rFonts w:cstheme="minorHAnsi"/>
          <w:sz w:val="22"/>
          <w:szCs w:val="22"/>
          <w:lang w:val="en-US"/>
        </w:rPr>
        <w:t xml:space="preserve">as well as </w:t>
      </w:r>
      <w:r w:rsidRPr="00841766">
        <w:rPr>
          <w:rFonts w:cstheme="minorHAnsi"/>
          <w:sz w:val="22"/>
          <w:szCs w:val="22"/>
          <w:lang w:val="en-US"/>
        </w:rPr>
        <w:t>challenges</w:t>
      </w:r>
      <w:r w:rsidR="0065371D">
        <w:rPr>
          <w:rFonts w:cstheme="minorHAnsi"/>
          <w:sz w:val="22"/>
          <w:szCs w:val="22"/>
          <w:lang w:val="en-US"/>
        </w:rPr>
        <w:t xml:space="preserve"> that need to be addressed;</w:t>
      </w:r>
      <w:r w:rsidRPr="00841766">
        <w:rPr>
          <w:rFonts w:cstheme="minorHAnsi"/>
          <w:sz w:val="22"/>
          <w:szCs w:val="22"/>
          <w:lang w:val="en-US"/>
        </w:rPr>
        <w:t xml:space="preserve"> and</w:t>
      </w:r>
      <w:r w:rsidR="0065371D">
        <w:rPr>
          <w:rFonts w:cstheme="minorHAnsi"/>
          <w:sz w:val="22"/>
          <w:szCs w:val="22"/>
          <w:lang w:val="en-US"/>
        </w:rPr>
        <w:t>,</w:t>
      </w:r>
      <w:r w:rsidRPr="00841766">
        <w:rPr>
          <w:rFonts w:cstheme="minorHAnsi"/>
          <w:sz w:val="22"/>
          <w:szCs w:val="22"/>
          <w:lang w:val="en-US"/>
        </w:rPr>
        <w:t xml:space="preserve"> </w:t>
      </w:r>
      <w:r w:rsidR="0065371D">
        <w:rPr>
          <w:rFonts w:cstheme="minorHAnsi"/>
          <w:sz w:val="22"/>
          <w:szCs w:val="22"/>
          <w:lang w:val="en-US"/>
        </w:rPr>
        <w:t>guide strategic partnership and financing/funding opportunities to be explored</w:t>
      </w:r>
      <w:r w:rsidRPr="00841766">
        <w:rPr>
          <w:rFonts w:cstheme="minorHAnsi"/>
          <w:sz w:val="22"/>
          <w:szCs w:val="22"/>
          <w:lang w:val="en-US"/>
        </w:rPr>
        <w:t>.</w:t>
      </w:r>
    </w:p>
    <w:p w14:paraId="5ACFCD52" w14:textId="77777777" w:rsidR="0065371D" w:rsidRPr="00841766" w:rsidRDefault="0065371D" w:rsidP="00552AAD">
      <w:pPr>
        <w:jc w:val="both"/>
        <w:rPr>
          <w:rFonts w:cstheme="minorHAnsi"/>
          <w:sz w:val="22"/>
          <w:szCs w:val="22"/>
          <w:lang w:val="en-US"/>
        </w:rPr>
      </w:pPr>
    </w:p>
    <w:p w14:paraId="120ACE65" w14:textId="746EF6F2" w:rsidR="000A626C" w:rsidRPr="00085839" w:rsidRDefault="000A626C" w:rsidP="00552AAD">
      <w:pPr>
        <w:spacing w:after="240"/>
        <w:jc w:val="both"/>
        <w:rPr>
          <w:rFonts w:cstheme="minorHAnsi"/>
          <w:color w:val="000000"/>
          <w:sz w:val="22"/>
          <w:szCs w:val="22"/>
          <w:lang w:val="en-US"/>
        </w:rPr>
      </w:pPr>
      <w:r w:rsidRPr="00085839">
        <w:rPr>
          <w:rFonts w:cstheme="minorHAnsi"/>
          <w:color w:val="000000"/>
          <w:sz w:val="22"/>
          <w:szCs w:val="22"/>
          <w:lang w:val="en-US"/>
        </w:rPr>
        <w:t xml:space="preserve">The JSC will meet </w:t>
      </w:r>
      <w:r w:rsidR="00085839" w:rsidRPr="00085839">
        <w:rPr>
          <w:rFonts w:cstheme="minorHAnsi"/>
          <w:color w:val="000000"/>
          <w:sz w:val="22"/>
          <w:szCs w:val="22"/>
          <w:lang w:val="en-US"/>
        </w:rPr>
        <w:t>once</w:t>
      </w:r>
      <w:r w:rsidRPr="00085839">
        <w:rPr>
          <w:rFonts w:cstheme="minorHAnsi"/>
          <w:color w:val="000000"/>
          <w:sz w:val="22"/>
          <w:szCs w:val="22"/>
          <w:lang w:val="en-US"/>
        </w:rPr>
        <w:t xml:space="preserve"> a year: </w:t>
      </w:r>
      <w:r w:rsidR="00B514EA" w:rsidRPr="00085839">
        <w:rPr>
          <w:rFonts w:cstheme="minorHAnsi"/>
          <w:color w:val="000000"/>
          <w:sz w:val="22"/>
          <w:szCs w:val="22"/>
          <w:lang w:val="en-US"/>
        </w:rPr>
        <w:t>in Q.1 to review the progress made in the previous year and review and endorse</w:t>
      </w:r>
      <w:r w:rsidRPr="00085839">
        <w:rPr>
          <w:rFonts w:cstheme="minorHAnsi"/>
          <w:color w:val="000000"/>
          <w:sz w:val="22"/>
          <w:szCs w:val="22"/>
          <w:lang w:val="en-US"/>
        </w:rPr>
        <w:t xml:space="preserve"> the </w:t>
      </w:r>
      <w:r w:rsidR="00B514EA" w:rsidRPr="00085839">
        <w:rPr>
          <w:rFonts w:cstheme="minorHAnsi"/>
          <w:color w:val="000000"/>
          <w:sz w:val="22"/>
          <w:szCs w:val="22"/>
          <w:lang w:val="en-US"/>
        </w:rPr>
        <w:t>J</w:t>
      </w:r>
      <w:r w:rsidRPr="00085839">
        <w:rPr>
          <w:rFonts w:cstheme="minorHAnsi"/>
          <w:color w:val="000000"/>
          <w:sz w:val="22"/>
          <w:szCs w:val="22"/>
          <w:lang w:val="en-US"/>
        </w:rPr>
        <w:t xml:space="preserve">oint </w:t>
      </w:r>
      <w:r w:rsidR="00B514EA" w:rsidRPr="00085839">
        <w:rPr>
          <w:rFonts w:cstheme="minorHAnsi"/>
          <w:color w:val="000000"/>
          <w:sz w:val="22"/>
          <w:szCs w:val="22"/>
          <w:lang w:val="en-US"/>
        </w:rPr>
        <w:t>W</w:t>
      </w:r>
      <w:r w:rsidRPr="00085839">
        <w:rPr>
          <w:rFonts w:cstheme="minorHAnsi"/>
          <w:color w:val="000000"/>
          <w:sz w:val="22"/>
          <w:szCs w:val="22"/>
          <w:lang w:val="en-US"/>
        </w:rPr>
        <w:t xml:space="preserve">ork </w:t>
      </w:r>
      <w:r w:rsidR="00B514EA" w:rsidRPr="00085839">
        <w:rPr>
          <w:rFonts w:cstheme="minorHAnsi"/>
          <w:color w:val="000000"/>
          <w:sz w:val="22"/>
          <w:szCs w:val="22"/>
          <w:lang w:val="en-US"/>
        </w:rPr>
        <w:t>P</w:t>
      </w:r>
      <w:r w:rsidRPr="00085839">
        <w:rPr>
          <w:rFonts w:cstheme="minorHAnsi"/>
          <w:color w:val="000000"/>
          <w:sz w:val="22"/>
          <w:szCs w:val="22"/>
          <w:lang w:val="en-US"/>
        </w:rPr>
        <w:t xml:space="preserve">lans. </w:t>
      </w:r>
    </w:p>
    <w:p w14:paraId="5FF97093" w14:textId="5E5655A9" w:rsidR="00085839" w:rsidRPr="007A75A1" w:rsidRDefault="00085839" w:rsidP="00552AAD">
      <w:pPr>
        <w:jc w:val="both"/>
        <w:rPr>
          <w:sz w:val="22"/>
          <w:szCs w:val="22"/>
          <w:lang w:val="en-US"/>
        </w:rPr>
      </w:pPr>
      <w:r w:rsidRPr="007A75A1">
        <w:rPr>
          <w:sz w:val="22"/>
          <w:szCs w:val="22"/>
          <w:lang w:val="en-US"/>
        </w:rPr>
        <w:t>Coordination of the UNSDCF implementation is undertaken through the Results Groups.  Each UNSDCF strategic priority has a corresponding Results Group.  A Results Group comprises contributing UN development entities (resident and non-resident) and is chaired or co-chaired by UN Heads of Agencies. Results Groups improve internal coordination and ensure a coherent UN system-wide approach to a strategic priority.  They make the UN Timor-Leste a more effective partner and reduce transactions costs for stakeholders.  Results Groups meets</w:t>
      </w:r>
      <w:r w:rsidR="004F7195">
        <w:rPr>
          <w:sz w:val="22"/>
          <w:szCs w:val="22"/>
          <w:lang w:val="en-US"/>
        </w:rPr>
        <w:t xml:space="preserve"> three times a year</w:t>
      </w:r>
      <w:r w:rsidRPr="007A75A1">
        <w:rPr>
          <w:sz w:val="22"/>
          <w:szCs w:val="22"/>
          <w:lang w:val="en-US"/>
        </w:rPr>
        <w:t>.</w:t>
      </w:r>
      <w:r w:rsidR="004F7195">
        <w:rPr>
          <w:sz w:val="22"/>
          <w:szCs w:val="22"/>
          <w:lang w:val="en-US"/>
        </w:rPr>
        <w:t xml:space="preserve">  </w:t>
      </w:r>
      <w:r w:rsidRPr="007A75A1">
        <w:rPr>
          <w:sz w:val="22"/>
          <w:szCs w:val="22"/>
          <w:lang w:val="en-US"/>
        </w:rPr>
        <w:t xml:space="preserve">  </w:t>
      </w:r>
    </w:p>
    <w:p w14:paraId="360B9C20" w14:textId="77777777" w:rsidR="00817082" w:rsidRPr="00841766" w:rsidRDefault="00817082" w:rsidP="00552AAD">
      <w:pPr>
        <w:jc w:val="both"/>
        <w:rPr>
          <w:rFonts w:cstheme="minorHAnsi"/>
          <w:sz w:val="22"/>
          <w:szCs w:val="22"/>
          <w:lang w:val="en-US"/>
        </w:rPr>
      </w:pPr>
    </w:p>
    <w:p w14:paraId="3E3221A6" w14:textId="57C50E55" w:rsidR="000A626C" w:rsidRDefault="000A626C" w:rsidP="00552AAD">
      <w:pPr>
        <w:autoSpaceDE w:val="0"/>
        <w:autoSpaceDN w:val="0"/>
        <w:adjustRightInd w:val="0"/>
        <w:jc w:val="both"/>
        <w:rPr>
          <w:rFonts w:eastAsia="Times New Roman" w:cstheme="minorHAnsi"/>
          <w:sz w:val="22"/>
          <w:szCs w:val="22"/>
          <w:lang w:val="en-US" w:eastAsia="fr-FR"/>
        </w:rPr>
      </w:pPr>
      <w:r w:rsidRPr="00841766">
        <w:rPr>
          <w:rFonts w:eastAsia="Times New Roman" w:cstheme="minorHAnsi"/>
          <w:sz w:val="22"/>
          <w:szCs w:val="22"/>
          <w:lang w:val="en-US" w:eastAsia="fr-FR"/>
        </w:rPr>
        <w:t xml:space="preserve">Alongside the </w:t>
      </w:r>
      <w:r w:rsidR="00EB14B6">
        <w:rPr>
          <w:rFonts w:eastAsia="Times New Roman" w:cstheme="minorHAnsi"/>
          <w:sz w:val="22"/>
          <w:szCs w:val="22"/>
          <w:lang w:val="en-US" w:eastAsia="fr-FR"/>
        </w:rPr>
        <w:t>R</w:t>
      </w:r>
      <w:r w:rsidRPr="00841766">
        <w:rPr>
          <w:rFonts w:eastAsia="Times New Roman" w:cstheme="minorHAnsi"/>
          <w:sz w:val="22"/>
          <w:szCs w:val="22"/>
          <w:lang w:val="en-US" w:eastAsia="fr-FR"/>
        </w:rPr>
        <w:t xml:space="preserve">esults </w:t>
      </w:r>
      <w:r w:rsidR="00EB14B6">
        <w:rPr>
          <w:rFonts w:eastAsia="Times New Roman" w:cstheme="minorHAnsi"/>
          <w:sz w:val="22"/>
          <w:szCs w:val="22"/>
          <w:lang w:val="en-US" w:eastAsia="fr-FR"/>
        </w:rPr>
        <w:t>G</w:t>
      </w:r>
      <w:r w:rsidRPr="00841766">
        <w:rPr>
          <w:rFonts w:eastAsia="Times New Roman" w:cstheme="minorHAnsi"/>
          <w:sz w:val="22"/>
          <w:szCs w:val="22"/>
          <w:lang w:val="en-US" w:eastAsia="fr-FR"/>
        </w:rPr>
        <w:t xml:space="preserve">roups, other UN </w:t>
      </w:r>
      <w:r w:rsidR="00EB14B6">
        <w:rPr>
          <w:rFonts w:eastAsia="Times New Roman" w:cstheme="minorHAnsi"/>
          <w:sz w:val="22"/>
          <w:szCs w:val="22"/>
          <w:lang w:val="en-US" w:eastAsia="fr-FR"/>
        </w:rPr>
        <w:t>i</w:t>
      </w:r>
      <w:r w:rsidRPr="00841766">
        <w:rPr>
          <w:rFonts w:eastAsia="Times New Roman" w:cstheme="minorHAnsi"/>
          <w:sz w:val="22"/>
          <w:szCs w:val="22"/>
          <w:lang w:val="en-US" w:eastAsia="fr-FR"/>
        </w:rPr>
        <w:t>nter-</w:t>
      </w:r>
      <w:r w:rsidR="00EB14B6">
        <w:rPr>
          <w:rFonts w:eastAsia="Times New Roman" w:cstheme="minorHAnsi"/>
          <w:sz w:val="22"/>
          <w:szCs w:val="22"/>
          <w:lang w:val="en-US" w:eastAsia="fr-FR"/>
        </w:rPr>
        <w:t>a</w:t>
      </w:r>
      <w:r w:rsidRPr="00841766">
        <w:rPr>
          <w:rFonts w:eastAsia="Times New Roman" w:cstheme="minorHAnsi"/>
          <w:sz w:val="22"/>
          <w:szCs w:val="22"/>
          <w:lang w:val="en-US" w:eastAsia="fr-FR"/>
        </w:rPr>
        <w:t xml:space="preserve">gency </w:t>
      </w:r>
      <w:r w:rsidR="00EB14B6">
        <w:rPr>
          <w:rFonts w:eastAsia="Times New Roman" w:cstheme="minorHAnsi"/>
          <w:sz w:val="22"/>
          <w:szCs w:val="22"/>
          <w:lang w:val="en-US" w:eastAsia="fr-FR"/>
        </w:rPr>
        <w:t>g</w:t>
      </w:r>
      <w:r w:rsidRPr="00841766">
        <w:rPr>
          <w:rFonts w:eastAsia="Times New Roman" w:cstheme="minorHAnsi"/>
          <w:sz w:val="22"/>
          <w:szCs w:val="22"/>
          <w:lang w:val="en-US" w:eastAsia="fr-FR"/>
        </w:rPr>
        <w:t>roups will continue to operate to</w:t>
      </w:r>
      <w:r w:rsidR="00EB14B6">
        <w:rPr>
          <w:rFonts w:eastAsia="Times New Roman" w:cstheme="minorHAnsi"/>
          <w:sz w:val="22"/>
          <w:szCs w:val="22"/>
          <w:lang w:val="en-US" w:eastAsia="fr-FR"/>
        </w:rPr>
        <w:t xml:space="preserve"> support UNSDCF implementation</w:t>
      </w:r>
      <w:r w:rsidRPr="00841766">
        <w:rPr>
          <w:rFonts w:eastAsia="Times New Roman" w:cstheme="minorHAnsi"/>
          <w:sz w:val="22"/>
          <w:szCs w:val="22"/>
          <w:lang w:val="en-US" w:eastAsia="fr-FR"/>
        </w:rPr>
        <w:t>.</w:t>
      </w:r>
    </w:p>
    <w:p w14:paraId="09B042B9" w14:textId="77777777" w:rsidR="00EB14B6" w:rsidRPr="00841766" w:rsidRDefault="00EB14B6" w:rsidP="00552AAD">
      <w:pPr>
        <w:autoSpaceDE w:val="0"/>
        <w:autoSpaceDN w:val="0"/>
        <w:adjustRightInd w:val="0"/>
        <w:jc w:val="both"/>
        <w:rPr>
          <w:rFonts w:eastAsia="Times New Roman" w:cstheme="minorHAnsi"/>
          <w:sz w:val="22"/>
          <w:szCs w:val="22"/>
          <w:lang w:val="en-US" w:eastAsia="fr-FR"/>
        </w:rPr>
      </w:pPr>
    </w:p>
    <w:p w14:paraId="5519915B" w14:textId="485EF2E4" w:rsidR="002230FA" w:rsidRPr="00841766" w:rsidRDefault="002230FA" w:rsidP="00552AAD">
      <w:pPr>
        <w:jc w:val="both"/>
        <w:rPr>
          <w:rFonts w:cstheme="minorHAnsi"/>
          <w:sz w:val="22"/>
          <w:szCs w:val="22"/>
          <w:lang w:val="en-US"/>
        </w:rPr>
      </w:pPr>
      <w:r w:rsidRPr="00841766">
        <w:rPr>
          <w:rFonts w:cstheme="minorHAnsi"/>
          <w:sz w:val="22"/>
          <w:szCs w:val="22"/>
          <w:lang w:val="en-US"/>
        </w:rPr>
        <w:t>Composed of M</w:t>
      </w:r>
      <w:r w:rsidR="00A03065">
        <w:rPr>
          <w:rFonts w:cstheme="minorHAnsi"/>
          <w:sz w:val="22"/>
          <w:szCs w:val="22"/>
          <w:lang w:val="en-US"/>
        </w:rPr>
        <w:t xml:space="preserve">onitoring and Evaluation </w:t>
      </w:r>
      <w:r w:rsidRPr="00841766">
        <w:rPr>
          <w:rFonts w:cstheme="minorHAnsi"/>
          <w:sz w:val="22"/>
          <w:szCs w:val="22"/>
          <w:lang w:val="en-US"/>
        </w:rPr>
        <w:t>from all UN</w:t>
      </w:r>
      <w:r>
        <w:rPr>
          <w:rFonts w:cstheme="minorHAnsi"/>
          <w:sz w:val="22"/>
          <w:szCs w:val="22"/>
          <w:lang w:val="en-US"/>
        </w:rPr>
        <w:t xml:space="preserve"> agencies</w:t>
      </w:r>
      <w:r w:rsidRPr="00841766">
        <w:rPr>
          <w:rFonts w:cstheme="minorHAnsi"/>
          <w:sz w:val="22"/>
          <w:szCs w:val="22"/>
          <w:lang w:val="en-US"/>
        </w:rPr>
        <w:t xml:space="preserve">, the </w:t>
      </w:r>
      <w:r w:rsidRPr="00776E27">
        <w:rPr>
          <w:rFonts w:cstheme="minorHAnsi"/>
          <w:b/>
          <w:bCs/>
          <w:sz w:val="22"/>
          <w:szCs w:val="22"/>
          <w:lang w:val="en-US"/>
        </w:rPr>
        <w:t xml:space="preserve">UN </w:t>
      </w:r>
      <w:r w:rsidRPr="00841766">
        <w:rPr>
          <w:rFonts w:cstheme="minorHAnsi"/>
          <w:b/>
          <w:sz w:val="22"/>
          <w:szCs w:val="22"/>
          <w:lang w:val="en-US"/>
        </w:rPr>
        <w:t xml:space="preserve">M&amp;E Group </w:t>
      </w:r>
      <w:r w:rsidRPr="00841766">
        <w:rPr>
          <w:rFonts w:cstheme="minorHAnsi"/>
          <w:sz w:val="22"/>
          <w:szCs w:val="22"/>
          <w:lang w:val="en-US"/>
        </w:rPr>
        <w:t xml:space="preserve">will </w:t>
      </w:r>
      <w:r>
        <w:rPr>
          <w:rFonts w:cstheme="minorHAnsi"/>
          <w:sz w:val="22"/>
          <w:szCs w:val="22"/>
          <w:lang w:val="en-US"/>
        </w:rPr>
        <w:t xml:space="preserve">develop the UNSDCF M&amp;E Plan, support the Results Groups with the preparation of Joint Work Plans; </w:t>
      </w:r>
      <w:r w:rsidRPr="00841766">
        <w:rPr>
          <w:rFonts w:cstheme="minorHAnsi"/>
          <w:sz w:val="22"/>
          <w:szCs w:val="22"/>
          <w:lang w:val="en-US"/>
        </w:rPr>
        <w:t>support the</w:t>
      </w:r>
      <w:r>
        <w:rPr>
          <w:rFonts w:cstheme="minorHAnsi"/>
          <w:sz w:val="22"/>
          <w:szCs w:val="22"/>
          <w:lang w:val="en-US"/>
        </w:rPr>
        <w:t xml:space="preserve"> </w:t>
      </w:r>
      <w:r w:rsidRPr="00841766">
        <w:rPr>
          <w:rFonts w:cstheme="minorHAnsi"/>
          <w:sz w:val="22"/>
          <w:szCs w:val="22"/>
          <w:lang w:val="en-US"/>
        </w:rPr>
        <w:t>Results Groups to monitor the implementation of the UNSDCF</w:t>
      </w:r>
      <w:r>
        <w:rPr>
          <w:rFonts w:cstheme="minorHAnsi"/>
          <w:sz w:val="22"/>
          <w:szCs w:val="22"/>
          <w:lang w:val="en-US"/>
        </w:rPr>
        <w:t>; and draft the annual One Country Results Report</w:t>
      </w:r>
      <w:r w:rsidRPr="00841766">
        <w:rPr>
          <w:rFonts w:cstheme="minorHAnsi"/>
          <w:sz w:val="22"/>
          <w:szCs w:val="22"/>
          <w:lang w:val="en-US"/>
        </w:rPr>
        <w:t xml:space="preserve">. </w:t>
      </w:r>
      <w:r>
        <w:rPr>
          <w:rFonts w:cstheme="minorHAnsi"/>
          <w:sz w:val="22"/>
          <w:szCs w:val="22"/>
          <w:lang w:val="en-US"/>
        </w:rPr>
        <w:t xml:space="preserve"> </w:t>
      </w:r>
      <w:r w:rsidRPr="00841766">
        <w:rPr>
          <w:rFonts w:cstheme="minorHAnsi"/>
          <w:sz w:val="22"/>
          <w:szCs w:val="22"/>
          <w:lang w:val="en-US"/>
        </w:rPr>
        <w:t xml:space="preserve">The </w:t>
      </w:r>
      <w:r>
        <w:rPr>
          <w:rFonts w:cstheme="minorHAnsi"/>
          <w:sz w:val="22"/>
          <w:szCs w:val="22"/>
          <w:lang w:val="en-US"/>
        </w:rPr>
        <w:t xml:space="preserve">UN </w:t>
      </w:r>
      <w:r w:rsidRPr="00841766">
        <w:rPr>
          <w:rFonts w:cstheme="minorHAnsi"/>
          <w:sz w:val="22"/>
          <w:szCs w:val="22"/>
          <w:lang w:val="en-US"/>
        </w:rPr>
        <w:t xml:space="preserve">M&amp;E Group will work closely with the National Bureau </w:t>
      </w:r>
      <w:r>
        <w:rPr>
          <w:rFonts w:cstheme="minorHAnsi"/>
          <w:sz w:val="22"/>
          <w:szCs w:val="22"/>
          <w:lang w:val="en-US"/>
        </w:rPr>
        <w:t>of</w:t>
      </w:r>
      <w:r w:rsidRPr="00841766">
        <w:rPr>
          <w:rFonts w:cstheme="minorHAnsi"/>
          <w:sz w:val="22"/>
          <w:szCs w:val="22"/>
          <w:lang w:val="en-US"/>
        </w:rPr>
        <w:t xml:space="preserve"> Statistics and other relevant partners, agencies and institutions at all levels to support capacities and ensure access to quality data.</w:t>
      </w:r>
    </w:p>
    <w:p w14:paraId="50EA42B3" w14:textId="77777777" w:rsidR="002230FA" w:rsidRPr="00841766" w:rsidRDefault="002230FA" w:rsidP="00552AAD">
      <w:pPr>
        <w:autoSpaceDE w:val="0"/>
        <w:autoSpaceDN w:val="0"/>
        <w:adjustRightInd w:val="0"/>
        <w:jc w:val="both"/>
        <w:rPr>
          <w:rFonts w:eastAsia="Times New Roman" w:cstheme="minorHAnsi"/>
          <w:sz w:val="22"/>
          <w:szCs w:val="22"/>
          <w:lang w:val="en-US" w:eastAsia="fr-FR"/>
        </w:rPr>
      </w:pPr>
    </w:p>
    <w:p w14:paraId="6F78E474" w14:textId="5877B013" w:rsidR="00EB14B6" w:rsidRDefault="000A626C" w:rsidP="00552AAD">
      <w:pPr>
        <w:jc w:val="both"/>
        <w:rPr>
          <w:rFonts w:cstheme="minorHAnsi"/>
          <w:sz w:val="22"/>
          <w:szCs w:val="22"/>
          <w:lang w:val="en-US"/>
        </w:rPr>
      </w:pPr>
      <w:r w:rsidRPr="00841766">
        <w:rPr>
          <w:rFonts w:cstheme="minorHAnsi"/>
          <w:sz w:val="22"/>
          <w:szCs w:val="22"/>
          <w:lang w:val="en-US"/>
        </w:rPr>
        <w:t xml:space="preserve">The </w:t>
      </w:r>
      <w:r w:rsidRPr="00841766">
        <w:rPr>
          <w:rFonts w:cstheme="minorHAnsi"/>
          <w:b/>
          <w:sz w:val="22"/>
          <w:szCs w:val="22"/>
          <w:lang w:val="en-US"/>
        </w:rPr>
        <w:t>Gender Theme Group (GTG)</w:t>
      </w:r>
      <w:r w:rsidRPr="00841766">
        <w:rPr>
          <w:rFonts w:cstheme="minorHAnsi"/>
          <w:sz w:val="22"/>
          <w:szCs w:val="22"/>
          <w:lang w:val="en-US"/>
        </w:rPr>
        <w:t xml:space="preserve"> will ensure the UN system is unified and coordinated in providing support t</w:t>
      </w:r>
      <w:r w:rsidR="00EB14B6">
        <w:rPr>
          <w:rFonts w:cstheme="minorHAnsi"/>
          <w:sz w:val="22"/>
          <w:szCs w:val="22"/>
          <w:lang w:val="en-US"/>
        </w:rPr>
        <w:t xml:space="preserve">o the Government and other partners </w:t>
      </w:r>
      <w:r w:rsidRPr="00841766">
        <w:rPr>
          <w:rFonts w:cstheme="minorHAnsi"/>
          <w:sz w:val="22"/>
          <w:szCs w:val="22"/>
          <w:lang w:val="en-US"/>
        </w:rPr>
        <w:t>on issues related to gender equality.  The GTG will</w:t>
      </w:r>
      <w:r w:rsidR="00EB14B6">
        <w:rPr>
          <w:rFonts w:cstheme="minorHAnsi"/>
          <w:sz w:val="22"/>
          <w:szCs w:val="22"/>
          <w:lang w:val="en-US"/>
        </w:rPr>
        <w:t xml:space="preserve"> provide guidance to and s</w:t>
      </w:r>
      <w:r w:rsidRPr="00985039">
        <w:rPr>
          <w:rFonts w:cstheme="minorHAnsi"/>
          <w:sz w:val="22"/>
          <w:szCs w:val="22"/>
          <w:lang w:val="en-US"/>
        </w:rPr>
        <w:t xml:space="preserve">trengthen the </w:t>
      </w:r>
      <w:r w:rsidR="00EB14B6" w:rsidRPr="00985039">
        <w:rPr>
          <w:rFonts w:cstheme="minorHAnsi"/>
          <w:sz w:val="22"/>
          <w:szCs w:val="22"/>
          <w:lang w:val="en-US"/>
        </w:rPr>
        <w:t>capacity of the Results Groups</w:t>
      </w:r>
      <w:r w:rsidRPr="00985039">
        <w:rPr>
          <w:rFonts w:cstheme="minorHAnsi"/>
          <w:sz w:val="22"/>
          <w:szCs w:val="22"/>
          <w:lang w:val="en-US"/>
        </w:rPr>
        <w:t xml:space="preserve"> to mainstream gender quality</w:t>
      </w:r>
      <w:r w:rsidRPr="00841766">
        <w:rPr>
          <w:rFonts w:cstheme="minorHAnsi"/>
          <w:sz w:val="22"/>
          <w:szCs w:val="22"/>
          <w:lang w:val="en-US"/>
        </w:rPr>
        <w:t>.</w:t>
      </w:r>
    </w:p>
    <w:p w14:paraId="3129FC9A" w14:textId="20D5F432" w:rsidR="000A626C" w:rsidRPr="00841766" w:rsidRDefault="000A626C" w:rsidP="00552AAD">
      <w:pPr>
        <w:jc w:val="both"/>
        <w:rPr>
          <w:rFonts w:cstheme="minorHAnsi"/>
          <w:sz w:val="22"/>
          <w:szCs w:val="22"/>
          <w:lang w:val="en-US"/>
        </w:rPr>
      </w:pPr>
      <w:r w:rsidRPr="00841766">
        <w:rPr>
          <w:rFonts w:cstheme="minorHAnsi"/>
          <w:sz w:val="22"/>
          <w:szCs w:val="22"/>
          <w:lang w:val="en-US"/>
        </w:rPr>
        <w:t xml:space="preserve"> </w:t>
      </w:r>
    </w:p>
    <w:p w14:paraId="1AE448EF" w14:textId="488366D6" w:rsidR="000A626C" w:rsidRPr="00841766" w:rsidRDefault="000A626C" w:rsidP="00552AAD">
      <w:pPr>
        <w:autoSpaceDE w:val="0"/>
        <w:autoSpaceDN w:val="0"/>
        <w:adjustRightInd w:val="0"/>
        <w:jc w:val="both"/>
        <w:rPr>
          <w:rFonts w:eastAsia="Times New Roman" w:cstheme="minorHAnsi"/>
          <w:sz w:val="22"/>
          <w:szCs w:val="22"/>
          <w:lang w:val="en-US" w:eastAsia="fr-FR"/>
        </w:rPr>
      </w:pPr>
      <w:r w:rsidRPr="00841766">
        <w:rPr>
          <w:rFonts w:eastAsia="Times New Roman" w:cstheme="minorHAnsi"/>
          <w:sz w:val="22"/>
          <w:szCs w:val="22"/>
          <w:lang w:val="en-US" w:eastAsia="fr-FR"/>
        </w:rPr>
        <w:t xml:space="preserve">The </w:t>
      </w:r>
      <w:r w:rsidRPr="00841766">
        <w:rPr>
          <w:rFonts w:eastAsia="Times New Roman" w:cstheme="minorHAnsi"/>
          <w:b/>
          <w:sz w:val="22"/>
          <w:szCs w:val="22"/>
          <w:lang w:val="en-US" w:eastAsia="fr-FR"/>
        </w:rPr>
        <w:t>Operations Management Group</w:t>
      </w:r>
      <w:r w:rsidR="002230FA">
        <w:rPr>
          <w:rFonts w:eastAsia="Times New Roman" w:cstheme="minorHAnsi"/>
          <w:b/>
          <w:sz w:val="22"/>
          <w:szCs w:val="22"/>
          <w:lang w:val="en-US" w:eastAsia="fr-FR"/>
        </w:rPr>
        <w:t xml:space="preserve"> (OMT)</w:t>
      </w:r>
      <w:r w:rsidRPr="00841766">
        <w:rPr>
          <w:rFonts w:eastAsia="Times New Roman" w:cstheme="minorHAnsi"/>
          <w:sz w:val="22"/>
          <w:szCs w:val="22"/>
          <w:lang w:val="en-US" w:eastAsia="fr-FR"/>
        </w:rPr>
        <w:t xml:space="preserve"> will </w:t>
      </w:r>
      <w:r w:rsidR="00455966" w:rsidRPr="00841766">
        <w:rPr>
          <w:rFonts w:eastAsia="Times New Roman" w:cstheme="minorHAnsi"/>
          <w:sz w:val="22"/>
          <w:szCs w:val="22"/>
          <w:lang w:val="en-US" w:eastAsia="fr-FR"/>
        </w:rPr>
        <w:t xml:space="preserve">build on existing efficiency gains and </w:t>
      </w:r>
      <w:r w:rsidRPr="00841766">
        <w:rPr>
          <w:rFonts w:eastAsia="Times New Roman" w:cstheme="minorHAnsi"/>
          <w:sz w:val="22"/>
          <w:szCs w:val="22"/>
          <w:lang w:val="en-US" w:eastAsia="fr-FR"/>
        </w:rPr>
        <w:t>seek to find new ways of improving organizational effectiveness fo</w:t>
      </w:r>
      <w:r w:rsidR="00C305A4" w:rsidRPr="00841766">
        <w:rPr>
          <w:rFonts w:eastAsia="Times New Roman" w:cstheme="minorHAnsi"/>
          <w:sz w:val="22"/>
          <w:szCs w:val="22"/>
          <w:lang w:val="en-US" w:eastAsia="fr-FR"/>
        </w:rPr>
        <w:t>r the UN’s work in the country, in support of the UNCT reconfiguration required to deliver on the</w:t>
      </w:r>
      <w:r w:rsidR="002230FA">
        <w:rPr>
          <w:rFonts w:eastAsia="Times New Roman" w:cstheme="minorHAnsi"/>
          <w:sz w:val="22"/>
          <w:szCs w:val="22"/>
          <w:lang w:val="en-US" w:eastAsia="fr-FR"/>
        </w:rPr>
        <w:t xml:space="preserve"> UNSDCF</w:t>
      </w:r>
      <w:r w:rsidR="00C305A4" w:rsidRPr="00841766">
        <w:rPr>
          <w:rFonts w:eastAsia="Times New Roman" w:cstheme="minorHAnsi"/>
          <w:sz w:val="22"/>
          <w:szCs w:val="22"/>
          <w:lang w:val="en-US" w:eastAsia="fr-FR"/>
        </w:rPr>
        <w:t>.</w:t>
      </w:r>
      <w:r w:rsidR="002230FA">
        <w:rPr>
          <w:rFonts w:eastAsia="Times New Roman" w:cstheme="minorHAnsi"/>
          <w:sz w:val="22"/>
          <w:szCs w:val="22"/>
          <w:lang w:val="en-US" w:eastAsia="fr-FR"/>
        </w:rPr>
        <w:t xml:space="preserve">  The OMT will develop the Business Operations Strategy (BOS) 2.0, and coordinate the roll-out of BOS 2.0 amongst UN agencies in Timor-Leste.</w:t>
      </w:r>
    </w:p>
    <w:p w14:paraId="42CEBA76" w14:textId="77777777" w:rsidR="000A626C" w:rsidRPr="00841766" w:rsidRDefault="000A626C" w:rsidP="00552AAD">
      <w:pPr>
        <w:autoSpaceDE w:val="0"/>
        <w:autoSpaceDN w:val="0"/>
        <w:adjustRightInd w:val="0"/>
        <w:jc w:val="both"/>
        <w:rPr>
          <w:rFonts w:eastAsia="Times New Roman" w:cstheme="minorHAnsi"/>
          <w:sz w:val="22"/>
          <w:szCs w:val="22"/>
          <w:lang w:val="en-US" w:eastAsia="fr-FR"/>
        </w:rPr>
      </w:pPr>
    </w:p>
    <w:p w14:paraId="0FD41F35" w14:textId="0AF06587" w:rsidR="000A626C" w:rsidRPr="00841766" w:rsidRDefault="000A626C" w:rsidP="00552AAD">
      <w:pPr>
        <w:autoSpaceDE w:val="0"/>
        <w:autoSpaceDN w:val="0"/>
        <w:adjustRightInd w:val="0"/>
        <w:jc w:val="both"/>
        <w:rPr>
          <w:rFonts w:eastAsia="Times New Roman" w:cstheme="minorHAnsi"/>
          <w:sz w:val="22"/>
          <w:szCs w:val="22"/>
          <w:lang w:val="en-US" w:eastAsia="fr-FR"/>
        </w:rPr>
      </w:pPr>
      <w:r w:rsidRPr="00841766">
        <w:rPr>
          <w:rFonts w:eastAsia="Times New Roman" w:cstheme="minorHAnsi"/>
          <w:sz w:val="22"/>
          <w:szCs w:val="22"/>
          <w:lang w:val="en-US" w:eastAsia="fr-FR"/>
        </w:rPr>
        <w:t xml:space="preserve">The </w:t>
      </w:r>
      <w:r w:rsidRPr="00841766">
        <w:rPr>
          <w:rFonts w:eastAsia="Times New Roman" w:cstheme="minorHAnsi"/>
          <w:b/>
          <w:sz w:val="22"/>
          <w:szCs w:val="22"/>
          <w:lang w:val="en-US" w:eastAsia="fr-FR"/>
        </w:rPr>
        <w:t>UN Communications Group</w:t>
      </w:r>
      <w:r w:rsidR="002230FA">
        <w:rPr>
          <w:rFonts w:eastAsia="Times New Roman" w:cstheme="minorHAnsi"/>
          <w:b/>
          <w:sz w:val="22"/>
          <w:szCs w:val="22"/>
          <w:lang w:val="en-US" w:eastAsia="fr-FR"/>
        </w:rPr>
        <w:t xml:space="preserve"> (UNCG)</w:t>
      </w:r>
      <w:r w:rsidRPr="00841766">
        <w:rPr>
          <w:rFonts w:eastAsia="Times New Roman" w:cstheme="minorHAnsi"/>
          <w:b/>
          <w:sz w:val="22"/>
          <w:szCs w:val="22"/>
          <w:lang w:val="en-US" w:eastAsia="fr-FR"/>
        </w:rPr>
        <w:t xml:space="preserve"> </w:t>
      </w:r>
      <w:r w:rsidRPr="00841766">
        <w:rPr>
          <w:rFonts w:eastAsia="Times New Roman" w:cstheme="minorHAnsi"/>
          <w:sz w:val="22"/>
          <w:szCs w:val="22"/>
          <w:lang w:val="en-US" w:eastAsia="fr-FR"/>
        </w:rPr>
        <w:t xml:space="preserve">will </w:t>
      </w:r>
      <w:r w:rsidR="002230FA">
        <w:rPr>
          <w:rFonts w:eastAsia="Times New Roman" w:cstheme="minorHAnsi"/>
          <w:sz w:val="22"/>
          <w:szCs w:val="22"/>
          <w:lang w:val="en-US" w:eastAsia="fr-FR"/>
        </w:rPr>
        <w:t xml:space="preserve">support joint UN </w:t>
      </w:r>
      <w:r w:rsidRPr="00841766">
        <w:rPr>
          <w:rFonts w:eastAsia="Times New Roman" w:cstheme="minorHAnsi"/>
          <w:sz w:val="22"/>
          <w:szCs w:val="22"/>
          <w:lang w:val="en-US" w:eastAsia="fr-FR"/>
        </w:rPr>
        <w:t>communications</w:t>
      </w:r>
      <w:r w:rsidR="002230FA">
        <w:rPr>
          <w:rFonts w:eastAsia="Times New Roman" w:cstheme="minorHAnsi"/>
          <w:sz w:val="22"/>
          <w:szCs w:val="22"/>
          <w:lang w:val="en-US" w:eastAsia="fr-FR"/>
        </w:rPr>
        <w:t xml:space="preserve"> and advocacy efforts on SDGs and the Decade of Action</w:t>
      </w:r>
      <w:r w:rsidRPr="00841766">
        <w:rPr>
          <w:rFonts w:eastAsia="Times New Roman" w:cstheme="minorHAnsi"/>
          <w:sz w:val="22"/>
          <w:szCs w:val="22"/>
          <w:lang w:val="en-US" w:eastAsia="fr-FR"/>
        </w:rPr>
        <w:t>,</w:t>
      </w:r>
      <w:r w:rsidR="002230FA">
        <w:rPr>
          <w:rFonts w:eastAsia="Times New Roman" w:cstheme="minorHAnsi"/>
          <w:sz w:val="22"/>
          <w:szCs w:val="22"/>
          <w:lang w:val="en-US" w:eastAsia="fr-FR"/>
        </w:rPr>
        <w:t xml:space="preserve"> so that the UN speaks with One Voice with common messages on key issues</w:t>
      </w:r>
      <w:r w:rsidRPr="00841766">
        <w:rPr>
          <w:rFonts w:eastAsia="Times New Roman" w:cstheme="minorHAnsi"/>
          <w:sz w:val="22"/>
          <w:szCs w:val="22"/>
          <w:lang w:val="en-US" w:eastAsia="fr-FR"/>
        </w:rPr>
        <w:t xml:space="preserve">.  </w:t>
      </w:r>
    </w:p>
    <w:p w14:paraId="57BDDBAA" w14:textId="77777777" w:rsidR="000A626C" w:rsidRPr="00841766" w:rsidRDefault="000A626C" w:rsidP="00552AAD">
      <w:pPr>
        <w:autoSpaceDE w:val="0"/>
        <w:autoSpaceDN w:val="0"/>
        <w:adjustRightInd w:val="0"/>
        <w:jc w:val="both"/>
        <w:rPr>
          <w:rFonts w:cstheme="minorHAnsi"/>
          <w:color w:val="000000"/>
          <w:sz w:val="23"/>
          <w:szCs w:val="23"/>
          <w:lang w:val="en-US"/>
        </w:rPr>
      </w:pPr>
    </w:p>
    <w:p w14:paraId="71254F7A" w14:textId="6BA122E0" w:rsidR="00A03065" w:rsidRDefault="000A626C" w:rsidP="00552AAD">
      <w:pPr>
        <w:autoSpaceDE w:val="0"/>
        <w:autoSpaceDN w:val="0"/>
        <w:adjustRightInd w:val="0"/>
        <w:jc w:val="both"/>
        <w:rPr>
          <w:rFonts w:cstheme="minorHAnsi"/>
          <w:lang w:val="en-US"/>
        </w:rPr>
      </w:pPr>
      <w:r w:rsidRPr="00841766">
        <w:rPr>
          <w:rFonts w:cstheme="minorHAnsi"/>
          <w:color w:val="000000"/>
          <w:sz w:val="22"/>
          <w:szCs w:val="22"/>
          <w:lang w:val="en-US"/>
        </w:rPr>
        <w:t xml:space="preserve">The </w:t>
      </w:r>
      <w:r w:rsidR="002230FA" w:rsidRPr="00985039">
        <w:rPr>
          <w:rFonts w:cstheme="minorHAnsi"/>
          <w:b/>
          <w:bCs/>
          <w:color w:val="000000"/>
          <w:sz w:val="22"/>
          <w:szCs w:val="22"/>
          <w:lang w:val="en-US"/>
        </w:rPr>
        <w:t>UN Resident Coordinator’s Office (</w:t>
      </w:r>
      <w:r w:rsidRPr="00985039">
        <w:rPr>
          <w:rFonts w:cstheme="minorHAnsi"/>
          <w:b/>
          <w:bCs/>
          <w:color w:val="000000"/>
          <w:sz w:val="22"/>
          <w:szCs w:val="22"/>
          <w:lang w:val="en-US"/>
        </w:rPr>
        <w:t>RCO</w:t>
      </w:r>
      <w:r w:rsidR="002230FA" w:rsidRPr="00985039">
        <w:rPr>
          <w:rFonts w:cstheme="minorHAnsi"/>
          <w:b/>
          <w:bCs/>
          <w:color w:val="000000"/>
          <w:sz w:val="22"/>
          <w:szCs w:val="22"/>
          <w:lang w:val="en-US"/>
        </w:rPr>
        <w:t>)</w:t>
      </w:r>
      <w:r w:rsidRPr="00841766">
        <w:rPr>
          <w:rFonts w:cstheme="minorHAnsi"/>
          <w:color w:val="000000"/>
          <w:sz w:val="22"/>
          <w:szCs w:val="22"/>
          <w:lang w:val="en-US"/>
        </w:rPr>
        <w:t xml:space="preserve"> will </w:t>
      </w:r>
      <w:r w:rsidR="002230FA">
        <w:rPr>
          <w:rFonts w:cstheme="minorHAnsi"/>
          <w:color w:val="000000"/>
          <w:sz w:val="22"/>
          <w:szCs w:val="22"/>
          <w:lang w:val="en-US"/>
        </w:rPr>
        <w:t xml:space="preserve">facilitate and </w:t>
      </w:r>
      <w:r w:rsidRPr="00841766">
        <w:rPr>
          <w:rFonts w:cstheme="minorHAnsi"/>
          <w:color w:val="000000"/>
          <w:sz w:val="22"/>
          <w:szCs w:val="22"/>
          <w:lang w:val="en-US"/>
        </w:rPr>
        <w:t xml:space="preserve">support the establishment and functioning of the </w:t>
      </w:r>
      <w:r w:rsidR="002230FA">
        <w:rPr>
          <w:rFonts w:cstheme="minorHAnsi"/>
          <w:color w:val="000000"/>
          <w:sz w:val="22"/>
          <w:szCs w:val="22"/>
          <w:lang w:val="en-US"/>
        </w:rPr>
        <w:t>UNSDCF</w:t>
      </w:r>
      <w:r w:rsidRPr="00841766">
        <w:rPr>
          <w:rFonts w:cstheme="minorHAnsi"/>
          <w:color w:val="000000"/>
          <w:sz w:val="22"/>
          <w:szCs w:val="22"/>
          <w:lang w:val="en-US"/>
        </w:rPr>
        <w:t xml:space="preserve"> governance structure, providing further guidance and tools.</w:t>
      </w:r>
      <w:r w:rsidR="00693B55">
        <w:rPr>
          <w:rFonts w:cstheme="minorHAnsi"/>
          <w:color w:val="000000"/>
          <w:sz w:val="22"/>
          <w:szCs w:val="22"/>
          <w:lang w:val="en-US"/>
        </w:rPr>
        <w:t xml:space="preserve"> It will also promote the development of strategic partnerships and joint programmes to enable </w:t>
      </w:r>
      <w:r w:rsidR="00693B55">
        <w:rPr>
          <w:rFonts w:cstheme="minorHAnsi"/>
          <w:lang w:val="en-US"/>
        </w:rPr>
        <w:t xml:space="preserve">the UN in Timor-Leste to </w:t>
      </w:r>
      <w:proofErr w:type="spellStart"/>
      <w:r w:rsidR="00693B55">
        <w:rPr>
          <w:rFonts w:cstheme="minorHAnsi"/>
          <w:lang w:val="en-US"/>
        </w:rPr>
        <w:t>maximise</w:t>
      </w:r>
      <w:proofErr w:type="spellEnd"/>
      <w:r w:rsidR="00693B55">
        <w:rPr>
          <w:rFonts w:cstheme="minorHAnsi"/>
          <w:lang w:val="en-US"/>
        </w:rPr>
        <w:t xml:space="preserve"> its impact, effectiveness and contribution to the country’s development.</w:t>
      </w:r>
      <w:r w:rsidR="00A03065">
        <w:rPr>
          <w:rFonts w:cstheme="minorHAnsi"/>
          <w:lang w:val="en-US"/>
        </w:rPr>
        <w:t xml:space="preserve">  </w:t>
      </w:r>
    </w:p>
    <w:p w14:paraId="42AB2421" w14:textId="7D98FCC0" w:rsidR="000A626C" w:rsidRPr="00841766" w:rsidRDefault="00693B55" w:rsidP="00552AAD">
      <w:pPr>
        <w:autoSpaceDE w:val="0"/>
        <w:autoSpaceDN w:val="0"/>
        <w:adjustRightInd w:val="0"/>
        <w:jc w:val="both"/>
        <w:rPr>
          <w:rFonts w:cstheme="minorHAnsi"/>
          <w:lang w:val="en-US"/>
        </w:rPr>
      </w:pPr>
      <w:r>
        <w:rPr>
          <w:rFonts w:cstheme="minorHAnsi"/>
          <w:lang w:val="en-US"/>
        </w:rPr>
        <w:t xml:space="preserve"> </w:t>
      </w:r>
    </w:p>
    <w:p w14:paraId="091477B2" w14:textId="77777777" w:rsidR="000A626C" w:rsidRPr="00841766" w:rsidRDefault="000A626C" w:rsidP="004C515B">
      <w:pPr>
        <w:pStyle w:val="Heading1"/>
        <w:rPr>
          <w:lang w:val="en-US"/>
        </w:rPr>
      </w:pPr>
      <w:bookmarkStart w:id="125" w:name="_Toc29550744"/>
      <w:bookmarkStart w:id="126" w:name="_Toc40265811"/>
      <w:r w:rsidRPr="00841766">
        <w:rPr>
          <w:lang w:val="en-US"/>
        </w:rPr>
        <w:lastRenderedPageBreak/>
        <w:t>CHAPTER 4: MONITORING AND EVALUATION PLAN</w:t>
      </w:r>
      <w:bookmarkEnd w:id="125"/>
      <w:bookmarkEnd w:id="126"/>
    </w:p>
    <w:p w14:paraId="3B022F86" w14:textId="77777777" w:rsidR="00090282" w:rsidRDefault="00090282" w:rsidP="00552AAD">
      <w:pPr>
        <w:autoSpaceDE w:val="0"/>
        <w:autoSpaceDN w:val="0"/>
        <w:adjustRightInd w:val="0"/>
        <w:spacing w:after="120"/>
        <w:jc w:val="both"/>
        <w:rPr>
          <w:rStyle w:val="eop"/>
          <w:rFonts w:ascii="Calibri" w:hAnsi="Calibri" w:cs="Calibri"/>
          <w:sz w:val="22"/>
          <w:szCs w:val="22"/>
        </w:rPr>
      </w:pPr>
    </w:p>
    <w:p w14:paraId="6AF9B5A1" w14:textId="23FA6366" w:rsidR="00090282" w:rsidRPr="00841766" w:rsidRDefault="00090282" w:rsidP="00552AAD">
      <w:pPr>
        <w:autoSpaceDE w:val="0"/>
        <w:autoSpaceDN w:val="0"/>
        <w:adjustRightInd w:val="0"/>
        <w:spacing w:after="120"/>
        <w:jc w:val="both"/>
        <w:rPr>
          <w:rFonts w:eastAsia="Times New Roman" w:cstheme="minorHAnsi"/>
          <w:sz w:val="22"/>
          <w:szCs w:val="22"/>
          <w:lang w:val="en-US" w:eastAsia="fr-FR"/>
        </w:rPr>
      </w:pPr>
      <w:r w:rsidRPr="00841766">
        <w:rPr>
          <w:rFonts w:eastAsia="Times New Roman" w:cstheme="minorHAnsi"/>
          <w:sz w:val="22"/>
          <w:szCs w:val="22"/>
          <w:lang w:val="en-US" w:eastAsia="fr-FR"/>
        </w:rPr>
        <w:t xml:space="preserve">Throughout the </w:t>
      </w:r>
      <w:r>
        <w:rPr>
          <w:rFonts w:eastAsia="Times New Roman" w:cstheme="minorHAnsi"/>
          <w:sz w:val="22"/>
          <w:szCs w:val="22"/>
          <w:lang w:val="en-US" w:eastAsia="fr-FR"/>
        </w:rPr>
        <w:t xml:space="preserve">UNSDCF </w:t>
      </w:r>
      <w:r w:rsidRPr="00841766">
        <w:rPr>
          <w:rFonts w:eastAsia="Times New Roman" w:cstheme="minorHAnsi"/>
          <w:sz w:val="22"/>
          <w:szCs w:val="22"/>
          <w:lang w:val="en-US" w:eastAsia="fr-FR"/>
        </w:rPr>
        <w:t>implementation, the principles of leaving no-one behind, gender equality, resilience and sustainability will be used and results in these dimensions measured.</w:t>
      </w:r>
      <w:r>
        <w:rPr>
          <w:rFonts w:eastAsia="Times New Roman" w:cstheme="minorHAnsi"/>
          <w:sz w:val="22"/>
          <w:szCs w:val="22"/>
          <w:lang w:val="en-US" w:eastAsia="fr-FR"/>
        </w:rPr>
        <w:t xml:space="preserve">  The UN Monitoring and Evaluation (M&amp;E) Group will work closely with the National Statistics Bureau and the relevant counterparts in the </w:t>
      </w:r>
      <w:r w:rsidRPr="00841766">
        <w:rPr>
          <w:rFonts w:cstheme="minorHAnsi"/>
          <w:sz w:val="22"/>
          <w:szCs w:val="22"/>
          <w:lang w:val="en-US"/>
        </w:rPr>
        <w:t>Minister of Finance</w:t>
      </w:r>
      <w:r>
        <w:rPr>
          <w:rFonts w:cstheme="minorHAnsi"/>
          <w:sz w:val="22"/>
          <w:szCs w:val="22"/>
          <w:lang w:val="en-US"/>
        </w:rPr>
        <w:t xml:space="preserve"> and Planning and provide coherent support to address data gaps and improve quality of data and analysis needed to measure progress towards the SDGs.</w:t>
      </w:r>
    </w:p>
    <w:p w14:paraId="08B9D34F" w14:textId="77777777" w:rsidR="00090282" w:rsidRDefault="00090282" w:rsidP="00552AAD">
      <w:pPr>
        <w:pStyle w:val="paragraph"/>
        <w:jc w:val="both"/>
        <w:textAlignment w:val="baseline"/>
        <w:rPr>
          <w:rStyle w:val="normaltextrun1"/>
          <w:rFonts w:ascii="Calibri" w:hAnsi="Calibri" w:cs="Calibri"/>
          <w:b/>
          <w:bCs/>
          <w:sz w:val="22"/>
          <w:szCs w:val="22"/>
        </w:rPr>
      </w:pPr>
    </w:p>
    <w:p w14:paraId="0EA8E2B7" w14:textId="1F366388" w:rsidR="00090282" w:rsidRDefault="00090282" w:rsidP="00552AAD">
      <w:pPr>
        <w:pStyle w:val="paragraph"/>
        <w:jc w:val="both"/>
        <w:textAlignment w:val="baseline"/>
        <w:rPr>
          <w:rStyle w:val="normaltextrun1"/>
          <w:rFonts w:ascii="Calibri" w:hAnsi="Calibri" w:cs="Calibri"/>
          <w:sz w:val="22"/>
          <w:szCs w:val="22"/>
        </w:rPr>
      </w:pPr>
      <w:r>
        <w:rPr>
          <w:rStyle w:val="normaltextrun1"/>
          <w:rFonts w:ascii="Calibri" w:hAnsi="Calibri" w:cs="Calibri"/>
          <w:sz w:val="22"/>
          <w:szCs w:val="22"/>
        </w:rPr>
        <w:t xml:space="preserve">The M&amp;E processes will be robust and timely, allowing programming to be adapted accordingly during the UNSDCF implementation.  The UNSDCF is a living document, whose implementation will be guided by the findings and recommendations of the joint monitoring and review exercises. </w:t>
      </w:r>
    </w:p>
    <w:p w14:paraId="21E656A4" w14:textId="77777777" w:rsidR="00EA0941" w:rsidRDefault="00EA0941" w:rsidP="00552AAD">
      <w:pPr>
        <w:pStyle w:val="paragraph"/>
        <w:jc w:val="both"/>
        <w:textAlignment w:val="baseline"/>
        <w:rPr>
          <w:rStyle w:val="normaltextrun1"/>
          <w:rFonts w:ascii="Calibri" w:hAnsi="Calibri" w:cs="Calibri"/>
          <w:b/>
          <w:bCs/>
          <w:sz w:val="22"/>
          <w:szCs w:val="22"/>
        </w:rPr>
      </w:pPr>
    </w:p>
    <w:p w14:paraId="0F56F141" w14:textId="17DD5A85" w:rsidR="00EA0941" w:rsidRDefault="00EA0941" w:rsidP="00552AAD">
      <w:pPr>
        <w:pStyle w:val="paragraph"/>
        <w:jc w:val="both"/>
        <w:textAlignment w:val="baseline"/>
        <w:rPr>
          <w:rStyle w:val="eop"/>
          <w:rFonts w:ascii="Calibri" w:hAnsi="Calibri" w:cs="Calibri"/>
          <w:sz w:val="22"/>
          <w:szCs w:val="22"/>
        </w:rPr>
      </w:pPr>
      <w:r>
        <w:rPr>
          <w:rStyle w:val="normaltextrun1"/>
          <w:rFonts w:ascii="Calibri" w:hAnsi="Calibri" w:cs="Calibri"/>
          <w:sz w:val="22"/>
          <w:szCs w:val="22"/>
        </w:rPr>
        <w:t>A multi-year costed M&amp;E Plan for the full duration of the Cooperation Framework will be developed during the year preceding the beginning of the Cooperation Framework cycle. This will be conducted in collaboration with the relevant Government agencies, including the General Directorate of Statistics. The M&amp;E Plan will ensure data collection activities take place in a timely manner, and that the data collected generates the evidence needed to measure the Cooperation Framework results. Additionally, the M&amp;E Plan will support the Government in data collection capacity building.</w:t>
      </w:r>
      <w:r>
        <w:rPr>
          <w:rStyle w:val="eop"/>
          <w:rFonts w:ascii="Calibri" w:hAnsi="Calibri" w:cs="Calibri"/>
          <w:sz w:val="22"/>
          <w:szCs w:val="22"/>
        </w:rPr>
        <w:t> </w:t>
      </w:r>
    </w:p>
    <w:p w14:paraId="6ACCCE72" w14:textId="000E2F05" w:rsidR="001E3FEE" w:rsidRDefault="001E3FEE" w:rsidP="00552AAD">
      <w:pPr>
        <w:pStyle w:val="paragraph"/>
        <w:jc w:val="both"/>
        <w:textAlignment w:val="baseline"/>
      </w:pPr>
    </w:p>
    <w:p w14:paraId="15AB7DDB" w14:textId="77777777" w:rsidR="00960D68" w:rsidRDefault="001E3FEE" w:rsidP="004C515B">
      <w:pPr>
        <w:pStyle w:val="Heading2"/>
        <w:rPr>
          <w:rStyle w:val="normaltextrun1"/>
          <w:rFonts w:ascii="Calibri" w:hAnsi="Calibri" w:cs="Calibri"/>
          <w:b w:val="0"/>
          <w:bCs w:val="0"/>
          <w:sz w:val="28"/>
          <w:szCs w:val="28"/>
        </w:rPr>
      </w:pPr>
      <w:bookmarkStart w:id="127" w:name="_Toc40265812"/>
      <w:r>
        <w:rPr>
          <w:rStyle w:val="normaltextrun1"/>
          <w:rFonts w:ascii="Calibri" w:hAnsi="Calibri" w:cs="Calibri"/>
          <w:sz w:val="28"/>
          <w:szCs w:val="28"/>
        </w:rPr>
        <w:t>4.1. Monitoring plan</w:t>
      </w:r>
      <w:bookmarkEnd w:id="127"/>
    </w:p>
    <w:p w14:paraId="3A4B5015" w14:textId="77777777" w:rsidR="00EA0941" w:rsidRPr="000135BE" w:rsidRDefault="00EA0941" w:rsidP="00552AAD">
      <w:pPr>
        <w:pStyle w:val="paragraph"/>
        <w:jc w:val="both"/>
        <w:textAlignment w:val="baseline"/>
        <w:rPr>
          <w:b/>
          <w:bCs/>
        </w:rPr>
      </w:pPr>
      <w:r w:rsidRPr="000135BE">
        <w:rPr>
          <w:rStyle w:val="eop"/>
          <w:rFonts w:ascii="Calibri" w:hAnsi="Calibri" w:cs="Calibri"/>
          <w:b/>
          <w:bCs/>
          <w:sz w:val="22"/>
          <w:szCs w:val="22"/>
        </w:rPr>
        <w:t xml:space="preserve">Baseline data </w:t>
      </w:r>
    </w:p>
    <w:p w14:paraId="41DDA17D" w14:textId="31AE5A89" w:rsidR="00EA0941" w:rsidRDefault="00EA0941" w:rsidP="00552AAD">
      <w:pPr>
        <w:pStyle w:val="paragraph"/>
        <w:jc w:val="both"/>
        <w:textAlignment w:val="baseline"/>
        <w:rPr>
          <w:rStyle w:val="normaltextrun1"/>
          <w:rFonts w:ascii="Calibri" w:hAnsi="Calibri" w:cs="Calibri"/>
          <w:sz w:val="22"/>
          <w:szCs w:val="22"/>
        </w:rPr>
      </w:pPr>
      <w:r>
        <w:rPr>
          <w:rStyle w:val="normaltextrun1"/>
          <w:rFonts w:ascii="Calibri" w:hAnsi="Calibri" w:cs="Calibri"/>
          <w:sz w:val="22"/>
          <w:szCs w:val="22"/>
        </w:rPr>
        <w:t xml:space="preserve">The </w:t>
      </w:r>
      <w:r w:rsidR="00AD2B07">
        <w:rPr>
          <w:rStyle w:val="normaltextrun1"/>
          <w:rFonts w:ascii="Calibri" w:hAnsi="Calibri" w:cs="Calibri"/>
          <w:sz w:val="22"/>
          <w:szCs w:val="22"/>
        </w:rPr>
        <w:t>baseline data in</w:t>
      </w:r>
      <w:r>
        <w:rPr>
          <w:rStyle w:val="normaltextrun1"/>
          <w:rFonts w:ascii="Calibri" w:hAnsi="Calibri" w:cs="Calibri"/>
          <w:sz w:val="22"/>
          <w:szCs w:val="22"/>
        </w:rPr>
        <w:t xml:space="preserve"> the Results Matrix provides information on the current situation. </w:t>
      </w:r>
      <w:r w:rsidR="00F20A1C">
        <w:rPr>
          <w:rStyle w:val="normaltextrun1"/>
          <w:rFonts w:ascii="Calibri" w:hAnsi="Calibri" w:cs="Calibri"/>
          <w:sz w:val="22"/>
          <w:szCs w:val="22"/>
        </w:rPr>
        <w:t xml:space="preserve"> B</w:t>
      </w:r>
      <w:r>
        <w:rPr>
          <w:rStyle w:val="normaltextrun1"/>
          <w:rFonts w:ascii="Calibri" w:hAnsi="Calibri" w:cs="Calibri"/>
          <w:sz w:val="22"/>
          <w:szCs w:val="22"/>
        </w:rPr>
        <w:t>aseline data are</w:t>
      </w:r>
      <w:r w:rsidR="00F20A1C">
        <w:rPr>
          <w:rStyle w:val="normaltextrun1"/>
          <w:rFonts w:ascii="Calibri" w:hAnsi="Calibri" w:cs="Calibri"/>
          <w:sz w:val="22"/>
          <w:szCs w:val="22"/>
        </w:rPr>
        <w:t xml:space="preserve"> use the latest available</w:t>
      </w:r>
      <w:r>
        <w:rPr>
          <w:rStyle w:val="normaltextrun1"/>
          <w:rFonts w:ascii="Calibri" w:hAnsi="Calibri" w:cs="Calibri"/>
          <w:sz w:val="22"/>
          <w:szCs w:val="22"/>
        </w:rPr>
        <w:t xml:space="preserve"> reliable data sources, based on national sources or other sources in line with the data in the CCA, and in most cases, the </w:t>
      </w:r>
      <w:r w:rsidR="00F20A1C">
        <w:rPr>
          <w:rStyle w:val="normaltextrun1"/>
          <w:rFonts w:ascii="Calibri" w:hAnsi="Calibri" w:cs="Calibri"/>
          <w:sz w:val="22"/>
          <w:szCs w:val="22"/>
        </w:rPr>
        <w:t xml:space="preserve">2019 </w:t>
      </w:r>
      <w:r>
        <w:rPr>
          <w:rStyle w:val="normaltextrun1"/>
          <w:rFonts w:ascii="Calibri" w:hAnsi="Calibri" w:cs="Calibri"/>
          <w:sz w:val="22"/>
          <w:szCs w:val="22"/>
        </w:rPr>
        <w:t>SDG Voluntary National Review</w:t>
      </w:r>
      <w:r w:rsidR="00F20A1C">
        <w:rPr>
          <w:rStyle w:val="normaltextrun1"/>
          <w:rFonts w:ascii="Calibri" w:hAnsi="Calibri" w:cs="Calibri"/>
          <w:sz w:val="22"/>
          <w:szCs w:val="22"/>
        </w:rPr>
        <w:t xml:space="preserve"> report</w:t>
      </w:r>
      <w:r>
        <w:rPr>
          <w:rStyle w:val="normaltextrun1"/>
          <w:rFonts w:ascii="Calibri" w:hAnsi="Calibri" w:cs="Calibri"/>
          <w:sz w:val="22"/>
          <w:szCs w:val="22"/>
        </w:rPr>
        <w:t xml:space="preserve">. </w:t>
      </w:r>
      <w:r w:rsidR="00F20A1C">
        <w:rPr>
          <w:rStyle w:val="normaltextrun1"/>
          <w:rFonts w:ascii="Calibri" w:hAnsi="Calibri" w:cs="Calibri"/>
          <w:sz w:val="22"/>
          <w:szCs w:val="22"/>
        </w:rPr>
        <w:t xml:space="preserve"> </w:t>
      </w:r>
      <w:r>
        <w:rPr>
          <w:rStyle w:val="normaltextrun1"/>
          <w:rFonts w:ascii="Calibri" w:hAnsi="Calibri" w:cs="Calibri"/>
          <w:sz w:val="22"/>
          <w:szCs w:val="22"/>
        </w:rPr>
        <w:t>Baseline data will be updated as new data becomes available (</w:t>
      </w:r>
      <w:r w:rsidR="00F20A1C">
        <w:rPr>
          <w:rStyle w:val="normaltextrun1"/>
          <w:rFonts w:ascii="Calibri" w:hAnsi="Calibri" w:cs="Calibri"/>
          <w:sz w:val="22"/>
          <w:szCs w:val="22"/>
        </w:rPr>
        <w:t xml:space="preserve">including </w:t>
      </w:r>
      <w:r>
        <w:rPr>
          <w:rStyle w:val="normaltextrun1"/>
          <w:rFonts w:ascii="Calibri" w:hAnsi="Calibri" w:cs="Calibri"/>
          <w:sz w:val="22"/>
          <w:szCs w:val="22"/>
        </w:rPr>
        <w:t>the Census 202</w:t>
      </w:r>
      <w:r w:rsidR="006E7B96">
        <w:rPr>
          <w:rStyle w:val="normaltextrun1"/>
          <w:rFonts w:ascii="Calibri" w:hAnsi="Calibri" w:cs="Calibri"/>
          <w:sz w:val="22"/>
          <w:szCs w:val="22"/>
        </w:rPr>
        <w:t>1</w:t>
      </w:r>
      <w:r w:rsidR="00F20A1C">
        <w:rPr>
          <w:rStyle w:val="normaltextrun1"/>
          <w:rFonts w:ascii="Calibri" w:hAnsi="Calibri" w:cs="Calibri"/>
          <w:sz w:val="22"/>
          <w:szCs w:val="22"/>
        </w:rPr>
        <w:t xml:space="preserve"> and</w:t>
      </w:r>
      <w:r>
        <w:rPr>
          <w:rStyle w:val="normaltextrun1"/>
          <w:rFonts w:ascii="Calibri" w:hAnsi="Calibri" w:cs="Calibri"/>
          <w:sz w:val="22"/>
          <w:szCs w:val="22"/>
        </w:rPr>
        <w:t xml:space="preserve"> the </w:t>
      </w:r>
      <w:proofErr w:type="spellStart"/>
      <w:r>
        <w:rPr>
          <w:rStyle w:val="normaltextrun1"/>
          <w:rFonts w:ascii="Calibri" w:hAnsi="Calibri" w:cs="Calibri"/>
          <w:sz w:val="22"/>
          <w:szCs w:val="22"/>
        </w:rPr>
        <w:t>Labour</w:t>
      </w:r>
      <w:proofErr w:type="spellEnd"/>
      <w:r>
        <w:rPr>
          <w:rStyle w:val="normaltextrun1"/>
          <w:rFonts w:ascii="Calibri" w:hAnsi="Calibri" w:cs="Calibri"/>
          <w:sz w:val="22"/>
          <w:szCs w:val="22"/>
        </w:rPr>
        <w:t xml:space="preserve"> Force Survey (LFS)). </w:t>
      </w:r>
      <w:r w:rsidR="00F20A1C">
        <w:rPr>
          <w:rStyle w:val="normaltextrun1"/>
          <w:rFonts w:ascii="Calibri" w:hAnsi="Calibri" w:cs="Calibri"/>
          <w:sz w:val="22"/>
          <w:szCs w:val="22"/>
        </w:rPr>
        <w:t xml:space="preserve"> Where</w:t>
      </w:r>
      <w:r>
        <w:rPr>
          <w:rStyle w:val="normaltextrun1"/>
          <w:rFonts w:ascii="Calibri" w:hAnsi="Calibri" w:cs="Calibri"/>
          <w:sz w:val="22"/>
          <w:szCs w:val="22"/>
        </w:rPr>
        <w:t xml:space="preserve"> appropriate data does not exist, the best available proxy is used instead. </w:t>
      </w:r>
    </w:p>
    <w:p w14:paraId="6E891146" w14:textId="77777777" w:rsidR="00EA0941" w:rsidRDefault="00EA0941" w:rsidP="00552AAD">
      <w:pPr>
        <w:pStyle w:val="paragraph"/>
        <w:jc w:val="both"/>
        <w:textAlignment w:val="baseline"/>
        <w:rPr>
          <w:rStyle w:val="normaltextrun1"/>
          <w:rFonts w:ascii="Calibri" w:hAnsi="Calibri" w:cs="Calibri"/>
          <w:sz w:val="22"/>
          <w:szCs w:val="22"/>
        </w:rPr>
      </w:pPr>
    </w:p>
    <w:p w14:paraId="1B68949B" w14:textId="55EC2B83" w:rsidR="00EA0941" w:rsidRDefault="004944DC" w:rsidP="00552AAD">
      <w:pPr>
        <w:pStyle w:val="paragraph"/>
        <w:jc w:val="both"/>
        <w:textAlignment w:val="baseline"/>
        <w:rPr>
          <w:rStyle w:val="normaltextrun1"/>
          <w:rFonts w:ascii="Calibri" w:hAnsi="Calibri" w:cs="Calibri"/>
          <w:sz w:val="22"/>
          <w:szCs w:val="22"/>
        </w:rPr>
      </w:pPr>
      <w:r>
        <w:rPr>
          <w:rStyle w:val="eop"/>
          <w:rFonts w:ascii="Calibri" w:hAnsi="Calibri" w:cs="Calibri"/>
          <w:sz w:val="22"/>
          <w:szCs w:val="22"/>
        </w:rPr>
        <w:t>The Results Matrix also include i</w:t>
      </w:r>
      <w:r w:rsidR="00EA0941">
        <w:rPr>
          <w:rStyle w:val="eop"/>
          <w:rFonts w:ascii="Calibri" w:hAnsi="Calibri" w:cs="Calibri"/>
          <w:sz w:val="22"/>
          <w:szCs w:val="22"/>
        </w:rPr>
        <w:t xml:space="preserve">ndicators </w:t>
      </w:r>
      <w:r>
        <w:rPr>
          <w:rStyle w:val="eop"/>
          <w:rFonts w:ascii="Calibri" w:hAnsi="Calibri" w:cs="Calibri"/>
          <w:sz w:val="22"/>
          <w:szCs w:val="22"/>
        </w:rPr>
        <w:t xml:space="preserve">without baseline data </w:t>
      </w:r>
      <w:r w:rsidR="00EA0941">
        <w:rPr>
          <w:rStyle w:val="eop"/>
          <w:rFonts w:ascii="Calibri" w:hAnsi="Calibri" w:cs="Calibri"/>
          <w:sz w:val="22"/>
          <w:szCs w:val="22"/>
        </w:rPr>
        <w:t>or proxy</w:t>
      </w:r>
      <w:r>
        <w:rPr>
          <w:rStyle w:val="eop"/>
          <w:rFonts w:ascii="Calibri" w:hAnsi="Calibri" w:cs="Calibri"/>
          <w:sz w:val="22"/>
          <w:szCs w:val="22"/>
        </w:rPr>
        <w:t xml:space="preserve"> indicators.  These indicators are considered important </w:t>
      </w:r>
      <w:r w:rsidR="00A23817">
        <w:rPr>
          <w:rStyle w:val="eop"/>
          <w:rFonts w:ascii="Calibri" w:hAnsi="Calibri" w:cs="Calibri"/>
          <w:sz w:val="22"/>
          <w:szCs w:val="22"/>
        </w:rPr>
        <w:t xml:space="preserve">to measure </w:t>
      </w:r>
      <w:r>
        <w:rPr>
          <w:rStyle w:val="eop"/>
          <w:rFonts w:ascii="Calibri" w:hAnsi="Calibri" w:cs="Calibri"/>
          <w:sz w:val="22"/>
          <w:szCs w:val="22"/>
        </w:rPr>
        <w:t xml:space="preserve">the </w:t>
      </w:r>
      <w:r w:rsidR="00A23817">
        <w:rPr>
          <w:rStyle w:val="eop"/>
          <w:rFonts w:ascii="Calibri" w:hAnsi="Calibri" w:cs="Calibri"/>
          <w:sz w:val="22"/>
          <w:szCs w:val="22"/>
        </w:rPr>
        <w:t>UNSDCF results</w:t>
      </w:r>
      <w:r w:rsidR="00446FE9">
        <w:rPr>
          <w:rStyle w:val="eop"/>
          <w:rFonts w:ascii="Calibri" w:hAnsi="Calibri" w:cs="Calibri"/>
          <w:sz w:val="22"/>
          <w:szCs w:val="22"/>
        </w:rPr>
        <w:t xml:space="preserve"> and SDGs acceleration</w:t>
      </w:r>
      <w:r w:rsidR="00EA0941">
        <w:rPr>
          <w:rStyle w:val="eop"/>
          <w:rFonts w:ascii="Calibri" w:hAnsi="Calibri" w:cs="Calibri"/>
          <w:sz w:val="22"/>
          <w:szCs w:val="22"/>
        </w:rPr>
        <w:t xml:space="preserve">, </w:t>
      </w:r>
      <w:r w:rsidR="00A23817">
        <w:rPr>
          <w:rStyle w:val="eop"/>
          <w:rFonts w:ascii="Calibri" w:hAnsi="Calibri" w:cs="Calibri"/>
          <w:sz w:val="22"/>
          <w:szCs w:val="22"/>
        </w:rPr>
        <w:t>and thus will be</w:t>
      </w:r>
      <w:r w:rsidR="00EA0941">
        <w:rPr>
          <w:rStyle w:val="eop"/>
          <w:rFonts w:ascii="Calibri" w:hAnsi="Calibri" w:cs="Calibri"/>
          <w:sz w:val="22"/>
          <w:szCs w:val="22"/>
        </w:rPr>
        <w:t xml:space="preserve"> areas </w:t>
      </w:r>
      <w:r w:rsidR="00A23817">
        <w:rPr>
          <w:rStyle w:val="eop"/>
          <w:rFonts w:ascii="Calibri" w:hAnsi="Calibri" w:cs="Calibri"/>
          <w:sz w:val="22"/>
          <w:szCs w:val="22"/>
        </w:rPr>
        <w:t>for</w:t>
      </w:r>
      <w:r w:rsidR="00EA0941">
        <w:rPr>
          <w:rStyle w:val="eop"/>
          <w:rFonts w:ascii="Calibri" w:hAnsi="Calibri" w:cs="Calibri"/>
          <w:sz w:val="22"/>
          <w:szCs w:val="22"/>
        </w:rPr>
        <w:t xml:space="preserve"> potential </w:t>
      </w:r>
      <w:r w:rsidR="00446FE9">
        <w:rPr>
          <w:rStyle w:val="eop"/>
          <w:rFonts w:ascii="Calibri" w:hAnsi="Calibri" w:cs="Calibri"/>
          <w:sz w:val="22"/>
          <w:szCs w:val="22"/>
        </w:rPr>
        <w:t xml:space="preserve">studies/research to be undertaken </w:t>
      </w:r>
      <w:r w:rsidR="00A23817">
        <w:rPr>
          <w:rStyle w:val="eop"/>
          <w:rFonts w:ascii="Calibri" w:hAnsi="Calibri" w:cs="Calibri"/>
          <w:sz w:val="22"/>
          <w:szCs w:val="22"/>
        </w:rPr>
        <w:t>during the UNSDCF implementation period</w:t>
      </w:r>
      <w:r w:rsidR="00EA0941">
        <w:rPr>
          <w:rStyle w:val="eop"/>
          <w:rFonts w:ascii="Calibri" w:hAnsi="Calibri" w:cs="Calibri"/>
          <w:sz w:val="22"/>
          <w:szCs w:val="22"/>
        </w:rPr>
        <w:t xml:space="preserve">. </w:t>
      </w:r>
      <w:r w:rsidR="00A23817">
        <w:rPr>
          <w:rStyle w:val="eop"/>
          <w:rFonts w:ascii="Calibri" w:hAnsi="Calibri" w:cs="Calibri"/>
          <w:sz w:val="22"/>
          <w:szCs w:val="22"/>
        </w:rPr>
        <w:t xml:space="preserve"> </w:t>
      </w:r>
      <w:r w:rsidR="00EA0941">
        <w:rPr>
          <w:rStyle w:val="eop"/>
          <w:rFonts w:ascii="Calibri" w:hAnsi="Calibri" w:cs="Calibri"/>
          <w:sz w:val="22"/>
          <w:szCs w:val="22"/>
        </w:rPr>
        <w:t>These indicators indicate important areas to tap into in order to accelerate the SDGs.</w:t>
      </w:r>
    </w:p>
    <w:p w14:paraId="1619C09F" w14:textId="77777777" w:rsidR="00EA0941" w:rsidRDefault="00EA0941" w:rsidP="00552AAD">
      <w:pPr>
        <w:pStyle w:val="paragraph"/>
        <w:jc w:val="both"/>
        <w:textAlignment w:val="baseline"/>
        <w:rPr>
          <w:rStyle w:val="normaltextrun1"/>
          <w:rFonts w:ascii="Calibri" w:hAnsi="Calibri" w:cs="Calibri"/>
          <w:sz w:val="22"/>
          <w:szCs w:val="22"/>
        </w:rPr>
      </w:pPr>
    </w:p>
    <w:p w14:paraId="74FF6415" w14:textId="77777777" w:rsidR="00EA0941" w:rsidRPr="000135BE" w:rsidRDefault="00EA0941" w:rsidP="00552AAD">
      <w:pPr>
        <w:pStyle w:val="paragraph"/>
        <w:jc w:val="both"/>
        <w:textAlignment w:val="baseline"/>
        <w:rPr>
          <w:rStyle w:val="normaltextrun1"/>
          <w:rFonts w:ascii="Calibri" w:hAnsi="Calibri" w:cs="Calibri"/>
          <w:b/>
          <w:bCs/>
          <w:sz w:val="22"/>
          <w:szCs w:val="22"/>
        </w:rPr>
      </w:pPr>
      <w:r w:rsidRPr="000135BE">
        <w:rPr>
          <w:rStyle w:val="normaltextrun1"/>
          <w:rFonts w:ascii="Calibri" w:hAnsi="Calibri" w:cs="Calibri"/>
          <w:b/>
          <w:bCs/>
          <w:sz w:val="22"/>
          <w:szCs w:val="22"/>
        </w:rPr>
        <w:t>Establishing targets</w:t>
      </w:r>
    </w:p>
    <w:p w14:paraId="04AF6F0C" w14:textId="00CE86C2" w:rsidR="00EA0941" w:rsidRPr="00487FB0" w:rsidRDefault="00EA0941" w:rsidP="00552AAD">
      <w:pPr>
        <w:pStyle w:val="paragraph"/>
        <w:jc w:val="both"/>
        <w:textAlignment w:val="baseline"/>
        <w:rPr>
          <w:rStyle w:val="normaltextrun1"/>
        </w:rPr>
      </w:pPr>
      <w:r>
        <w:rPr>
          <w:rStyle w:val="normaltextrun1"/>
          <w:rFonts w:ascii="Calibri" w:hAnsi="Calibri" w:cs="Calibri"/>
          <w:sz w:val="22"/>
          <w:szCs w:val="22"/>
        </w:rPr>
        <w:t xml:space="preserve">Each indicator has a target which is jointly established by the UN and Government partners. </w:t>
      </w:r>
      <w:r w:rsidR="00446FE9">
        <w:rPr>
          <w:rStyle w:val="normaltextrun1"/>
          <w:rFonts w:ascii="Calibri" w:hAnsi="Calibri" w:cs="Calibri"/>
          <w:sz w:val="22"/>
          <w:szCs w:val="22"/>
        </w:rPr>
        <w:t xml:space="preserve"> </w:t>
      </w:r>
      <w:r>
        <w:rPr>
          <w:rStyle w:val="normaltextrun1"/>
          <w:rFonts w:ascii="Calibri" w:hAnsi="Calibri" w:cs="Calibri"/>
          <w:sz w:val="22"/>
          <w:szCs w:val="22"/>
        </w:rPr>
        <w:t xml:space="preserve">The SDGs have not yet been nationalized in Timor-Leste. </w:t>
      </w:r>
      <w:r w:rsidR="00446FE9">
        <w:rPr>
          <w:rStyle w:val="normaltextrun1"/>
          <w:rFonts w:ascii="Calibri" w:hAnsi="Calibri" w:cs="Calibri"/>
          <w:sz w:val="22"/>
          <w:szCs w:val="22"/>
        </w:rPr>
        <w:t xml:space="preserve"> </w:t>
      </w:r>
      <w:r>
        <w:rPr>
          <w:rStyle w:val="normaltextrun1"/>
          <w:rFonts w:ascii="Calibri" w:hAnsi="Calibri" w:cs="Calibri"/>
          <w:sz w:val="22"/>
          <w:szCs w:val="22"/>
        </w:rPr>
        <w:t xml:space="preserve">The following methodology </w:t>
      </w:r>
      <w:r w:rsidR="00446FE9">
        <w:rPr>
          <w:rStyle w:val="normaltextrun1"/>
          <w:rFonts w:ascii="Calibri" w:hAnsi="Calibri" w:cs="Calibri"/>
          <w:sz w:val="22"/>
          <w:szCs w:val="22"/>
        </w:rPr>
        <w:t>has been</w:t>
      </w:r>
      <w:r>
        <w:rPr>
          <w:rStyle w:val="normaltextrun1"/>
          <w:rFonts w:ascii="Calibri" w:hAnsi="Calibri" w:cs="Calibri"/>
          <w:sz w:val="22"/>
          <w:szCs w:val="22"/>
        </w:rPr>
        <w:t xml:space="preserve"> used </w:t>
      </w:r>
      <w:r w:rsidR="00446FE9">
        <w:rPr>
          <w:rStyle w:val="normaltextrun1"/>
          <w:rFonts w:ascii="Calibri" w:hAnsi="Calibri" w:cs="Calibri"/>
          <w:sz w:val="22"/>
          <w:szCs w:val="22"/>
        </w:rPr>
        <w:t>to</w:t>
      </w:r>
      <w:r>
        <w:rPr>
          <w:rStyle w:val="normaltextrun1"/>
          <w:rFonts w:ascii="Calibri" w:hAnsi="Calibri" w:cs="Calibri"/>
          <w:sz w:val="22"/>
          <w:szCs w:val="22"/>
        </w:rPr>
        <w:t xml:space="preserve"> establis</w:t>
      </w:r>
      <w:r w:rsidR="00446FE9">
        <w:rPr>
          <w:rStyle w:val="normaltextrun1"/>
          <w:rFonts w:ascii="Calibri" w:hAnsi="Calibri" w:cs="Calibri"/>
          <w:sz w:val="22"/>
          <w:szCs w:val="22"/>
        </w:rPr>
        <w:t>h the</w:t>
      </w:r>
      <w:r>
        <w:rPr>
          <w:rStyle w:val="normaltextrun1"/>
          <w:rFonts w:ascii="Calibri" w:hAnsi="Calibri" w:cs="Calibri"/>
          <w:sz w:val="22"/>
          <w:szCs w:val="22"/>
        </w:rPr>
        <w:t xml:space="preserve"> targets: </w:t>
      </w:r>
    </w:p>
    <w:p w14:paraId="5943C4BF" w14:textId="0E146E1C" w:rsidR="00EA0941" w:rsidRDefault="00EA0941" w:rsidP="00552AAD">
      <w:pPr>
        <w:pStyle w:val="paragraph"/>
        <w:numPr>
          <w:ilvl w:val="0"/>
          <w:numId w:val="37"/>
        </w:numPr>
        <w:jc w:val="both"/>
        <w:textAlignment w:val="baseline"/>
        <w:rPr>
          <w:rStyle w:val="normaltextrun1"/>
          <w:rFonts w:ascii="Calibri" w:hAnsi="Calibri" w:cs="Calibri"/>
          <w:sz w:val="22"/>
          <w:szCs w:val="22"/>
        </w:rPr>
      </w:pPr>
      <w:r>
        <w:rPr>
          <w:rStyle w:val="normaltextrun1"/>
          <w:rFonts w:ascii="Calibri" w:hAnsi="Calibri" w:cs="Calibri"/>
          <w:sz w:val="22"/>
          <w:szCs w:val="22"/>
        </w:rPr>
        <w:t>The target</w:t>
      </w:r>
      <w:r w:rsidR="00DF2485">
        <w:rPr>
          <w:rStyle w:val="normaltextrun1"/>
          <w:rFonts w:ascii="Calibri" w:hAnsi="Calibri" w:cs="Calibri"/>
          <w:sz w:val="22"/>
          <w:szCs w:val="22"/>
        </w:rPr>
        <w:t>s are</w:t>
      </w:r>
      <w:r>
        <w:rPr>
          <w:rStyle w:val="normaltextrun1"/>
          <w:rFonts w:ascii="Calibri" w:hAnsi="Calibri" w:cs="Calibri"/>
          <w:sz w:val="22"/>
          <w:szCs w:val="22"/>
        </w:rPr>
        <w:t xml:space="preserve"> based on official, national targets, and/or policies.</w:t>
      </w:r>
    </w:p>
    <w:p w14:paraId="17DFC5BB" w14:textId="4C667445" w:rsidR="00EA0941" w:rsidRDefault="00EA0941" w:rsidP="00552AAD">
      <w:pPr>
        <w:pStyle w:val="paragraph"/>
        <w:numPr>
          <w:ilvl w:val="0"/>
          <w:numId w:val="37"/>
        </w:numPr>
        <w:jc w:val="both"/>
        <w:textAlignment w:val="baseline"/>
        <w:rPr>
          <w:rStyle w:val="normaltextrun1"/>
          <w:rFonts w:ascii="Calibri" w:hAnsi="Calibri" w:cs="Calibri"/>
          <w:sz w:val="22"/>
          <w:szCs w:val="22"/>
        </w:rPr>
      </w:pPr>
      <w:r>
        <w:rPr>
          <w:rStyle w:val="normaltextrun1"/>
          <w:rFonts w:ascii="Calibri" w:hAnsi="Calibri" w:cs="Calibri"/>
          <w:sz w:val="22"/>
          <w:szCs w:val="22"/>
        </w:rPr>
        <w:t xml:space="preserve">If national targets do not exist, the SDG Global Goal Targets and/or international standards/projections </w:t>
      </w:r>
      <w:r w:rsidR="00DF2485">
        <w:rPr>
          <w:rStyle w:val="normaltextrun1"/>
          <w:rFonts w:ascii="Calibri" w:hAnsi="Calibri" w:cs="Calibri"/>
          <w:sz w:val="22"/>
          <w:szCs w:val="22"/>
        </w:rPr>
        <w:t>are</w:t>
      </w:r>
      <w:r>
        <w:rPr>
          <w:rStyle w:val="normaltextrun1"/>
          <w:rFonts w:ascii="Calibri" w:hAnsi="Calibri" w:cs="Calibri"/>
          <w:sz w:val="22"/>
          <w:szCs w:val="22"/>
        </w:rPr>
        <w:t xml:space="preserve"> used to calculate a trend and target. </w:t>
      </w:r>
      <w:r w:rsidR="00DF2485">
        <w:rPr>
          <w:rStyle w:val="normaltextrun1"/>
          <w:rFonts w:ascii="Calibri" w:hAnsi="Calibri" w:cs="Calibri"/>
          <w:sz w:val="22"/>
          <w:szCs w:val="22"/>
        </w:rPr>
        <w:t xml:space="preserve"> </w:t>
      </w:r>
      <w:r>
        <w:rPr>
          <w:rStyle w:val="normaltextrun1"/>
          <w:rFonts w:ascii="Calibri" w:hAnsi="Calibri" w:cs="Calibri"/>
          <w:sz w:val="22"/>
          <w:szCs w:val="22"/>
        </w:rPr>
        <w:t xml:space="preserve">These targets </w:t>
      </w:r>
      <w:r w:rsidR="00DF2485">
        <w:rPr>
          <w:rStyle w:val="normaltextrun1"/>
          <w:rFonts w:ascii="Calibri" w:hAnsi="Calibri" w:cs="Calibri"/>
          <w:sz w:val="22"/>
          <w:szCs w:val="22"/>
        </w:rPr>
        <w:t xml:space="preserve">are </w:t>
      </w:r>
      <w:r>
        <w:rPr>
          <w:rStyle w:val="normaltextrun1"/>
          <w:rFonts w:ascii="Calibri" w:hAnsi="Calibri" w:cs="Calibri"/>
          <w:sz w:val="22"/>
          <w:szCs w:val="22"/>
        </w:rPr>
        <w:t xml:space="preserve">based on calculations from global trends and standards </w:t>
      </w:r>
      <w:r w:rsidR="00DF2485">
        <w:rPr>
          <w:rStyle w:val="normaltextrun1"/>
          <w:rFonts w:ascii="Calibri" w:hAnsi="Calibri" w:cs="Calibri"/>
          <w:sz w:val="22"/>
          <w:szCs w:val="22"/>
        </w:rPr>
        <w:t xml:space="preserve">and </w:t>
      </w:r>
      <w:r>
        <w:rPr>
          <w:rStyle w:val="normaltextrun1"/>
          <w:rFonts w:ascii="Calibri" w:hAnsi="Calibri" w:cs="Calibri"/>
          <w:sz w:val="22"/>
          <w:szCs w:val="22"/>
        </w:rPr>
        <w:t xml:space="preserve">provide a starting point for determining targets. </w:t>
      </w:r>
      <w:r w:rsidR="00DF2485">
        <w:rPr>
          <w:rStyle w:val="normaltextrun1"/>
          <w:rFonts w:ascii="Calibri" w:hAnsi="Calibri" w:cs="Calibri"/>
          <w:sz w:val="22"/>
          <w:szCs w:val="22"/>
        </w:rPr>
        <w:t xml:space="preserve"> </w:t>
      </w:r>
      <w:r>
        <w:rPr>
          <w:rStyle w:val="normaltextrun1"/>
          <w:rFonts w:ascii="Calibri" w:hAnsi="Calibri" w:cs="Calibri"/>
          <w:sz w:val="22"/>
          <w:szCs w:val="22"/>
        </w:rPr>
        <w:t xml:space="preserve">These targets </w:t>
      </w:r>
      <w:r w:rsidR="00DF2485">
        <w:rPr>
          <w:rStyle w:val="normaltextrun1"/>
          <w:rFonts w:ascii="Calibri" w:hAnsi="Calibri" w:cs="Calibri"/>
          <w:sz w:val="22"/>
          <w:szCs w:val="22"/>
        </w:rPr>
        <w:t>are</w:t>
      </w:r>
      <w:r>
        <w:rPr>
          <w:rStyle w:val="normaltextrun1"/>
          <w:rFonts w:ascii="Calibri" w:hAnsi="Calibri" w:cs="Calibri"/>
          <w:sz w:val="22"/>
          <w:szCs w:val="22"/>
        </w:rPr>
        <w:t xml:space="preserve"> then contextualized on an indicator-by-indicator basis. </w:t>
      </w:r>
    </w:p>
    <w:p w14:paraId="4A2693EC" w14:textId="6D40D63D" w:rsidR="00DF2485" w:rsidRPr="000E231E" w:rsidRDefault="00EA0941" w:rsidP="00552AAD">
      <w:pPr>
        <w:pStyle w:val="paragraph"/>
        <w:numPr>
          <w:ilvl w:val="0"/>
          <w:numId w:val="37"/>
        </w:numPr>
        <w:jc w:val="both"/>
        <w:textAlignment w:val="baseline"/>
        <w:rPr>
          <w:rStyle w:val="normaltextrun1"/>
          <w:rFonts w:ascii="Calibri" w:hAnsi="Calibri" w:cs="Calibri"/>
          <w:sz w:val="22"/>
          <w:szCs w:val="22"/>
        </w:rPr>
      </w:pPr>
      <w:r>
        <w:rPr>
          <w:rStyle w:val="normaltextrun1"/>
          <w:rFonts w:ascii="Calibri" w:hAnsi="Calibri" w:cs="Calibri"/>
          <w:sz w:val="22"/>
          <w:szCs w:val="22"/>
        </w:rPr>
        <w:t>T</w:t>
      </w:r>
      <w:r w:rsidRPr="007E666E">
        <w:rPr>
          <w:rStyle w:val="normaltextrun1"/>
          <w:rFonts w:ascii="Calibri" w:hAnsi="Calibri" w:cs="Calibri"/>
          <w:sz w:val="22"/>
          <w:szCs w:val="22"/>
        </w:rPr>
        <w:t>he UN and relevant Government partners jointly determine</w:t>
      </w:r>
      <w:r>
        <w:rPr>
          <w:rStyle w:val="normaltextrun1"/>
          <w:rFonts w:ascii="Calibri" w:hAnsi="Calibri" w:cs="Calibri"/>
          <w:sz w:val="22"/>
          <w:szCs w:val="22"/>
        </w:rPr>
        <w:t xml:space="preserve"> and </w:t>
      </w:r>
      <w:r w:rsidR="00DF2485">
        <w:rPr>
          <w:rStyle w:val="normaltextrun1"/>
          <w:rFonts w:ascii="Calibri" w:hAnsi="Calibri" w:cs="Calibri"/>
          <w:sz w:val="22"/>
          <w:szCs w:val="22"/>
        </w:rPr>
        <w:t>agree on the</w:t>
      </w:r>
      <w:r w:rsidRPr="007E666E">
        <w:rPr>
          <w:rStyle w:val="normaltextrun1"/>
          <w:rFonts w:ascii="Calibri" w:hAnsi="Calibri" w:cs="Calibri"/>
          <w:sz w:val="22"/>
          <w:szCs w:val="22"/>
        </w:rPr>
        <w:t xml:space="preserve"> targets.</w:t>
      </w:r>
      <w:r w:rsidR="00DF2485">
        <w:rPr>
          <w:rStyle w:val="normaltextrun1"/>
          <w:rFonts w:ascii="Calibri" w:hAnsi="Calibri" w:cs="Calibri"/>
          <w:sz w:val="22"/>
          <w:szCs w:val="22"/>
        </w:rPr>
        <w:t xml:space="preserve">  </w:t>
      </w:r>
    </w:p>
    <w:p w14:paraId="738EA3A8" w14:textId="77777777" w:rsidR="00EA0941" w:rsidRPr="00985039" w:rsidRDefault="00EA0941" w:rsidP="00552AAD">
      <w:pPr>
        <w:pStyle w:val="paragraph"/>
        <w:numPr>
          <w:ilvl w:val="0"/>
          <w:numId w:val="37"/>
        </w:numPr>
        <w:jc w:val="both"/>
        <w:textAlignment w:val="baseline"/>
        <w:rPr>
          <w:rFonts w:ascii="Calibri" w:hAnsi="Calibri" w:cs="Calibri"/>
          <w:sz w:val="22"/>
          <w:szCs w:val="22"/>
        </w:rPr>
      </w:pPr>
      <w:r w:rsidRPr="00985039">
        <w:rPr>
          <w:rStyle w:val="eop"/>
          <w:rFonts w:ascii="Calibri" w:hAnsi="Calibri" w:cs="Calibri"/>
          <w:sz w:val="22"/>
          <w:szCs w:val="22"/>
        </w:rPr>
        <w:t xml:space="preserve">As new baseline data becomes available, targets will also be updated. </w:t>
      </w:r>
    </w:p>
    <w:p w14:paraId="4229600A" w14:textId="77777777" w:rsidR="00EA0941" w:rsidRDefault="00EA0941" w:rsidP="00552AAD">
      <w:pPr>
        <w:pStyle w:val="paragraph"/>
        <w:jc w:val="both"/>
        <w:textAlignment w:val="baseline"/>
        <w:rPr>
          <w:rStyle w:val="normaltextrun1"/>
          <w:rFonts w:ascii="Calibri" w:hAnsi="Calibri" w:cs="Calibri"/>
          <w:sz w:val="22"/>
          <w:szCs w:val="22"/>
        </w:rPr>
      </w:pPr>
    </w:p>
    <w:p w14:paraId="48562AC9" w14:textId="77777777" w:rsidR="00EA0941" w:rsidRPr="000135BE" w:rsidRDefault="00EA0941" w:rsidP="00552AAD">
      <w:pPr>
        <w:pStyle w:val="paragraph"/>
        <w:jc w:val="both"/>
        <w:textAlignment w:val="baseline"/>
        <w:rPr>
          <w:rStyle w:val="normaltextrun1"/>
          <w:rFonts w:ascii="Calibri" w:hAnsi="Calibri" w:cs="Calibri"/>
          <w:b/>
          <w:bCs/>
          <w:sz w:val="22"/>
          <w:szCs w:val="22"/>
        </w:rPr>
      </w:pPr>
      <w:r w:rsidRPr="000135BE">
        <w:rPr>
          <w:rStyle w:val="normaltextrun1"/>
          <w:rFonts w:ascii="Calibri" w:hAnsi="Calibri" w:cs="Calibri"/>
          <w:b/>
          <w:bCs/>
          <w:sz w:val="22"/>
          <w:szCs w:val="22"/>
        </w:rPr>
        <w:t>Data limitations</w:t>
      </w:r>
    </w:p>
    <w:p w14:paraId="2CB441FA" w14:textId="6A5E90CB" w:rsidR="00EA0941" w:rsidRDefault="00EA0941" w:rsidP="00552AAD">
      <w:pPr>
        <w:pStyle w:val="paragraph"/>
        <w:jc w:val="both"/>
        <w:textAlignment w:val="baseline"/>
        <w:rPr>
          <w:rStyle w:val="eop"/>
          <w:rFonts w:ascii="Calibri" w:hAnsi="Calibri" w:cs="Calibri"/>
          <w:sz w:val="22"/>
          <w:szCs w:val="22"/>
        </w:rPr>
      </w:pPr>
      <w:r>
        <w:rPr>
          <w:rStyle w:val="normaltextrun1"/>
          <w:rFonts w:ascii="Calibri" w:hAnsi="Calibri" w:cs="Calibri"/>
          <w:sz w:val="22"/>
          <w:szCs w:val="22"/>
        </w:rPr>
        <w:t xml:space="preserve">Several SDG indicators in the </w:t>
      </w:r>
      <w:r w:rsidR="00DF2485">
        <w:rPr>
          <w:rStyle w:val="normaltextrun1"/>
          <w:rFonts w:ascii="Calibri" w:hAnsi="Calibri" w:cs="Calibri"/>
          <w:sz w:val="22"/>
          <w:szCs w:val="22"/>
        </w:rPr>
        <w:t xml:space="preserve">UNSDCF </w:t>
      </w:r>
      <w:r>
        <w:rPr>
          <w:rStyle w:val="normaltextrun1"/>
          <w:rFonts w:ascii="Calibri" w:hAnsi="Calibri" w:cs="Calibri"/>
          <w:sz w:val="22"/>
          <w:szCs w:val="22"/>
        </w:rPr>
        <w:t xml:space="preserve">Results Matrix are only measured every </w:t>
      </w:r>
      <w:r w:rsidR="006E7B96">
        <w:rPr>
          <w:rStyle w:val="normaltextrun1"/>
          <w:rFonts w:ascii="Calibri" w:hAnsi="Calibri" w:cs="Calibri"/>
          <w:sz w:val="22"/>
          <w:szCs w:val="22"/>
        </w:rPr>
        <w:t>ten</w:t>
      </w:r>
      <w:r>
        <w:rPr>
          <w:rStyle w:val="normaltextrun1"/>
          <w:rFonts w:ascii="Calibri" w:hAnsi="Calibri" w:cs="Calibri"/>
          <w:sz w:val="22"/>
          <w:szCs w:val="22"/>
        </w:rPr>
        <w:t xml:space="preserve"> years in conjunction with data collection timelines </w:t>
      </w:r>
      <w:r w:rsidRPr="007E666E">
        <w:rPr>
          <w:rStyle w:val="eop"/>
          <w:rFonts w:ascii="Calibri" w:hAnsi="Calibri" w:cs="Calibri"/>
          <w:sz w:val="22"/>
          <w:szCs w:val="22"/>
        </w:rPr>
        <w:t>(</w:t>
      </w:r>
      <w:proofErr w:type="spellStart"/>
      <w:r>
        <w:rPr>
          <w:rStyle w:val="eop"/>
          <w:rFonts w:ascii="Calibri" w:hAnsi="Calibri" w:cs="Calibri"/>
          <w:sz w:val="22"/>
          <w:szCs w:val="22"/>
        </w:rPr>
        <w:t>e</w:t>
      </w:r>
      <w:r w:rsidR="00DF2485">
        <w:rPr>
          <w:rStyle w:val="eop"/>
          <w:rFonts w:ascii="Calibri" w:hAnsi="Calibri" w:cs="Calibri"/>
          <w:sz w:val="22"/>
          <w:szCs w:val="22"/>
        </w:rPr>
        <w:t>g</w:t>
      </w:r>
      <w:r>
        <w:rPr>
          <w:rStyle w:val="eop"/>
          <w:rFonts w:ascii="Calibri" w:hAnsi="Calibri" w:cs="Calibri"/>
          <w:sz w:val="22"/>
          <w:szCs w:val="22"/>
        </w:rPr>
        <w:t>.</w:t>
      </w:r>
      <w:proofErr w:type="spellEnd"/>
      <w:r w:rsidRPr="007E666E">
        <w:rPr>
          <w:rStyle w:val="eop"/>
          <w:rFonts w:ascii="Calibri" w:hAnsi="Calibri" w:cs="Calibri"/>
          <w:sz w:val="22"/>
          <w:szCs w:val="22"/>
        </w:rPr>
        <w:t xml:space="preserve"> the Census 202</w:t>
      </w:r>
      <w:r w:rsidR="006E7B96">
        <w:rPr>
          <w:rStyle w:val="eop"/>
          <w:rFonts w:ascii="Calibri" w:hAnsi="Calibri" w:cs="Calibri"/>
          <w:sz w:val="22"/>
          <w:szCs w:val="22"/>
        </w:rPr>
        <w:t>1</w:t>
      </w:r>
      <w:r w:rsidRPr="007E666E">
        <w:rPr>
          <w:rStyle w:val="eop"/>
          <w:rFonts w:ascii="Calibri" w:hAnsi="Calibri" w:cs="Calibri"/>
          <w:sz w:val="22"/>
          <w:szCs w:val="22"/>
        </w:rPr>
        <w:t>)</w:t>
      </w:r>
      <w:r>
        <w:rPr>
          <w:rStyle w:val="normaltextrun1"/>
          <w:rFonts w:ascii="Calibri" w:hAnsi="Calibri" w:cs="Calibri"/>
          <w:sz w:val="22"/>
          <w:szCs w:val="22"/>
        </w:rPr>
        <w:t xml:space="preserve">. </w:t>
      </w:r>
      <w:r w:rsidR="00DF2485">
        <w:rPr>
          <w:rStyle w:val="normaltextrun1"/>
          <w:rFonts w:ascii="Calibri" w:hAnsi="Calibri" w:cs="Calibri"/>
          <w:sz w:val="22"/>
          <w:szCs w:val="22"/>
        </w:rPr>
        <w:t xml:space="preserve"> </w:t>
      </w:r>
      <w:r>
        <w:rPr>
          <w:rStyle w:val="normaltextrun1"/>
          <w:rFonts w:ascii="Calibri" w:hAnsi="Calibri" w:cs="Calibri"/>
          <w:sz w:val="22"/>
          <w:szCs w:val="22"/>
        </w:rPr>
        <w:t>The Results Matrix, therefore</w:t>
      </w:r>
      <w:r w:rsidR="00DF2485">
        <w:rPr>
          <w:rStyle w:val="normaltextrun1"/>
          <w:rFonts w:ascii="Calibri" w:hAnsi="Calibri" w:cs="Calibri"/>
          <w:sz w:val="22"/>
          <w:szCs w:val="22"/>
        </w:rPr>
        <w:t>,</w:t>
      </w:r>
      <w:r>
        <w:rPr>
          <w:rStyle w:val="normaltextrun1"/>
          <w:rFonts w:ascii="Calibri" w:hAnsi="Calibri" w:cs="Calibri"/>
          <w:sz w:val="22"/>
          <w:szCs w:val="22"/>
        </w:rPr>
        <w:t xml:space="preserve"> also includes intermediary results (sub-outcomes) and corresponding indicators, which for a large majority can be </w:t>
      </w:r>
      <w:r>
        <w:rPr>
          <w:rStyle w:val="normaltextrun1"/>
          <w:rFonts w:ascii="Calibri" w:hAnsi="Calibri" w:cs="Calibri"/>
          <w:sz w:val="22"/>
          <w:szCs w:val="22"/>
        </w:rPr>
        <w:lastRenderedPageBreak/>
        <w:t xml:space="preserve">measured more frequently, through </w:t>
      </w:r>
      <w:r w:rsidR="006E7B96">
        <w:rPr>
          <w:rStyle w:val="normaltextrun1"/>
          <w:rFonts w:ascii="Calibri" w:hAnsi="Calibri" w:cs="Calibri"/>
          <w:sz w:val="22"/>
          <w:szCs w:val="22"/>
        </w:rPr>
        <w:t xml:space="preserve">surveys, </w:t>
      </w:r>
      <w:r w:rsidR="00DF2485">
        <w:rPr>
          <w:rStyle w:val="normaltextrun1"/>
          <w:rFonts w:ascii="Calibri" w:hAnsi="Calibri" w:cs="Calibri"/>
          <w:sz w:val="22"/>
          <w:szCs w:val="22"/>
        </w:rPr>
        <w:t>administrative</w:t>
      </w:r>
      <w:r>
        <w:rPr>
          <w:rStyle w:val="normaltextrun1"/>
          <w:rFonts w:ascii="Calibri" w:hAnsi="Calibri" w:cs="Calibri"/>
          <w:sz w:val="22"/>
          <w:szCs w:val="22"/>
        </w:rPr>
        <w:t xml:space="preserve"> data </w:t>
      </w:r>
      <w:r w:rsidR="00DF2485">
        <w:rPr>
          <w:rStyle w:val="normaltextrun1"/>
          <w:rFonts w:ascii="Calibri" w:hAnsi="Calibri" w:cs="Calibri"/>
          <w:sz w:val="22"/>
          <w:szCs w:val="22"/>
        </w:rPr>
        <w:t>and</w:t>
      </w:r>
      <w:r>
        <w:rPr>
          <w:rStyle w:val="normaltextrun1"/>
          <w:rFonts w:ascii="Calibri" w:hAnsi="Calibri" w:cs="Calibri"/>
          <w:sz w:val="22"/>
          <w:szCs w:val="22"/>
        </w:rPr>
        <w:t xml:space="preserve"> other data collection mechanisms. </w:t>
      </w:r>
      <w:r w:rsidR="00DF2485">
        <w:rPr>
          <w:rStyle w:val="normaltextrun1"/>
          <w:rFonts w:ascii="Calibri" w:hAnsi="Calibri" w:cs="Calibri"/>
          <w:sz w:val="22"/>
          <w:szCs w:val="22"/>
        </w:rPr>
        <w:t xml:space="preserve"> </w:t>
      </w:r>
      <w:r>
        <w:rPr>
          <w:rStyle w:val="normaltextrun1"/>
          <w:rFonts w:ascii="Calibri" w:hAnsi="Calibri" w:cs="Calibri"/>
          <w:sz w:val="22"/>
          <w:szCs w:val="22"/>
        </w:rPr>
        <w:t>In the event where a sub-outcome cannot be measured annually, a proxy indicator will be used to assess progress. </w:t>
      </w:r>
      <w:r>
        <w:rPr>
          <w:rStyle w:val="eop"/>
          <w:rFonts w:ascii="Calibri" w:hAnsi="Calibri" w:cs="Calibri"/>
          <w:sz w:val="22"/>
          <w:szCs w:val="22"/>
        </w:rPr>
        <w:t> </w:t>
      </w:r>
    </w:p>
    <w:p w14:paraId="1A53EF4F" w14:textId="77777777" w:rsidR="00EA0941" w:rsidRDefault="00EA0941" w:rsidP="00552AAD">
      <w:pPr>
        <w:pStyle w:val="paragraph"/>
        <w:jc w:val="both"/>
        <w:textAlignment w:val="baseline"/>
        <w:rPr>
          <w:rStyle w:val="eop"/>
          <w:rFonts w:ascii="Calibri" w:hAnsi="Calibri" w:cs="Calibri"/>
          <w:sz w:val="22"/>
          <w:szCs w:val="22"/>
        </w:rPr>
      </w:pPr>
    </w:p>
    <w:p w14:paraId="457527E0" w14:textId="77777777" w:rsidR="00EA0941" w:rsidRPr="000135BE" w:rsidRDefault="00EA0941" w:rsidP="00552AAD">
      <w:pPr>
        <w:pStyle w:val="paragraph"/>
        <w:jc w:val="both"/>
        <w:textAlignment w:val="baseline"/>
      </w:pPr>
      <w:r w:rsidRPr="000135BE">
        <w:rPr>
          <w:rStyle w:val="normaltextrun1"/>
          <w:rFonts w:ascii="Calibri" w:hAnsi="Calibri" w:cs="Calibri"/>
          <w:b/>
          <w:bCs/>
          <w:color w:val="000000"/>
          <w:sz w:val="22"/>
          <w:szCs w:val="22"/>
        </w:rPr>
        <w:t>Field-level monitoring </w:t>
      </w:r>
      <w:r w:rsidRPr="000135BE">
        <w:rPr>
          <w:rStyle w:val="eop"/>
          <w:rFonts w:ascii="Calibri" w:hAnsi="Calibri" w:cs="Calibri"/>
          <w:sz w:val="22"/>
          <w:szCs w:val="22"/>
        </w:rPr>
        <w:t> </w:t>
      </w:r>
    </w:p>
    <w:p w14:paraId="3A878FB2" w14:textId="77777777" w:rsidR="00EA0941" w:rsidRDefault="00EA0941" w:rsidP="00552AAD">
      <w:pPr>
        <w:pStyle w:val="paragraph"/>
        <w:jc w:val="both"/>
        <w:textAlignment w:val="baseline"/>
        <w:rPr>
          <w:rStyle w:val="eop"/>
          <w:rFonts w:ascii="Calibri" w:hAnsi="Calibri" w:cs="Calibri"/>
          <w:sz w:val="22"/>
          <w:szCs w:val="22"/>
        </w:rPr>
      </w:pPr>
      <w:r>
        <w:rPr>
          <w:rStyle w:val="normaltextrun1"/>
          <w:rFonts w:ascii="Calibri" w:hAnsi="Calibri" w:cs="Calibri"/>
          <w:color w:val="000000"/>
          <w:sz w:val="22"/>
          <w:szCs w:val="22"/>
        </w:rPr>
        <w:t xml:space="preserve">Joint field monitoring visits will be one of the main tools for joint collection of field-level monitoring information (qualitative and quantitative) on results, </w:t>
      </w:r>
      <w:r>
        <w:rPr>
          <w:rStyle w:val="normaltextrun1"/>
          <w:rFonts w:ascii="Calibri" w:hAnsi="Calibri" w:cs="Calibri"/>
          <w:sz w:val="22"/>
          <w:szCs w:val="22"/>
        </w:rPr>
        <w:t>processes and activities.</w:t>
      </w:r>
      <w:r>
        <w:rPr>
          <w:rStyle w:val="eop"/>
          <w:rFonts w:ascii="Calibri" w:hAnsi="Calibri" w:cs="Calibri"/>
          <w:sz w:val="22"/>
          <w:szCs w:val="22"/>
        </w:rPr>
        <w:t> </w:t>
      </w:r>
    </w:p>
    <w:p w14:paraId="7DA078E6" w14:textId="77777777" w:rsidR="00EA0941" w:rsidRDefault="00EA0941" w:rsidP="00552AAD">
      <w:pPr>
        <w:pStyle w:val="paragraph"/>
        <w:jc w:val="both"/>
        <w:textAlignment w:val="baseline"/>
      </w:pPr>
    </w:p>
    <w:p w14:paraId="18A53A2A" w14:textId="6CD7AFB4" w:rsidR="00B730EF" w:rsidRPr="000135BE" w:rsidRDefault="00B730EF" w:rsidP="00552AAD">
      <w:pPr>
        <w:pStyle w:val="paragraph"/>
        <w:jc w:val="both"/>
        <w:textAlignment w:val="baseline"/>
        <w:rPr>
          <w:rStyle w:val="normaltextrun1"/>
          <w:rFonts w:ascii="Calibri" w:hAnsi="Calibri" w:cs="Calibri"/>
          <w:b/>
          <w:bCs/>
          <w:sz w:val="22"/>
          <w:szCs w:val="22"/>
        </w:rPr>
      </w:pPr>
      <w:r w:rsidRPr="000135BE">
        <w:rPr>
          <w:rStyle w:val="normaltextrun1"/>
          <w:rFonts w:ascii="Calibri" w:hAnsi="Calibri" w:cs="Calibri"/>
          <w:b/>
          <w:bCs/>
          <w:sz w:val="22"/>
          <w:szCs w:val="22"/>
        </w:rPr>
        <w:t>Harmonized Approach to Cash Transfer</w:t>
      </w:r>
    </w:p>
    <w:p w14:paraId="104B1C93" w14:textId="721B33F5" w:rsidR="00EA0941" w:rsidRDefault="00EA0941" w:rsidP="00552AAD">
      <w:pPr>
        <w:pStyle w:val="paragraph"/>
        <w:jc w:val="both"/>
        <w:textAlignment w:val="baseline"/>
      </w:pPr>
      <w:r>
        <w:rPr>
          <w:rStyle w:val="normaltextrun1"/>
          <w:rFonts w:ascii="Calibri" w:hAnsi="Calibri" w:cs="Calibri"/>
          <w:sz w:val="22"/>
          <w:szCs w:val="22"/>
        </w:rPr>
        <w:t>Implementing Partners agree to cooperate with the UN system agencies for monitoring all activities</w:t>
      </w:r>
      <w:r>
        <w:rPr>
          <w:rStyle w:val="eop"/>
          <w:rFonts w:ascii="Calibri" w:hAnsi="Calibri" w:cs="Calibri"/>
          <w:sz w:val="22"/>
          <w:szCs w:val="22"/>
        </w:rPr>
        <w:t> </w:t>
      </w:r>
    </w:p>
    <w:p w14:paraId="2C93E12F" w14:textId="77777777" w:rsidR="00EA0941" w:rsidRDefault="00EA0941" w:rsidP="00552AAD">
      <w:pPr>
        <w:pStyle w:val="paragraph"/>
        <w:jc w:val="both"/>
        <w:textAlignment w:val="baseline"/>
      </w:pPr>
      <w:r>
        <w:rPr>
          <w:rStyle w:val="normaltextrun1"/>
          <w:rFonts w:ascii="Calibri" w:hAnsi="Calibri" w:cs="Calibri"/>
          <w:sz w:val="22"/>
          <w:szCs w:val="22"/>
        </w:rPr>
        <w:t>supported by cash transfers and will facilitate access to relevant financial records and personnel</w:t>
      </w:r>
      <w:r>
        <w:rPr>
          <w:rStyle w:val="eop"/>
          <w:rFonts w:ascii="Calibri" w:hAnsi="Calibri" w:cs="Calibri"/>
          <w:sz w:val="22"/>
          <w:szCs w:val="22"/>
        </w:rPr>
        <w:t> </w:t>
      </w:r>
    </w:p>
    <w:p w14:paraId="4032A13D" w14:textId="04CAC604" w:rsidR="00EA0941" w:rsidRDefault="00EA0941" w:rsidP="00552AAD">
      <w:pPr>
        <w:pStyle w:val="paragraph"/>
        <w:jc w:val="both"/>
        <w:textAlignment w:val="baseline"/>
      </w:pPr>
      <w:r>
        <w:rPr>
          <w:rStyle w:val="normaltextrun1"/>
          <w:rFonts w:ascii="Calibri" w:hAnsi="Calibri" w:cs="Calibri"/>
          <w:sz w:val="22"/>
          <w:szCs w:val="22"/>
        </w:rPr>
        <w:t xml:space="preserve">responsible for the administration of cash provided by the UN system agencies. </w:t>
      </w:r>
      <w:r w:rsidR="00B730EF">
        <w:rPr>
          <w:rStyle w:val="normaltextrun1"/>
          <w:rFonts w:ascii="Calibri" w:hAnsi="Calibri" w:cs="Calibri"/>
          <w:sz w:val="22"/>
          <w:szCs w:val="22"/>
        </w:rPr>
        <w:t xml:space="preserve"> </w:t>
      </w:r>
      <w:r>
        <w:rPr>
          <w:rStyle w:val="normaltextrun1"/>
          <w:rFonts w:ascii="Calibri" w:hAnsi="Calibri" w:cs="Calibri"/>
          <w:sz w:val="22"/>
          <w:szCs w:val="22"/>
        </w:rPr>
        <w:t>To that effect, Implementing Partners agree to the following:</w:t>
      </w:r>
      <w:r>
        <w:rPr>
          <w:rStyle w:val="eop"/>
          <w:rFonts w:ascii="Calibri" w:hAnsi="Calibri" w:cs="Calibri"/>
          <w:sz w:val="22"/>
          <w:szCs w:val="22"/>
        </w:rPr>
        <w:t> </w:t>
      </w:r>
    </w:p>
    <w:p w14:paraId="716080D7" w14:textId="77777777" w:rsidR="00EA0941" w:rsidRDefault="00EA0941" w:rsidP="00552AAD">
      <w:pPr>
        <w:pStyle w:val="paragraph"/>
        <w:numPr>
          <w:ilvl w:val="0"/>
          <w:numId w:val="36"/>
        </w:numPr>
        <w:jc w:val="both"/>
        <w:textAlignment w:val="baseline"/>
      </w:pPr>
      <w:r>
        <w:rPr>
          <w:rStyle w:val="normaltextrun1"/>
          <w:rFonts w:ascii="Calibri" w:hAnsi="Calibri" w:cs="Calibri"/>
          <w:sz w:val="22"/>
          <w:szCs w:val="22"/>
        </w:rPr>
        <w:t>Periodic on-site reviews and spot checks of their financial records by the UN system agencies or their representatives, as appropriate, and as described in specific clauses of their engagement documents/contracts with the UN system agencies,</w:t>
      </w:r>
      <w:r>
        <w:rPr>
          <w:rStyle w:val="eop"/>
          <w:rFonts w:ascii="Calibri" w:hAnsi="Calibri" w:cs="Calibri"/>
          <w:sz w:val="22"/>
          <w:szCs w:val="22"/>
        </w:rPr>
        <w:t> </w:t>
      </w:r>
    </w:p>
    <w:p w14:paraId="1E3BB696" w14:textId="77777777" w:rsidR="00EA0941" w:rsidRDefault="00EA0941" w:rsidP="00552AAD">
      <w:pPr>
        <w:pStyle w:val="paragraph"/>
        <w:numPr>
          <w:ilvl w:val="0"/>
          <w:numId w:val="36"/>
        </w:numPr>
        <w:jc w:val="both"/>
        <w:textAlignment w:val="baseline"/>
      </w:pPr>
      <w:r>
        <w:rPr>
          <w:rStyle w:val="normaltextrun1"/>
          <w:rFonts w:ascii="Calibri" w:hAnsi="Calibri" w:cs="Calibri"/>
          <w:sz w:val="22"/>
          <w:szCs w:val="22"/>
        </w:rPr>
        <w:t>Programmatic monitoring of activities following the UN system agencies’ standards and guidance for site visits and field monitoring,</w:t>
      </w:r>
      <w:r>
        <w:rPr>
          <w:rStyle w:val="eop"/>
          <w:rFonts w:ascii="Calibri" w:hAnsi="Calibri" w:cs="Calibri"/>
          <w:sz w:val="22"/>
          <w:szCs w:val="22"/>
        </w:rPr>
        <w:t> </w:t>
      </w:r>
    </w:p>
    <w:p w14:paraId="73D86358" w14:textId="297C858D" w:rsidR="00EA0941" w:rsidRDefault="00EA0941" w:rsidP="00552AAD">
      <w:pPr>
        <w:pStyle w:val="paragraph"/>
        <w:numPr>
          <w:ilvl w:val="0"/>
          <w:numId w:val="36"/>
        </w:numPr>
        <w:jc w:val="both"/>
        <w:textAlignment w:val="baseline"/>
      </w:pPr>
      <w:r>
        <w:rPr>
          <w:rStyle w:val="normaltextrun1"/>
          <w:rFonts w:ascii="Calibri" w:hAnsi="Calibri" w:cs="Calibri"/>
          <w:sz w:val="22"/>
          <w:szCs w:val="22"/>
        </w:rPr>
        <w:t xml:space="preserve">Special or scheduled audits. </w:t>
      </w:r>
      <w:r w:rsidR="00B730EF">
        <w:rPr>
          <w:rStyle w:val="normaltextrun1"/>
          <w:rFonts w:ascii="Calibri" w:hAnsi="Calibri" w:cs="Calibri"/>
          <w:sz w:val="22"/>
          <w:szCs w:val="22"/>
        </w:rPr>
        <w:t xml:space="preserve"> </w:t>
      </w:r>
      <w:r>
        <w:rPr>
          <w:rStyle w:val="normaltextrun1"/>
          <w:rFonts w:ascii="Calibri" w:hAnsi="Calibri" w:cs="Calibri"/>
          <w:sz w:val="22"/>
          <w:szCs w:val="22"/>
        </w:rPr>
        <w:t>Each UN organization, in collaboration with other UN system agencies (where so desired and in consultation with the respective coordinating Ministry) will establish an annual audit plan, giving priority to audits of Implementing Partners with large amounts of cash assistance provided by the UN system agencies, and those whose financial management capacity needs strengthening.</w:t>
      </w:r>
      <w:r>
        <w:rPr>
          <w:rStyle w:val="eop"/>
          <w:rFonts w:ascii="Calibri" w:hAnsi="Calibri" w:cs="Calibri"/>
          <w:sz w:val="22"/>
          <w:szCs w:val="22"/>
        </w:rPr>
        <w:t> </w:t>
      </w:r>
    </w:p>
    <w:p w14:paraId="4E18CA59" w14:textId="6E0A2146" w:rsidR="001E3FEE" w:rsidRDefault="001E3FEE" w:rsidP="00552AAD">
      <w:pPr>
        <w:pStyle w:val="paragraph"/>
        <w:jc w:val="both"/>
        <w:textAlignment w:val="baseline"/>
        <w:rPr>
          <w:b/>
          <w:bCs/>
        </w:rPr>
      </w:pPr>
      <w:r>
        <w:rPr>
          <w:rStyle w:val="eop"/>
          <w:rFonts w:ascii="Calibri" w:hAnsi="Calibri" w:cs="Calibri"/>
          <w:b/>
          <w:bCs/>
          <w:sz w:val="28"/>
          <w:szCs w:val="28"/>
        </w:rPr>
        <w:t> </w:t>
      </w:r>
    </w:p>
    <w:p w14:paraId="28179791" w14:textId="77777777" w:rsidR="001E3FEE" w:rsidRDefault="001E3FEE" w:rsidP="004C515B">
      <w:pPr>
        <w:pStyle w:val="paragraph"/>
        <w:textAlignment w:val="baseline"/>
        <w:rPr>
          <w:color w:val="1F3763"/>
        </w:rPr>
      </w:pPr>
      <w:r>
        <w:rPr>
          <w:rStyle w:val="normaltextrun1"/>
          <w:rFonts w:ascii="Calibri Light" w:hAnsi="Calibri Light" w:cs="Calibri Light"/>
          <w:color w:val="1F3763"/>
        </w:rPr>
        <w:t>4.1.1. Risks and opportunities</w:t>
      </w:r>
      <w:r>
        <w:rPr>
          <w:rStyle w:val="eop"/>
          <w:rFonts w:ascii="Calibri Light" w:hAnsi="Calibri Light" w:cs="Calibri Light"/>
          <w:color w:val="1F3763"/>
        </w:rPr>
        <w:t> </w:t>
      </w:r>
    </w:p>
    <w:p w14:paraId="2C1E6A59" w14:textId="77777777" w:rsidR="001E3FEE" w:rsidRDefault="001E3FEE" w:rsidP="004C515B">
      <w:pPr>
        <w:pStyle w:val="paragraph"/>
        <w:textAlignment w:val="baseline"/>
      </w:pPr>
      <w:r>
        <w:rPr>
          <w:rStyle w:val="eop"/>
          <w:rFonts w:ascii="Calibri" w:hAnsi="Calibri" w:cs="Calibri"/>
          <w:sz w:val="22"/>
          <w:szCs w:val="22"/>
        </w:rPr>
        <w:t> </w:t>
      </w:r>
    </w:p>
    <w:p w14:paraId="25E2958D" w14:textId="739B7529" w:rsidR="001E3FEE" w:rsidRDefault="001E3FEE" w:rsidP="00552AAD">
      <w:pPr>
        <w:pStyle w:val="paragraph"/>
        <w:jc w:val="both"/>
        <w:textAlignment w:val="baseline"/>
      </w:pPr>
      <w:r>
        <w:rPr>
          <w:rStyle w:val="normaltextrun1"/>
          <w:rFonts w:ascii="Calibri" w:hAnsi="Calibri" w:cs="Calibri"/>
          <w:sz w:val="22"/>
          <w:szCs w:val="22"/>
        </w:rPr>
        <w:t xml:space="preserve">The CCA identified </w:t>
      </w:r>
      <w:r w:rsidR="004C515B">
        <w:rPr>
          <w:rStyle w:val="normaltextrun1"/>
          <w:rFonts w:ascii="Calibri" w:hAnsi="Calibri" w:cs="Calibri"/>
          <w:sz w:val="22"/>
          <w:szCs w:val="22"/>
        </w:rPr>
        <w:t xml:space="preserve">several </w:t>
      </w:r>
      <w:r>
        <w:rPr>
          <w:rStyle w:val="normaltextrun1"/>
          <w:rFonts w:ascii="Calibri" w:hAnsi="Calibri" w:cs="Calibri"/>
          <w:sz w:val="22"/>
          <w:szCs w:val="22"/>
        </w:rPr>
        <w:t xml:space="preserve">risks and threats likely to hamper progress towards the SDGs, as well as </w:t>
      </w:r>
      <w:r w:rsidR="004C515B">
        <w:rPr>
          <w:rStyle w:val="normaltextrun1"/>
          <w:rFonts w:ascii="Calibri" w:hAnsi="Calibri" w:cs="Calibri"/>
          <w:sz w:val="22"/>
          <w:szCs w:val="22"/>
        </w:rPr>
        <w:t xml:space="preserve">risk mitigation measures and </w:t>
      </w:r>
      <w:r>
        <w:rPr>
          <w:rStyle w:val="normaltextrun1"/>
          <w:rFonts w:ascii="Calibri" w:hAnsi="Calibri" w:cs="Calibri"/>
          <w:sz w:val="22"/>
          <w:szCs w:val="22"/>
        </w:rPr>
        <w:t xml:space="preserve">opportunities that would help accelerate progress.  Those risks with the highest likelihood of occurring as well as their potential impact on the achievement of the </w:t>
      </w:r>
      <w:r w:rsidR="00960D68">
        <w:rPr>
          <w:rStyle w:val="normaltextrun1"/>
          <w:rFonts w:ascii="Calibri" w:hAnsi="Calibri" w:cs="Calibri"/>
          <w:sz w:val="22"/>
          <w:szCs w:val="22"/>
        </w:rPr>
        <w:t xml:space="preserve">UNSDCF </w:t>
      </w:r>
      <w:r>
        <w:rPr>
          <w:rStyle w:val="normaltextrun1"/>
          <w:rFonts w:ascii="Calibri" w:hAnsi="Calibri" w:cs="Calibri"/>
          <w:sz w:val="22"/>
          <w:szCs w:val="22"/>
        </w:rPr>
        <w:t>outcomes have been identified as follows.</w:t>
      </w:r>
      <w:r>
        <w:rPr>
          <w:rStyle w:val="eop"/>
          <w:rFonts w:ascii="Calibri" w:hAnsi="Calibri" w:cs="Calibri"/>
          <w:sz w:val="22"/>
          <w:szCs w:val="22"/>
        </w:rPr>
        <w:t> </w:t>
      </w:r>
    </w:p>
    <w:p w14:paraId="00900510" w14:textId="77777777" w:rsidR="001E3FEE" w:rsidRDefault="001E3FEE" w:rsidP="00552AAD">
      <w:pPr>
        <w:pStyle w:val="paragraph"/>
        <w:jc w:val="both"/>
        <w:textAlignment w:val="baseline"/>
      </w:pPr>
      <w:r>
        <w:rPr>
          <w:rStyle w:val="eop"/>
          <w:rFonts w:ascii="Arial" w:hAnsi="Arial" w:cs="Arial"/>
          <w:sz w:val="22"/>
          <w:szCs w:val="22"/>
        </w:rPr>
        <w:t> </w:t>
      </w:r>
    </w:p>
    <w:p w14:paraId="2A1C9DA1" w14:textId="252AED70" w:rsidR="001E3FEE" w:rsidRDefault="001E3FEE" w:rsidP="00552AAD">
      <w:pPr>
        <w:pStyle w:val="paragraph"/>
        <w:ind w:right="-15"/>
        <w:jc w:val="both"/>
        <w:textAlignment w:val="baseline"/>
      </w:pPr>
      <w:r>
        <w:rPr>
          <w:rStyle w:val="normaltextrun1"/>
          <w:rFonts w:ascii="Calibri" w:hAnsi="Calibri" w:cs="Calibri"/>
          <w:b/>
          <w:bCs/>
          <w:sz w:val="22"/>
          <w:szCs w:val="22"/>
        </w:rPr>
        <w:t>The political deadlock</w:t>
      </w:r>
      <w:r>
        <w:rPr>
          <w:rStyle w:val="normaltextrun1"/>
          <w:rFonts w:ascii="Calibri" w:hAnsi="Calibri" w:cs="Calibri"/>
          <w:sz w:val="22"/>
          <w:szCs w:val="22"/>
        </w:rPr>
        <w:t xml:space="preserve"> has adversely impacted the country’s development since 2017 and continues to hamper and postpone key decisions regarding the future direction of the country.  Th</w:t>
      </w:r>
      <w:r w:rsidR="00920024">
        <w:rPr>
          <w:rStyle w:val="normaltextrun1"/>
          <w:rFonts w:ascii="Calibri" w:hAnsi="Calibri" w:cs="Calibri"/>
          <w:sz w:val="22"/>
          <w:szCs w:val="22"/>
        </w:rPr>
        <w:t>e political</w:t>
      </w:r>
      <w:r>
        <w:rPr>
          <w:rStyle w:val="normaltextrun1"/>
          <w:rFonts w:ascii="Calibri" w:hAnsi="Calibri" w:cs="Calibri"/>
          <w:sz w:val="22"/>
          <w:szCs w:val="22"/>
        </w:rPr>
        <w:t xml:space="preserve"> situation is already affecting policy development, implementation and delivery of services, which has led to a negative effect on economic growth</w:t>
      </w:r>
      <w:r w:rsidR="00920024">
        <w:rPr>
          <w:rStyle w:val="normaltextrun1"/>
          <w:rFonts w:ascii="Calibri" w:hAnsi="Calibri" w:cs="Calibri"/>
          <w:sz w:val="22"/>
          <w:szCs w:val="22"/>
        </w:rPr>
        <w:t>, with a potential risk on stability</w:t>
      </w:r>
      <w:r>
        <w:rPr>
          <w:rStyle w:val="normaltextrun1"/>
          <w:rFonts w:ascii="Calibri" w:hAnsi="Calibri" w:cs="Calibri"/>
          <w:sz w:val="22"/>
          <w:szCs w:val="22"/>
        </w:rPr>
        <w:t xml:space="preserve">. </w:t>
      </w:r>
      <w:r w:rsidR="00920024">
        <w:rPr>
          <w:rStyle w:val="normaltextrun1"/>
          <w:rFonts w:ascii="Calibri" w:hAnsi="Calibri" w:cs="Calibri"/>
          <w:sz w:val="22"/>
          <w:szCs w:val="22"/>
        </w:rPr>
        <w:t xml:space="preserve"> Unless resolved, it would have a negative consequence on the achievement of </w:t>
      </w:r>
      <w:r>
        <w:rPr>
          <w:rStyle w:val="normaltextrun1"/>
          <w:rFonts w:ascii="Calibri" w:hAnsi="Calibri" w:cs="Calibri"/>
          <w:sz w:val="22"/>
          <w:szCs w:val="22"/>
        </w:rPr>
        <w:t>the</w:t>
      </w:r>
      <w:r w:rsidR="00920024">
        <w:rPr>
          <w:rStyle w:val="normaltextrun1"/>
          <w:rFonts w:ascii="Calibri" w:hAnsi="Calibri" w:cs="Calibri"/>
          <w:sz w:val="22"/>
          <w:szCs w:val="22"/>
        </w:rPr>
        <w:t xml:space="preserve"> UNSDCF outcomes</w:t>
      </w:r>
      <w:r>
        <w:rPr>
          <w:rStyle w:val="normaltextrun1"/>
          <w:rFonts w:ascii="Calibri" w:hAnsi="Calibri" w:cs="Calibri"/>
          <w:sz w:val="22"/>
          <w:szCs w:val="22"/>
        </w:rPr>
        <w:t>.</w:t>
      </w:r>
      <w:r>
        <w:rPr>
          <w:rStyle w:val="eop"/>
          <w:rFonts w:ascii="Calibri" w:hAnsi="Calibri" w:cs="Calibri"/>
          <w:sz w:val="22"/>
          <w:szCs w:val="22"/>
        </w:rPr>
        <w:t> </w:t>
      </w:r>
      <w:r w:rsidR="00F10B65">
        <w:rPr>
          <w:rStyle w:val="eop"/>
          <w:rFonts w:ascii="Calibri" w:hAnsi="Calibri" w:cs="Calibri"/>
          <w:sz w:val="22"/>
          <w:szCs w:val="22"/>
        </w:rPr>
        <w:t xml:space="preserve"> </w:t>
      </w:r>
      <w:r>
        <w:rPr>
          <w:rStyle w:val="normaltextrun1"/>
          <w:rFonts w:ascii="Calibri" w:hAnsi="Calibri" w:cs="Calibri"/>
          <w:sz w:val="22"/>
          <w:szCs w:val="22"/>
        </w:rPr>
        <w:t>The evolution of the situation in the political domain is mostly in the hands of key leaders in the country.</w:t>
      </w:r>
      <w:r w:rsidR="00D416C4">
        <w:rPr>
          <w:rStyle w:val="normaltextrun1"/>
          <w:rFonts w:ascii="Calibri" w:hAnsi="Calibri" w:cs="Calibri"/>
          <w:sz w:val="22"/>
          <w:szCs w:val="22"/>
        </w:rPr>
        <w:t xml:space="preserve">  </w:t>
      </w:r>
      <w:r>
        <w:rPr>
          <w:rStyle w:val="normaltextrun1"/>
          <w:rFonts w:ascii="Calibri" w:hAnsi="Calibri" w:cs="Calibri"/>
          <w:sz w:val="22"/>
          <w:szCs w:val="22"/>
        </w:rPr>
        <w:t xml:space="preserve"> </w:t>
      </w:r>
      <w:r w:rsidR="00D416C4">
        <w:rPr>
          <w:rStyle w:val="normaltextrun1"/>
          <w:rFonts w:ascii="Calibri" w:hAnsi="Calibri" w:cs="Calibri"/>
          <w:sz w:val="22"/>
          <w:szCs w:val="22"/>
        </w:rPr>
        <w:t xml:space="preserve">It </w:t>
      </w:r>
      <w:r>
        <w:rPr>
          <w:rStyle w:val="normaltextrun1"/>
          <w:rFonts w:ascii="Calibri" w:hAnsi="Calibri" w:cs="Calibri"/>
          <w:sz w:val="22"/>
          <w:szCs w:val="22"/>
        </w:rPr>
        <w:t xml:space="preserve">will be important to increase the dialogue with key leaders and stakeholders regarding the risks of prolonging the political impasse and the importance of finding solutions to the ongoing political divide. </w:t>
      </w:r>
      <w:r w:rsidR="00D416C4">
        <w:rPr>
          <w:rStyle w:val="normaltextrun1"/>
          <w:rFonts w:ascii="Calibri" w:hAnsi="Calibri" w:cs="Calibri"/>
          <w:sz w:val="22"/>
          <w:szCs w:val="22"/>
        </w:rPr>
        <w:t xml:space="preserve"> </w:t>
      </w:r>
      <w:r>
        <w:rPr>
          <w:rStyle w:val="normaltextrun1"/>
          <w:rFonts w:ascii="Calibri" w:hAnsi="Calibri" w:cs="Calibri"/>
          <w:sz w:val="22"/>
          <w:szCs w:val="22"/>
        </w:rPr>
        <w:t xml:space="preserve">The Timor-Leste Development Partners Group can be used to generate common </w:t>
      </w:r>
      <w:r w:rsidR="00D416C4">
        <w:rPr>
          <w:rStyle w:val="normaltextrun1"/>
          <w:rFonts w:ascii="Calibri" w:hAnsi="Calibri" w:cs="Calibri"/>
          <w:sz w:val="22"/>
          <w:szCs w:val="22"/>
        </w:rPr>
        <w:t xml:space="preserve">advocacy </w:t>
      </w:r>
      <w:r>
        <w:rPr>
          <w:rStyle w:val="normaltextrun1"/>
          <w:rFonts w:ascii="Calibri" w:hAnsi="Calibri" w:cs="Calibri"/>
          <w:sz w:val="22"/>
          <w:szCs w:val="22"/>
        </w:rPr>
        <w:t>messages and engage in a structured dialogue with the government and key</w:t>
      </w:r>
      <w:r w:rsidR="00D416C4">
        <w:rPr>
          <w:rStyle w:val="normaltextrun1"/>
          <w:rFonts w:ascii="Calibri" w:hAnsi="Calibri" w:cs="Calibri"/>
          <w:sz w:val="22"/>
          <w:szCs w:val="22"/>
        </w:rPr>
        <w:t xml:space="preserve"> political</w:t>
      </w:r>
      <w:r>
        <w:rPr>
          <w:rStyle w:val="normaltextrun1"/>
          <w:rFonts w:ascii="Calibri" w:hAnsi="Calibri" w:cs="Calibri"/>
          <w:sz w:val="22"/>
          <w:szCs w:val="22"/>
        </w:rPr>
        <w:t xml:space="preserve"> leaders. </w:t>
      </w:r>
      <w:r w:rsidR="00D416C4">
        <w:rPr>
          <w:rStyle w:val="normaltextrun1"/>
          <w:rFonts w:ascii="Calibri" w:hAnsi="Calibri" w:cs="Calibri"/>
          <w:sz w:val="22"/>
          <w:szCs w:val="22"/>
        </w:rPr>
        <w:t xml:space="preserve"> </w:t>
      </w:r>
      <w:r>
        <w:rPr>
          <w:rStyle w:val="normaltextrun1"/>
          <w:rFonts w:ascii="Calibri" w:hAnsi="Calibri" w:cs="Calibri"/>
          <w:sz w:val="22"/>
          <w:szCs w:val="22"/>
        </w:rPr>
        <w:t xml:space="preserve">The UN will also use its influence in-country, at regional and global levels to assist the country’s leaders to remain focused on stability and progressing the SDGs and </w:t>
      </w:r>
      <w:r w:rsidR="00D416C4">
        <w:rPr>
          <w:rStyle w:val="normaltextrun1"/>
          <w:rFonts w:ascii="Calibri" w:hAnsi="Calibri" w:cs="Calibri"/>
          <w:sz w:val="22"/>
          <w:szCs w:val="22"/>
        </w:rPr>
        <w:t>h</w:t>
      </w:r>
      <w:r>
        <w:rPr>
          <w:rStyle w:val="normaltextrun1"/>
          <w:rFonts w:ascii="Calibri" w:hAnsi="Calibri" w:cs="Calibri"/>
          <w:sz w:val="22"/>
          <w:szCs w:val="22"/>
        </w:rPr>
        <w:t xml:space="preserve">uman </w:t>
      </w:r>
      <w:r w:rsidR="00D416C4">
        <w:rPr>
          <w:rStyle w:val="normaltextrun1"/>
          <w:rFonts w:ascii="Calibri" w:hAnsi="Calibri" w:cs="Calibri"/>
          <w:sz w:val="22"/>
          <w:szCs w:val="22"/>
        </w:rPr>
        <w:t>r</w:t>
      </w:r>
      <w:r>
        <w:rPr>
          <w:rStyle w:val="normaltextrun1"/>
          <w:rFonts w:ascii="Calibri" w:hAnsi="Calibri" w:cs="Calibri"/>
          <w:sz w:val="22"/>
          <w:szCs w:val="22"/>
        </w:rPr>
        <w:t xml:space="preserve">ights. </w:t>
      </w:r>
      <w:r w:rsidR="00D416C4">
        <w:rPr>
          <w:rStyle w:val="normaltextrun1"/>
          <w:rFonts w:ascii="Calibri" w:hAnsi="Calibri" w:cs="Calibri"/>
          <w:sz w:val="22"/>
          <w:szCs w:val="22"/>
        </w:rPr>
        <w:t xml:space="preserve"> </w:t>
      </w:r>
      <w:r>
        <w:rPr>
          <w:rStyle w:val="normaltextrun1"/>
          <w:rFonts w:ascii="Calibri" w:hAnsi="Calibri" w:cs="Calibri"/>
          <w:sz w:val="22"/>
          <w:szCs w:val="22"/>
        </w:rPr>
        <w:t>Th</w:t>
      </w:r>
      <w:r w:rsidR="004C515B">
        <w:rPr>
          <w:rStyle w:val="normaltextrun1"/>
          <w:rFonts w:ascii="Calibri" w:hAnsi="Calibri" w:cs="Calibri"/>
          <w:sz w:val="22"/>
          <w:szCs w:val="22"/>
        </w:rPr>
        <w:t>rough its in-country presence and regional/Headquarters work, th</w:t>
      </w:r>
      <w:r>
        <w:rPr>
          <w:rStyle w:val="normaltextrun1"/>
          <w:rFonts w:ascii="Calibri" w:hAnsi="Calibri" w:cs="Calibri"/>
          <w:sz w:val="22"/>
          <w:szCs w:val="22"/>
        </w:rPr>
        <w:t>e UN will work with government, key leaders, Parliament, political parties and other partners to help ensure that the country remains stable and continues to focus on progressing the SDGs.</w:t>
      </w:r>
      <w:r>
        <w:rPr>
          <w:rStyle w:val="eop"/>
          <w:rFonts w:ascii="Calibri" w:hAnsi="Calibri" w:cs="Calibri"/>
          <w:sz w:val="22"/>
          <w:szCs w:val="22"/>
        </w:rPr>
        <w:t> </w:t>
      </w:r>
    </w:p>
    <w:p w14:paraId="26D7F1B9" w14:textId="77777777" w:rsidR="001E3FEE" w:rsidRDefault="001E3FEE" w:rsidP="00552AAD">
      <w:pPr>
        <w:pStyle w:val="paragraph"/>
        <w:ind w:right="-15"/>
        <w:jc w:val="both"/>
        <w:textAlignment w:val="baseline"/>
      </w:pPr>
      <w:r>
        <w:rPr>
          <w:rStyle w:val="eop"/>
          <w:rFonts w:ascii="Arial" w:hAnsi="Arial" w:cs="Arial"/>
          <w:sz w:val="22"/>
          <w:szCs w:val="22"/>
        </w:rPr>
        <w:t> </w:t>
      </w:r>
    </w:p>
    <w:p w14:paraId="4CB6FF33" w14:textId="00C2B44B" w:rsidR="00667CE3" w:rsidRDefault="001E3FEE" w:rsidP="00552AAD">
      <w:pPr>
        <w:pStyle w:val="paragraph"/>
        <w:ind w:right="-15"/>
        <w:jc w:val="both"/>
        <w:textAlignment w:val="baseline"/>
        <w:rPr>
          <w:rStyle w:val="normaltextrun1"/>
          <w:rFonts w:ascii="Calibri" w:hAnsi="Calibri" w:cs="Calibri"/>
          <w:sz w:val="22"/>
          <w:szCs w:val="22"/>
        </w:rPr>
      </w:pPr>
      <w:r>
        <w:rPr>
          <w:rStyle w:val="normaltextrun1"/>
          <w:rFonts w:ascii="Calibri" w:hAnsi="Calibri" w:cs="Calibri"/>
          <w:b/>
          <w:bCs/>
          <w:sz w:val="22"/>
          <w:szCs w:val="22"/>
        </w:rPr>
        <w:t>The oil dependent economy</w:t>
      </w:r>
      <w:r>
        <w:rPr>
          <w:rStyle w:val="normaltextrun1"/>
          <w:rFonts w:ascii="Calibri" w:hAnsi="Calibri" w:cs="Calibri"/>
          <w:sz w:val="22"/>
          <w:szCs w:val="22"/>
        </w:rPr>
        <w:t xml:space="preserve"> </w:t>
      </w:r>
      <w:r w:rsidR="00085F23">
        <w:rPr>
          <w:rStyle w:val="normaltextrun1"/>
          <w:rFonts w:ascii="Calibri" w:hAnsi="Calibri" w:cs="Calibri"/>
          <w:sz w:val="22"/>
          <w:szCs w:val="22"/>
        </w:rPr>
        <w:t xml:space="preserve">and its unsustainability </w:t>
      </w:r>
      <w:r>
        <w:rPr>
          <w:rStyle w:val="normaltextrun1"/>
          <w:rFonts w:ascii="Calibri" w:hAnsi="Calibri" w:cs="Calibri"/>
          <w:sz w:val="22"/>
          <w:szCs w:val="22"/>
        </w:rPr>
        <w:t>constitute significant economic risks for Timor-Leste</w:t>
      </w:r>
      <w:r w:rsidR="00085F23">
        <w:rPr>
          <w:rStyle w:val="normaltextrun1"/>
          <w:rFonts w:ascii="Calibri" w:hAnsi="Calibri" w:cs="Calibri"/>
          <w:sz w:val="22"/>
          <w:szCs w:val="22"/>
        </w:rPr>
        <w:t xml:space="preserve"> that may negatively impact the achievement of UNSDCF outcomes</w:t>
      </w:r>
      <w:r>
        <w:rPr>
          <w:rStyle w:val="normaltextrun1"/>
          <w:rFonts w:ascii="Calibri" w:hAnsi="Calibri" w:cs="Calibri"/>
          <w:sz w:val="22"/>
          <w:szCs w:val="22"/>
        </w:rPr>
        <w:t xml:space="preserve">. </w:t>
      </w:r>
      <w:r w:rsidR="00667CE3">
        <w:rPr>
          <w:rStyle w:val="normaltextrun1"/>
          <w:rFonts w:ascii="Calibri" w:hAnsi="Calibri" w:cs="Calibri"/>
          <w:sz w:val="22"/>
          <w:szCs w:val="22"/>
        </w:rPr>
        <w:t xml:space="preserve"> </w:t>
      </w:r>
      <w:r>
        <w:rPr>
          <w:rStyle w:val="normaltextrun1"/>
          <w:rFonts w:ascii="Calibri" w:hAnsi="Calibri" w:cs="Calibri"/>
          <w:sz w:val="22"/>
          <w:szCs w:val="22"/>
        </w:rPr>
        <w:t xml:space="preserve">These developments could have possible spillover effects on the political and social domains. </w:t>
      </w:r>
      <w:r w:rsidR="00667CE3">
        <w:rPr>
          <w:rStyle w:val="normaltextrun1"/>
          <w:rFonts w:ascii="Calibri" w:hAnsi="Calibri" w:cs="Calibri"/>
          <w:sz w:val="22"/>
          <w:szCs w:val="22"/>
        </w:rPr>
        <w:t xml:space="preserve"> </w:t>
      </w:r>
      <w:r>
        <w:rPr>
          <w:rStyle w:val="normaltextrun1"/>
          <w:rFonts w:ascii="Calibri" w:hAnsi="Calibri" w:cs="Calibri"/>
          <w:sz w:val="22"/>
          <w:szCs w:val="22"/>
        </w:rPr>
        <w:t xml:space="preserve">The </w:t>
      </w:r>
      <w:r w:rsidR="00667CE3">
        <w:rPr>
          <w:rStyle w:val="normaltextrun1"/>
          <w:rFonts w:ascii="Calibri" w:hAnsi="Calibri" w:cs="Calibri"/>
          <w:sz w:val="22"/>
          <w:szCs w:val="22"/>
        </w:rPr>
        <w:t xml:space="preserve">UNSDCF </w:t>
      </w:r>
      <w:r>
        <w:rPr>
          <w:rStyle w:val="normaltextrun1"/>
          <w:rFonts w:ascii="Calibri" w:hAnsi="Calibri" w:cs="Calibri"/>
          <w:sz w:val="22"/>
          <w:szCs w:val="22"/>
        </w:rPr>
        <w:t>aims to address th</w:t>
      </w:r>
      <w:r w:rsidR="00667CE3">
        <w:rPr>
          <w:rStyle w:val="normaltextrun1"/>
          <w:rFonts w:ascii="Calibri" w:hAnsi="Calibri" w:cs="Calibri"/>
          <w:sz w:val="22"/>
          <w:szCs w:val="22"/>
        </w:rPr>
        <w:t>is</w:t>
      </w:r>
      <w:r>
        <w:rPr>
          <w:rStyle w:val="normaltextrun1"/>
          <w:rFonts w:ascii="Calibri" w:hAnsi="Calibri" w:cs="Calibri"/>
          <w:sz w:val="22"/>
          <w:szCs w:val="22"/>
        </w:rPr>
        <w:t xml:space="preserve"> risk through accelerating economic diversification</w:t>
      </w:r>
      <w:r w:rsidR="00911B9E">
        <w:rPr>
          <w:rStyle w:val="normaltextrun1"/>
          <w:rFonts w:ascii="Calibri" w:hAnsi="Calibri" w:cs="Calibri"/>
          <w:sz w:val="22"/>
          <w:szCs w:val="22"/>
        </w:rPr>
        <w:t xml:space="preserve">, </w:t>
      </w:r>
      <w:r w:rsidR="00667CE3">
        <w:rPr>
          <w:rStyle w:val="normaltextrun1"/>
          <w:rFonts w:ascii="Calibri" w:hAnsi="Calibri" w:cs="Calibri"/>
          <w:sz w:val="22"/>
          <w:szCs w:val="22"/>
        </w:rPr>
        <w:t>decoupling economic growth from the extractive sectors</w:t>
      </w:r>
      <w:r w:rsidR="00911B9E">
        <w:rPr>
          <w:rStyle w:val="normaltextrun1"/>
          <w:rFonts w:ascii="Calibri" w:hAnsi="Calibri" w:cs="Calibri"/>
          <w:sz w:val="22"/>
          <w:szCs w:val="22"/>
        </w:rPr>
        <w:t xml:space="preserve"> and investing in the human capital and an inclusive </w:t>
      </w:r>
      <w:proofErr w:type="spellStart"/>
      <w:r w:rsidR="00911B9E">
        <w:rPr>
          <w:rStyle w:val="normaltextrun1"/>
          <w:rFonts w:ascii="Calibri" w:hAnsi="Calibri" w:cs="Calibri"/>
          <w:sz w:val="22"/>
          <w:szCs w:val="22"/>
        </w:rPr>
        <w:t>labour</w:t>
      </w:r>
      <w:proofErr w:type="spellEnd"/>
      <w:r w:rsidR="00911B9E">
        <w:rPr>
          <w:rStyle w:val="normaltextrun1"/>
          <w:rFonts w:ascii="Calibri" w:hAnsi="Calibri" w:cs="Calibri"/>
          <w:sz w:val="22"/>
          <w:szCs w:val="22"/>
        </w:rPr>
        <w:t xml:space="preserve"> force with 21</w:t>
      </w:r>
      <w:r w:rsidR="00911B9E" w:rsidRPr="00985039">
        <w:rPr>
          <w:rStyle w:val="normaltextrun1"/>
          <w:rFonts w:ascii="Calibri" w:hAnsi="Calibri" w:cs="Calibri"/>
          <w:sz w:val="22"/>
          <w:szCs w:val="22"/>
          <w:vertAlign w:val="superscript"/>
        </w:rPr>
        <w:t>st</w:t>
      </w:r>
      <w:r w:rsidR="00911B9E">
        <w:rPr>
          <w:rStyle w:val="normaltextrun1"/>
          <w:rFonts w:ascii="Calibri" w:hAnsi="Calibri" w:cs="Calibri"/>
          <w:sz w:val="22"/>
          <w:szCs w:val="22"/>
        </w:rPr>
        <w:t xml:space="preserve"> century skills</w:t>
      </w:r>
      <w:r w:rsidR="00667CE3">
        <w:rPr>
          <w:rStyle w:val="normaltextrun1"/>
          <w:rFonts w:ascii="Calibri" w:hAnsi="Calibri" w:cs="Calibri"/>
          <w:sz w:val="22"/>
          <w:szCs w:val="22"/>
        </w:rPr>
        <w:t>.</w:t>
      </w:r>
      <w:r>
        <w:rPr>
          <w:rStyle w:val="normaltextrun1"/>
          <w:rFonts w:ascii="Calibri" w:hAnsi="Calibri" w:cs="Calibri"/>
          <w:sz w:val="22"/>
          <w:szCs w:val="22"/>
        </w:rPr>
        <w:t xml:space="preserve"> </w:t>
      </w:r>
      <w:r w:rsidR="00667CE3">
        <w:rPr>
          <w:rStyle w:val="normaltextrun1"/>
          <w:rFonts w:ascii="Calibri" w:hAnsi="Calibri" w:cs="Calibri"/>
          <w:sz w:val="22"/>
          <w:szCs w:val="22"/>
        </w:rPr>
        <w:t xml:space="preserve"> Through joint UN </w:t>
      </w:r>
      <w:r w:rsidR="00667CE3">
        <w:rPr>
          <w:rStyle w:val="normaltextrun1"/>
          <w:rFonts w:ascii="Calibri" w:hAnsi="Calibri" w:cs="Calibri"/>
          <w:sz w:val="22"/>
          <w:szCs w:val="22"/>
        </w:rPr>
        <w:lastRenderedPageBreak/>
        <w:t xml:space="preserve">support </w:t>
      </w:r>
      <w:r w:rsidR="004C515B">
        <w:rPr>
          <w:rStyle w:val="normaltextrun1"/>
          <w:rFonts w:ascii="Calibri" w:hAnsi="Calibri" w:cs="Calibri"/>
          <w:sz w:val="22"/>
          <w:szCs w:val="22"/>
        </w:rPr>
        <w:t>for the development of an Integrated National Financing Framework (</w:t>
      </w:r>
      <w:r w:rsidR="00667CE3">
        <w:rPr>
          <w:rStyle w:val="normaltextrun1"/>
          <w:rFonts w:ascii="Calibri" w:hAnsi="Calibri" w:cs="Calibri"/>
          <w:sz w:val="22"/>
          <w:szCs w:val="22"/>
        </w:rPr>
        <w:t>INFF</w:t>
      </w:r>
      <w:r w:rsidR="004C515B">
        <w:rPr>
          <w:rStyle w:val="normaltextrun1"/>
          <w:rFonts w:ascii="Calibri" w:hAnsi="Calibri" w:cs="Calibri"/>
          <w:sz w:val="22"/>
          <w:szCs w:val="22"/>
        </w:rPr>
        <w:t>)</w:t>
      </w:r>
      <w:r w:rsidR="00911B9E">
        <w:rPr>
          <w:rStyle w:val="normaltextrun1"/>
          <w:rFonts w:ascii="Calibri" w:hAnsi="Calibri" w:cs="Calibri"/>
          <w:sz w:val="22"/>
          <w:szCs w:val="22"/>
        </w:rPr>
        <w:t xml:space="preserve"> together with the WB, ADB and EU</w:t>
      </w:r>
      <w:r w:rsidR="00667CE3">
        <w:rPr>
          <w:rStyle w:val="normaltextrun1"/>
          <w:rFonts w:ascii="Calibri" w:hAnsi="Calibri" w:cs="Calibri"/>
          <w:sz w:val="22"/>
          <w:szCs w:val="22"/>
        </w:rPr>
        <w:t>, SDG financing solutions will be further explored</w:t>
      </w:r>
      <w:r>
        <w:rPr>
          <w:rStyle w:val="normaltextrun1"/>
          <w:rFonts w:ascii="Calibri" w:hAnsi="Calibri" w:cs="Calibri"/>
          <w:sz w:val="22"/>
          <w:szCs w:val="22"/>
        </w:rPr>
        <w:t>.</w:t>
      </w:r>
    </w:p>
    <w:p w14:paraId="4560FD94" w14:textId="1AB92B18" w:rsidR="001E3FEE" w:rsidRDefault="001E3FEE" w:rsidP="00552AAD">
      <w:pPr>
        <w:pStyle w:val="paragraph"/>
        <w:ind w:right="-15"/>
        <w:jc w:val="both"/>
        <w:textAlignment w:val="baseline"/>
        <w:rPr>
          <w:rStyle w:val="normaltextrun1"/>
          <w:rFonts w:ascii="Calibri" w:hAnsi="Calibri" w:cs="Calibri"/>
          <w:sz w:val="22"/>
          <w:szCs w:val="22"/>
        </w:rPr>
      </w:pPr>
      <w:r>
        <w:rPr>
          <w:rStyle w:val="normaltextrun1"/>
          <w:rFonts w:ascii="Calibri" w:hAnsi="Calibri" w:cs="Calibri"/>
          <w:sz w:val="22"/>
          <w:szCs w:val="22"/>
        </w:rPr>
        <w:t xml:space="preserve"> </w:t>
      </w:r>
    </w:p>
    <w:p w14:paraId="28374E28" w14:textId="0AE4CB18" w:rsidR="001E3FEE" w:rsidRDefault="00085F23" w:rsidP="00552AAD">
      <w:pPr>
        <w:pStyle w:val="paragraph"/>
        <w:ind w:right="-15"/>
        <w:jc w:val="both"/>
        <w:textAlignment w:val="baseline"/>
      </w:pPr>
      <w:r>
        <w:rPr>
          <w:rStyle w:val="normaltextrun1"/>
          <w:rFonts w:ascii="Calibri" w:hAnsi="Calibri" w:cs="Calibri"/>
          <w:b/>
          <w:bCs/>
          <w:sz w:val="22"/>
          <w:szCs w:val="22"/>
        </w:rPr>
        <w:t>F</w:t>
      </w:r>
      <w:r w:rsidR="001E3FEE" w:rsidRPr="00985039">
        <w:rPr>
          <w:rStyle w:val="normaltextrun1"/>
          <w:rFonts w:ascii="Calibri" w:hAnsi="Calibri" w:cs="Calibri"/>
          <w:b/>
          <w:bCs/>
          <w:sz w:val="22"/>
          <w:szCs w:val="22"/>
        </w:rPr>
        <w:t>iscal unsustainability of the current social transfers, violence against women and girls (VAWG) and high level of youth unemployment</w:t>
      </w:r>
      <w:r>
        <w:rPr>
          <w:rStyle w:val="normaltextrun1"/>
          <w:rFonts w:ascii="Calibri" w:hAnsi="Calibri" w:cs="Calibri"/>
          <w:sz w:val="22"/>
          <w:szCs w:val="22"/>
        </w:rPr>
        <w:t xml:space="preserve"> are all risks to social cohesion that underlines the achievement of the UNSDCF outcomes.</w:t>
      </w:r>
      <w:r w:rsidR="001E3FEE">
        <w:rPr>
          <w:rStyle w:val="normaltextrun1"/>
          <w:rFonts w:ascii="Calibri" w:hAnsi="Calibri" w:cs="Calibri"/>
          <w:sz w:val="22"/>
          <w:szCs w:val="22"/>
        </w:rPr>
        <w:t xml:space="preserve"> </w:t>
      </w:r>
      <w:r>
        <w:rPr>
          <w:rStyle w:val="normaltextrun1"/>
          <w:rFonts w:ascii="Calibri" w:hAnsi="Calibri" w:cs="Calibri"/>
          <w:sz w:val="22"/>
          <w:szCs w:val="22"/>
        </w:rPr>
        <w:t xml:space="preserve"> </w:t>
      </w:r>
      <w:r w:rsidR="001E3FEE">
        <w:rPr>
          <w:rStyle w:val="normaltextrun1"/>
          <w:rFonts w:ascii="Calibri" w:hAnsi="Calibri" w:cs="Calibri"/>
          <w:sz w:val="22"/>
          <w:szCs w:val="22"/>
        </w:rPr>
        <w:t xml:space="preserve">The </w:t>
      </w:r>
      <w:r>
        <w:rPr>
          <w:rStyle w:val="normaltextrun1"/>
          <w:rFonts w:ascii="Calibri" w:hAnsi="Calibri" w:cs="Calibri"/>
          <w:sz w:val="22"/>
          <w:szCs w:val="22"/>
        </w:rPr>
        <w:t xml:space="preserve">UNSDCF </w:t>
      </w:r>
      <w:r w:rsidR="001E3FEE">
        <w:rPr>
          <w:rStyle w:val="normaltextrun1"/>
          <w:rFonts w:ascii="Calibri" w:hAnsi="Calibri" w:cs="Calibri"/>
          <w:sz w:val="22"/>
          <w:szCs w:val="22"/>
        </w:rPr>
        <w:t xml:space="preserve">supports national efforts to reform the social protection system to ensure that </w:t>
      </w:r>
      <w:r>
        <w:rPr>
          <w:rStyle w:val="normaltextrun1"/>
          <w:rFonts w:ascii="Calibri" w:hAnsi="Calibri" w:cs="Calibri"/>
          <w:sz w:val="22"/>
          <w:szCs w:val="22"/>
        </w:rPr>
        <w:t xml:space="preserve">the </w:t>
      </w:r>
      <w:r w:rsidR="001E3FEE">
        <w:rPr>
          <w:rStyle w:val="normaltextrun1"/>
          <w:rFonts w:ascii="Calibri" w:hAnsi="Calibri" w:cs="Calibri"/>
          <w:sz w:val="22"/>
          <w:szCs w:val="22"/>
        </w:rPr>
        <w:t>vulnerab</w:t>
      </w:r>
      <w:r>
        <w:rPr>
          <w:rStyle w:val="normaltextrun1"/>
          <w:rFonts w:ascii="Calibri" w:hAnsi="Calibri" w:cs="Calibri"/>
          <w:sz w:val="22"/>
          <w:szCs w:val="22"/>
        </w:rPr>
        <w:t>le groups</w:t>
      </w:r>
      <w:r w:rsidR="001E3FEE">
        <w:rPr>
          <w:rStyle w:val="normaltextrun1"/>
          <w:rFonts w:ascii="Calibri" w:hAnsi="Calibri" w:cs="Calibri"/>
          <w:sz w:val="22"/>
          <w:szCs w:val="22"/>
        </w:rPr>
        <w:t xml:space="preserve"> are targeted through sustainable </w:t>
      </w:r>
      <w:r>
        <w:rPr>
          <w:rStyle w:val="normaltextrun1"/>
          <w:rFonts w:ascii="Calibri" w:hAnsi="Calibri" w:cs="Calibri"/>
          <w:sz w:val="22"/>
          <w:szCs w:val="22"/>
        </w:rPr>
        <w:t xml:space="preserve">social </w:t>
      </w:r>
      <w:r w:rsidR="001E3FEE">
        <w:rPr>
          <w:rStyle w:val="normaltextrun1"/>
          <w:rFonts w:ascii="Calibri" w:hAnsi="Calibri" w:cs="Calibri"/>
          <w:sz w:val="22"/>
          <w:szCs w:val="22"/>
        </w:rPr>
        <w:t>protection/assistance schemes.</w:t>
      </w:r>
      <w:r w:rsidR="0099096B">
        <w:rPr>
          <w:rStyle w:val="normaltextrun1"/>
          <w:rFonts w:ascii="Calibri" w:hAnsi="Calibri" w:cs="Calibri"/>
          <w:sz w:val="22"/>
          <w:szCs w:val="22"/>
        </w:rPr>
        <w:t xml:space="preserve">  Gender equality </w:t>
      </w:r>
      <w:r w:rsidR="001E3FEE">
        <w:rPr>
          <w:rStyle w:val="normaltextrun1"/>
          <w:rFonts w:ascii="Calibri" w:hAnsi="Calibri" w:cs="Calibri"/>
          <w:sz w:val="22"/>
          <w:szCs w:val="22"/>
        </w:rPr>
        <w:t xml:space="preserve">is firmly entrenched </w:t>
      </w:r>
      <w:r w:rsidR="0099096B">
        <w:rPr>
          <w:rStyle w:val="normaltextrun1"/>
          <w:rFonts w:ascii="Calibri" w:hAnsi="Calibri" w:cs="Calibri"/>
          <w:sz w:val="22"/>
          <w:szCs w:val="22"/>
        </w:rPr>
        <w:t xml:space="preserve">across all UNSDCF </w:t>
      </w:r>
      <w:r w:rsidR="001E3FEE">
        <w:rPr>
          <w:rStyle w:val="normaltextrun1"/>
          <w:rFonts w:ascii="Calibri" w:hAnsi="Calibri" w:cs="Calibri"/>
          <w:sz w:val="22"/>
          <w:szCs w:val="22"/>
        </w:rPr>
        <w:t>results areas</w:t>
      </w:r>
      <w:r w:rsidR="0099096B">
        <w:rPr>
          <w:rStyle w:val="normaltextrun1"/>
          <w:rFonts w:ascii="Calibri" w:hAnsi="Calibri" w:cs="Calibri"/>
          <w:sz w:val="22"/>
          <w:szCs w:val="22"/>
        </w:rPr>
        <w:t>, including</w:t>
      </w:r>
      <w:r w:rsidR="001E3FEE">
        <w:rPr>
          <w:rStyle w:val="normaltextrun1"/>
          <w:rFonts w:ascii="Calibri" w:hAnsi="Calibri" w:cs="Calibri"/>
          <w:sz w:val="22"/>
          <w:szCs w:val="22"/>
        </w:rPr>
        <w:t xml:space="preserve"> specific </w:t>
      </w:r>
      <w:r w:rsidR="0099096B">
        <w:rPr>
          <w:rStyle w:val="normaltextrun1"/>
          <w:rFonts w:ascii="Calibri" w:hAnsi="Calibri" w:cs="Calibri"/>
          <w:sz w:val="22"/>
          <w:szCs w:val="22"/>
        </w:rPr>
        <w:t>efforts to</w:t>
      </w:r>
      <w:r w:rsidR="001E3FEE">
        <w:rPr>
          <w:rStyle w:val="normaltextrun1"/>
          <w:rFonts w:ascii="Calibri" w:hAnsi="Calibri" w:cs="Calibri"/>
          <w:sz w:val="22"/>
          <w:szCs w:val="22"/>
        </w:rPr>
        <w:t xml:space="preserve"> break the inter-generational cycle of violence</w:t>
      </w:r>
      <w:r w:rsidR="0099096B">
        <w:rPr>
          <w:rStyle w:val="normaltextrun1"/>
          <w:rFonts w:ascii="Calibri" w:hAnsi="Calibri" w:cs="Calibri"/>
          <w:sz w:val="22"/>
          <w:szCs w:val="22"/>
        </w:rPr>
        <w:t xml:space="preserve"> and the legacy of a violent past,</w:t>
      </w:r>
      <w:r w:rsidR="001E3FEE">
        <w:rPr>
          <w:rStyle w:val="normaltextrun1"/>
          <w:rFonts w:ascii="Calibri" w:hAnsi="Calibri" w:cs="Calibri"/>
          <w:sz w:val="22"/>
          <w:szCs w:val="22"/>
        </w:rPr>
        <w:t xml:space="preserve"> </w:t>
      </w:r>
      <w:r w:rsidR="0099096B">
        <w:rPr>
          <w:rStyle w:val="normaltextrun1"/>
          <w:rFonts w:ascii="Calibri" w:hAnsi="Calibri" w:cs="Calibri"/>
          <w:sz w:val="22"/>
          <w:szCs w:val="22"/>
        </w:rPr>
        <w:t xml:space="preserve">through collectively </w:t>
      </w:r>
      <w:r w:rsidR="001E3FEE">
        <w:rPr>
          <w:rStyle w:val="normaltextrun1"/>
          <w:rFonts w:ascii="Calibri" w:hAnsi="Calibri" w:cs="Calibri"/>
          <w:sz w:val="22"/>
          <w:szCs w:val="22"/>
        </w:rPr>
        <w:t xml:space="preserve">addressing violence against </w:t>
      </w:r>
      <w:r w:rsidR="0099096B">
        <w:rPr>
          <w:rStyle w:val="normaltextrun1"/>
          <w:rFonts w:ascii="Calibri" w:hAnsi="Calibri" w:cs="Calibri"/>
          <w:sz w:val="22"/>
          <w:szCs w:val="22"/>
        </w:rPr>
        <w:t xml:space="preserve">women and </w:t>
      </w:r>
      <w:r w:rsidR="001E3FEE">
        <w:rPr>
          <w:rStyle w:val="normaltextrun1"/>
          <w:rFonts w:ascii="Calibri" w:hAnsi="Calibri" w:cs="Calibri"/>
          <w:sz w:val="22"/>
          <w:szCs w:val="22"/>
        </w:rPr>
        <w:t>children</w:t>
      </w:r>
      <w:r w:rsidR="0099096B">
        <w:rPr>
          <w:rStyle w:val="normaltextrun1"/>
          <w:rFonts w:ascii="Calibri" w:hAnsi="Calibri" w:cs="Calibri"/>
          <w:sz w:val="22"/>
          <w:szCs w:val="22"/>
        </w:rPr>
        <w:t xml:space="preserve"> and violence amongst youth</w:t>
      </w:r>
      <w:r w:rsidR="001E3FEE">
        <w:rPr>
          <w:rStyle w:val="normaltextrun1"/>
          <w:rFonts w:ascii="Calibri" w:hAnsi="Calibri" w:cs="Calibri"/>
          <w:sz w:val="22"/>
          <w:szCs w:val="22"/>
        </w:rPr>
        <w:t>.</w:t>
      </w:r>
    </w:p>
    <w:p w14:paraId="6CBE1AA9" w14:textId="77777777" w:rsidR="001E3FEE" w:rsidRDefault="001E3FEE" w:rsidP="00552AAD">
      <w:pPr>
        <w:pStyle w:val="paragraph"/>
        <w:ind w:right="-15"/>
        <w:jc w:val="both"/>
        <w:textAlignment w:val="baseline"/>
      </w:pPr>
    </w:p>
    <w:p w14:paraId="5411C632" w14:textId="2CAD02F0" w:rsidR="001E3FEE" w:rsidRDefault="002A18BF" w:rsidP="00552AAD">
      <w:pPr>
        <w:pStyle w:val="paragraph"/>
        <w:ind w:right="-15"/>
        <w:jc w:val="both"/>
        <w:textAlignment w:val="baseline"/>
      </w:pPr>
      <w:r>
        <w:rPr>
          <w:rStyle w:val="normaltextrun1"/>
          <w:rFonts w:ascii="Calibri" w:hAnsi="Calibri" w:cs="Calibri"/>
          <w:b/>
          <w:bCs/>
          <w:sz w:val="22"/>
          <w:szCs w:val="22"/>
        </w:rPr>
        <w:t>C</w:t>
      </w:r>
      <w:r w:rsidR="001E3FEE">
        <w:rPr>
          <w:rStyle w:val="normaltextrun1"/>
          <w:rFonts w:ascii="Calibri" w:hAnsi="Calibri" w:cs="Calibri"/>
          <w:b/>
          <w:bCs/>
          <w:sz w:val="22"/>
          <w:szCs w:val="22"/>
        </w:rPr>
        <w:t xml:space="preserve">limate </w:t>
      </w:r>
      <w:r>
        <w:rPr>
          <w:rStyle w:val="normaltextrun1"/>
          <w:rFonts w:ascii="Calibri" w:hAnsi="Calibri" w:cs="Calibri"/>
          <w:b/>
          <w:bCs/>
          <w:sz w:val="22"/>
          <w:szCs w:val="22"/>
        </w:rPr>
        <w:t>risks</w:t>
      </w:r>
      <w:r w:rsidR="001E3FEE">
        <w:rPr>
          <w:rStyle w:val="normaltextrun1"/>
          <w:rFonts w:ascii="Calibri" w:hAnsi="Calibri" w:cs="Calibri"/>
          <w:b/>
          <w:bCs/>
          <w:sz w:val="22"/>
          <w:szCs w:val="22"/>
        </w:rPr>
        <w:t xml:space="preserve"> and </w:t>
      </w:r>
      <w:r>
        <w:rPr>
          <w:rStyle w:val="normaltextrun1"/>
          <w:rFonts w:ascii="Calibri" w:hAnsi="Calibri" w:cs="Calibri"/>
          <w:b/>
          <w:bCs/>
          <w:sz w:val="22"/>
          <w:szCs w:val="22"/>
        </w:rPr>
        <w:t xml:space="preserve">the country’s vulnerability to </w:t>
      </w:r>
      <w:r w:rsidR="001E3FEE">
        <w:rPr>
          <w:rStyle w:val="normaltextrun1"/>
          <w:rFonts w:ascii="Calibri" w:hAnsi="Calibri" w:cs="Calibri"/>
          <w:b/>
          <w:bCs/>
          <w:sz w:val="22"/>
          <w:szCs w:val="22"/>
        </w:rPr>
        <w:t>disaster</w:t>
      </w:r>
      <w:r>
        <w:rPr>
          <w:rStyle w:val="normaltextrun1"/>
          <w:rFonts w:ascii="Calibri" w:hAnsi="Calibri" w:cs="Calibri"/>
          <w:b/>
          <w:bCs/>
          <w:sz w:val="22"/>
          <w:szCs w:val="22"/>
        </w:rPr>
        <w:t xml:space="preserve"> risks</w:t>
      </w:r>
      <w:r w:rsidR="00637D52">
        <w:rPr>
          <w:rStyle w:val="normaltextrun1"/>
          <w:rFonts w:ascii="Calibri" w:hAnsi="Calibri" w:cs="Calibri"/>
          <w:b/>
          <w:bCs/>
          <w:sz w:val="22"/>
          <w:szCs w:val="22"/>
        </w:rPr>
        <w:t>, including health emergencies,</w:t>
      </w:r>
      <w:r>
        <w:rPr>
          <w:rStyle w:val="normaltextrun1"/>
          <w:rFonts w:ascii="Calibri" w:hAnsi="Calibri" w:cs="Calibri"/>
          <w:b/>
          <w:bCs/>
          <w:sz w:val="22"/>
          <w:szCs w:val="22"/>
        </w:rPr>
        <w:t xml:space="preserve"> </w:t>
      </w:r>
      <w:r>
        <w:rPr>
          <w:rStyle w:val="normaltextrun1"/>
          <w:rFonts w:ascii="Calibri" w:hAnsi="Calibri" w:cs="Calibri"/>
          <w:sz w:val="22"/>
          <w:szCs w:val="22"/>
        </w:rPr>
        <w:t>are potential risks that would side-track the achievement of the UNSDCF outcomes</w:t>
      </w:r>
      <w:r w:rsidR="001E3FEE">
        <w:rPr>
          <w:rStyle w:val="normaltextrun1"/>
          <w:rFonts w:ascii="Calibri" w:hAnsi="Calibri" w:cs="Calibri"/>
          <w:sz w:val="22"/>
          <w:szCs w:val="22"/>
        </w:rPr>
        <w:t xml:space="preserve">. </w:t>
      </w:r>
      <w:r>
        <w:rPr>
          <w:rStyle w:val="normaltextrun1"/>
          <w:rFonts w:ascii="Calibri" w:hAnsi="Calibri" w:cs="Calibri"/>
          <w:sz w:val="22"/>
          <w:szCs w:val="22"/>
        </w:rPr>
        <w:t xml:space="preserve"> In recognition of this risk</w:t>
      </w:r>
      <w:r w:rsidR="001E3FEE">
        <w:rPr>
          <w:rStyle w:val="normaltextrun1"/>
          <w:rFonts w:ascii="Calibri" w:hAnsi="Calibri" w:cs="Calibri"/>
          <w:sz w:val="22"/>
          <w:szCs w:val="22"/>
        </w:rPr>
        <w:t xml:space="preserve">, the </w:t>
      </w:r>
      <w:r>
        <w:rPr>
          <w:rStyle w:val="normaltextrun1"/>
          <w:rFonts w:ascii="Calibri" w:hAnsi="Calibri" w:cs="Calibri"/>
          <w:sz w:val="22"/>
          <w:szCs w:val="22"/>
        </w:rPr>
        <w:t xml:space="preserve">UNSDCF focuses on </w:t>
      </w:r>
      <w:r w:rsidR="001E3FEE">
        <w:rPr>
          <w:rStyle w:val="normaltextrun1"/>
          <w:rFonts w:ascii="Calibri" w:hAnsi="Calibri" w:cs="Calibri"/>
          <w:sz w:val="22"/>
          <w:szCs w:val="22"/>
        </w:rPr>
        <w:t>building resilience to climate change</w:t>
      </w:r>
      <w:r w:rsidR="00637D52">
        <w:rPr>
          <w:rStyle w:val="normaltextrun1"/>
          <w:rFonts w:ascii="Calibri" w:hAnsi="Calibri" w:cs="Calibri"/>
          <w:sz w:val="22"/>
          <w:szCs w:val="22"/>
        </w:rPr>
        <w:t xml:space="preserve"> and to health emergencies,</w:t>
      </w:r>
      <w:r>
        <w:rPr>
          <w:rStyle w:val="normaltextrun1"/>
          <w:rFonts w:ascii="Calibri" w:hAnsi="Calibri" w:cs="Calibri"/>
          <w:sz w:val="22"/>
          <w:szCs w:val="22"/>
        </w:rPr>
        <w:t xml:space="preserve"> a</w:t>
      </w:r>
      <w:r w:rsidR="00637D52">
        <w:rPr>
          <w:rStyle w:val="normaltextrun1"/>
          <w:rFonts w:ascii="Calibri" w:hAnsi="Calibri" w:cs="Calibri"/>
          <w:sz w:val="22"/>
          <w:szCs w:val="22"/>
        </w:rPr>
        <w:t>s well as on</w:t>
      </w:r>
      <w:r>
        <w:rPr>
          <w:rStyle w:val="normaltextrun1"/>
          <w:rFonts w:ascii="Calibri" w:hAnsi="Calibri" w:cs="Calibri"/>
          <w:sz w:val="22"/>
          <w:szCs w:val="22"/>
        </w:rPr>
        <w:t xml:space="preserve"> strengthening disaster risk management (DRM)</w:t>
      </w:r>
      <w:r w:rsidR="001E3FEE">
        <w:rPr>
          <w:rStyle w:val="normaltextrun1"/>
          <w:rFonts w:ascii="Calibri" w:hAnsi="Calibri" w:cs="Calibri"/>
          <w:sz w:val="22"/>
          <w:szCs w:val="22"/>
        </w:rPr>
        <w:t xml:space="preserve"> at</w:t>
      </w:r>
      <w:r>
        <w:rPr>
          <w:rStyle w:val="normaltextrun1"/>
          <w:rFonts w:ascii="Calibri" w:hAnsi="Calibri" w:cs="Calibri"/>
          <w:sz w:val="22"/>
          <w:szCs w:val="22"/>
        </w:rPr>
        <w:t xml:space="preserve"> national, sub-national</w:t>
      </w:r>
      <w:r w:rsidR="001E3FEE">
        <w:rPr>
          <w:rStyle w:val="normaltextrun1"/>
          <w:rFonts w:ascii="Calibri" w:hAnsi="Calibri" w:cs="Calibri"/>
          <w:sz w:val="22"/>
          <w:szCs w:val="22"/>
        </w:rPr>
        <w:t xml:space="preserve"> and community levels. </w:t>
      </w:r>
      <w:r>
        <w:rPr>
          <w:rStyle w:val="normaltextrun1"/>
          <w:rFonts w:ascii="Calibri" w:hAnsi="Calibri" w:cs="Calibri"/>
          <w:sz w:val="22"/>
          <w:szCs w:val="22"/>
        </w:rPr>
        <w:t xml:space="preserve"> </w:t>
      </w:r>
      <w:r w:rsidR="001E3FEE">
        <w:rPr>
          <w:rStyle w:val="normaltextrun1"/>
          <w:rFonts w:ascii="Calibri" w:hAnsi="Calibri" w:cs="Calibri"/>
          <w:sz w:val="22"/>
          <w:szCs w:val="22"/>
        </w:rPr>
        <w:t xml:space="preserve">As </w:t>
      </w:r>
      <w:r>
        <w:rPr>
          <w:rStyle w:val="normaltextrun1"/>
          <w:rFonts w:ascii="Calibri" w:hAnsi="Calibri" w:cs="Calibri"/>
          <w:sz w:val="22"/>
          <w:szCs w:val="22"/>
        </w:rPr>
        <w:t xml:space="preserve">the </w:t>
      </w:r>
      <w:r w:rsidR="001E3FEE">
        <w:rPr>
          <w:rStyle w:val="normaltextrun1"/>
          <w:rFonts w:ascii="Calibri" w:hAnsi="Calibri" w:cs="Calibri"/>
          <w:sz w:val="22"/>
          <w:szCs w:val="22"/>
        </w:rPr>
        <w:t>co-</w:t>
      </w:r>
      <w:r>
        <w:rPr>
          <w:rStyle w:val="normaltextrun1"/>
          <w:rFonts w:ascii="Calibri" w:hAnsi="Calibri" w:cs="Calibri"/>
          <w:sz w:val="22"/>
          <w:szCs w:val="22"/>
        </w:rPr>
        <w:t>c</w:t>
      </w:r>
      <w:r w:rsidR="001E3FEE">
        <w:rPr>
          <w:rStyle w:val="normaltextrun1"/>
          <w:rFonts w:ascii="Calibri" w:hAnsi="Calibri" w:cs="Calibri"/>
          <w:sz w:val="22"/>
          <w:szCs w:val="22"/>
        </w:rPr>
        <w:t xml:space="preserve">hair of the Humanitarian Partners Group (HPG), the </w:t>
      </w:r>
      <w:r>
        <w:rPr>
          <w:rStyle w:val="normaltextrun1"/>
          <w:rFonts w:ascii="Calibri" w:hAnsi="Calibri" w:cs="Calibri"/>
          <w:sz w:val="22"/>
          <w:szCs w:val="22"/>
        </w:rPr>
        <w:t>UN Resident Coordinator</w:t>
      </w:r>
      <w:r w:rsidR="001E3FEE">
        <w:rPr>
          <w:rStyle w:val="normaltextrun1"/>
          <w:rFonts w:ascii="Calibri" w:hAnsi="Calibri" w:cs="Calibri"/>
          <w:sz w:val="22"/>
          <w:szCs w:val="22"/>
        </w:rPr>
        <w:t xml:space="preserve"> </w:t>
      </w:r>
      <w:r>
        <w:rPr>
          <w:rStyle w:val="normaltextrun1"/>
          <w:rFonts w:ascii="Calibri" w:hAnsi="Calibri" w:cs="Calibri"/>
          <w:sz w:val="22"/>
          <w:szCs w:val="22"/>
        </w:rPr>
        <w:t xml:space="preserve">will </w:t>
      </w:r>
      <w:r w:rsidR="001E3FEE">
        <w:rPr>
          <w:rStyle w:val="normaltextrun1"/>
          <w:rFonts w:ascii="Calibri" w:hAnsi="Calibri" w:cs="Calibri"/>
          <w:sz w:val="22"/>
          <w:szCs w:val="22"/>
        </w:rPr>
        <w:t>ensure that the HPG</w:t>
      </w:r>
      <w:r w:rsidR="00F372D1">
        <w:rPr>
          <w:rStyle w:val="normaltextrun1"/>
          <w:rFonts w:ascii="Calibri" w:hAnsi="Calibri" w:cs="Calibri"/>
          <w:sz w:val="22"/>
          <w:szCs w:val="22"/>
        </w:rPr>
        <w:t xml:space="preserve"> functions as a multi-stakeholder platform for disaster preparedness and response, including early warning early action to climate and other disaster risks</w:t>
      </w:r>
      <w:r w:rsidR="001E3FEE">
        <w:rPr>
          <w:rStyle w:val="normaltextrun1"/>
          <w:rFonts w:ascii="Calibri" w:hAnsi="Calibri" w:cs="Calibri"/>
          <w:sz w:val="22"/>
          <w:szCs w:val="22"/>
        </w:rPr>
        <w:t>.  </w:t>
      </w:r>
      <w:r w:rsidR="001E3FEE">
        <w:rPr>
          <w:rStyle w:val="eop"/>
          <w:rFonts w:ascii="Calibri" w:hAnsi="Calibri" w:cs="Calibri"/>
          <w:sz w:val="22"/>
          <w:szCs w:val="22"/>
        </w:rPr>
        <w:t> </w:t>
      </w:r>
    </w:p>
    <w:p w14:paraId="2FBD2E45" w14:textId="208420F7" w:rsidR="001E3FEE" w:rsidRDefault="001E3FEE" w:rsidP="00552AAD">
      <w:pPr>
        <w:pStyle w:val="paragraph"/>
        <w:ind w:right="-15"/>
        <w:jc w:val="both"/>
        <w:textAlignment w:val="baseline"/>
      </w:pPr>
      <w:r>
        <w:rPr>
          <w:rStyle w:val="eop"/>
          <w:rFonts w:ascii="Arial" w:hAnsi="Arial" w:cs="Arial"/>
          <w:sz w:val="22"/>
          <w:szCs w:val="22"/>
        </w:rPr>
        <w:t> </w:t>
      </w:r>
      <w:r>
        <w:rPr>
          <w:rStyle w:val="eop"/>
          <w:rFonts w:ascii="Calibri" w:hAnsi="Calibri" w:cs="Calibri"/>
        </w:rPr>
        <w:t> </w:t>
      </w:r>
    </w:p>
    <w:p w14:paraId="43F94230" w14:textId="51E59774" w:rsidR="001E3FEE" w:rsidRDefault="001E3FEE" w:rsidP="00552AAD">
      <w:pPr>
        <w:pStyle w:val="paragraph"/>
        <w:ind w:right="-15"/>
        <w:jc w:val="both"/>
        <w:textAlignment w:val="baseline"/>
      </w:pPr>
      <w:bookmarkStart w:id="128" w:name="_Hlk32937299"/>
      <w:r>
        <w:rPr>
          <w:rStyle w:val="normaltextrun1"/>
          <w:rFonts w:ascii="Calibri" w:hAnsi="Calibri" w:cs="Calibri"/>
          <w:sz w:val="22"/>
          <w:szCs w:val="22"/>
        </w:rPr>
        <w:t>With 90% of the land in Timor-Leste governed by customary land tenure systems and not formally registered</w:t>
      </w:r>
      <w:r>
        <w:rPr>
          <w:rStyle w:val="textrun"/>
          <w:rFonts w:cs="Arial"/>
          <w:sz w:val="17"/>
          <w:szCs w:val="17"/>
          <w:vertAlign w:val="superscript"/>
        </w:rPr>
        <w:t>96</w:t>
      </w:r>
      <w:r>
        <w:rPr>
          <w:rStyle w:val="normaltextrun1"/>
          <w:rFonts w:ascii="Calibri" w:hAnsi="Calibri" w:cs="Calibri"/>
          <w:sz w:val="22"/>
          <w:szCs w:val="22"/>
        </w:rPr>
        <w:t xml:space="preserve">, growing </w:t>
      </w:r>
      <w:r>
        <w:rPr>
          <w:rStyle w:val="normaltextrun1"/>
          <w:rFonts w:ascii="Calibri" w:hAnsi="Calibri" w:cs="Calibri"/>
          <w:b/>
          <w:bCs/>
          <w:sz w:val="22"/>
          <w:szCs w:val="22"/>
        </w:rPr>
        <w:t>land disputes and dispossessions</w:t>
      </w:r>
      <w:r w:rsidR="00ED7706">
        <w:rPr>
          <w:rStyle w:val="normaltextrun1"/>
          <w:rFonts w:ascii="Calibri" w:hAnsi="Calibri" w:cs="Calibri"/>
          <w:b/>
          <w:bCs/>
          <w:sz w:val="22"/>
          <w:szCs w:val="22"/>
        </w:rPr>
        <w:t xml:space="preserve"> in the urban and peri-urban areas</w:t>
      </w:r>
      <w:r>
        <w:rPr>
          <w:rStyle w:val="normaltextrun1"/>
          <w:rFonts w:ascii="Calibri" w:hAnsi="Calibri" w:cs="Calibri"/>
          <w:sz w:val="22"/>
          <w:szCs w:val="22"/>
        </w:rPr>
        <w:t xml:space="preserve"> have </w:t>
      </w:r>
      <w:r w:rsidR="00AD2B07">
        <w:rPr>
          <w:rStyle w:val="normaltextrun1"/>
          <w:rFonts w:ascii="Calibri" w:hAnsi="Calibri" w:cs="Calibri"/>
          <w:sz w:val="22"/>
          <w:szCs w:val="22"/>
        </w:rPr>
        <w:t xml:space="preserve">a </w:t>
      </w:r>
      <w:r>
        <w:rPr>
          <w:rStyle w:val="normaltextrun1"/>
          <w:rFonts w:ascii="Calibri" w:hAnsi="Calibri" w:cs="Calibri"/>
          <w:sz w:val="22"/>
          <w:szCs w:val="22"/>
        </w:rPr>
        <w:t>potential to threaten security and stability in the country over the long</w:t>
      </w:r>
      <w:r w:rsidR="00AD2B07">
        <w:rPr>
          <w:rStyle w:val="normaltextrun1"/>
          <w:rFonts w:ascii="Calibri" w:hAnsi="Calibri" w:cs="Calibri"/>
          <w:sz w:val="22"/>
          <w:szCs w:val="22"/>
        </w:rPr>
        <w:t>er</w:t>
      </w:r>
      <w:r>
        <w:rPr>
          <w:rStyle w:val="normaltextrun1"/>
          <w:rFonts w:ascii="Calibri" w:hAnsi="Calibri" w:cs="Calibri"/>
          <w:sz w:val="22"/>
          <w:szCs w:val="22"/>
        </w:rPr>
        <w:t xml:space="preserve"> term</w:t>
      </w:r>
      <w:r w:rsidR="00637D52">
        <w:rPr>
          <w:rStyle w:val="normaltextrun1"/>
          <w:rFonts w:ascii="Calibri" w:hAnsi="Calibri" w:cs="Calibri"/>
          <w:sz w:val="22"/>
          <w:szCs w:val="22"/>
        </w:rPr>
        <w:t xml:space="preserve">, with negative consequences </w:t>
      </w:r>
      <w:r w:rsidR="00983F8E">
        <w:rPr>
          <w:rStyle w:val="normaltextrun1"/>
          <w:rFonts w:ascii="Calibri" w:hAnsi="Calibri" w:cs="Calibri"/>
          <w:sz w:val="22"/>
          <w:szCs w:val="22"/>
        </w:rPr>
        <w:t>to</w:t>
      </w:r>
      <w:r w:rsidR="00637D52">
        <w:rPr>
          <w:rStyle w:val="normaltextrun1"/>
          <w:rFonts w:ascii="Calibri" w:hAnsi="Calibri" w:cs="Calibri"/>
          <w:sz w:val="22"/>
          <w:szCs w:val="22"/>
        </w:rPr>
        <w:t xml:space="preserve"> the achievement of the UNSDCF outcomes.  </w:t>
      </w:r>
      <w:r>
        <w:rPr>
          <w:rStyle w:val="normaltextrun1"/>
          <w:rFonts w:ascii="Calibri" w:hAnsi="Calibri" w:cs="Calibri"/>
          <w:sz w:val="22"/>
          <w:szCs w:val="22"/>
        </w:rPr>
        <w:t xml:space="preserve">The UN </w:t>
      </w:r>
      <w:r w:rsidR="00AD2B07">
        <w:rPr>
          <w:rStyle w:val="normaltextrun1"/>
          <w:rFonts w:ascii="Calibri" w:hAnsi="Calibri" w:cs="Calibri"/>
          <w:sz w:val="22"/>
          <w:szCs w:val="22"/>
        </w:rPr>
        <w:t xml:space="preserve">will continue </w:t>
      </w:r>
      <w:r w:rsidR="00637D52">
        <w:rPr>
          <w:rStyle w:val="normaltextrun1"/>
          <w:rFonts w:ascii="Calibri" w:hAnsi="Calibri" w:cs="Calibri"/>
          <w:sz w:val="22"/>
          <w:szCs w:val="22"/>
        </w:rPr>
        <w:t xml:space="preserve">to </w:t>
      </w:r>
      <w:r>
        <w:rPr>
          <w:rStyle w:val="normaltextrun1"/>
          <w:rFonts w:ascii="Calibri" w:hAnsi="Calibri" w:cs="Calibri"/>
          <w:sz w:val="22"/>
          <w:szCs w:val="22"/>
        </w:rPr>
        <w:t xml:space="preserve">engage in a dialogue with the Government and </w:t>
      </w:r>
      <w:r w:rsidR="00AD2B07">
        <w:rPr>
          <w:rStyle w:val="normaltextrun1"/>
          <w:rFonts w:ascii="Calibri" w:hAnsi="Calibri" w:cs="Calibri"/>
          <w:sz w:val="22"/>
          <w:szCs w:val="22"/>
        </w:rPr>
        <w:t xml:space="preserve">other </w:t>
      </w:r>
      <w:r>
        <w:rPr>
          <w:rStyle w:val="normaltextrun1"/>
          <w:rFonts w:ascii="Calibri" w:hAnsi="Calibri" w:cs="Calibri"/>
          <w:sz w:val="22"/>
          <w:szCs w:val="22"/>
        </w:rPr>
        <w:t xml:space="preserve">relevant stakeholders to support the development of a roadmap </w:t>
      </w:r>
      <w:r w:rsidR="00637D52">
        <w:rPr>
          <w:rStyle w:val="normaltextrun1"/>
          <w:rFonts w:ascii="Calibri" w:hAnsi="Calibri" w:cs="Calibri"/>
          <w:sz w:val="22"/>
          <w:szCs w:val="22"/>
        </w:rPr>
        <w:t xml:space="preserve">to </w:t>
      </w:r>
      <w:r>
        <w:rPr>
          <w:rStyle w:val="normaltextrun1"/>
          <w:rFonts w:ascii="Calibri" w:hAnsi="Calibri" w:cs="Calibri"/>
          <w:sz w:val="22"/>
          <w:szCs w:val="22"/>
        </w:rPr>
        <w:t>address the issues related to land disputes and dispossessions</w:t>
      </w:r>
      <w:r>
        <w:rPr>
          <w:rStyle w:val="normaltextrun1"/>
          <w:rFonts w:ascii="Arial" w:hAnsi="Arial" w:cs="Arial"/>
          <w:sz w:val="22"/>
          <w:szCs w:val="22"/>
        </w:rPr>
        <w:t>. </w:t>
      </w:r>
      <w:r>
        <w:rPr>
          <w:rStyle w:val="eop"/>
          <w:rFonts w:ascii="Arial" w:hAnsi="Arial" w:cs="Arial"/>
          <w:sz w:val="22"/>
          <w:szCs w:val="22"/>
        </w:rPr>
        <w:t> </w:t>
      </w:r>
    </w:p>
    <w:p w14:paraId="4C6CFD7C" w14:textId="77777777" w:rsidR="001E3FEE" w:rsidRDefault="001E3FEE" w:rsidP="00552AAD">
      <w:pPr>
        <w:pStyle w:val="paragraph"/>
        <w:jc w:val="both"/>
        <w:textAlignment w:val="baseline"/>
      </w:pPr>
    </w:p>
    <w:bookmarkEnd w:id="128"/>
    <w:p w14:paraId="5C68E434" w14:textId="46919606" w:rsidR="001E3FEE" w:rsidRDefault="001E3FEE" w:rsidP="00552AAD">
      <w:pPr>
        <w:pStyle w:val="paragraph"/>
        <w:jc w:val="both"/>
        <w:textAlignment w:val="baseline"/>
        <w:rPr>
          <w:rStyle w:val="eop"/>
          <w:rFonts w:ascii="Calibri" w:hAnsi="Calibri" w:cs="Calibri"/>
          <w:sz w:val="22"/>
          <w:szCs w:val="22"/>
        </w:rPr>
      </w:pPr>
      <w:r>
        <w:rPr>
          <w:rStyle w:val="normaltextrun1"/>
          <w:rFonts w:ascii="Calibri" w:hAnsi="Calibri" w:cs="Calibri"/>
          <w:sz w:val="22"/>
          <w:szCs w:val="22"/>
        </w:rPr>
        <w:t xml:space="preserve">Timor-Leste </w:t>
      </w:r>
      <w:r w:rsidRPr="00487FB0">
        <w:rPr>
          <w:rStyle w:val="normaltextrun1"/>
          <w:rFonts w:ascii="Calibri" w:hAnsi="Calibri" w:cs="Calibri"/>
          <w:b/>
          <w:bCs/>
          <w:sz w:val="22"/>
          <w:szCs w:val="22"/>
        </w:rPr>
        <w:t>trades</w:t>
      </w:r>
      <w:r>
        <w:rPr>
          <w:rStyle w:val="normaltextrun1"/>
          <w:rFonts w:ascii="Calibri" w:hAnsi="Calibri" w:cs="Calibri"/>
          <w:sz w:val="22"/>
          <w:szCs w:val="22"/>
        </w:rPr>
        <w:t xml:space="preserve"> approximately 70% of goods with Indonesia, Singapore, China and Vietnam</w:t>
      </w:r>
      <w:r>
        <w:rPr>
          <w:rStyle w:val="textrun"/>
          <w:rFonts w:cs="Arial"/>
          <w:sz w:val="17"/>
          <w:szCs w:val="17"/>
          <w:vertAlign w:val="superscript"/>
        </w:rPr>
        <w:t>99</w:t>
      </w:r>
      <w:r>
        <w:rPr>
          <w:rStyle w:val="normaltextrun1"/>
          <w:rFonts w:ascii="Calibri" w:hAnsi="Calibri" w:cs="Calibri"/>
          <w:sz w:val="22"/>
          <w:szCs w:val="22"/>
        </w:rPr>
        <w:t xml:space="preserve">. </w:t>
      </w:r>
      <w:r w:rsidR="00983F8E">
        <w:rPr>
          <w:rStyle w:val="normaltextrun1"/>
          <w:rFonts w:ascii="Calibri" w:hAnsi="Calibri" w:cs="Calibri"/>
          <w:sz w:val="22"/>
          <w:szCs w:val="22"/>
        </w:rPr>
        <w:t xml:space="preserve"> </w:t>
      </w:r>
      <w:r>
        <w:rPr>
          <w:rStyle w:val="normaltextrun1"/>
          <w:rFonts w:ascii="Calibri" w:hAnsi="Calibri" w:cs="Calibri"/>
          <w:sz w:val="22"/>
          <w:szCs w:val="22"/>
        </w:rPr>
        <w:t xml:space="preserve">Timor-Leste has a very low and uniform tariff (2.5%) with few exceptions and no stated quotas. </w:t>
      </w:r>
      <w:r w:rsidR="00983F8E">
        <w:rPr>
          <w:rStyle w:val="normaltextrun1"/>
          <w:rFonts w:ascii="Calibri" w:hAnsi="Calibri" w:cs="Calibri"/>
          <w:sz w:val="22"/>
          <w:szCs w:val="22"/>
        </w:rPr>
        <w:t xml:space="preserve"> </w:t>
      </w:r>
      <w:r>
        <w:rPr>
          <w:rStyle w:val="normaltextrun1"/>
          <w:rFonts w:ascii="Calibri" w:hAnsi="Calibri" w:cs="Calibri"/>
          <w:sz w:val="22"/>
          <w:szCs w:val="22"/>
        </w:rPr>
        <w:t>Joining the WTO and</w:t>
      </w:r>
      <w:r w:rsidR="00983F8E">
        <w:rPr>
          <w:rStyle w:val="normaltextrun1"/>
          <w:rFonts w:ascii="Calibri" w:hAnsi="Calibri" w:cs="Calibri"/>
          <w:sz w:val="22"/>
          <w:szCs w:val="22"/>
        </w:rPr>
        <w:t>/or</w:t>
      </w:r>
      <w:r>
        <w:rPr>
          <w:rStyle w:val="normaltextrun1"/>
          <w:rFonts w:ascii="Calibri" w:hAnsi="Calibri" w:cs="Calibri"/>
          <w:sz w:val="22"/>
          <w:szCs w:val="22"/>
        </w:rPr>
        <w:t xml:space="preserve"> ASEAN </w:t>
      </w:r>
      <w:r w:rsidR="00983F8E">
        <w:rPr>
          <w:rStyle w:val="normaltextrun1"/>
          <w:rFonts w:ascii="Calibri" w:hAnsi="Calibri" w:cs="Calibri"/>
          <w:sz w:val="22"/>
          <w:szCs w:val="22"/>
        </w:rPr>
        <w:t>would be an opportunity to</w:t>
      </w:r>
      <w:r>
        <w:rPr>
          <w:rStyle w:val="normaltextrun1"/>
          <w:rFonts w:ascii="Calibri" w:hAnsi="Calibri" w:cs="Calibri"/>
          <w:sz w:val="22"/>
          <w:szCs w:val="22"/>
        </w:rPr>
        <w:t xml:space="preserve"> strengthen Timor-Leste’s market access and help grow the country’s exports, particularly in Asia.</w:t>
      </w:r>
      <w:r w:rsidR="00983F8E">
        <w:rPr>
          <w:rStyle w:val="normaltextrun1"/>
          <w:rFonts w:ascii="Calibri" w:hAnsi="Calibri" w:cs="Calibri"/>
          <w:sz w:val="22"/>
          <w:szCs w:val="22"/>
        </w:rPr>
        <w:t xml:space="preserve">  This would have positive consequences to the achievement of the UNSDCF outcomes.</w:t>
      </w:r>
      <w:r>
        <w:rPr>
          <w:rStyle w:val="normaltextrun1"/>
          <w:rFonts w:ascii="Calibri" w:hAnsi="Calibri" w:cs="Calibri"/>
          <w:sz w:val="22"/>
          <w:szCs w:val="22"/>
        </w:rPr>
        <w:t xml:space="preserve"> </w:t>
      </w:r>
      <w:r w:rsidR="00983F8E">
        <w:rPr>
          <w:rStyle w:val="normaltextrun1"/>
          <w:rFonts w:ascii="Calibri" w:hAnsi="Calibri" w:cs="Calibri"/>
          <w:sz w:val="22"/>
          <w:szCs w:val="22"/>
        </w:rPr>
        <w:t xml:space="preserve"> </w:t>
      </w:r>
      <w:r>
        <w:rPr>
          <w:rStyle w:val="normaltextrun1"/>
          <w:rFonts w:ascii="Calibri" w:hAnsi="Calibri" w:cs="Calibri"/>
          <w:sz w:val="22"/>
          <w:szCs w:val="22"/>
        </w:rPr>
        <w:t xml:space="preserve">However, this can also weaken the development of its domestic economy, as a result of an influx of goods and services from more competitive markets. </w:t>
      </w:r>
      <w:r w:rsidR="00983F8E">
        <w:rPr>
          <w:rStyle w:val="normaltextrun1"/>
          <w:rFonts w:ascii="Calibri" w:hAnsi="Calibri" w:cs="Calibri"/>
          <w:sz w:val="22"/>
          <w:szCs w:val="22"/>
        </w:rPr>
        <w:t xml:space="preserve"> </w:t>
      </w:r>
      <w:r>
        <w:rPr>
          <w:rStyle w:val="normaltextrun1"/>
          <w:rFonts w:ascii="Calibri" w:hAnsi="Calibri" w:cs="Calibri"/>
          <w:sz w:val="22"/>
          <w:szCs w:val="22"/>
        </w:rPr>
        <w:t xml:space="preserve">Accessing a greater percentage of ‘niche’ external markets could have a significant impact </w:t>
      </w:r>
      <w:r w:rsidR="00D76EBF">
        <w:rPr>
          <w:rStyle w:val="normaltextrun1"/>
          <w:rFonts w:ascii="Calibri" w:hAnsi="Calibri" w:cs="Calibri"/>
          <w:sz w:val="22"/>
          <w:szCs w:val="22"/>
        </w:rPr>
        <w:t>in</w:t>
      </w:r>
      <w:r>
        <w:rPr>
          <w:rStyle w:val="normaltextrun1"/>
          <w:rFonts w:ascii="Calibri" w:hAnsi="Calibri" w:cs="Calibri"/>
          <w:sz w:val="22"/>
          <w:szCs w:val="22"/>
        </w:rPr>
        <w:t xml:space="preserve"> Timor-Leste, in particular if the country is able to negotiate favorable terms of trade. </w:t>
      </w:r>
      <w:r w:rsidR="00983F8E">
        <w:rPr>
          <w:rStyle w:val="normaltextrun1"/>
          <w:rFonts w:ascii="Calibri" w:hAnsi="Calibri" w:cs="Calibri"/>
          <w:sz w:val="22"/>
          <w:szCs w:val="22"/>
        </w:rPr>
        <w:t xml:space="preserve"> </w:t>
      </w:r>
      <w:r>
        <w:rPr>
          <w:rStyle w:val="normaltextrun1"/>
          <w:rFonts w:ascii="Calibri" w:hAnsi="Calibri" w:cs="Calibri"/>
          <w:sz w:val="22"/>
          <w:szCs w:val="22"/>
        </w:rPr>
        <w:t xml:space="preserve">The UN, together with the World Bank and other partners, is supporting Timor-Leste to </w:t>
      </w:r>
      <w:r w:rsidR="00D76EBF">
        <w:rPr>
          <w:rStyle w:val="normaltextrun1"/>
          <w:rFonts w:ascii="Calibri" w:hAnsi="Calibri" w:cs="Calibri"/>
          <w:sz w:val="22"/>
          <w:szCs w:val="22"/>
        </w:rPr>
        <w:t xml:space="preserve">help </w:t>
      </w:r>
      <w:r>
        <w:rPr>
          <w:rStyle w:val="normaltextrun1"/>
          <w:rFonts w:ascii="Calibri" w:hAnsi="Calibri" w:cs="Calibri"/>
          <w:sz w:val="22"/>
          <w:szCs w:val="22"/>
        </w:rPr>
        <w:t>prepare for membership of ASEAN and the WTO through its work at country, regional and global levels. </w:t>
      </w:r>
      <w:r>
        <w:rPr>
          <w:rStyle w:val="eop"/>
          <w:rFonts w:ascii="Calibri" w:hAnsi="Calibri" w:cs="Calibri"/>
          <w:sz w:val="22"/>
          <w:szCs w:val="22"/>
        </w:rPr>
        <w:t> </w:t>
      </w:r>
    </w:p>
    <w:p w14:paraId="3F07822C" w14:textId="77777777" w:rsidR="001E3FEE" w:rsidRDefault="001E3FEE" w:rsidP="00552AAD">
      <w:pPr>
        <w:pStyle w:val="paragraph"/>
        <w:jc w:val="both"/>
        <w:textAlignment w:val="baseline"/>
      </w:pPr>
    </w:p>
    <w:p w14:paraId="036747A2" w14:textId="5817D5D9" w:rsidR="00C246E4" w:rsidRDefault="001E3FEE" w:rsidP="00C246E4">
      <w:pPr>
        <w:rPr>
          <w:rStyle w:val="eop"/>
          <w:rFonts w:ascii="Calibri" w:hAnsi="Calibri" w:cs="Calibri"/>
          <w:sz w:val="22"/>
          <w:szCs w:val="22"/>
        </w:rPr>
      </w:pPr>
      <w:proofErr w:type="spellStart"/>
      <w:r w:rsidRPr="005F4A3B">
        <w:rPr>
          <w:rStyle w:val="normaltextrun1"/>
          <w:b/>
          <w:bCs/>
          <w:sz w:val="22"/>
          <w:szCs w:val="22"/>
        </w:rPr>
        <w:t>Remittances</w:t>
      </w:r>
      <w:proofErr w:type="spellEnd"/>
      <w:r w:rsidRPr="005F4A3B">
        <w:rPr>
          <w:rStyle w:val="normaltextrun1"/>
          <w:sz w:val="22"/>
          <w:szCs w:val="22"/>
        </w:rPr>
        <w:t xml:space="preserve"> are an important source of </w:t>
      </w:r>
      <w:proofErr w:type="spellStart"/>
      <w:r w:rsidRPr="005F4A3B">
        <w:rPr>
          <w:rStyle w:val="normaltextrun1"/>
          <w:sz w:val="22"/>
          <w:szCs w:val="22"/>
        </w:rPr>
        <w:t>income</w:t>
      </w:r>
      <w:proofErr w:type="spellEnd"/>
      <w:r w:rsidRPr="005F4A3B">
        <w:rPr>
          <w:rStyle w:val="normaltextrun1"/>
          <w:sz w:val="22"/>
          <w:szCs w:val="22"/>
        </w:rPr>
        <w:t xml:space="preserve"> for </w:t>
      </w:r>
      <w:proofErr w:type="spellStart"/>
      <w:r w:rsidRPr="005F4A3B">
        <w:rPr>
          <w:rStyle w:val="normaltextrun1"/>
          <w:sz w:val="22"/>
          <w:szCs w:val="22"/>
        </w:rPr>
        <w:t>many</w:t>
      </w:r>
      <w:proofErr w:type="spellEnd"/>
      <w:r w:rsidRPr="005F4A3B">
        <w:rPr>
          <w:rStyle w:val="normaltextrun1"/>
          <w:sz w:val="22"/>
          <w:szCs w:val="22"/>
        </w:rPr>
        <w:t xml:space="preserve"> </w:t>
      </w:r>
      <w:proofErr w:type="spellStart"/>
      <w:r w:rsidRPr="005F4A3B">
        <w:rPr>
          <w:rStyle w:val="normaltextrun1"/>
          <w:sz w:val="22"/>
          <w:szCs w:val="22"/>
        </w:rPr>
        <w:t>households</w:t>
      </w:r>
      <w:proofErr w:type="spellEnd"/>
      <w:r w:rsidRPr="005F4A3B">
        <w:rPr>
          <w:rStyle w:val="normaltextrun1"/>
          <w:sz w:val="22"/>
          <w:szCs w:val="22"/>
        </w:rPr>
        <w:t xml:space="preserve"> in the country. </w:t>
      </w:r>
      <w:r w:rsidR="00983F8E" w:rsidRPr="005F4A3B">
        <w:rPr>
          <w:rStyle w:val="normaltextrun1"/>
          <w:sz w:val="22"/>
          <w:szCs w:val="22"/>
        </w:rPr>
        <w:t xml:space="preserve"> </w:t>
      </w:r>
      <w:proofErr w:type="spellStart"/>
      <w:r w:rsidRPr="005F4A3B">
        <w:rPr>
          <w:rStyle w:val="normaltextrun1"/>
          <w:sz w:val="22"/>
          <w:szCs w:val="22"/>
        </w:rPr>
        <w:t>In</w:t>
      </w:r>
      <w:proofErr w:type="spellEnd"/>
      <w:r w:rsidRPr="005F4A3B">
        <w:rPr>
          <w:rStyle w:val="normaltextrun1"/>
          <w:sz w:val="22"/>
          <w:szCs w:val="22"/>
        </w:rPr>
        <w:t xml:space="preserve"> 2018, </w:t>
      </w:r>
      <w:proofErr w:type="spellStart"/>
      <w:r w:rsidRPr="005F4A3B">
        <w:rPr>
          <w:rStyle w:val="normaltextrun1"/>
          <w:sz w:val="22"/>
          <w:szCs w:val="22"/>
        </w:rPr>
        <w:t>Timorese</w:t>
      </w:r>
      <w:proofErr w:type="spellEnd"/>
      <w:r w:rsidRPr="005F4A3B">
        <w:rPr>
          <w:rStyle w:val="normaltextrun1"/>
          <w:sz w:val="22"/>
          <w:szCs w:val="22"/>
        </w:rPr>
        <w:t xml:space="preserve"> </w:t>
      </w:r>
      <w:proofErr w:type="spellStart"/>
      <w:r w:rsidRPr="005F4A3B">
        <w:rPr>
          <w:rStyle w:val="normaltextrun1"/>
          <w:sz w:val="22"/>
          <w:szCs w:val="22"/>
        </w:rPr>
        <w:t>workers</w:t>
      </w:r>
      <w:proofErr w:type="spellEnd"/>
      <w:r w:rsidRPr="005F4A3B">
        <w:rPr>
          <w:rStyle w:val="normaltextrun1"/>
          <w:sz w:val="22"/>
          <w:szCs w:val="22"/>
        </w:rPr>
        <w:t xml:space="preserve"> living </w:t>
      </w:r>
      <w:proofErr w:type="spellStart"/>
      <w:r w:rsidRPr="005F4A3B">
        <w:rPr>
          <w:rStyle w:val="normaltextrun1"/>
          <w:sz w:val="22"/>
          <w:szCs w:val="22"/>
        </w:rPr>
        <w:t>abroad</w:t>
      </w:r>
      <w:proofErr w:type="spellEnd"/>
      <w:r w:rsidRPr="005F4A3B">
        <w:rPr>
          <w:rStyle w:val="normaltextrun1"/>
          <w:sz w:val="22"/>
          <w:szCs w:val="22"/>
        </w:rPr>
        <w:t xml:space="preserve"> sent US</w:t>
      </w:r>
      <w:r w:rsidR="00983F8E" w:rsidRPr="005F4A3B">
        <w:rPr>
          <w:rStyle w:val="normaltextrun1"/>
          <w:sz w:val="22"/>
          <w:szCs w:val="22"/>
        </w:rPr>
        <w:t xml:space="preserve">D </w:t>
      </w:r>
      <w:r w:rsidRPr="005F4A3B">
        <w:rPr>
          <w:rStyle w:val="normaltextrun1"/>
          <w:sz w:val="22"/>
          <w:szCs w:val="22"/>
        </w:rPr>
        <w:t xml:space="preserve">91 million home. </w:t>
      </w:r>
      <w:r w:rsidR="00C246E4" w:rsidRPr="005F4A3B">
        <w:rPr>
          <w:rStyle w:val="normaltextrun1"/>
          <w:sz w:val="22"/>
          <w:szCs w:val="22"/>
        </w:rPr>
        <w:t xml:space="preserve"> </w:t>
      </w:r>
      <w:r w:rsidRPr="005F4A3B">
        <w:rPr>
          <w:rStyle w:val="normaltextrun1"/>
          <w:sz w:val="22"/>
          <w:szCs w:val="22"/>
        </w:rPr>
        <w:t xml:space="preserve">Timor-Leste has </w:t>
      </w:r>
      <w:proofErr w:type="spellStart"/>
      <w:r w:rsidRPr="005F4A3B">
        <w:rPr>
          <w:rStyle w:val="normaltextrun1"/>
          <w:sz w:val="22"/>
          <w:szCs w:val="22"/>
        </w:rPr>
        <w:t>established</w:t>
      </w:r>
      <w:proofErr w:type="spellEnd"/>
      <w:r w:rsidRPr="005F4A3B">
        <w:rPr>
          <w:rStyle w:val="normaltextrun1"/>
          <w:sz w:val="22"/>
          <w:szCs w:val="22"/>
        </w:rPr>
        <w:t xml:space="preserve"> </w:t>
      </w:r>
      <w:proofErr w:type="spellStart"/>
      <w:r w:rsidR="00F907DD" w:rsidRPr="005F4A3B">
        <w:rPr>
          <w:rStyle w:val="normaltextrun1"/>
          <w:sz w:val="22"/>
          <w:szCs w:val="22"/>
        </w:rPr>
        <w:t>seasonal</w:t>
      </w:r>
      <w:proofErr w:type="spellEnd"/>
      <w:r w:rsidR="00F907DD" w:rsidRPr="005F4A3B">
        <w:rPr>
          <w:rStyle w:val="normaltextrun1"/>
          <w:sz w:val="22"/>
          <w:szCs w:val="22"/>
        </w:rPr>
        <w:t xml:space="preserve"> </w:t>
      </w:r>
      <w:proofErr w:type="spellStart"/>
      <w:r w:rsidRPr="005F4A3B">
        <w:rPr>
          <w:rStyle w:val="normaltextrun1"/>
          <w:sz w:val="22"/>
          <w:szCs w:val="22"/>
        </w:rPr>
        <w:t>worker</w:t>
      </w:r>
      <w:proofErr w:type="spellEnd"/>
      <w:r w:rsidRPr="005F4A3B">
        <w:rPr>
          <w:rStyle w:val="normaltextrun1"/>
          <w:sz w:val="22"/>
          <w:szCs w:val="22"/>
        </w:rPr>
        <w:t xml:space="preserve"> programs </w:t>
      </w:r>
      <w:proofErr w:type="spellStart"/>
      <w:r w:rsidRPr="005F4A3B">
        <w:rPr>
          <w:rStyle w:val="normaltextrun1"/>
          <w:sz w:val="22"/>
          <w:szCs w:val="22"/>
        </w:rPr>
        <w:t>with</w:t>
      </w:r>
      <w:proofErr w:type="spellEnd"/>
      <w:r w:rsidRPr="005F4A3B">
        <w:rPr>
          <w:rStyle w:val="normaltextrun1"/>
          <w:sz w:val="22"/>
          <w:szCs w:val="22"/>
        </w:rPr>
        <w:t xml:space="preserve"> </w:t>
      </w:r>
      <w:proofErr w:type="spellStart"/>
      <w:r w:rsidRPr="005F4A3B">
        <w:rPr>
          <w:rStyle w:val="normaltextrun1"/>
          <w:sz w:val="22"/>
          <w:szCs w:val="22"/>
        </w:rPr>
        <w:t>Australia</w:t>
      </w:r>
      <w:proofErr w:type="spellEnd"/>
      <w:r w:rsidRPr="005F4A3B">
        <w:rPr>
          <w:rStyle w:val="normaltextrun1"/>
          <w:sz w:val="22"/>
          <w:szCs w:val="22"/>
        </w:rPr>
        <w:t xml:space="preserve"> and South </w:t>
      </w:r>
      <w:proofErr w:type="spellStart"/>
      <w:r w:rsidRPr="005F4A3B">
        <w:rPr>
          <w:rStyle w:val="normaltextrun1"/>
          <w:sz w:val="22"/>
          <w:szCs w:val="22"/>
        </w:rPr>
        <w:t>Korea</w:t>
      </w:r>
      <w:proofErr w:type="spellEnd"/>
      <w:r w:rsidRPr="005F4A3B">
        <w:rPr>
          <w:rStyle w:val="normaltextrun1"/>
          <w:sz w:val="22"/>
          <w:szCs w:val="22"/>
        </w:rPr>
        <w:t>, and</w:t>
      </w:r>
      <w:r w:rsidR="00C246E4" w:rsidRPr="005F4A3B">
        <w:rPr>
          <w:rStyle w:val="normaltextrun1"/>
          <w:sz w:val="22"/>
          <w:szCs w:val="22"/>
        </w:rPr>
        <w:t xml:space="preserve"> </w:t>
      </w:r>
      <w:proofErr w:type="spellStart"/>
      <w:r w:rsidR="00C246E4" w:rsidRPr="005F4A3B">
        <w:rPr>
          <w:rStyle w:val="normaltextrun1"/>
          <w:sz w:val="22"/>
          <w:szCs w:val="22"/>
        </w:rPr>
        <w:t>it</w:t>
      </w:r>
      <w:proofErr w:type="spellEnd"/>
      <w:r w:rsidRPr="005F4A3B">
        <w:rPr>
          <w:rStyle w:val="normaltextrun1"/>
          <w:sz w:val="22"/>
          <w:szCs w:val="22"/>
        </w:rPr>
        <w:t xml:space="preserve"> </w:t>
      </w:r>
      <w:proofErr w:type="spellStart"/>
      <w:r w:rsidRPr="005F4A3B">
        <w:rPr>
          <w:rStyle w:val="normaltextrun1"/>
          <w:sz w:val="22"/>
          <w:szCs w:val="22"/>
        </w:rPr>
        <w:t>aims</w:t>
      </w:r>
      <w:proofErr w:type="spellEnd"/>
      <w:r w:rsidRPr="005F4A3B">
        <w:rPr>
          <w:rStyle w:val="normaltextrun1"/>
          <w:sz w:val="22"/>
          <w:szCs w:val="22"/>
        </w:rPr>
        <w:t xml:space="preserve"> to </w:t>
      </w:r>
      <w:proofErr w:type="spellStart"/>
      <w:r w:rsidRPr="005F4A3B">
        <w:rPr>
          <w:rStyle w:val="normaltextrun1"/>
          <w:sz w:val="22"/>
          <w:szCs w:val="22"/>
        </w:rPr>
        <w:t>increase</w:t>
      </w:r>
      <w:proofErr w:type="spellEnd"/>
      <w:r w:rsidRPr="005F4A3B">
        <w:rPr>
          <w:rStyle w:val="normaltextrun1"/>
          <w:sz w:val="22"/>
          <w:szCs w:val="22"/>
        </w:rPr>
        <w:t xml:space="preserve"> </w:t>
      </w:r>
      <w:proofErr w:type="spellStart"/>
      <w:r w:rsidRPr="005F4A3B">
        <w:rPr>
          <w:rStyle w:val="normaltextrun1"/>
          <w:sz w:val="22"/>
          <w:szCs w:val="22"/>
        </w:rPr>
        <w:t>access</w:t>
      </w:r>
      <w:proofErr w:type="spellEnd"/>
      <w:r w:rsidRPr="005F4A3B">
        <w:rPr>
          <w:rStyle w:val="normaltextrun1"/>
          <w:sz w:val="22"/>
          <w:szCs w:val="22"/>
        </w:rPr>
        <w:t xml:space="preserve"> to labour migration </w:t>
      </w:r>
      <w:proofErr w:type="spellStart"/>
      <w:r w:rsidRPr="005F4A3B">
        <w:rPr>
          <w:rStyle w:val="normaltextrun1"/>
          <w:sz w:val="22"/>
          <w:szCs w:val="22"/>
        </w:rPr>
        <w:t>schemes</w:t>
      </w:r>
      <w:proofErr w:type="spellEnd"/>
      <w:r w:rsidRPr="005F4A3B">
        <w:rPr>
          <w:rStyle w:val="normaltextrun1"/>
          <w:sz w:val="22"/>
          <w:szCs w:val="22"/>
        </w:rPr>
        <w:t xml:space="preserve"> and expand destination countries </w:t>
      </w:r>
      <w:proofErr w:type="spellStart"/>
      <w:r w:rsidRPr="005F4A3B">
        <w:rPr>
          <w:rStyle w:val="normaltextrun1"/>
          <w:sz w:val="22"/>
          <w:szCs w:val="22"/>
        </w:rPr>
        <w:t>including</w:t>
      </w:r>
      <w:proofErr w:type="spellEnd"/>
      <w:r w:rsidRPr="005F4A3B">
        <w:rPr>
          <w:rStyle w:val="normaltextrun1"/>
          <w:sz w:val="22"/>
          <w:szCs w:val="22"/>
        </w:rPr>
        <w:t xml:space="preserve"> New </w:t>
      </w:r>
      <w:proofErr w:type="spellStart"/>
      <w:r w:rsidRPr="005F4A3B">
        <w:rPr>
          <w:rStyle w:val="normaltextrun1"/>
          <w:sz w:val="22"/>
          <w:szCs w:val="22"/>
        </w:rPr>
        <w:t>Zealand</w:t>
      </w:r>
      <w:proofErr w:type="spellEnd"/>
      <w:r w:rsidRPr="005F4A3B">
        <w:rPr>
          <w:rStyle w:val="normaltextrun1"/>
          <w:sz w:val="22"/>
          <w:szCs w:val="22"/>
        </w:rPr>
        <w:t xml:space="preserve">, ASEAN and CPLP countries, as </w:t>
      </w:r>
      <w:proofErr w:type="spellStart"/>
      <w:r w:rsidRPr="005F4A3B">
        <w:rPr>
          <w:rStyle w:val="normaltextrun1"/>
          <w:sz w:val="22"/>
          <w:szCs w:val="22"/>
        </w:rPr>
        <w:t>well</w:t>
      </w:r>
      <w:proofErr w:type="spellEnd"/>
      <w:r w:rsidRPr="005F4A3B">
        <w:rPr>
          <w:rStyle w:val="normaltextrun1"/>
          <w:sz w:val="22"/>
          <w:szCs w:val="22"/>
        </w:rPr>
        <w:t xml:space="preserve"> as the Middle East</w:t>
      </w:r>
      <w:r w:rsidR="00C246E4" w:rsidRPr="005F4A3B">
        <w:rPr>
          <w:rStyle w:val="normaltextrun1"/>
          <w:sz w:val="22"/>
          <w:szCs w:val="22"/>
        </w:rPr>
        <w:t>.</w:t>
      </w:r>
      <w:r w:rsidRPr="005F4A3B">
        <w:rPr>
          <w:rStyle w:val="normaltextrun1"/>
        </w:rPr>
        <w:t> </w:t>
      </w:r>
      <w:r w:rsidR="00983F8E" w:rsidRPr="005F4A3B">
        <w:rPr>
          <w:rStyle w:val="normaltextrun1"/>
        </w:rPr>
        <w:t xml:space="preserve"> </w:t>
      </w:r>
      <w:proofErr w:type="spellStart"/>
      <w:r w:rsidR="00983F8E" w:rsidRPr="005F4A3B">
        <w:rPr>
          <w:rStyle w:val="normaltextrun1"/>
        </w:rPr>
        <w:t>With</w:t>
      </w:r>
      <w:proofErr w:type="spellEnd"/>
      <w:r w:rsidR="00983F8E" w:rsidRPr="005F4A3B">
        <w:rPr>
          <w:rStyle w:val="normaltextrun1"/>
        </w:rPr>
        <w:t xml:space="preserve"> the right </w:t>
      </w:r>
      <w:proofErr w:type="spellStart"/>
      <w:r w:rsidR="00983F8E" w:rsidRPr="005F4A3B">
        <w:rPr>
          <w:rStyle w:val="normaltextrun1"/>
        </w:rPr>
        <w:t>policies</w:t>
      </w:r>
      <w:proofErr w:type="spellEnd"/>
      <w:r w:rsidR="00C246E4" w:rsidRPr="005F4A3B">
        <w:rPr>
          <w:rStyle w:val="normaltextrun1"/>
        </w:rPr>
        <w:t xml:space="preserve">, </w:t>
      </w:r>
      <w:proofErr w:type="spellStart"/>
      <w:r w:rsidR="00983F8E" w:rsidRPr="005F4A3B">
        <w:rPr>
          <w:rStyle w:val="normaltextrun1"/>
        </w:rPr>
        <w:t>systems</w:t>
      </w:r>
      <w:proofErr w:type="spellEnd"/>
      <w:r w:rsidR="00983F8E" w:rsidRPr="005F4A3B">
        <w:rPr>
          <w:rStyle w:val="normaltextrun1"/>
        </w:rPr>
        <w:t xml:space="preserve"> </w:t>
      </w:r>
      <w:r w:rsidR="00C246E4" w:rsidRPr="005F4A3B">
        <w:rPr>
          <w:rStyle w:val="normaltextrun1"/>
        </w:rPr>
        <w:t xml:space="preserve">and programmes </w:t>
      </w:r>
      <w:r w:rsidR="00983F8E" w:rsidRPr="005F4A3B">
        <w:rPr>
          <w:rStyle w:val="normaltextrun1"/>
        </w:rPr>
        <w:t xml:space="preserve">in place, diaspora </w:t>
      </w:r>
      <w:proofErr w:type="spellStart"/>
      <w:r w:rsidR="00983F8E" w:rsidRPr="005F4A3B">
        <w:rPr>
          <w:rStyle w:val="normaltextrun1"/>
        </w:rPr>
        <w:t>remittances</w:t>
      </w:r>
      <w:proofErr w:type="spellEnd"/>
      <w:r w:rsidR="00983F8E" w:rsidRPr="005F4A3B">
        <w:rPr>
          <w:rStyle w:val="normaltextrun1"/>
        </w:rPr>
        <w:t xml:space="preserve"> </w:t>
      </w:r>
      <w:proofErr w:type="spellStart"/>
      <w:r w:rsidR="00983F8E" w:rsidRPr="005F4A3B">
        <w:rPr>
          <w:rStyle w:val="normaltextrun1"/>
        </w:rPr>
        <w:t>could</w:t>
      </w:r>
      <w:proofErr w:type="spellEnd"/>
      <w:r w:rsidR="00983F8E" w:rsidRPr="005F4A3B">
        <w:rPr>
          <w:rStyle w:val="normaltextrun1"/>
        </w:rPr>
        <w:t xml:space="preserve"> </w:t>
      </w:r>
      <w:proofErr w:type="spellStart"/>
      <w:r w:rsidR="00983F8E" w:rsidRPr="005F4A3B">
        <w:rPr>
          <w:rStyle w:val="normaltextrun1"/>
        </w:rPr>
        <w:t>potentially</w:t>
      </w:r>
      <w:proofErr w:type="spellEnd"/>
      <w:r w:rsidR="00983F8E" w:rsidRPr="005F4A3B">
        <w:rPr>
          <w:rStyle w:val="normaltextrun1"/>
        </w:rPr>
        <w:t xml:space="preserve"> </w:t>
      </w:r>
      <w:proofErr w:type="spellStart"/>
      <w:r w:rsidR="00983F8E" w:rsidRPr="005F4A3B">
        <w:rPr>
          <w:rStyle w:val="normaltextrun1"/>
        </w:rPr>
        <w:t>be</w:t>
      </w:r>
      <w:proofErr w:type="spellEnd"/>
      <w:r w:rsidR="00983F8E" w:rsidRPr="005F4A3B">
        <w:rPr>
          <w:rStyle w:val="normaltextrun1"/>
        </w:rPr>
        <w:t xml:space="preserve"> an </w:t>
      </w:r>
      <w:proofErr w:type="spellStart"/>
      <w:r w:rsidR="00983F8E" w:rsidRPr="005F4A3B">
        <w:rPr>
          <w:rStyle w:val="normaltextrun1"/>
        </w:rPr>
        <w:t>opportunity</w:t>
      </w:r>
      <w:proofErr w:type="spellEnd"/>
      <w:r w:rsidR="00983F8E" w:rsidRPr="005F4A3B">
        <w:rPr>
          <w:rStyle w:val="normaltextrun1"/>
        </w:rPr>
        <w:t xml:space="preserve"> to </w:t>
      </w:r>
      <w:proofErr w:type="spellStart"/>
      <w:r w:rsidR="00983F8E" w:rsidRPr="005F4A3B">
        <w:rPr>
          <w:rStyle w:val="normaltextrun1"/>
        </w:rPr>
        <w:t>diversify</w:t>
      </w:r>
      <w:proofErr w:type="spellEnd"/>
      <w:r w:rsidR="00983F8E" w:rsidRPr="005F4A3B">
        <w:rPr>
          <w:rStyle w:val="normaltextrun1"/>
        </w:rPr>
        <w:t xml:space="preserve"> SDG </w:t>
      </w:r>
      <w:proofErr w:type="spellStart"/>
      <w:r w:rsidR="00983F8E" w:rsidRPr="005F4A3B">
        <w:rPr>
          <w:rStyle w:val="normaltextrun1"/>
        </w:rPr>
        <w:t>f</w:t>
      </w:r>
      <w:r w:rsidR="00C246E4" w:rsidRPr="005F4A3B">
        <w:rPr>
          <w:rStyle w:val="normaltextrun1"/>
        </w:rPr>
        <w:t>inancing</w:t>
      </w:r>
      <w:proofErr w:type="spellEnd"/>
      <w:r w:rsidR="00983F8E" w:rsidRPr="005F4A3B">
        <w:rPr>
          <w:rStyle w:val="normaltextrun1"/>
        </w:rPr>
        <w:t xml:space="preserve"> in Timor-Leste.</w:t>
      </w:r>
      <w:r w:rsidR="00C246E4">
        <w:rPr>
          <w:rStyle w:val="FootnoteReference"/>
          <w:rFonts w:ascii="Calibri" w:hAnsi="Calibri" w:cs="Calibri"/>
          <w:sz w:val="22"/>
          <w:szCs w:val="22"/>
        </w:rPr>
        <w:footnoteReference w:id="71"/>
      </w:r>
      <w:r w:rsidR="00C246E4">
        <w:rPr>
          <w:rStyle w:val="eop"/>
          <w:rFonts w:ascii="Calibri" w:hAnsi="Calibri" w:cs="Calibri"/>
          <w:sz w:val="22"/>
          <w:szCs w:val="22"/>
        </w:rPr>
        <w:t xml:space="preserve">  </w:t>
      </w:r>
    </w:p>
    <w:p w14:paraId="2573BEB3" w14:textId="77777777" w:rsidR="002849E8" w:rsidRDefault="002849E8" w:rsidP="00C246E4">
      <w:pPr>
        <w:rPr>
          <w:color w:val="000000"/>
          <w:lang w:val="en-AU"/>
        </w:rPr>
      </w:pPr>
    </w:p>
    <w:p w14:paraId="570B1CDC" w14:textId="75EA3C36" w:rsidR="001E3FEE" w:rsidRDefault="001E3FEE" w:rsidP="00552AAD">
      <w:pPr>
        <w:pStyle w:val="paragraph"/>
        <w:jc w:val="both"/>
        <w:textAlignment w:val="baseline"/>
        <w:rPr>
          <w:color w:val="1F3763"/>
        </w:rPr>
      </w:pPr>
      <w:r>
        <w:rPr>
          <w:rStyle w:val="normaltextrun1"/>
          <w:rFonts w:ascii="Calibri Light" w:hAnsi="Calibri Light" w:cs="Calibri Light"/>
          <w:color w:val="1F3763"/>
        </w:rPr>
        <w:t xml:space="preserve">4.1.2. Cooperation </w:t>
      </w:r>
      <w:r w:rsidR="00697885">
        <w:rPr>
          <w:rStyle w:val="normaltextrun1"/>
          <w:rFonts w:ascii="Calibri Light" w:hAnsi="Calibri Light" w:cs="Calibri Light"/>
          <w:color w:val="1F3763"/>
        </w:rPr>
        <w:t>F</w:t>
      </w:r>
      <w:r>
        <w:rPr>
          <w:rStyle w:val="normaltextrun1"/>
          <w:rFonts w:ascii="Calibri Light" w:hAnsi="Calibri Light" w:cs="Calibri Light"/>
          <w:color w:val="1F3763"/>
        </w:rPr>
        <w:t>ramework review and reporting</w:t>
      </w:r>
      <w:r>
        <w:rPr>
          <w:rStyle w:val="eop"/>
          <w:rFonts w:ascii="Calibri Light" w:hAnsi="Calibri Light" w:cs="Calibri Light"/>
          <w:color w:val="1F3763"/>
        </w:rPr>
        <w:t> </w:t>
      </w:r>
    </w:p>
    <w:p w14:paraId="79AC6E4E" w14:textId="77777777" w:rsidR="006C18B3" w:rsidRDefault="006C18B3" w:rsidP="00552AAD">
      <w:pPr>
        <w:pStyle w:val="paragraph"/>
        <w:jc w:val="both"/>
        <w:textAlignment w:val="baseline"/>
        <w:rPr>
          <w:rStyle w:val="eop"/>
          <w:rFonts w:ascii="Calibri" w:hAnsi="Calibri" w:cs="Calibri"/>
          <w:sz w:val="22"/>
          <w:szCs w:val="22"/>
        </w:rPr>
      </w:pPr>
    </w:p>
    <w:p w14:paraId="26FC765A" w14:textId="71378313" w:rsidR="001E3FEE" w:rsidRPr="006C18B3" w:rsidRDefault="001E3FEE" w:rsidP="00552AAD">
      <w:pPr>
        <w:pStyle w:val="paragraph"/>
        <w:jc w:val="both"/>
        <w:textAlignment w:val="baseline"/>
      </w:pPr>
      <w:r>
        <w:rPr>
          <w:rStyle w:val="normaltextrun1"/>
          <w:rFonts w:ascii="Calibri" w:hAnsi="Calibri" w:cs="Calibri"/>
          <w:color w:val="000000"/>
          <w:sz w:val="22"/>
          <w:szCs w:val="22"/>
        </w:rPr>
        <w:lastRenderedPageBreak/>
        <w:t xml:space="preserve">Annually, the </w:t>
      </w:r>
      <w:r w:rsidR="00AD2B07">
        <w:rPr>
          <w:rStyle w:val="normaltextrun1"/>
          <w:rFonts w:ascii="Calibri" w:hAnsi="Calibri" w:cs="Calibri"/>
          <w:color w:val="000000"/>
          <w:sz w:val="22"/>
          <w:szCs w:val="22"/>
        </w:rPr>
        <w:t xml:space="preserve">UNSDCF </w:t>
      </w:r>
      <w:r>
        <w:rPr>
          <w:rStyle w:val="normaltextrun1"/>
          <w:rFonts w:ascii="Calibri" w:hAnsi="Calibri" w:cs="Calibri"/>
          <w:color w:val="000000"/>
          <w:sz w:val="22"/>
          <w:szCs w:val="22"/>
        </w:rPr>
        <w:t xml:space="preserve">Results Groups, with support from the </w:t>
      </w:r>
      <w:r w:rsidR="00AD2B07">
        <w:rPr>
          <w:rStyle w:val="normaltextrun1"/>
          <w:rFonts w:ascii="Calibri" w:hAnsi="Calibri" w:cs="Calibri"/>
          <w:color w:val="000000"/>
          <w:sz w:val="22"/>
          <w:szCs w:val="22"/>
        </w:rPr>
        <w:t xml:space="preserve">UN </w:t>
      </w:r>
      <w:r>
        <w:rPr>
          <w:rStyle w:val="normaltextrun1"/>
          <w:rFonts w:ascii="Calibri" w:hAnsi="Calibri" w:cs="Calibri"/>
          <w:color w:val="000000"/>
          <w:sz w:val="22"/>
          <w:szCs w:val="22"/>
        </w:rPr>
        <w:t xml:space="preserve">M&amp;E </w:t>
      </w:r>
      <w:r w:rsidR="00AD2B07">
        <w:rPr>
          <w:rStyle w:val="normaltextrun1"/>
          <w:rFonts w:ascii="Calibri" w:hAnsi="Calibri" w:cs="Calibri"/>
          <w:color w:val="000000"/>
          <w:sz w:val="22"/>
          <w:szCs w:val="22"/>
        </w:rPr>
        <w:t>G</w:t>
      </w:r>
      <w:r>
        <w:rPr>
          <w:rStyle w:val="normaltextrun1"/>
          <w:rFonts w:ascii="Calibri" w:hAnsi="Calibri" w:cs="Calibri"/>
          <w:color w:val="000000"/>
          <w:sz w:val="22"/>
          <w:szCs w:val="22"/>
        </w:rPr>
        <w:t>roup, will undertake a review of progress at output (</w:t>
      </w:r>
      <w:r w:rsidR="00320E93">
        <w:rPr>
          <w:rStyle w:val="normaltextrun1"/>
          <w:rFonts w:ascii="Calibri" w:hAnsi="Calibri" w:cs="Calibri"/>
          <w:color w:val="000000"/>
          <w:sz w:val="22"/>
          <w:szCs w:val="22"/>
        </w:rPr>
        <w:t>Joint W</w:t>
      </w:r>
      <w:r>
        <w:rPr>
          <w:rStyle w:val="normaltextrun1"/>
          <w:rFonts w:ascii="Calibri" w:hAnsi="Calibri" w:cs="Calibri"/>
          <w:color w:val="000000"/>
          <w:sz w:val="22"/>
          <w:szCs w:val="22"/>
        </w:rPr>
        <w:t>ork</w:t>
      </w:r>
      <w:r w:rsidR="00320E93">
        <w:rPr>
          <w:rStyle w:val="normaltextrun1"/>
          <w:rFonts w:ascii="Calibri" w:hAnsi="Calibri" w:cs="Calibri"/>
          <w:color w:val="000000"/>
          <w:sz w:val="22"/>
          <w:szCs w:val="22"/>
        </w:rPr>
        <w:t xml:space="preserve"> P</w:t>
      </w:r>
      <w:r>
        <w:rPr>
          <w:rStyle w:val="normaltextrun1"/>
          <w:rFonts w:ascii="Calibri" w:hAnsi="Calibri" w:cs="Calibri"/>
          <w:color w:val="000000"/>
          <w:sz w:val="22"/>
          <w:szCs w:val="22"/>
        </w:rPr>
        <w:t>lans) and outcome level results (</w:t>
      </w:r>
      <w:r w:rsidR="00320E93">
        <w:rPr>
          <w:rStyle w:val="normaltextrun1"/>
          <w:rFonts w:ascii="Calibri" w:hAnsi="Calibri" w:cs="Calibri"/>
          <w:color w:val="000000"/>
          <w:sz w:val="22"/>
          <w:szCs w:val="22"/>
        </w:rPr>
        <w:t xml:space="preserve">UNSDCF </w:t>
      </w:r>
      <w:r>
        <w:rPr>
          <w:rStyle w:val="normaltextrun1"/>
          <w:rFonts w:ascii="Calibri" w:hAnsi="Calibri" w:cs="Calibri"/>
          <w:color w:val="000000"/>
          <w:sz w:val="22"/>
          <w:szCs w:val="22"/>
        </w:rPr>
        <w:t xml:space="preserve">Results Matrix) and produce an </w:t>
      </w:r>
      <w:r w:rsidR="00320E93">
        <w:rPr>
          <w:rStyle w:val="normaltextrun1"/>
          <w:rFonts w:ascii="Calibri" w:hAnsi="Calibri" w:cs="Calibri"/>
          <w:color w:val="000000"/>
          <w:sz w:val="22"/>
          <w:szCs w:val="22"/>
        </w:rPr>
        <w:t>a</w:t>
      </w:r>
      <w:r>
        <w:rPr>
          <w:rStyle w:val="normaltextrun1"/>
          <w:rFonts w:ascii="Calibri" w:hAnsi="Calibri" w:cs="Calibri"/>
          <w:color w:val="000000"/>
          <w:sz w:val="22"/>
          <w:szCs w:val="22"/>
        </w:rPr>
        <w:t xml:space="preserve">nnual </w:t>
      </w:r>
      <w:r w:rsidR="00320E93">
        <w:rPr>
          <w:rStyle w:val="normaltextrun1"/>
          <w:rFonts w:ascii="Calibri" w:hAnsi="Calibri" w:cs="Calibri"/>
          <w:color w:val="000000"/>
          <w:sz w:val="22"/>
          <w:szCs w:val="22"/>
        </w:rPr>
        <w:t xml:space="preserve">One </w:t>
      </w:r>
      <w:r>
        <w:rPr>
          <w:rStyle w:val="normaltextrun1"/>
          <w:rFonts w:ascii="Calibri" w:hAnsi="Calibri" w:cs="Calibri"/>
          <w:color w:val="000000"/>
          <w:sz w:val="22"/>
          <w:szCs w:val="22"/>
        </w:rPr>
        <w:t xml:space="preserve">UN Country Results Report on the following </w:t>
      </w:r>
      <w:proofErr w:type="spellStart"/>
      <w:r>
        <w:rPr>
          <w:rStyle w:val="normaltextrun1"/>
          <w:rFonts w:ascii="Calibri" w:hAnsi="Calibri" w:cs="Calibri"/>
          <w:color w:val="000000"/>
          <w:sz w:val="22"/>
          <w:szCs w:val="22"/>
        </w:rPr>
        <w:t>markers</w:t>
      </w:r>
      <w:proofErr w:type="spellEnd"/>
      <w:r>
        <w:rPr>
          <w:rStyle w:val="normaltextrun1"/>
          <w:rFonts w:ascii="Calibri" w:hAnsi="Calibri" w:cs="Calibri"/>
          <w:color w:val="000000"/>
          <w:sz w:val="22"/>
          <w:szCs w:val="22"/>
        </w:rPr>
        <w:t>:</w:t>
      </w:r>
      <w:r>
        <w:rPr>
          <w:rStyle w:val="eop"/>
          <w:rFonts w:ascii="Calibri" w:hAnsi="Calibri" w:cs="Calibri"/>
          <w:color w:val="000000"/>
          <w:sz w:val="22"/>
          <w:szCs w:val="22"/>
        </w:rPr>
        <w:t> </w:t>
      </w:r>
    </w:p>
    <w:p w14:paraId="3E55277F" w14:textId="543C9CCC" w:rsidR="001E3FEE" w:rsidRDefault="00320E93" w:rsidP="00552AAD">
      <w:pPr>
        <w:pStyle w:val="paragraph"/>
        <w:numPr>
          <w:ilvl w:val="0"/>
          <w:numId w:val="34"/>
        </w:numPr>
        <w:ind w:left="360" w:firstLine="0"/>
        <w:jc w:val="both"/>
        <w:textAlignment w:val="baseline"/>
        <w:rPr>
          <w:rFonts w:ascii="Calibri" w:hAnsi="Calibri" w:cs="Calibri"/>
          <w:color w:val="000000"/>
          <w:sz w:val="22"/>
          <w:szCs w:val="22"/>
        </w:rPr>
      </w:pPr>
      <w:r>
        <w:rPr>
          <w:rStyle w:val="normaltextrun1"/>
          <w:rFonts w:ascii="Calibri" w:hAnsi="Calibri" w:cs="Calibri"/>
          <w:color w:val="000000"/>
          <w:sz w:val="22"/>
          <w:szCs w:val="22"/>
        </w:rPr>
        <w:t>Q</w:t>
      </w:r>
      <w:r w:rsidR="001E3FEE">
        <w:rPr>
          <w:rStyle w:val="normaltextrun1"/>
          <w:rFonts w:ascii="Calibri" w:hAnsi="Calibri" w:cs="Calibri"/>
          <w:color w:val="000000"/>
          <w:sz w:val="22"/>
          <w:szCs w:val="22"/>
        </w:rPr>
        <w:t>uality of implementation</w:t>
      </w:r>
      <w:r>
        <w:rPr>
          <w:rStyle w:val="normaltextrun1"/>
          <w:rFonts w:ascii="Calibri" w:hAnsi="Calibri" w:cs="Calibri"/>
          <w:color w:val="000000"/>
          <w:sz w:val="22"/>
          <w:szCs w:val="22"/>
        </w:rPr>
        <w:t>;</w:t>
      </w:r>
      <w:r w:rsidR="001E3FEE">
        <w:rPr>
          <w:rStyle w:val="eop"/>
          <w:rFonts w:ascii="Calibri" w:hAnsi="Calibri" w:cs="Calibri"/>
          <w:color w:val="000000"/>
          <w:sz w:val="22"/>
          <w:szCs w:val="22"/>
        </w:rPr>
        <w:t> </w:t>
      </w:r>
    </w:p>
    <w:p w14:paraId="63D913F1" w14:textId="161E962D" w:rsidR="001E3FEE" w:rsidRPr="004C515B" w:rsidRDefault="00320E93" w:rsidP="00552AAD">
      <w:pPr>
        <w:pStyle w:val="paragraph"/>
        <w:numPr>
          <w:ilvl w:val="0"/>
          <w:numId w:val="34"/>
        </w:numPr>
        <w:ind w:left="360" w:firstLine="0"/>
        <w:jc w:val="both"/>
        <w:textAlignment w:val="baseline"/>
        <w:rPr>
          <w:rStyle w:val="eop"/>
          <w:rFonts w:asciiTheme="minorHAnsi" w:hAnsiTheme="minorHAnsi" w:cstheme="minorHAnsi"/>
          <w:color w:val="000000"/>
          <w:sz w:val="22"/>
          <w:szCs w:val="22"/>
        </w:rPr>
      </w:pPr>
      <w:r>
        <w:rPr>
          <w:rStyle w:val="normaltextrun1"/>
          <w:rFonts w:ascii="Calibri" w:hAnsi="Calibri" w:cs="Calibri"/>
          <w:color w:val="000000"/>
          <w:sz w:val="22"/>
          <w:szCs w:val="22"/>
        </w:rPr>
        <w:t>R</w:t>
      </w:r>
      <w:r w:rsidR="001E3FEE">
        <w:rPr>
          <w:rStyle w:val="normaltextrun1"/>
          <w:rFonts w:ascii="Calibri" w:hAnsi="Calibri" w:cs="Calibri"/>
          <w:color w:val="000000"/>
          <w:sz w:val="22"/>
          <w:szCs w:val="22"/>
        </w:rPr>
        <w:t>esults achieved</w:t>
      </w:r>
      <w:r>
        <w:rPr>
          <w:rStyle w:val="eop"/>
          <w:rFonts w:ascii="Calibri" w:hAnsi="Calibri" w:cs="Calibri"/>
          <w:color w:val="000000"/>
          <w:sz w:val="22"/>
          <w:szCs w:val="22"/>
        </w:rPr>
        <w:t>;</w:t>
      </w:r>
    </w:p>
    <w:p w14:paraId="2E73FF09" w14:textId="71BDE306" w:rsidR="004C515B" w:rsidRPr="00552AAD" w:rsidRDefault="004C515B" w:rsidP="00552AAD">
      <w:pPr>
        <w:pStyle w:val="paragraph"/>
        <w:numPr>
          <w:ilvl w:val="0"/>
          <w:numId w:val="34"/>
        </w:numPr>
        <w:ind w:left="360" w:firstLine="0"/>
        <w:jc w:val="both"/>
        <w:textAlignment w:val="baseline"/>
        <w:rPr>
          <w:rFonts w:ascii="Calibri" w:hAnsi="Calibri" w:cs="Calibri"/>
          <w:color w:val="000000"/>
          <w:sz w:val="22"/>
          <w:szCs w:val="22"/>
        </w:rPr>
      </w:pPr>
      <w:r w:rsidRPr="00552AAD">
        <w:rPr>
          <w:rStyle w:val="eop"/>
          <w:rFonts w:asciiTheme="minorHAnsi" w:hAnsiTheme="minorHAnsi" w:cstheme="minorHAnsi"/>
          <w:sz w:val="22"/>
          <w:szCs w:val="22"/>
        </w:rPr>
        <w:t>Partnerships established or requiring prioritization;</w:t>
      </w:r>
    </w:p>
    <w:p w14:paraId="19DEF878" w14:textId="0F02FA86" w:rsidR="001E3FEE" w:rsidRDefault="00320E93" w:rsidP="00552AAD">
      <w:pPr>
        <w:pStyle w:val="paragraph"/>
        <w:numPr>
          <w:ilvl w:val="0"/>
          <w:numId w:val="34"/>
        </w:numPr>
        <w:ind w:left="360" w:firstLine="0"/>
        <w:jc w:val="both"/>
        <w:textAlignment w:val="baseline"/>
        <w:rPr>
          <w:rFonts w:ascii="Calibri" w:hAnsi="Calibri" w:cs="Calibri"/>
          <w:color w:val="000000"/>
          <w:sz w:val="22"/>
          <w:szCs w:val="22"/>
        </w:rPr>
      </w:pPr>
      <w:r>
        <w:rPr>
          <w:rStyle w:val="normaltextrun1"/>
          <w:rFonts w:ascii="Calibri" w:hAnsi="Calibri" w:cs="Calibri"/>
          <w:color w:val="000000"/>
          <w:sz w:val="22"/>
          <w:szCs w:val="22"/>
        </w:rPr>
        <w:t>R</w:t>
      </w:r>
      <w:r w:rsidR="001E3FEE">
        <w:rPr>
          <w:rStyle w:val="normaltextrun1"/>
          <w:rFonts w:ascii="Calibri" w:hAnsi="Calibri" w:cs="Calibri"/>
          <w:color w:val="000000"/>
          <w:sz w:val="22"/>
          <w:szCs w:val="22"/>
        </w:rPr>
        <w:t>isks, threats and opportunities emerging in achieving the SDGs</w:t>
      </w:r>
      <w:r>
        <w:rPr>
          <w:rStyle w:val="normaltextrun1"/>
          <w:rFonts w:ascii="Calibri" w:hAnsi="Calibri" w:cs="Calibri"/>
          <w:color w:val="000000"/>
          <w:sz w:val="22"/>
          <w:szCs w:val="22"/>
        </w:rPr>
        <w:t>;</w:t>
      </w:r>
    </w:p>
    <w:p w14:paraId="19EEC6FF" w14:textId="50728BFF" w:rsidR="001E3FEE" w:rsidRDefault="00320E93" w:rsidP="00552AAD">
      <w:pPr>
        <w:pStyle w:val="paragraph"/>
        <w:numPr>
          <w:ilvl w:val="0"/>
          <w:numId w:val="34"/>
        </w:numPr>
        <w:ind w:left="360" w:firstLine="0"/>
        <w:jc w:val="both"/>
        <w:textAlignment w:val="baseline"/>
        <w:rPr>
          <w:rFonts w:ascii="Calibri" w:hAnsi="Calibri" w:cs="Calibri"/>
          <w:color w:val="000000"/>
          <w:sz w:val="22"/>
          <w:szCs w:val="22"/>
        </w:rPr>
      </w:pPr>
      <w:r>
        <w:rPr>
          <w:rStyle w:val="normaltextrun1"/>
          <w:rFonts w:ascii="Calibri" w:hAnsi="Calibri" w:cs="Calibri"/>
          <w:color w:val="000000"/>
          <w:sz w:val="22"/>
          <w:szCs w:val="22"/>
        </w:rPr>
        <w:t>R</w:t>
      </w:r>
      <w:r w:rsidR="001E3FEE">
        <w:rPr>
          <w:rStyle w:val="normaltextrun1"/>
          <w:rFonts w:ascii="Calibri" w:hAnsi="Calibri" w:cs="Calibri"/>
          <w:color w:val="000000"/>
          <w:sz w:val="22"/>
          <w:szCs w:val="22"/>
        </w:rPr>
        <w:t>esources leveraged for financing the SDG</w:t>
      </w:r>
      <w:r>
        <w:rPr>
          <w:rStyle w:val="normaltextrun1"/>
          <w:rFonts w:ascii="Calibri" w:hAnsi="Calibri" w:cs="Calibri"/>
          <w:color w:val="000000"/>
          <w:sz w:val="22"/>
          <w:szCs w:val="22"/>
        </w:rPr>
        <w:t>s and</w:t>
      </w:r>
      <w:r w:rsidR="001E3FEE">
        <w:rPr>
          <w:rStyle w:val="normaltextrun1"/>
          <w:rFonts w:ascii="Calibri" w:hAnsi="Calibri" w:cs="Calibri"/>
          <w:color w:val="000000"/>
          <w:sz w:val="22"/>
          <w:szCs w:val="22"/>
        </w:rPr>
        <w:t xml:space="preserve"> resources mobilized and delivered by</w:t>
      </w:r>
      <w:r>
        <w:rPr>
          <w:rStyle w:val="normaltextrun1"/>
          <w:rFonts w:ascii="Calibri" w:hAnsi="Calibri" w:cs="Calibri"/>
          <w:color w:val="000000"/>
          <w:sz w:val="22"/>
          <w:szCs w:val="22"/>
        </w:rPr>
        <w:t xml:space="preserve"> the UN in Timor-Leste</w:t>
      </w:r>
      <w:r>
        <w:rPr>
          <w:rStyle w:val="normaltextrun1"/>
          <w:rFonts w:ascii="Calibri" w:hAnsi="Calibri" w:cs="Calibri"/>
          <w:sz w:val="22"/>
          <w:szCs w:val="22"/>
        </w:rPr>
        <w:t>;</w:t>
      </w:r>
      <w:r w:rsidR="001E3FEE">
        <w:rPr>
          <w:rStyle w:val="eop"/>
          <w:rFonts w:ascii="Calibri" w:hAnsi="Calibri" w:cs="Calibri"/>
          <w:color w:val="000000"/>
          <w:sz w:val="22"/>
          <w:szCs w:val="22"/>
        </w:rPr>
        <w:t> </w:t>
      </w:r>
    </w:p>
    <w:p w14:paraId="7854EF56" w14:textId="676DBF72" w:rsidR="001E3FEE" w:rsidRDefault="00320E93" w:rsidP="00552AAD">
      <w:pPr>
        <w:pStyle w:val="paragraph"/>
        <w:numPr>
          <w:ilvl w:val="0"/>
          <w:numId w:val="35"/>
        </w:numPr>
        <w:ind w:left="360" w:firstLine="0"/>
        <w:jc w:val="both"/>
        <w:textAlignment w:val="baseline"/>
        <w:rPr>
          <w:rFonts w:ascii="Calibri" w:hAnsi="Calibri" w:cs="Calibri"/>
          <w:color w:val="000000"/>
          <w:sz w:val="22"/>
          <w:szCs w:val="22"/>
        </w:rPr>
      </w:pPr>
      <w:r>
        <w:rPr>
          <w:rStyle w:val="normaltextrun1"/>
          <w:rFonts w:ascii="Calibri" w:hAnsi="Calibri" w:cs="Calibri"/>
          <w:sz w:val="22"/>
          <w:szCs w:val="22"/>
        </w:rPr>
        <w:t>C</w:t>
      </w:r>
      <w:r w:rsidR="001E3FEE">
        <w:rPr>
          <w:rStyle w:val="normaltextrun1"/>
          <w:rFonts w:ascii="Calibri" w:hAnsi="Calibri" w:cs="Calibri"/>
          <w:sz w:val="22"/>
          <w:szCs w:val="22"/>
        </w:rPr>
        <w:t xml:space="preserve">ontinued validity of the </w:t>
      </w:r>
      <w:r>
        <w:rPr>
          <w:rStyle w:val="normaltextrun1"/>
          <w:rFonts w:ascii="Calibri" w:hAnsi="Calibri" w:cs="Calibri"/>
          <w:sz w:val="22"/>
          <w:szCs w:val="22"/>
        </w:rPr>
        <w:t>T</w:t>
      </w:r>
      <w:r w:rsidR="001E3FEE">
        <w:rPr>
          <w:rStyle w:val="normaltextrun1"/>
          <w:rFonts w:ascii="Calibri" w:hAnsi="Calibri" w:cs="Calibri"/>
          <w:sz w:val="22"/>
          <w:szCs w:val="22"/>
        </w:rPr>
        <w:t xml:space="preserve">heory of </w:t>
      </w:r>
      <w:r>
        <w:rPr>
          <w:rStyle w:val="normaltextrun1"/>
          <w:rFonts w:ascii="Calibri" w:hAnsi="Calibri" w:cs="Calibri"/>
          <w:sz w:val="22"/>
          <w:szCs w:val="22"/>
        </w:rPr>
        <w:t>C</w:t>
      </w:r>
      <w:r w:rsidR="001E3FEE">
        <w:rPr>
          <w:rStyle w:val="normaltextrun1"/>
          <w:rFonts w:ascii="Calibri" w:hAnsi="Calibri" w:cs="Calibri"/>
          <w:sz w:val="22"/>
          <w:szCs w:val="22"/>
        </w:rPr>
        <w:t>hange</w:t>
      </w:r>
      <w:r>
        <w:rPr>
          <w:rStyle w:val="normaltextrun1"/>
          <w:rFonts w:ascii="Calibri" w:hAnsi="Calibri" w:cs="Calibri"/>
          <w:sz w:val="22"/>
          <w:szCs w:val="22"/>
        </w:rPr>
        <w:t>; and,</w:t>
      </w:r>
      <w:r w:rsidR="001E3FEE">
        <w:rPr>
          <w:rStyle w:val="normaltextrun1"/>
          <w:rFonts w:ascii="Calibri" w:hAnsi="Calibri" w:cs="Calibri"/>
          <w:sz w:val="22"/>
          <w:szCs w:val="22"/>
        </w:rPr>
        <w:t> </w:t>
      </w:r>
      <w:r w:rsidR="001E3FEE">
        <w:rPr>
          <w:rStyle w:val="eop"/>
          <w:rFonts w:ascii="Calibri" w:hAnsi="Calibri" w:cs="Calibri"/>
          <w:color w:val="000000"/>
          <w:sz w:val="22"/>
          <w:szCs w:val="22"/>
        </w:rPr>
        <w:t> </w:t>
      </w:r>
    </w:p>
    <w:p w14:paraId="6D6EBA1D" w14:textId="785672FE" w:rsidR="001E3FEE" w:rsidRDefault="00320E93" w:rsidP="00552AAD">
      <w:pPr>
        <w:pStyle w:val="paragraph"/>
        <w:numPr>
          <w:ilvl w:val="0"/>
          <w:numId w:val="35"/>
        </w:numPr>
        <w:ind w:left="360" w:firstLine="0"/>
        <w:jc w:val="both"/>
        <w:textAlignment w:val="baseline"/>
        <w:rPr>
          <w:rFonts w:ascii="Calibri" w:hAnsi="Calibri" w:cs="Calibri"/>
          <w:color w:val="000000"/>
          <w:sz w:val="22"/>
          <w:szCs w:val="22"/>
        </w:rPr>
      </w:pPr>
      <w:r>
        <w:rPr>
          <w:rStyle w:val="normaltextrun1"/>
          <w:rFonts w:ascii="Calibri" w:hAnsi="Calibri" w:cs="Calibri"/>
          <w:sz w:val="22"/>
          <w:szCs w:val="22"/>
        </w:rPr>
        <w:t>I</w:t>
      </w:r>
      <w:r w:rsidR="001E3FEE">
        <w:rPr>
          <w:rStyle w:val="normaltextrun1"/>
          <w:rFonts w:ascii="Calibri" w:hAnsi="Calibri" w:cs="Calibri"/>
          <w:sz w:val="22"/>
          <w:szCs w:val="22"/>
        </w:rPr>
        <w:t>nnovations. </w:t>
      </w:r>
      <w:r w:rsidR="001E3FEE">
        <w:rPr>
          <w:rStyle w:val="eop"/>
          <w:rFonts w:ascii="Calibri" w:hAnsi="Calibri" w:cs="Calibri"/>
          <w:color w:val="000000"/>
          <w:sz w:val="22"/>
          <w:szCs w:val="22"/>
        </w:rPr>
        <w:t> </w:t>
      </w:r>
    </w:p>
    <w:p w14:paraId="7C79C10A" w14:textId="77777777" w:rsidR="00573693" w:rsidRDefault="00573693" w:rsidP="00552AAD">
      <w:pPr>
        <w:pStyle w:val="paragraph"/>
        <w:jc w:val="both"/>
        <w:textAlignment w:val="baseline"/>
        <w:rPr>
          <w:rStyle w:val="normaltextrun1"/>
          <w:rFonts w:ascii="Calibri" w:hAnsi="Calibri" w:cs="Calibri"/>
          <w:color w:val="000000"/>
          <w:sz w:val="22"/>
          <w:szCs w:val="22"/>
        </w:rPr>
      </w:pPr>
    </w:p>
    <w:p w14:paraId="03CADECD" w14:textId="5EE060A8" w:rsidR="00573693" w:rsidRDefault="004C515B" w:rsidP="00552AAD">
      <w:pPr>
        <w:pStyle w:val="paragraph"/>
        <w:jc w:val="both"/>
        <w:textAlignment w:val="baseline"/>
        <w:rPr>
          <w:rStyle w:val="normaltextrun1"/>
          <w:rFonts w:ascii="Calibri" w:hAnsi="Calibri" w:cs="Calibri"/>
          <w:b/>
          <w:bCs/>
          <w:color w:val="000000"/>
          <w:sz w:val="22"/>
          <w:szCs w:val="22"/>
        </w:rPr>
      </w:pPr>
      <w:r>
        <w:rPr>
          <w:rStyle w:val="normaltextrun1"/>
          <w:rFonts w:ascii="Calibri" w:hAnsi="Calibri" w:cs="Calibri"/>
          <w:color w:val="000000"/>
          <w:sz w:val="22"/>
          <w:szCs w:val="22"/>
        </w:rPr>
        <w:t xml:space="preserve">Implementation of the </w:t>
      </w:r>
      <w:r w:rsidR="00573693">
        <w:rPr>
          <w:rStyle w:val="normaltextrun1"/>
          <w:rFonts w:ascii="Calibri" w:hAnsi="Calibri" w:cs="Calibri"/>
          <w:color w:val="000000"/>
          <w:sz w:val="22"/>
          <w:szCs w:val="22"/>
        </w:rPr>
        <w:t>UN</w:t>
      </w:r>
      <w:r>
        <w:rPr>
          <w:rStyle w:val="normaltextrun1"/>
          <w:rFonts w:ascii="Calibri" w:hAnsi="Calibri" w:cs="Calibri"/>
          <w:color w:val="000000"/>
          <w:sz w:val="22"/>
          <w:szCs w:val="22"/>
        </w:rPr>
        <w:t xml:space="preserve"> </w:t>
      </w:r>
      <w:r w:rsidR="00573693">
        <w:rPr>
          <w:rStyle w:val="normaltextrun1"/>
          <w:rFonts w:ascii="Calibri" w:hAnsi="Calibri" w:cs="Calibri"/>
          <w:color w:val="000000"/>
          <w:sz w:val="22"/>
          <w:szCs w:val="22"/>
        </w:rPr>
        <w:t xml:space="preserve">INFO </w:t>
      </w:r>
      <w:r>
        <w:rPr>
          <w:rStyle w:val="normaltextrun1"/>
          <w:rFonts w:ascii="Calibri" w:hAnsi="Calibri" w:cs="Calibri"/>
          <w:color w:val="000000"/>
          <w:sz w:val="22"/>
          <w:szCs w:val="22"/>
        </w:rPr>
        <w:t xml:space="preserve">system </w:t>
      </w:r>
      <w:r w:rsidR="00573693">
        <w:rPr>
          <w:rStyle w:val="normaltextrun1"/>
          <w:rFonts w:ascii="Calibri" w:hAnsi="Calibri" w:cs="Calibri"/>
          <w:color w:val="000000"/>
          <w:sz w:val="22"/>
          <w:szCs w:val="22"/>
        </w:rPr>
        <w:t>will be</w:t>
      </w:r>
      <w:r w:rsidR="00320E93">
        <w:rPr>
          <w:rStyle w:val="normaltextrun1"/>
          <w:rFonts w:ascii="Calibri" w:hAnsi="Calibri" w:cs="Calibri"/>
          <w:color w:val="000000"/>
          <w:sz w:val="22"/>
          <w:szCs w:val="22"/>
        </w:rPr>
        <w:t xml:space="preserve"> </w:t>
      </w:r>
      <w:r>
        <w:rPr>
          <w:rStyle w:val="normaltextrun1"/>
          <w:rFonts w:ascii="Calibri" w:hAnsi="Calibri" w:cs="Calibri"/>
          <w:color w:val="000000"/>
          <w:sz w:val="22"/>
          <w:szCs w:val="22"/>
        </w:rPr>
        <w:t>prioritized</w:t>
      </w:r>
      <w:r w:rsidR="00320E93">
        <w:rPr>
          <w:rStyle w:val="normaltextrun1"/>
          <w:rFonts w:ascii="Calibri" w:hAnsi="Calibri" w:cs="Calibri"/>
          <w:color w:val="000000"/>
          <w:sz w:val="22"/>
          <w:szCs w:val="22"/>
        </w:rPr>
        <w:t xml:space="preserve"> in 2020 and will </w:t>
      </w:r>
      <w:r>
        <w:rPr>
          <w:rStyle w:val="normaltextrun1"/>
          <w:rFonts w:ascii="Calibri" w:hAnsi="Calibri" w:cs="Calibri"/>
          <w:color w:val="000000"/>
          <w:sz w:val="22"/>
          <w:szCs w:val="22"/>
        </w:rPr>
        <w:t>provide a</w:t>
      </w:r>
      <w:r w:rsidR="00573693">
        <w:rPr>
          <w:rStyle w:val="normaltextrun1"/>
          <w:rFonts w:ascii="Calibri" w:hAnsi="Calibri" w:cs="Calibri"/>
          <w:color w:val="000000"/>
          <w:sz w:val="22"/>
          <w:szCs w:val="22"/>
        </w:rPr>
        <w:t xml:space="preserve"> vital tool in supporting </w:t>
      </w:r>
      <w:r w:rsidR="00320E93">
        <w:rPr>
          <w:rStyle w:val="normaltextrun1"/>
          <w:rFonts w:ascii="Calibri" w:hAnsi="Calibri" w:cs="Calibri"/>
          <w:color w:val="000000"/>
          <w:sz w:val="22"/>
          <w:szCs w:val="22"/>
        </w:rPr>
        <w:t>annual planning as well as review and</w:t>
      </w:r>
      <w:r w:rsidR="00573693">
        <w:rPr>
          <w:rStyle w:val="normaltextrun1"/>
          <w:rFonts w:ascii="Calibri" w:hAnsi="Calibri" w:cs="Calibri"/>
          <w:color w:val="000000"/>
          <w:sz w:val="22"/>
          <w:szCs w:val="22"/>
        </w:rPr>
        <w:t xml:space="preserve"> reporting</w:t>
      </w:r>
      <w:r>
        <w:rPr>
          <w:rStyle w:val="normaltextrun1"/>
          <w:rFonts w:ascii="Calibri" w:hAnsi="Calibri" w:cs="Calibri"/>
          <w:color w:val="000000"/>
          <w:sz w:val="22"/>
          <w:szCs w:val="22"/>
        </w:rPr>
        <w:t xml:space="preserve"> -</w:t>
      </w:r>
      <w:r w:rsidR="00573693">
        <w:rPr>
          <w:rStyle w:val="normaltextrun1"/>
          <w:rFonts w:ascii="Calibri" w:hAnsi="Calibri" w:cs="Calibri"/>
          <w:color w:val="000000"/>
          <w:sz w:val="22"/>
          <w:szCs w:val="22"/>
        </w:rPr>
        <w:t xml:space="preserve"> as Results Matrix data will be collected, monitored and evaluated in this system.</w:t>
      </w:r>
    </w:p>
    <w:p w14:paraId="30C2F922" w14:textId="77777777" w:rsidR="00573693" w:rsidRDefault="00573693" w:rsidP="00552AAD">
      <w:pPr>
        <w:pStyle w:val="paragraph"/>
        <w:jc w:val="both"/>
        <w:textAlignment w:val="baseline"/>
        <w:rPr>
          <w:rStyle w:val="normaltextrun1"/>
          <w:rFonts w:ascii="Calibri" w:hAnsi="Calibri" w:cs="Calibri"/>
          <w:color w:val="000000"/>
          <w:sz w:val="22"/>
          <w:szCs w:val="22"/>
        </w:rPr>
      </w:pPr>
    </w:p>
    <w:p w14:paraId="4BE6DEC0" w14:textId="3E51AFCA" w:rsidR="001E3FEE" w:rsidRDefault="001E3FEE" w:rsidP="00552AAD">
      <w:pPr>
        <w:pStyle w:val="paragraph"/>
        <w:jc w:val="both"/>
        <w:textAlignment w:val="baseline"/>
        <w:rPr>
          <w:color w:val="000000"/>
        </w:rPr>
      </w:pPr>
      <w:r>
        <w:rPr>
          <w:rStyle w:val="normaltextrun1"/>
          <w:rFonts w:ascii="Calibri" w:hAnsi="Calibri" w:cs="Calibri"/>
          <w:color w:val="000000"/>
          <w:sz w:val="22"/>
          <w:szCs w:val="22"/>
        </w:rPr>
        <w:t xml:space="preserve">The </w:t>
      </w:r>
      <w:r w:rsidR="00573693">
        <w:rPr>
          <w:rStyle w:val="normaltextrun1"/>
          <w:rFonts w:ascii="Calibri" w:hAnsi="Calibri" w:cs="Calibri"/>
          <w:color w:val="000000"/>
          <w:sz w:val="22"/>
          <w:szCs w:val="22"/>
        </w:rPr>
        <w:t>One</w:t>
      </w:r>
      <w:r>
        <w:rPr>
          <w:rStyle w:val="normaltextrun1"/>
          <w:rFonts w:ascii="Calibri" w:hAnsi="Calibri" w:cs="Calibri"/>
          <w:color w:val="000000"/>
          <w:sz w:val="22"/>
          <w:szCs w:val="22"/>
        </w:rPr>
        <w:t xml:space="preserve"> Country </w:t>
      </w:r>
      <w:r w:rsidR="00573693">
        <w:rPr>
          <w:rStyle w:val="normaltextrun1"/>
          <w:rFonts w:ascii="Calibri" w:hAnsi="Calibri" w:cs="Calibri"/>
          <w:color w:val="000000"/>
          <w:sz w:val="22"/>
          <w:szCs w:val="22"/>
        </w:rPr>
        <w:t>R</w:t>
      </w:r>
      <w:r>
        <w:rPr>
          <w:rStyle w:val="normaltextrun1"/>
          <w:rFonts w:ascii="Calibri" w:hAnsi="Calibri" w:cs="Calibri"/>
          <w:color w:val="000000"/>
          <w:sz w:val="22"/>
          <w:szCs w:val="22"/>
        </w:rPr>
        <w:t xml:space="preserve">esults Report will be submitted to the JSC at the end of each year. </w:t>
      </w:r>
      <w:r w:rsidR="00573693">
        <w:rPr>
          <w:rStyle w:val="normaltextrun1"/>
          <w:rFonts w:ascii="Calibri" w:hAnsi="Calibri" w:cs="Calibri"/>
          <w:color w:val="000000"/>
          <w:sz w:val="22"/>
          <w:szCs w:val="22"/>
        </w:rPr>
        <w:t xml:space="preserve"> During the annual meeting in Q.1 the following year, t</w:t>
      </w:r>
      <w:r>
        <w:rPr>
          <w:rStyle w:val="normaltextrun1"/>
          <w:rFonts w:ascii="Calibri" w:hAnsi="Calibri" w:cs="Calibri"/>
          <w:color w:val="000000"/>
          <w:sz w:val="22"/>
          <w:szCs w:val="22"/>
        </w:rPr>
        <w:t xml:space="preserve">he JSC will issue recommendations on the necessary adjustments </w:t>
      </w:r>
      <w:r w:rsidR="00573693">
        <w:rPr>
          <w:rStyle w:val="normaltextrun1"/>
          <w:rFonts w:ascii="Calibri" w:hAnsi="Calibri" w:cs="Calibri"/>
          <w:color w:val="000000"/>
          <w:sz w:val="22"/>
          <w:szCs w:val="22"/>
        </w:rPr>
        <w:t>to</w:t>
      </w:r>
      <w:r>
        <w:rPr>
          <w:rStyle w:val="normaltextrun1"/>
          <w:rFonts w:ascii="Calibri" w:hAnsi="Calibri" w:cs="Calibri"/>
          <w:color w:val="000000"/>
          <w:sz w:val="22"/>
          <w:szCs w:val="22"/>
        </w:rPr>
        <w:t xml:space="preserve"> the Cooperation Framework itself or through the </w:t>
      </w:r>
      <w:r w:rsidR="00573693">
        <w:rPr>
          <w:rStyle w:val="normaltextrun1"/>
          <w:rFonts w:ascii="Calibri" w:hAnsi="Calibri" w:cs="Calibri"/>
          <w:color w:val="000000"/>
          <w:sz w:val="22"/>
          <w:szCs w:val="22"/>
        </w:rPr>
        <w:t>J</w:t>
      </w:r>
      <w:r>
        <w:rPr>
          <w:rStyle w:val="normaltextrun1"/>
          <w:rFonts w:ascii="Calibri" w:hAnsi="Calibri" w:cs="Calibri"/>
          <w:color w:val="000000"/>
          <w:sz w:val="22"/>
          <w:szCs w:val="22"/>
        </w:rPr>
        <w:t xml:space="preserve">oint </w:t>
      </w:r>
      <w:r w:rsidR="00573693">
        <w:rPr>
          <w:rStyle w:val="normaltextrun1"/>
          <w:rFonts w:ascii="Calibri" w:hAnsi="Calibri" w:cs="Calibri"/>
          <w:color w:val="000000"/>
          <w:sz w:val="22"/>
          <w:szCs w:val="22"/>
        </w:rPr>
        <w:t>W</w:t>
      </w:r>
      <w:r>
        <w:rPr>
          <w:rStyle w:val="normaltextrun1"/>
          <w:rFonts w:ascii="Calibri" w:hAnsi="Calibri" w:cs="Calibri"/>
          <w:color w:val="000000"/>
          <w:sz w:val="22"/>
          <w:szCs w:val="22"/>
        </w:rPr>
        <w:t>ork</w:t>
      </w:r>
      <w:r w:rsidR="00573693">
        <w:rPr>
          <w:rStyle w:val="normaltextrun1"/>
          <w:rFonts w:ascii="Calibri" w:hAnsi="Calibri" w:cs="Calibri"/>
          <w:color w:val="000000"/>
          <w:sz w:val="22"/>
          <w:szCs w:val="22"/>
        </w:rPr>
        <w:t xml:space="preserve"> P</w:t>
      </w:r>
      <w:r>
        <w:rPr>
          <w:rStyle w:val="normaltextrun1"/>
          <w:rFonts w:ascii="Calibri" w:hAnsi="Calibri" w:cs="Calibri"/>
          <w:color w:val="000000"/>
          <w:sz w:val="22"/>
          <w:szCs w:val="22"/>
        </w:rPr>
        <w:t>lans as part of adaptive programming. </w:t>
      </w:r>
      <w:r>
        <w:rPr>
          <w:rStyle w:val="eop"/>
          <w:rFonts w:ascii="Calibri" w:hAnsi="Calibri" w:cs="Calibri"/>
          <w:color w:val="000000"/>
          <w:sz w:val="22"/>
          <w:szCs w:val="22"/>
        </w:rPr>
        <w:t> </w:t>
      </w:r>
    </w:p>
    <w:p w14:paraId="72FC3B19" w14:textId="77777777" w:rsidR="001E3FEE" w:rsidRDefault="001E3FEE" w:rsidP="00552AAD">
      <w:pPr>
        <w:pStyle w:val="paragraph"/>
        <w:jc w:val="both"/>
        <w:textAlignment w:val="baseline"/>
        <w:rPr>
          <w:rStyle w:val="normaltextrun1"/>
          <w:rFonts w:ascii="Calibri" w:hAnsi="Calibri" w:cs="Calibri"/>
          <w:b/>
          <w:bCs/>
          <w:sz w:val="28"/>
          <w:szCs w:val="28"/>
        </w:rPr>
      </w:pPr>
    </w:p>
    <w:p w14:paraId="517415A2" w14:textId="5ED1A82E" w:rsidR="001E3FEE" w:rsidRDefault="001E3FEE" w:rsidP="00552AAD">
      <w:pPr>
        <w:pStyle w:val="paragraph"/>
        <w:jc w:val="both"/>
        <w:textAlignment w:val="baseline"/>
        <w:rPr>
          <w:b/>
          <w:bCs/>
        </w:rPr>
      </w:pPr>
      <w:r>
        <w:rPr>
          <w:rStyle w:val="normaltextrun1"/>
          <w:rFonts w:ascii="Calibri" w:hAnsi="Calibri" w:cs="Calibri"/>
          <w:b/>
          <w:bCs/>
          <w:sz w:val="28"/>
          <w:szCs w:val="28"/>
        </w:rPr>
        <w:t xml:space="preserve">4.2. </w:t>
      </w:r>
      <w:r w:rsidR="00697885">
        <w:rPr>
          <w:rStyle w:val="normaltextrun1"/>
          <w:rFonts w:ascii="Calibri" w:hAnsi="Calibri" w:cs="Calibri"/>
          <w:b/>
          <w:bCs/>
          <w:sz w:val="28"/>
          <w:szCs w:val="28"/>
        </w:rPr>
        <w:t>E</w:t>
      </w:r>
      <w:r>
        <w:rPr>
          <w:rStyle w:val="normaltextrun1"/>
          <w:rFonts w:ascii="Calibri" w:hAnsi="Calibri" w:cs="Calibri"/>
          <w:b/>
          <w:bCs/>
          <w:sz w:val="28"/>
          <w:szCs w:val="28"/>
        </w:rPr>
        <w:t xml:space="preserve">valuation </w:t>
      </w:r>
      <w:r w:rsidR="00697885">
        <w:rPr>
          <w:rStyle w:val="normaltextrun1"/>
          <w:rFonts w:ascii="Calibri" w:hAnsi="Calibri" w:cs="Calibri"/>
          <w:b/>
          <w:bCs/>
          <w:sz w:val="28"/>
          <w:szCs w:val="28"/>
        </w:rPr>
        <w:t>plan</w:t>
      </w:r>
    </w:p>
    <w:p w14:paraId="3EB146EB" w14:textId="77777777" w:rsidR="00085839" w:rsidRDefault="00085839" w:rsidP="00552AAD">
      <w:pPr>
        <w:pStyle w:val="paragraph"/>
        <w:jc w:val="both"/>
        <w:textAlignment w:val="baseline"/>
        <w:rPr>
          <w:rStyle w:val="normaltextrun1"/>
          <w:rFonts w:ascii="Calibri" w:hAnsi="Calibri" w:cs="Calibri"/>
          <w:sz w:val="22"/>
          <w:szCs w:val="22"/>
        </w:rPr>
      </w:pPr>
    </w:p>
    <w:p w14:paraId="6D6EC2E3" w14:textId="0861419B" w:rsidR="001E3FEE" w:rsidRDefault="001E3FEE" w:rsidP="00552AAD">
      <w:pPr>
        <w:pStyle w:val="paragraph"/>
        <w:jc w:val="both"/>
        <w:textAlignment w:val="baseline"/>
      </w:pPr>
      <w:r>
        <w:rPr>
          <w:rStyle w:val="normaltextrun1"/>
          <w:rFonts w:ascii="Calibri" w:hAnsi="Calibri" w:cs="Calibri"/>
          <w:sz w:val="22"/>
          <w:szCs w:val="22"/>
        </w:rPr>
        <w:t xml:space="preserve">An independent evaluation of the </w:t>
      </w:r>
      <w:r w:rsidR="00697885">
        <w:rPr>
          <w:rStyle w:val="normaltextrun1"/>
          <w:rFonts w:ascii="Calibri" w:hAnsi="Calibri" w:cs="Calibri"/>
          <w:sz w:val="22"/>
          <w:szCs w:val="22"/>
        </w:rPr>
        <w:t>UNSDCF</w:t>
      </w:r>
      <w:r>
        <w:rPr>
          <w:rStyle w:val="normaltextrun1"/>
          <w:rFonts w:ascii="Calibri" w:hAnsi="Calibri" w:cs="Calibri"/>
          <w:sz w:val="22"/>
          <w:szCs w:val="22"/>
        </w:rPr>
        <w:t xml:space="preserve"> will take place during the penultimate year of the implementation period (2024), </w:t>
      </w:r>
      <w:r w:rsidR="00697885">
        <w:rPr>
          <w:rStyle w:val="normaltextrun1"/>
          <w:rFonts w:ascii="Calibri" w:hAnsi="Calibri" w:cs="Calibri"/>
          <w:sz w:val="22"/>
          <w:szCs w:val="22"/>
        </w:rPr>
        <w:t>tentatively</w:t>
      </w:r>
      <w:r>
        <w:rPr>
          <w:rStyle w:val="normaltextrun1"/>
          <w:rFonts w:ascii="Calibri" w:hAnsi="Calibri" w:cs="Calibri"/>
          <w:sz w:val="22"/>
          <w:szCs w:val="22"/>
        </w:rPr>
        <w:t xml:space="preserve"> during the </w:t>
      </w:r>
      <w:r w:rsidR="00697885">
        <w:rPr>
          <w:rStyle w:val="normaltextrun1"/>
          <w:rFonts w:ascii="Calibri" w:hAnsi="Calibri" w:cs="Calibri"/>
          <w:sz w:val="22"/>
          <w:szCs w:val="22"/>
        </w:rPr>
        <w:t>second</w:t>
      </w:r>
      <w:r>
        <w:rPr>
          <w:rStyle w:val="normaltextrun1"/>
          <w:rFonts w:ascii="Calibri" w:hAnsi="Calibri" w:cs="Calibri"/>
          <w:sz w:val="22"/>
          <w:szCs w:val="22"/>
        </w:rPr>
        <w:t xml:space="preserve"> quarter, </w:t>
      </w:r>
      <w:r w:rsidR="00EE7015">
        <w:rPr>
          <w:rStyle w:val="normaltextrun1"/>
          <w:rFonts w:ascii="Calibri" w:hAnsi="Calibri" w:cs="Calibri"/>
          <w:sz w:val="22"/>
          <w:szCs w:val="22"/>
        </w:rPr>
        <w:t xml:space="preserve">to allow for the evaluation findings and recommendations to inform </w:t>
      </w:r>
      <w:r>
        <w:rPr>
          <w:rStyle w:val="normaltextrun1"/>
          <w:rFonts w:ascii="Calibri" w:hAnsi="Calibri" w:cs="Calibri"/>
          <w:sz w:val="22"/>
          <w:szCs w:val="22"/>
        </w:rPr>
        <w:t xml:space="preserve">the </w:t>
      </w:r>
      <w:r w:rsidR="00EE7015">
        <w:rPr>
          <w:rStyle w:val="normaltextrun1"/>
          <w:rFonts w:ascii="Calibri" w:hAnsi="Calibri" w:cs="Calibri"/>
          <w:sz w:val="22"/>
          <w:szCs w:val="22"/>
        </w:rPr>
        <w:t xml:space="preserve">development of </w:t>
      </w:r>
      <w:r>
        <w:rPr>
          <w:rStyle w:val="normaltextrun1"/>
          <w:rFonts w:ascii="Calibri" w:hAnsi="Calibri" w:cs="Calibri"/>
          <w:sz w:val="22"/>
          <w:szCs w:val="22"/>
        </w:rPr>
        <w:t>the next</w:t>
      </w:r>
      <w:r w:rsidR="00EE7015">
        <w:rPr>
          <w:rStyle w:val="normaltextrun1"/>
          <w:rFonts w:ascii="Calibri" w:hAnsi="Calibri" w:cs="Calibri"/>
          <w:sz w:val="22"/>
          <w:szCs w:val="22"/>
        </w:rPr>
        <w:t xml:space="preserve"> UNSDCF, wh</w:t>
      </w:r>
      <w:r w:rsidR="004C515B">
        <w:rPr>
          <w:rStyle w:val="normaltextrun1"/>
          <w:rFonts w:ascii="Calibri" w:hAnsi="Calibri" w:cs="Calibri"/>
          <w:sz w:val="22"/>
          <w:szCs w:val="22"/>
        </w:rPr>
        <w:t>ich</w:t>
      </w:r>
      <w:r w:rsidR="00EE7015">
        <w:rPr>
          <w:rStyle w:val="normaltextrun1"/>
          <w:rFonts w:ascii="Calibri" w:hAnsi="Calibri" w:cs="Calibri"/>
          <w:sz w:val="22"/>
          <w:szCs w:val="22"/>
        </w:rPr>
        <w:t xml:space="preserve"> is expected to start in the third quarter of 2024</w:t>
      </w:r>
      <w:r>
        <w:rPr>
          <w:rStyle w:val="normaltextrun1"/>
          <w:rFonts w:ascii="Calibri" w:hAnsi="Calibri" w:cs="Calibri"/>
          <w:sz w:val="22"/>
          <w:szCs w:val="22"/>
        </w:rPr>
        <w:t xml:space="preserve">. </w:t>
      </w:r>
      <w:r w:rsidR="00EE7015">
        <w:rPr>
          <w:rStyle w:val="normaltextrun1"/>
          <w:rFonts w:ascii="Calibri" w:hAnsi="Calibri" w:cs="Calibri"/>
          <w:sz w:val="22"/>
          <w:szCs w:val="22"/>
        </w:rPr>
        <w:t xml:space="preserve"> All stakeholders – including the Government, civil society and intended beneficiaries of UNSDCF - </w:t>
      </w:r>
      <w:r>
        <w:rPr>
          <w:rStyle w:val="normaltextrun1"/>
          <w:rFonts w:ascii="Calibri" w:hAnsi="Calibri" w:cs="Calibri"/>
          <w:color w:val="000000"/>
          <w:sz w:val="22"/>
          <w:szCs w:val="22"/>
        </w:rPr>
        <w:t xml:space="preserve">will be involved </w:t>
      </w:r>
      <w:r w:rsidR="00EE7015">
        <w:rPr>
          <w:rStyle w:val="normaltextrun1"/>
          <w:rFonts w:ascii="Calibri" w:hAnsi="Calibri" w:cs="Calibri"/>
          <w:color w:val="000000"/>
          <w:sz w:val="22"/>
          <w:szCs w:val="22"/>
        </w:rPr>
        <w:t xml:space="preserve">in </w:t>
      </w:r>
      <w:r>
        <w:rPr>
          <w:rStyle w:val="normaltextrun1"/>
          <w:rFonts w:ascii="Calibri" w:hAnsi="Calibri" w:cs="Calibri"/>
          <w:color w:val="000000"/>
          <w:sz w:val="22"/>
          <w:szCs w:val="22"/>
        </w:rPr>
        <w:t xml:space="preserve">the </w:t>
      </w:r>
      <w:r w:rsidR="00EE7015">
        <w:rPr>
          <w:rStyle w:val="normaltextrun1"/>
          <w:rFonts w:ascii="Calibri" w:hAnsi="Calibri" w:cs="Calibri"/>
          <w:color w:val="000000"/>
          <w:sz w:val="22"/>
          <w:szCs w:val="22"/>
        </w:rPr>
        <w:t xml:space="preserve">evaluation </w:t>
      </w:r>
      <w:r>
        <w:rPr>
          <w:rStyle w:val="normaltextrun1"/>
          <w:rFonts w:ascii="Calibri" w:hAnsi="Calibri" w:cs="Calibri"/>
          <w:color w:val="000000"/>
          <w:sz w:val="22"/>
          <w:szCs w:val="22"/>
        </w:rPr>
        <w:t xml:space="preserve">process. </w:t>
      </w:r>
      <w:r w:rsidR="00EE7015">
        <w:rPr>
          <w:rStyle w:val="normaltextrun1"/>
          <w:rFonts w:ascii="Calibri" w:hAnsi="Calibri" w:cs="Calibri"/>
          <w:color w:val="000000"/>
          <w:sz w:val="22"/>
          <w:szCs w:val="22"/>
        </w:rPr>
        <w:t xml:space="preserve"> </w:t>
      </w:r>
      <w:r>
        <w:rPr>
          <w:rStyle w:val="normaltextrun1"/>
          <w:rFonts w:ascii="Calibri" w:hAnsi="Calibri" w:cs="Calibri"/>
          <w:sz w:val="22"/>
          <w:szCs w:val="22"/>
        </w:rPr>
        <w:t xml:space="preserve">Individual </w:t>
      </w:r>
      <w:r w:rsidR="00090282">
        <w:rPr>
          <w:rStyle w:val="normaltextrun1"/>
          <w:rFonts w:ascii="Calibri" w:hAnsi="Calibri" w:cs="Calibri"/>
          <w:sz w:val="22"/>
          <w:szCs w:val="22"/>
        </w:rPr>
        <w:t xml:space="preserve">UN </w:t>
      </w:r>
      <w:r>
        <w:rPr>
          <w:rStyle w:val="normaltextrun1"/>
          <w:rFonts w:ascii="Calibri" w:hAnsi="Calibri" w:cs="Calibri"/>
          <w:sz w:val="22"/>
          <w:szCs w:val="22"/>
        </w:rPr>
        <w:t xml:space="preserve">agency </w:t>
      </w:r>
      <w:r w:rsidR="00EE7015">
        <w:rPr>
          <w:rStyle w:val="normaltextrun1"/>
          <w:rFonts w:ascii="Calibri" w:hAnsi="Calibri" w:cs="Calibri"/>
          <w:sz w:val="22"/>
          <w:szCs w:val="22"/>
        </w:rPr>
        <w:t xml:space="preserve">country </w:t>
      </w:r>
      <w:r>
        <w:rPr>
          <w:rStyle w:val="normaltextrun1"/>
          <w:rFonts w:ascii="Calibri" w:hAnsi="Calibri" w:cs="Calibri"/>
          <w:sz w:val="22"/>
          <w:szCs w:val="22"/>
        </w:rPr>
        <w:t xml:space="preserve">programme evaluations will </w:t>
      </w:r>
      <w:r w:rsidR="00090282">
        <w:rPr>
          <w:rStyle w:val="normaltextrun1"/>
          <w:rFonts w:ascii="Calibri" w:hAnsi="Calibri" w:cs="Calibri"/>
          <w:sz w:val="22"/>
          <w:szCs w:val="22"/>
        </w:rPr>
        <w:t xml:space="preserve">evaluate UN agency country </w:t>
      </w:r>
      <w:proofErr w:type="spellStart"/>
      <w:r w:rsidR="00090282">
        <w:rPr>
          <w:rStyle w:val="normaltextrun1"/>
          <w:rFonts w:ascii="Calibri" w:hAnsi="Calibri" w:cs="Calibri"/>
          <w:sz w:val="22"/>
          <w:szCs w:val="22"/>
        </w:rPr>
        <w:t>programmes’</w:t>
      </w:r>
      <w:proofErr w:type="spellEnd"/>
      <w:r w:rsidR="00090282">
        <w:rPr>
          <w:rStyle w:val="normaltextrun1"/>
          <w:rFonts w:ascii="Calibri" w:hAnsi="Calibri" w:cs="Calibri"/>
          <w:sz w:val="22"/>
          <w:szCs w:val="22"/>
        </w:rPr>
        <w:t xml:space="preserve"> contributions to the UNSDCF results, which will inform </w:t>
      </w:r>
      <w:r>
        <w:rPr>
          <w:rStyle w:val="normaltextrun1"/>
          <w:rFonts w:ascii="Calibri" w:hAnsi="Calibri" w:cs="Calibri"/>
          <w:sz w:val="22"/>
          <w:szCs w:val="22"/>
        </w:rPr>
        <w:t xml:space="preserve">the </w:t>
      </w:r>
      <w:r w:rsidR="00EE7015">
        <w:rPr>
          <w:rStyle w:val="normaltextrun1"/>
          <w:rFonts w:ascii="Calibri" w:hAnsi="Calibri" w:cs="Calibri"/>
          <w:sz w:val="22"/>
          <w:szCs w:val="22"/>
        </w:rPr>
        <w:t xml:space="preserve">UNSDCF final </w:t>
      </w:r>
      <w:r>
        <w:rPr>
          <w:rStyle w:val="normaltextrun1"/>
          <w:rFonts w:ascii="Calibri" w:hAnsi="Calibri" w:cs="Calibri"/>
          <w:sz w:val="22"/>
          <w:szCs w:val="22"/>
        </w:rPr>
        <w:t>evaluation.</w:t>
      </w:r>
      <w:r>
        <w:rPr>
          <w:rStyle w:val="eop"/>
          <w:rFonts w:ascii="Calibri" w:hAnsi="Calibri" w:cs="Calibri"/>
          <w:sz w:val="22"/>
          <w:szCs w:val="22"/>
        </w:rPr>
        <w:t> </w:t>
      </w:r>
    </w:p>
    <w:p w14:paraId="4D3772E7" w14:textId="77777777" w:rsidR="001E3FEE" w:rsidRDefault="001E3FEE" w:rsidP="00552AAD">
      <w:pPr>
        <w:pStyle w:val="paragraph"/>
        <w:jc w:val="both"/>
        <w:textAlignment w:val="baseline"/>
      </w:pPr>
      <w:r>
        <w:rPr>
          <w:rStyle w:val="eop"/>
          <w:rFonts w:ascii="Calibri" w:hAnsi="Calibri" w:cs="Calibri"/>
          <w:sz w:val="22"/>
          <w:szCs w:val="22"/>
        </w:rPr>
        <w:t> </w:t>
      </w:r>
    </w:p>
    <w:p w14:paraId="633FEC3F" w14:textId="0D3E6537" w:rsidR="001E3FEE" w:rsidRDefault="001E3FEE" w:rsidP="00552AAD">
      <w:pPr>
        <w:pStyle w:val="paragraph"/>
        <w:jc w:val="both"/>
        <w:textAlignment w:val="baseline"/>
        <w:rPr>
          <w:rStyle w:val="normaltextrun1"/>
          <w:rFonts w:ascii="Calibri" w:hAnsi="Calibri" w:cs="Calibri"/>
          <w:color w:val="000000"/>
          <w:sz w:val="22"/>
          <w:szCs w:val="22"/>
        </w:rPr>
      </w:pPr>
      <w:r>
        <w:rPr>
          <w:rStyle w:val="normaltextrun1"/>
          <w:rFonts w:ascii="Calibri" w:hAnsi="Calibri" w:cs="Calibri"/>
          <w:color w:val="000000"/>
          <w:sz w:val="22"/>
          <w:szCs w:val="22"/>
        </w:rPr>
        <w:t xml:space="preserve">Based on the United Nations Evaluation Group (UNEG) Norms and Standards, the evaluation will assess </w:t>
      </w:r>
      <w:r w:rsidR="00EE7015">
        <w:rPr>
          <w:rStyle w:val="normaltextrun1"/>
          <w:rFonts w:ascii="Calibri" w:hAnsi="Calibri" w:cs="Calibri"/>
          <w:color w:val="000000"/>
          <w:sz w:val="22"/>
          <w:szCs w:val="22"/>
        </w:rPr>
        <w:t>whether</w:t>
      </w:r>
      <w:r>
        <w:rPr>
          <w:rStyle w:val="normaltextrun1"/>
          <w:rFonts w:ascii="Calibri" w:hAnsi="Calibri" w:cs="Calibri"/>
          <w:color w:val="000000"/>
          <w:sz w:val="22"/>
          <w:szCs w:val="22"/>
        </w:rPr>
        <w:t xml:space="preserve"> the </w:t>
      </w:r>
      <w:r w:rsidR="00EE7015">
        <w:rPr>
          <w:rStyle w:val="normaltextrun1"/>
          <w:rFonts w:ascii="Calibri" w:hAnsi="Calibri" w:cs="Calibri"/>
          <w:color w:val="000000"/>
          <w:sz w:val="22"/>
          <w:szCs w:val="22"/>
        </w:rPr>
        <w:t xml:space="preserve">UNSDCF </w:t>
      </w:r>
      <w:r>
        <w:rPr>
          <w:rStyle w:val="normaltextrun1"/>
          <w:rFonts w:ascii="Calibri" w:hAnsi="Calibri" w:cs="Calibri"/>
          <w:color w:val="000000"/>
          <w:sz w:val="22"/>
          <w:szCs w:val="22"/>
        </w:rPr>
        <w:t xml:space="preserve">expected results have been achieved, </w:t>
      </w:r>
      <w:r w:rsidR="00EE7015">
        <w:rPr>
          <w:rStyle w:val="normaltextrun1"/>
          <w:rFonts w:ascii="Calibri" w:hAnsi="Calibri" w:cs="Calibri"/>
          <w:color w:val="000000"/>
          <w:sz w:val="22"/>
          <w:szCs w:val="22"/>
        </w:rPr>
        <w:t>and whether</w:t>
      </w:r>
      <w:r>
        <w:rPr>
          <w:rStyle w:val="normaltextrun1"/>
          <w:rFonts w:ascii="Calibri" w:hAnsi="Calibri" w:cs="Calibri"/>
          <w:color w:val="000000"/>
          <w:sz w:val="22"/>
          <w:szCs w:val="22"/>
        </w:rPr>
        <w:t xml:space="preserve"> other unintended results are observed. </w:t>
      </w:r>
      <w:r w:rsidR="00EE7015">
        <w:rPr>
          <w:rStyle w:val="normaltextrun1"/>
          <w:rFonts w:ascii="Calibri" w:hAnsi="Calibri" w:cs="Calibri"/>
          <w:color w:val="000000"/>
          <w:sz w:val="22"/>
          <w:szCs w:val="22"/>
        </w:rPr>
        <w:t xml:space="preserve"> </w:t>
      </w:r>
      <w:r>
        <w:rPr>
          <w:rStyle w:val="normaltextrun1"/>
          <w:rFonts w:ascii="Calibri" w:hAnsi="Calibri" w:cs="Calibri"/>
          <w:color w:val="000000"/>
          <w:sz w:val="22"/>
          <w:szCs w:val="22"/>
        </w:rPr>
        <w:t xml:space="preserve">The evaluation will also assess if the </w:t>
      </w:r>
      <w:r w:rsidR="00EE7015">
        <w:rPr>
          <w:rStyle w:val="normaltextrun1"/>
          <w:rFonts w:ascii="Calibri" w:hAnsi="Calibri" w:cs="Calibri"/>
          <w:color w:val="000000"/>
          <w:sz w:val="22"/>
          <w:szCs w:val="22"/>
        </w:rPr>
        <w:t xml:space="preserve">UNSDCF </w:t>
      </w:r>
      <w:r>
        <w:rPr>
          <w:rStyle w:val="normaltextrun1"/>
          <w:rFonts w:ascii="Calibri" w:hAnsi="Calibri" w:cs="Calibri"/>
          <w:color w:val="000000"/>
          <w:sz w:val="22"/>
          <w:szCs w:val="22"/>
        </w:rPr>
        <w:t>made a worthwhile, coherent, durable and cost-efficient contribution to collective UN system outcomes and national development processes to achieve the 2030 Agenda.</w:t>
      </w:r>
      <w:r w:rsidR="00EE7015">
        <w:rPr>
          <w:rStyle w:val="normaltextrun1"/>
          <w:rFonts w:ascii="Calibri" w:hAnsi="Calibri" w:cs="Calibri"/>
          <w:color w:val="000000"/>
          <w:sz w:val="22"/>
          <w:szCs w:val="22"/>
        </w:rPr>
        <w:t xml:space="preserve">  The</w:t>
      </w:r>
      <w:r>
        <w:rPr>
          <w:rStyle w:val="normaltextrun1"/>
          <w:rFonts w:ascii="Calibri" w:hAnsi="Calibri" w:cs="Calibri"/>
          <w:color w:val="000000"/>
          <w:sz w:val="22"/>
          <w:szCs w:val="22"/>
        </w:rPr>
        <w:t xml:space="preserve"> </w:t>
      </w:r>
      <w:r w:rsidR="00EE7015">
        <w:rPr>
          <w:rStyle w:val="normaltextrun1"/>
          <w:rFonts w:ascii="Calibri" w:hAnsi="Calibri" w:cs="Calibri"/>
          <w:color w:val="000000"/>
          <w:sz w:val="22"/>
          <w:szCs w:val="22"/>
        </w:rPr>
        <w:t>quality of the evaluation will be guaranteed through the technical oversight of the UN M&amp;E Group, while ensuring the independence of the evaluation.</w:t>
      </w:r>
    </w:p>
    <w:p w14:paraId="74C9F6BC" w14:textId="3541488F" w:rsidR="00085839" w:rsidRDefault="00085839" w:rsidP="00552AAD">
      <w:pPr>
        <w:pStyle w:val="paragraph"/>
        <w:jc w:val="both"/>
        <w:textAlignment w:val="baseline"/>
        <w:rPr>
          <w:rStyle w:val="normaltextrun1"/>
          <w:rFonts w:ascii="Calibri" w:hAnsi="Calibri" w:cs="Calibri"/>
          <w:color w:val="000000"/>
          <w:sz w:val="22"/>
          <w:szCs w:val="22"/>
        </w:rPr>
      </w:pPr>
    </w:p>
    <w:p w14:paraId="24895AF6" w14:textId="52230379" w:rsidR="00085839" w:rsidRDefault="00085839" w:rsidP="00552AAD">
      <w:pPr>
        <w:pStyle w:val="paragraph"/>
        <w:jc w:val="both"/>
        <w:textAlignment w:val="baseline"/>
        <w:rPr>
          <w:color w:val="000000"/>
        </w:rPr>
      </w:pPr>
      <w:r>
        <w:rPr>
          <w:rStyle w:val="normaltextrun1"/>
          <w:rFonts w:ascii="Calibri" w:hAnsi="Calibri" w:cs="Calibri"/>
          <w:color w:val="000000"/>
          <w:sz w:val="22"/>
          <w:szCs w:val="22"/>
        </w:rPr>
        <w:t xml:space="preserve">Following the finalization of the Evaluation Report, the UN will prepare a Management Response to ensure accountability. </w:t>
      </w:r>
    </w:p>
    <w:p w14:paraId="7FD9DF63" w14:textId="29F3E771" w:rsidR="000265D9" w:rsidRPr="00841766" w:rsidRDefault="000265D9" w:rsidP="00552AAD">
      <w:pPr>
        <w:jc w:val="both"/>
        <w:rPr>
          <w:b/>
          <w:sz w:val="28"/>
          <w:szCs w:val="28"/>
          <w:lang w:val="en-US"/>
        </w:rPr>
      </w:pPr>
    </w:p>
    <w:p w14:paraId="67DC3999" w14:textId="77777777" w:rsidR="00803921" w:rsidRPr="00841766" w:rsidRDefault="00803921" w:rsidP="00F94F7A">
      <w:pPr>
        <w:autoSpaceDE w:val="0"/>
        <w:autoSpaceDN w:val="0"/>
        <w:adjustRightInd w:val="0"/>
        <w:jc w:val="both"/>
        <w:rPr>
          <w:b/>
          <w:lang w:val="en-US"/>
        </w:rPr>
        <w:sectPr w:rsidR="00803921" w:rsidRPr="00841766" w:rsidSect="007A7ECF">
          <w:headerReference w:type="default" r:id="rId45"/>
          <w:footerReference w:type="even" r:id="rId46"/>
          <w:footerReference w:type="default" r:id="rId47"/>
          <w:pgSz w:w="11900" w:h="16840" w:code="9"/>
          <w:pgMar w:top="1417" w:right="1121" w:bottom="1417" w:left="1417" w:header="708" w:footer="708" w:gutter="0"/>
          <w:cols w:space="708"/>
          <w:docGrid w:linePitch="360"/>
        </w:sectPr>
      </w:pPr>
    </w:p>
    <w:p w14:paraId="4F47A3A0" w14:textId="77777777" w:rsidR="00661B9C" w:rsidRDefault="00661B9C" w:rsidP="00661B9C">
      <w:pPr>
        <w:pStyle w:val="paragraph"/>
        <w:jc w:val="center"/>
        <w:textAlignment w:val="baseline"/>
        <w:rPr>
          <w:rStyle w:val="normaltextrun1"/>
          <w:rFonts w:ascii="Calibri Light" w:hAnsi="Calibri Light" w:cs="Calibri Light"/>
          <w:color w:val="1F3763"/>
        </w:rPr>
      </w:pPr>
      <w:bookmarkStart w:id="129" w:name="_Hlk34054526"/>
      <w:bookmarkStart w:id="130" w:name="_Toc29550754"/>
      <w:r w:rsidRPr="00037515">
        <w:rPr>
          <w:rStyle w:val="normaltextrun1"/>
          <w:rFonts w:ascii="Calibri Light" w:hAnsi="Calibri Light" w:cs="Calibri Light"/>
          <w:color w:val="1F3763"/>
        </w:rPr>
        <w:lastRenderedPageBreak/>
        <w:t>Bibliography</w:t>
      </w:r>
    </w:p>
    <w:p w14:paraId="0A5D0B31" w14:textId="2864BEC8" w:rsidR="00661B9C" w:rsidRDefault="00661B9C" w:rsidP="00661B9C">
      <w:pPr>
        <w:pStyle w:val="paragraph"/>
        <w:textAlignment w:val="baseline"/>
        <w:rPr>
          <w:rStyle w:val="normaltextrun1"/>
          <w:rFonts w:ascii="Calibri Light" w:hAnsi="Calibri Light" w:cs="Calibri Light"/>
          <w:color w:val="1F3763"/>
        </w:rPr>
      </w:pPr>
    </w:p>
    <w:p w14:paraId="3BF7CFF4" w14:textId="77777777" w:rsidR="00AB60DE" w:rsidRDefault="00AB60DE" w:rsidP="00661B9C">
      <w:pPr>
        <w:pStyle w:val="paragraph"/>
        <w:textAlignment w:val="baseline"/>
        <w:rPr>
          <w:rStyle w:val="normaltextrun1"/>
          <w:rFonts w:ascii="Calibri Light" w:hAnsi="Calibri Light" w:cs="Calibri Light"/>
          <w:color w:val="1F3763"/>
        </w:rPr>
      </w:pPr>
    </w:p>
    <w:p w14:paraId="7616C17A" w14:textId="77777777" w:rsidR="00661B9C" w:rsidRPr="00AC0C20" w:rsidRDefault="00661B9C" w:rsidP="00661B9C">
      <w:pPr>
        <w:ind w:left="720" w:hanging="720"/>
        <w:rPr>
          <w:rFonts w:cstheme="minorHAnsi"/>
          <w:color w:val="000000" w:themeColor="text1"/>
          <w:sz w:val="22"/>
          <w:szCs w:val="22"/>
          <w:shd w:val="clear" w:color="auto" w:fill="FFFFFF"/>
        </w:rPr>
      </w:pPr>
      <w:r w:rsidRPr="00AC0C20">
        <w:rPr>
          <w:rFonts w:cstheme="minorHAnsi"/>
          <w:color w:val="000000" w:themeColor="text1"/>
          <w:sz w:val="22"/>
          <w:szCs w:val="22"/>
          <w:shd w:val="clear" w:color="auto" w:fill="FFFFFF"/>
        </w:rPr>
        <w:t>Bundy, D.A.P., N. de Silva, S. Horton, D. T. Jamison, and G. C. Patton</w:t>
      </w:r>
      <w:r>
        <w:rPr>
          <w:rFonts w:cstheme="minorHAnsi"/>
          <w:color w:val="000000" w:themeColor="text1"/>
          <w:sz w:val="22"/>
          <w:szCs w:val="22"/>
          <w:shd w:val="clear" w:color="auto" w:fill="FFFFFF"/>
        </w:rPr>
        <w:t>,</w:t>
      </w:r>
      <w:r w:rsidRPr="00AC0C20">
        <w:rPr>
          <w:rFonts w:cstheme="minorHAnsi"/>
          <w:color w:val="000000" w:themeColor="text1"/>
          <w:sz w:val="22"/>
          <w:szCs w:val="22"/>
          <w:shd w:val="clear" w:color="auto" w:fill="FFFFFF"/>
        </w:rPr>
        <w:t xml:space="preserve"> </w:t>
      </w:r>
      <w:r w:rsidRPr="00486B31">
        <w:rPr>
          <w:rFonts w:cstheme="minorHAnsi"/>
          <w:sz w:val="22"/>
          <w:szCs w:val="22"/>
        </w:rPr>
        <w:t>“</w:t>
      </w:r>
      <w:proofErr w:type="spellStart"/>
      <w:r w:rsidRPr="00AC0C20">
        <w:rPr>
          <w:rFonts w:cstheme="minorHAnsi"/>
          <w:color w:val="000000" w:themeColor="text1"/>
          <w:sz w:val="22"/>
          <w:szCs w:val="22"/>
          <w:shd w:val="clear" w:color="auto" w:fill="FFFFFF"/>
        </w:rPr>
        <w:t>Optimizing</w:t>
      </w:r>
      <w:proofErr w:type="spellEnd"/>
      <w:r w:rsidRPr="00AC0C20">
        <w:rPr>
          <w:rFonts w:cstheme="minorHAnsi"/>
          <w:color w:val="000000" w:themeColor="text1"/>
          <w:sz w:val="22"/>
          <w:szCs w:val="22"/>
          <w:shd w:val="clear" w:color="auto" w:fill="FFFFFF"/>
        </w:rPr>
        <w:t xml:space="preserve"> Education </w:t>
      </w:r>
      <w:proofErr w:type="spellStart"/>
      <w:r w:rsidRPr="00AC0C20">
        <w:rPr>
          <w:rFonts w:cstheme="minorHAnsi"/>
          <w:color w:val="000000" w:themeColor="text1"/>
          <w:sz w:val="22"/>
          <w:szCs w:val="22"/>
          <w:shd w:val="clear" w:color="auto" w:fill="FFFFFF"/>
        </w:rPr>
        <w:t>Outcomes</w:t>
      </w:r>
      <w:proofErr w:type="spellEnd"/>
      <w:r w:rsidRPr="00AC0C20">
        <w:rPr>
          <w:rFonts w:cstheme="minorHAnsi"/>
          <w:color w:val="000000" w:themeColor="text1"/>
          <w:sz w:val="22"/>
          <w:szCs w:val="22"/>
          <w:shd w:val="clear" w:color="auto" w:fill="FFFFFF"/>
        </w:rPr>
        <w:t xml:space="preserve">: High-Return Investments in </w:t>
      </w:r>
      <w:proofErr w:type="spellStart"/>
      <w:r w:rsidRPr="00AC0C20">
        <w:rPr>
          <w:rFonts w:cstheme="minorHAnsi"/>
          <w:color w:val="000000" w:themeColor="text1"/>
          <w:sz w:val="22"/>
          <w:szCs w:val="22"/>
          <w:shd w:val="clear" w:color="auto" w:fill="FFFFFF"/>
        </w:rPr>
        <w:t>School</w:t>
      </w:r>
      <w:proofErr w:type="spellEnd"/>
      <w:r w:rsidRPr="00AC0C20">
        <w:rPr>
          <w:rFonts w:cstheme="minorHAnsi"/>
          <w:color w:val="000000" w:themeColor="text1"/>
          <w:sz w:val="22"/>
          <w:szCs w:val="22"/>
          <w:shd w:val="clear" w:color="auto" w:fill="FFFFFF"/>
        </w:rPr>
        <w:t xml:space="preserve"> </w:t>
      </w:r>
      <w:proofErr w:type="spellStart"/>
      <w:r w:rsidRPr="00AC0C20">
        <w:rPr>
          <w:rFonts w:cstheme="minorHAnsi"/>
          <w:color w:val="000000" w:themeColor="text1"/>
          <w:sz w:val="22"/>
          <w:szCs w:val="22"/>
          <w:shd w:val="clear" w:color="auto" w:fill="FFFFFF"/>
        </w:rPr>
        <w:t>Health</w:t>
      </w:r>
      <w:proofErr w:type="spellEnd"/>
      <w:r w:rsidRPr="00AC0C20">
        <w:rPr>
          <w:rFonts w:cstheme="minorHAnsi"/>
          <w:color w:val="000000" w:themeColor="text1"/>
          <w:sz w:val="22"/>
          <w:szCs w:val="22"/>
          <w:shd w:val="clear" w:color="auto" w:fill="FFFFFF"/>
        </w:rPr>
        <w:t xml:space="preserve"> for </w:t>
      </w:r>
      <w:proofErr w:type="spellStart"/>
      <w:r w:rsidRPr="00AC0C20">
        <w:rPr>
          <w:rFonts w:cstheme="minorHAnsi"/>
          <w:color w:val="000000" w:themeColor="text1"/>
          <w:sz w:val="22"/>
          <w:szCs w:val="22"/>
          <w:shd w:val="clear" w:color="auto" w:fill="FFFFFF"/>
        </w:rPr>
        <w:t>Increased</w:t>
      </w:r>
      <w:proofErr w:type="spellEnd"/>
      <w:r w:rsidRPr="00AC0C20">
        <w:rPr>
          <w:rFonts w:cstheme="minorHAnsi"/>
          <w:color w:val="000000" w:themeColor="text1"/>
          <w:sz w:val="22"/>
          <w:szCs w:val="22"/>
          <w:shd w:val="clear" w:color="auto" w:fill="FFFFFF"/>
        </w:rPr>
        <w:t xml:space="preserve"> Participation and Learnin</w:t>
      </w:r>
      <w:r>
        <w:rPr>
          <w:rFonts w:cstheme="minorHAnsi"/>
          <w:color w:val="000000" w:themeColor="text1"/>
          <w:sz w:val="22"/>
          <w:szCs w:val="22"/>
          <w:shd w:val="clear" w:color="auto" w:fill="FFFFFF"/>
        </w:rPr>
        <w:t>g,</w:t>
      </w:r>
      <w:r w:rsidRPr="00AC0C20">
        <w:rPr>
          <w:rFonts w:cstheme="minorHAnsi"/>
          <w:color w:val="000000" w:themeColor="text1"/>
          <w:sz w:val="22"/>
          <w:szCs w:val="22"/>
          <w:shd w:val="clear" w:color="auto" w:fill="FFFFFF"/>
        </w:rPr>
        <w:t xml:space="preserve"> </w:t>
      </w:r>
      <w:proofErr w:type="spellStart"/>
      <w:r w:rsidRPr="003D49C6">
        <w:rPr>
          <w:rFonts w:cstheme="minorHAnsi"/>
          <w:color w:val="000000" w:themeColor="text1"/>
          <w:sz w:val="22"/>
          <w:szCs w:val="22"/>
          <w:shd w:val="clear" w:color="auto" w:fill="FFFFFF"/>
        </w:rPr>
        <w:t>Disease</w:t>
      </w:r>
      <w:proofErr w:type="spellEnd"/>
      <w:r w:rsidRPr="003D49C6">
        <w:rPr>
          <w:rFonts w:cstheme="minorHAnsi"/>
          <w:color w:val="000000" w:themeColor="text1"/>
          <w:sz w:val="22"/>
          <w:szCs w:val="22"/>
          <w:shd w:val="clear" w:color="auto" w:fill="FFFFFF"/>
        </w:rPr>
        <w:t xml:space="preserve"> Control </w:t>
      </w:r>
      <w:proofErr w:type="spellStart"/>
      <w:r w:rsidRPr="003D49C6">
        <w:rPr>
          <w:rFonts w:cstheme="minorHAnsi"/>
          <w:color w:val="000000" w:themeColor="text1"/>
          <w:sz w:val="22"/>
          <w:szCs w:val="22"/>
          <w:shd w:val="clear" w:color="auto" w:fill="FFFFFF"/>
        </w:rPr>
        <w:t>Priorities</w:t>
      </w:r>
      <w:proofErr w:type="spellEnd"/>
      <w:r>
        <w:rPr>
          <w:rFonts w:cstheme="minorHAnsi"/>
          <w:color w:val="000000" w:themeColor="text1"/>
          <w:sz w:val="22"/>
          <w:szCs w:val="22"/>
          <w:shd w:val="clear" w:color="auto" w:fill="FFFFFF"/>
        </w:rPr>
        <w:t>.</w:t>
      </w:r>
      <w:r w:rsidRPr="00486B31">
        <w:rPr>
          <w:rFonts w:cstheme="minorHAnsi"/>
          <w:sz w:val="22"/>
          <w:szCs w:val="22"/>
        </w:rPr>
        <w:t>”</w:t>
      </w:r>
      <w:r w:rsidRPr="00AC0C20">
        <w:rPr>
          <w:rFonts w:cstheme="minorHAnsi"/>
          <w:i/>
          <w:iCs/>
          <w:color w:val="000000" w:themeColor="text1"/>
          <w:sz w:val="22"/>
          <w:szCs w:val="22"/>
          <w:shd w:val="clear" w:color="auto" w:fill="FFFFFF"/>
        </w:rPr>
        <w:t xml:space="preserve"> </w:t>
      </w:r>
      <w:r w:rsidRPr="00AC0C20">
        <w:rPr>
          <w:rFonts w:cstheme="minorHAnsi"/>
          <w:color w:val="000000" w:themeColor="text1"/>
          <w:sz w:val="22"/>
          <w:szCs w:val="22"/>
          <w:shd w:val="clear" w:color="auto" w:fill="FFFFFF"/>
        </w:rPr>
        <w:t>(</w:t>
      </w:r>
      <w:proofErr w:type="spellStart"/>
      <w:r>
        <w:rPr>
          <w:rFonts w:cstheme="minorHAnsi"/>
          <w:color w:val="000000" w:themeColor="text1"/>
          <w:sz w:val="22"/>
          <w:szCs w:val="22"/>
          <w:shd w:val="clear" w:color="auto" w:fill="FFFFFF"/>
        </w:rPr>
        <w:t>T</w:t>
      </w:r>
      <w:r w:rsidRPr="00AC0C20">
        <w:rPr>
          <w:rFonts w:cstheme="minorHAnsi"/>
          <w:color w:val="000000" w:themeColor="text1"/>
          <w:sz w:val="22"/>
          <w:szCs w:val="22"/>
          <w:shd w:val="clear" w:color="auto" w:fill="FFFFFF"/>
        </w:rPr>
        <w:t>hird</w:t>
      </w:r>
      <w:proofErr w:type="spellEnd"/>
      <w:r w:rsidRPr="00AC0C20">
        <w:rPr>
          <w:rFonts w:cstheme="minorHAnsi"/>
          <w:color w:val="000000" w:themeColor="text1"/>
          <w:sz w:val="22"/>
          <w:szCs w:val="22"/>
          <w:shd w:val="clear" w:color="auto" w:fill="FFFFFF"/>
        </w:rPr>
        <w:t xml:space="preserve"> </w:t>
      </w:r>
      <w:proofErr w:type="spellStart"/>
      <w:r w:rsidRPr="00AC0C20">
        <w:rPr>
          <w:rFonts w:cstheme="minorHAnsi"/>
          <w:color w:val="000000" w:themeColor="text1"/>
          <w:sz w:val="22"/>
          <w:szCs w:val="22"/>
          <w:shd w:val="clear" w:color="auto" w:fill="FFFFFF"/>
        </w:rPr>
        <w:t>edition</w:t>
      </w:r>
      <w:proofErr w:type="spellEnd"/>
      <w:r w:rsidRPr="00AC0C20">
        <w:rPr>
          <w:rFonts w:cstheme="minorHAnsi"/>
          <w:color w:val="000000" w:themeColor="text1"/>
          <w:sz w:val="22"/>
          <w:szCs w:val="22"/>
          <w:shd w:val="clear" w:color="auto" w:fill="FFFFFF"/>
        </w:rPr>
        <w:t>)</w:t>
      </w:r>
      <w:r>
        <w:rPr>
          <w:rFonts w:cstheme="minorHAnsi"/>
          <w:color w:val="000000" w:themeColor="text1"/>
          <w:sz w:val="22"/>
          <w:szCs w:val="22"/>
          <w:shd w:val="clear" w:color="auto" w:fill="FFFFFF"/>
        </w:rPr>
        <w:t>, 2018</w:t>
      </w:r>
      <w:r w:rsidRPr="00AC0C20">
        <w:rPr>
          <w:rFonts w:cstheme="minorHAnsi"/>
          <w:color w:val="000000" w:themeColor="text1"/>
          <w:sz w:val="22"/>
          <w:szCs w:val="22"/>
          <w:shd w:val="clear" w:color="auto" w:fill="FFFFFF"/>
        </w:rPr>
        <w:t xml:space="preserve">: </w:t>
      </w:r>
      <w:proofErr w:type="spellStart"/>
      <w:r w:rsidRPr="00AC0C20">
        <w:rPr>
          <w:rFonts w:cstheme="minorHAnsi"/>
          <w:color w:val="000000" w:themeColor="text1"/>
          <w:sz w:val="22"/>
          <w:szCs w:val="22"/>
          <w:shd w:val="clear" w:color="auto" w:fill="FFFFFF"/>
        </w:rPr>
        <w:t>edited</w:t>
      </w:r>
      <w:proofErr w:type="spellEnd"/>
      <w:r w:rsidRPr="00AC0C20">
        <w:rPr>
          <w:rFonts w:cstheme="minorHAnsi"/>
          <w:color w:val="000000" w:themeColor="text1"/>
          <w:sz w:val="22"/>
          <w:szCs w:val="22"/>
          <w:shd w:val="clear" w:color="auto" w:fill="FFFFFF"/>
        </w:rPr>
        <w:t xml:space="preserve"> by Jamison D T, R </w:t>
      </w:r>
      <w:proofErr w:type="spellStart"/>
      <w:r w:rsidRPr="00AC0C20">
        <w:rPr>
          <w:rFonts w:cstheme="minorHAnsi"/>
          <w:color w:val="000000" w:themeColor="text1"/>
          <w:sz w:val="22"/>
          <w:szCs w:val="22"/>
          <w:shd w:val="clear" w:color="auto" w:fill="FFFFFF"/>
        </w:rPr>
        <w:t>Nugent</w:t>
      </w:r>
      <w:proofErr w:type="spellEnd"/>
      <w:r w:rsidRPr="00AC0C20">
        <w:rPr>
          <w:rFonts w:cstheme="minorHAnsi"/>
          <w:color w:val="000000" w:themeColor="text1"/>
          <w:sz w:val="22"/>
          <w:szCs w:val="22"/>
          <w:shd w:val="clear" w:color="auto" w:fill="FFFFFF"/>
        </w:rPr>
        <w:t xml:space="preserve">, H </w:t>
      </w:r>
      <w:proofErr w:type="spellStart"/>
      <w:r w:rsidRPr="00AC0C20">
        <w:rPr>
          <w:rFonts w:cstheme="minorHAnsi"/>
          <w:color w:val="000000" w:themeColor="text1"/>
          <w:sz w:val="22"/>
          <w:szCs w:val="22"/>
          <w:shd w:val="clear" w:color="auto" w:fill="FFFFFF"/>
        </w:rPr>
        <w:t>Gelband</w:t>
      </w:r>
      <w:proofErr w:type="spellEnd"/>
      <w:r w:rsidRPr="00AC0C20">
        <w:rPr>
          <w:rFonts w:cstheme="minorHAnsi"/>
          <w:color w:val="000000" w:themeColor="text1"/>
          <w:sz w:val="22"/>
          <w:szCs w:val="22"/>
          <w:shd w:val="clear" w:color="auto" w:fill="FFFFFF"/>
        </w:rPr>
        <w:t xml:space="preserve">, S Horton, P </w:t>
      </w:r>
      <w:proofErr w:type="spellStart"/>
      <w:r w:rsidRPr="00AC0C20">
        <w:rPr>
          <w:rFonts w:cstheme="minorHAnsi"/>
          <w:color w:val="000000" w:themeColor="text1"/>
          <w:sz w:val="22"/>
          <w:szCs w:val="22"/>
          <w:shd w:val="clear" w:color="auto" w:fill="FFFFFF"/>
        </w:rPr>
        <w:t>Jha</w:t>
      </w:r>
      <w:proofErr w:type="spellEnd"/>
      <w:r w:rsidRPr="00AC0C20">
        <w:rPr>
          <w:rFonts w:cstheme="minorHAnsi"/>
          <w:color w:val="000000" w:themeColor="text1"/>
          <w:sz w:val="22"/>
          <w:szCs w:val="22"/>
          <w:shd w:val="clear" w:color="auto" w:fill="FFFFFF"/>
        </w:rPr>
        <w:t xml:space="preserve">, R </w:t>
      </w:r>
      <w:proofErr w:type="spellStart"/>
      <w:r w:rsidRPr="00AC0C20">
        <w:rPr>
          <w:rFonts w:cstheme="minorHAnsi"/>
          <w:color w:val="000000" w:themeColor="text1"/>
          <w:sz w:val="22"/>
          <w:szCs w:val="22"/>
          <w:shd w:val="clear" w:color="auto" w:fill="FFFFFF"/>
        </w:rPr>
        <w:t>Laxminarayan</w:t>
      </w:r>
      <w:proofErr w:type="spellEnd"/>
      <w:r w:rsidRPr="00AC0C20">
        <w:rPr>
          <w:rFonts w:cstheme="minorHAnsi"/>
          <w:color w:val="000000" w:themeColor="text1"/>
          <w:sz w:val="22"/>
          <w:szCs w:val="22"/>
          <w:shd w:val="clear" w:color="auto" w:fill="FFFFFF"/>
        </w:rPr>
        <w:t xml:space="preserve">, C </w:t>
      </w:r>
      <w:proofErr w:type="spellStart"/>
      <w:r w:rsidRPr="00AC0C20">
        <w:rPr>
          <w:rFonts w:cstheme="minorHAnsi"/>
          <w:color w:val="000000" w:themeColor="text1"/>
          <w:sz w:val="22"/>
          <w:szCs w:val="22"/>
          <w:shd w:val="clear" w:color="auto" w:fill="FFFFFF"/>
        </w:rPr>
        <w:t>Mock</w:t>
      </w:r>
      <w:proofErr w:type="spellEnd"/>
      <w:r w:rsidRPr="00AC0C20">
        <w:rPr>
          <w:rFonts w:cstheme="minorHAnsi"/>
          <w:color w:val="000000" w:themeColor="text1"/>
          <w:sz w:val="22"/>
          <w:szCs w:val="22"/>
          <w:shd w:val="clear" w:color="auto" w:fill="FFFFFF"/>
        </w:rPr>
        <w:t>. Washington, DC: The World Bank</w:t>
      </w:r>
      <w:r>
        <w:rPr>
          <w:rFonts w:cstheme="minorHAnsi"/>
          <w:color w:val="000000" w:themeColor="text1"/>
          <w:sz w:val="22"/>
          <w:szCs w:val="22"/>
          <w:shd w:val="clear" w:color="auto" w:fill="FFFFFF"/>
        </w:rPr>
        <w:t>.</w:t>
      </w:r>
    </w:p>
    <w:p w14:paraId="62095B08" w14:textId="77777777" w:rsidR="00661B9C" w:rsidRDefault="00661B9C" w:rsidP="00661B9C">
      <w:pPr>
        <w:ind w:left="720" w:hanging="720"/>
        <w:rPr>
          <w:rFonts w:cstheme="minorHAnsi"/>
          <w:color w:val="000000" w:themeColor="text1"/>
          <w:sz w:val="22"/>
          <w:szCs w:val="22"/>
          <w:shd w:val="clear" w:color="auto" w:fill="FFFFFF"/>
        </w:rPr>
      </w:pPr>
    </w:p>
    <w:p w14:paraId="1BF62989" w14:textId="77777777" w:rsidR="00661B9C" w:rsidRDefault="00661B9C" w:rsidP="00661B9C">
      <w:pPr>
        <w:ind w:left="720" w:hanging="720"/>
        <w:rPr>
          <w:rFonts w:cstheme="minorHAnsi"/>
          <w:color w:val="000000" w:themeColor="text1"/>
          <w:sz w:val="22"/>
          <w:szCs w:val="22"/>
          <w:shd w:val="clear" w:color="auto" w:fill="FFFFFF"/>
        </w:rPr>
      </w:pPr>
    </w:p>
    <w:p w14:paraId="4DA42843" w14:textId="77777777" w:rsidR="00661B9C" w:rsidRDefault="00661B9C" w:rsidP="00661B9C">
      <w:pPr>
        <w:ind w:left="720" w:hanging="720"/>
        <w:rPr>
          <w:rFonts w:eastAsia="Times New Roman" w:cstheme="minorHAnsi"/>
          <w:color w:val="000000" w:themeColor="text1"/>
          <w:sz w:val="22"/>
          <w:szCs w:val="22"/>
          <w:shd w:val="clear" w:color="auto" w:fill="FFFFFF"/>
          <w:lang w:val="en-US"/>
        </w:rPr>
      </w:pPr>
      <w:bookmarkStart w:id="131" w:name="_Hlk34121230"/>
      <w:proofErr w:type="spellStart"/>
      <w:r>
        <w:rPr>
          <w:rFonts w:eastAsia="Times New Roman" w:cstheme="minorHAnsi"/>
          <w:color w:val="000000" w:themeColor="text1"/>
          <w:sz w:val="22"/>
          <w:szCs w:val="22"/>
          <w:shd w:val="clear" w:color="auto" w:fill="FFFFFF"/>
          <w:lang w:val="en-US"/>
        </w:rPr>
        <w:t>B</w:t>
      </w:r>
      <w:r w:rsidRPr="00DC17FD">
        <w:rPr>
          <w:rFonts w:eastAsia="Times New Roman" w:cstheme="minorHAnsi"/>
          <w:color w:val="000000" w:themeColor="text1"/>
          <w:sz w:val="22"/>
          <w:szCs w:val="22"/>
          <w:shd w:val="clear" w:color="auto" w:fill="FFFFFF"/>
          <w:lang w:val="en-US"/>
        </w:rPr>
        <w:t>ü</w:t>
      </w:r>
      <w:r>
        <w:rPr>
          <w:rFonts w:eastAsia="Times New Roman" w:cstheme="minorHAnsi"/>
          <w:color w:val="000000" w:themeColor="text1"/>
          <w:sz w:val="22"/>
          <w:szCs w:val="22"/>
          <w:shd w:val="clear" w:color="auto" w:fill="FFFFFF"/>
          <w:lang w:val="en-US"/>
        </w:rPr>
        <w:t>ndnis</w:t>
      </w:r>
      <w:proofErr w:type="spellEnd"/>
      <w:r>
        <w:rPr>
          <w:rFonts w:eastAsia="Times New Roman" w:cstheme="minorHAnsi"/>
          <w:color w:val="000000" w:themeColor="text1"/>
          <w:sz w:val="22"/>
          <w:szCs w:val="22"/>
          <w:shd w:val="clear" w:color="auto" w:fill="FFFFFF"/>
          <w:lang w:val="en-US"/>
        </w:rPr>
        <w:t xml:space="preserve"> </w:t>
      </w:r>
      <w:proofErr w:type="spellStart"/>
      <w:r>
        <w:rPr>
          <w:rFonts w:eastAsia="Times New Roman" w:cstheme="minorHAnsi"/>
          <w:color w:val="000000" w:themeColor="text1"/>
          <w:sz w:val="22"/>
          <w:szCs w:val="22"/>
          <w:shd w:val="clear" w:color="auto" w:fill="FFFFFF"/>
          <w:lang w:val="en-US"/>
        </w:rPr>
        <w:t>Entwicklung</w:t>
      </w:r>
      <w:proofErr w:type="spellEnd"/>
      <w:r>
        <w:rPr>
          <w:rFonts w:eastAsia="Times New Roman" w:cstheme="minorHAnsi"/>
          <w:color w:val="000000" w:themeColor="text1"/>
          <w:sz w:val="22"/>
          <w:szCs w:val="22"/>
          <w:shd w:val="clear" w:color="auto" w:fill="FFFFFF"/>
          <w:lang w:val="en-US"/>
        </w:rPr>
        <w:t xml:space="preserve"> </w:t>
      </w:r>
      <w:proofErr w:type="spellStart"/>
      <w:r>
        <w:rPr>
          <w:rFonts w:eastAsia="Times New Roman" w:cstheme="minorHAnsi"/>
          <w:color w:val="000000" w:themeColor="text1"/>
          <w:sz w:val="22"/>
          <w:szCs w:val="22"/>
          <w:shd w:val="clear" w:color="auto" w:fill="FFFFFF"/>
          <w:lang w:val="en-US"/>
        </w:rPr>
        <w:t>Hilft</w:t>
      </w:r>
      <w:proofErr w:type="spellEnd"/>
      <w:r>
        <w:rPr>
          <w:rFonts w:eastAsia="Times New Roman" w:cstheme="minorHAnsi"/>
          <w:color w:val="000000" w:themeColor="text1"/>
          <w:sz w:val="22"/>
          <w:szCs w:val="22"/>
          <w:shd w:val="clear" w:color="auto" w:fill="FFFFFF"/>
          <w:lang w:val="en-US"/>
        </w:rPr>
        <w:t xml:space="preserve"> (BEH) and Institute for International Law of Peace and Armed Conflict (IFHV), “The World Risk Report.”2019, available </w:t>
      </w:r>
      <w:hyperlink r:id="rId48" w:history="1">
        <w:r w:rsidRPr="00C427ED">
          <w:rPr>
            <w:rStyle w:val="Hyperlink"/>
            <w:rFonts w:eastAsia="Times New Roman" w:cstheme="minorHAnsi"/>
            <w:sz w:val="22"/>
            <w:szCs w:val="22"/>
            <w:shd w:val="clear" w:color="auto" w:fill="FFFFFF"/>
            <w:lang w:val="en-US"/>
          </w:rPr>
          <w:t>https://weltrisikobericht.de/english-2/</w:t>
        </w:r>
      </w:hyperlink>
      <w:r>
        <w:rPr>
          <w:rFonts w:eastAsia="Times New Roman" w:cstheme="minorHAnsi"/>
          <w:color w:val="000000" w:themeColor="text1"/>
          <w:sz w:val="22"/>
          <w:szCs w:val="22"/>
          <w:shd w:val="clear" w:color="auto" w:fill="FFFFFF"/>
          <w:lang w:val="en-US"/>
        </w:rPr>
        <w:t xml:space="preserve"> </w:t>
      </w:r>
    </w:p>
    <w:bookmarkEnd w:id="131"/>
    <w:p w14:paraId="2DA974B9" w14:textId="77777777" w:rsidR="00661B9C" w:rsidRDefault="00661B9C" w:rsidP="00661B9C">
      <w:pPr>
        <w:ind w:left="720" w:hanging="720"/>
        <w:rPr>
          <w:rFonts w:cstheme="minorHAnsi"/>
          <w:color w:val="000000" w:themeColor="text1"/>
          <w:sz w:val="22"/>
          <w:szCs w:val="22"/>
          <w:shd w:val="clear" w:color="auto" w:fill="FFFFFF"/>
          <w:lang w:val="en-US"/>
        </w:rPr>
      </w:pPr>
    </w:p>
    <w:p w14:paraId="58EFA3A3" w14:textId="77777777" w:rsidR="00661B9C" w:rsidRPr="001F59EA" w:rsidRDefault="00661B9C" w:rsidP="00661B9C">
      <w:pPr>
        <w:ind w:left="720" w:hanging="720"/>
        <w:rPr>
          <w:rFonts w:cstheme="minorHAnsi"/>
          <w:color w:val="000000" w:themeColor="text1"/>
          <w:sz w:val="22"/>
          <w:szCs w:val="22"/>
          <w:shd w:val="clear" w:color="auto" w:fill="FFFFFF"/>
          <w:lang w:val="en-US"/>
        </w:rPr>
      </w:pPr>
    </w:p>
    <w:p w14:paraId="7C659A86" w14:textId="77777777" w:rsidR="00661B9C" w:rsidRDefault="00661B9C" w:rsidP="00661B9C">
      <w:pPr>
        <w:ind w:left="720" w:hanging="720"/>
        <w:rPr>
          <w:rFonts w:cstheme="minorHAnsi"/>
          <w:color w:val="000000" w:themeColor="text1"/>
          <w:sz w:val="22"/>
          <w:szCs w:val="22"/>
          <w:shd w:val="clear" w:color="auto" w:fill="FFFFFF"/>
        </w:rPr>
      </w:pPr>
      <w:r>
        <w:rPr>
          <w:rFonts w:cstheme="minorHAnsi"/>
          <w:color w:val="000000" w:themeColor="text1"/>
          <w:sz w:val="22"/>
          <w:szCs w:val="22"/>
          <w:shd w:val="clear" w:color="auto" w:fill="FFFFFF"/>
        </w:rPr>
        <w:t xml:space="preserve">Food and Agriculture </w:t>
      </w:r>
      <w:proofErr w:type="spellStart"/>
      <w:r>
        <w:rPr>
          <w:rFonts w:cstheme="minorHAnsi"/>
          <w:color w:val="000000" w:themeColor="text1"/>
          <w:sz w:val="22"/>
          <w:szCs w:val="22"/>
          <w:shd w:val="clear" w:color="auto" w:fill="FFFFFF"/>
        </w:rPr>
        <w:t>Organization</w:t>
      </w:r>
      <w:proofErr w:type="spellEnd"/>
      <w:r>
        <w:rPr>
          <w:rFonts w:cstheme="minorHAnsi"/>
          <w:color w:val="000000" w:themeColor="text1"/>
          <w:sz w:val="22"/>
          <w:szCs w:val="22"/>
          <w:shd w:val="clear" w:color="auto" w:fill="FFFFFF"/>
        </w:rPr>
        <w:t xml:space="preserve"> (FAO), Timor-Leste National Action Programme to Combat Land </w:t>
      </w:r>
      <w:proofErr w:type="spellStart"/>
      <w:r>
        <w:rPr>
          <w:rFonts w:cstheme="minorHAnsi"/>
          <w:color w:val="000000" w:themeColor="text1"/>
          <w:sz w:val="22"/>
          <w:szCs w:val="22"/>
          <w:shd w:val="clear" w:color="auto" w:fill="FFFFFF"/>
        </w:rPr>
        <w:t>Degradation</w:t>
      </w:r>
      <w:proofErr w:type="spellEnd"/>
      <w:r>
        <w:rPr>
          <w:rFonts w:cstheme="minorHAnsi"/>
          <w:color w:val="000000" w:themeColor="text1"/>
          <w:sz w:val="22"/>
          <w:szCs w:val="22"/>
          <w:shd w:val="clear" w:color="auto" w:fill="FFFFFF"/>
        </w:rPr>
        <w:t>, 2017.</w:t>
      </w:r>
    </w:p>
    <w:p w14:paraId="60E5FF9D" w14:textId="77777777" w:rsidR="00661B9C" w:rsidRDefault="00661B9C" w:rsidP="00661B9C">
      <w:pPr>
        <w:ind w:left="720" w:hanging="720"/>
        <w:rPr>
          <w:rFonts w:cstheme="minorHAnsi"/>
          <w:color w:val="000000" w:themeColor="text1"/>
          <w:sz w:val="22"/>
          <w:szCs w:val="22"/>
          <w:shd w:val="clear" w:color="auto" w:fill="FFFFFF"/>
        </w:rPr>
      </w:pPr>
    </w:p>
    <w:p w14:paraId="728C0A77" w14:textId="77777777" w:rsidR="00661B9C" w:rsidRDefault="00661B9C" w:rsidP="00661B9C">
      <w:pPr>
        <w:ind w:left="720" w:hanging="720"/>
        <w:rPr>
          <w:rFonts w:cstheme="minorHAnsi"/>
          <w:color w:val="000000" w:themeColor="text1"/>
          <w:sz w:val="22"/>
          <w:szCs w:val="22"/>
          <w:shd w:val="clear" w:color="auto" w:fill="FFFFFF"/>
        </w:rPr>
      </w:pPr>
    </w:p>
    <w:p w14:paraId="017A6EAC" w14:textId="77777777" w:rsidR="00661B9C" w:rsidRPr="00486B31" w:rsidRDefault="00661B9C" w:rsidP="00661B9C">
      <w:pPr>
        <w:ind w:left="720" w:hanging="720"/>
        <w:rPr>
          <w:rFonts w:cstheme="minorHAnsi"/>
          <w:sz w:val="22"/>
          <w:szCs w:val="22"/>
        </w:rPr>
      </w:pPr>
      <w:bookmarkStart w:id="132" w:name="_Hlk34124460"/>
      <w:proofErr w:type="spellStart"/>
      <w:r w:rsidRPr="00486B31">
        <w:rPr>
          <w:rFonts w:cstheme="minorHAnsi"/>
          <w:sz w:val="22"/>
          <w:szCs w:val="22"/>
        </w:rPr>
        <w:t>Government</w:t>
      </w:r>
      <w:proofErr w:type="spellEnd"/>
      <w:r w:rsidRPr="00486B31">
        <w:rPr>
          <w:rFonts w:cstheme="minorHAnsi"/>
          <w:sz w:val="22"/>
          <w:szCs w:val="22"/>
        </w:rPr>
        <w:t xml:space="preserve"> of Timor-Leste</w:t>
      </w:r>
      <w:r>
        <w:rPr>
          <w:rFonts w:cstheme="minorHAnsi"/>
          <w:sz w:val="22"/>
          <w:szCs w:val="22"/>
        </w:rPr>
        <w:t xml:space="preserve"> (</w:t>
      </w:r>
      <w:proofErr w:type="spellStart"/>
      <w:r>
        <w:rPr>
          <w:rFonts w:cstheme="minorHAnsi"/>
          <w:sz w:val="22"/>
          <w:szCs w:val="22"/>
        </w:rPr>
        <w:t>GoTL</w:t>
      </w:r>
      <w:proofErr w:type="spellEnd"/>
      <w:r>
        <w:rPr>
          <w:rFonts w:cstheme="minorHAnsi"/>
          <w:sz w:val="22"/>
          <w:szCs w:val="22"/>
        </w:rPr>
        <w:t>)</w:t>
      </w:r>
      <w:r w:rsidRPr="00486B31">
        <w:rPr>
          <w:rFonts w:cstheme="minorHAnsi"/>
          <w:sz w:val="22"/>
          <w:szCs w:val="22"/>
        </w:rPr>
        <w:t xml:space="preserve">, “Report on the </w:t>
      </w:r>
      <w:proofErr w:type="spellStart"/>
      <w:r w:rsidRPr="00486B31">
        <w:rPr>
          <w:rFonts w:cstheme="minorHAnsi"/>
          <w:sz w:val="22"/>
          <w:szCs w:val="22"/>
        </w:rPr>
        <w:t>Implementation</w:t>
      </w:r>
      <w:proofErr w:type="spellEnd"/>
      <w:r w:rsidRPr="00486B31">
        <w:rPr>
          <w:rFonts w:cstheme="minorHAnsi"/>
          <w:sz w:val="22"/>
          <w:szCs w:val="22"/>
        </w:rPr>
        <w:t xml:space="preserve"> of the </w:t>
      </w:r>
      <w:proofErr w:type="spellStart"/>
      <w:r w:rsidRPr="00486B31">
        <w:rPr>
          <w:rFonts w:cstheme="minorHAnsi"/>
          <w:sz w:val="22"/>
          <w:szCs w:val="22"/>
        </w:rPr>
        <w:t>Sustainable</w:t>
      </w:r>
      <w:proofErr w:type="spellEnd"/>
      <w:r w:rsidRPr="00486B31">
        <w:rPr>
          <w:rFonts w:cstheme="minorHAnsi"/>
          <w:sz w:val="22"/>
          <w:szCs w:val="22"/>
        </w:rPr>
        <w:t xml:space="preserve"> </w:t>
      </w:r>
      <w:proofErr w:type="spellStart"/>
      <w:r w:rsidRPr="00486B31">
        <w:rPr>
          <w:rFonts w:cstheme="minorHAnsi"/>
          <w:sz w:val="22"/>
          <w:szCs w:val="22"/>
        </w:rPr>
        <w:t>Development</w:t>
      </w:r>
      <w:proofErr w:type="spellEnd"/>
      <w:r w:rsidRPr="00486B31">
        <w:rPr>
          <w:rFonts w:cstheme="minorHAnsi"/>
          <w:sz w:val="22"/>
          <w:szCs w:val="22"/>
        </w:rPr>
        <w:t xml:space="preserve"> Goals: </w:t>
      </w:r>
      <w:proofErr w:type="spellStart"/>
      <w:r w:rsidRPr="00486B31">
        <w:rPr>
          <w:rFonts w:cstheme="minorHAnsi"/>
          <w:sz w:val="22"/>
          <w:szCs w:val="22"/>
        </w:rPr>
        <w:t>From</w:t>
      </w:r>
      <w:proofErr w:type="spellEnd"/>
      <w:r w:rsidRPr="00486B31">
        <w:rPr>
          <w:rFonts w:cstheme="minorHAnsi"/>
          <w:sz w:val="22"/>
          <w:szCs w:val="22"/>
        </w:rPr>
        <w:t xml:space="preserve"> </w:t>
      </w:r>
      <w:proofErr w:type="spellStart"/>
      <w:r w:rsidRPr="00486B31">
        <w:rPr>
          <w:rFonts w:cstheme="minorHAnsi"/>
          <w:sz w:val="22"/>
          <w:szCs w:val="22"/>
        </w:rPr>
        <w:t>ashes</w:t>
      </w:r>
      <w:proofErr w:type="spellEnd"/>
      <w:r w:rsidRPr="00486B31">
        <w:rPr>
          <w:rFonts w:cstheme="minorHAnsi"/>
          <w:sz w:val="22"/>
          <w:szCs w:val="22"/>
        </w:rPr>
        <w:t xml:space="preserve"> to </w:t>
      </w:r>
      <w:proofErr w:type="spellStart"/>
      <w:r w:rsidRPr="00486B31">
        <w:rPr>
          <w:rFonts w:cstheme="minorHAnsi"/>
          <w:sz w:val="22"/>
          <w:szCs w:val="22"/>
        </w:rPr>
        <w:t>reconciliation</w:t>
      </w:r>
      <w:proofErr w:type="spellEnd"/>
      <w:r w:rsidRPr="00486B31">
        <w:rPr>
          <w:rFonts w:cstheme="minorHAnsi"/>
          <w:sz w:val="22"/>
          <w:szCs w:val="22"/>
        </w:rPr>
        <w:t xml:space="preserve">, reconstruction and </w:t>
      </w:r>
      <w:proofErr w:type="spellStart"/>
      <w:r w:rsidRPr="00486B31">
        <w:rPr>
          <w:rFonts w:cstheme="minorHAnsi"/>
          <w:sz w:val="22"/>
          <w:szCs w:val="22"/>
        </w:rPr>
        <w:t>sustainable</w:t>
      </w:r>
      <w:proofErr w:type="spellEnd"/>
      <w:r w:rsidRPr="00486B31">
        <w:rPr>
          <w:rFonts w:cstheme="minorHAnsi"/>
          <w:sz w:val="22"/>
          <w:szCs w:val="22"/>
        </w:rPr>
        <w:t xml:space="preserve"> </w:t>
      </w:r>
      <w:proofErr w:type="spellStart"/>
      <w:r w:rsidRPr="00486B31">
        <w:rPr>
          <w:rFonts w:cstheme="minorHAnsi"/>
          <w:sz w:val="22"/>
          <w:szCs w:val="22"/>
        </w:rPr>
        <w:t>development</w:t>
      </w:r>
      <w:proofErr w:type="spellEnd"/>
      <w:r w:rsidRPr="00486B31">
        <w:rPr>
          <w:rFonts w:cstheme="minorHAnsi"/>
          <w:sz w:val="22"/>
          <w:szCs w:val="22"/>
        </w:rPr>
        <w:t xml:space="preserve">, </w:t>
      </w:r>
      <w:proofErr w:type="spellStart"/>
      <w:r w:rsidRPr="00486B31">
        <w:rPr>
          <w:rFonts w:cstheme="minorHAnsi"/>
          <w:sz w:val="22"/>
          <w:szCs w:val="22"/>
        </w:rPr>
        <w:t>Voluntary</w:t>
      </w:r>
      <w:proofErr w:type="spellEnd"/>
      <w:r w:rsidRPr="00486B31">
        <w:rPr>
          <w:rFonts w:cstheme="minorHAnsi"/>
          <w:sz w:val="22"/>
          <w:szCs w:val="22"/>
        </w:rPr>
        <w:t xml:space="preserve"> National </w:t>
      </w:r>
      <w:proofErr w:type="spellStart"/>
      <w:r w:rsidRPr="00486B31">
        <w:rPr>
          <w:rFonts w:cstheme="minorHAnsi"/>
          <w:sz w:val="22"/>
          <w:szCs w:val="22"/>
        </w:rPr>
        <w:t>Review</w:t>
      </w:r>
      <w:proofErr w:type="spellEnd"/>
      <w:r w:rsidRPr="00486B31">
        <w:rPr>
          <w:rFonts w:cstheme="minorHAnsi"/>
          <w:sz w:val="22"/>
          <w:szCs w:val="22"/>
        </w:rPr>
        <w:t xml:space="preserve"> of Timor-Leste 2019</w:t>
      </w:r>
      <w:bookmarkStart w:id="133" w:name="_Hlk34126760"/>
      <w:r>
        <w:rPr>
          <w:rFonts w:cstheme="minorHAnsi"/>
          <w:sz w:val="22"/>
          <w:szCs w:val="22"/>
        </w:rPr>
        <w:t>.</w:t>
      </w:r>
      <w:r w:rsidRPr="00486B31">
        <w:rPr>
          <w:rFonts w:cstheme="minorHAnsi"/>
          <w:sz w:val="22"/>
          <w:szCs w:val="22"/>
        </w:rPr>
        <w:t>”</w:t>
      </w:r>
      <w:bookmarkEnd w:id="133"/>
      <w:r>
        <w:rPr>
          <w:rFonts w:cstheme="minorHAnsi"/>
          <w:sz w:val="22"/>
          <w:szCs w:val="22"/>
        </w:rPr>
        <w:t xml:space="preserve"> </w:t>
      </w:r>
      <w:r w:rsidRPr="00486B31">
        <w:rPr>
          <w:rFonts w:cstheme="minorHAnsi"/>
          <w:sz w:val="22"/>
          <w:szCs w:val="22"/>
        </w:rPr>
        <w:t>Dili</w:t>
      </w:r>
      <w:r>
        <w:rPr>
          <w:rFonts w:cstheme="minorHAnsi"/>
          <w:sz w:val="22"/>
          <w:szCs w:val="22"/>
        </w:rPr>
        <w:t>,</w:t>
      </w:r>
      <w:r w:rsidRPr="00486B31">
        <w:rPr>
          <w:rFonts w:cstheme="minorHAnsi"/>
          <w:sz w:val="22"/>
          <w:szCs w:val="22"/>
        </w:rPr>
        <w:t xml:space="preserve"> Timor-Leste</w:t>
      </w:r>
      <w:r>
        <w:rPr>
          <w:rFonts w:cstheme="minorHAnsi"/>
          <w:sz w:val="22"/>
          <w:szCs w:val="22"/>
        </w:rPr>
        <w:t>, 2019</w:t>
      </w:r>
      <w:r w:rsidRPr="00486B31">
        <w:rPr>
          <w:rFonts w:cstheme="minorHAnsi"/>
          <w:sz w:val="22"/>
          <w:szCs w:val="22"/>
        </w:rPr>
        <w:t>.</w:t>
      </w:r>
      <w:bookmarkEnd w:id="132"/>
    </w:p>
    <w:p w14:paraId="50F45E47" w14:textId="77777777" w:rsidR="00661B9C" w:rsidRPr="00EE667B" w:rsidRDefault="00661B9C" w:rsidP="00661B9C">
      <w:pPr>
        <w:rPr>
          <w:rFonts w:cstheme="minorHAnsi"/>
          <w:color w:val="000000" w:themeColor="text1"/>
          <w:sz w:val="22"/>
          <w:szCs w:val="22"/>
          <w:shd w:val="clear" w:color="auto" w:fill="FFFFFF"/>
        </w:rPr>
      </w:pPr>
    </w:p>
    <w:p w14:paraId="49D1A090" w14:textId="77777777" w:rsidR="00661B9C" w:rsidRPr="00EE667B" w:rsidRDefault="00661B9C" w:rsidP="00661B9C">
      <w:pPr>
        <w:rPr>
          <w:rFonts w:cstheme="minorHAnsi"/>
          <w:color w:val="000000" w:themeColor="text1"/>
          <w:sz w:val="22"/>
          <w:szCs w:val="22"/>
          <w:shd w:val="clear" w:color="auto" w:fill="FFFFFF"/>
        </w:rPr>
      </w:pPr>
    </w:p>
    <w:p w14:paraId="0A09804B"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Government of Timor-Leste (</w:t>
      </w:r>
      <w:proofErr w:type="spellStart"/>
      <w:r>
        <w:rPr>
          <w:rFonts w:asciiTheme="minorHAnsi" w:hAnsiTheme="minorHAnsi" w:cstheme="minorHAnsi"/>
          <w:sz w:val="22"/>
          <w:szCs w:val="22"/>
        </w:rPr>
        <w:t>GoTL</w:t>
      </w:r>
      <w:proofErr w:type="spellEnd"/>
      <w:r>
        <w:rPr>
          <w:rFonts w:asciiTheme="minorHAnsi" w:hAnsiTheme="minorHAnsi" w:cstheme="minorHAnsi"/>
          <w:sz w:val="22"/>
          <w:szCs w:val="22"/>
        </w:rPr>
        <w:t xml:space="preserve">), Report on Education, 2018. </w:t>
      </w:r>
    </w:p>
    <w:p w14:paraId="298B77C4"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667E6EB8"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1B6A84DA"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Government of Timor-Leste (</w:t>
      </w:r>
      <w:proofErr w:type="spellStart"/>
      <w:r>
        <w:rPr>
          <w:rFonts w:asciiTheme="minorHAnsi" w:hAnsiTheme="minorHAnsi" w:cstheme="minorHAnsi"/>
          <w:sz w:val="22"/>
          <w:szCs w:val="22"/>
        </w:rPr>
        <w:t>GoTL</w:t>
      </w:r>
      <w:proofErr w:type="spellEnd"/>
      <w:r>
        <w:rPr>
          <w:rFonts w:asciiTheme="minorHAnsi" w:hAnsiTheme="minorHAnsi" w:cstheme="minorHAnsi"/>
          <w:sz w:val="22"/>
          <w:szCs w:val="22"/>
        </w:rPr>
        <w:t xml:space="preserve">), Review of Strategic Plan, 2017. </w:t>
      </w:r>
    </w:p>
    <w:p w14:paraId="60776A46"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6034D96B"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6685BD7A" w14:textId="77777777" w:rsidR="00661B9C" w:rsidRPr="000B54FF"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sz w:val="22"/>
          <w:szCs w:val="22"/>
        </w:rPr>
      </w:pPr>
      <w:bookmarkStart w:id="134" w:name="_Hlk34124388"/>
      <w:bookmarkStart w:id="135" w:name="_Hlk34057536"/>
      <w:r w:rsidRPr="000B54FF">
        <w:rPr>
          <w:rFonts w:asciiTheme="minorHAnsi" w:hAnsiTheme="minorHAnsi" w:cstheme="minorHAnsi"/>
          <w:sz w:val="22"/>
          <w:szCs w:val="22"/>
        </w:rPr>
        <w:t>Government of Timor-Leste (</w:t>
      </w:r>
      <w:proofErr w:type="spellStart"/>
      <w:r w:rsidRPr="000B54FF">
        <w:rPr>
          <w:rFonts w:asciiTheme="minorHAnsi" w:hAnsiTheme="minorHAnsi" w:cstheme="minorHAnsi"/>
          <w:sz w:val="22"/>
          <w:szCs w:val="22"/>
        </w:rPr>
        <w:t>GoTL</w:t>
      </w:r>
      <w:proofErr w:type="spellEnd"/>
      <w:r w:rsidRPr="000B54FF">
        <w:rPr>
          <w:rFonts w:asciiTheme="minorHAnsi" w:hAnsiTheme="minorHAnsi" w:cstheme="minorHAnsi"/>
          <w:sz w:val="22"/>
          <w:szCs w:val="22"/>
        </w:rPr>
        <w:t xml:space="preserve">) (2010a), </w:t>
      </w:r>
      <w:r>
        <w:rPr>
          <w:rFonts w:asciiTheme="minorHAnsi" w:hAnsiTheme="minorHAnsi" w:cstheme="minorHAnsi"/>
          <w:sz w:val="22"/>
          <w:szCs w:val="22"/>
        </w:rPr>
        <w:t>“</w:t>
      </w:r>
      <w:r w:rsidRPr="000B54FF">
        <w:rPr>
          <w:rFonts w:asciiTheme="minorHAnsi" w:hAnsiTheme="minorHAnsi" w:cstheme="minorHAnsi"/>
          <w:sz w:val="22"/>
          <w:szCs w:val="22"/>
        </w:rPr>
        <w:t>Strategic Development Plan, 2011–2030</w:t>
      </w:r>
      <w:r>
        <w:rPr>
          <w:rFonts w:asciiTheme="minorHAnsi" w:hAnsiTheme="minorHAnsi" w:cstheme="minorHAnsi"/>
          <w:sz w:val="22"/>
          <w:szCs w:val="22"/>
        </w:rPr>
        <w:t>.“</w:t>
      </w:r>
      <w:r w:rsidRPr="000B54FF">
        <w:rPr>
          <w:rFonts w:asciiTheme="minorHAnsi" w:hAnsiTheme="minorHAnsi" w:cstheme="minorHAnsi"/>
          <w:sz w:val="22"/>
          <w:szCs w:val="22"/>
        </w:rPr>
        <w:t xml:space="preserve"> Dili</w:t>
      </w:r>
      <w:r>
        <w:rPr>
          <w:rFonts w:asciiTheme="minorHAnsi" w:hAnsiTheme="minorHAnsi" w:cstheme="minorHAnsi"/>
          <w:sz w:val="22"/>
          <w:szCs w:val="22"/>
        </w:rPr>
        <w:t>,</w:t>
      </w:r>
      <w:r w:rsidRPr="000B54FF">
        <w:rPr>
          <w:rFonts w:asciiTheme="minorHAnsi" w:hAnsiTheme="minorHAnsi" w:cstheme="minorHAnsi"/>
          <w:sz w:val="22"/>
          <w:szCs w:val="22"/>
        </w:rPr>
        <w:t xml:space="preserve"> Office of the Prime Minister</w:t>
      </w:r>
      <w:r>
        <w:rPr>
          <w:rFonts w:asciiTheme="minorHAnsi" w:hAnsiTheme="minorHAnsi" w:cstheme="minorHAnsi"/>
          <w:sz w:val="22"/>
          <w:szCs w:val="22"/>
        </w:rPr>
        <w:t>, 2010</w:t>
      </w:r>
      <w:r w:rsidRPr="000B54FF">
        <w:rPr>
          <w:rFonts w:asciiTheme="minorHAnsi" w:hAnsiTheme="minorHAnsi" w:cstheme="minorHAnsi"/>
          <w:sz w:val="22"/>
          <w:szCs w:val="22"/>
        </w:rPr>
        <w:t>.</w:t>
      </w:r>
      <w:bookmarkEnd w:id="134"/>
    </w:p>
    <w:bookmarkEnd w:id="135"/>
    <w:p w14:paraId="33C2E8D5" w14:textId="77777777" w:rsidR="00661B9C" w:rsidRPr="006D1739"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lang w:val="fr-FR"/>
        </w:rPr>
      </w:pPr>
    </w:p>
    <w:p w14:paraId="576B025A"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3F4621C5" w14:textId="77777777" w:rsidR="00661B9C" w:rsidRDefault="00661B9C" w:rsidP="00661B9C">
      <w:pPr>
        <w:ind w:left="720" w:hanging="720"/>
        <w:rPr>
          <w:rFonts w:cs="Arial"/>
          <w:sz w:val="22"/>
          <w:szCs w:val="22"/>
        </w:rPr>
      </w:pPr>
      <w:bookmarkStart w:id="136" w:name="_Hlk34124306"/>
      <w:bookmarkStart w:id="137" w:name="_Hlk34054705"/>
      <w:proofErr w:type="spellStart"/>
      <w:r>
        <w:rPr>
          <w:rFonts w:cs="Arial"/>
          <w:sz w:val="22"/>
          <w:szCs w:val="22"/>
        </w:rPr>
        <w:t>Government</w:t>
      </w:r>
      <w:proofErr w:type="spellEnd"/>
      <w:r>
        <w:rPr>
          <w:rFonts w:cs="Arial"/>
          <w:sz w:val="22"/>
          <w:szCs w:val="22"/>
        </w:rPr>
        <w:t xml:space="preserve"> of Timor-Leste (</w:t>
      </w:r>
      <w:proofErr w:type="spellStart"/>
      <w:r>
        <w:rPr>
          <w:rFonts w:cs="Arial"/>
          <w:sz w:val="22"/>
          <w:szCs w:val="22"/>
        </w:rPr>
        <w:t>GoTL</w:t>
      </w:r>
      <w:proofErr w:type="spellEnd"/>
      <w:r>
        <w:rPr>
          <w:rFonts w:cs="Arial"/>
          <w:sz w:val="22"/>
          <w:szCs w:val="22"/>
        </w:rPr>
        <w:t xml:space="preserve">) and United Nations </w:t>
      </w:r>
      <w:proofErr w:type="spellStart"/>
      <w:r>
        <w:rPr>
          <w:rFonts w:cs="Arial"/>
          <w:sz w:val="22"/>
          <w:szCs w:val="22"/>
        </w:rPr>
        <w:t>Development</w:t>
      </w:r>
      <w:proofErr w:type="spellEnd"/>
      <w:r>
        <w:rPr>
          <w:rFonts w:cs="Arial"/>
          <w:sz w:val="22"/>
          <w:szCs w:val="22"/>
        </w:rPr>
        <w:t xml:space="preserve"> Programme (UNDP), National Risk </w:t>
      </w:r>
      <w:proofErr w:type="spellStart"/>
      <w:r>
        <w:rPr>
          <w:rFonts w:cs="Arial"/>
          <w:sz w:val="22"/>
          <w:szCs w:val="22"/>
        </w:rPr>
        <w:t>Assessment</w:t>
      </w:r>
      <w:proofErr w:type="spellEnd"/>
      <w:r>
        <w:rPr>
          <w:rFonts w:cs="Arial"/>
          <w:sz w:val="22"/>
          <w:szCs w:val="22"/>
        </w:rPr>
        <w:t xml:space="preserve"> and Mapping, 2013. </w:t>
      </w:r>
    </w:p>
    <w:bookmarkEnd w:id="136"/>
    <w:p w14:paraId="008A4BB3" w14:textId="77777777" w:rsidR="00661B9C" w:rsidRDefault="00661B9C" w:rsidP="00661B9C">
      <w:pPr>
        <w:ind w:left="720" w:hanging="720"/>
        <w:rPr>
          <w:rFonts w:cs="Arial"/>
          <w:sz w:val="22"/>
          <w:szCs w:val="22"/>
        </w:rPr>
      </w:pPr>
    </w:p>
    <w:p w14:paraId="5486D04B" w14:textId="77777777" w:rsidR="00661B9C" w:rsidRDefault="00661B9C" w:rsidP="00661B9C">
      <w:pPr>
        <w:ind w:left="720" w:hanging="720"/>
        <w:rPr>
          <w:rFonts w:cs="Arial"/>
          <w:sz w:val="22"/>
          <w:szCs w:val="22"/>
        </w:rPr>
      </w:pPr>
    </w:p>
    <w:p w14:paraId="52F1A4EA" w14:textId="77777777" w:rsidR="00661B9C" w:rsidRPr="00C425D6" w:rsidRDefault="00661B9C" w:rsidP="00661B9C">
      <w:pPr>
        <w:ind w:left="720" w:hanging="720"/>
        <w:rPr>
          <w:rFonts w:cs="Arial"/>
          <w:sz w:val="22"/>
          <w:szCs w:val="22"/>
        </w:rPr>
      </w:pPr>
      <w:bookmarkStart w:id="138" w:name="_Hlk34125787"/>
      <w:r w:rsidRPr="00C425D6">
        <w:rPr>
          <w:rFonts w:cs="Arial"/>
          <w:sz w:val="22"/>
          <w:szCs w:val="22"/>
        </w:rPr>
        <w:t xml:space="preserve">International </w:t>
      </w:r>
      <w:proofErr w:type="spellStart"/>
      <w:r w:rsidRPr="00C425D6">
        <w:rPr>
          <w:rFonts w:cs="Arial"/>
          <w:sz w:val="22"/>
          <w:szCs w:val="22"/>
        </w:rPr>
        <w:t>Monetary</w:t>
      </w:r>
      <w:proofErr w:type="spellEnd"/>
      <w:r w:rsidRPr="00C425D6">
        <w:rPr>
          <w:rFonts w:cs="Arial"/>
          <w:sz w:val="22"/>
          <w:szCs w:val="22"/>
        </w:rPr>
        <w:t xml:space="preserve"> </w:t>
      </w:r>
      <w:proofErr w:type="spellStart"/>
      <w:r w:rsidRPr="00C425D6">
        <w:rPr>
          <w:rFonts w:cs="Arial"/>
          <w:sz w:val="22"/>
          <w:szCs w:val="22"/>
        </w:rPr>
        <w:t>Fund</w:t>
      </w:r>
      <w:proofErr w:type="spellEnd"/>
      <w:r w:rsidRPr="00C425D6">
        <w:rPr>
          <w:rFonts w:cs="Arial"/>
          <w:sz w:val="22"/>
          <w:szCs w:val="22"/>
        </w:rPr>
        <w:t xml:space="preserve"> (IMF)</w:t>
      </w:r>
      <w:r>
        <w:rPr>
          <w:rFonts w:cs="Arial"/>
          <w:sz w:val="22"/>
          <w:szCs w:val="22"/>
        </w:rPr>
        <w:t>,</w:t>
      </w:r>
      <w:r w:rsidRPr="00C425D6">
        <w:rPr>
          <w:rFonts w:cs="Arial"/>
          <w:sz w:val="22"/>
          <w:szCs w:val="22"/>
        </w:rPr>
        <w:t xml:space="preserve"> Democratic </w:t>
      </w:r>
      <w:proofErr w:type="spellStart"/>
      <w:r w:rsidRPr="00C425D6">
        <w:rPr>
          <w:rFonts w:cs="Arial"/>
          <w:sz w:val="22"/>
          <w:szCs w:val="22"/>
        </w:rPr>
        <w:t>Republic</w:t>
      </w:r>
      <w:proofErr w:type="spellEnd"/>
      <w:r w:rsidRPr="00C425D6">
        <w:rPr>
          <w:rFonts w:cs="Arial"/>
          <w:sz w:val="22"/>
          <w:szCs w:val="22"/>
        </w:rPr>
        <w:t xml:space="preserve"> of Timor-Leste</w:t>
      </w:r>
      <w:r>
        <w:rPr>
          <w:rFonts w:cs="Arial"/>
          <w:sz w:val="22"/>
          <w:szCs w:val="22"/>
        </w:rPr>
        <w:t>,</w:t>
      </w:r>
      <w:r w:rsidRPr="00C425D6">
        <w:rPr>
          <w:rFonts w:cs="Arial"/>
          <w:sz w:val="22"/>
          <w:szCs w:val="22"/>
        </w:rPr>
        <w:t xml:space="preserve"> Staff report for the 2019 Article IV consultation</w:t>
      </w:r>
      <w:r>
        <w:rPr>
          <w:rFonts w:cs="Arial"/>
          <w:sz w:val="22"/>
          <w:szCs w:val="22"/>
        </w:rPr>
        <w:t xml:space="preserve">, 2019, </w:t>
      </w:r>
      <w:proofErr w:type="spellStart"/>
      <w:r>
        <w:rPr>
          <w:rFonts w:cs="Arial"/>
          <w:sz w:val="22"/>
          <w:szCs w:val="22"/>
        </w:rPr>
        <w:t>available</w:t>
      </w:r>
      <w:proofErr w:type="spellEnd"/>
      <w:r>
        <w:rPr>
          <w:rFonts w:cs="Arial"/>
          <w:sz w:val="22"/>
          <w:szCs w:val="22"/>
        </w:rPr>
        <w:t xml:space="preserve"> </w:t>
      </w:r>
      <w:hyperlink r:id="rId49" w:history="1">
        <w:r w:rsidRPr="00C425D6">
          <w:rPr>
            <w:rStyle w:val="Hyperlink"/>
            <w:rFonts w:cs="Arial"/>
            <w:sz w:val="22"/>
            <w:szCs w:val="22"/>
          </w:rPr>
          <w:t>https://www.imf.org/en/Publications/CR/Issues/2019/05/07/Democratic-Republic-of-Timor-Leste-2019-Article-IV-Consultation-Press-Release-Staff-Report-46874</w:t>
        </w:r>
      </w:hyperlink>
      <w:bookmarkEnd w:id="138"/>
      <w:r w:rsidRPr="00C425D6">
        <w:rPr>
          <w:rFonts w:cs="Arial"/>
          <w:sz w:val="22"/>
          <w:szCs w:val="22"/>
        </w:rPr>
        <w:t xml:space="preserve"> </w:t>
      </w:r>
    </w:p>
    <w:p w14:paraId="1B5077E2" w14:textId="77777777" w:rsidR="00661B9C" w:rsidRDefault="00661B9C" w:rsidP="00661B9C">
      <w:pPr>
        <w:pStyle w:val="NormalWeb"/>
        <w:shd w:val="clear" w:color="auto" w:fill="FFFFFF" w:themeFill="background1"/>
        <w:spacing w:before="0" w:beforeAutospacing="0" w:after="0" w:afterAutospacing="0"/>
        <w:ind w:left="720" w:hanging="720"/>
        <w:rPr>
          <w:rFonts w:asciiTheme="minorHAnsi" w:hAnsiTheme="minorHAnsi" w:cstheme="minorHAnsi"/>
          <w:sz w:val="22"/>
          <w:szCs w:val="22"/>
          <w:lang w:val="fr-FR"/>
        </w:rPr>
      </w:pPr>
    </w:p>
    <w:p w14:paraId="7913C887" w14:textId="77777777" w:rsidR="00661B9C" w:rsidRDefault="00661B9C" w:rsidP="00661B9C">
      <w:pPr>
        <w:pStyle w:val="NormalWeb"/>
        <w:shd w:val="clear" w:color="auto" w:fill="FFFFFF" w:themeFill="background1"/>
        <w:spacing w:before="0" w:beforeAutospacing="0" w:after="0" w:afterAutospacing="0"/>
        <w:ind w:left="720" w:hanging="720"/>
        <w:rPr>
          <w:rFonts w:asciiTheme="minorHAnsi" w:hAnsiTheme="minorHAnsi" w:cstheme="minorHAnsi"/>
          <w:sz w:val="22"/>
          <w:szCs w:val="22"/>
          <w:lang w:val="fr-FR"/>
        </w:rPr>
      </w:pPr>
    </w:p>
    <w:p w14:paraId="0700E26D" w14:textId="77777777" w:rsidR="00661B9C" w:rsidRDefault="00661B9C" w:rsidP="00661B9C">
      <w:pPr>
        <w:pStyle w:val="NormalWeb"/>
        <w:shd w:val="clear" w:color="auto" w:fill="FFFFFF" w:themeFill="background1"/>
        <w:spacing w:before="0" w:beforeAutospacing="0" w:after="0" w:afterAutospacing="0"/>
        <w:ind w:left="720" w:hanging="720"/>
        <w:rPr>
          <w:rFonts w:asciiTheme="minorHAnsi" w:hAnsiTheme="minorHAnsi" w:cstheme="minorHAnsi"/>
          <w:sz w:val="22"/>
          <w:szCs w:val="22"/>
        </w:rPr>
      </w:pPr>
      <w:bookmarkStart w:id="139" w:name="_Hlk34124608"/>
      <w:r>
        <w:rPr>
          <w:rFonts w:asciiTheme="minorHAnsi" w:hAnsiTheme="minorHAnsi" w:cstheme="minorHAnsi"/>
          <w:sz w:val="22"/>
          <w:szCs w:val="22"/>
        </w:rPr>
        <w:t xml:space="preserve">Ministry of Agriculture and Fisheries (MAF), “The Integrated Food Security Phase Classification (IPC).” accessed January 22, 2019, available </w:t>
      </w:r>
      <w:hyperlink r:id="rId50" w:history="1">
        <w:r w:rsidRPr="00C427ED">
          <w:rPr>
            <w:rStyle w:val="Hyperlink"/>
            <w:rFonts w:asciiTheme="minorHAnsi" w:hAnsiTheme="minorHAnsi" w:cstheme="minorHAnsi"/>
            <w:sz w:val="22"/>
            <w:szCs w:val="22"/>
          </w:rPr>
          <w:t>http://www.ipcinfo.org/fileadmin/user_upload/ipcinfo/docs/3_IPC_Timor%20Leste_CFI_20182023_English.pdf</w:t>
        </w:r>
      </w:hyperlink>
      <w:bookmarkEnd w:id="137"/>
      <w:bookmarkEnd w:id="139"/>
      <w:r>
        <w:rPr>
          <w:rFonts w:asciiTheme="minorHAnsi" w:hAnsiTheme="minorHAnsi" w:cstheme="minorHAnsi"/>
          <w:sz w:val="22"/>
          <w:szCs w:val="22"/>
        </w:rPr>
        <w:t xml:space="preserve"> </w:t>
      </w:r>
    </w:p>
    <w:p w14:paraId="47FB1AFB"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0746EF8C"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4760719A" w14:textId="77777777" w:rsidR="00661B9C" w:rsidRDefault="00661B9C" w:rsidP="00661B9C">
      <w:pPr>
        <w:pStyle w:val="NormalWeb"/>
        <w:shd w:val="clear" w:color="auto" w:fill="FFFFFF" w:themeFill="background1"/>
        <w:spacing w:before="0" w:beforeAutospacing="0" w:after="0" w:afterAutospacing="0"/>
        <w:ind w:left="810" w:hanging="810"/>
        <w:jc w:val="both"/>
        <w:rPr>
          <w:rFonts w:asciiTheme="minorHAnsi" w:hAnsiTheme="minorHAnsi" w:cstheme="minorHAnsi"/>
          <w:sz w:val="22"/>
          <w:szCs w:val="22"/>
        </w:rPr>
      </w:pPr>
      <w:bookmarkStart w:id="140" w:name="_Hlk34122927"/>
      <w:r>
        <w:rPr>
          <w:rFonts w:asciiTheme="minorHAnsi" w:hAnsiTheme="minorHAnsi" w:cstheme="minorHAnsi"/>
          <w:sz w:val="22"/>
          <w:szCs w:val="22"/>
        </w:rPr>
        <w:t xml:space="preserve">Ministry of Agriculture and Fisheries (MAF), General Directorate of Forest, Coffee and Industrial Crops, “Draft National Action Programme to Combat Land Degradation.” 2017. </w:t>
      </w:r>
      <w:bookmarkEnd w:id="140"/>
    </w:p>
    <w:p w14:paraId="59F2ED12"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577DBA5B"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0D6327B4" w14:textId="77777777" w:rsidR="00661B9C" w:rsidRDefault="00661B9C" w:rsidP="00661B9C">
      <w:pPr>
        <w:ind w:left="720" w:hanging="720"/>
        <w:rPr>
          <w:rFonts w:cstheme="minorHAnsi"/>
          <w:color w:val="000000" w:themeColor="text1"/>
          <w:sz w:val="22"/>
          <w:szCs w:val="22"/>
          <w:shd w:val="clear" w:color="auto" w:fill="FFFFFF"/>
        </w:rPr>
      </w:pPr>
      <w:r>
        <w:rPr>
          <w:rFonts w:cstheme="minorHAnsi"/>
          <w:color w:val="000000" w:themeColor="text1"/>
          <w:sz w:val="22"/>
          <w:szCs w:val="22"/>
          <w:shd w:val="clear" w:color="auto" w:fill="FFFFFF"/>
        </w:rPr>
        <w:t>Ministry of Finance (</w:t>
      </w:r>
      <w:proofErr w:type="spellStart"/>
      <w:r>
        <w:rPr>
          <w:rFonts w:cstheme="minorHAnsi"/>
          <w:color w:val="000000" w:themeColor="text1"/>
          <w:sz w:val="22"/>
          <w:szCs w:val="22"/>
          <w:shd w:val="clear" w:color="auto" w:fill="FFFFFF"/>
        </w:rPr>
        <w:t>MoF</w:t>
      </w:r>
      <w:proofErr w:type="spellEnd"/>
      <w:r>
        <w:rPr>
          <w:rFonts w:cstheme="minorHAnsi"/>
          <w:color w:val="000000" w:themeColor="text1"/>
          <w:sz w:val="22"/>
          <w:szCs w:val="22"/>
          <w:shd w:val="clear" w:color="auto" w:fill="FFFFFF"/>
        </w:rPr>
        <w:t xml:space="preserve">), General </w:t>
      </w:r>
      <w:proofErr w:type="spellStart"/>
      <w:r>
        <w:rPr>
          <w:rFonts w:cstheme="minorHAnsi"/>
          <w:color w:val="000000" w:themeColor="text1"/>
          <w:sz w:val="22"/>
          <w:szCs w:val="22"/>
          <w:shd w:val="clear" w:color="auto" w:fill="FFFFFF"/>
        </w:rPr>
        <w:t>Directorate</w:t>
      </w:r>
      <w:proofErr w:type="spellEnd"/>
      <w:r>
        <w:rPr>
          <w:rFonts w:cstheme="minorHAnsi"/>
          <w:color w:val="000000" w:themeColor="text1"/>
          <w:sz w:val="22"/>
          <w:szCs w:val="22"/>
          <w:shd w:val="clear" w:color="auto" w:fill="FFFFFF"/>
        </w:rPr>
        <w:t xml:space="preserve"> of </w:t>
      </w:r>
      <w:proofErr w:type="spellStart"/>
      <w:r>
        <w:rPr>
          <w:rFonts w:cstheme="minorHAnsi"/>
          <w:color w:val="000000" w:themeColor="text1"/>
          <w:sz w:val="22"/>
          <w:szCs w:val="22"/>
          <w:shd w:val="clear" w:color="auto" w:fill="FFFFFF"/>
        </w:rPr>
        <w:t>Statistics</w:t>
      </w:r>
      <w:proofErr w:type="spellEnd"/>
      <w:r>
        <w:rPr>
          <w:rFonts w:cstheme="minorHAnsi"/>
          <w:color w:val="000000" w:themeColor="text1"/>
          <w:sz w:val="22"/>
          <w:szCs w:val="22"/>
          <w:shd w:val="clear" w:color="auto" w:fill="FFFFFF"/>
        </w:rPr>
        <w:t xml:space="preserve"> (GDS), </w:t>
      </w:r>
      <w:proofErr w:type="spellStart"/>
      <w:r>
        <w:rPr>
          <w:rFonts w:cstheme="minorHAnsi"/>
          <w:color w:val="000000" w:themeColor="text1"/>
          <w:sz w:val="22"/>
          <w:szCs w:val="22"/>
          <w:shd w:val="clear" w:color="auto" w:fill="FFFFFF"/>
        </w:rPr>
        <w:t>Census</w:t>
      </w:r>
      <w:proofErr w:type="spellEnd"/>
      <w:r>
        <w:rPr>
          <w:rFonts w:cstheme="minorHAnsi"/>
          <w:color w:val="000000" w:themeColor="text1"/>
          <w:sz w:val="22"/>
          <w:szCs w:val="22"/>
          <w:shd w:val="clear" w:color="auto" w:fill="FFFFFF"/>
        </w:rPr>
        <w:t>, 2015.</w:t>
      </w:r>
    </w:p>
    <w:p w14:paraId="2FF6D46C" w14:textId="77777777" w:rsidR="00661B9C" w:rsidRDefault="00661B9C" w:rsidP="00661B9C">
      <w:pPr>
        <w:ind w:left="720" w:hanging="720"/>
        <w:rPr>
          <w:rFonts w:cstheme="minorHAnsi"/>
          <w:color w:val="000000" w:themeColor="text1"/>
          <w:sz w:val="22"/>
          <w:szCs w:val="22"/>
          <w:shd w:val="clear" w:color="auto" w:fill="FFFFFF"/>
        </w:rPr>
      </w:pPr>
    </w:p>
    <w:p w14:paraId="2B3FF745" w14:textId="77777777" w:rsidR="00661B9C" w:rsidRDefault="00661B9C" w:rsidP="00661B9C">
      <w:pPr>
        <w:ind w:left="720" w:hanging="720"/>
        <w:rPr>
          <w:rFonts w:cstheme="minorHAnsi"/>
          <w:color w:val="000000" w:themeColor="text1"/>
          <w:sz w:val="22"/>
          <w:szCs w:val="22"/>
          <w:shd w:val="clear" w:color="auto" w:fill="FFFFFF"/>
        </w:rPr>
      </w:pPr>
    </w:p>
    <w:p w14:paraId="4FFDE935" w14:textId="77777777" w:rsidR="00661B9C" w:rsidRDefault="00661B9C" w:rsidP="00661B9C">
      <w:pPr>
        <w:ind w:left="720" w:hanging="720"/>
        <w:rPr>
          <w:rFonts w:cstheme="minorHAnsi"/>
          <w:color w:val="000000" w:themeColor="text1"/>
          <w:sz w:val="22"/>
          <w:szCs w:val="22"/>
          <w:shd w:val="clear" w:color="auto" w:fill="FFFFFF"/>
        </w:rPr>
      </w:pPr>
      <w:r>
        <w:rPr>
          <w:rFonts w:cstheme="minorHAnsi"/>
          <w:color w:val="000000" w:themeColor="text1"/>
          <w:sz w:val="22"/>
          <w:szCs w:val="22"/>
          <w:shd w:val="clear" w:color="auto" w:fill="FFFFFF"/>
        </w:rPr>
        <w:t>Ministry of Finance (</w:t>
      </w:r>
      <w:proofErr w:type="spellStart"/>
      <w:r>
        <w:rPr>
          <w:rFonts w:cstheme="minorHAnsi"/>
          <w:color w:val="000000" w:themeColor="text1"/>
          <w:sz w:val="22"/>
          <w:szCs w:val="22"/>
          <w:shd w:val="clear" w:color="auto" w:fill="FFFFFF"/>
        </w:rPr>
        <w:t>MoF</w:t>
      </w:r>
      <w:proofErr w:type="spellEnd"/>
      <w:r>
        <w:rPr>
          <w:rFonts w:cstheme="minorHAnsi"/>
          <w:color w:val="000000" w:themeColor="text1"/>
          <w:sz w:val="22"/>
          <w:szCs w:val="22"/>
          <w:shd w:val="clear" w:color="auto" w:fill="FFFFFF"/>
        </w:rPr>
        <w:t xml:space="preserve">), General </w:t>
      </w:r>
      <w:proofErr w:type="spellStart"/>
      <w:r>
        <w:rPr>
          <w:rFonts w:cstheme="minorHAnsi"/>
          <w:color w:val="000000" w:themeColor="text1"/>
          <w:sz w:val="22"/>
          <w:szCs w:val="22"/>
          <w:shd w:val="clear" w:color="auto" w:fill="FFFFFF"/>
        </w:rPr>
        <w:t>Directorate</w:t>
      </w:r>
      <w:proofErr w:type="spellEnd"/>
      <w:r>
        <w:rPr>
          <w:rFonts w:cstheme="minorHAnsi"/>
          <w:color w:val="000000" w:themeColor="text1"/>
          <w:sz w:val="22"/>
          <w:szCs w:val="22"/>
          <w:shd w:val="clear" w:color="auto" w:fill="FFFFFF"/>
        </w:rPr>
        <w:t xml:space="preserve"> of </w:t>
      </w:r>
      <w:proofErr w:type="spellStart"/>
      <w:r>
        <w:rPr>
          <w:rFonts w:cstheme="minorHAnsi"/>
          <w:color w:val="000000" w:themeColor="text1"/>
          <w:sz w:val="22"/>
          <w:szCs w:val="22"/>
          <w:shd w:val="clear" w:color="auto" w:fill="FFFFFF"/>
        </w:rPr>
        <w:t>Statistics</w:t>
      </w:r>
      <w:proofErr w:type="spellEnd"/>
      <w:r>
        <w:rPr>
          <w:rFonts w:cstheme="minorHAnsi"/>
          <w:color w:val="000000" w:themeColor="text1"/>
          <w:sz w:val="22"/>
          <w:szCs w:val="22"/>
          <w:shd w:val="clear" w:color="auto" w:fill="FFFFFF"/>
        </w:rPr>
        <w:t xml:space="preserve"> (GDS), Labour Force Survey (LFS), 2010, 2013, 2016. </w:t>
      </w:r>
    </w:p>
    <w:p w14:paraId="5AE8799C" w14:textId="77777777" w:rsidR="00661B9C" w:rsidRDefault="00661B9C" w:rsidP="00661B9C">
      <w:pPr>
        <w:ind w:left="720" w:hanging="720"/>
        <w:rPr>
          <w:rFonts w:cstheme="minorHAnsi"/>
          <w:color w:val="000000" w:themeColor="text1"/>
          <w:sz w:val="22"/>
          <w:szCs w:val="22"/>
          <w:shd w:val="clear" w:color="auto" w:fill="FFFFFF"/>
        </w:rPr>
      </w:pPr>
    </w:p>
    <w:p w14:paraId="238E29F8" w14:textId="77777777" w:rsidR="00661B9C" w:rsidRDefault="00661B9C" w:rsidP="00661B9C">
      <w:pPr>
        <w:ind w:left="720" w:hanging="720"/>
        <w:rPr>
          <w:rFonts w:cstheme="minorHAnsi"/>
          <w:color w:val="000000" w:themeColor="text1"/>
          <w:sz w:val="22"/>
          <w:szCs w:val="22"/>
          <w:shd w:val="clear" w:color="auto" w:fill="FFFFFF"/>
        </w:rPr>
      </w:pPr>
    </w:p>
    <w:p w14:paraId="1FECCFD6" w14:textId="77777777" w:rsidR="00661B9C" w:rsidRDefault="00661B9C" w:rsidP="00661B9C">
      <w:pPr>
        <w:ind w:left="720" w:hanging="720"/>
        <w:rPr>
          <w:rFonts w:cstheme="minorHAnsi"/>
          <w:color w:val="000000" w:themeColor="text1"/>
          <w:sz w:val="22"/>
          <w:szCs w:val="22"/>
          <w:shd w:val="clear" w:color="auto" w:fill="FFFFFF"/>
        </w:rPr>
      </w:pPr>
      <w:r>
        <w:rPr>
          <w:rFonts w:cstheme="minorHAnsi"/>
          <w:color w:val="000000" w:themeColor="text1"/>
          <w:sz w:val="22"/>
          <w:szCs w:val="22"/>
          <w:shd w:val="clear" w:color="auto" w:fill="FFFFFF"/>
        </w:rPr>
        <w:t>Ministry of Finance (</w:t>
      </w:r>
      <w:proofErr w:type="spellStart"/>
      <w:r>
        <w:rPr>
          <w:rFonts w:cstheme="minorHAnsi"/>
          <w:color w:val="000000" w:themeColor="text1"/>
          <w:sz w:val="22"/>
          <w:szCs w:val="22"/>
          <w:shd w:val="clear" w:color="auto" w:fill="FFFFFF"/>
        </w:rPr>
        <w:t>MoF</w:t>
      </w:r>
      <w:proofErr w:type="spellEnd"/>
      <w:r>
        <w:rPr>
          <w:rFonts w:cstheme="minorHAnsi"/>
          <w:color w:val="000000" w:themeColor="text1"/>
          <w:sz w:val="22"/>
          <w:szCs w:val="22"/>
          <w:shd w:val="clear" w:color="auto" w:fill="FFFFFF"/>
        </w:rPr>
        <w:t xml:space="preserve">), General </w:t>
      </w:r>
      <w:proofErr w:type="spellStart"/>
      <w:r>
        <w:rPr>
          <w:rFonts w:cstheme="minorHAnsi"/>
          <w:color w:val="000000" w:themeColor="text1"/>
          <w:sz w:val="22"/>
          <w:szCs w:val="22"/>
          <w:shd w:val="clear" w:color="auto" w:fill="FFFFFF"/>
        </w:rPr>
        <w:t>Directorate</w:t>
      </w:r>
      <w:proofErr w:type="spellEnd"/>
      <w:r>
        <w:rPr>
          <w:rFonts w:cstheme="minorHAnsi"/>
          <w:color w:val="000000" w:themeColor="text1"/>
          <w:sz w:val="22"/>
          <w:szCs w:val="22"/>
          <w:shd w:val="clear" w:color="auto" w:fill="FFFFFF"/>
        </w:rPr>
        <w:t xml:space="preserve"> of </w:t>
      </w:r>
      <w:proofErr w:type="spellStart"/>
      <w:r>
        <w:rPr>
          <w:rFonts w:cstheme="minorHAnsi"/>
          <w:color w:val="000000" w:themeColor="text1"/>
          <w:sz w:val="22"/>
          <w:szCs w:val="22"/>
          <w:shd w:val="clear" w:color="auto" w:fill="FFFFFF"/>
        </w:rPr>
        <w:t>Statistics</w:t>
      </w:r>
      <w:proofErr w:type="spellEnd"/>
      <w:r>
        <w:rPr>
          <w:rFonts w:cstheme="minorHAnsi"/>
          <w:color w:val="000000" w:themeColor="text1"/>
          <w:sz w:val="22"/>
          <w:szCs w:val="22"/>
          <w:shd w:val="clear" w:color="auto" w:fill="FFFFFF"/>
        </w:rPr>
        <w:t xml:space="preserve"> (GDS) and Ministry of </w:t>
      </w:r>
      <w:proofErr w:type="spellStart"/>
      <w:r>
        <w:rPr>
          <w:rFonts w:cstheme="minorHAnsi"/>
          <w:color w:val="000000" w:themeColor="text1"/>
          <w:sz w:val="22"/>
          <w:szCs w:val="22"/>
          <w:shd w:val="clear" w:color="auto" w:fill="FFFFFF"/>
        </w:rPr>
        <w:t>Health</w:t>
      </w:r>
      <w:proofErr w:type="spellEnd"/>
      <w:r>
        <w:rPr>
          <w:rFonts w:cstheme="minorHAnsi"/>
          <w:color w:val="000000" w:themeColor="text1"/>
          <w:sz w:val="22"/>
          <w:szCs w:val="22"/>
          <w:shd w:val="clear" w:color="auto" w:fill="FFFFFF"/>
        </w:rPr>
        <w:t xml:space="preserve"> (</w:t>
      </w:r>
      <w:proofErr w:type="spellStart"/>
      <w:r>
        <w:rPr>
          <w:rFonts w:cstheme="minorHAnsi"/>
          <w:color w:val="000000" w:themeColor="text1"/>
          <w:sz w:val="22"/>
          <w:szCs w:val="22"/>
          <w:shd w:val="clear" w:color="auto" w:fill="FFFFFF"/>
        </w:rPr>
        <w:t>MoH</w:t>
      </w:r>
      <w:proofErr w:type="spellEnd"/>
      <w:r>
        <w:rPr>
          <w:rFonts w:cstheme="minorHAnsi"/>
          <w:color w:val="000000" w:themeColor="text1"/>
          <w:sz w:val="22"/>
          <w:szCs w:val="22"/>
          <w:shd w:val="clear" w:color="auto" w:fill="FFFFFF"/>
        </w:rPr>
        <w:t xml:space="preserve">), </w:t>
      </w:r>
      <w:proofErr w:type="spellStart"/>
      <w:r>
        <w:rPr>
          <w:rFonts w:cstheme="minorHAnsi"/>
          <w:color w:val="000000" w:themeColor="text1"/>
          <w:sz w:val="22"/>
          <w:szCs w:val="22"/>
          <w:shd w:val="clear" w:color="auto" w:fill="FFFFFF"/>
        </w:rPr>
        <w:t>Demographic</w:t>
      </w:r>
      <w:proofErr w:type="spellEnd"/>
      <w:r>
        <w:rPr>
          <w:rFonts w:cstheme="minorHAnsi"/>
          <w:color w:val="000000" w:themeColor="text1"/>
          <w:sz w:val="22"/>
          <w:szCs w:val="22"/>
          <w:shd w:val="clear" w:color="auto" w:fill="FFFFFF"/>
        </w:rPr>
        <w:t xml:space="preserve"> and </w:t>
      </w:r>
      <w:proofErr w:type="spellStart"/>
      <w:r>
        <w:rPr>
          <w:rFonts w:cstheme="minorHAnsi"/>
          <w:color w:val="000000" w:themeColor="text1"/>
          <w:sz w:val="22"/>
          <w:szCs w:val="22"/>
          <w:shd w:val="clear" w:color="auto" w:fill="FFFFFF"/>
        </w:rPr>
        <w:t>Health</w:t>
      </w:r>
      <w:proofErr w:type="spellEnd"/>
      <w:r>
        <w:rPr>
          <w:rFonts w:cstheme="minorHAnsi"/>
          <w:color w:val="000000" w:themeColor="text1"/>
          <w:sz w:val="22"/>
          <w:szCs w:val="22"/>
          <w:shd w:val="clear" w:color="auto" w:fill="FFFFFF"/>
        </w:rPr>
        <w:t xml:space="preserve"> Survey (DHS), 2016. </w:t>
      </w:r>
    </w:p>
    <w:p w14:paraId="5AEDF5D2" w14:textId="77777777" w:rsidR="00661B9C" w:rsidRPr="0076729C" w:rsidRDefault="00661B9C" w:rsidP="00661B9C">
      <w:pPr>
        <w:rPr>
          <w:rFonts w:cstheme="minorHAnsi"/>
          <w:color w:val="000000" w:themeColor="text1"/>
          <w:sz w:val="22"/>
          <w:szCs w:val="22"/>
          <w:shd w:val="clear" w:color="auto" w:fill="FFFFFF"/>
        </w:rPr>
      </w:pPr>
    </w:p>
    <w:p w14:paraId="75FC5227" w14:textId="77777777" w:rsidR="00661B9C" w:rsidRPr="0076729C" w:rsidRDefault="00661B9C" w:rsidP="00661B9C">
      <w:pPr>
        <w:rPr>
          <w:rFonts w:cstheme="minorHAnsi"/>
          <w:color w:val="000000" w:themeColor="text1"/>
          <w:sz w:val="22"/>
          <w:szCs w:val="22"/>
          <w:shd w:val="clear" w:color="auto" w:fill="FFFFFF"/>
        </w:rPr>
      </w:pPr>
    </w:p>
    <w:p w14:paraId="6BE88C57" w14:textId="77777777" w:rsidR="00661B9C" w:rsidRPr="0076729C" w:rsidRDefault="00661B9C" w:rsidP="00661B9C">
      <w:pPr>
        <w:ind w:left="720" w:hanging="720"/>
        <w:rPr>
          <w:rFonts w:cstheme="minorHAnsi"/>
          <w:sz w:val="22"/>
          <w:szCs w:val="22"/>
        </w:rPr>
      </w:pPr>
      <w:r>
        <w:rPr>
          <w:rFonts w:cstheme="minorHAnsi"/>
          <w:sz w:val="22"/>
          <w:szCs w:val="22"/>
        </w:rPr>
        <w:t>Ministry of Finance (</w:t>
      </w:r>
      <w:proofErr w:type="spellStart"/>
      <w:r>
        <w:rPr>
          <w:rFonts w:cstheme="minorHAnsi"/>
          <w:sz w:val="22"/>
          <w:szCs w:val="22"/>
        </w:rPr>
        <w:t>MoF</w:t>
      </w:r>
      <w:proofErr w:type="spellEnd"/>
      <w:r>
        <w:rPr>
          <w:rFonts w:cstheme="minorHAnsi"/>
          <w:sz w:val="22"/>
          <w:szCs w:val="22"/>
        </w:rPr>
        <w:t xml:space="preserve">), </w:t>
      </w:r>
      <w:r w:rsidRPr="0076729C">
        <w:rPr>
          <w:rFonts w:cstheme="minorHAnsi"/>
          <w:sz w:val="22"/>
          <w:szCs w:val="22"/>
        </w:rPr>
        <w:t xml:space="preserve">General </w:t>
      </w:r>
      <w:proofErr w:type="spellStart"/>
      <w:r w:rsidRPr="0076729C">
        <w:rPr>
          <w:rFonts w:cstheme="minorHAnsi"/>
          <w:sz w:val="22"/>
          <w:szCs w:val="22"/>
        </w:rPr>
        <w:t>Directorate</w:t>
      </w:r>
      <w:proofErr w:type="spellEnd"/>
      <w:r w:rsidRPr="0076729C">
        <w:rPr>
          <w:rFonts w:cstheme="minorHAnsi"/>
          <w:sz w:val="22"/>
          <w:szCs w:val="22"/>
        </w:rPr>
        <w:t xml:space="preserve"> of </w:t>
      </w:r>
      <w:proofErr w:type="spellStart"/>
      <w:r w:rsidRPr="0076729C">
        <w:rPr>
          <w:rFonts w:cstheme="minorHAnsi"/>
          <w:sz w:val="22"/>
          <w:szCs w:val="22"/>
        </w:rPr>
        <w:t>Statistics</w:t>
      </w:r>
      <w:proofErr w:type="spellEnd"/>
      <w:r w:rsidRPr="0076729C">
        <w:rPr>
          <w:rFonts w:cstheme="minorHAnsi"/>
          <w:sz w:val="22"/>
          <w:szCs w:val="22"/>
        </w:rPr>
        <w:t xml:space="preserve"> (GDS) (2019b). Timor-</w:t>
      </w:r>
      <w:proofErr w:type="spellStart"/>
      <w:r w:rsidRPr="0076729C">
        <w:rPr>
          <w:rFonts w:cstheme="minorHAnsi"/>
          <w:sz w:val="22"/>
          <w:szCs w:val="22"/>
        </w:rPr>
        <w:t>Leste’s</w:t>
      </w:r>
      <w:proofErr w:type="spellEnd"/>
      <w:r w:rsidRPr="0076729C">
        <w:rPr>
          <w:rFonts w:cstheme="minorHAnsi"/>
          <w:sz w:val="22"/>
          <w:szCs w:val="22"/>
        </w:rPr>
        <w:t xml:space="preserve"> National </w:t>
      </w:r>
      <w:proofErr w:type="spellStart"/>
      <w:r w:rsidRPr="0076729C">
        <w:rPr>
          <w:rFonts w:cstheme="minorHAnsi"/>
          <w:sz w:val="22"/>
          <w:szCs w:val="22"/>
        </w:rPr>
        <w:t>Accounts</w:t>
      </w:r>
      <w:proofErr w:type="spellEnd"/>
      <w:r w:rsidRPr="0076729C">
        <w:rPr>
          <w:rFonts w:cstheme="minorHAnsi"/>
          <w:sz w:val="22"/>
          <w:szCs w:val="22"/>
        </w:rPr>
        <w:t xml:space="preserve"> 2000 – 2018</w:t>
      </w:r>
      <w:r>
        <w:rPr>
          <w:rFonts w:cstheme="minorHAnsi"/>
          <w:sz w:val="22"/>
          <w:szCs w:val="22"/>
        </w:rPr>
        <w:t>, 2019.</w:t>
      </w:r>
    </w:p>
    <w:p w14:paraId="535CCE48"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highlight w:val="yellow"/>
          <w:lang w:val="fr-FR"/>
        </w:rPr>
      </w:pPr>
    </w:p>
    <w:p w14:paraId="2A62708E"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highlight w:val="yellow"/>
          <w:lang w:val="fr-FR"/>
        </w:rPr>
      </w:pPr>
    </w:p>
    <w:p w14:paraId="1D84CD9B"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highlight w:val="yellow"/>
          <w:lang w:val="fr-FR"/>
        </w:rPr>
      </w:pPr>
      <w:bookmarkStart w:id="141" w:name="_Hlk34126103"/>
      <w:r w:rsidRPr="00480047">
        <w:rPr>
          <w:rFonts w:asciiTheme="minorHAnsi" w:hAnsiTheme="minorHAnsi" w:cstheme="minorHAnsi"/>
          <w:sz w:val="22"/>
          <w:szCs w:val="22"/>
          <w:lang w:val="fr-FR"/>
        </w:rPr>
        <w:t>Ministry of Finance (</w:t>
      </w:r>
      <w:proofErr w:type="spellStart"/>
      <w:r w:rsidRPr="00480047">
        <w:rPr>
          <w:rFonts w:asciiTheme="minorHAnsi" w:hAnsiTheme="minorHAnsi" w:cstheme="minorHAnsi"/>
          <w:sz w:val="22"/>
          <w:szCs w:val="22"/>
          <w:lang w:val="fr-FR"/>
        </w:rPr>
        <w:t>MoF</w:t>
      </w:r>
      <w:proofErr w:type="spellEnd"/>
      <w:r w:rsidRPr="00480047">
        <w:rPr>
          <w:rFonts w:asciiTheme="minorHAnsi" w:hAnsiTheme="minorHAnsi" w:cstheme="minorHAnsi"/>
          <w:sz w:val="22"/>
          <w:szCs w:val="22"/>
          <w:lang w:val="fr-FR"/>
        </w:rPr>
        <w:t xml:space="preserve">), State Budget 2019 Book 5 – </w:t>
      </w:r>
      <w:proofErr w:type="spellStart"/>
      <w:r w:rsidRPr="00480047">
        <w:rPr>
          <w:rFonts w:asciiTheme="minorHAnsi" w:hAnsiTheme="minorHAnsi" w:cstheme="minorHAnsi"/>
          <w:sz w:val="22"/>
          <w:szCs w:val="22"/>
          <w:lang w:val="fr-FR"/>
        </w:rPr>
        <w:t>Development</w:t>
      </w:r>
      <w:proofErr w:type="spellEnd"/>
      <w:r w:rsidRPr="00480047">
        <w:rPr>
          <w:rFonts w:asciiTheme="minorHAnsi" w:hAnsiTheme="minorHAnsi" w:cstheme="minorHAnsi"/>
          <w:sz w:val="22"/>
          <w:szCs w:val="22"/>
          <w:lang w:val="fr-FR"/>
        </w:rPr>
        <w:t xml:space="preserve"> </w:t>
      </w:r>
      <w:proofErr w:type="spellStart"/>
      <w:r w:rsidRPr="00480047">
        <w:rPr>
          <w:rFonts w:asciiTheme="minorHAnsi" w:hAnsiTheme="minorHAnsi" w:cstheme="minorHAnsi"/>
          <w:sz w:val="22"/>
          <w:szCs w:val="22"/>
          <w:lang w:val="fr-FR"/>
        </w:rPr>
        <w:t>Partners</w:t>
      </w:r>
      <w:proofErr w:type="spellEnd"/>
      <w:r w:rsidRPr="00480047">
        <w:rPr>
          <w:rFonts w:asciiTheme="minorHAnsi" w:hAnsiTheme="minorHAnsi" w:cstheme="minorHAnsi"/>
          <w:sz w:val="22"/>
          <w:szCs w:val="22"/>
          <w:lang w:val="fr-FR"/>
        </w:rPr>
        <w:t xml:space="preserve">, Timor-Leste, 2019 </w:t>
      </w:r>
    </w:p>
    <w:bookmarkEnd w:id="141"/>
    <w:p w14:paraId="0AD07ADE"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highlight w:val="yellow"/>
          <w:lang w:val="fr-FR"/>
        </w:rPr>
      </w:pPr>
    </w:p>
    <w:p w14:paraId="7B065C07"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highlight w:val="yellow"/>
          <w:lang w:val="fr-FR"/>
        </w:rPr>
      </w:pPr>
    </w:p>
    <w:p w14:paraId="3E058063" w14:textId="77777777" w:rsidR="00661B9C" w:rsidRDefault="00661B9C" w:rsidP="00661B9C">
      <w:pPr>
        <w:rPr>
          <w:rFonts w:cstheme="minorHAnsi"/>
          <w:color w:val="000000" w:themeColor="text1"/>
          <w:sz w:val="22"/>
          <w:szCs w:val="22"/>
          <w:shd w:val="clear" w:color="auto" w:fill="FFFFFF"/>
          <w:lang w:val="en-US"/>
        </w:rPr>
      </w:pPr>
      <w:r w:rsidRPr="00AC64FD">
        <w:rPr>
          <w:rFonts w:eastAsia="Times New Roman" w:cstheme="minorHAnsi"/>
          <w:color w:val="000000" w:themeColor="text1"/>
          <w:sz w:val="22"/>
          <w:szCs w:val="22"/>
          <w:shd w:val="clear" w:color="auto" w:fill="FFFFFF"/>
          <w:lang w:val="en-US"/>
        </w:rPr>
        <w:t>Ministry of Health (</w:t>
      </w:r>
      <w:proofErr w:type="spellStart"/>
      <w:r w:rsidRPr="00AC64FD">
        <w:rPr>
          <w:rFonts w:eastAsia="Times New Roman" w:cstheme="minorHAnsi"/>
          <w:color w:val="000000" w:themeColor="text1"/>
          <w:sz w:val="22"/>
          <w:szCs w:val="22"/>
          <w:shd w:val="clear" w:color="auto" w:fill="FFFFFF"/>
          <w:lang w:val="en-US"/>
        </w:rPr>
        <w:t>MoH</w:t>
      </w:r>
      <w:proofErr w:type="spellEnd"/>
      <w:r w:rsidRPr="00AC64FD">
        <w:rPr>
          <w:rFonts w:eastAsia="Times New Roman" w:cstheme="minorHAnsi"/>
          <w:color w:val="000000" w:themeColor="text1"/>
          <w:sz w:val="22"/>
          <w:szCs w:val="22"/>
          <w:shd w:val="clear" w:color="auto" w:fill="FFFFFF"/>
          <w:lang w:val="en-US"/>
        </w:rPr>
        <w:t>)</w:t>
      </w:r>
      <w:r>
        <w:rPr>
          <w:rFonts w:eastAsia="Times New Roman" w:cstheme="minorHAnsi"/>
          <w:color w:val="000000" w:themeColor="text1"/>
          <w:sz w:val="22"/>
          <w:szCs w:val="22"/>
          <w:shd w:val="clear" w:color="auto" w:fill="FFFFFF"/>
          <w:lang w:val="en-US"/>
        </w:rPr>
        <w:t>,</w:t>
      </w:r>
      <w:r w:rsidRPr="00AC64FD">
        <w:rPr>
          <w:rFonts w:eastAsia="Times New Roman" w:cstheme="minorHAnsi"/>
          <w:color w:val="000000" w:themeColor="text1"/>
          <w:sz w:val="22"/>
          <w:szCs w:val="22"/>
          <w:shd w:val="clear" w:color="auto" w:fill="FFFFFF"/>
          <w:lang w:val="en-US"/>
        </w:rPr>
        <w:t xml:space="preserve"> Timor-Leste Food and Nutrition Survey</w:t>
      </w:r>
      <w:r>
        <w:rPr>
          <w:rFonts w:eastAsia="Times New Roman" w:cstheme="minorHAnsi"/>
          <w:color w:val="000000" w:themeColor="text1"/>
          <w:sz w:val="22"/>
          <w:szCs w:val="22"/>
          <w:shd w:val="clear" w:color="auto" w:fill="FFFFFF"/>
          <w:lang w:val="en-US"/>
        </w:rPr>
        <w:t xml:space="preserve"> (TLFNS),</w:t>
      </w:r>
      <w:r w:rsidRPr="00AC64FD">
        <w:rPr>
          <w:rFonts w:eastAsia="Times New Roman" w:cstheme="minorHAnsi"/>
          <w:color w:val="000000" w:themeColor="text1"/>
          <w:sz w:val="22"/>
          <w:szCs w:val="22"/>
          <w:shd w:val="clear" w:color="auto" w:fill="FFFFFF"/>
          <w:lang w:val="en-US"/>
        </w:rPr>
        <w:t xml:space="preserve"> 2013.</w:t>
      </w:r>
    </w:p>
    <w:p w14:paraId="741B3BF0" w14:textId="77777777" w:rsidR="00661B9C" w:rsidRDefault="00661B9C" w:rsidP="00661B9C">
      <w:pPr>
        <w:rPr>
          <w:rFonts w:cstheme="minorHAnsi"/>
          <w:color w:val="000000" w:themeColor="text1"/>
          <w:sz w:val="22"/>
          <w:szCs w:val="22"/>
          <w:shd w:val="clear" w:color="auto" w:fill="FFFFFF"/>
          <w:lang w:val="en-US"/>
        </w:rPr>
      </w:pPr>
    </w:p>
    <w:p w14:paraId="53D76E8E" w14:textId="77777777" w:rsidR="00661B9C" w:rsidRDefault="00661B9C" w:rsidP="00661B9C">
      <w:pPr>
        <w:rPr>
          <w:rFonts w:cstheme="minorHAnsi"/>
          <w:color w:val="000000" w:themeColor="text1"/>
          <w:sz w:val="22"/>
          <w:szCs w:val="22"/>
          <w:shd w:val="clear" w:color="auto" w:fill="FFFFFF"/>
          <w:lang w:val="en-US"/>
        </w:rPr>
      </w:pPr>
    </w:p>
    <w:p w14:paraId="0AB92DE8" w14:textId="77777777" w:rsidR="00661B9C" w:rsidRPr="0076729C" w:rsidRDefault="00661B9C" w:rsidP="00661B9C">
      <w:pPr>
        <w:ind w:left="720" w:hanging="720"/>
        <w:rPr>
          <w:rFonts w:cstheme="minorHAnsi"/>
          <w:color w:val="000000" w:themeColor="text1"/>
          <w:sz w:val="22"/>
          <w:szCs w:val="22"/>
          <w:shd w:val="clear" w:color="auto" w:fill="FFFFFF"/>
          <w:lang w:val="en-US"/>
        </w:rPr>
      </w:pPr>
      <w:bookmarkStart w:id="142" w:name="_Hlk34058997"/>
      <w:proofErr w:type="spellStart"/>
      <w:r>
        <w:rPr>
          <w:rFonts w:cstheme="minorHAnsi"/>
          <w:color w:val="000000" w:themeColor="text1"/>
          <w:sz w:val="22"/>
          <w:szCs w:val="22"/>
          <w:shd w:val="clear" w:color="auto" w:fill="FFFFFF"/>
          <w:lang w:val="en-US"/>
        </w:rPr>
        <w:t>Mongabay</w:t>
      </w:r>
      <w:proofErr w:type="spellEnd"/>
      <w:r>
        <w:rPr>
          <w:rFonts w:cstheme="minorHAnsi"/>
          <w:color w:val="000000" w:themeColor="text1"/>
          <w:sz w:val="22"/>
          <w:szCs w:val="22"/>
          <w:shd w:val="clear" w:color="auto" w:fill="FFFFFF"/>
          <w:lang w:val="en-US"/>
        </w:rPr>
        <w:t xml:space="preserve">, Deforestation statistics for Timor-Leste, 2018, available </w:t>
      </w:r>
      <w:hyperlink r:id="rId51" w:history="1">
        <w:r w:rsidRPr="00C427ED">
          <w:rPr>
            <w:rStyle w:val="Hyperlink"/>
            <w:rFonts w:cstheme="minorHAnsi"/>
            <w:sz w:val="22"/>
            <w:szCs w:val="22"/>
            <w:shd w:val="clear" w:color="auto" w:fill="FFFFFF"/>
            <w:lang w:val="en-US"/>
          </w:rPr>
          <w:t>https://rainforests.mongabay.com/deforestation/archive/Timor-Leste.htm</w:t>
        </w:r>
      </w:hyperlink>
      <w:r>
        <w:rPr>
          <w:rFonts w:cstheme="minorHAnsi"/>
          <w:color w:val="000000" w:themeColor="text1"/>
          <w:sz w:val="22"/>
          <w:szCs w:val="22"/>
          <w:shd w:val="clear" w:color="auto" w:fill="FFFFFF"/>
          <w:lang w:val="en-US"/>
        </w:rPr>
        <w:t xml:space="preserve">. </w:t>
      </w:r>
    </w:p>
    <w:bookmarkEnd w:id="142"/>
    <w:p w14:paraId="7D22DB78" w14:textId="77777777" w:rsidR="00661B9C" w:rsidRDefault="00661B9C" w:rsidP="00661B9C">
      <w:pPr>
        <w:rPr>
          <w:rFonts w:cstheme="minorHAnsi"/>
          <w:color w:val="000000" w:themeColor="text1"/>
          <w:sz w:val="22"/>
          <w:szCs w:val="22"/>
          <w:shd w:val="clear" w:color="auto" w:fill="FFFFFF"/>
          <w:lang w:val="en-US"/>
        </w:rPr>
      </w:pPr>
    </w:p>
    <w:p w14:paraId="3D4A81A8" w14:textId="77777777" w:rsidR="00661B9C" w:rsidRPr="0076729C" w:rsidRDefault="00661B9C" w:rsidP="00661B9C">
      <w:pPr>
        <w:rPr>
          <w:rFonts w:cstheme="minorHAnsi"/>
          <w:color w:val="000000" w:themeColor="text1"/>
          <w:sz w:val="22"/>
          <w:szCs w:val="22"/>
          <w:shd w:val="clear" w:color="auto" w:fill="FFFFFF"/>
          <w:lang w:val="en-US"/>
        </w:rPr>
      </w:pPr>
    </w:p>
    <w:p w14:paraId="6E5CD5A2" w14:textId="48390ABC" w:rsidR="00661B9C" w:rsidRPr="00132BA8" w:rsidRDefault="00661B9C" w:rsidP="00661B9C">
      <w:pPr>
        <w:tabs>
          <w:tab w:val="left" w:pos="720"/>
        </w:tabs>
        <w:ind w:left="720" w:hanging="720"/>
        <w:rPr>
          <w:rFonts w:cstheme="minorHAnsi"/>
          <w:color w:val="000000" w:themeColor="text1"/>
          <w:sz w:val="22"/>
          <w:szCs w:val="22"/>
          <w:shd w:val="clear" w:color="auto" w:fill="FFFFFF"/>
          <w:lang w:val="en-US"/>
        </w:rPr>
      </w:pPr>
      <w:proofErr w:type="spellStart"/>
      <w:r w:rsidRPr="0076729C">
        <w:rPr>
          <w:rFonts w:cstheme="minorHAnsi"/>
          <w:color w:val="000000" w:themeColor="text1"/>
          <w:sz w:val="22"/>
          <w:szCs w:val="22"/>
        </w:rPr>
        <w:t>Pawelz</w:t>
      </w:r>
      <w:proofErr w:type="spellEnd"/>
      <w:r w:rsidRPr="0076729C">
        <w:rPr>
          <w:rFonts w:cstheme="minorHAnsi"/>
          <w:color w:val="000000" w:themeColor="text1"/>
          <w:sz w:val="22"/>
          <w:szCs w:val="22"/>
        </w:rPr>
        <w:t xml:space="preserve">, J., “Security, Violence, and </w:t>
      </w:r>
      <w:proofErr w:type="spellStart"/>
      <w:r w:rsidRPr="00132BA8">
        <w:rPr>
          <w:rFonts w:cstheme="minorHAnsi"/>
          <w:color w:val="000000" w:themeColor="text1"/>
          <w:sz w:val="22"/>
          <w:szCs w:val="22"/>
        </w:rPr>
        <w:t>Outlawed</w:t>
      </w:r>
      <w:proofErr w:type="spellEnd"/>
      <w:r w:rsidRPr="00132BA8">
        <w:rPr>
          <w:rFonts w:cstheme="minorHAnsi"/>
          <w:color w:val="000000" w:themeColor="text1"/>
          <w:sz w:val="22"/>
          <w:szCs w:val="22"/>
        </w:rPr>
        <w:t xml:space="preserve"> Martial Arts Groups in Timor-Leste</w:t>
      </w:r>
      <w:r>
        <w:rPr>
          <w:rFonts w:cstheme="minorHAnsi"/>
          <w:color w:val="000000" w:themeColor="text1"/>
          <w:sz w:val="22"/>
          <w:szCs w:val="22"/>
        </w:rPr>
        <w:t>.</w:t>
      </w:r>
      <w:r w:rsidRPr="00132BA8">
        <w:rPr>
          <w:rFonts w:cstheme="minorHAnsi"/>
          <w:color w:val="000000" w:themeColor="text1"/>
          <w:sz w:val="22"/>
          <w:szCs w:val="22"/>
        </w:rPr>
        <w:t>”</w:t>
      </w:r>
      <w:r>
        <w:rPr>
          <w:rFonts w:cstheme="minorHAnsi"/>
          <w:color w:val="000000" w:themeColor="text1"/>
          <w:sz w:val="22"/>
          <w:szCs w:val="22"/>
        </w:rPr>
        <w:t xml:space="preserve"> </w:t>
      </w:r>
      <w:r w:rsidRPr="00132BA8">
        <w:rPr>
          <w:rFonts w:cstheme="minorHAnsi"/>
          <w:i/>
          <w:iCs/>
          <w:color w:val="000000" w:themeColor="text1"/>
          <w:sz w:val="22"/>
          <w:szCs w:val="22"/>
        </w:rPr>
        <w:t xml:space="preserve">Asian Journal of </w:t>
      </w:r>
      <w:proofErr w:type="spellStart"/>
      <w:r w:rsidRPr="00132BA8">
        <w:rPr>
          <w:rFonts w:cstheme="minorHAnsi"/>
          <w:i/>
          <w:iCs/>
          <w:color w:val="000000" w:themeColor="text1"/>
          <w:sz w:val="22"/>
          <w:szCs w:val="22"/>
        </w:rPr>
        <w:t>Peacebuilding</w:t>
      </w:r>
      <w:proofErr w:type="spellEnd"/>
      <w:r w:rsidRPr="00132BA8">
        <w:rPr>
          <w:rFonts w:cstheme="minorHAnsi"/>
          <w:color w:val="000000" w:themeColor="text1"/>
          <w:sz w:val="22"/>
          <w:szCs w:val="22"/>
        </w:rPr>
        <w:t>, 3(1), pp. 121-136</w:t>
      </w:r>
      <w:r w:rsidR="00AB60DE">
        <w:rPr>
          <w:rFonts w:cstheme="minorHAnsi"/>
          <w:color w:val="000000" w:themeColor="text1"/>
          <w:sz w:val="22"/>
          <w:szCs w:val="22"/>
        </w:rPr>
        <w:t>, 2015</w:t>
      </w:r>
      <w:r w:rsidRPr="00132BA8">
        <w:rPr>
          <w:rFonts w:cstheme="minorHAnsi"/>
          <w:color w:val="000000" w:themeColor="text1"/>
          <w:sz w:val="22"/>
          <w:szCs w:val="22"/>
        </w:rPr>
        <w:t>.</w:t>
      </w:r>
    </w:p>
    <w:p w14:paraId="7A7C8C41" w14:textId="77777777" w:rsidR="00661B9C" w:rsidRPr="00132BA8" w:rsidRDefault="00661B9C" w:rsidP="00661B9C">
      <w:pPr>
        <w:rPr>
          <w:rFonts w:cstheme="minorHAnsi"/>
          <w:color w:val="000000" w:themeColor="text1"/>
          <w:sz w:val="22"/>
          <w:szCs w:val="22"/>
          <w:shd w:val="clear" w:color="auto" w:fill="FFFFFF"/>
          <w:lang w:val="en-US"/>
        </w:rPr>
      </w:pPr>
    </w:p>
    <w:p w14:paraId="171D82BE" w14:textId="77777777" w:rsidR="00661B9C" w:rsidRPr="00132BA8" w:rsidRDefault="00661B9C" w:rsidP="00661B9C">
      <w:pPr>
        <w:rPr>
          <w:rFonts w:cstheme="minorHAnsi"/>
          <w:color w:val="000000" w:themeColor="text1"/>
          <w:sz w:val="22"/>
          <w:szCs w:val="22"/>
          <w:shd w:val="clear" w:color="auto" w:fill="FFFFFF"/>
          <w:lang w:val="en-US"/>
        </w:rPr>
      </w:pPr>
    </w:p>
    <w:p w14:paraId="622D6081" w14:textId="77777777" w:rsidR="00661B9C" w:rsidRPr="00132BA8" w:rsidRDefault="00661B9C" w:rsidP="00661B9C">
      <w:pPr>
        <w:tabs>
          <w:tab w:val="left" w:pos="720"/>
        </w:tabs>
        <w:ind w:left="720" w:hanging="720"/>
        <w:rPr>
          <w:rStyle w:val="Hyperlink"/>
          <w:rFonts w:eastAsia="Times New Roman" w:cstheme="minorHAnsi"/>
          <w:sz w:val="22"/>
          <w:szCs w:val="22"/>
          <w:shd w:val="clear" w:color="auto" w:fill="FFFFFF"/>
          <w:lang w:val="en-US"/>
        </w:rPr>
      </w:pPr>
      <w:bookmarkStart w:id="143" w:name="_Hlk34125000"/>
      <w:proofErr w:type="spellStart"/>
      <w:r w:rsidRPr="00132BA8">
        <w:rPr>
          <w:rFonts w:cstheme="minorHAnsi"/>
          <w:color w:val="000000" w:themeColor="text1"/>
          <w:sz w:val="22"/>
          <w:szCs w:val="22"/>
        </w:rPr>
        <w:t>Perova</w:t>
      </w:r>
      <w:proofErr w:type="spellEnd"/>
      <w:r w:rsidRPr="00132BA8">
        <w:rPr>
          <w:rFonts w:cstheme="minorHAnsi"/>
          <w:color w:val="000000" w:themeColor="text1"/>
          <w:sz w:val="22"/>
          <w:szCs w:val="22"/>
        </w:rPr>
        <w:t xml:space="preserve">, E.; </w:t>
      </w:r>
      <w:proofErr w:type="spellStart"/>
      <w:r w:rsidRPr="00132BA8">
        <w:rPr>
          <w:rFonts w:cstheme="minorHAnsi"/>
          <w:color w:val="000000" w:themeColor="text1"/>
          <w:sz w:val="22"/>
          <w:szCs w:val="22"/>
        </w:rPr>
        <w:t>Caminha</w:t>
      </w:r>
      <w:proofErr w:type="spellEnd"/>
      <w:r w:rsidRPr="00132BA8">
        <w:rPr>
          <w:rFonts w:cstheme="minorHAnsi"/>
          <w:color w:val="000000" w:themeColor="text1"/>
          <w:sz w:val="22"/>
          <w:szCs w:val="22"/>
        </w:rPr>
        <w:t>, S.</w:t>
      </w:r>
      <w:r>
        <w:rPr>
          <w:rFonts w:cstheme="minorHAnsi"/>
          <w:color w:val="000000" w:themeColor="text1"/>
          <w:sz w:val="22"/>
          <w:szCs w:val="22"/>
        </w:rPr>
        <w:t>,</w:t>
      </w:r>
      <w:r w:rsidRPr="00132BA8">
        <w:rPr>
          <w:rFonts w:cstheme="minorHAnsi"/>
          <w:color w:val="000000" w:themeColor="text1"/>
          <w:sz w:val="22"/>
          <w:szCs w:val="22"/>
        </w:rPr>
        <w:t xml:space="preserve"> </w:t>
      </w:r>
      <w:r w:rsidRPr="0076729C">
        <w:rPr>
          <w:rFonts w:cstheme="minorHAnsi"/>
          <w:color w:val="000000" w:themeColor="text1"/>
          <w:sz w:val="22"/>
          <w:szCs w:val="22"/>
        </w:rPr>
        <w:t>“</w:t>
      </w:r>
      <w:proofErr w:type="spellStart"/>
      <w:r w:rsidRPr="00132BA8">
        <w:rPr>
          <w:rFonts w:cstheme="minorHAnsi"/>
          <w:color w:val="000000" w:themeColor="text1"/>
          <w:sz w:val="22"/>
          <w:szCs w:val="22"/>
        </w:rPr>
        <w:t>Women</w:t>
      </w:r>
      <w:proofErr w:type="spellEnd"/>
      <w:r w:rsidRPr="00132BA8">
        <w:rPr>
          <w:rFonts w:cstheme="minorHAnsi"/>
          <w:color w:val="000000" w:themeColor="text1"/>
          <w:sz w:val="22"/>
          <w:szCs w:val="22"/>
        </w:rPr>
        <w:t xml:space="preserve"> Farmers in Timor-Leste: Bridging the </w:t>
      </w:r>
      <w:proofErr w:type="spellStart"/>
      <w:r w:rsidRPr="00132BA8">
        <w:rPr>
          <w:rFonts w:cstheme="minorHAnsi"/>
          <w:color w:val="000000" w:themeColor="text1"/>
          <w:sz w:val="22"/>
          <w:szCs w:val="22"/>
        </w:rPr>
        <w:t>Gender</w:t>
      </w:r>
      <w:proofErr w:type="spellEnd"/>
      <w:r w:rsidRPr="00132BA8">
        <w:rPr>
          <w:rFonts w:cstheme="minorHAnsi"/>
          <w:color w:val="000000" w:themeColor="text1"/>
          <w:sz w:val="22"/>
          <w:szCs w:val="22"/>
        </w:rPr>
        <w:t xml:space="preserve"> Gap in Agricultural </w:t>
      </w:r>
      <w:proofErr w:type="spellStart"/>
      <w:r w:rsidRPr="00132BA8">
        <w:rPr>
          <w:rFonts w:cstheme="minorHAnsi"/>
          <w:color w:val="000000" w:themeColor="text1"/>
          <w:sz w:val="22"/>
          <w:szCs w:val="22"/>
        </w:rPr>
        <w:t>Productivity</w:t>
      </w:r>
      <w:proofErr w:type="spellEnd"/>
      <w:r>
        <w:rPr>
          <w:rFonts w:cstheme="minorHAnsi"/>
          <w:color w:val="000000" w:themeColor="text1"/>
          <w:sz w:val="22"/>
          <w:szCs w:val="22"/>
        </w:rPr>
        <w:t>.</w:t>
      </w:r>
      <w:r w:rsidRPr="00132BA8">
        <w:rPr>
          <w:rFonts w:cstheme="minorHAnsi"/>
          <w:color w:val="000000" w:themeColor="text1"/>
          <w:sz w:val="22"/>
          <w:szCs w:val="22"/>
        </w:rPr>
        <w:t>” (</w:t>
      </w:r>
      <w:proofErr w:type="spellStart"/>
      <w:r w:rsidRPr="00132BA8">
        <w:rPr>
          <w:rFonts w:cstheme="minorHAnsi"/>
          <w:color w:val="000000" w:themeColor="text1"/>
          <w:sz w:val="22"/>
          <w:szCs w:val="22"/>
        </w:rPr>
        <w:t>Tetum</w:t>
      </w:r>
      <w:proofErr w:type="spellEnd"/>
      <w:r w:rsidRPr="00132BA8">
        <w:rPr>
          <w:rFonts w:cstheme="minorHAnsi"/>
          <w:color w:val="000000" w:themeColor="text1"/>
          <w:sz w:val="22"/>
          <w:szCs w:val="22"/>
        </w:rPr>
        <w:t>)</w:t>
      </w:r>
      <w:r>
        <w:rPr>
          <w:rFonts w:cstheme="minorHAnsi"/>
          <w:color w:val="000000" w:themeColor="text1"/>
          <w:sz w:val="22"/>
          <w:szCs w:val="22"/>
        </w:rPr>
        <w:t>,</w:t>
      </w:r>
      <w:r w:rsidRPr="00132BA8">
        <w:rPr>
          <w:rFonts w:cstheme="minorHAnsi"/>
          <w:color w:val="000000" w:themeColor="text1"/>
          <w:sz w:val="22"/>
          <w:szCs w:val="22"/>
        </w:rPr>
        <w:t xml:space="preserve"> </w:t>
      </w:r>
      <w:r w:rsidRPr="00D06245">
        <w:rPr>
          <w:rFonts w:cstheme="minorHAnsi"/>
          <w:i/>
          <w:iCs/>
          <w:color w:val="000000" w:themeColor="text1"/>
          <w:sz w:val="22"/>
          <w:szCs w:val="22"/>
        </w:rPr>
        <w:t>EAPGIL Policy Briefs</w:t>
      </w:r>
      <w:r w:rsidRPr="00132BA8">
        <w:rPr>
          <w:rFonts w:cstheme="minorHAnsi"/>
          <w:color w:val="000000" w:themeColor="text1"/>
          <w:sz w:val="22"/>
          <w:szCs w:val="22"/>
        </w:rPr>
        <w:t xml:space="preserve">; no. 4. Washington, D.C.: World Bank Group and UN </w:t>
      </w:r>
      <w:proofErr w:type="spellStart"/>
      <w:r w:rsidRPr="00132BA8">
        <w:rPr>
          <w:rFonts w:cstheme="minorHAnsi"/>
          <w:color w:val="000000" w:themeColor="text1"/>
          <w:sz w:val="22"/>
          <w:szCs w:val="22"/>
        </w:rPr>
        <w:t>Women</w:t>
      </w:r>
      <w:proofErr w:type="spellEnd"/>
      <w:r>
        <w:rPr>
          <w:rFonts w:cstheme="minorHAnsi"/>
          <w:color w:val="000000" w:themeColor="text1"/>
          <w:sz w:val="22"/>
          <w:szCs w:val="22"/>
        </w:rPr>
        <w:t>, 2019,</w:t>
      </w:r>
      <w:r w:rsidRPr="00132BA8">
        <w:rPr>
          <w:rFonts w:cstheme="minorHAnsi"/>
          <w:color w:val="000000" w:themeColor="text1"/>
          <w:sz w:val="22"/>
          <w:szCs w:val="22"/>
        </w:rPr>
        <w:t xml:space="preserve"> </w:t>
      </w:r>
      <w:proofErr w:type="spellStart"/>
      <w:r>
        <w:rPr>
          <w:rFonts w:cstheme="minorHAnsi"/>
          <w:color w:val="000000" w:themeColor="text1"/>
          <w:sz w:val="22"/>
          <w:szCs w:val="22"/>
        </w:rPr>
        <w:t>available</w:t>
      </w:r>
      <w:proofErr w:type="spellEnd"/>
      <w:r w:rsidRPr="00132BA8">
        <w:rPr>
          <w:rFonts w:cstheme="minorHAnsi"/>
          <w:color w:val="000000" w:themeColor="text1"/>
          <w:sz w:val="22"/>
          <w:szCs w:val="22"/>
        </w:rPr>
        <w:t xml:space="preserve"> </w:t>
      </w:r>
      <w:bookmarkEnd w:id="143"/>
      <w:r w:rsidRPr="00132BA8">
        <w:rPr>
          <w:rStyle w:val="Hyperlink"/>
          <w:rFonts w:eastAsia="Times New Roman" w:cstheme="minorHAnsi"/>
          <w:sz w:val="22"/>
          <w:szCs w:val="22"/>
          <w:shd w:val="clear" w:color="auto" w:fill="FFFFFF"/>
          <w:lang w:val="en-US"/>
        </w:rPr>
        <w:t>http://documents.worldbank.org/curated/en/276321544729561229/</w:t>
      </w:r>
      <w:r w:rsidRPr="00132BA8">
        <w:rPr>
          <w:rStyle w:val="Hyperlink"/>
          <w:rFonts w:eastAsia="Times New Roman" w:cstheme="minorHAnsi"/>
          <w:sz w:val="22"/>
          <w:szCs w:val="22"/>
          <w:shd w:val="clear" w:color="auto" w:fill="FFFFFF"/>
          <w:lang w:val="en-US"/>
        </w:rPr>
        <w:br/>
        <w:t xml:space="preserve">Women-Farmers-in-Timor-Leste-Bridging-the-Gender-Gap-in-Agricultural-Productivity </w:t>
      </w:r>
    </w:p>
    <w:p w14:paraId="01DC1886" w14:textId="77777777" w:rsidR="00661B9C" w:rsidRPr="00132BA8" w:rsidRDefault="00661B9C" w:rsidP="00661B9C">
      <w:pPr>
        <w:tabs>
          <w:tab w:val="left" w:pos="720"/>
        </w:tabs>
        <w:ind w:left="720" w:hanging="720"/>
        <w:rPr>
          <w:rFonts w:cstheme="minorHAnsi"/>
          <w:color w:val="000000" w:themeColor="text1"/>
          <w:sz w:val="22"/>
          <w:szCs w:val="22"/>
        </w:rPr>
      </w:pPr>
    </w:p>
    <w:p w14:paraId="73A5701E" w14:textId="77777777" w:rsidR="00661B9C" w:rsidRDefault="00661B9C" w:rsidP="00661B9C">
      <w:pPr>
        <w:tabs>
          <w:tab w:val="left" w:pos="720"/>
        </w:tabs>
        <w:ind w:left="720" w:hanging="720"/>
        <w:rPr>
          <w:rFonts w:cstheme="minorHAnsi"/>
          <w:color w:val="000000" w:themeColor="text1"/>
          <w:sz w:val="22"/>
          <w:szCs w:val="22"/>
        </w:rPr>
      </w:pPr>
    </w:p>
    <w:p w14:paraId="2CCB2BE2" w14:textId="77777777" w:rsidR="00661B9C" w:rsidRPr="00132BA8" w:rsidRDefault="00661B9C" w:rsidP="00661B9C">
      <w:pPr>
        <w:ind w:left="720" w:hanging="720"/>
        <w:rPr>
          <w:rFonts w:cstheme="minorHAnsi"/>
          <w:color w:val="000000" w:themeColor="text1"/>
          <w:sz w:val="22"/>
          <w:szCs w:val="22"/>
          <w:shd w:val="clear" w:color="auto" w:fill="FFFFFF"/>
        </w:rPr>
      </w:pPr>
      <w:r w:rsidRPr="00132BA8">
        <w:rPr>
          <w:rFonts w:cstheme="minorHAnsi"/>
          <w:color w:val="000000" w:themeColor="text1"/>
          <w:sz w:val="22"/>
          <w:szCs w:val="22"/>
          <w:shd w:val="clear" w:color="auto" w:fill="FFFFFF"/>
        </w:rPr>
        <w:t xml:space="preserve">Petroleum Fund Law, Law No. 9/2005, </w:t>
      </w:r>
      <w:proofErr w:type="spellStart"/>
      <w:r w:rsidRPr="00132BA8">
        <w:rPr>
          <w:rFonts w:cstheme="minorHAnsi"/>
          <w:color w:val="000000" w:themeColor="text1"/>
          <w:sz w:val="22"/>
          <w:szCs w:val="22"/>
          <w:shd w:val="clear" w:color="auto" w:fill="FFFFFF"/>
        </w:rPr>
        <w:t>n.d</w:t>
      </w:r>
      <w:proofErr w:type="spellEnd"/>
      <w:r w:rsidRPr="00132BA8">
        <w:rPr>
          <w:rFonts w:cstheme="minorHAnsi"/>
          <w:color w:val="000000" w:themeColor="text1"/>
          <w:sz w:val="22"/>
          <w:szCs w:val="22"/>
          <w:shd w:val="clear" w:color="auto" w:fill="FFFFFF"/>
        </w:rPr>
        <w:t xml:space="preserve">., </w:t>
      </w:r>
      <w:proofErr w:type="spellStart"/>
      <w:r>
        <w:rPr>
          <w:rFonts w:cstheme="minorHAnsi"/>
          <w:color w:val="000000" w:themeColor="text1"/>
          <w:sz w:val="22"/>
          <w:szCs w:val="22"/>
          <w:shd w:val="clear" w:color="auto" w:fill="FFFFFF"/>
        </w:rPr>
        <w:t>accessed</w:t>
      </w:r>
      <w:proofErr w:type="spellEnd"/>
      <w:r>
        <w:rPr>
          <w:rFonts w:cstheme="minorHAnsi"/>
          <w:color w:val="000000" w:themeColor="text1"/>
          <w:sz w:val="22"/>
          <w:szCs w:val="22"/>
          <w:shd w:val="clear" w:color="auto" w:fill="FFFFFF"/>
        </w:rPr>
        <w:t xml:space="preserve"> March 2, 2020, </w:t>
      </w:r>
      <w:proofErr w:type="spellStart"/>
      <w:r w:rsidRPr="00132BA8">
        <w:rPr>
          <w:rFonts w:cstheme="minorHAnsi"/>
          <w:color w:val="000000" w:themeColor="text1"/>
          <w:sz w:val="22"/>
          <w:szCs w:val="22"/>
          <w:shd w:val="clear" w:color="auto" w:fill="FFFFFF"/>
        </w:rPr>
        <w:t>available</w:t>
      </w:r>
      <w:proofErr w:type="spellEnd"/>
      <w:r w:rsidRPr="00132BA8">
        <w:rPr>
          <w:rFonts w:cstheme="minorHAnsi"/>
          <w:color w:val="000000" w:themeColor="text1"/>
          <w:sz w:val="22"/>
          <w:szCs w:val="22"/>
          <w:shd w:val="clear" w:color="auto" w:fill="FFFFFF"/>
        </w:rPr>
        <w:t xml:space="preserve"> </w:t>
      </w:r>
      <w:hyperlink r:id="rId52" w:history="1">
        <w:r w:rsidRPr="00132BA8">
          <w:rPr>
            <w:rStyle w:val="Hyperlink"/>
            <w:rFonts w:cstheme="minorHAnsi"/>
            <w:sz w:val="22"/>
            <w:szCs w:val="22"/>
            <w:shd w:val="clear" w:color="auto" w:fill="FFFFFF"/>
          </w:rPr>
          <w:t>http://www.laohamutuk.org/Oil/PetFund/PFLaw9-2005En.pdf</w:t>
        </w:r>
      </w:hyperlink>
    </w:p>
    <w:p w14:paraId="095F46C2" w14:textId="77777777" w:rsidR="00661B9C" w:rsidRDefault="00661B9C" w:rsidP="00661B9C">
      <w:pPr>
        <w:tabs>
          <w:tab w:val="left" w:pos="720"/>
        </w:tabs>
        <w:ind w:left="720" w:hanging="720"/>
        <w:rPr>
          <w:rFonts w:cstheme="minorHAnsi"/>
          <w:color w:val="000000" w:themeColor="text1"/>
          <w:sz w:val="22"/>
          <w:szCs w:val="22"/>
        </w:rPr>
      </w:pPr>
    </w:p>
    <w:p w14:paraId="272A4929" w14:textId="77777777" w:rsidR="00661B9C" w:rsidRPr="00132BA8" w:rsidRDefault="00661B9C" w:rsidP="00661B9C">
      <w:pPr>
        <w:tabs>
          <w:tab w:val="left" w:pos="720"/>
        </w:tabs>
        <w:ind w:left="720" w:hanging="720"/>
        <w:rPr>
          <w:rFonts w:cstheme="minorHAnsi"/>
          <w:color w:val="000000" w:themeColor="text1"/>
          <w:sz w:val="22"/>
          <w:szCs w:val="22"/>
        </w:rPr>
      </w:pPr>
    </w:p>
    <w:p w14:paraId="1C4564B7" w14:textId="77777777" w:rsidR="00661B9C" w:rsidRPr="00974CE6" w:rsidRDefault="00661B9C" w:rsidP="00661B9C">
      <w:pPr>
        <w:tabs>
          <w:tab w:val="left" w:pos="720"/>
        </w:tabs>
        <w:ind w:left="720" w:hanging="720"/>
        <w:rPr>
          <w:rFonts w:cstheme="minorHAnsi"/>
          <w:color w:val="000000" w:themeColor="text1"/>
          <w:sz w:val="22"/>
          <w:szCs w:val="22"/>
        </w:rPr>
      </w:pPr>
      <w:bookmarkStart w:id="144" w:name="_Hlk34125897"/>
      <w:bookmarkStart w:id="145" w:name="_Hlk34125933"/>
      <w:proofErr w:type="spellStart"/>
      <w:r w:rsidRPr="00132BA8">
        <w:rPr>
          <w:rFonts w:cstheme="minorHAnsi"/>
          <w:color w:val="000000" w:themeColor="text1"/>
          <w:sz w:val="22"/>
          <w:szCs w:val="22"/>
        </w:rPr>
        <w:t>Secretary</w:t>
      </w:r>
      <w:proofErr w:type="spellEnd"/>
      <w:r w:rsidRPr="00132BA8">
        <w:rPr>
          <w:rFonts w:cstheme="minorHAnsi"/>
          <w:color w:val="000000" w:themeColor="text1"/>
          <w:sz w:val="22"/>
          <w:szCs w:val="22"/>
        </w:rPr>
        <w:t xml:space="preserve"> of State for </w:t>
      </w:r>
      <w:proofErr w:type="spellStart"/>
      <w:r w:rsidRPr="00132BA8">
        <w:rPr>
          <w:rFonts w:cstheme="minorHAnsi"/>
          <w:color w:val="000000" w:themeColor="text1"/>
          <w:sz w:val="22"/>
          <w:szCs w:val="22"/>
        </w:rPr>
        <w:t>Vocational</w:t>
      </w:r>
      <w:proofErr w:type="spellEnd"/>
      <w:r w:rsidRPr="00132BA8">
        <w:rPr>
          <w:rFonts w:cstheme="minorHAnsi"/>
          <w:color w:val="000000" w:themeColor="text1"/>
          <w:sz w:val="22"/>
          <w:szCs w:val="22"/>
        </w:rPr>
        <w:t xml:space="preserve"> Training and </w:t>
      </w:r>
      <w:proofErr w:type="spellStart"/>
      <w:r w:rsidRPr="00132BA8">
        <w:rPr>
          <w:rFonts w:cstheme="minorHAnsi"/>
          <w:color w:val="000000" w:themeColor="text1"/>
          <w:sz w:val="22"/>
          <w:szCs w:val="22"/>
        </w:rPr>
        <w:t>Employment</w:t>
      </w:r>
      <w:proofErr w:type="spellEnd"/>
      <w:r w:rsidRPr="00132BA8">
        <w:rPr>
          <w:rFonts w:cstheme="minorHAnsi"/>
          <w:color w:val="000000" w:themeColor="text1"/>
          <w:sz w:val="22"/>
          <w:szCs w:val="22"/>
        </w:rPr>
        <w:t xml:space="preserve"> (SEPFOPE), 2014b</w:t>
      </w:r>
      <w:r>
        <w:rPr>
          <w:rFonts w:cstheme="minorHAnsi"/>
          <w:color w:val="000000" w:themeColor="text1"/>
          <w:sz w:val="22"/>
          <w:szCs w:val="22"/>
        </w:rPr>
        <w:t>,</w:t>
      </w:r>
      <w:r w:rsidRPr="00132BA8">
        <w:rPr>
          <w:rFonts w:cstheme="minorHAnsi"/>
          <w:color w:val="000000" w:themeColor="text1"/>
          <w:sz w:val="22"/>
          <w:szCs w:val="22"/>
        </w:rPr>
        <w:t xml:space="preserve"> </w:t>
      </w:r>
      <w:r w:rsidRPr="0076729C">
        <w:rPr>
          <w:rFonts w:cstheme="minorHAnsi"/>
          <w:color w:val="000000" w:themeColor="text1"/>
          <w:sz w:val="22"/>
          <w:szCs w:val="22"/>
        </w:rPr>
        <w:t>“</w:t>
      </w:r>
      <w:r w:rsidRPr="00132BA8">
        <w:rPr>
          <w:rFonts w:cstheme="minorHAnsi"/>
          <w:color w:val="000000" w:themeColor="text1"/>
          <w:sz w:val="22"/>
          <w:szCs w:val="22"/>
        </w:rPr>
        <w:t xml:space="preserve">Tracer </w:t>
      </w:r>
      <w:proofErr w:type="spellStart"/>
      <w:r w:rsidRPr="00132BA8">
        <w:rPr>
          <w:rFonts w:cstheme="minorHAnsi"/>
          <w:color w:val="000000" w:themeColor="text1"/>
          <w:sz w:val="22"/>
          <w:szCs w:val="22"/>
        </w:rPr>
        <w:t>Study</w:t>
      </w:r>
      <w:proofErr w:type="spellEnd"/>
      <w:r w:rsidRPr="00132BA8">
        <w:rPr>
          <w:rFonts w:cstheme="minorHAnsi"/>
          <w:color w:val="000000" w:themeColor="text1"/>
          <w:sz w:val="22"/>
          <w:szCs w:val="22"/>
        </w:rPr>
        <w:t xml:space="preserve"> </w:t>
      </w:r>
      <w:proofErr w:type="spellStart"/>
      <w:r w:rsidRPr="00132BA8">
        <w:rPr>
          <w:rFonts w:cstheme="minorHAnsi"/>
          <w:color w:val="000000" w:themeColor="text1"/>
          <w:sz w:val="22"/>
          <w:szCs w:val="22"/>
        </w:rPr>
        <w:t>Technical</w:t>
      </w:r>
      <w:proofErr w:type="spellEnd"/>
      <w:r w:rsidRPr="00132BA8">
        <w:rPr>
          <w:rFonts w:cstheme="minorHAnsi"/>
          <w:color w:val="000000" w:themeColor="text1"/>
          <w:sz w:val="22"/>
          <w:szCs w:val="22"/>
        </w:rPr>
        <w:t xml:space="preserve"> Training </w:t>
      </w:r>
      <w:proofErr w:type="spellStart"/>
      <w:r w:rsidRPr="00132BA8">
        <w:rPr>
          <w:rFonts w:cstheme="minorHAnsi"/>
          <w:color w:val="000000" w:themeColor="text1"/>
          <w:sz w:val="22"/>
          <w:szCs w:val="22"/>
        </w:rPr>
        <w:t>Graduates</w:t>
      </w:r>
      <w:proofErr w:type="spellEnd"/>
      <w:r w:rsidRPr="00132BA8">
        <w:rPr>
          <w:rFonts w:cstheme="minorHAnsi"/>
          <w:color w:val="000000" w:themeColor="text1"/>
          <w:sz w:val="22"/>
          <w:szCs w:val="22"/>
        </w:rPr>
        <w:t xml:space="preserve"> 2014: A tracer </w:t>
      </w:r>
      <w:proofErr w:type="spellStart"/>
      <w:r w:rsidRPr="00132BA8">
        <w:rPr>
          <w:rFonts w:cstheme="minorHAnsi"/>
          <w:color w:val="000000" w:themeColor="text1"/>
          <w:sz w:val="22"/>
          <w:szCs w:val="22"/>
        </w:rPr>
        <w:t>study</w:t>
      </w:r>
      <w:proofErr w:type="spellEnd"/>
      <w:r w:rsidRPr="00132BA8">
        <w:rPr>
          <w:rFonts w:cstheme="minorHAnsi"/>
          <w:color w:val="000000" w:themeColor="text1"/>
          <w:sz w:val="22"/>
          <w:szCs w:val="22"/>
        </w:rPr>
        <w:t xml:space="preserve"> to </w:t>
      </w:r>
      <w:proofErr w:type="spellStart"/>
      <w:r w:rsidRPr="00132BA8">
        <w:rPr>
          <w:rFonts w:cstheme="minorHAnsi"/>
          <w:color w:val="000000" w:themeColor="text1"/>
          <w:sz w:val="22"/>
          <w:szCs w:val="22"/>
        </w:rPr>
        <w:t>evaluate</w:t>
      </w:r>
      <w:proofErr w:type="spellEnd"/>
      <w:r w:rsidRPr="00132BA8">
        <w:rPr>
          <w:rFonts w:cstheme="minorHAnsi"/>
          <w:color w:val="000000" w:themeColor="text1"/>
          <w:sz w:val="22"/>
          <w:szCs w:val="22"/>
        </w:rPr>
        <w:t xml:space="preserve"> the satisfaction and </w:t>
      </w:r>
      <w:proofErr w:type="spellStart"/>
      <w:r w:rsidRPr="00132BA8">
        <w:rPr>
          <w:rFonts w:cstheme="minorHAnsi"/>
          <w:color w:val="000000" w:themeColor="text1"/>
          <w:sz w:val="22"/>
          <w:szCs w:val="22"/>
        </w:rPr>
        <w:t>employment</w:t>
      </w:r>
      <w:proofErr w:type="spellEnd"/>
      <w:r w:rsidRPr="00132BA8">
        <w:rPr>
          <w:rFonts w:cstheme="minorHAnsi"/>
          <w:color w:val="000000" w:themeColor="text1"/>
          <w:sz w:val="22"/>
          <w:szCs w:val="22"/>
        </w:rPr>
        <w:t xml:space="preserve"> prospects for </w:t>
      </w:r>
      <w:proofErr w:type="spellStart"/>
      <w:r w:rsidRPr="00132BA8">
        <w:rPr>
          <w:rFonts w:cstheme="minorHAnsi"/>
          <w:color w:val="000000" w:themeColor="text1"/>
          <w:sz w:val="22"/>
          <w:szCs w:val="22"/>
        </w:rPr>
        <w:t>graduates</w:t>
      </w:r>
      <w:proofErr w:type="spellEnd"/>
      <w:r w:rsidRPr="00132BA8">
        <w:rPr>
          <w:rFonts w:cstheme="minorHAnsi"/>
          <w:color w:val="000000" w:themeColor="text1"/>
          <w:sz w:val="22"/>
          <w:szCs w:val="22"/>
        </w:rPr>
        <w:t xml:space="preserve"> of </w:t>
      </w:r>
      <w:proofErr w:type="spellStart"/>
      <w:r w:rsidRPr="00132BA8">
        <w:rPr>
          <w:rFonts w:cstheme="minorHAnsi"/>
          <w:color w:val="000000" w:themeColor="text1"/>
          <w:sz w:val="22"/>
          <w:szCs w:val="22"/>
        </w:rPr>
        <w:t>accredited</w:t>
      </w:r>
      <w:proofErr w:type="spellEnd"/>
      <w:r w:rsidRPr="00132BA8">
        <w:rPr>
          <w:rFonts w:cstheme="minorHAnsi"/>
          <w:color w:val="000000" w:themeColor="text1"/>
          <w:sz w:val="22"/>
          <w:szCs w:val="22"/>
        </w:rPr>
        <w:t xml:space="preserve"> </w:t>
      </w:r>
      <w:proofErr w:type="spellStart"/>
      <w:r w:rsidRPr="00132BA8">
        <w:rPr>
          <w:rFonts w:cstheme="minorHAnsi"/>
          <w:color w:val="000000" w:themeColor="text1"/>
          <w:sz w:val="22"/>
          <w:szCs w:val="22"/>
        </w:rPr>
        <w:t>technical</w:t>
      </w:r>
      <w:proofErr w:type="spellEnd"/>
      <w:r w:rsidRPr="00132BA8">
        <w:rPr>
          <w:rFonts w:cstheme="minorHAnsi"/>
          <w:color w:val="000000" w:themeColor="text1"/>
          <w:sz w:val="22"/>
          <w:szCs w:val="22"/>
        </w:rPr>
        <w:t xml:space="preserve"> training courses in Timor-Leste</w:t>
      </w:r>
      <w:r>
        <w:rPr>
          <w:rFonts w:cstheme="minorHAnsi"/>
          <w:color w:val="000000" w:themeColor="text1"/>
          <w:sz w:val="22"/>
          <w:szCs w:val="22"/>
        </w:rPr>
        <w:t>.</w:t>
      </w:r>
      <w:r w:rsidRPr="00132BA8">
        <w:rPr>
          <w:rFonts w:cstheme="minorHAnsi"/>
          <w:color w:val="000000" w:themeColor="text1"/>
          <w:sz w:val="22"/>
          <w:szCs w:val="22"/>
        </w:rPr>
        <w:t>”</w:t>
      </w:r>
      <w:r>
        <w:rPr>
          <w:rFonts w:cstheme="minorHAnsi"/>
          <w:color w:val="000000" w:themeColor="text1"/>
          <w:sz w:val="22"/>
          <w:szCs w:val="22"/>
        </w:rPr>
        <w:t xml:space="preserve"> </w:t>
      </w:r>
      <w:r w:rsidRPr="00132BA8">
        <w:rPr>
          <w:rFonts w:cstheme="minorHAnsi"/>
          <w:color w:val="000000" w:themeColor="text1"/>
          <w:sz w:val="22"/>
          <w:szCs w:val="22"/>
        </w:rPr>
        <w:t>Dili</w:t>
      </w:r>
      <w:r>
        <w:rPr>
          <w:rFonts w:cstheme="minorHAnsi"/>
          <w:color w:val="000000" w:themeColor="text1"/>
          <w:sz w:val="22"/>
          <w:szCs w:val="22"/>
        </w:rPr>
        <w:t>, 2014</w:t>
      </w:r>
      <w:bookmarkEnd w:id="144"/>
      <w:r>
        <w:rPr>
          <w:rFonts w:cstheme="minorHAnsi"/>
          <w:color w:val="000000" w:themeColor="text1"/>
          <w:sz w:val="22"/>
          <w:szCs w:val="22"/>
        </w:rPr>
        <w:t>.</w:t>
      </w:r>
    </w:p>
    <w:bookmarkEnd w:id="145"/>
    <w:p w14:paraId="2D358A83"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shd w:val="clear" w:color="auto" w:fill="FFFFFF"/>
        </w:rPr>
      </w:pPr>
    </w:p>
    <w:p w14:paraId="7A0F88BF"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shd w:val="clear" w:color="auto" w:fill="FFFFFF"/>
        </w:rPr>
      </w:pPr>
    </w:p>
    <w:p w14:paraId="40FDFA54" w14:textId="77777777" w:rsidR="00661B9C" w:rsidRDefault="00661B9C" w:rsidP="00661B9C">
      <w:pPr>
        <w:ind w:left="720" w:hanging="720"/>
        <w:rPr>
          <w:rFonts w:cstheme="minorHAnsi"/>
          <w:color w:val="000000" w:themeColor="text1"/>
          <w:sz w:val="22"/>
          <w:szCs w:val="22"/>
          <w:shd w:val="clear" w:color="auto" w:fill="FFFFFF"/>
        </w:rPr>
      </w:pPr>
      <w:bookmarkStart w:id="146" w:name="_Hlk34125558"/>
      <w:r w:rsidRPr="00406013">
        <w:rPr>
          <w:rFonts w:cstheme="minorHAnsi"/>
          <w:color w:val="000000" w:themeColor="text1"/>
          <w:sz w:val="22"/>
          <w:szCs w:val="22"/>
          <w:shd w:val="clear" w:color="auto" w:fill="FFFFFF"/>
        </w:rPr>
        <w:t xml:space="preserve">The Asia </w:t>
      </w:r>
      <w:proofErr w:type="spellStart"/>
      <w:r w:rsidRPr="00406013">
        <w:rPr>
          <w:rFonts w:cstheme="minorHAnsi"/>
          <w:color w:val="000000" w:themeColor="text1"/>
          <w:sz w:val="22"/>
          <w:szCs w:val="22"/>
          <w:shd w:val="clear" w:color="auto" w:fill="FFFFFF"/>
        </w:rPr>
        <w:t>Foundatio</w:t>
      </w:r>
      <w:r>
        <w:rPr>
          <w:rFonts w:cstheme="minorHAnsi"/>
          <w:color w:val="000000" w:themeColor="text1"/>
          <w:sz w:val="22"/>
          <w:szCs w:val="22"/>
          <w:shd w:val="clear" w:color="auto" w:fill="FFFFFF"/>
        </w:rPr>
        <w:t>n</w:t>
      </w:r>
      <w:proofErr w:type="spellEnd"/>
      <w:r>
        <w:rPr>
          <w:rFonts w:cstheme="minorHAnsi"/>
          <w:color w:val="000000" w:themeColor="text1"/>
          <w:sz w:val="22"/>
          <w:szCs w:val="22"/>
          <w:shd w:val="clear" w:color="auto" w:fill="FFFFFF"/>
        </w:rPr>
        <w:t>,</w:t>
      </w:r>
      <w:r w:rsidRPr="00406013">
        <w:rPr>
          <w:rFonts w:cstheme="minorHAnsi"/>
          <w:color w:val="000000" w:themeColor="text1"/>
          <w:sz w:val="22"/>
          <w:szCs w:val="22"/>
          <w:shd w:val="clear" w:color="auto" w:fill="FFFFFF"/>
        </w:rPr>
        <w:t xml:space="preserve"> </w:t>
      </w:r>
      <w:r w:rsidRPr="0076729C">
        <w:rPr>
          <w:rFonts w:cstheme="minorHAnsi"/>
          <w:color w:val="000000" w:themeColor="text1"/>
          <w:sz w:val="22"/>
          <w:szCs w:val="22"/>
        </w:rPr>
        <w:t>“</w:t>
      </w:r>
      <w:proofErr w:type="spellStart"/>
      <w:r w:rsidRPr="00406013">
        <w:rPr>
          <w:rFonts w:cstheme="minorHAnsi"/>
          <w:color w:val="000000" w:themeColor="text1"/>
          <w:sz w:val="22"/>
          <w:szCs w:val="22"/>
          <w:shd w:val="clear" w:color="auto" w:fill="FFFFFF"/>
        </w:rPr>
        <w:t>Understanding</w:t>
      </w:r>
      <w:proofErr w:type="spellEnd"/>
      <w:r w:rsidRPr="00406013">
        <w:rPr>
          <w:rFonts w:cstheme="minorHAnsi"/>
          <w:color w:val="000000" w:themeColor="text1"/>
          <w:sz w:val="22"/>
          <w:szCs w:val="22"/>
          <w:shd w:val="clear" w:color="auto" w:fill="FFFFFF"/>
        </w:rPr>
        <w:t xml:space="preserve"> Violence </w:t>
      </w:r>
      <w:proofErr w:type="spellStart"/>
      <w:r w:rsidRPr="00406013">
        <w:rPr>
          <w:rFonts w:cstheme="minorHAnsi"/>
          <w:color w:val="000000" w:themeColor="text1"/>
          <w:sz w:val="22"/>
          <w:szCs w:val="22"/>
          <w:shd w:val="clear" w:color="auto" w:fill="FFFFFF"/>
        </w:rPr>
        <w:t>against</w:t>
      </w:r>
      <w:proofErr w:type="spellEnd"/>
      <w:r w:rsidRPr="00406013">
        <w:rPr>
          <w:rFonts w:cstheme="minorHAnsi"/>
          <w:color w:val="000000" w:themeColor="text1"/>
          <w:sz w:val="22"/>
          <w:szCs w:val="22"/>
          <w:shd w:val="clear" w:color="auto" w:fill="FFFFFF"/>
        </w:rPr>
        <w:t xml:space="preserve"> </w:t>
      </w:r>
      <w:proofErr w:type="spellStart"/>
      <w:r w:rsidRPr="00406013">
        <w:rPr>
          <w:rFonts w:cstheme="minorHAnsi"/>
          <w:color w:val="000000" w:themeColor="text1"/>
          <w:sz w:val="22"/>
          <w:szCs w:val="22"/>
          <w:shd w:val="clear" w:color="auto" w:fill="FFFFFF"/>
        </w:rPr>
        <w:t>Women</w:t>
      </w:r>
      <w:proofErr w:type="spellEnd"/>
      <w:r w:rsidRPr="00406013">
        <w:rPr>
          <w:rFonts w:cstheme="minorHAnsi"/>
          <w:color w:val="000000" w:themeColor="text1"/>
          <w:sz w:val="22"/>
          <w:szCs w:val="22"/>
          <w:shd w:val="clear" w:color="auto" w:fill="FFFFFF"/>
        </w:rPr>
        <w:t xml:space="preserve"> and </w:t>
      </w:r>
      <w:proofErr w:type="spellStart"/>
      <w:r w:rsidRPr="00406013">
        <w:rPr>
          <w:rFonts w:cstheme="minorHAnsi"/>
          <w:color w:val="000000" w:themeColor="text1"/>
          <w:sz w:val="22"/>
          <w:szCs w:val="22"/>
          <w:shd w:val="clear" w:color="auto" w:fill="FFFFFF"/>
        </w:rPr>
        <w:t>Children</w:t>
      </w:r>
      <w:proofErr w:type="spellEnd"/>
      <w:r w:rsidRPr="00406013">
        <w:rPr>
          <w:rFonts w:cstheme="minorHAnsi"/>
          <w:color w:val="000000" w:themeColor="text1"/>
          <w:sz w:val="22"/>
          <w:szCs w:val="22"/>
          <w:shd w:val="clear" w:color="auto" w:fill="FFFFFF"/>
        </w:rPr>
        <w:t xml:space="preserve"> in Timor-Leste: </w:t>
      </w:r>
      <w:proofErr w:type="spellStart"/>
      <w:r w:rsidRPr="00406013">
        <w:rPr>
          <w:rFonts w:cstheme="minorHAnsi"/>
          <w:color w:val="000000" w:themeColor="text1"/>
          <w:sz w:val="22"/>
          <w:szCs w:val="22"/>
          <w:shd w:val="clear" w:color="auto" w:fill="FFFFFF"/>
        </w:rPr>
        <w:t>Findings</w:t>
      </w:r>
      <w:proofErr w:type="spellEnd"/>
      <w:r w:rsidRPr="00406013">
        <w:rPr>
          <w:rFonts w:cstheme="minorHAnsi"/>
          <w:color w:val="000000" w:themeColor="text1"/>
          <w:sz w:val="22"/>
          <w:szCs w:val="22"/>
          <w:shd w:val="clear" w:color="auto" w:fill="FFFFFF"/>
        </w:rPr>
        <w:t xml:space="preserve"> </w:t>
      </w:r>
      <w:proofErr w:type="spellStart"/>
      <w:r w:rsidRPr="00406013">
        <w:rPr>
          <w:rFonts w:cstheme="minorHAnsi"/>
          <w:color w:val="000000" w:themeColor="text1"/>
          <w:sz w:val="22"/>
          <w:szCs w:val="22"/>
          <w:shd w:val="clear" w:color="auto" w:fill="FFFFFF"/>
        </w:rPr>
        <w:t>from</w:t>
      </w:r>
      <w:proofErr w:type="spellEnd"/>
      <w:r w:rsidRPr="00406013">
        <w:rPr>
          <w:rFonts w:cstheme="minorHAnsi"/>
          <w:color w:val="000000" w:themeColor="text1"/>
          <w:sz w:val="22"/>
          <w:szCs w:val="22"/>
          <w:shd w:val="clear" w:color="auto" w:fill="FFFFFF"/>
        </w:rPr>
        <w:t xml:space="preserve"> the </w:t>
      </w:r>
      <w:proofErr w:type="spellStart"/>
      <w:r w:rsidRPr="00406013">
        <w:rPr>
          <w:rFonts w:cstheme="minorHAnsi"/>
          <w:color w:val="000000" w:themeColor="text1"/>
          <w:sz w:val="22"/>
          <w:szCs w:val="22"/>
          <w:shd w:val="clear" w:color="auto" w:fill="FFFFFF"/>
        </w:rPr>
        <w:t>Nabilan</w:t>
      </w:r>
      <w:proofErr w:type="spellEnd"/>
      <w:r w:rsidRPr="00406013">
        <w:rPr>
          <w:rFonts w:cstheme="minorHAnsi"/>
          <w:color w:val="000000" w:themeColor="text1"/>
          <w:sz w:val="22"/>
          <w:szCs w:val="22"/>
          <w:shd w:val="clear" w:color="auto" w:fill="FFFFFF"/>
        </w:rPr>
        <w:t xml:space="preserve"> Baseline </w:t>
      </w:r>
      <w:proofErr w:type="spellStart"/>
      <w:r w:rsidRPr="00406013">
        <w:rPr>
          <w:rFonts w:cstheme="minorHAnsi"/>
          <w:color w:val="000000" w:themeColor="text1"/>
          <w:sz w:val="22"/>
          <w:szCs w:val="22"/>
          <w:shd w:val="clear" w:color="auto" w:fill="FFFFFF"/>
        </w:rPr>
        <w:t>Study</w:t>
      </w:r>
      <w:proofErr w:type="spellEnd"/>
      <w:r>
        <w:rPr>
          <w:rFonts w:cstheme="minorHAnsi"/>
          <w:color w:val="000000" w:themeColor="text1"/>
          <w:sz w:val="22"/>
          <w:szCs w:val="22"/>
          <w:shd w:val="clear" w:color="auto" w:fill="FFFFFF"/>
        </w:rPr>
        <w:t>.</w:t>
      </w:r>
      <w:r w:rsidRPr="00132BA8">
        <w:rPr>
          <w:rFonts w:cstheme="minorHAnsi"/>
          <w:color w:val="000000" w:themeColor="text1"/>
          <w:sz w:val="22"/>
          <w:szCs w:val="22"/>
        </w:rPr>
        <w:t>”</w:t>
      </w:r>
      <w:r>
        <w:rPr>
          <w:rFonts w:cstheme="minorHAnsi"/>
          <w:color w:val="000000" w:themeColor="text1"/>
          <w:sz w:val="22"/>
          <w:szCs w:val="22"/>
        </w:rPr>
        <w:t xml:space="preserve"> </w:t>
      </w:r>
      <w:r w:rsidRPr="00406013">
        <w:rPr>
          <w:rFonts w:cstheme="minorHAnsi"/>
          <w:color w:val="000000" w:themeColor="text1"/>
          <w:sz w:val="22"/>
          <w:szCs w:val="22"/>
          <w:shd w:val="clear" w:color="auto" w:fill="FFFFFF"/>
        </w:rPr>
        <w:t>Dili</w:t>
      </w:r>
      <w:r>
        <w:rPr>
          <w:rFonts w:cstheme="minorHAnsi"/>
          <w:color w:val="000000" w:themeColor="text1"/>
          <w:sz w:val="22"/>
          <w:szCs w:val="22"/>
          <w:shd w:val="clear" w:color="auto" w:fill="FFFFFF"/>
        </w:rPr>
        <w:t>,</w:t>
      </w:r>
      <w:r w:rsidRPr="00406013">
        <w:rPr>
          <w:rFonts w:cstheme="minorHAnsi"/>
          <w:color w:val="000000" w:themeColor="text1"/>
          <w:sz w:val="22"/>
          <w:szCs w:val="22"/>
          <w:shd w:val="clear" w:color="auto" w:fill="FFFFFF"/>
        </w:rPr>
        <w:t xml:space="preserve"> </w:t>
      </w:r>
      <w:r>
        <w:rPr>
          <w:rFonts w:cstheme="minorHAnsi"/>
          <w:color w:val="000000" w:themeColor="text1"/>
          <w:sz w:val="22"/>
          <w:szCs w:val="22"/>
          <w:shd w:val="clear" w:color="auto" w:fill="FFFFFF"/>
        </w:rPr>
        <w:t>2016.</w:t>
      </w:r>
      <w:bookmarkEnd w:id="146"/>
    </w:p>
    <w:p w14:paraId="6A793491"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shd w:val="clear" w:color="auto" w:fill="FFFFFF"/>
        </w:rPr>
      </w:pPr>
    </w:p>
    <w:p w14:paraId="46E28687"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shd w:val="clear" w:color="auto" w:fill="FFFFFF"/>
        </w:rPr>
      </w:pPr>
    </w:p>
    <w:p w14:paraId="7B4FB970"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shd w:val="clear" w:color="auto" w:fill="FFFFFF"/>
        </w:rPr>
      </w:pPr>
      <w:r w:rsidRPr="0076729C">
        <w:rPr>
          <w:rFonts w:asciiTheme="minorHAnsi" w:hAnsiTheme="minorHAnsi" w:cstheme="minorHAnsi"/>
          <w:color w:val="000000" w:themeColor="text1"/>
          <w:sz w:val="22"/>
          <w:szCs w:val="22"/>
          <w:shd w:val="clear" w:color="auto" w:fill="FFFFFF"/>
        </w:rPr>
        <w:t>The Economist Intelligence Unit,</w:t>
      </w:r>
      <w:r w:rsidRPr="0076729C" w:rsidDel="00DC7664">
        <w:rPr>
          <w:rFonts w:asciiTheme="minorHAnsi" w:hAnsiTheme="minorHAnsi" w:cstheme="minorHAnsi"/>
          <w:color w:val="000000" w:themeColor="text1"/>
          <w:sz w:val="22"/>
          <w:szCs w:val="22"/>
          <w:shd w:val="clear" w:color="auto" w:fill="FFFFFF"/>
        </w:rPr>
        <w:t xml:space="preserve"> </w:t>
      </w:r>
      <w:r w:rsidRPr="0076729C">
        <w:rPr>
          <w:rFonts w:asciiTheme="minorHAnsi" w:hAnsiTheme="minorHAnsi" w:cstheme="minorHAnsi"/>
          <w:color w:val="000000" w:themeColor="text1"/>
          <w:sz w:val="22"/>
          <w:szCs w:val="22"/>
          <w:shd w:val="clear" w:color="auto" w:fill="FFFFFF"/>
        </w:rPr>
        <w:t>“</w:t>
      </w:r>
      <w:r w:rsidRPr="0076729C">
        <w:rPr>
          <w:rFonts w:asciiTheme="minorHAnsi" w:hAnsiTheme="minorHAnsi" w:cstheme="minorHAnsi"/>
          <w:color w:val="000000" w:themeColor="text1"/>
          <w:sz w:val="22"/>
          <w:szCs w:val="22"/>
        </w:rPr>
        <w:t>EIU Democracy Index 2018 - World Democracy Report</w:t>
      </w:r>
      <w:r>
        <w:rPr>
          <w:rFonts w:asciiTheme="minorHAnsi" w:hAnsiTheme="minorHAnsi" w:cstheme="minorHAnsi"/>
          <w:color w:val="000000" w:themeColor="text1"/>
          <w:sz w:val="22"/>
          <w:szCs w:val="22"/>
        </w:rPr>
        <w:t>.</w:t>
      </w:r>
      <w:r w:rsidRPr="0076729C">
        <w:rPr>
          <w:rFonts w:asciiTheme="minorHAnsi" w:hAnsiTheme="minorHAnsi" w:cstheme="minorHAnsi"/>
          <w:color w:val="000000" w:themeColor="text1"/>
          <w:sz w:val="22"/>
          <w:szCs w:val="22"/>
        </w:rPr>
        <w:t>”</w:t>
      </w:r>
      <w:r w:rsidRPr="0076729C">
        <w:rPr>
          <w:rFonts w:asciiTheme="minorHAnsi" w:hAnsiTheme="minorHAnsi" w:cstheme="minorHAnsi"/>
          <w:color w:val="000000" w:themeColor="text1"/>
          <w:sz w:val="22"/>
          <w:szCs w:val="22"/>
          <w:shd w:val="clear" w:color="auto" w:fill="FFFFFF"/>
        </w:rPr>
        <w:t xml:space="preserve"> </w:t>
      </w:r>
    </w:p>
    <w:p w14:paraId="3C89FA12" w14:textId="77777777" w:rsidR="00661B9C" w:rsidRDefault="00661B9C" w:rsidP="00661B9C">
      <w:pPr>
        <w:pStyle w:val="NormalWeb"/>
        <w:shd w:val="clear" w:color="auto" w:fill="FFFFFF" w:themeFill="background1"/>
        <w:spacing w:before="0" w:beforeAutospacing="0" w:after="0" w:afterAutospacing="0"/>
        <w:ind w:left="720"/>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a</w:t>
      </w:r>
      <w:r w:rsidRPr="0076729C">
        <w:rPr>
          <w:rFonts w:asciiTheme="minorHAnsi" w:hAnsiTheme="minorHAnsi" w:cstheme="minorHAnsi"/>
          <w:color w:val="000000" w:themeColor="text1"/>
          <w:sz w:val="22"/>
          <w:szCs w:val="22"/>
          <w:shd w:val="clear" w:color="auto" w:fill="FFFFFF"/>
        </w:rPr>
        <w:t xml:space="preserve">vailable  </w:t>
      </w:r>
      <w:hyperlink r:id="rId53" w:history="1">
        <w:r w:rsidRPr="0076729C">
          <w:rPr>
            <w:rStyle w:val="Hyperlink"/>
            <w:rFonts w:asciiTheme="minorHAnsi" w:hAnsiTheme="minorHAnsi" w:cstheme="minorHAnsi"/>
            <w:sz w:val="22"/>
            <w:szCs w:val="22"/>
            <w:shd w:val="clear" w:color="auto" w:fill="FFFFFF"/>
          </w:rPr>
          <w:t>https://www.eiu.com/topic/democracy-index</w:t>
        </w:r>
      </w:hyperlink>
      <w:r w:rsidRPr="0076729C">
        <w:rPr>
          <w:rFonts w:asciiTheme="minorHAnsi" w:hAnsiTheme="minorHAnsi" w:cstheme="minorHAnsi"/>
          <w:color w:val="000000" w:themeColor="text1"/>
          <w:sz w:val="22"/>
          <w:szCs w:val="22"/>
          <w:shd w:val="clear" w:color="auto" w:fill="FFFFFF"/>
        </w:rPr>
        <w:t>.</w:t>
      </w:r>
    </w:p>
    <w:p w14:paraId="144B4C19"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shd w:val="clear" w:color="auto" w:fill="FFFFFF"/>
        </w:rPr>
      </w:pPr>
    </w:p>
    <w:p w14:paraId="27B32078"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shd w:val="clear" w:color="auto" w:fill="FFFFFF"/>
        </w:rPr>
      </w:pPr>
    </w:p>
    <w:p w14:paraId="1DF156B7"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shd w:val="clear" w:color="auto" w:fill="FFFFFF"/>
        </w:rPr>
      </w:pPr>
      <w:bookmarkStart w:id="147" w:name="_Hlk34126275"/>
      <w:r>
        <w:rPr>
          <w:rFonts w:asciiTheme="minorHAnsi" w:hAnsiTheme="minorHAnsi" w:cstheme="minorHAnsi"/>
          <w:color w:val="000000" w:themeColor="text1"/>
          <w:sz w:val="22"/>
          <w:szCs w:val="22"/>
          <w:shd w:val="clear" w:color="auto" w:fill="FFFFFF"/>
        </w:rPr>
        <w:t>United Nations Sustainable Development Group (UNDG), “United Nations Sustainable Development Cooperation Framework Guidance.” 2019.</w:t>
      </w:r>
    </w:p>
    <w:bookmarkEnd w:id="147"/>
    <w:p w14:paraId="4E986A05"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shd w:val="clear" w:color="auto" w:fill="FFFFFF"/>
        </w:rPr>
      </w:pPr>
    </w:p>
    <w:p w14:paraId="48281CDB"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shd w:val="clear" w:color="auto" w:fill="FFFFFF"/>
        </w:rPr>
      </w:pPr>
    </w:p>
    <w:p w14:paraId="45E7CBA2"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shd w:val="clear" w:color="auto" w:fill="FFFFFF"/>
        </w:rPr>
      </w:pPr>
      <w:bookmarkStart w:id="148" w:name="_Hlk34128530"/>
      <w:r>
        <w:rPr>
          <w:rFonts w:asciiTheme="minorHAnsi" w:hAnsiTheme="minorHAnsi" w:cstheme="minorHAnsi"/>
          <w:color w:val="000000" w:themeColor="text1"/>
          <w:sz w:val="22"/>
          <w:szCs w:val="22"/>
          <w:shd w:val="clear" w:color="auto" w:fill="FFFFFF"/>
        </w:rPr>
        <w:t xml:space="preserve">United Nations Development Group (UNDG) and International </w:t>
      </w:r>
      <w:proofErr w:type="spellStart"/>
      <w:r>
        <w:rPr>
          <w:rFonts w:asciiTheme="minorHAnsi" w:hAnsiTheme="minorHAnsi" w:cstheme="minorHAnsi"/>
          <w:color w:val="000000" w:themeColor="text1"/>
          <w:sz w:val="22"/>
          <w:szCs w:val="22"/>
          <w:shd w:val="clear" w:color="auto" w:fill="FFFFFF"/>
        </w:rPr>
        <w:t>Labour</w:t>
      </w:r>
      <w:proofErr w:type="spellEnd"/>
      <w:r>
        <w:rPr>
          <w:rFonts w:asciiTheme="minorHAnsi" w:hAnsiTheme="minorHAnsi" w:cstheme="minorHAnsi"/>
          <w:color w:val="000000" w:themeColor="text1"/>
          <w:sz w:val="22"/>
          <w:szCs w:val="22"/>
          <w:shd w:val="clear" w:color="auto" w:fill="FFFFFF"/>
        </w:rPr>
        <w:t xml:space="preserve"> Organization (ILO), “UNDG Social Protection Coordination Toolkit: Coordinating the Design and Implementation of Nationally Defined Social Protection Floors.” Geneva, 2016.</w:t>
      </w:r>
      <w:bookmarkEnd w:id="148"/>
    </w:p>
    <w:p w14:paraId="687BEA07"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eastAsiaTheme="minorHAnsi" w:hAnsiTheme="minorHAnsi" w:cstheme="minorHAnsi"/>
          <w:color w:val="000000" w:themeColor="text1"/>
          <w:sz w:val="22"/>
          <w:szCs w:val="22"/>
          <w:shd w:val="clear" w:color="auto" w:fill="FFFFFF"/>
          <w:lang w:val="fr-FR"/>
        </w:rPr>
      </w:pPr>
      <w:bookmarkStart w:id="149" w:name="_Hlk34123961"/>
      <w:bookmarkStart w:id="150" w:name="_Hlk34123654"/>
    </w:p>
    <w:p w14:paraId="74CE091F"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eastAsiaTheme="minorHAnsi" w:hAnsiTheme="minorHAnsi" w:cstheme="minorHAnsi"/>
          <w:color w:val="000000" w:themeColor="text1"/>
          <w:sz w:val="22"/>
          <w:szCs w:val="22"/>
          <w:shd w:val="clear" w:color="auto" w:fill="FFFFFF"/>
          <w:lang w:val="fr-FR"/>
        </w:rPr>
      </w:pPr>
    </w:p>
    <w:p w14:paraId="1F40F0C3"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eastAsiaTheme="minorHAnsi" w:hAnsiTheme="minorHAnsi" w:cstheme="minorHAnsi"/>
          <w:color w:val="000000" w:themeColor="text1"/>
          <w:sz w:val="22"/>
          <w:szCs w:val="22"/>
          <w:shd w:val="clear" w:color="auto" w:fill="FFFFFF"/>
          <w:lang w:val="fr-FR"/>
        </w:rPr>
      </w:pPr>
      <w:r w:rsidRPr="00D94A06">
        <w:rPr>
          <w:rFonts w:asciiTheme="minorHAnsi" w:eastAsiaTheme="minorHAnsi" w:hAnsiTheme="minorHAnsi" w:cstheme="minorHAnsi"/>
          <w:color w:val="000000" w:themeColor="text1"/>
          <w:sz w:val="22"/>
          <w:szCs w:val="22"/>
          <w:shd w:val="clear" w:color="auto" w:fill="FFFFFF"/>
          <w:lang w:val="fr-FR"/>
        </w:rPr>
        <w:t xml:space="preserve">United Nations </w:t>
      </w:r>
      <w:proofErr w:type="spellStart"/>
      <w:r w:rsidRPr="00D94A06">
        <w:rPr>
          <w:rFonts w:asciiTheme="minorHAnsi" w:eastAsiaTheme="minorHAnsi" w:hAnsiTheme="minorHAnsi" w:cstheme="minorHAnsi"/>
          <w:color w:val="000000" w:themeColor="text1"/>
          <w:sz w:val="22"/>
          <w:szCs w:val="22"/>
          <w:shd w:val="clear" w:color="auto" w:fill="FFFFFF"/>
          <w:lang w:val="fr-FR"/>
        </w:rPr>
        <w:t>Development</w:t>
      </w:r>
      <w:proofErr w:type="spellEnd"/>
      <w:r w:rsidRPr="00D94A06">
        <w:rPr>
          <w:rFonts w:asciiTheme="minorHAnsi" w:eastAsiaTheme="minorHAnsi" w:hAnsiTheme="minorHAnsi" w:cstheme="minorHAnsi"/>
          <w:color w:val="000000" w:themeColor="text1"/>
          <w:sz w:val="22"/>
          <w:szCs w:val="22"/>
          <w:shd w:val="clear" w:color="auto" w:fill="FFFFFF"/>
          <w:lang w:val="fr-FR"/>
        </w:rPr>
        <w:t xml:space="preserve"> Programme (UNDP)</w:t>
      </w:r>
      <w:r>
        <w:rPr>
          <w:rFonts w:asciiTheme="minorHAnsi" w:eastAsiaTheme="minorHAnsi" w:hAnsiTheme="minorHAnsi" w:cstheme="minorHAnsi"/>
          <w:color w:val="000000" w:themeColor="text1"/>
          <w:sz w:val="22"/>
          <w:szCs w:val="22"/>
          <w:shd w:val="clear" w:color="auto" w:fill="FFFFFF"/>
          <w:lang w:val="fr-FR"/>
        </w:rPr>
        <w:t>,</w:t>
      </w:r>
      <w:r w:rsidRPr="00D94A06">
        <w:rPr>
          <w:rFonts w:asciiTheme="minorHAnsi" w:eastAsiaTheme="minorHAnsi" w:hAnsiTheme="minorHAnsi" w:cstheme="minorHAnsi"/>
          <w:color w:val="000000" w:themeColor="text1"/>
          <w:sz w:val="22"/>
          <w:szCs w:val="22"/>
          <w:shd w:val="clear" w:color="auto" w:fill="FFFFFF"/>
          <w:lang w:val="fr-FR"/>
        </w:rPr>
        <w:t xml:space="preserve"> </w:t>
      </w:r>
      <w:r w:rsidRPr="0076729C">
        <w:rPr>
          <w:rFonts w:asciiTheme="minorHAnsi" w:hAnsiTheme="minorHAnsi" w:cstheme="minorHAnsi"/>
          <w:color w:val="000000" w:themeColor="text1"/>
          <w:sz w:val="22"/>
          <w:szCs w:val="22"/>
          <w:shd w:val="clear" w:color="auto" w:fill="FFFFFF"/>
        </w:rPr>
        <w:t>“</w:t>
      </w:r>
      <w:r w:rsidRPr="00D94A06">
        <w:rPr>
          <w:rFonts w:asciiTheme="minorHAnsi" w:eastAsiaTheme="minorHAnsi" w:hAnsiTheme="minorHAnsi" w:cstheme="minorHAnsi"/>
          <w:color w:val="000000" w:themeColor="text1"/>
          <w:sz w:val="22"/>
          <w:szCs w:val="22"/>
          <w:shd w:val="clear" w:color="auto" w:fill="FFFFFF"/>
          <w:lang w:val="fr-FR"/>
        </w:rPr>
        <w:t xml:space="preserve">Beyond </w:t>
      </w:r>
      <w:proofErr w:type="spellStart"/>
      <w:r>
        <w:rPr>
          <w:rFonts w:asciiTheme="minorHAnsi" w:eastAsiaTheme="minorHAnsi" w:hAnsiTheme="minorHAnsi" w:cstheme="minorHAnsi"/>
          <w:color w:val="000000" w:themeColor="text1"/>
          <w:sz w:val="22"/>
          <w:szCs w:val="22"/>
          <w:shd w:val="clear" w:color="auto" w:fill="FFFFFF"/>
          <w:lang w:val="fr-FR"/>
        </w:rPr>
        <w:t>I</w:t>
      </w:r>
      <w:r w:rsidRPr="00D94A06">
        <w:rPr>
          <w:rFonts w:asciiTheme="minorHAnsi" w:eastAsiaTheme="minorHAnsi" w:hAnsiTheme="minorHAnsi" w:cstheme="minorHAnsi"/>
          <w:color w:val="000000" w:themeColor="text1"/>
          <w:sz w:val="22"/>
          <w:szCs w:val="22"/>
          <w:shd w:val="clear" w:color="auto" w:fill="FFFFFF"/>
          <w:lang w:val="fr-FR"/>
        </w:rPr>
        <w:t>ncome</w:t>
      </w:r>
      <w:proofErr w:type="spellEnd"/>
      <w:r w:rsidRPr="00D94A06">
        <w:rPr>
          <w:rFonts w:asciiTheme="minorHAnsi" w:eastAsiaTheme="minorHAnsi" w:hAnsiTheme="minorHAnsi" w:cstheme="minorHAnsi"/>
          <w:color w:val="000000" w:themeColor="text1"/>
          <w:sz w:val="22"/>
          <w:szCs w:val="22"/>
          <w:shd w:val="clear" w:color="auto" w:fill="FFFFFF"/>
          <w:lang w:val="fr-FR"/>
        </w:rPr>
        <w:t xml:space="preserve">, </w:t>
      </w:r>
      <w:r>
        <w:rPr>
          <w:rFonts w:asciiTheme="minorHAnsi" w:eastAsiaTheme="minorHAnsi" w:hAnsiTheme="minorHAnsi" w:cstheme="minorHAnsi"/>
          <w:color w:val="000000" w:themeColor="text1"/>
          <w:sz w:val="22"/>
          <w:szCs w:val="22"/>
          <w:shd w:val="clear" w:color="auto" w:fill="FFFFFF"/>
          <w:lang w:val="fr-FR"/>
        </w:rPr>
        <w:t>B</w:t>
      </w:r>
      <w:r w:rsidRPr="00D94A06">
        <w:rPr>
          <w:rFonts w:asciiTheme="minorHAnsi" w:eastAsiaTheme="minorHAnsi" w:hAnsiTheme="minorHAnsi" w:cstheme="minorHAnsi"/>
          <w:color w:val="000000" w:themeColor="text1"/>
          <w:sz w:val="22"/>
          <w:szCs w:val="22"/>
          <w:shd w:val="clear" w:color="auto" w:fill="FFFFFF"/>
          <w:lang w:val="fr-FR"/>
        </w:rPr>
        <w:t xml:space="preserve">eyond </w:t>
      </w:r>
      <w:proofErr w:type="spellStart"/>
      <w:r>
        <w:rPr>
          <w:rFonts w:asciiTheme="minorHAnsi" w:eastAsiaTheme="minorHAnsi" w:hAnsiTheme="minorHAnsi" w:cstheme="minorHAnsi"/>
          <w:color w:val="000000" w:themeColor="text1"/>
          <w:sz w:val="22"/>
          <w:szCs w:val="22"/>
          <w:shd w:val="clear" w:color="auto" w:fill="FFFFFF"/>
          <w:lang w:val="fr-FR"/>
        </w:rPr>
        <w:t>A</w:t>
      </w:r>
      <w:r w:rsidRPr="00D94A06">
        <w:rPr>
          <w:rFonts w:asciiTheme="minorHAnsi" w:eastAsiaTheme="minorHAnsi" w:hAnsiTheme="minorHAnsi" w:cstheme="minorHAnsi"/>
          <w:color w:val="000000" w:themeColor="text1"/>
          <w:sz w:val="22"/>
          <w:szCs w:val="22"/>
          <w:shd w:val="clear" w:color="auto" w:fill="FFFFFF"/>
          <w:lang w:val="fr-FR"/>
        </w:rPr>
        <w:t>verages</w:t>
      </w:r>
      <w:proofErr w:type="spellEnd"/>
      <w:r w:rsidRPr="00D94A06">
        <w:rPr>
          <w:rFonts w:asciiTheme="minorHAnsi" w:eastAsiaTheme="minorHAnsi" w:hAnsiTheme="minorHAnsi" w:cstheme="minorHAnsi"/>
          <w:color w:val="000000" w:themeColor="text1"/>
          <w:sz w:val="22"/>
          <w:szCs w:val="22"/>
          <w:shd w:val="clear" w:color="auto" w:fill="FFFFFF"/>
          <w:lang w:val="fr-FR"/>
        </w:rPr>
        <w:t xml:space="preserve">, </w:t>
      </w:r>
      <w:r>
        <w:rPr>
          <w:rFonts w:asciiTheme="minorHAnsi" w:eastAsiaTheme="minorHAnsi" w:hAnsiTheme="minorHAnsi" w:cstheme="minorHAnsi"/>
          <w:color w:val="000000" w:themeColor="text1"/>
          <w:sz w:val="22"/>
          <w:szCs w:val="22"/>
          <w:shd w:val="clear" w:color="auto" w:fill="FFFFFF"/>
          <w:lang w:val="fr-FR"/>
        </w:rPr>
        <w:t>B</w:t>
      </w:r>
      <w:r w:rsidRPr="00D94A06">
        <w:rPr>
          <w:rFonts w:asciiTheme="minorHAnsi" w:eastAsiaTheme="minorHAnsi" w:hAnsiTheme="minorHAnsi" w:cstheme="minorHAnsi"/>
          <w:color w:val="000000" w:themeColor="text1"/>
          <w:sz w:val="22"/>
          <w:szCs w:val="22"/>
          <w:shd w:val="clear" w:color="auto" w:fill="FFFFFF"/>
          <w:lang w:val="fr-FR"/>
        </w:rPr>
        <w:t xml:space="preserve">eyond </w:t>
      </w:r>
      <w:proofErr w:type="spellStart"/>
      <w:r>
        <w:rPr>
          <w:rFonts w:asciiTheme="minorHAnsi" w:eastAsiaTheme="minorHAnsi" w:hAnsiTheme="minorHAnsi" w:cstheme="minorHAnsi"/>
          <w:color w:val="000000" w:themeColor="text1"/>
          <w:sz w:val="22"/>
          <w:szCs w:val="22"/>
          <w:shd w:val="clear" w:color="auto" w:fill="FFFFFF"/>
          <w:lang w:val="fr-FR"/>
        </w:rPr>
        <w:t>T</w:t>
      </w:r>
      <w:r w:rsidRPr="00D94A06">
        <w:rPr>
          <w:rFonts w:asciiTheme="minorHAnsi" w:eastAsiaTheme="minorHAnsi" w:hAnsiTheme="minorHAnsi" w:cstheme="minorHAnsi"/>
          <w:color w:val="000000" w:themeColor="text1"/>
          <w:sz w:val="22"/>
          <w:szCs w:val="22"/>
          <w:shd w:val="clear" w:color="auto" w:fill="FFFFFF"/>
          <w:lang w:val="fr-FR"/>
        </w:rPr>
        <w:t>oday</w:t>
      </w:r>
      <w:proofErr w:type="spellEnd"/>
      <w:r w:rsidRPr="00D94A06">
        <w:rPr>
          <w:rFonts w:asciiTheme="minorHAnsi" w:eastAsiaTheme="minorHAnsi" w:hAnsiTheme="minorHAnsi" w:cstheme="minorHAnsi"/>
          <w:color w:val="000000" w:themeColor="text1"/>
          <w:sz w:val="22"/>
          <w:szCs w:val="22"/>
          <w:shd w:val="clear" w:color="auto" w:fill="FFFFFF"/>
          <w:lang w:val="fr-FR"/>
        </w:rPr>
        <w:t xml:space="preserve">: </w:t>
      </w:r>
      <w:proofErr w:type="spellStart"/>
      <w:r>
        <w:rPr>
          <w:rFonts w:asciiTheme="minorHAnsi" w:eastAsiaTheme="minorHAnsi" w:hAnsiTheme="minorHAnsi" w:cstheme="minorHAnsi"/>
          <w:color w:val="000000" w:themeColor="text1"/>
          <w:sz w:val="22"/>
          <w:szCs w:val="22"/>
          <w:shd w:val="clear" w:color="auto" w:fill="FFFFFF"/>
          <w:lang w:val="fr-FR"/>
        </w:rPr>
        <w:t>I</w:t>
      </w:r>
      <w:r w:rsidRPr="00D94A06">
        <w:rPr>
          <w:rFonts w:asciiTheme="minorHAnsi" w:eastAsiaTheme="minorHAnsi" w:hAnsiTheme="minorHAnsi" w:cstheme="minorHAnsi"/>
          <w:color w:val="000000" w:themeColor="text1"/>
          <w:sz w:val="22"/>
          <w:szCs w:val="22"/>
          <w:shd w:val="clear" w:color="auto" w:fill="FFFFFF"/>
          <w:lang w:val="fr-FR"/>
        </w:rPr>
        <w:t>nequalities</w:t>
      </w:r>
      <w:proofErr w:type="spellEnd"/>
      <w:r w:rsidRPr="00D94A06">
        <w:rPr>
          <w:rFonts w:asciiTheme="minorHAnsi" w:eastAsiaTheme="minorHAnsi" w:hAnsiTheme="minorHAnsi" w:cstheme="minorHAnsi"/>
          <w:color w:val="000000" w:themeColor="text1"/>
          <w:sz w:val="22"/>
          <w:szCs w:val="22"/>
          <w:shd w:val="clear" w:color="auto" w:fill="FFFFFF"/>
          <w:lang w:val="fr-FR"/>
        </w:rPr>
        <w:t xml:space="preserve"> in </w:t>
      </w:r>
      <w:r>
        <w:rPr>
          <w:rFonts w:asciiTheme="minorHAnsi" w:eastAsiaTheme="minorHAnsi" w:hAnsiTheme="minorHAnsi" w:cstheme="minorHAnsi"/>
          <w:color w:val="000000" w:themeColor="text1"/>
          <w:sz w:val="22"/>
          <w:szCs w:val="22"/>
          <w:shd w:val="clear" w:color="auto" w:fill="FFFFFF"/>
          <w:lang w:val="fr-FR"/>
        </w:rPr>
        <w:t>H</w:t>
      </w:r>
      <w:r w:rsidRPr="00D94A06">
        <w:rPr>
          <w:rFonts w:asciiTheme="minorHAnsi" w:eastAsiaTheme="minorHAnsi" w:hAnsiTheme="minorHAnsi" w:cstheme="minorHAnsi"/>
          <w:color w:val="000000" w:themeColor="text1"/>
          <w:sz w:val="22"/>
          <w:szCs w:val="22"/>
          <w:shd w:val="clear" w:color="auto" w:fill="FFFFFF"/>
          <w:lang w:val="fr-FR"/>
        </w:rPr>
        <w:t xml:space="preserve">uman </w:t>
      </w:r>
      <w:proofErr w:type="spellStart"/>
      <w:r>
        <w:rPr>
          <w:rFonts w:asciiTheme="minorHAnsi" w:eastAsiaTheme="minorHAnsi" w:hAnsiTheme="minorHAnsi" w:cstheme="minorHAnsi"/>
          <w:color w:val="000000" w:themeColor="text1"/>
          <w:sz w:val="22"/>
          <w:szCs w:val="22"/>
          <w:shd w:val="clear" w:color="auto" w:fill="FFFFFF"/>
          <w:lang w:val="fr-FR"/>
        </w:rPr>
        <w:t>D</w:t>
      </w:r>
      <w:r w:rsidRPr="00D94A06">
        <w:rPr>
          <w:rFonts w:asciiTheme="minorHAnsi" w:eastAsiaTheme="minorHAnsi" w:hAnsiTheme="minorHAnsi" w:cstheme="minorHAnsi"/>
          <w:color w:val="000000" w:themeColor="text1"/>
          <w:sz w:val="22"/>
          <w:szCs w:val="22"/>
          <w:shd w:val="clear" w:color="auto" w:fill="FFFFFF"/>
          <w:lang w:val="fr-FR"/>
        </w:rPr>
        <w:t>evelopment</w:t>
      </w:r>
      <w:proofErr w:type="spellEnd"/>
      <w:r w:rsidRPr="00D94A06">
        <w:rPr>
          <w:rFonts w:asciiTheme="minorHAnsi" w:eastAsiaTheme="minorHAnsi" w:hAnsiTheme="minorHAnsi" w:cstheme="minorHAnsi"/>
          <w:color w:val="000000" w:themeColor="text1"/>
          <w:sz w:val="22"/>
          <w:szCs w:val="22"/>
          <w:shd w:val="clear" w:color="auto" w:fill="FFFFFF"/>
          <w:lang w:val="fr-FR"/>
        </w:rPr>
        <w:t> in the 21st Century</w:t>
      </w:r>
      <w:r>
        <w:rPr>
          <w:rFonts w:asciiTheme="minorHAnsi" w:eastAsiaTheme="minorHAnsi" w:hAnsiTheme="minorHAnsi" w:cstheme="minorHAnsi"/>
          <w:color w:val="000000" w:themeColor="text1"/>
          <w:sz w:val="22"/>
          <w:szCs w:val="22"/>
          <w:shd w:val="clear" w:color="auto" w:fill="FFFFFF"/>
          <w:lang w:val="fr-FR"/>
        </w:rPr>
        <w:t>.</w:t>
      </w:r>
      <w:r w:rsidRPr="0076729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16216B">
        <w:rPr>
          <w:rFonts w:asciiTheme="minorHAnsi" w:eastAsiaTheme="minorHAnsi" w:hAnsiTheme="minorHAnsi" w:cstheme="minorHAnsi"/>
          <w:color w:val="000000" w:themeColor="text1"/>
          <w:sz w:val="22"/>
          <w:szCs w:val="22"/>
          <w:shd w:val="clear" w:color="auto" w:fill="FFFFFF"/>
          <w:lang w:val="fr-FR"/>
        </w:rPr>
        <w:t xml:space="preserve">Timor-Leste National Human </w:t>
      </w:r>
      <w:proofErr w:type="spellStart"/>
      <w:r w:rsidRPr="0016216B">
        <w:rPr>
          <w:rFonts w:asciiTheme="minorHAnsi" w:eastAsiaTheme="minorHAnsi" w:hAnsiTheme="minorHAnsi" w:cstheme="minorHAnsi"/>
          <w:color w:val="000000" w:themeColor="text1"/>
          <w:sz w:val="22"/>
          <w:szCs w:val="22"/>
          <w:shd w:val="clear" w:color="auto" w:fill="FFFFFF"/>
          <w:lang w:val="fr-FR"/>
        </w:rPr>
        <w:t>Development</w:t>
      </w:r>
      <w:proofErr w:type="spellEnd"/>
      <w:r w:rsidRPr="0016216B">
        <w:rPr>
          <w:rFonts w:asciiTheme="minorHAnsi" w:eastAsiaTheme="minorHAnsi" w:hAnsiTheme="minorHAnsi" w:cstheme="minorHAnsi"/>
          <w:color w:val="000000" w:themeColor="text1"/>
          <w:sz w:val="22"/>
          <w:szCs w:val="22"/>
          <w:shd w:val="clear" w:color="auto" w:fill="FFFFFF"/>
          <w:lang w:val="fr-FR"/>
        </w:rPr>
        <w:t xml:space="preserve"> Report (HDR),</w:t>
      </w:r>
      <w:r w:rsidRPr="00D94A06">
        <w:rPr>
          <w:rFonts w:asciiTheme="minorHAnsi" w:eastAsiaTheme="minorHAnsi" w:hAnsiTheme="minorHAnsi" w:cstheme="minorHAnsi"/>
          <w:color w:val="000000" w:themeColor="text1"/>
          <w:sz w:val="22"/>
          <w:szCs w:val="22"/>
          <w:shd w:val="clear" w:color="auto" w:fill="FFFFFF"/>
          <w:lang w:val="fr-FR"/>
        </w:rPr>
        <w:t xml:space="preserve"> New York</w:t>
      </w:r>
      <w:r>
        <w:rPr>
          <w:rFonts w:asciiTheme="minorHAnsi" w:eastAsiaTheme="minorHAnsi" w:hAnsiTheme="minorHAnsi" w:cstheme="minorHAnsi"/>
          <w:color w:val="000000" w:themeColor="text1"/>
          <w:sz w:val="22"/>
          <w:szCs w:val="22"/>
          <w:shd w:val="clear" w:color="auto" w:fill="FFFFFF"/>
          <w:lang w:val="fr-FR"/>
        </w:rPr>
        <w:t>, 2019.</w:t>
      </w:r>
      <w:r w:rsidRPr="00D94A06">
        <w:rPr>
          <w:rFonts w:asciiTheme="minorHAnsi" w:eastAsiaTheme="minorHAnsi" w:hAnsiTheme="minorHAnsi" w:cstheme="minorHAnsi"/>
          <w:color w:val="000000" w:themeColor="text1"/>
          <w:sz w:val="22"/>
          <w:szCs w:val="22"/>
          <w:shd w:val="clear" w:color="auto" w:fill="FFFFFF"/>
          <w:lang w:val="fr-FR"/>
        </w:rPr>
        <w:t xml:space="preserve"> </w:t>
      </w:r>
      <w:bookmarkEnd w:id="149"/>
    </w:p>
    <w:p w14:paraId="19611E1E"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eastAsiaTheme="minorHAnsi" w:hAnsiTheme="minorHAnsi" w:cstheme="minorHAnsi"/>
          <w:color w:val="000000" w:themeColor="text1"/>
          <w:sz w:val="22"/>
          <w:szCs w:val="22"/>
          <w:shd w:val="clear" w:color="auto" w:fill="FFFFFF"/>
          <w:lang w:val="fr-FR"/>
        </w:rPr>
      </w:pPr>
    </w:p>
    <w:p w14:paraId="3DCD1DFF"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eastAsiaTheme="minorHAnsi" w:hAnsiTheme="minorHAnsi" w:cstheme="minorHAnsi"/>
          <w:color w:val="000000" w:themeColor="text1"/>
          <w:sz w:val="22"/>
          <w:szCs w:val="22"/>
          <w:shd w:val="clear" w:color="auto" w:fill="FFFFFF"/>
          <w:lang w:val="fr-FR"/>
        </w:rPr>
      </w:pPr>
    </w:p>
    <w:p w14:paraId="010482DA" w14:textId="77777777" w:rsidR="00661B9C" w:rsidRPr="0076729C" w:rsidRDefault="00661B9C" w:rsidP="00661B9C">
      <w:pPr>
        <w:pStyle w:val="NormalWeb"/>
        <w:shd w:val="clear" w:color="auto" w:fill="FFFFFF" w:themeFill="background1"/>
        <w:spacing w:before="0" w:beforeAutospacing="0" w:after="0" w:afterAutospacing="0"/>
        <w:ind w:left="720" w:hanging="720"/>
        <w:jc w:val="both"/>
        <w:rPr>
          <w:rFonts w:asciiTheme="minorHAnsi" w:eastAsiaTheme="minorHAnsi" w:hAnsiTheme="minorHAnsi" w:cstheme="minorHAnsi"/>
          <w:color w:val="000000" w:themeColor="text1"/>
          <w:sz w:val="22"/>
          <w:szCs w:val="22"/>
          <w:shd w:val="clear" w:color="auto" w:fill="FFFFFF"/>
          <w:lang w:val="fr-FR"/>
        </w:rPr>
      </w:pPr>
      <w:r w:rsidRPr="0076729C">
        <w:rPr>
          <w:rFonts w:asciiTheme="minorHAnsi" w:eastAsiaTheme="minorHAnsi" w:hAnsiTheme="minorHAnsi" w:cstheme="minorHAnsi"/>
          <w:color w:val="000000" w:themeColor="text1"/>
          <w:sz w:val="22"/>
          <w:szCs w:val="22"/>
          <w:shd w:val="clear" w:color="auto" w:fill="FFFFFF"/>
          <w:lang w:val="fr-FR"/>
        </w:rPr>
        <w:t>U</w:t>
      </w:r>
      <w:r>
        <w:rPr>
          <w:rFonts w:asciiTheme="minorHAnsi" w:eastAsiaTheme="minorHAnsi" w:hAnsiTheme="minorHAnsi" w:cstheme="minorHAnsi"/>
          <w:color w:val="000000" w:themeColor="text1"/>
          <w:sz w:val="22"/>
          <w:szCs w:val="22"/>
          <w:shd w:val="clear" w:color="auto" w:fill="FFFFFF"/>
          <w:lang w:val="fr-FR"/>
        </w:rPr>
        <w:t xml:space="preserve">nited Nations </w:t>
      </w:r>
      <w:proofErr w:type="spellStart"/>
      <w:r>
        <w:rPr>
          <w:rFonts w:asciiTheme="minorHAnsi" w:eastAsiaTheme="minorHAnsi" w:hAnsiTheme="minorHAnsi" w:cstheme="minorHAnsi"/>
          <w:color w:val="000000" w:themeColor="text1"/>
          <w:sz w:val="22"/>
          <w:szCs w:val="22"/>
          <w:shd w:val="clear" w:color="auto" w:fill="FFFFFF"/>
          <w:lang w:val="fr-FR"/>
        </w:rPr>
        <w:t>Development</w:t>
      </w:r>
      <w:proofErr w:type="spellEnd"/>
      <w:r>
        <w:rPr>
          <w:rFonts w:asciiTheme="minorHAnsi" w:eastAsiaTheme="minorHAnsi" w:hAnsiTheme="minorHAnsi" w:cstheme="minorHAnsi"/>
          <w:color w:val="000000" w:themeColor="text1"/>
          <w:sz w:val="22"/>
          <w:szCs w:val="22"/>
          <w:shd w:val="clear" w:color="auto" w:fill="FFFFFF"/>
          <w:lang w:val="fr-FR"/>
        </w:rPr>
        <w:t xml:space="preserve"> Programme (UN</w:t>
      </w:r>
      <w:r w:rsidRPr="0076729C">
        <w:rPr>
          <w:rFonts w:asciiTheme="minorHAnsi" w:eastAsiaTheme="minorHAnsi" w:hAnsiTheme="minorHAnsi" w:cstheme="minorHAnsi"/>
          <w:color w:val="000000" w:themeColor="text1"/>
          <w:sz w:val="22"/>
          <w:szCs w:val="22"/>
          <w:shd w:val="clear" w:color="auto" w:fill="FFFFFF"/>
          <w:lang w:val="fr-FR"/>
        </w:rPr>
        <w:t>DP</w:t>
      </w:r>
      <w:r>
        <w:rPr>
          <w:rFonts w:asciiTheme="minorHAnsi" w:eastAsiaTheme="minorHAnsi" w:hAnsiTheme="minorHAnsi" w:cstheme="minorHAnsi"/>
          <w:color w:val="000000" w:themeColor="text1"/>
          <w:sz w:val="22"/>
          <w:szCs w:val="22"/>
          <w:shd w:val="clear" w:color="auto" w:fill="FFFFFF"/>
          <w:lang w:val="fr-FR"/>
        </w:rPr>
        <w:t>)</w:t>
      </w:r>
      <w:r w:rsidRPr="0076729C">
        <w:rPr>
          <w:rFonts w:asciiTheme="minorHAnsi" w:eastAsiaTheme="minorHAnsi" w:hAnsiTheme="minorHAnsi" w:cstheme="minorHAnsi"/>
          <w:color w:val="000000" w:themeColor="text1"/>
          <w:sz w:val="22"/>
          <w:szCs w:val="22"/>
          <w:shd w:val="clear" w:color="auto" w:fill="FFFFFF"/>
          <w:lang w:val="fr-FR"/>
        </w:rPr>
        <w:t xml:space="preserve">, Human </w:t>
      </w:r>
      <w:proofErr w:type="spellStart"/>
      <w:r w:rsidRPr="0076729C">
        <w:rPr>
          <w:rFonts w:asciiTheme="minorHAnsi" w:eastAsiaTheme="minorHAnsi" w:hAnsiTheme="minorHAnsi" w:cstheme="minorHAnsi"/>
          <w:color w:val="000000" w:themeColor="text1"/>
          <w:sz w:val="22"/>
          <w:szCs w:val="22"/>
          <w:shd w:val="clear" w:color="auto" w:fill="FFFFFF"/>
          <w:lang w:val="fr-FR"/>
        </w:rPr>
        <w:t>Development</w:t>
      </w:r>
      <w:proofErr w:type="spellEnd"/>
      <w:r w:rsidRPr="0076729C">
        <w:rPr>
          <w:rFonts w:asciiTheme="minorHAnsi" w:eastAsiaTheme="minorHAnsi" w:hAnsiTheme="minorHAnsi" w:cstheme="minorHAnsi"/>
          <w:color w:val="000000" w:themeColor="text1"/>
          <w:sz w:val="22"/>
          <w:szCs w:val="22"/>
          <w:shd w:val="clear" w:color="auto" w:fill="FFFFFF"/>
          <w:lang w:val="fr-FR"/>
        </w:rPr>
        <w:t xml:space="preserve"> Index (HDI), </w:t>
      </w:r>
      <w:proofErr w:type="spellStart"/>
      <w:r>
        <w:rPr>
          <w:rFonts w:asciiTheme="minorHAnsi" w:eastAsiaTheme="minorHAnsi" w:hAnsiTheme="minorHAnsi" w:cstheme="minorHAnsi"/>
          <w:color w:val="000000" w:themeColor="text1"/>
          <w:sz w:val="22"/>
          <w:szCs w:val="22"/>
          <w:shd w:val="clear" w:color="auto" w:fill="FFFFFF"/>
          <w:lang w:val="fr-FR"/>
        </w:rPr>
        <w:t>accessed</w:t>
      </w:r>
      <w:proofErr w:type="spellEnd"/>
      <w:r>
        <w:rPr>
          <w:rFonts w:asciiTheme="minorHAnsi" w:eastAsiaTheme="minorHAnsi" w:hAnsiTheme="minorHAnsi" w:cstheme="minorHAnsi"/>
          <w:color w:val="000000" w:themeColor="text1"/>
          <w:sz w:val="22"/>
          <w:szCs w:val="22"/>
          <w:shd w:val="clear" w:color="auto" w:fill="FFFFFF"/>
          <w:lang w:val="fr-FR"/>
        </w:rPr>
        <w:t xml:space="preserve"> </w:t>
      </w:r>
      <w:proofErr w:type="spellStart"/>
      <w:r>
        <w:rPr>
          <w:rFonts w:asciiTheme="minorHAnsi" w:eastAsiaTheme="minorHAnsi" w:hAnsiTheme="minorHAnsi" w:cstheme="minorHAnsi"/>
          <w:color w:val="000000" w:themeColor="text1"/>
          <w:sz w:val="22"/>
          <w:szCs w:val="22"/>
          <w:shd w:val="clear" w:color="auto" w:fill="FFFFFF"/>
          <w:lang w:val="fr-FR"/>
        </w:rPr>
        <w:t>December</w:t>
      </w:r>
      <w:proofErr w:type="spellEnd"/>
      <w:r>
        <w:rPr>
          <w:rFonts w:asciiTheme="minorHAnsi" w:eastAsiaTheme="minorHAnsi" w:hAnsiTheme="minorHAnsi" w:cstheme="minorHAnsi"/>
          <w:color w:val="000000" w:themeColor="text1"/>
          <w:sz w:val="22"/>
          <w:szCs w:val="22"/>
          <w:shd w:val="clear" w:color="auto" w:fill="FFFFFF"/>
          <w:lang w:val="fr-FR"/>
        </w:rPr>
        <w:t xml:space="preserve"> 17, 2019, </w:t>
      </w:r>
      <w:proofErr w:type="spellStart"/>
      <w:r>
        <w:rPr>
          <w:rFonts w:asciiTheme="minorHAnsi" w:eastAsiaTheme="minorHAnsi" w:hAnsiTheme="minorHAnsi" w:cstheme="minorHAnsi"/>
          <w:color w:val="000000" w:themeColor="text1"/>
          <w:sz w:val="22"/>
          <w:szCs w:val="22"/>
          <w:shd w:val="clear" w:color="auto" w:fill="FFFFFF"/>
          <w:lang w:val="fr-FR"/>
        </w:rPr>
        <w:t>a</w:t>
      </w:r>
      <w:r w:rsidRPr="0076729C">
        <w:rPr>
          <w:rFonts w:asciiTheme="minorHAnsi" w:eastAsiaTheme="minorHAnsi" w:hAnsiTheme="minorHAnsi" w:cstheme="minorHAnsi"/>
          <w:color w:val="000000" w:themeColor="text1"/>
          <w:sz w:val="22"/>
          <w:szCs w:val="22"/>
          <w:shd w:val="clear" w:color="auto" w:fill="FFFFFF"/>
          <w:lang w:val="fr-FR"/>
        </w:rPr>
        <w:t>vailable</w:t>
      </w:r>
      <w:proofErr w:type="spellEnd"/>
      <w:r w:rsidRPr="0076729C">
        <w:rPr>
          <w:rFonts w:asciiTheme="minorHAnsi" w:hAnsiTheme="minorHAnsi" w:cstheme="minorHAnsi"/>
          <w:color w:val="000000" w:themeColor="text1"/>
          <w:sz w:val="22"/>
          <w:szCs w:val="22"/>
          <w:lang w:eastAsia="en-GB"/>
        </w:rPr>
        <w:t xml:space="preserve"> </w:t>
      </w:r>
      <w:hyperlink r:id="rId54" w:history="1">
        <w:r w:rsidRPr="0076729C">
          <w:rPr>
            <w:rStyle w:val="Hyperlink"/>
            <w:rFonts w:asciiTheme="minorHAnsi" w:eastAsiaTheme="majorEastAsia" w:hAnsiTheme="minorHAnsi" w:cstheme="minorHAnsi"/>
            <w:sz w:val="22"/>
            <w:szCs w:val="22"/>
          </w:rPr>
          <w:t>http://hdr.undp.org/en/content/human-development-index-hdi</w:t>
        </w:r>
      </w:hyperlink>
      <w:r w:rsidRPr="0076729C">
        <w:rPr>
          <w:rFonts w:asciiTheme="minorHAnsi" w:hAnsiTheme="minorHAnsi" w:cstheme="minorHAnsi"/>
          <w:color w:val="000000" w:themeColor="text1"/>
          <w:sz w:val="22"/>
          <w:szCs w:val="22"/>
        </w:rPr>
        <w:t xml:space="preserve"> </w:t>
      </w:r>
      <w:bookmarkEnd w:id="150"/>
    </w:p>
    <w:p w14:paraId="251C960D" w14:textId="77777777" w:rsidR="00661B9C" w:rsidRPr="0076729C" w:rsidRDefault="00661B9C" w:rsidP="00661B9C">
      <w:pPr>
        <w:pStyle w:val="NormalWeb"/>
        <w:shd w:val="clear" w:color="auto" w:fill="FFFFFF" w:themeFill="background1"/>
        <w:spacing w:before="0" w:beforeAutospacing="0" w:after="0" w:afterAutospacing="0"/>
        <w:jc w:val="both"/>
        <w:rPr>
          <w:rFonts w:asciiTheme="minorHAnsi" w:eastAsiaTheme="minorHAnsi" w:hAnsiTheme="minorHAnsi" w:cstheme="minorHAnsi"/>
          <w:color w:val="000000" w:themeColor="text1"/>
          <w:sz w:val="22"/>
          <w:szCs w:val="22"/>
          <w:shd w:val="clear" w:color="auto" w:fill="FFFFFF"/>
          <w:lang w:val="fr-FR"/>
        </w:rPr>
      </w:pPr>
    </w:p>
    <w:p w14:paraId="54B534AF" w14:textId="77777777" w:rsidR="00661B9C" w:rsidRPr="0076729C" w:rsidRDefault="00661B9C" w:rsidP="00661B9C">
      <w:pPr>
        <w:pStyle w:val="NormalWeb"/>
        <w:shd w:val="clear" w:color="auto" w:fill="FFFFFF" w:themeFill="background1"/>
        <w:spacing w:before="0" w:beforeAutospacing="0" w:after="0" w:afterAutospacing="0"/>
        <w:jc w:val="both"/>
        <w:rPr>
          <w:rFonts w:asciiTheme="minorHAnsi" w:eastAsiaTheme="minorHAnsi" w:hAnsiTheme="minorHAnsi" w:cstheme="minorHAnsi"/>
          <w:color w:val="000000" w:themeColor="text1"/>
          <w:sz w:val="22"/>
          <w:szCs w:val="22"/>
          <w:shd w:val="clear" w:color="auto" w:fill="FFFFFF"/>
          <w:lang w:val="fr-FR"/>
        </w:rPr>
      </w:pPr>
    </w:p>
    <w:p w14:paraId="46B2F940" w14:textId="77777777" w:rsidR="00661B9C" w:rsidRPr="00D94A06" w:rsidRDefault="00661B9C" w:rsidP="00661B9C">
      <w:pPr>
        <w:pStyle w:val="NormalWeb"/>
        <w:shd w:val="clear" w:color="auto" w:fill="FFFFFF" w:themeFill="background1"/>
        <w:spacing w:before="0" w:beforeAutospacing="0" w:after="0" w:afterAutospacing="0"/>
        <w:ind w:left="720" w:hanging="720"/>
        <w:jc w:val="both"/>
        <w:rPr>
          <w:rFonts w:asciiTheme="minorHAnsi" w:eastAsiaTheme="minorHAnsi" w:hAnsiTheme="minorHAnsi" w:cstheme="minorHAnsi"/>
          <w:color w:val="000000" w:themeColor="text1"/>
          <w:sz w:val="22"/>
          <w:szCs w:val="22"/>
          <w:shd w:val="clear" w:color="auto" w:fill="FFFFFF"/>
          <w:lang w:val="fr-FR"/>
        </w:rPr>
      </w:pPr>
      <w:r w:rsidRPr="00D94A06">
        <w:rPr>
          <w:rFonts w:asciiTheme="minorHAnsi" w:eastAsiaTheme="minorHAnsi" w:hAnsiTheme="minorHAnsi" w:cstheme="minorHAnsi"/>
          <w:color w:val="000000" w:themeColor="text1"/>
          <w:sz w:val="22"/>
          <w:szCs w:val="22"/>
          <w:shd w:val="clear" w:color="auto" w:fill="FFFFFF"/>
          <w:lang w:val="fr-FR"/>
        </w:rPr>
        <w:t xml:space="preserve">United Nations </w:t>
      </w:r>
      <w:proofErr w:type="spellStart"/>
      <w:r w:rsidRPr="00D94A06">
        <w:rPr>
          <w:rFonts w:asciiTheme="minorHAnsi" w:eastAsiaTheme="minorHAnsi" w:hAnsiTheme="minorHAnsi" w:cstheme="minorHAnsi"/>
          <w:color w:val="000000" w:themeColor="text1"/>
          <w:sz w:val="22"/>
          <w:szCs w:val="22"/>
          <w:shd w:val="clear" w:color="auto" w:fill="FFFFFF"/>
          <w:lang w:val="fr-FR"/>
        </w:rPr>
        <w:t>Development</w:t>
      </w:r>
      <w:proofErr w:type="spellEnd"/>
      <w:r w:rsidRPr="00D94A06">
        <w:rPr>
          <w:rFonts w:asciiTheme="minorHAnsi" w:eastAsiaTheme="minorHAnsi" w:hAnsiTheme="minorHAnsi" w:cstheme="minorHAnsi"/>
          <w:color w:val="000000" w:themeColor="text1"/>
          <w:sz w:val="22"/>
          <w:szCs w:val="22"/>
          <w:shd w:val="clear" w:color="auto" w:fill="FFFFFF"/>
          <w:lang w:val="fr-FR"/>
        </w:rPr>
        <w:t xml:space="preserve"> Programme (UNDP) (2018b). </w:t>
      </w:r>
      <w:r w:rsidRPr="0076729C">
        <w:rPr>
          <w:rFonts w:asciiTheme="minorHAnsi" w:hAnsiTheme="minorHAnsi" w:cstheme="minorHAnsi"/>
          <w:color w:val="000000" w:themeColor="text1"/>
          <w:sz w:val="22"/>
          <w:szCs w:val="22"/>
          <w:shd w:val="clear" w:color="auto" w:fill="FFFFFF"/>
        </w:rPr>
        <w:t>“</w:t>
      </w:r>
      <w:r w:rsidRPr="00D94A06">
        <w:rPr>
          <w:rFonts w:asciiTheme="minorHAnsi" w:eastAsiaTheme="minorHAnsi" w:hAnsiTheme="minorHAnsi" w:cstheme="minorHAnsi"/>
          <w:color w:val="000000" w:themeColor="text1"/>
          <w:sz w:val="22"/>
          <w:szCs w:val="22"/>
          <w:shd w:val="clear" w:color="auto" w:fill="FFFFFF"/>
          <w:lang w:val="fr-FR"/>
        </w:rPr>
        <w:t xml:space="preserve">Planning the </w:t>
      </w:r>
      <w:proofErr w:type="spellStart"/>
      <w:r>
        <w:rPr>
          <w:rFonts w:asciiTheme="minorHAnsi" w:eastAsiaTheme="minorHAnsi" w:hAnsiTheme="minorHAnsi" w:cstheme="minorHAnsi"/>
          <w:color w:val="000000" w:themeColor="text1"/>
          <w:sz w:val="22"/>
          <w:szCs w:val="22"/>
          <w:shd w:val="clear" w:color="auto" w:fill="FFFFFF"/>
          <w:lang w:val="fr-FR"/>
        </w:rPr>
        <w:t>O</w:t>
      </w:r>
      <w:r w:rsidRPr="00D94A06">
        <w:rPr>
          <w:rFonts w:asciiTheme="minorHAnsi" w:eastAsiaTheme="minorHAnsi" w:hAnsiTheme="minorHAnsi" w:cstheme="minorHAnsi"/>
          <w:color w:val="000000" w:themeColor="text1"/>
          <w:sz w:val="22"/>
          <w:szCs w:val="22"/>
          <w:shd w:val="clear" w:color="auto" w:fill="FFFFFF"/>
          <w:lang w:val="fr-FR"/>
        </w:rPr>
        <w:t>pportunities</w:t>
      </w:r>
      <w:proofErr w:type="spellEnd"/>
      <w:r w:rsidRPr="00D94A06">
        <w:rPr>
          <w:rFonts w:asciiTheme="minorHAnsi" w:eastAsiaTheme="minorHAnsi" w:hAnsiTheme="minorHAnsi" w:cstheme="minorHAnsi"/>
          <w:color w:val="000000" w:themeColor="text1"/>
          <w:sz w:val="22"/>
          <w:szCs w:val="22"/>
          <w:shd w:val="clear" w:color="auto" w:fill="FFFFFF"/>
          <w:lang w:val="fr-FR"/>
        </w:rPr>
        <w:t xml:space="preserve"> for a </w:t>
      </w:r>
      <w:proofErr w:type="spellStart"/>
      <w:r>
        <w:rPr>
          <w:rFonts w:asciiTheme="minorHAnsi" w:eastAsiaTheme="minorHAnsi" w:hAnsiTheme="minorHAnsi" w:cstheme="minorHAnsi"/>
          <w:color w:val="000000" w:themeColor="text1"/>
          <w:sz w:val="22"/>
          <w:szCs w:val="22"/>
          <w:shd w:val="clear" w:color="auto" w:fill="FFFFFF"/>
          <w:lang w:val="fr-FR"/>
        </w:rPr>
        <w:t>Y</w:t>
      </w:r>
      <w:r w:rsidRPr="00D94A06">
        <w:rPr>
          <w:rFonts w:asciiTheme="minorHAnsi" w:eastAsiaTheme="minorHAnsi" w:hAnsiTheme="minorHAnsi" w:cstheme="minorHAnsi"/>
          <w:color w:val="000000" w:themeColor="text1"/>
          <w:sz w:val="22"/>
          <w:szCs w:val="22"/>
          <w:shd w:val="clear" w:color="auto" w:fill="FFFFFF"/>
          <w:lang w:val="fr-FR"/>
        </w:rPr>
        <w:t>outhful</w:t>
      </w:r>
      <w:proofErr w:type="spellEnd"/>
      <w:r w:rsidRPr="00D94A06">
        <w:rPr>
          <w:rFonts w:asciiTheme="minorHAnsi" w:eastAsiaTheme="minorHAnsi" w:hAnsiTheme="minorHAnsi" w:cstheme="minorHAnsi"/>
          <w:color w:val="000000" w:themeColor="text1"/>
          <w:sz w:val="22"/>
          <w:szCs w:val="22"/>
          <w:shd w:val="clear" w:color="auto" w:fill="FFFFFF"/>
          <w:lang w:val="fr-FR"/>
        </w:rPr>
        <w:t xml:space="preserve"> </w:t>
      </w:r>
      <w:r>
        <w:rPr>
          <w:rFonts w:asciiTheme="minorHAnsi" w:eastAsiaTheme="minorHAnsi" w:hAnsiTheme="minorHAnsi" w:cstheme="minorHAnsi"/>
          <w:color w:val="000000" w:themeColor="text1"/>
          <w:sz w:val="22"/>
          <w:szCs w:val="22"/>
          <w:shd w:val="clear" w:color="auto" w:fill="FFFFFF"/>
          <w:lang w:val="fr-FR"/>
        </w:rPr>
        <w:t>P</w:t>
      </w:r>
      <w:r w:rsidRPr="00D94A06">
        <w:rPr>
          <w:rFonts w:asciiTheme="minorHAnsi" w:eastAsiaTheme="minorHAnsi" w:hAnsiTheme="minorHAnsi" w:cstheme="minorHAnsi"/>
          <w:color w:val="000000" w:themeColor="text1"/>
          <w:sz w:val="22"/>
          <w:szCs w:val="22"/>
          <w:shd w:val="clear" w:color="auto" w:fill="FFFFFF"/>
          <w:lang w:val="fr-FR"/>
        </w:rPr>
        <w:t>opulation</w:t>
      </w:r>
      <w:r>
        <w:rPr>
          <w:rFonts w:asciiTheme="minorHAnsi" w:eastAsiaTheme="minorHAnsi" w:hAnsiTheme="minorHAnsi" w:cstheme="minorHAnsi"/>
          <w:color w:val="000000" w:themeColor="text1"/>
          <w:sz w:val="22"/>
          <w:szCs w:val="22"/>
          <w:shd w:val="clear" w:color="auto" w:fill="FFFFFF"/>
          <w:lang w:val="fr-FR"/>
        </w:rPr>
        <w:t>.</w:t>
      </w:r>
      <w:r w:rsidRPr="0076729C">
        <w:rPr>
          <w:rFonts w:asciiTheme="minorHAnsi" w:hAnsiTheme="minorHAnsi" w:cstheme="minorHAnsi"/>
          <w:color w:val="000000" w:themeColor="text1"/>
          <w:sz w:val="22"/>
          <w:szCs w:val="22"/>
        </w:rPr>
        <w:t>”</w:t>
      </w:r>
      <w:r w:rsidRPr="00D94A06">
        <w:rPr>
          <w:rFonts w:asciiTheme="minorHAnsi" w:eastAsiaTheme="minorHAnsi" w:hAnsiTheme="minorHAnsi" w:cstheme="minorHAnsi"/>
          <w:color w:val="000000" w:themeColor="text1"/>
          <w:sz w:val="22"/>
          <w:szCs w:val="22"/>
          <w:shd w:val="clear" w:color="auto" w:fill="FFFFFF"/>
          <w:lang w:val="fr-FR"/>
        </w:rPr>
        <w:t xml:space="preserve"> </w:t>
      </w:r>
      <w:r w:rsidRPr="0016216B">
        <w:rPr>
          <w:rFonts w:asciiTheme="minorHAnsi" w:eastAsiaTheme="minorHAnsi" w:hAnsiTheme="minorHAnsi" w:cstheme="minorHAnsi"/>
          <w:color w:val="000000" w:themeColor="text1"/>
          <w:sz w:val="22"/>
          <w:szCs w:val="22"/>
          <w:shd w:val="clear" w:color="auto" w:fill="FFFFFF"/>
          <w:lang w:val="fr-FR"/>
        </w:rPr>
        <w:t xml:space="preserve">Timor-Leste National Human </w:t>
      </w:r>
      <w:proofErr w:type="spellStart"/>
      <w:r w:rsidRPr="0016216B">
        <w:rPr>
          <w:rFonts w:asciiTheme="minorHAnsi" w:eastAsiaTheme="minorHAnsi" w:hAnsiTheme="minorHAnsi" w:cstheme="minorHAnsi"/>
          <w:color w:val="000000" w:themeColor="text1"/>
          <w:sz w:val="22"/>
          <w:szCs w:val="22"/>
          <w:shd w:val="clear" w:color="auto" w:fill="FFFFFF"/>
          <w:lang w:val="fr-FR"/>
        </w:rPr>
        <w:t>Development</w:t>
      </w:r>
      <w:proofErr w:type="spellEnd"/>
      <w:r w:rsidRPr="0016216B">
        <w:rPr>
          <w:rFonts w:asciiTheme="minorHAnsi" w:eastAsiaTheme="minorHAnsi" w:hAnsiTheme="minorHAnsi" w:cstheme="minorHAnsi"/>
          <w:color w:val="000000" w:themeColor="text1"/>
          <w:sz w:val="22"/>
          <w:szCs w:val="22"/>
          <w:shd w:val="clear" w:color="auto" w:fill="FFFFFF"/>
          <w:lang w:val="fr-FR"/>
        </w:rPr>
        <w:t xml:space="preserve"> Report (HDR),</w:t>
      </w:r>
      <w:r w:rsidRPr="00D94A06">
        <w:rPr>
          <w:rFonts w:asciiTheme="minorHAnsi" w:eastAsiaTheme="minorHAnsi" w:hAnsiTheme="minorHAnsi" w:cstheme="minorHAnsi"/>
          <w:color w:val="000000" w:themeColor="text1"/>
          <w:sz w:val="22"/>
          <w:szCs w:val="22"/>
          <w:shd w:val="clear" w:color="auto" w:fill="FFFFFF"/>
          <w:lang w:val="fr-FR"/>
        </w:rPr>
        <w:t xml:space="preserve"> New York</w:t>
      </w:r>
      <w:r>
        <w:rPr>
          <w:rFonts w:asciiTheme="minorHAnsi" w:eastAsiaTheme="minorHAnsi" w:hAnsiTheme="minorHAnsi" w:cstheme="minorHAnsi"/>
          <w:color w:val="000000" w:themeColor="text1"/>
          <w:sz w:val="22"/>
          <w:szCs w:val="22"/>
          <w:shd w:val="clear" w:color="auto" w:fill="FFFFFF"/>
          <w:lang w:val="fr-FR"/>
        </w:rPr>
        <w:t>, 2018.</w:t>
      </w:r>
    </w:p>
    <w:p w14:paraId="5B10DBF9"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eastAsiaTheme="minorHAnsi" w:hAnsiTheme="minorHAnsi" w:cstheme="minorHAnsi"/>
          <w:color w:val="000000" w:themeColor="text1"/>
          <w:sz w:val="22"/>
          <w:szCs w:val="22"/>
          <w:shd w:val="clear" w:color="auto" w:fill="FFFFFF"/>
          <w:lang w:val="fr-FR"/>
        </w:rPr>
      </w:pPr>
    </w:p>
    <w:p w14:paraId="30D3C37D"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eastAsiaTheme="minorHAnsi" w:hAnsiTheme="minorHAnsi" w:cstheme="minorHAnsi"/>
          <w:color w:val="000000" w:themeColor="text1"/>
          <w:sz w:val="22"/>
          <w:szCs w:val="22"/>
          <w:shd w:val="clear" w:color="auto" w:fill="FFFFFF"/>
          <w:lang w:val="fr-FR"/>
        </w:rPr>
      </w:pPr>
    </w:p>
    <w:p w14:paraId="46FF58B1" w14:textId="77777777" w:rsidR="00661B9C" w:rsidRPr="00832309"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rPr>
      </w:pPr>
      <w:bookmarkStart w:id="151" w:name="_Hlk34119597"/>
      <w:r w:rsidRPr="0076729C">
        <w:rPr>
          <w:rFonts w:asciiTheme="minorHAnsi" w:hAnsiTheme="minorHAnsi" w:cstheme="minorHAnsi"/>
          <w:color w:val="000000" w:themeColor="text1"/>
          <w:sz w:val="22"/>
          <w:szCs w:val="22"/>
        </w:rPr>
        <w:t>U</w:t>
      </w:r>
      <w:r>
        <w:rPr>
          <w:rFonts w:asciiTheme="minorHAnsi" w:hAnsiTheme="minorHAnsi" w:cstheme="minorHAnsi"/>
          <w:color w:val="000000" w:themeColor="text1"/>
          <w:sz w:val="22"/>
          <w:szCs w:val="22"/>
        </w:rPr>
        <w:t>nited Nations International Children’s Education Fund</w:t>
      </w:r>
      <w:r w:rsidRPr="00832309">
        <w:rPr>
          <w:rFonts w:asciiTheme="minorHAnsi" w:hAnsiTheme="minorHAnsi" w:cstheme="minorHAnsi"/>
          <w:color w:val="000000" w:themeColor="text1"/>
          <w:sz w:val="22"/>
          <w:szCs w:val="22"/>
        </w:rPr>
        <w:t xml:space="preserve"> (UNICEF) </w:t>
      </w:r>
      <w:r>
        <w:rPr>
          <w:rFonts w:asciiTheme="minorHAnsi" w:hAnsiTheme="minorHAnsi" w:cstheme="minorHAnsi"/>
          <w:color w:val="000000" w:themeColor="text1"/>
          <w:sz w:val="22"/>
          <w:szCs w:val="22"/>
        </w:rPr>
        <w:t>Timor-Leste,</w:t>
      </w:r>
      <w:r w:rsidRPr="0083230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Pr="00832309">
        <w:rPr>
          <w:rFonts w:asciiTheme="minorHAnsi" w:hAnsiTheme="minorHAnsi" w:cstheme="minorHAnsi"/>
          <w:color w:val="000000" w:themeColor="text1"/>
          <w:sz w:val="22"/>
          <w:szCs w:val="22"/>
        </w:rPr>
        <w:t>Baseline Study of Knowledge, Attitudes and Practices towards Ten Key Focus Areas of Parenting in Timor-Leste</w:t>
      </w:r>
      <w:r>
        <w:rPr>
          <w:rFonts w:asciiTheme="minorHAnsi" w:hAnsiTheme="minorHAnsi" w:cstheme="minorHAnsi"/>
          <w:color w:val="000000" w:themeColor="text1"/>
          <w:sz w:val="22"/>
          <w:szCs w:val="22"/>
        </w:rPr>
        <w:t>.” Dili, 2017.</w:t>
      </w:r>
    </w:p>
    <w:bookmarkEnd w:id="151"/>
    <w:p w14:paraId="4CFA66AD" w14:textId="77777777" w:rsidR="00661B9C" w:rsidRDefault="00661B9C" w:rsidP="00661B9C">
      <w:pPr>
        <w:ind w:left="720" w:hanging="720"/>
        <w:rPr>
          <w:rFonts w:cstheme="minorHAnsi"/>
          <w:sz w:val="22"/>
          <w:szCs w:val="22"/>
          <w:lang w:val="en-US"/>
        </w:rPr>
      </w:pPr>
    </w:p>
    <w:p w14:paraId="3D41D5A9" w14:textId="77777777" w:rsidR="00661B9C" w:rsidRDefault="00661B9C" w:rsidP="00661B9C">
      <w:pPr>
        <w:ind w:left="720" w:hanging="720"/>
        <w:rPr>
          <w:rFonts w:cstheme="minorHAnsi"/>
          <w:sz w:val="22"/>
          <w:szCs w:val="22"/>
          <w:lang w:val="en-US"/>
        </w:rPr>
      </w:pPr>
    </w:p>
    <w:p w14:paraId="21AE93EE" w14:textId="77777777" w:rsidR="00661B9C" w:rsidRPr="00832309"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rPr>
      </w:pPr>
      <w:r w:rsidRPr="0076729C">
        <w:rPr>
          <w:rFonts w:asciiTheme="minorHAnsi" w:hAnsiTheme="minorHAnsi" w:cstheme="minorHAnsi"/>
          <w:color w:val="000000" w:themeColor="text1"/>
          <w:sz w:val="22"/>
          <w:szCs w:val="22"/>
        </w:rPr>
        <w:t>U</w:t>
      </w:r>
      <w:r>
        <w:rPr>
          <w:rFonts w:asciiTheme="minorHAnsi" w:hAnsiTheme="minorHAnsi" w:cstheme="minorHAnsi"/>
          <w:color w:val="000000" w:themeColor="text1"/>
          <w:sz w:val="22"/>
          <w:szCs w:val="22"/>
        </w:rPr>
        <w:t>nited Nations International Children’s Education Fund</w:t>
      </w:r>
      <w:r w:rsidRPr="00832309">
        <w:rPr>
          <w:rFonts w:asciiTheme="minorHAnsi" w:hAnsiTheme="minorHAnsi" w:cstheme="minorHAnsi"/>
          <w:color w:val="000000" w:themeColor="text1"/>
          <w:sz w:val="22"/>
          <w:szCs w:val="22"/>
        </w:rPr>
        <w:t xml:space="preserve"> (UNICEF)</w:t>
      </w:r>
      <w:r>
        <w:rPr>
          <w:rFonts w:asciiTheme="minorHAnsi" w:hAnsiTheme="minorHAnsi" w:cstheme="minorHAnsi"/>
          <w:color w:val="000000" w:themeColor="text1"/>
          <w:sz w:val="22"/>
          <w:szCs w:val="22"/>
        </w:rPr>
        <w:t xml:space="preserve"> Timor-Leste</w:t>
      </w:r>
      <w:r w:rsidRPr="00832309">
        <w:rPr>
          <w:rFonts w:asciiTheme="minorHAnsi" w:hAnsiTheme="minorHAnsi" w:cstheme="minorHAnsi"/>
          <w:color w:val="000000" w:themeColor="text1"/>
          <w:sz w:val="22"/>
          <w:szCs w:val="22"/>
        </w:rPr>
        <w:t xml:space="preserve"> (2016a). </w:t>
      </w:r>
      <w:r>
        <w:rPr>
          <w:rFonts w:asciiTheme="minorHAnsi" w:hAnsiTheme="minorHAnsi" w:cstheme="minorHAnsi"/>
          <w:color w:val="000000" w:themeColor="text1"/>
          <w:sz w:val="22"/>
          <w:szCs w:val="22"/>
        </w:rPr>
        <w:t>“</w:t>
      </w:r>
      <w:r w:rsidRPr="00832309">
        <w:rPr>
          <w:rFonts w:asciiTheme="minorHAnsi" w:hAnsiTheme="minorHAnsi" w:cstheme="minorHAnsi"/>
          <w:color w:val="000000" w:themeColor="text1"/>
          <w:sz w:val="22"/>
          <w:szCs w:val="22"/>
        </w:rPr>
        <w:t>Study on violence against children in and around educational settings</w:t>
      </w:r>
      <w:r>
        <w:rPr>
          <w:rFonts w:asciiTheme="minorHAnsi" w:hAnsiTheme="minorHAnsi" w:cstheme="minorHAnsi"/>
          <w:color w:val="000000" w:themeColor="text1"/>
          <w:sz w:val="22"/>
          <w:szCs w:val="22"/>
        </w:rPr>
        <w:t>.” Dili, 2016.</w:t>
      </w:r>
      <w:r w:rsidRPr="00832309">
        <w:rPr>
          <w:rFonts w:asciiTheme="minorHAnsi" w:hAnsiTheme="minorHAnsi" w:cstheme="minorHAnsi"/>
          <w:color w:val="000000" w:themeColor="text1"/>
          <w:sz w:val="22"/>
          <w:szCs w:val="22"/>
        </w:rPr>
        <w:t xml:space="preserve"> </w:t>
      </w:r>
    </w:p>
    <w:p w14:paraId="416DDBA4" w14:textId="77777777" w:rsidR="00661B9C" w:rsidRDefault="00661B9C" w:rsidP="00661B9C">
      <w:pPr>
        <w:ind w:left="720" w:hanging="720"/>
        <w:rPr>
          <w:rFonts w:cstheme="minorHAnsi"/>
          <w:sz w:val="22"/>
          <w:szCs w:val="22"/>
          <w:lang w:val="en-US"/>
        </w:rPr>
      </w:pPr>
    </w:p>
    <w:p w14:paraId="2E8FF5AD" w14:textId="77777777" w:rsidR="00661B9C" w:rsidRDefault="00661B9C" w:rsidP="00661B9C">
      <w:pPr>
        <w:ind w:left="720" w:hanging="720"/>
        <w:rPr>
          <w:rFonts w:cstheme="minorHAnsi"/>
          <w:sz w:val="22"/>
          <w:szCs w:val="22"/>
          <w:lang w:val="en-US"/>
        </w:rPr>
      </w:pPr>
    </w:p>
    <w:p w14:paraId="63D0B22E" w14:textId="77777777" w:rsidR="00661B9C" w:rsidRPr="00972CD8" w:rsidRDefault="00661B9C" w:rsidP="00661B9C">
      <w:pPr>
        <w:ind w:left="720" w:hanging="720"/>
        <w:rPr>
          <w:rFonts w:cs="Arial"/>
          <w:sz w:val="22"/>
          <w:szCs w:val="22"/>
        </w:rPr>
      </w:pPr>
      <w:r>
        <w:rPr>
          <w:rFonts w:cstheme="minorHAnsi"/>
          <w:sz w:val="22"/>
          <w:szCs w:val="22"/>
        </w:rPr>
        <w:t xml:space="preserve">United Nations </w:t>
      </w:r>
      <w:proofErr w:type="spellStart"/>
      <w:r>
        <w:rPr>
          <w:rFonts w:cstheme="minorHAnsi"/>
          <w:sz w:val="22"/>
          <w:szCs w:val="22"/>
        </w:rPr>
        <w:t>Children’s</w:t>
      </w:r>
      <w:proofErr w:type="spellEnd"/>
      <w:r>
        <w:rPr>
          <w:rFonts w:cstheme="minorHAnsi"/>
          <w:sz w:val="22"/>
          <w:szCs w:val="22"/>
        </w:rPr>
        <w:t xml:space="preserve"> </w:t>
      </w:r>
      <w:proofErr w:type="spellStart"/>
      <w:r>
        <w:rPr>
          <w:rFonts w:cstheme="minorHAnsi"/>
          <w:sz w:val="22"/>
          <w:szCs w:val="22"/>
        </w:rPr>
        <w:t>Fund</w:t>
      </w:r>
      <w:proofErr w:type="spellEnd"/>
      <w:r>
        <w:rPr>
          <w:rFonts w:cstheme="minorHAnsi"/>
          <w:sz w:val="22"/>
          <w:szCs w:val="22"/>
        </w:rPr>
        <w:t xml:space="preserve"> (UNICEF), </w:t>
      </w:r>
      <w:r w:rsidRPr="00AC64FD">
        <w:rPr>
          <w:rFonts w:eastAsia="Times New Roman" w:cstheme="minorHAnsi"/>
          <w:color w:val="000000" w:themeColor="text1"/>
          <w:sz w:val="22"/>
          <w:szCs w:val="22"/>
          <w:shd w:val="clear" w:color="auto" w:fill="FFFFFF"/>
          <w:lang w:val="en-US"/>
        </w:rPr>
        <w:t>“Summary of Key Findings and Recommendations</w:t>
      </w:r>
      <w:r>
        <w:rPr>
          <w:rFonts w:eastAsia="Times New Roman" w:cstheme="minorHAnsi"/>
          <w:color w:val="000000" w:themeColor="text1"/>
          <w:sz w:val="22"/>
          <w:szCs w:val="22"/>
          <w:shd w:val="clear" w:color="auto" w:fill="FFFFFF"/>
          <w:lang w:val="en-US"/>
        </w:rPr>
        <w:t>.</w:t>
      </w:r>
      <w:r w:rsidRPr="00AC64FD">
        <w:rPr>
          <w:rFonts w:eastAsia="Times New Roman" w:cstheme="minorHAnsi"/>
          <w:color w:val="000000" w:themeColor="text1"/>
          <w:sz w:val="22"/>
          <w:szCs w:val="22"/>
          <w:shd w:val="clear" w:color="auto" w:fill="FFFFFF"/>
          <w:lang w:val="en-US"/>
        </w:rPr>
        <w:t xml:space="preserve">” 2015, </w:t>
      </w:r>
      <w:proofErr w:type="spellStart"/>
      <w:r w:rsidRPr="00972CD8">
        <w:rPr>
          <w:rFonts w:cstheme="minorHAnsi"/>
          <w:sz w:val="22"/>
          <w:szCs w:val="22"/>
        </w:rPr>
        <w:t>available</w:t>
      </w:r>
      <w:proofErr w:type="spellEnd"/>
      <w:r w:rsidRPr="00972CD8">
        <w:rPr>
          <w:rFonts w:cs="Arial"/>
          <w:sz w:val="22"/>
          <w:szCs w:val="22"/>
        </w:rPr>
        <w:t xml:space="preserve"> </w:t>
      </w:r>
      <w:hyperlink r:id="rId55" w:history="1">
        <w:r w:rsidRPr="00C427ED">
          <w:rPr>
            <w:rStyle w:val="Hyperlink"/>
            <w:rFonts w:cs="Arial"/>
            <w:sz w:val="22"/>
            <w:szCs w:val="22"/>
          </w:rPr>
          <w:t>https://www.unicef.org/timorleste/media/2676/file/Summary_of_Key_Findings_</w:t>
        </w:r>
        <w:r w:rsidRPr="00C427ED">
          <w:rPr>
            <w:rStyle w:val="Hyperlink"/>
            <w:rFonts w:cs="Arial"/>
            <w:sz w:val="22"/>
            <w:szCs w:val="22"/>
          </w:rPr>
          <w:br/>
          <w:t>eng.pdf.pdf</w:t>
        </w:r>
      </w:hyperlink>
      <w:r w:rsidRPr="00972CD8">
        <w:rPr>
          <w:rFonts w:cs="Arial"/>
          <w:sz w:val="22"/>
          <w:szCs w:val="22"/>
        </w:rPr>
        <w:t xml:space="preserve"> </w:t>
      </w:r>
    </w:p>
    <w:p w14:paraId="585081BA" w14:textId="77777777" w:rsidR="00661B9C" w:rsidRPr="00D94A06" w:rsidRDefault="00661B9C" w:rsidP="00661B9C">
      <w:pPr>
        <w:pStyle w:val="NormalWeb"/>
        <w:shd w:val="clear" w:color="auto" w:fill="FFFFFF" w:themeFill="background1"/>
        <w:spacing w:before="0" w:beforeAutospacing="0" w:after="0" w:afterAutospacing="0"/>
        <w:ind w:left="720" w:hanging="720"/>
        <w:jc w:val="both"/>
        <w:rPr>
          <w:rFonts w:asciiTheme="minorHAnsi" w:eastAsiaTheme="minorHAnsi" w:hAnsiTheme="minorHAnsi" w:cstheme="minorHAnsi"/>
          <w:color w:val="000000" w:themeColor="text1"/>
          <w:sz w:val="22"/>
          <w:szCs w:val="22"/>
          <w:shd w:val="clear" w:color="auto" w:fill="FFFFFF"/>
          <w:lang w:val="fr-FR"/>
        </w:rPr>
      </w:pPr>
    </w:p>
    <w:p w14:paraId="238D8F71"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rPr>
      </w:pPr>
      <w:bookmarkStart w:id="152" w:name="_Hlk34124025"/>
    </w:p>
    <w:p w14:paraId="08C4B7D9" w14:textId="77777777" w:rsidR="00661B9C" w:rsidRPr="007672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rPr>
      </w:pPr>
      <w:r w:rsidRPr="0076729C">
        <w:rPr>
          <w:rFonts w:asciiTheme="minorHAnsi" w:hAnsiTheme="minorHAnsi" w:cstheme="minorHAnsi"/>
          <w:color w:val="000000" w:themeColor="text1"/>
          <w:sz w:val="22"/>
          <w:szCs w:val="22"/>
        </w:rPr>
        <w:t>U</w:t>
      </w:r>
      <w:r>
        <w:rPr>
          <w:rFonts w:asciiTheme="minorHAnsi" w:hAnsiTheme="minorHAnsi" w:cstheme="minorHAnsi"/>
          <w:color w:val="000000" w:themeColor="text1"/>
          <w:sz w:val="22"/>
          <w:szCs w:val="22"/>
        </w:rPr>
        <w:t>nited Nations International Children’s Education Fund (U</w:t>
      </w:r>
      <w:r w:rsidRPr="0076729C">
        <w:rPr>
          <w:rFonts w:asciiTheme="minorHAnsi" w:hAnsiTheme="minorHAnsi" w:cstheme="minorHAnsi"/>
          <w:color w:val="000000" w:themeColor="text1"/>
          <w:sz w:val="22"/>
          <w:szCs w:val="22"/>
        </w:rPr>
        <w:t>NICEF</w:t>
      </w:r>
      <w:r>
        <w:rPr>
          <w:rFonts w:asciiTheme="minorHAnsi" w:hAnsiTheme="minorHAnsi" w:cstheme="minorHAnsi"/>
          <w:color w:val="000000" w:themeColor="text1"/>
          <w:sz w:val="22"/>
          <w:szCs w:val="22"/>
        </w:rPr>
        <w:t>)</w:t>
      </w:r>
      <w:r w:rsidRPr="0076729C">
        <w:rPr>
          <w:rFonts w:asciiTheme="minorHAnsi" w:hAnsiTheme="minorHAnsi" w:cstheme="minorHAnsi"/>
          <w:color w:val="000000" w:themeColor="text1"/>
          <w:sz w:val="22"/>
          <w:szCs w:val="22"/>
        </w:rPr>
        <w:t xml:space="preserve"> Timor-Leste, </w:t>
      </w:r>
      <w:r>
        <w:rPr>
          <w:rFonts w:asciiTheme="minorHAnsi" w:hAnsiTheme="minorHAnsi" w:cstheme="minorHAnsi"/>
          <w:color w:val="000000" w:themeColor="text1"/>
          <w:sz w:val="22"/>
          <w:szCs w:val="22"/>
        </w:rPr>
        <w:t>“</w:t>
      </w:r>
      <w:r w:rsidRPr="0076729C">
        <w:rPr>
          <w:rFonts w:asciiTheme="minorHAnsi" w:hAnsiTheme="minorHAnsi" w:cstheme="minorHAnsi"/>
          <w:color w:val="000000" w:themeColor="text1"/>
          <w:sz w:val="22"/>
          <w:szCs w:val="22"/>
        </w:rPr>
        <w:t>Sustainable Development Goals, Child Data Book 2018 Timor-Leste</w:t>
      </w:r>
      <w:r>
        <w:rPr>
          <w:rFonts w:asciiTheme="minorHAnsi" w:hAnsiTheme="minorHAnsi" w:cstheme="minorHAnsi"/>
          <w:color w:val="000000" w:themeColor="text1"/>
          <w:sz w:val="22"/>
          <w:szCs w:val="22"/>
        </w:rPr>
        <w:t>.”</w:t>
      </w:r>
      <w:r w:rsidRPr="0076729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Dili, </w:t>
      </w:r>
      <w:r w:rsidRPr="0076729C">
        <w:rPr>
          <w:rFonts w:asciiTheme="minorHAnsi" w:hAnsiTheme="minorHAnsi" w:cstheme="minorHAnsi"/>
          <w:color w:val="000000" w:themeColor="text1"/>
          <w:sz w:val="22"/>
          <w:szCs w:val="22"/>
        </w:rPr>
        <w:t>2019.</w:t>
      </w:r>
      <w:bookmarkEnd w:id="152"/>
    </w:p>
    <w:p w14:paraId="7DCDB27B" w14:textId="77777777" w:rsidR="00661B9C" w:rsidRPr="00832309"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rPr>
      </w:pPr>
    </w:p>
    <w:p w14:paraId="574510CB" w14:textId="77777777" w:rsidR="00661B9C" w:rsidRPr="00832309"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rPr>
      </w:pPr>
    </w:p>
    <w:p w14:paraId="0FA21C2F" w14:textId="77777777" w:rsidR="00661B9C" w:rsidRDefault="00661B9C" w:rsidP="00661B9C">
      <w:pPr>
        <w:pStyle w:val="NormalWeb"/>
        <w:shd w:val="clear" w:color="auto" w:fill="FFFFFF" w:themeFill="background1"/>
        <w:spacing w:before="0" w:beforeAutospacing="0" w:after="0" w:afterAutospacing="0"/>
        <w:ind w:left="720" w:hanging="720"/>
        <w:rPr>
          <w:rFonts w:asciiTheme="minorHAnsi" w:hAnsiTheme="minorHAnsi" w:cstheme="minorHAnsi"/>
          <w:sz w:val="22"/>
          <w:szCs w:val="22"/>
        </w:rPr>
      </w:pPr>
      <w:bookmarkStart w:id="153" w:name="_Hlk34059629"/>
      <w:r>
        <w:rPr>
          <w:rFonts w:asciiTheme="minorHAnsi" w:hAnsiTheme="minorHAnsi" w:cstheme="minorHAnsi"/>
          <w:sz w:val="22"/>
          <w:szCs w:val="22"/>
        </w:rPr>
        <w:t>United Nations Children’s Fund (UNICEF) and World Health Organization (WHO), Joint Monitoring Programme (JMP), “Progress on Household Drinking Water, Sanitation and Hygiene 2000-2017, Special Focus on Inequalities.” 2019.</w:t>
      </w:r>
      <w:bookmarkEnd w:id="153"/>
    </w:p>
    <w:p w14:paraId="591FE1C8"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rPr>
      </w:pPr>
    </w:p>
    <w:p w14:paraId="3725A407"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rPr>
      </w:pPr>
    </w:p>
    <w:p w14:paraId="3A126960" w14:textId="78328C14"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rPr>
      </w:pPr>
      <w:r w:rsidRPr="006D1739">
        <w:rPr>
          <w:rFonts w:asciiTheme="minorHAnsi" w:hAnsiTheme="minorHAnsi" w:cstheme="minorHAnsi"/>
          <w:color w:val="000000" w:themeColor="text1"/>
          <w:sz w:val="22"/>
          <w:szCs w:val="22"/>
        </w:rPr>
        <w:t>United Nations Office on Drugs and Crime (UNDOC)</w:t>
      </w:r>
      <w:r>
        <w:rPr>
          <w:rFonts w:asciiTheme="minorHAnsi" w:hAnsiTheme="minorHAnsi" w:cstheme="minorHAnsi"/>
          <w:color w:val="000000" w:themeColor="text1"/>
          <w:sz w:val="22"/>
          <w:szCs w:val="22"/>
        </w:rPr>
        <w:t>,</w:t>
      </w:r>
      <w:r w:rsidRPr="006D1739">
        <w:rPr>
          <w:rFonts w:asciiTheme="minorHAnsi" w:hAnsiTheme="minorHAnsi" w:cstheme="minorHAnsi"/>
          <w:color w:val="000000" w:themeColor="text1"/>
          <w:sz w:val="22"/>
          <w:szCs w:val="22"/>
        </w:rPr>
        <w:t xml:space="preserve"> Timor-Leste </w:t>
      </w:r>
      <w:r>
        <w:rPr>
          <w:rFonts w:asciiTheme="minorHAnsi" w:hAnsiTheme="minorHAnsi" w:cstheme="minorHAnsi"/>
          <w:color w:val="000000" w:themeColor="text1"/>
          <w:sz w:val="22"/>
          <w:szCs w:val="22"/>
        </w:rPr>
        <w:t>C</w:t>
      </w:r>
      <w:r w:rsidRPr="006D1739">
        <w:rPr>
          <w:rFonts w:asciiTheme="minorHAnsi" w:hAnsiTheme="minorHAnsi" w:cstheme="minorHAnsi"/>
          <w:color w:val="000000" w:themeColor="text1"/>
          <w:sz w:val="22"/>
          <w:szCs w:val="22"/>
        </w:rPr>
        <w:t xml:space="preserve">ountry </w:t>
      </w:r>
      <w:r>
        <w:rPr>
          <w:rFonts w:asciiTheme="minorHAnsi" w:hAnsiTheme="minorHAnsi" w:cstheme="minorHAnsi"/>
          <w:color w:val="000000" w:themeColor="text1"/>
          <w:sz w:val="22"/>
          <w:szCs w:val="22"/>
        </w:rPr>
        <w:t>P</w:t>
      </w:r>
      <w:r w:rsidRPr="006D1739">
        <w:rPr>
          <w:rFonts w:asciiTheme="minorHAnsi" w:hAnsiTheme="minorHAnsi" w:cstheme="minorHAnsi"/>
          <w:color w:val="000000" w:themeColor="text1"/>
          <w:sz w:val="22"/>
          <w:szCs w:val="22"/>
        </w:rPr>
        <w:t>rofile</w:t>
      </w:r>
      <w:r>
        <w:rPr>
          <w:rFonts w:asciiTheme="minorHAnsi" w:hAnsiTheme="minorHAnsi" w:cstheme="minorHAnsi"/>
          <w:color w:val="000000" w:themeColor="text1"/>
          <w:sz w:val="22"/>
          <w:szCs w:val="22"/>
        </w:rPr>
        <w:t xml:space="preserve">, n.d., available </w:t>
      </w:r>
    </w:p>
    <w:p w14:paraId="4634DD57" w14:textId="1A053436" w:rsidR="005B3E85" w:rsidRPr="005F4A3B" w:rsidRDefault="002A37E3" w:rsidP="005F4A3B">
      <w:pPr>
        <w:pStyle w:val="NormalWeb"/>
        <w:shd w:val="clear" w:color="auto" w:fill="FFFFFF" w:themeFill="background1"/>
        <w:spacing w:before="0" w:beforeAutospacing="0" w:after="0" w:afterAutospacing="0"/>
        <w:ind w:left="720"/>
        <w:jc w:val="both"/>
        <w:rPr>
          <w:rFonts w:asciiTheme="minorHAnsi" w:hAnsiTheme="minorHAnsi" w:cstheme="minorHAnsi"/>
          <w:sz w:val="22"/>
          <w:szCs w:val="22"/>
        </w:rPr>
      </w:pPr>
      <w:hyperlink r:id="rId56" w:history="1">
        <w:r w:rsidR="005B3E85" w:rsidRPr="005F4A3B">
          <w:rPr>
            <w:rStyle w:val="Hyperlink"/>
            <w:rFonts w:asciiTheme="minorHAnsi" w:hAnsiTheme="minorHAnsi" w:cstheme="minorHAnsi"/>
            <w:sz w:val="22"/>
            <w:szCs w:val="22"/>
          </w:rPr>
          <w:t>https://www.unodc.org/unodc/treaties/CAC/country-profile/CountryProfile.html?code=TLS</w:t>
        </w:r>
      </w:hyperlink>
      <w:r w:rsidR="005B3E85" w:rsidRPr="005F4A3B">
        <w:rPr>
          <w:rFonts w:asciiTheme="minorHAnsi" w:hAnsiTheme="minorHAnsi" w:cstheme="minorHAnsi"/>
          <w:sz w:val="22"/>
          <w:szCs w:val="22"/>
        </w:rPr>
        <w:t xml:space="preserve"> </w:t>
      </w:r>
    </w:p>
    <w:p w14:paraId="6F6150A1" w14:textId="77777777" w:rsidR="00661B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035F18A5" w14:textId="77777777" w:rsidR="00661B9C" w:rsidRPr="0076729C" w:rsidRDefault="00661B9C" w:rsidP="00661B9C">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724111A2"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rPr>
      </w:pPr>
      <w:bookmarkStart w:id="154" w:name="_Hlk34125323"/>
      <w:r>
        <w:rPr>
          <w:rFonts w:asciiTheme="minorHAnsi" w:hAnsiTheme="minorHAnsi" w:cstheme="minorHAnsi"/>
          <w:color w:val="000000" w:themeColor="text1"/>
          <w:sz w:val="22"/>
          <w:szCs w:val="22"/>
        </w:rPr>
        <w:t xml:space="preserve">World Bank, Enterprise Survey 2015, 2017, available </w:t>
      </w:r>
    </w:p>
    <w:p w14:paraId="454E6DAF" w14:textId="77777777" w:rsidR="00661B9C" w:rsidRDefault="002A37E3" w:rsidP="00661B9C">
      <w:pPr>
        <w:pStyle w:val="NormalWeb"/>
        <w:shd w:val="clear" w:color="auto" w:fill="FFFFFF" w:themeFill="background1"/>
        <w:tabs>
          <w:tab w:val="left" w:pos="630"/>
        </w:tabs>
        <w:spacing w:before="0" w:beforeAutospacing="0" w:after="0" w:afterAutospacing="0"/>
        <w:ind w:left="720"/>
        <w:jc w:val="both"/>
        <w:rPr>
          <w:rFonts w:asciiTheme="minorHAnsi" w:hAnsiTheme="minorHAnsi" w:cstheme="minorHAnsi"/>
          <w:color w:val="000000" w:themeColor="text1"/>
          <w:sz w:val="22"/>
          <w:szCs w:val="22"/>
        </w:rPr>
      </w:pPr>
      <w:hyperlink r:id="rId57" w:history="1">
        <w:r w:rsidR="00661B9C" w:rsidRPr="000D26D7">
          <w:rPr>
            <w:rStyle w:val="Hyperlink"/>
            <w:rFonts w:asciiTheme="minorHAnsi" w:hAnsiTheme="minorHAnsi" w:cstheme="minorHAnsi"/>
            <w:sz w:val="22"/>
            <w:szCs w:val="22"/>
          </w:rPr>
          <w:t>https://microdata.worldbank.org/index.php/catalog/2806</w:t>
        </w:r>
      </w:hyperlink>
      <w:r w:rsidR="00661B9C" w:rsidRPr="000D26D7">
        <w:rPr>
          <w:rFonts w:asciiTheme="minorHAnsi" w:hAnsiTheme="minorHAnsi" w:cstheme="minorHAnsi"/>
          <w:color w:val="000000" w:themeColor="text1"/>
          <w:sz w:val="22"/>
          <w:szCs w:val="22"/>
        </w:rPr>
        <w:t xml:space="preserve"> </w:t>
      </w:r>
      <w:bookmarkEnd w:id="154"/>
    </w:p>
    <w:p w14:paraId="6CD2B9E6" w14:textId="77777777" w:rsidR="00661B9C" w:rsidRDefault="00661B9C" w:rsidP="00661B9C">
      <w:pPr>
        <w:autoSpaceDE w:val="0"/>
        <w:autoSpaceDN w:val="0"/>
        <w:adjustRightInd w:val="0"/>
        <w:ind w:left="720" w:hanging="720"/>
        <w:rPr>
          <w:rFonts w:cstheme="minorHAnsi"/>
          <w:color w:val="000000" w:themeColor="text1"/>
          <w:sz w:val="22"/>
          <w:szCs w:val="22"/>
          <w:shd w:val="clear" w:color="auto" w:fill="FFFFFF"/>
          <w:lang w:val="en-US"/>
        </w:rPr>
      </w:pPr>
    </w:p>
    <w:p w14:paraId="6B3298E6" w14:textId="77777777" w:rsidR="00661B9C" w:rsidRDefault="00661B9C" w:rsidP="00661B9C">
      <w:pPr>
        <w:autoSpaceDE w:val="0"/>
        <w:autoSpaceDN w:val="0"/>
        <w:adjustRightInd w:val="0"/>
        <w:ind w:left="720" w:hanging="720"/>
        <w:rPr>
          <w:rFonts w:cstheme="minorHAnsi"/>
          <w:color w:val="000000" w:themeColor="text1"/>
          <w:sz w:val="22"/>
          <w:szCs w:val="22"/>
          <w:shd w:val="clear" w:color="auto" w:fill="FFFFFF"/>
          <w:lang w:val="en-US"/>
        </w:rPr>
      </w:pPr>
    </w:p>
    <w:p w14:paraId="0F20A293" w14:textId="77777777" w:rsidR="00661B9C" w:rsidRDefault="00661B9C" w:rsidP="00661B9C">
      <w:pPr>
        <w:autoSpaceDE w:val="0"/>
        <w:autoSpaceDN w:val="0"/>
        <w:adjustRightInd w:val="0"/>
        <w:ind w:left="720" w:hanging="720"/>
        <w:rPr>
          <w:rFonts w:cstheme="minorHAnsi"/>
          <w:sz w:val="22"/>
          <w:szCs w:val="22"/>
        </w:rPr>
      </w:pPr>
      <w:bookmarkStart w:id="155" w:name="_Hlk34124158"/>
      <w:r w:rsidRPr="0076729C">
        <w:rPr>
          <w:rFonts w:cstheme="minorHAnsi"/>
          <w:color w:val="000000" w:themeColor="text1"/>
          <w:sz w:val="22"/>
          <w:szCs w:val="22"/>
          <w:shd w:val="clear" w:color="auto" w:fill="FFFFFF"/>
        </w:rPr>
        <w:t>World Bank</w:t>
      </w:r>
      <w:r>
        <w:rPr>
          <w:rFonts w:cstheme="minorHAnsi"/>
          <w:color w:val="000000" w:themeColor="text1"/>
          <w:sz w:val="22"/>
          <w:szCs w:val="22"/>
          <w:shd w:val="clear" w:color="auto" w:fill="FFFFFF"/>
        </w:rPr>
        <w:t>, Ministry of Finance (</w:t>
      </w:r>
      <w:proofErr w:type="spellStart"/>
      <w:r>
        <w:rPr>
          <w:rFonts w:cstheme="minorHAnsi"/>
          <w:color w:val="000000" w:themeColor="text1"/>
          <w:sz w:val="22"/>
          <w:szCs w:val="22"/>
          <w:shd w:val="clear" w:color="auto" w:fill="FFFFFF"/>
        </w:rPr>
        <w:t>MoF</w:t>
      </w:r>
      <w:proofErr w:type="spellEnd"/>
      <w:r>
        <w:rPr>
          <w:rFonts w:cstheme="minorHAnsi"/>
          <w:color w:val="000000" w:themeColor="text1"/>
          <w:sz w:val="22"/>
          <w:szCs w:val="22"/>
          <w:shd w:val="clear" w:color="auto" w:fill="FFFFFF"/>
        </w:rPr>
        <w:t xml:space="preserve">) General </w:t>
      </w:r>
      <w:proofErr w:type="spellStart"/>
      <w:r>
        <w:rPr>
          <w:rFonts w:cstheme="minorHAnsi"/>
          <w:color w:val="000000" w:themeColor="text1"/>
          <w:sz w:val="22"/>
          <w:szCs w:val="22"/>
          <w:shd w:val="clear" w:color="auto" w:fill="FFFFFF"/>
        </w:rPr>
        <w:t>Directorate</w:t>
      </w:r>
      <w:proofErr w:type="spellEnd"/>
      <w:r>
        <w:rPr>
          <w:rFonts w:cstheme="minorHAnsi"/>
          <w:color w:val="000000" w:themeColor="text1"/>
          <w:sz w:val="22"/>
          <w:szCs w:val="22"/>
          <w:shd w:val="clear" w:color="auto" w:fill="FFFFFF"/>
        </w:rPr>
        <w:t xml:space="preserve"> of </w:t>
      </w:r>
      <w:proofErr w:type="spellStart"/>
      <w:r>
        <w:rPr>
          <w:rFonts w:cstheme="minorHAnsi"/>
          <w:color w:val="000000" w:themeColor="text1"/>
          <w:sz w:val="22"/>
          <w:szCs w:val="22"/>
          <w:shd w:val="clear" w:color="auto" w:fill="FFFFFF"/>
        </w:rPr>
        <w:t>Statistics</w:t>
      </w:r>
      <w:proofErr w:type="spellEnd"/>
      <w:r>
        <w:rPr>
          <w:rFonts w:cstheme="minorHAnsi"/>
          <w:color w:val="000000" w:themeColor="text1"/>
          <w:sz w:val="22"/>
          <w:szCs w:val="22"/>
          <w:shd w:val="clear" w:color="auto" w:fill="FFFFFF"/>
        </w:rPr>
        <w:t xml:space="preserve"> (GDS),</w:t>
      </w:r>
      <w:r w:rsidRPr="0076729C">
        <w:rPr>
          <w:rFonts w:cstheme="minorHAnsi"/>
          <w:color w:val="000000" w:themeColor="text1"/>
          <w:sz w:val="22"/>
          <w:szCs w:val="22"/>
          <w:shd w:val="clear" w:color="auto" w:fill="FFFFFF"/>
        </w:rPr>
        <w:t xml:space="preserve"> </w:t>
      </w:r>
      <w:r>
        <w:rPr>
          <w:rFonts w:cstheme="minorHAnsi"/>
          <w:color w:val="000000" w:themeColor="text1"/>
          <w:sz w:val="22"/>
          <w:szCs w:val="22"/>
        </w:rPr>
        <w:t>“</w:t>
      </w:r>
      <w:proofErr w:type="spellStart"/>
      <w:r w:rsidRPr="0076729C">
        <w:rPr>
          <w:rFonts w:cstheme="minorHAnsi"/>
          <w:color w:val="000000" w:themeColor="text1"/>
          <w:sz w:val="22"/>
          <w:szCs w:val="22"/>
          <w:shd w:val="clear" w:color="auto" w:fill="FFFFFF"/>
        </w:rPr>
        <w:t>Poverty</w:t>
      </w:r>
      <w:proofErr w:type="spellEnd"/>
      <w:r w:rsidRPr="0076729C">
        <w:rPr>
          <w:rFonts w:cstheme="minorHAnsi"/>
          <w:color w:val="000000" w:themeColor="text1"/>
          <w:sz w:val="22"/>
          <w:szCs w:val="22"/>
          <w:shd w:val="clear" w:color="auto" w:fill="FFFFFF"/>
        </w:rPr>
        <w:t xml:space="preserve"> in Timor-Leste 2014</w:t>
      </w:r>
      <w:r>
        <w:rPr>
          <w:rFonts w:cstheme="minorHAnsi"/>
          <w:color w:val="000000" w:themeColor="text1"/>
          <w:sz w:val="22"/>
          <w:szCs w:val="22"/>
          <w:shd w:val="clear" w:color="auto" w:fill="FFFFFF"/>
        </w:rPr>
        <w:t>.</w:t>
      </w:r>
      <w:r>
        <w:rPr>
          <w:rFonts w:cstheme="minorHAnsi"/>
          <w:color w:val="000000" w:themeColor="text1"/>
          <w:sz w:val="22"/>
          <w:szCs w:val="22"/>
        </w:rPr>
        <w:t>”</w:t>
      </w:r>
      <w:r w:rsidRPr="0076729C">
        <w:rPr>
          <w:rFonts w:cstheme="minorHAnsi"/>
          <w:color w:val="000000" w:themeColor="text1"/>
          <w:sz w:val="22"/>
          <w:szCs w:val="22"/>
          <w:shd w:val="clear" w:color="auto" w:fill="FFFFFF"/>
        </w:rPr>
        <w:t xml:space="preserve"> Washington, D.C.: World Bank Group</w:t>
      </w:r>
      <w:r>
        <w:rPr>
          <w:rFonts w:cstheme="minorHAnsi"/>
          <w:color w:val="000000" w:themeColor="text1"/>
          <w:sz w:val="22"/>
          <w:szCs w:val="22"/>
          <w:shd w:val="clear" w:color="auto" w:fill="FFFFFF"/>
        </w:rPr>
        <w:t xml:space="preserve">, 2016, </w:t>
      </w:r>
      <w:proofErr w:type="spellStart"/>
      <w:r>
        <w:rPr>
          <w:rFonts w:cstheme="minorHAnsi"/>
          <w:color w:val="000000" w:themeColor="text1"/>
          <w:sz w:val="22"/>
          <w:szCs w:val="22"/>
          <w:shd w:val="clear" w:color="auto" w:fill="FFFFFF"/>
        </w:rPr>
        <w:t>available</w:t>
      </w:r>
      <w:proofErr w:type="spellEnd"/>
      <w:r w:rsidRPr="0076729C">
        <w:rPr>
          <w:rFonts w:cstheme="minorHAnsi"/>
          <w:color w:val="000000" w:themeColor="text1"/>
          <w:sz w:val="22"/>
          <w:szCs w:val="22"/>
          <w:shd w:val="clear" w:color="auto" w:fill="FFFFFF"/>
        </w:rPr>
        <w:t> </w:t>
      </w:r>
      <w:r w:rsidRPr="0076729C">
        <w:rPr>
          <w:rFonts w:cstheme="minorHAnsi"/>
          <w:sz w:val="22"/>
          <w:szCs w:val="22"/>
        </w:rPr>
        <w:t xml:space="preserve"> </w:t>
      </w:r>
    </w:p>
    <w:p w14:paraId="72098DFB" w14:textId="77777777" w:rsidR="00661B9C" w:rsidRPr="0076729C" w:rsidRDefault="002A37E3" w:rsidP="00661B9C">
      <w:pPr>
        <w:autoSpaceDE w:val="0"/>
        <w:autoSpaceDN w:val="0"/>
        <w:adjustRightInd w:val="0"/>
        <w:ind w:left="720"/>
        <w:rPr>
          <w:rFonts w:cstheme="minorHAnsi"/>
          <w:sz w:val="22"/>
          <w:szCs w:val="22"/>
        </w:rPr>
      </w:pPr>
      <w:hyperlink r:id="rId58" w:history="1">
        <w:r w:rsidR="00661B9C" w:rsidRPr="00C427ED">
          <w:rPr>
            <w:rStyle w:val="Hyperlink"/>
            <w:rFonts w:eastAsiaTheme="majorEastAsia" w:cstheme="minorHAnsi"/>
            <w:sz w:val="22"/>
            <w:szCs w:val="22"/>
          </w:rPr>
          <w:t>http://documents.worldbank.org/curated/en/577521475573958572/Poverty-in-Timor-Leste-2014</w:t>
        </w:r>
      </w:hyperlink>
      <w:r w:rsidR="00661B9C" w:rsidRPr="0076729C">
        <w:rPr>
          <w:rFonts w:cstheme="minorHAnsi"/>
          <w:sz w:val="22"/>
          <w:szCs w:val="22"/>
        </w:rPr>
        <w:t xml:space="preserve"> </w:t>
      </w:r>
    </w:p>
    <w:bookmarkEnd w:id="155"/>
    <w:p w14:paraId="7398D94E" w14:textId="77777777" w:rsidR="00661B9C" w:rsidRDefault="00661B9C" w:rsidP="00661B9C"/>
    <w:p w14:paraId="49D580BE" w14:textId="77777777" w:rsidR="00661B9C" w:rsidRDefault="00661B9C" w:rsidP="00661B9C"/>
    <w:p w14:paraId="1EB8D929" w14:textId="77777777" w:rsidR="00661B9C" w:rsidRDefault="00661B9C" w:rsidP="00661B9C">
      <w:pPr>
        <w:pStyle w:val="NormalWeb"/>
        <w:shd w:val="clear" w:color="auto" w:fill="FFFFFF" w:themeFill="background1"/>
        <w:spacing w:before="0" w:beforeAutospacing="0" w:after="0" w:afterAutospacing="0"/>
        <w:ind w:left="720" w:hanging="720"/>
        <w:jc w:val="both"/>
        <w:rPr>
          <w:rFonts w:asciiTheme="minorHAnsi" w:hAnsiTheme="minorHAnsi" w:cstheme="minorHAnsi"/>
          <w:color w:val="000000" w:themeColor="text1"/>
          <w:sz w:val="22"/>
          <w:szCs w:val="22"/>
        </w:rPr>
      </w:pPr>
      <w:r w:rsidRPr="00D22C56">
        <w:rPr>
          <w:rFonts w:asciiTheme="minorHAnsi" w:hAnsiTheme="minorHAnsi" w:cstheme="minorHAnsi"/>
          <w:color w:val="000000" w:themeColor="text1"/>
          <w:sz w:val="22"/>
          <w:szCs w:val="22"/>
        </w:rPr>
        <w:t>World Bank</w:t>
      </w:r>
      <w:r>
        <w:rPr>
          <w:rFonts w:asciiTheme="minorHAnsi" w:hAnsiTheme="minorHAnsi" w:cstheme="minorHAnsi"/>
          <w:color w:val="000000" w:themeColor="text1"/>
          <w:sz w:val="22"/>
          <w:szCs w:val="22"/>
        </w:rPr>
        <w:t>,</w:t>
      </w:r>
      <w:r w:rsidRPr="00D22C5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Pr="00D22C56">
        <w:rPr>
          <w:rFonts w:asciiTheme="minorHAnsi" w:hAnsiTheme="minorHAnsi" w:cstheme="minorHAnsi"/>
          <w:color w:val="000000" w:themeColor="text1"/>
          <w:sz w:val="22"/>
          <w:szCs w:val="22"/>
        </w:rPr>
        <w:t xml:space="preserve">Timor-Leste Economic Report 2018: Regaining Momentum? </w:t>
      </w:r>
      <w:r>
        <w:rPr>
          <w:rFonts w:asciiTheme="minorHAnsi" w:hAnsiTheme="minorHAnsi" w:cstheme="minorHAnsi"/>
          <w:color w:val="000000" w:themeColor="text1"/>
          <w:sz w:val="22"/>
          <w:szCs w:val="22"/>
        </w:rPr>
        <w:t>”</w:t>
      </w:r>
      <w:r w:rsidRPr="00D22C56">
        <w:rPr>
          <w:rFonts w:asciiTheme="minorHAnsi" w:hAnsiTheme="minorHAnsi" w:cstheme="minorHAnsi"/>
          <w:color w:val="000000" w:themeColor="text1"/>
          <w:sz w:val="22"/>
          <w:szCs w:val="22"/>
        </w:rPr>
        <w:t xml:space="preserve"> Washington, D.C.: World Bank Group, 2018a.</w:t>
      </w:r>
    </w:p>
    <w:p w14:paraId="346FAF18" w14:textId="77777777" w:rsidR="00661B9C" w:rsidRDefault="00661B9C" w:rsidP="00661B9C">
      <w:pPr>
        <w:pStyle w:val="NormalWeb"/>
        <w:shd w:val="clear" w:color="auto" w:fill="FFFFFF" w:themeFill="background1"/>
        <w:tabs>
          <w:tab w:val="left" w:pos="630"/>
        </w:tabs>
        <w:spacing w:before="0" w:beforeAutospacing="0" w:after="0" w:afterAutospacing="0"/>
        <w:jc w:val="both"/>
        <w:rPr>
          <w:rFonts w:asciiTheme="minorHAnsi" w:hAnsiTheme="minorHAnsi" w:cstheme="minorHAnsi"/>
          <w:color w:val="000000" w:themeColor="text1"/>
          <w:sz w:val="22"/>
          <w:szCs w:val="22"/>
        </w:rPr>
      </w:pPr>
    </w:p>
    <w:p w14:paraId="3B9D0436" w14:textId="77777777" w:rsidR="00661B9C" w:rsidRPr="000D26D7" w:rsidRDefault="00661B9C" w:rsidP="00661B9C">
      <w:pPr>
        <w:pStyle w:val="NormalWeb"/>
        <w:shd w:val="clear" w:color="auto" w:fill="FFFFFF" w:themeFill="background1"/>
        <w:tabs>
          <w:tab w:val="left" w:pos="630"/>
        </w:tabs>
        <w:spacing w:before="0" w:beforeAutospacing="0" w:after="0" w:afterAutospacing="0"/>
        <w:ind w:left="720"/>
        <w:jc w:val="both"/>
        <w:rPr>
          <w:rFonts w:asciiTheme="minorHAnsi" w:hAnsiTheme="minorHAnsi" w:cstheme="minorHAnsi"/>
          <w:color w:val="000000" w:themeColor="text1"/>
          <w:sz w:val="22"/>
          <w:szCs w:val="22"/>
        </w:rPr>
      </w:pPr>
    </w:p>
    <w:p w14:paraId="11B752F4" w14:textId="77777777" w:rsidR="00661B9C" w:rsidRDefault="00661B9C" w:rsidP="00661B9C"/>
    <w:p w14:paraId="36069604" w14:textId="77777777" w:rsidR="007B496B" w:rsidRDefault="007B496B" w:rsidP="007B496B">
      <w:pPr>
        <w:pStyle w:val="NormalWeb"/>
        <w:shd w:val="clear" w:color="auto" w:fill="FFFFFF" w:themeFill="background1"/>
        <w:tabs>
          <w:tab w:val="left" w:pos="630"/>
        </w:tabs>
        <w:spacing w:before="0" w:beforeAutospacing="0" w:after="0" w:afterAutospacing="0"/>
        <w:jc w:val="both"/>
        <w:rPr>
          <w:rFonts w:asciiTheme="minorHAnsi" w:hAnsiTheme="minorHAnsi" w:cstheme="minorHAnsi"/>
          <w:color w:val="000000" w:themeColor="text1"/>
          <w:sz w:val="22"/>
          <w:szCs w:val="22"/>
        </w:rPr>
      </w:pPr>
    </w:p>
    <w:p w14:paraId="35B5E8C0" w14:textId="77777777" w:rsidR="007B496B" w:rsidRPr="000D26D7" w:rsidRDefault="007B496B" w:rsidP="007B496B">
      <w:pPr>
        <w:pStyle w:val="NormalWeb"/>
        <w:shd w:val="clear" w:color="auto" w:fill="FFFFFF" w:themeFill="background1"/>
        <w:tabs>
          <w:tab w:val="left" w:pos="630"/>
        </w:tabs>
        <w:spacing w:before="0" w:beforeAutospacing="0" w:after="0" w:afterAutospacing="0"/>
        <w:ind w:left="720"/>
        <w:jc w:val="both"/>
        <w:rPr>
          <w:rFonts w:asciiTheme="minorHAnsi" w:hAnsiTheme="minorHAnsi" w:cstheme="minorHAnsi"/>
          <w:color w:val="000000" w:themeColor="text1"/>
          <w:sz w:val="22"/>
          <w:szCs w:val="22"/>
        </w:rPr>
      </w:pPr>
    </w:p>
    <w:bookmarkEnd w:id="129"/>
    <w:p w14:paraId="1EAEEAAA" w14:textId="77777777" w:rsidR="007B496B" w:rsidRDefault="007B496B" w:rsidP="007B496B"/>
    <w:p w14:paraId="3740621A" w14:textId="77777777" w:rsidR="007B496B" w:rsidRDefault="007B496B" w:rsidP="005F4A3B">
      <w:pPr>
        <w:pStyle w:val="paragraph"/>
        <w:jc w:val="center"/>
        <w:textAlignment w:val="baseline"/>
        <w:rPr>
          <w:rStyle w:val="normaltextrun1"/>
          <w:rFonts w:ascii="Calibri Light" w:eastAsiaTheme="minorHAnsi" w:hAnsi="Calibri Light" w:cs="Calibri Light"/>
          <w:color w:val="1F3763"/>
          <w:lang w:val="fr-FR"/>
        </w:rPr>
      </w:pPr>
    </w:p>
    <w:p w14:paraId="4241780F" w14:textId="77777777" w:rsidR="00037515" w:rsidRPr="005F4A3B" w:rsidRDefault="00037515">
      <w:r w:rsidRPr="005F4A3B">
        <w:br w:type="page"/>
      </w:r>
    </w:p>
    <w:p w14:paraId="496B48AE" w14:textId="1AF84A27" w:rsidR="003A41BE" w:rsidRPr="00841766" w:rsidRDefault="003A41BE" w:rsidP="007A75A1">
      <w:pPr>
        <w:rPr>
          <w:lang w:val="en-US"/>
        </w:rPr>
      </w:pPr>
      <w:r w:rsidRPr="00841766">
        <w:rPr>
          <w:lang w:val="en-US"/>
        </w:rPr>
        <w:lastRenderedPageBreak/>
        <w:t>ANNEXES</w:t>
      </w:r>
      <w:bookmarkEnd w:id="130"/>
    </w:p>
    <w:p w14:paraId="33D00803" w14:textId="77777777" w:rsidR="003A41BE" w:rsidRPr="00841766" w:rsidRDefault="003A41BE" w:rsidP="003A41BE">
      <w:pPr>
        <w:pStyle w:val="Heading2"/>
        <w:rPr>
          <w:rFonts w:asciiTheme="minorHAnsi" w:hAnsiTheme="minorHAnsi"/>
          <w:sz w:val="28"/>
          <w:lang w:val="en-US"/>
        </w:rPr>
      </w:pPr>
    </w:p>
    <w:p w14:paraId="4ED03BE6" w14:textId="77777777" w:rsidR="003A41BE" w:rsidRPr="00841766" w:rsidRDefault="003A41BE" w:rsidP="003A41BE">
      <w:pPr>
        <w:pStyle w:val="Heading2"/>
        <w:rPr>
          <w:rFonts w:asciiTheme="minorHAnsi" w:hAnsiTheme="minorHAnsi"/>
          <w:sz w:val="28"/>
          <w:lang w:val="en-US"/>
        </w:rPr>
      </w:pPr>
      <w:bookmarkStart w:id="156" w:name="_Toc40265813"/>
      <w:r w:rsidRPr="00841766">
        <w:rPr>
          <w:rFonts w:asciiTheme="minorHAnsi" w:hAnsiTheme="minorHAnsi"/>
          <w:sz w:val="28"/>
          <w:lang w:val="en-US"/>
        </w:rPr>
        <w:t>Annex 1: RESULTS MATRIX</w:t>
      </w:r>
      <w:r>
        <w:rPr>
          <w:rStyle w:val="FootnoteReference"/>
          <w:rFonts w:asciiTheme="minorHAnsi" w:hAnsiTheme="minorHAnsi"/>
          <w:sz w:val="28"/>
          <w:lang w:val="en-US"/>
        </w:rPr>
        <w:footnoteReference w:id="72"/>
      </w:r>
      <w:bookmarkEnd w:id="156"/>
    </w:p>
    <w:p w14:paraId="2596B41B" w14:textId="77777777" w:rsidR="003A41BE" w:rsidRPr="00841766" w:rsidRDefault="003A41BE" w:rsidP="003A41BE">
      <w:pPr>
        <w:rPr>
          <w:b/>
          <w:sz w:val="28"/>
          <w:szCs w:val="28"/>
          <w:lang w:val="en-US"/>
        </w:rPr>
      </w:pPr>
      <w:r w:rsidRPr="00841766">
        <w:rPr>
          <w:b/>
          <w:sz w:val="28"/>
          <w:szCs w:val="28"/>
          <w:lang w:val="en-US"/>
        </w:rPr>
        <w:t>Annex 2: LEGAL CLAUSES</w:t>
      </w:r>
    </w:p>
    <w:p w14:paraId="21884993" w14:textId="77777777" w:rsidR="003A41BE" w:rsidRPr="00841766" w:rsidRDefault="003A41BE" w:rsidP="003A41BE">
      <w:pPr>
        <w:autoSpaceDE w:val="0"/>
        <w:autoSpaceDN w:val="0"/>
        <w:adjustRightInd w:val="0"/>
        <w:jc w:val="both"/>
        <w:rPr>
          <w:b/>
          <w:lang w:val="en-US"/>
        </w:rPr>
      </w:pPr>
    </w:p>
    <w:p w14:paraId="04B1C209" w14:textId="77777777" w:rsidR="003A41BE" w:rsidRDefault="003A41BE" w:rsidP="003A41BE">
      <w:pPr>
        <w:autoSpaceDE w:val="0"/>
        <w:autoSpaceDN w:val="0"/>
        <w:adjustRightInd w:val="0"/>
        <w:jc w:val="both"/>
        <w:rPr>
          <w:b/>
          <w:lang w:val="en-US"/>
        </w:rPr>
      </w:pPr>
    </w:p>
    <w:p w14:paraId="2C30BD95" w14:textId="77777777" w:rsidR="00313834" w:rsidRDefault="00313834" w:rsidP="003A41BE">
      <w:pPr>
        <w:autoSpaceDE w:val="0"/>
        <w:autoSpaceDN w:val="0"/>
        <w:adjustRightInd w:val="0"/>
        <w:jc w:val="both"/>
        <w:rPr>
          <w:b/>
          <w:lang w:val="en-US"/>
        </w:rPr>
      </w:pPr>
    </w:p>
    <w:p w14:paraId="5CA9257A" w14:textId="77777777" w:rsidR="00313834" w:rsidRDefault="00313834" w:rsidP="003A41BE">
      <w:pPr>
        <w:autoSpaceDE w:val="0"/>
        <w:autoSpaceDN w:val="0"/>
        <w:adjustRightInd w:val="0"/>
        <w:jc w:val="both"/>
        <w:rPr>
          <w:b/>
          <w:lang w:val="en-US"/>
        </w:rPr>
      </w:pPr>
    </w:p>
    <w:p w14:paraId="047B571C" w14:textId="64E5BDA4" w:rsidR="00313834" w:rsidRPr="00841766" w:rsidRDefault="00313834" w:rsidP="003A41BE">
      <w:pPr>
        <w:autoSpaceDE w:val="0"/>
        <w:autoSpaceDN w:val="0"/>
        <w:adjustRightInd w:val="0"/>
        <w:jc w:val="both"/>
        <w:rPr>
          <w:b/>
          <w:lang w:val="en-US"/>
        </w:rPr>
        <w:sectPr w:rsidR="00313834" w:rsidRPr="00841766" w:rsidSect="007A7ECF">
          <w:headerReference w:type="default" r:id="rId59"/>
          <w:footerReference w:type="even" r:id="rId60"/>
          <w:footerReference w:type="default" r:id="rId61"/>
          <w:pgSz w:w="11900" w:h="16840" w:code="9"/>
          <w:pgMar w:top="1417" w:right="1121" w:bottom="1417" w:left="1417" w:header="708" w:footer="708" w:gutter="0"/>
          <w:cols w:space="708"/>
          <w:docGrid w:linePitch="360"/>
        </w:sectPr>
      </w:pPr>
    </w:p>
    <w:tbl>
      <w:tblPr>
        <w:tblpPr w:leftFromText="141" w:rightFromText="141" w:vertAnchor="text" w:tblpX="416" w:tblpY="1"/>
        <w:tblOverlap w:val="never"/>
        <w:tblW w:w="14463" w:type="dxa"/>
        <w:tblLayout w:type="fixed"/>
        <w:tblLook w:val="04A0" w:firstRow="1" w:lastRow="0" w:firstColumn="1" w:lastColumn="0" w:noHBand="0" w:noVBand="1"/>
      </w:tblPr>
      <w:tblGrid>
        <w:gridCol w:w="14463"/>
      </w:tblGrid>
      <w:tr w:rsidR="003A41BE" w:rsidRPr="006444BA" w14:paraId="6FE60BA3" w14:textId="77777777" w:rsidTr="000135BE">
        <w:trPr>
          <w:trHeight w:val="787"/>
        </w:trPr>
        <w:tc>
          <w:tcPr>
            <w:tcW w:w="1446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AC98453" w14:textId="1631DFE3" w:rsidR="003A41BE" w:rsidRPr="00841766" w:rsidRDefault="003A41BE" w:rsidP="00FD44CE">
            <w:pPr>
              <w:spacing w:after="127"/>
              <w:jc w:val="center"/>
              <w:rPr>
                <w:rFonts w:ascii="Arial" w:hAnsi="Arial" w:cs="Arial"/>
                <w:b/>
                <w:color w:val="000000" w:themeColor="text1"/>
                <w:sz w:val="28"/>
                <w:szCs w:val="26"/>
                <w:lang w:val="en-US"/>
              </w:rPr>
            </w:pPr>
            <w:r w:rsidRPr="00841766">
              <w:rPr>
                <w:rFonts w:ascii="Arial" w:hAnsi="Arial" w:cs="Arial"/>
                <w:b/>
                <w:color w:val="000000" w:themeColor="text1"/>
                <w:sz w:val="28"/>
                <w:szCs w:val="26"/>
                <w:lang w:val="en-US"/>
              </w:rPr>
              <w:lastRenderedPageBreak/>
              <w:t>Timor-Leste Strategic Development Plan</w:t>
            </w:r>
            <w:r w:rsidR="00BD1125">
              <w:rPr>
                <w:rFonts w:ascii="Arial" w:hAnsi="Arial" w:cs="Arial"/>
                <w:b/>
                <w:color w:val="000000" w:themeColor="text1"/>
                <w:sz w:val="28"/>
                <w:szCs w:val="26"/>
                <w:lang w:val="en-US"/>
              </w:rPr>
              <w:t xml:space="preserve"> (SDP)</w:t>
            </w:r>
            <w:r w:rsidR="005229A4">
              <w:rPr>
                <w:rStyle w:val="FootnoteReference"/>
                <w:rFonts w:ascii="Arial" w:hAnsi="Arial" w:cs="Arial"/>
                <w:b/>
                <w:color w:val="000000" w:themeColor="text1"/>
                <w:sz w:val="28"/>
                <w:szCs w:val="26"/>
                <w:lang w:val="en-US"/>
              </w:rPr>
              <w:footnoteReference w:id="73"/>
            </w:r>
            <w:r w:rsidRPr="00841766">
              <w:rPr>
                <w:rFonts w:ascii="Arial" w:hAnsi="Arial" w:cs="Arial"/>
                <w:b/>
                <w:color w:val="000000" w:themeColor="text1"/>
                <w:sz w:val="28"/>
                <w:szCs w:val="26"/>
                <w:lang w:val="en-US"/>
              </w:rPr>
              <w:t xml:space="preserve"> Priorities </w:t>
            </w:r>
            <w:r w:rsidR="00166B44">
              <w:rPr>
                <w:rFonts w:ascii="Arial" w:hAnsi="Arial" w:cs="Arial"/>
                <w:b/>
                <w:color w:val="000000" w:themeColor="text1"/>
                <w:sz w:val="28"/>
                <w:szCs w:val="26"/>
                <w:lang w:val="en-US"/>
              </w:rPr>
              <w:t>S</w:t>
            </w:r>
            <w:r w:rsidR="00166B44" w:rsidRPr="00841766">
              <w:rPr>
                <w:rFonts w:ascii="Arial" w:hAnsi="Arial" w:cs="Arial"/>
                <w:b/>
                <w:color w:val="000000" w:themeColor="text1"/>
                <w:sz w:val="28"/>
                <w:szCs w:val="26"/>
                <w:lang w:val="en-US"/>
              </w:rPr>
              <w:t xml:space="preserve">upported </w:t>
            </w:r>
            <w:r w:rsidRPr="00841766">
              <w:rPr>
                <w:rFonts w:ascii="Arial" w:hAnsi="Arial" w:cs="Arial"/>
                <w:b/>
                <w:color w:val="000000" w:themeColor="text1"/>
                <w:sz w:val="28"/>
                <w:szCs w:val="26"/>
                <w:lang w:val="en-US"/>
              </w:rPr>
              <w:t>by the UNSDCF</w:t>
            </w:r>
          </w:p>
        </w:tc>
      </w:tr>
      <w:tr w:rsidR="003A41BE" w:rsidRPr="006444BA" w14:paraId="6E477E32" w14:textId="77777777" w:rsidTr="000135BE">
        <w:trPr>
          <w:trHeight w:val="258"/>
        </w:trPr>
        <w:tc>
          <w:tcPr>
            <w:tcW w:w="144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5961DA" w14:textId="77777777" w:rsidR="003A41BE" w:rsidRPr="000135BE" w:rsidRDefault="003A41BE" w:rsidP="003A41BE">
            <w:pPr>
              <w:pStyle w:val="ListParagraph"/>
              <w:numPr>
                <w:ilvl w:val="0"/>
                <w:numId w:val="45"/>
              </w:numPr>
              <w:spacing w:after="63"/>
              <w:ind w:left="314" w:hanging="190"/>
              <w:contextualSpacing w:val="0"/>
              <w:rPr>
                <w:rFonts w:ascii="Arial" w:hAnsi="Arial" w:cs="Arial"/>
                <w:b/>
                <w:lang w:val="en-US"/>
              </w:rPr>
            </w:pPr>
            <w:r w:rsidRPr="000135BE">
              <w:rPr>
                <w:rFonts w:ascii="Arial" w:hAnsi="Arial" w:cs="Arial"/>
                <w:b/>
                <w:lang w:val="en-US"/>
              </w:rPr>
              <w:t>Social Capital</w:t>
            </w:r>
          </w:p>
          <w:p w14:paraId="6B0BC8ED" w14:textId="5654B44D" w:rsidR="003A41BE" w:rsidRDefault="003A41BE" w:rsidP="00EF6929">
            <w:pPr>
              <w:rPr>
                <w:rFonts w:ascii="Arial" w:hAnsi="Arial" w:cs="Arial"/>
                <w:iCs/>
                <w:sz w:val="22"/>
                <w:lang w:val="en-US"/>
              </w:rPr>
            </w:pPr>
            <w:r w:rsidRPr="000135BE">
              <w:rPr>
                <w:rFonts w:ascii="Arial" w:hAnsi="Arial" w:cs="Arial"/>
                <w:iCs/>
                <w:szCs w:val="26"/>
                <w:lang w:val="en-US"/>
              </w:rPr>
              <w:t>“</w:t>
            </w:r>
            <w:r w:rsidRPr="000135BE">
              <w:rPr>
                <w:rFonts w:ascii="Arial" w:hAnsi="Arial" w:cs="Arial"/>
                <w:iCs/>
                <w:sz w:val="22"/>
                <w:lang w:val="en-US"/>
              </w:rPr>
              <w:t>The true wealth of any nation is in the strength of its people. Maximizing the overall health, education and quality of life of the Timorese people is central to building a fair and progressive nation” (SDP)</w:t>
            </w:r>
          </w:p>
          <w:p w14:paraId="0A95CDA9" w14:textId="77777777" w:rsidR="00094B4C" w:rsidRPr="000135BE" w:rsidRDefault="00094B4C" w:rsidP="000135BE">
            <w:pPr>
              <w:rPr>
                <w:rFonts w:ascii="Arial" w:hAnsi="Arial" w:cs="Arial"/>
                <w:iCs/>
                <w:sz w:val="22"/>
                <w:lang w:val="en-US"/>
              </w:rPr>
            </w:pPr>
          </w:p>
          <w:p w14:paraId="3E28190B" w14:textId="1E46A701" w:rsidR="003A41BE" w:rsidRDefault="003A41BE" w:rsidP="00094B4C">
            <w:pPr>
              <w:spacing w:after="63"/>
              <w:rPr>
                <w:rFonts w:ascii="Arial" w:hAnsi="Arial" w:cs="Arial"/>
                <w:iCs/>
                <w:sz w:val="22"/>
                <w:lang w:val="en-US"/>
              </w:rPr>
            </w:pPr>
            <w:r w:rsidRPr="000135BE">
              <w:rPr>
                <w:rFonts w:ascii="Arial" w:hAnsi="Arial" w:cs="Arial"/>
                <w:iCs/>
                <w:sz w:val="22"/>
                <w:lang w:val="en-US"/>
              </w:rPr>
              <w:t>Optimize multi-sectoral and cross-cutting areas of effective collaboration to achieve health, education and environmental goals, an essential condition for fighting hunger and poverty and increasing employment opportunities, productivity and growth of the country (Government priorities 2020-2023)</w:t>
            </w:r>
            <w:r w:rsidR="00094B4C">
              <w:rPr>
                <w:rFonts w:ascii="Arial" w:hAnsi="Arial" w:cs="Arial"/>
                <w:iCs/>
                <w:sz w:val="22"/>
                <w:lang w:val="en-US"/>
              </w:rPr>
              <w:t>:</w:t>
            </w:r>
          </w:p>
          <w:tbl>
            <w:tblPr>
              <w:tblStyle w:val="TableGrid"/>
              <w:tblW w:w="0" w:type="auto"/>
              <w:tblLayout w:type="fixed"/>
              <w:tblLook w:val="04A0" w:firstRow="1" w:lastRow="0" w:firstColumn="1" w:lastColumn="0" w:noHBand="0" w:noVBand="1"/>
            </w:tblPr>
            <w:tblGrid>
              <w:gridCol w:w="3559"/>
              <w:gridCol w:w="3559"/>
              <w:gridCol w:w="3559"/>
              <w:gridCol w:w="3560"/>
            </w:tblGrid>
            <w:tr w:rsidR="00094B4C" w14:paraId="732B5090" w14:textId="77777777" w:rsidTr="00094B4C">
              <w:tc>
                <w:tcPr>
                  <w:tcW w:w="3559" w:type="dxa"/>
                </w:tcPr>
                <w:p w14:paraId="02938E2E" w14:textId="028A8D67" w:rsidR="00094B4C" w:rsidRDefault="00094B4C" w:rsidP="002A37E3">
                  <w:pPr>
                    <w:framePr w:hSpace="141" w:wrap="around" w:vAnchor="text" w:hAnchor="text" w:x="416" w:y="1"/>
                    <w:spacing w:after="63"/>
                    <w:suppressOverlap/>
                    <w:rPr>
                      <w:rFonts w:ascii="Arial" w:hAnsi="Arial" w:cs="Arial"/>
                      <w:iCs/>
                      <w:sz w:val="22"/>
                      <w:lang w:val="en-US"/>
                    </w:rPr>
                  </w:pPr>
                  <w:r>
                    <w:rPr>
                      <w:rFonts w:ascii="Arial" w:hAnsi="Arial" w:cs="Arial"/>
                      <w:iCs/>
                      <w:sz w:val="22"/>
                      <w:lang w:val="en-US"/>
                    </w:rPr>
                    <w:t>Education and training</w:t>
                  </w:r>
                </w:p>
              </w:tc>
              <w:tc>
                <w:tcPr>
                  <w:tcW w:w="3559" w:type="dxa"/>
                </w:tcPr>
                <w:p w14:paraId="71C22A70" w14:textId="516C57AB" w:rsidR="00094B4C" w:rsidRDefault="00094B4C" w:rsidP="002A37E3">
                  <w:pPr>
                    <w:framePr w:hSpace="141" w:wrap="around" w:vAnchor="text" w:hAnchor="text" w:x="416" w:y="1"/>
                    <w:spacing w:after="63"/>
                    <w:suppressOverlap/>
                    <w:rPr>
                      <w:rFonts w:ascii="Arial" w:hAnsi="Arial" w:cs="Arial"/>
                      <w:iCs/>
                      <w:sz w:val="22"/>
                      <w:lang w:val="en-US"/>
                    </w:rPr>
                  </w:pPr>
                  <w:r>
                    <w:rPr>
                      <w:rFonts w:ascii="Arial" w:hAnsi="Arial" w:cs="Arial"/>
                      <w:iCs/>
                      <w:sz w:val="22"/>
                      <w:lang w:val="en-US"/>
                    </w:rPr>
                    <w:t>Health</w:t>
                  </w:r>
                </w:p>
              </w:tc>
              <w:tc>
                <w:tcPr>
                  <w:tcW w:w="3559" w:type="dxa"/>
                </w:tcPr>
                <w:p w14:paraId="40E2FF94" w14:textId="58DEF516" w:rsidR="00094B4C" w:rsidRDefault="00094B4C" w:rsidP="002A37E3">
                  <w:pPr>
                    <w:framePr w:hSpace="141" w:wrap="around" w:vAnchor="text" w:hAnchor="text" w:x="416" w:y="1"/>
                    <w:spacing w:after="63"/>
                    <w:suppressOverlap/>
                    <w:rPr>
                      <w:rFonts w:ascii="Arial" w:hAnsi="Arial" w:cs="Arial"/>
                      <w:iCs/>
                      <w:sz w:val="22"/>
                      <w:lang w:val="en-US"/>
                    </w:rPr>
                  </w:pPr>
                  <w:r>
                    <w:rPr>
                      <w:rFonts w:ascii="Arial" w:hAnsi="Arial" w:cs="Arial"/>
                      <w:iCs/>
                      <w:sz w:val="22"/>
                      <w:lang w:val="en-US"/>
                    </w:rPr>
                    <w:t>Social Inclusion</w:t>
                  </w:r>
                </w:p>
              </w:tc>
              <w:tc>
                <w:tcPr>
                  <w:tcW w:w="3560" w:type="dxa"/>
                </w:tcPr>
                <w:p w14:paraId="5F73A91B" w14:textId="3454C0EB" w:rsidR="00094B4C" w:rsidRDefault="00094B4C" w:rsidP="002A37E3">
                  <w:pPr>
                    <w:framePr w:hSpace="141" w:wrap="around" w:vAnchor="text" w:hAnchor="text" w:x="416" w:y="1"/>
                    <w:spacing w:after="63"/>
                    <w:suppressOverlap/>
                    <w:rPr>
                      <w:rFonts w:ascii="Arial" w:hAnsi="Arial" w:cs="Arial"/>
                      <w:iCs/>
                      <w:sz w:val="22"/>
                      <w:lang w:val="en-US"/>
                    </w:rPr>
                  </w:pPr>
                  <w:r>
                    <w:rPr>
                      <w:rFonts w:ascii="Arial" w:hAnsi="Arial" w:cs="Arial"/>
                      <w:iCs/>
                      <w:sz w:val="22"/>
                      <w:lang w:val="en-US"/>
                    </w:rPr>
                    <w:t>Environment</w:t>
                  </w:r>
                </w:p>
              </w:tc>
            </w:tr>
            <w:tr w:rsidR="00094B4C" w14:paraId="04F0EE80" w14:textId="77777777" w:rsidTr="00094B4C">
              <w:tc>
                <w:tcPr>
                  <w:tcW w:w="3559" w:type="dxa"/>
                </w:tcPr>
                <w:p w14:paraId="5FBEA9C2" w14:textId="0D90731D" w:rsidR="00094B4C" w:rsidRDefault="008E61F1" w:rsidP="002A37E3">
                  <w:pPr>
                    <w:framePr w:hSpace="141" w:wrap="around" w:vAnchor="text" w:hAnchor="text" w:x="416" w:y="1"/>
                    <w:spacing w:after="63"/>
                    <w:suppressOverlap/>
                    <w:rPr>
                      <w:rFonts w:ascii="Arial" w:hAnsi="Arial" w:cs="Arial"/>
                      <w:iCs/>
                      <w:sz w:val="22"/>
                      <w:lang w:val="en-US"/>
                    </w:rPr>
                  </w:pPr>
                  <w:r>
                    <w:rPr>
                      <w:rFonts w:ascii="Arial" w:hAnsi="Arial" w:cs="Arial"/>
                      <w:sz w:val="22"/>
                      <w:lang w:val="en-US"/>
                    </w:rPr>
                    <w:t>“</w:t>
                  </w:r>
                  <w:r w:rsidR="00094B4C" w:rsidRPr="00883666">
                    <w:rPr>
                      <w:rFonts w:ascii="Arial" w:hAnsi="Arial" w:cs="Arial"/>
                      <w:sz w:val="22"/>
                      <w:lang w:val="en-US"/>
                    </w:rPr>
                    <w:t>By 2030, the people of Timor-Leste will be educated and knowledgeable, able to live long and productive lives, and have access to a quality education that will allow them to participate in the economic, social and political development of our nation</w:t>
                  </w:r>
                  <w:r>
                    <w:rPr>
                      <w:rFonts w:ascii="Arial" w:hAnsi="Arial" w:cs="Arial"/>
                      <w:sz w:val="22"/>
                      <w:lang w:val="en-US"/>
                    </w:rPr>
                    <w:t>.”</w:t>
                  </w:r>
                </w:p>
              </w:tc>
              <w:tc>
                <w:tcPr>
                  <w:tcW w:w="3559" w:type="dxa"/>
                </w:tcPr>
                <w:p w14:paraId="308364A6" w14:textId="0832CE20" w:rsidR="00094B4C" w:rsidRDefault="008E61F1" w:rsidP="002A37E3">
                  <w:pPr>
                    <w:framePr w:hSpace="141" w:wrap="around" w:vAnchor="text" w:hAnchor="text" w:x="416" w:y="1"/>
                    <w:spacing w:after="63"/>
                    <w:suppressOverlap/>
                    <w:rPr>
                      <w:rFonts w:ascii="Arial" w:hAnsi="Arial" w:cs="Arial"/>
                      <w:iCs/>
                      <w:sz w:val="22"/>
                      <w:lang w:val="en-US"/>
                    </w:rPr>
                  </w:pPr>
                  <w:r>
                    <w:rPr>
                      <w:rFonts w:ascii="Arial" w:hAnsi="Arial" w:cs="Arial"/>
                      <w:sz w:val="22"/>
                      <w:lang w:val="en-US"/>
                    </w:rPr>
                    <w:t>“</w:t>
                  </w:r>
                  <w:r w:rsidR="00094B4C" w:rsidRPr="00883666">
                    <w:rPr>
                      <w:rFonts w:ascii="Arial" w:hAnsi="Arial" w:cs="Arial"/>
                      <w:sz w:val="22"/>
                      <w:lang w:val="en-US"/>
                    </w:rPr>
                    <w:t>By 2030, Timor-Leste will have a healthier population as a result of comprehensive, high quality health services accessible to all Timorese people. In turn, this will have reduced poverty, raised income levels and improved national productivity</w:t>
                  </w:r>
                  <w:r>
                    <w:rPr>
                      <w:rFonts w:ascii="Arial" w:hAnsi="Arial" w:cs="Arial"/>
                      <w:sz w:val="22"/>
                      <w:lang w:val="en-US"/>
                    </w:rPr>
                    <w:t>.”</w:t>
                  </w:r>
                </w:p>
              </w:tc>
              <w:tc>
                <w:tcPr>
                  <w:tcW w:w="3559" w:type="dxa"/>
                </w:tcPr>
                <w:p w14:paraId="3BB900BB" w14:textId="78944D3F" w:rsidR="00094B4C" w:rsidRDefault="008E61F1" w:rsidP="002A37E3">
                  <w:pPr>
                    <w:framePr w:hSpace="141" w:wrap="around" w:vAnchor="text" w:hAnchor="text" w:x="416" w:y="1"/>
                    <w:spacing w:after="63"/>
                    <w:suppressOverlap/>
                    <w:rPr>
                      <w:rFonts w:ascii="Arial" w:hAnsi="Arial" w:cs="Arial"/>
                      <w:iCs/>
                      <w:sz w:val="22"/>
                      <w:lang w:val="en-US"/>
                    </w:rPr>
                  </w:pPr>
                  <w:r>
                    <w:rPr>
                      <w:rFonts w:ascii="Arial" w:hAnsi="Arial" w:cs="Arial"/>
                      <w:sz w:val="22"/>
                      <w:lang w:val="en-US"/>
                    </w:rPr>
                    <w:t>“</w:t>
                  </w:r>
                  <w:r w:rsidR="00094B4C" w:rsidRPr="00883666">
                    <w:rPr>
                      <w:rFonts w:ascii="Arial" w:hAnsi="Arial" w:cs="Arial"/>
                      <w:sz w:val="22"/>
                      <w:lang w:val="en-US"/>
                    </w:rPr>
                    <w:t>By 2030, Timor-Leste will be a strong, cohesive and progressive nation where the rights and interests of its most vulnerable citizens are protected.</w:t>
                  </w:r>
                  <w:r>
                    <w:rPr>
                      <w:rFonts w:ascii="Arial" w:hAnsi="Arial" w:cs="Arial"/>
                      <w:sz w:val="22"/>
                      <w:lang w:val="en-US"/>
                    </w:rPr>
                    <w:t>”</w:t>
                  </w:r>
                </w:p>
              </w:tc>
              <w:tc>
                <w:tcPr>
                  <w:tcW w:w="3560" w:type="dxa"/>
                </w:tcPr>
                <w:p w14:paraId="435DEA43" w14:textId="28FD0408" w:rsidR="00094B4C" w:rsidRDefault="008E61F1" w:rsidP="002A37E3">
                  <w:pPr>
                    <w:framePr w:hSpace="141" w:wrap="around" w:vAnchor="text" w:hAnchor="text" w:x="416" w:y="1"/>
                    <w:spacing w:after="63"/>
                    <w:suppressOverlap/>
                    <w:rPr>
                      <w:rFonts w:ascii="Arial" w:hAnsi="Arial" w:cs="Arial"/>
                      <w:iCs/>
                      <w:sz w:val="22"/>
                      <w:lang w:val="en-US"/>
                    </w:rPr>
                  </w:pPr>
                  <w:r>
                    <w:rPr>
                      <w:rFonts w:ascii="Arial" w:hAnsi="Arial" w:cs="Arial"/>
                      <w:sz w:val="22"/>
                      <w:lang w:val="en-US"/>
                    </w:rPr>
                    <w:t>“</w:t>
                  </w:r>
                  <w:r w:rsidR="00094B4C" w:rsidRPr="00883666">
                    <w:rPr>
                      <w:rFonts w:ascii="Arial" w:hAnsi="Arial" w:cs="Arial"/>
                      <w:sz w:val="22"/>
                      <w:lang w:val="en-US"/>
                    </w:rPr>
                    <w:t>By 2030, Timor-Leste the strong bond between Timorese people and the environment will be restored and our natural resources and our environment will be managed sustainably for the benefit of all</w:t>
                  </w:r>
                  <w:r>
                    <w:rPr>
                      <w:rFonts w:ascii="Arial" w:hAnsi="Arial" w:cs="Arial"/>
                      <w:sz w:val="22"/>
                      <w:lang w:val="en-US"/>
                    </w:rPr>
                    <w:t>.”</w:t>
                  </w:r>
                </w:p>
              </w:tc>
            </w:tr>
          </w:tbl>
          <w:p w14:paraId="3BF10553" w14:textId="77777777" w:rsidR="00094B4C" w:rsidRPr="000135BE" w:rsidRDefault="00094B4C" w:rsidP="000135BE">
            <w:pPr>
              <w:spacing w:after="63"/>
              <w:rPr>
                <w:rFonts w:ascii="Arial" w:hAnsi="Arial" w:cs="Arial"/>
                <w:iCs/>
                <w:sz w:val="22"/>
                <w:lang w:val="en-US"/>
              </w:rPr>
            </w:pPr>
          </w:p>
          <w:p w14:paraId="71040812" w14:textId="5D648C8C" w:rsidR="003A41BE" w:rsidRPr="000135BE" w:rsidRDefault="003A41BE" w:rsidP="003A41BE">
            <w:pPr>
              <w:pStyle w:val="ListParagraph"/>
              <w:numPr>
                <w:ilvl w:val="0"/>
                <w:numId w:val="45"/>
              </w:numPr>
              <w:spacing w:after="63"/>
              <w:ind w:left="314" w:hanging="190"/>
              <w:contextualSpacing w:val="0"/>
              <w:rPr>
                <w:rFonts w:ascii="Arial" w:hAnsi="Arial" w:cs="Arial"/>
                <w:b/>
                <w:lang w:val="en-US"/>
              </w:rPr>
            </w:pPr>
            <w:r w:rsidRPr="000135BE">
              <w:rPr>
                <w:rFonts w:ascii="Arial" w:hAnsi="Arial" w:cs="Arial"/>
                <w:b/>
                <w:lang w:val="en-US"/>
              </w:rPr>
              <w:t>Infrastructure</w:t>
            </w:r>
            <w:r w:rsidR="00A7359C" w:rsidRPr="000135BE">
              <w:rPr>
                <w:rFonts w:ascii="Arial" w:hAnsi="Arial" w:cs="Arial"/>
                <w:b/>
                <w:lang w:val="en-US"/>
              </w:rPr>
              <w:t xml:space="preserve"> Development</w:t>
            </w:r>
          </w:p>
          <w:p w14:paraId="42B689E2" w14:textId="17819A7F" w:rsidR="003A41BE" w:rsidRDefault="00094B4C" w:rsidP="00094B4C">
            <w:pPr>
              <w:spacing w:after="63"/>
              <w:rPr>
                <w:rFonts w:ascii="Arial" w:hAnsi="Arial" w:cs="Arial"/>
                <w:iCs/>
                <w:sz w:val="22"/>
                <w:szCs w:val="22"/>
                <w:lang w:val="en-US"/>
              </w:rPr>
            </w:pPr>
            <w:r>
              <w:rPr>
                <w:rFonts w:ascii="Arial" w:hAnsi="Arial" w:cs="Arial"/>
                <w:iCs/>
                <w:sz w:val="22"/>
                <w:szCs w:val="22"/>
                <w:lang w:val="en-US"/>
              </w:rPr>
              <w:t>“</w:t>
            </w:r>
            <w:r w:rsidR="003A41BE" w:rsidRPr="000135BE">
              <w:rPr>
                <w:rFonts w:ascii="Arial" w:hAnsi="Arial" w:cs="Arial"/>
                <w:iCs/>
                <w:sz w:val="22"/>
                <w:szCs w:val="22"/>
                <w:lang w:val="en-US"/>
              </w:rPr>
              <w:t>Timor-Leste will invest in the core and productive infrastructure needed to sustain a growing, productive and connected nation” (SDP)</w:t>
            </w:r>
          </w:p>
          <w:tbl>
            <w:tblPr>
              <w:tblStyle w:val="TableGrid"/>
              <w:tblW w:w="0" w:type="auto"/>
              <w:tblLayout w:type="fixed"/>
              <w:tblLook w:val="04A0" w:firstRow="1" w:lastRow="0" w:firstColumn="1" w:lastColumn="0" w:noHBand="0" w:noVBand="1"/>
            </w:tblPr>
            <w:tblGrid>
              <w:gridCol w:w="3564"/>
              <w:gridCol w:w="3564"/>
            </w:tblGrid>
            <w:tr w:rsidR="008E61F1" w14:paraId="1A06C79A" w14:textId="77777777" w:rsidTr="005F4A3B">
              <w:trPr>
                <w:trHeight w:val="698"/>
              </w:trPr>
              <w:tc>
                <w:tcPr>
                  <w:tcW w:w="3564" w:type="dxa"/>
                </w:tcPr>
                <w:p w14:paraId="4C739098" w14:textId="3AC95F26" w:rsidR="008E61F1" w:rsidRDefault="008E61F1" w:rsidP="002A37E3">
                  <w:pPr>
                    <w:framePr w:hSpace="141" w:wrap="around" w:vAnchor="text" w:hAnchor="text" w:x="416" w:y="1"/>
                    <w:spacing w:after="63"/>
                    <w:suppressOverlap/>
                    <w:rPr>
                      <w:rFonts w:ascii="Arial" w:hAnsi="Arial" w:cs="Arial"/>
                      <w:iCs/>
                      <w:sz w:val="22"/>
                      <w:szCs w:val="22"/>
                      <w:lang w:val="en-US"/>
                    </w:rPr>
                  </w:pPr>
                  <w:r>
                    <w:rPr>
                      <w:rFonts w:ascii="Arial" w:hAnsi="Arial" w:cs="Arial"/>
                      <w:iCs/>
                      <w:sz w:val="22"/>
                      <w:szCs w:val="22"/>
                      <w:lang w:val="en-US"/>
                    </w:rPr>
                    <w:t>Water and sanitation</w:t>
                  </w:r>
                </w:p>
              </w:tc>
              <w:tc>
                <w:tcPr>
                  <w:tcW w:w="3564" w:type="dxa"/>
                </w:tcPr>
                <w:p w14:paraId="087EE573" w14:textId="5517B1B1" w:rsidR="008E61F1" w:rsidRDefault="008E61F1" w:rsidP="002A37E3">
                  <w:pPr>
                    <w:framePr w:hSpace="141" w:wrap="around" w:vAnchor="text" w:hAnchor="text" w:x="416" w:y="1"/>
                    <w:spacing w:after="63"/>
                    <w:suppressOverlap/>
                    <w:rPr>
                      <w:rFonts w:ascii="Arial" w:hAnsi="Arial" w:cs="Arial"/>
                      <w:iCs/>
                      <w:sz w:val="22"/>
                      <w:szCs w:val="22"/>
                      <w:lang w:val="en-US"/>
                    </w:rPr>
                  </w:pPr>
                  <w:r>
                    <w:rPr>
                      <w:rFonts w:ascii="Arial" w:hAnsi="Arial" w:cs="Arial"/>
                      <w:iCs/>
                      <w:sz w:val="22"/>
                      <w:szCs w:val="22"/>
                      <w:lang w:val="en-US"/>
                    </w:rPr>
                    <w:t>Roads and bridges</w:t>
                  </w:r>
                </w:p>
              </w:tc>
            </w:tr>
            <w:tr w:rsidR="008E61F1" w14:paraId="4F4F6AC5" w14:textId="77777777" w:rsidTr="005F4A3B">
              <w:trPr>
                <w:trHeight w:val="1632"/>
              </w:trPr>
              <w:tc>
                <w:tcPr>
                  <w:tcW w:w="3564" w:type="dxa"/>
                </w:tcPr>
                <w:p w14:paraId="11241978" w14:textId="17EC8695" w:rsidR="008E61F1" w:rsidRDefault="008E61F1" w:rsidP="002A37E3">
                  <w:pPr>
                    <w:framePr w:hSpace="141" w:wrap="around" w:vAnchor="text" w:hAnchor="text" w:x="416" w:y="1"/>
                    <w:spacing w:after="63"/>
                    <w:suppressOverlap/>
                    <w:rPr>
                      <w:rFonts w:ascii="Arial" w:hAnsi="Arial" w:cs="Arial"/>
                      <w:iCs/>
                      <w:sz w:val="22"/>
                      <w:szCs w:val="22"/>
                      <w:lang w:val="en-US"/>
                    </w:rPr>
                  </w:pPr>
                  <w:r>
                    <w:rPr>
                      <w:rFonts w:ascii="Arial" w:hAnsi="Arial" w:cs="Arial"/>
                      <w:sz w:val="22"/>
                      <w:lang w:val="en-US"/>
                    </w:rPr>
                    <w:t>“B</w:t>
                  </w:r>
                  <w:r w:rsidRPr="00883666">
                    <w:rPr>
                      <w:rFonts w:ascii="Arial" w:hAnsi="Arial" w:cs="Arial"/>
                      <w:sz w:val="22"/>
                      <w:lang w:val="en-US"/>
                    </w:rPr>
                    <w:t>y 2030, all citizens in Timor-Leste will have access to clean water and improved sanitation</w:t>
                  </w:r>
                  <w:r>
                    <w:rPr>
                      <w:rFonts w:ascii="Arial" w:hAnsi="Arial" w:cs="Arial"/>
                      <w:sz w:val="22"/>
                      <w:lang w:val="en-US"/>
                    </w:rPr>
                    <w:t>”</w:t>
                  </w:r>
                </w:p>
              </w:tc>
              <w:tc>
                <w:tcPr>
                  <w:tcW w:w="3564" w:type="dxa"/>
                </w:tcPr>
                <w:p w14:paraId="30F1BEC0" w14:textId="664B0109" w:rsidR="008E61F1" w:rsidRDefault="008E61F1" w:rsidP="002A37E3">
                  <w:pPr>
                    <w:framePr w:hSpace="141" w:wrap="around" w:vAnchor="text" w:hAnchor="text" w:x="416" w:y="1"/>
                    <w:spacing w:after="63"/>
                    <w:suppressOverlap/>
                    <w:rPr>
                      <w:rFonts w:ascii="Arial" w:hAnsi="Arial" w:cs="Arial"/>
                      <w:iCs/>
                      <w:sz w:val="22"/>
                      <w:szCs w:val="22"/>
                      <w:lang w:val="en-US"/>
                    </w:rPr>
                  </w:pPr>
                  <w:r>
                    <w:rPr>
                      <w:rFonts w:ascii="Arial" w:hAnsi="Arial" w:cs="Arial"/>
                      <w:iCs/>
                      <w:sz w:val="22"/>
                      <w:szCs w:val="22"/>
                      <w:lang w:val="en-US"/>
                    </w:rPr>
                    <w:t>“Improve our core infrastructure including roads and bridges”</w:t>
                  </w:r>
                </w:p>
              </w:tc>
            </w:tr>
          </w:tbl>
          <w:p w14:paraId="5A70801C" w14:textId="213828F7" w:rsidR="00A373CD" w:rsidRDefault="00A373CD" w:rsidP="000135BE">
            <w:pPr>
              <w:spacing w:after="63"/>
              <w:rPr>
                <w:rFonts w:ascii="Arial" w:hAnsi="Arial" w:cs="Arial"/>
                <w:iCs/>
                <w:sz w:val="22"/>
                <w:szCs w:val="22"/>
                <w:lang w:val="en-US"/>
              </w:rPr>
            </w:pPr>
          </w:p>
          <w:p w14:paraId="1735C333" w14:textId="77777777" w:rsidR="00F72508" w:rsidRPr="000135BE" w:rsidRDefault="00F72508" w:rsidP="000135BE">
            <w:pPr>
              <w:spacing w:after="63"/>
              <w:rPr>
                <w:rFonts w:ascii="Arial" w:hAnsi="Arial" w:cs="Arial"/>
                <w:iCs/>
                <w:sz w:val="22"/>
                <w:szCs w:val="22"/>
                <w:lang w:val="en-US"/>
              </w:rPr>
            </w:pPr>
          </w:p>
          <w:p w14:paraId="49AC2BF0" w14:textId="2B8159C6" w:rsidR="003A41BE" w:rsidRPr="000135BE" w:rsidRDefault="003A41BE" w:rsidP="003A41BE">
            <w:pPr>
              <w:pStyle w:val="ListParagraph"/>
              <w:numPr>
                <w:ilvl w:val="0"/>
                <w:numId w:val="45"/>
              </w:numPr>
              <w:spacing w:after="63"/>
              <w:ind w:left="314" w:hanging="190"/>
              <w:contextualSpacing w:val="0"/>
              <w:rPr>
                <w:rFonts w:ascii="Arial" w:hAnsi="Arial" w:cs="Arial"/>
                <w:b/>
                <w:lang w:val="en-US"/>
              </w:rPr>
            </w:pPr>
            <w:r w:rsidRPr="000135BE">
              <w:rPr>
                <w:rFonts w:ascii="Arial" w:hAnsi="Arial" w:cs="Arial"/>
                <w:b/>
                <w:lang w:val="en-US"/>
              </w:rPr>
              <w:t xml:space="preserve">Economic Development </w:t>
            </w:r>
          </w:p>
          <w:p w14:paraId="6D1E7379" w14:textId="77777777" w:rsidR="003A41BE" w:rsidRPr="000135BE" w:rsidRDefault="003A41BE" w:rsidP="000135BE">
            <w:pPr>
              <w:spacing w:after="63"/>
              <w:rPr>
                <w:rFonts w:ascii="Arial" w:hAnsi="Arial" w:cs="Arial"/>
                <w:iCs/>
                <w:sz w:val="22"/>
                <w:szCs w:val="22"/>
                <w:lang w:val="en-US"/>
              </w:rPr>
            </w:pPr>
            <w:r w:rsidRPr="000135BE">
              <w:rPr>
                <w:rFonts w:ascii="Arial" w:hAnsi="Arial" w:cs="Arial"/>
                <w:iCs/>
                <w:sz w:val="22"/>
                <w:szCs w:val="22"/>
                <w:lang w:val="en-US"/>
              </w:rPr>
              <w:t>“Timor-Leste will build a modern, diversified economy based on the agriculture, tourism and petroleum industries, with a flourishing private sector and new opportunities for all our people (SDP)”</w:t>
            </w:r>
          </w:p>
          <w:p w14:paraId="4440C844" w14:textId="12C60ACA" w:rsidR="003A41BE" w:rsidRDefault="003A41BE" w:rsidP="00094B4C">
            <w:pPr>
              <w:spacing w:after="63"/>
              <w:rPr>
                <w:rFonts w:ascii="Arial" w:hAnsi="Arial" w:cs="Arial"/>
                <w:iCs/>
                <w:sz w:val="22"/>
                <w:szCs w:val="22"/>
                <w:lang w:val="en-US"/>
              </w:rPr>
            </w:pPr>
            <w:r w:rsidRPr="000135BE">
              <w:rPr>
                <w:rFonts w:ascii="Arial" w:hAnsi="Arial" w:cs="Arial"/>
                <w:iCs/>
                <w:sz w:val="22"/>
                <w:szCs w:val="22"/>
                <w:lang w:val="en-US"/>
              </w:rPr>
              <w:t>“Promote sustained income growth, stimulating private initiative, economic diversification and the successful use of different development opportunities (Government priorities 2020-2023)</w:t>
            </w:r>
          </w:p>
          <w:tbl>
            <w:tblPr>
              <w:tblStyle w:val="TableGrid"/>
              <w:tblW w:w="0" w:type="auto"/>
              <w:tblLayout w:type="fixed"/>
              <w:tblLook w:val="04A0" w:firstRow="1" w:lastRow="0" w:firstColumn="1" w:lastColumn="0" w:noHBand="0" w:noVBand="1"/>
            </w:tblPr>
            <w:tblGrid>
              <w:gridCol w:w="3559"/>
              <w:gridCol w:w="3559"/>
              <w:gridCol w:w="3559"/>
            </w:tblGrid>
            <w:tr w:rsidR="008C42E8" w14:paraId="39E45427" w14:textId="77777777" w:rsidTr="00094B4C">
              <w:tc>
                <w:tcPr>
                  <w:tcW w:w="3559" w:type="dxa"/>
                </w:tcPr>
                <w:p w14:paraId="1A11FB34" w14:textId="733BA99B" w:rsidR="008C42E8" w:rsidRDefault="008C42E8" w:rsidP="002A37E3">
                  <w:pPr>
                    <w:framePr w:hSpace="141" w:wrap="around" w:vAnchor="text" w:hAnchor="text" w:x="416" w:y="1"/>
                    <w:spacing w:after="63"/>
                    <w:suppressOverlap/>
                    <w:rPr>
                      <w:rFonts w:ascii="Arial" w:hAnsi="Arial" w:cs="Arial"/>
                      <w:iCs/>
                      <w:sz w:val="22"/>
                      <w:szCs w:val="22"/>
                      <w:lang w:val="en-US"/>
                    </w:rPr>
                  </w:pPr>
                  <w:r>
                    <w:rPr>
                      <w:rFonts w:ascii="Arial" w:hAnsi="Arial" w:cs="Arial"/>
                      <w:iCs/>
                      <w:sz w:val="22"/>
                      <w:szCs w:val="22"/>
                      <w:lang w:val="en-US"/>
                    </w:rPr>
                    <w:t xml:space="preserve">Agriculture </w:t>
                  </w:r>
                </w:p>
              </w:tc>
              <w:tc>
                <w:tcPr>
                  <w:tcW w:w="3559" w:type="dxa"/>
                </w:tcPr>
                <w:p w14:paraId="3EDEBB4E" w14:textId="6DF4956D" w:rsidR="008C42E8" w:rsidRDefault="008C42E8" w:rsidP="002A37E3">
                  <w:pPr>
                    <w:framePr w:hSpace="141" w:wrap="around" w:vAnchor="text" w:hAnchor="text" w:x="416" w:y="1"/>
                    <w:spacing w:after="63"/>
                    <w:suppressOverlap/>
                    <w:rPr>
                      <w:rFonts w:ascii="Arial" w:hAnsi="Arial" w:cs="Arial"/>
                      <w:iCs/>
                      <w:sz w:val="22"/>
                      <w:szCs w:val="22"/>
                      <w:lang w:val="en-US"/>
                    </w:rPr>
                  </w:pPr>
                  <w:r>
                    <w:rPr>
                      <w:rFonts w:ascii="Arial" w:hAnsi="Arial" w:cs="Arial"/>
                      <w:iCs/>
                      <w:sz w:val="22"/>
                      <w:szCs w:val="22"/>
                      <w:lang w:val="en-US"/>
                    </w:rPr>
                    <w:t>Rural development</w:t>
                  </w:r>
                </w:p>
              </w:tc>
              <w:tc>
                <w:tcPr>
                  <w:tcW w:w="3559" w:type="dxa"/>
                </w:tcPr>
                <w:p w14:paraId="01C468C5" w14:textId="51E53062" w:rsidR="008C42E8" w:rsidRDefault="008C42E8" w:rsidP="002A37E3">
                  <w:pPr>
                    <w:framePr w:hSpace="141" w:wrap="around" w:vAnchor="text" w:hAnchor="text" w:x="416" w:y="1"/>
                    <w:spacing w:after="63"/>
                    <w:suppressOverlap/>
                    <w:rPr>
                      <w:rFonts w:ascii="Arial" w:hAnsi="Arial" w:cs="Arial"/>
                      <w:iCs/>
                      <w:sz w:val="22"/>
                      <w:szCs w:val="22"/>
                      <w:lang w:val="en-US"/>
                    </w:rPr>
                  </w:pPr>
                  <w:r>
                    <w:rPr>
                      <w:rFonts w:ascii="Arial" w:hAnsi="Arial" w:cs="Arial"/>
                      <w:iCs/>
                      <w:sz w:val="22"/>
                      <w:szCs w:val="22"/>
                      <w:lang w:val="en-US"/>
                    </w:rPr>
                    <w:t>Investment</w:t>
                  </w:r>
                </w:p>
              </w:tc>
            </w:tr>
            <w:tr w:rsidR="008C42E8" w14:paraId="286C5939" w14:textId="77777777" w:rsidTr="00094B4C">
              <w:tc>
                <w:tcPr>
                  <w:tcW w:w="3559" w:type="dxa"/>
                </w:tcPr>
                <w:p w14:paraId="077D3C14" w14:textId="3F924BD9" w:rsidR="008C42E8" w:rsidRDefault="008C42E8" w:rsidP="002A37E3">
                  <w:pPr>
                    <w:framePr w:hSpace="141" w:wrap="around" w:vAnchor="text" w:hAnchor="text" w:x="416" w:y="1"/>
                    <w:spacing w:after="63"/>
                    <w:suppressOverlap/>
                    <w:rPr>
                      <w:rFonts w:ascii="Arial" w:hAnsi="Arial" w:cs="Arial"/>
                      <w:iCs/>
                      <w:sz w:val="22"/>
                      <w:szCs w:val="22"/>
                      <w:lang w:val="en-US"/>
                    </w:rPr>
                  </w:pPr>
                  <w:r>
                    <w:rPr>
                      <w:rFonts w:ascii="Arial" w:hAnsi="Arial" w:cs="Arial"/>
                      <w:sz w:val="22"/>
                      <w:szCs w:val="22"/>
                      <w:lang w:val="en-US"/>
                    </w:rPr>
                    <w:t>“</w:t>
                  </w:r>
                  <w:r w:rsidRPr="00883666">
                    <w:rPr>
                      <w:rFonts w:ascii="Arial" w:hAnsi="Arial" w:cs="Arial"/>
                      <w:sz w:val="22"/>
                      <w:szCs w:val="22"/>
                      <w:lang w:val="en-US"/>
                    </w:rPr>
                    <w:t>A thriving agricultural sector to reduce poverty, provide food security and promote economic growth in rural areas and our nation as a whole</w:t>
                  </w:r>
                  <w:r>
                    <w:rPr>
                      <w:rFonts w:ascii="Arial" w:hAnsi="Arial" w:cs="Arial"/>
                      <w:sz w:val="22"/>
                      <w:szCs w:val="22"/>
                      <w:lang w:val="en-US"/>
                    </w:rPr>
                    <w:t>.”</w:t>
                  </w:r>
                </w:p>
              </w:tc>
              <w:tc>
                <w:tcPr>
                  <w:tcW w:w="3559" w:type="dxa"/>
                </w:tcPr>
                <w:p w14:paraId="6A7691EC" w14:textId="5D105A75" w:rsidR="008C42E8" w:rsidRDefault="008C42E8" w:rsidP="002A37E3">
                  <w:pPr>
                    <w:framePr w:hSpace="141" w:wrap="around" w:vAnchor="text" w:hAnchor="text" w:x="416" w:y="1"/>
                    <w:spacing w:after="63"/>
                    <w:suppressOverlap/>
                    <w:rPr>
                      <w:rFonts w:ascii="Arial" w:hAnsi="Arial" w:cs="Arial"/>
                      <w:iCs/>
                      <w:sz w:val="22"/>
                      <w:szCs w:val="22"/>
                      <w:lang w:val="en-US"/>
                    </w:rPr>
                  </w:pPr>
                  <w:r>
                    <w:rPr>
                      <w:rFonts w:ascii="Arial" w:hAnsi="Arial" w:cs="Arial"/>
                      <w:sz w:val="22"/>
                      <w:szCs w:val="22"/>
                      <w:lang w:val="en-US"/>
                    </w:rPr>
                    <w:t>“</w:t>
                  </w:r>
                  <w:r w:rsidRPr="00883666">
                    <w:rPr>
                      <w:rFonts w:ascii="Arial" w:hAnsi="Arial" w:cs="Arial"/>
                      <w:sz w:val="22"/>
                      <w:szCs w:val="22"/>
                      <w:lang w:val="en-US"/>
                    </w:rPr>
                    <w:t>The creation of local jobs is the best way to improve the lives and livelihoods of people living in rural areas</w:t>
                  </w:r>
                  <w:r>
                    <w:rPr>
                      <w:rFonts w:ascii="Arial" w:hAnsi="Arial" w:cs="Arial"/>
                      <w:sz w:val="22"/>
                      <w:szCs w:val="22"/>
                      <w:lang w:val="en-US"/>
                    </w:rPr>
                    <w:t>.”</w:t>
                  </w:r>
                </w:p>
              </w:tc>
              <w:tc>
                <w:tcPr>
                  <w:tcW w:w="3559" w:type="dxa"/>
                </w:tcPr>
                <w:p w14:paraId="61C8EF96" w14:textId="668C0C3E" w:rsidR="008C42E8" w:rsidRDefault="008C42E8" w:rsidP="002A37E3">
                  <w:pPr>
                    <w:framePr w:hSpace="141" w:wrap="around" w:vAnchor="text" w:hAnchor="text" w:x="416" w:y="1"/>
                    <w:spacing w:after="63"/>
                    <w:suppressOverlap/>
                    <w:rPr>
                      <w:rFonts w:ascii="Arial" w:hAnsi="Arial" w:cs="Arial"/>
                      <w:iCs/>
                      <w:sz w:val="22"/>
                      <w:szCs w:val="22"/>
                      <w:lang w:val="en-US"/>
                    </w:rPr>
                  </w:pPr>
                  <w:r>
                    <w:rPr>
                      <w:rFonts w:ascii="Arial" w:hAnsi="Arial" w:cs="Arial"/>
                      <w:sz w:val="22"/>
                      <w:szCs w:val="22"/>
                      <w:lang w:val="en-US"/>
                    </w:rPr>
                    <w:t>“</w:t>
                  </w:r>
                  <w:r w:rsidRPr="00883666">
                    <w:rPr>
                      <w:rFonts w:ascii="Arial" w:hAnsi="Arial" w:cs="Arial"/>
                      <w:sz w:val="22"/>
                      <w:szCs w:val="22"/>
                      <w:lang w:val="en-US"/>
                    </w:rPr>
                    <w:t>To build our nation and provide jobs and income for our people, we will attract investors to our key industry sectors, partner with international firms in building our infrastructure and support local firms to start-up and grow</w:t>
                  </w:r>
                  <w:r>
                    <w:rPr>
                      <w:rFonts w:ascii="Arial" w:hAnsi="Arial" w:cs="Arial"/>
                      <w:sz w:val="22"/>
                      <w:szCs w:val="22"/>
                      <w:lang w:val="en-US"/>
                    </w:rPr>
                    <w:t>.”</w:t>
                  </w:r>
                </w:p>
              </w:tc>
            </w:tr>
          </w:tbl>
          <w:p w14:paraId="2AF0D52F" w14:textId="0547F80B" w:rsidR="003A41BE" w:rsidRPr="000135BE" w:rsidRDefault="003A41BE" w:rsidP="000135BE">
            <w:pPr>
              <w:pStyle w:val="ListParagraph"/>
              <w:spacing w:after="127"/>
              <w:ind w:left="389"/>
              <w:contextualSpacing w:val="0"/>
              <w:rPr>
                <w:rFonts w:ascii="Arial" w:hAnsi="Arial" w:cs="Arial"/>
                <w:sz w:val="22"/>
                <w:szCs w:val="22"/>
                <w:lang w:val="en-US"/>
              </w:rPr>
            </w:pPr>
          </w:p>
          <w:p w14:paraId="742F3B7F" w14:textId="77777777" w:rsidR="003A41BE" w:rsidRPr="000135BE" w:rsidRDefault="003A41BE" w:rsidP="000135BE">
            <w:pPr>
              <w:pStyle w:val="ListParagraph"/>
              <w:numPr>
                <w:ilvl w:val="0"/>
                <w:numId w:val="45"/>
              </w:numPr>
              <w:spacing w:after="63"/>
              <w:ind w:left="314" w:hanging="190"/>
              <w:contextualSpacing w:val="0"/>
              <w:rPr>
                <w:rFonts w:ascii="Arial" w:hAnsi="Arial" w:cs="Arial"/>
                <w:b/>
                <w:lang w:val="en-US"/>
              </w:rPr>
            </w:pPr>
            <w:r w:rsidRPr="000135BE">
              <w:rPr>
                <w:rFonts w:ascii="Arial" w:hAnsi="Arial" w:cs="Arial"/>
                <w:b/>
                <w:lang w:val="en-US"/>
              </w:rPr>
              <w:t>Institutional Framework</w:t>
            </w:r>
          </w:p>
          <w:p w14:paraId="530A65A8" w14:textId="3503754B" w:rsidR="003A41BE" w:rsidRDefault="00094B4C" w:rsidP="00094B4C">
            <w:pPr>
              <w:spacing w:after="63"/>
              <w:rPr>
                <w:rFonts w:ascii="Arial" w:hAnsi="Arial" w:cs="Arial"/>
                <w:iCs/>
                <w:sz w:val="22"/>
                <w:szCs w:val="22"/>
                <w:lang w:val="en-US"/>
              </w:rPr>
            </w:pPr>
            <w:r>
              <w:rPr>
                <w:rFonts w:ascii="Arial" w:hAnsi="Arial" w:cs="Arial"/>
                <w:iCs/>
                <w:sz w:val="22"/>
                <w:szCs w:val="22"/>
                <w:lang w:val="en-US"/>
              </w:rPr>
              <w:t>“</w:t>
            </w:r>
            <w:r w:rsidR="003A41BE" w:rsidRPr="000135BE">
              <w:rPr>
                <w:rFonts w:ascii="Arial" w:hAnsi="Arial" w:cs="Arial"/>
                <w:iCs/>
                <w:sz w:val="22"/>
                <w:szCs w:val="22"/>
                <w:lang w:val="en-US"/>
              </w:rPr>
              <w:t>Stability and security are necessary preconditions to social and economic development. After many years of conflict, Timor-Leste’s goal is to be a stable and secure nation that recognizes the rule of law and provides access to justice for all our citizens” (SDP)</w:t>
            </w:r>
          </w:p>
          <w:tbl>
            <w:tblPr>
              <w:tblStyle w:val="TableGrid"/>
              <w:tblW w:w="0" w:type="auto"/>
              <w:tblLayout w:type="fixed"/>
              <w:tblLook w:val="04A0" w:firstRow="1" w:lastRow="0" w:firstColumn="1" w:lastColumn="0" w:noHBand="0" w:noVBand="1"/>
            </w:tblPr>
            <w:tblGrid>
              <w:gridCol w:w="6207"/>
              <w:gridCol w:w="6207"/>
            </w:tblGrid>
            <w:tr w:rsidR="00094B4C" w14:paraId="496DB7E2" w14:textId="77777777" w:rsidTr="000135BE">
              <w:trPr>
                <w:trHeight w:val="71"/>
              </w:trPr>
              <w:tc>
                <w:tcPr>
                  <w:tcW w:w="6207" w:type="dxa"/>
                </w:tcPr>
                <w:p w14:paraId="0606623F" w14:textId="27AF5680" w:rsidR="00094B4C" w:rsidRDefault="00094B4C" w:rsidP="002A37E3">
                  <w:pPr>
                    <w:framePr w:hSpace="141" w:wrap="around" w:vAnchor="text" w:hAnchor="text" w:x="416" w:y="1"/>
                    <w:spacing w:after="63"/>
                    <w:suppressOverlap/>
                    <w:rPr>
                      <w:rFonts w:ascii="Arial" w:hAnsi="Arial" w:cs="Arial"/>
                      <w:iCs/>
                      <w:sz w:val="22"/>
                      <w:szCs w:val="22"/>
                      <w:lang w:val="en-US"/>
                    </w:rPr>
                  </w:pPr>
                  <w:r>
                    <w:rPr>
                      <w:rFonts w:ascii="Arial" w:hAnsi="Arial" w:cs="Arial"/>
                      <w:iCs/>
                      <w:sz w:val="22"/>
                      <w:szCs w:val="22"/>
                      <w:lang w:val="en-US"/>
                    </w:rPr>
                    <w:t>Justice</w:t>
                  </w:r>
                </w:p>
              </w:tc>
              <w:tc>
                <w:tcPr>
                  <w:tcW w:w="6207" w:type="dxa"/>
                </w:tcPr>
                <w:p w14:paraId="3DF3B4D9" w14:textId="1E575EE0" w:rsidR="00094B4C" w:rsidRDefault="00094B4C" w:rsidP="002A37E3">
                  <w:pPr>
                    <w:framePr w:hSpace="141" w:wrap="around" w:vAnchor="text" w:hAnchor="text" w:x="416" w:y="1"/>
                    <w:spacing w:after="63"/>
                    <w:suppressOverlap/>
                    <w:rPr>
                      <w:rFonts w:ascii="Arial" w:hAnsi="Arial" w:cs="Arial"/>
                      <w:iCs/>
                      <w:sz w:val="22"/>
                      <w:szCs w:val="22"/>
                      <w:lang w:val="en-US"/>
                    </w:rPr>
                  </w:pPr>
                  <w:r>
                    <w:rPr>
                      <w:rFonts w:ascii="Arial" w:hAnsi="Arial" w:cs="Arial"/>
                      <w:iCs/>
                      <w:sz w:val="22"/>
                      <w:szCs w:val="22"/>
                      <w:lang w:val="en-US"/>
                    </w:rPr>
                    <w:t xml:space="preserve">Public Sector </w:t>
                  </w:r>
                  <w:r w:rsidR="006101DF">
                    <w:rPr>
                      <w:rFonts w:ascii="Arial" w:hAnsi="Arial" w:cs="Arial"/>
                      <w:iCs/>
                      <w:sz w:val="22"/>
                      <w:szCs w:val="22"/>
                      <w:lang w:val="en-US"/>
                    </w:rPr>
                    <w:t>Management</w:t>
                  </w:r>
                  <w:r>
                    <w:rPr>
                      <w:rFonts w:ascii="Arial" w:hAnsi="Arial" w:cs="Arial"/>
                      <w:iCs/>
                      <w:sz w:val="22"/>
                      <w:szCs w:val="22"/>
                      <w:lang w:val="en-US"/>
                    </w:rPr>
                    <w:t xml:space="preserve"> and Good Governance</w:t>
                  </w:r>
                </w:p>
              </w:tc>
            </w:tr>
            <w:tr w:rsidR="00094B4C" w14:paraId="2E3F4BC3" w14:textId="77777777" w:rsidTr="000135BE">
              <w:trPr>
                <w:trHeight w:val="140"/>
              </w:trPr>
              <w:tc>
                <w:tcPr>
                  <w:tcW w:w="6207" w:type="dxa"/>
                </w:tcPr>
                <w:p w14:paraId="113424C8" w14:textId="7B433147" w:rsidR="00094B4C" w:rsidRPr="00EF6929" w:rsidRDefault="00094B4C" w:rsidP="002A37E3">
                  <w:pPr>
                    <w:framePr w:hSpace="141" w:wrap="around" w:vAnchor="text" w:hAnchor="text" w:x="416" w:y="1"/>
                    <w:suppressOverlap/>
                    <w:rPr>
                      <w:rFonts w:ascii="Arial" w:hAnsi="Arial" w:cs="Arial"/>
                      <w:sz w:val="22"/>
                      <w:szCs w:val="22"/>
                      <w:lang w:val="en-US"/>
                    </w:rPr>
                  </w:pPr>
                  <w:r w:rsidRPr="000135BE">
                    <w:rPr>
                      <w:rFonts w:ascii="Arial" w:hAnsi="Arial" w:cs="Arial"/>
                      <w:sz w:val="22"/>
                      <w:szCs w:val="22"/>
                      <w:lang w:val="en-US"/>
                    </w:rPr>
                    <w:t>We will adopt a comprehensive strategy to build the Timor-Leste justice system and enhance its capacity to fulfil its role and functions.</w:t>
                  </w:r>
                </w:p>
              </w:tc>
              <w:tc>
                <w:tcPr>
                  <w:tcW w:w="6207" w:type="dxa"/>
                </w:tcPr>
                <w:p w14:paraId="1873D1AB" w14:textId="62C3593C" w:rsidR="00094B4C" w:rsidRPr="00EF6929" w:rsidRDefault="00094B4C" w:rsidP="002A37E3">
                  <w:pPr>
                    <w:framePr w:hSpace="141" w:wrap="around" w:vAnchor="text" w:hAnchor="text" w:x="416" w:y="1"/>
                    <w:spacing w:after="127"/>
                    <w:suppressOverlap/>
                    <w:rPr>
                      <w:rFonts w:ascii="Arial" w:hAnsi="Arial" w:cs="Arial"/>
                      <w:sz w:val="22"/>
                      <w:szCs w:val="22"/>
                      <w:lang w:val="en-US"/>
                    </w:rPr>
                  </w:pPr>
                  <w:r w:rsidRPr="000135BE">
                    <w:rPr>
                      <w:rFonts w:ascii="Arial" w:hAnsi="Arial" w:cs="Arial"/>
                      <w:sz w:val="22"/>
                      <w:szCs w:val="22"/>
                      <w:lang w:val="en-US"/>
                    </w:rPr>
                    <w:t>The public sector in Timor-Leste will be central to building trust in government, which is a prerequisite of nation building</w:t>
                  </w:r>
                </w:p>
              </w:tc>
            </w:tr>
          </w:tbl>
          <w:p w14:paraId="50EAB4DF" w14:textId="60B79A08" w:rsidR="003A41BE" w:rsidRPr="000135BE" w:rsidRDefault="003A41BE" w:rsidP="000135BE">
            <w:pPr>
              <w:rPr>
                <w:rFonts w:ascii="Arial" w:hAnsi="Arial" w:cs="Arial"/>
                <w:sz w:val="22"/>
                <w:szCs w:val="22"/>
                <w:lang w:val="en-US"/>
              </w:rPr>
            </w:pPr>
          </w:p>
          <w:p w14:paraId="773F0256" w14:textId="78A3FEB3" w:rsidR="003A41BE" w:rsidRPr="000135BE" w:rsidRDefault="006101DF" w:rsidP="00EF6929">
            <w:pPr>
              <w:pStyle w:val="ListParagraph"/>
              <w:numPr>
                <w:ilvl w:val="0"/>
                <w:numId w:val="45"/>
              </w:numPr>
              <w:spacing w:after="63"/>
              <w:ind w:left="314" w:hanging="190"/>
              <w:contextualSpacing w:val="0"/>
              <w:rPr>
                <w:rFonts w:ascii="Arial" w:hAnsi="Arial" w:cs="Arial"/>
                <w:b/>
                <w:lang w:val="en-US"/>
              </w:rPr>
            </w:pPr>
            <w:r>
              <w:rPr>
                <w:rFonts w:ascii="Arial" w:hAnsi="Arial" w:cs="Arial"/>
                <w:b/>
                <w:lang w:val="en-US"/>
              </w:rPr>
              <w:t>Economic Context and Macroeconomic Direction</w:t>
            </w:r>
          </w:p>
          <w:p w14:paraId="474982D8" w14:textId="376961EB" w:rsidR="003A41BE" w:rsidRDefault="003A41BE" w:rsidP="00094B4C">
            <w:pPr>
              <w:spacing w:after="63"/>
              <w:rPr>
                <w:rFonts w:ascii="Arial" w:hAnsi="Arial" w:cs="Arial"/>
                <w:iCs/>
                <w:sz w:val="22"/>
                <w:szCs w:val="22"/>
                <w:lang w:val="en-US"/>
              </w:rPr>
            </w:pPr>
            <w:r w:rsidRPr="000135BE">
              <w:rPr>
                <w:rFonts w:ascii="Arial" w:hAnsi="Arial" w:cs="Arial"/>
                <w:iCs/>
                <w:sz w:val="22"/>
                <w:szCs w:val="22"/>
                <w:lang w:val="en-US"/>
              </w:rPr>
              <w:t>“Our vision is that by 2030 Timor-Leste will have joined the ranks of upper middle-income countries, eradicated extreme poverty and established a sustainable and diversified non-oil economy” (SDP)</w:t>
            </w:r>
          </w:p>
          <w:p w14:paraId="60DE4D16" w14:textId="77777777" w:rsidR="00B66925" w:rsidRPr="000135BE" w:rsidRDefault="00B66925" w:rsidP="000135BE">
            <w:pPr>
              <w:spacing w:after="63"/>
              <w:rPr>
                <w:rFonts w:ascii="Arial" w:hAnsi="Arial" w:cs="Arial"/>
                <w:b/>
                <w:iCs/>
                <w:lang w:val="en-US"/>
              </w:rPr>
            </w:pPr>
          </w:p>
          <w:p w14:paraId="32804D42" w14:textId="2B7328DC" w:rsidR="003A41BE" w:rsidRDefault="00B66925" w:rsidP="00A92DA2">
            <w:pPr>
              <w:spacing w:after="63"/>
              <w:rPr>
                <w:rFonts w:ascii="Arial" w:hAnsi="Arial" w:cs="Arial"/>
                <w:b/>
                <w:lang w:val="en-US"/>
              </w:rPr>
            </w:pPr>
            <w:r w:rsidRPr="000135BE">
              <w:rPr>
                <w:rFonts w:ascii="Arial" w:hAnsi="Arial" w:cs="Arial"/>
                <w:b/>
                <w:lang w:val="en-US"/>
              </w:rPr>
              <w:t>Cross-</w:t>
            </w:r>
            <w:r w:rsidR="00775A01">
              <w:rPr>
                <w:rFonts w:ascii="Arial" w:hAnsi="Arial" w:cs="Arial"/>
                <w:b/>
                <w:lang w:val="en-US"/>
              </w:rPr>
              <w:t>C</w:t>
            </w:r>
            <w:r w:rsidRPr="000135BE">
              <w:rPr>
                <w:rFonts w:ascii="Arial" w:hAnsi="Arial" w:cs="Arial"/>
                <w:b/>
                <w:lang w:val="en-US"/>
              </w:rPr>
              <w:t xml:space="preserve">utting </w:t>
            </w:r>
            <w:r w:rsidR="00775A01">
              <w:rPr>
                <w:rFonts w:ascii="Arial" w:hAnsi="Arial" w:cs="Arial"/>
                <w:b/>
                <w:lang w:val="en-US"/>
              </w:rPr>
              <w:t>G</w:t>
            </w:r>
            <w:r w:rsidRPr="000135BE">
              <w:rPr>
                <w:rFonts w:ascii="Arial" w:hAnsi="Arial" w:cs="Arial"/>
                <w:b/>
                <w:lang w:val="en-US"/>
              </w:rPr>
              <w:t xml:space="preserve">oal: Gender </w:t>
            </w:r>
            <w:r w:rsidR="00B103F6">
              <w:rPr>
                <w:rFonts w:ascii="Arial" w:hAnsi="Arial" w:cs="Arial"/>
                <w:b/>
                <w:lang w:val="en-US"/>
              </w:rPr>
              <w:t>E</w:t>
            </w:r>
            <w:r w:rsidRPr="000135BE">
              <w:rPr>
                <w:rFonts w:ascii="Arial" w:hAnsi="Arial" w:cs="Arial"/>
                <w:b/>
                <w:lang w:val="en-US"/>
              </w:rPr>
              <w:t>quality</w:t>
            </w:r>
            <w:r w:rsidR="00BC0535">
              <w:rPr>
                <w:rFonts w:ascii="Arial" w:hAnsi="Arial" w:cs="Arial"/>
                <w:b/>
                <w:lang w:val="en-US"/>
              </w:rPr>
              <w:t xml:space="preserve"> </w:t>
            </w:r>
          </w:p>
          <w:p w14:paraId="6A2D7DFF" w14:textId="10ACFF31" w:rsidR="00BC0535" w:rsidRPr="000135BE" w:rsidRDefault="00BC0535" w:rsidP="00EF6929">
            <w:pPr>
              <w:spacing w:after="63"/>
              <w:rPr>
                <w:rFonts w:ascii="Arial" w:hAnsi="Arial" w:cs="Arial"/>
                <w:b/>
                <w:color w:val="FFFF00"/>
                <w:lang w:val="en-US"/>
              </w:rPr>
            </w:pPr>
            <w:r w:rsidRPr="000135BE">
              <w:rPr>
                <w:rFonts w:ascii="Arial" w:hAnsi="Arial" w:cs="Arial"/>
                <w:iCs/>
                <w:sz w:val="22"/>
                <w:szCs w:val="22"/>
                <w:lang w:val="en-US"/>
              </w:rPr>
              <w:t>“</w:t>
            </w:r>
            <w:r w:rsidR="00410403" w:rsidRPr="000135BE">
              <w:rPr>
                <w:rFonts w:ascii="Arial" w:hAnsi="Arial" w:cs="Arial"/>
                <w:iCs/>
                <w:sz w:val="22"/>
                <w:szCs w:val="22"/>
                <w:lang w:val="en-US"/>
              </w:rPr>
              <w:t>Ou</w:t>
            </w:r>
            <w:r w:rsidR="00410403">
              <w:rPr>
                <w:rFonts w:ascii="Arial" w:hAnsi="Arial" w:cs="Arial"/>
                <w:iCs/>
                <w:sz w:val="22"/>
                <w:szCs w:val="22"/>
                <w:lang w:val="en-US"/>
              </w:rPr>
              <w:t>r</w:t>
            </w:r>
            <w:r w:rsidR="00410403" w:rsidRPr="000135BE">
              <w:rPr>
                <w:rFonts w:ascii="Arial" w:hAnsi="Arial" w:cs="Arial"/>
                <w:iCs/>
                <w:sz w:val="22"/>
                <w:szCs w:val="22"/>
                <w:lang w:val="en-US"/>
              </w:rPr>
              <w:t xml:space="preserve"> </w:t>
            </w:r>
            <w:r w:rsidRPr="000135BE">
              <w:rPr>
                <w:rFonts w:ascii="Arial" w:hAnsi="Arial" w:cs="Arial"/>
                <w:iCs/>
                <w:sz w:val="22"/>
                <w:szCs w:val="22"/>
                <w:lang w:val="en-US"/>
              </w:rPr>
              <w:t>vision is that in 2030 Timor-Leste will be a gender-fair society here human dignity and women’s rights are valued, protected and promoted by our laws and culture.”</w:t>
            </w:r>
            <w:r w:rsidR="005229A4">
              <w:rPr>
                <w:rFonts w:ascii="Arial" w:hAnsi="Arial" w:cs="Arial"/>
                <w:iCs/>
                <w:sz w:val="22"/>
                <w:szCs w:val="22"/>
                <w:lang w:val="en-US"/>
              </w:rPr>
              <w:t xml:space="preserve"> (SDP)</w:t>
            </w:r>
          </w:p>
        </w:tc>
      </w:tr>
    </w:tbl>
    <w:p w14:paraId="59566CF4" w14:textId="77777777" w:rsidR="00FA14B5" w:rsidRDefault="00FA14B5">
      <w:r>
        <w:lastRenderedPageBreak/>
        <w:br w:type="page"/>
      </w:r>
    </w:p>
    <w:tbl>
      <w:tblPr>
        <w:tblW w:w="144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1"/>
        <w:gridCol w:w="5528"/>
        <w:gridCol w:w="4229"/>
      </w:tblGrid>
      <w:tr w:rsidR="003A41BE" w:rsidRPr="006444BA" w14:paraId="7BD287A0" w14:textId="77777777" w:rsidTr="00FD44CE">
        <w:trPr>
          <w:trHeight w:val="549"/>
        </w:trPr>
        <w:tc>
          <w:tcPr>
            <w:tcW w:w="4701" w:type="dxa"/>
            <w:shd w:val="clear" w:color="auto" w:fill="2F5496" w:themeFill="accent1" w:themeFillShade="BF"/>
            <w:vAlign w:val="center"/>
          </w:tcPr>
          <w:p w14:paraId="47C126D8" w14:textId="0EBF3B66" w:rsidR="003A41BE" w:rsidRPr="00841766" w:rsidRDefault="003A41BE" w:rsidP="00FD44CE">
            <w:pPr>
              <w:tabs>
                <w:tab w:val="left" w:pos="245"/>
              </w:tabs>
              <w:autoSpaceDE w:val="0"/>
              <w:autoSpaceDN w:val="0"/>
              <w:adjustRightInd w:val="0"/>
              <w:rPr>
                <w:rFonts w:ascii="Calibri" w:hAnsi="Calibri" w:cs="Calibri"/>
                <w:sz w:val="26"/>
                <w:szCs w:val="26"/>
                <w:lang w:val="en-US"/>
              </w:rPr>
            </w:pPr>
            <w:r w:rsidRPr="00841766">
              <w:rPr>
                <w:rFonts w:ascii="Calibri" w:hAnsi="Calibri" w:cs="Calibri"/>
                <w:color w:val="FFFFFF"/>
                <w:sz w:val="26"/>
                <w:szCs w:val="26"/>
                <w:lang w:val="en-US"/>
              </w:rPr>
              <w:lastRenderedPageBreak/>
              <w:t xml:space="preserve">UNSDCF Strategic Priority 1 </w:t>
            </w:r>
          </w:p>
        </w:tc>
        <w:tc>
          <w:tcPr>
            <w:tcW w:w="9757" w:type="dxa"/>
            <w:gridSpan w:val="2"/>
            <w:shd w:val="clear" w:color="auto" w:fill="2F5496" w:themeFill="accent1" w:themeFillShade="BF"/>
            <w:vAlign w:val="center"/>
          </w:tcPr>
          <w:p w14:paraId="57FC0ED9" w14:textId="77777777" w:rsidR="003A41BE" w:rsidRPr="00841766" w:rsidRDefault="003A41BE" w:rsidP="00FD44CE">
            <w:pPr>
              <w:tabs>
                <w:tab w:val="left" w:pos="245"/>
              </w:tabs>
              <w:autoSpaceDE w:val="0"/>
              <w:autoSpaceDN w:val="0"/>
              <w:adjustRightInd w:val="0"/>
              <w:ind w:left="20"/>
              <w:jc w:val="center"/>
              <w:rPr>
                <w:rFonts w:ascii="Calibri" w:hAnsi="Calibri" w:cs="Calibri"/>
                <w:sz w:val="26"/>
                <w:szCs w:val="26"/>
                <w:lang w:val="en-US"/>
              </w:rPr>
            </w:pPr>
            <w:r w:rsidRPr="00841766">
              <w:rPr>
                <w:rFonts w:ascii="Calibri" w:hAnsi="Calibri" w:cs="Calibri"/>
                <w:color w:val="FFFFFF"/>
                <w:sz w:val="26"/>
                <w:szCs w:val="26"/>
                <w:lang w:val="en-US"/>
              </w:rPr>
              <w:t xml:space="preserve">NUTRITION, FOOD SECURITY AND SUSTAINABLE AGRICULTURE </w:t>
            </w:r>
          </w:p>
        </w:tc>
      </w:tr>
      <w:tr w:rsidR="003A41BE" w:rsidRPr="00841766" w14:paraId="521FCA55" w14:textId="77777777" w:rsidTr="00FD4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445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A9FB70" w14:textId="77777777" w:rsidR="003A41BE" w:rsidRPr="00841766" w:rsidRDefault="003A41BE" w:rsidP="00FD44CE">
            <w:pPr>
              <w:autoSpaceDE w:val="0"/>
              <w:autoSpaceDN w:val="0"/>
              <w:adjustRightInd w:val="0"/>
              <w:rPr>
                <w:rFonts w:cstheme="minorHAnsi"/>
                <w:b/>
                <w:color w:val="000000" w:themeColor="text1"/>
                <w:sz w:val="22"/>
                <w:szCs w:val="22"/>
                <w:lang w:val="en-US"/>
              </w:rPr>
            </w:pPr>
            <w:r w:rsidRPr="00841766">
              <w:rPr>
                <w:rFonts w:cstheme="minorHAnsi"/>
                <w:b/>
                <w:sz w:val="22"/>
                <w:szCs w:val="22"/>
                <w:lang w:val="en-US"/>
              </w:rPr>
              <w:t>Related Global SDG Targets :</w:t>
            </w:r>
            <w:r w:rsidRPr="00841766">
              <w:rPr>
                <w:rFonts w:cstheme="minorHAnsi"/>
                <w:sz w:val="22"/>
                <w:szCs w:val="22"/>
                <w:lang w:val="en-US" w:eastAsia="en-GB"/>
              </w:rPr>
              <w:t xml:space="preserve"> </w:t>
            </w:r>
          </w:p>
        </w:tc>
      </w:tr>
      <w:tr w:rsidR="003A41BE" w:rsidRPr="006444BA" w14:paraId="24D42DDD" w14:textId="77777777" w:rsidTr="00FD44CE">
        <w:trPr>
          <w:trHeight w:val="258"/>
        </w:trPr>
        <w:tc>
          <w:tcPr>
            <w:tcW w:w="14458" w:type="dxa"/>
            <w:gridSpan w:val="3"/>
            <w:shd w:val="clear" w:color="auto" w:fill="BFBFBF" w:themeFill="background1" w:themeFillShade="BF"/>
          </w:tcPr>
          <w:p w14:paraId="28A20622" w14:textId="77777777" w:rsidR="003A41BE" w:rsidRPr="00841766" w:rsidRDefault="003A41BE" w:rsidP="00FD44CE">
            <w:pPr>
              <w:autoSpaceDE w:val="0"/>
              <w:autoSpaceDN w:val="0"/>
              <w:adjustRightInd w:val="0"/>
              <w:spacing w:after="63"/>
              <w:rPr>
                <w:rFonts w:ascii="Calibri" w:eastAsia="Calibri" w:hAnsi="Calibri" w:cs="Calibri"/>
                <w:color w:val="000000"/>
                <w:sz w:val="22"/>
                <w:szCs w:val="22"/>
                <w:lang w:val="en-US"/>
              </w:rPr>
            </w:pPr>
            <w:r w:rsidRPr="00841766">
              <w:rPr>
                <w:rFonts w:ascii="Calibri" w:eastAsia="Calibri" w:hAnsi="Calibri" w:cs="Calibri"/>
                <w:color w:val="000000"/>
                <w:sz w:val="22"/>
                <w:szCs w:val="22"/>
                <w:lang w:val="en-US"/>
              </w:rPr>
              <w:t xml:space="preserve">2.1 By 2030, end hunger and ensure access by all people, in particular the poor and people in vulnerable situations, including infants, to safe, nutritious and sufficient food all year round </w:t>
            </w:r>
          </w:p>
          <w:p w14:paraId="6AD2055D" w14:textId="77777777" w:rsidR="003A41BE" w:rsidRPr="00841766" w:rsidRDefault="003A41BE" w:rsidP="00FD44CE">
            <w:pPr>
              <w:autoSpaceDE w:val="0"/>
              <w:autoSpaceDN w:val="0"/>
              <w:adjustRightInd w:val="0"/>
              <w:spacing w:after="63"/>
              <w:rPr>
                <w:rFonts w:ascii="Calibri" w:eastAsia="Calibri" w:hAnsi="Calibri" w:cs="Calibri"/>
                <w:color w:val="000000"/>
                <w:sz w:val="22"/>
                <w:szCs w:val="22"/>
                <w:lang w:val="en-US"/>
              </w:rPr>
            </w:pPr>
            <w:r w:rsidRPr="00841766">
              <w:rPr>
                <w:rFonts w:ascii="Calibri" w:eastAsia="Calibri" w:hAnsi="Calibri" w:cs="Calibri"/>
                <w:color w:val="000000"/>
                <w:sz w:val="22"/>
                <w:szCs w:val="22"/>
                <w:lang w:val="en-US"/>
              </w:rPr>
              <w:t xml:space="preserve">2.2 By 2030, end all forms of malnutrition, including achieving, by 2025, the internationally agreed targets on stunting and wasting in children under 5 years of age, and address the nutritional needs of adolescent girls, pregnant and lactating women and older persons </w:t>
            </w:r>
          </w:p>
          <w:p w14:paraId="1624B7C6" w14:textId="77777777" w:rsidR="003A41BE" w:rsidRPr="00841766" w:rsidRDefault="003A41BE" w:rsidP="00FD44CE">
            <w:pPr>
              <w:autoSpaceDE w:val="0"/>
              <w:autoSpaceDN w:val="0"/>
              <w:adjustRightInd w:val="0"/>
              <w:spacing w:after="63"/>
              <w:rPr>
                <w:rFonts w:ascii="Calibri" w:eastAsia="Calibri" w:hAnsi="Calibri" w:cs="Calibri"/>
                <w:color w:val="000000"/>
                <w:sz w:val="22"/>
                <w:szCs w:val="22"/>
                <w:lang w:val="en-US"/>
              </w:rPr>
            </w:pPr>
            <w:r w:rsidRPr="00841766">
              <w:rPr>
                <w:rFonts w:ascii="Calibri" w:eastAsia="Calibri" w:hAnsi="Calibri" w:cs="Calibri"/>
                <w:color w:val="000000"/>
                <w:sz w:val="22"/>
                <w:szCs w:val="22"/>
                <w:lang w:val="en-US"/>
              </w:rPr>
              <w:t xml:space="preserve">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 </w:t>
            </w:r>
          </w:p>
          <w:p w14:paraId="19AAEB7E" w14:textId="77777777" w:rsidR="003A41BE" w:rsidRPr="00841766" w:rsidRDefault="003A41BE" w:rsidP="00FD44CE">
            <w:pPr>
              <w:autoSpaceDE w:val="0"/>
              <w:autoSpaceDN w:val="0"/>
              <w:adjustRightInd w:val="0"/>
              <w:spacing w:after="63"/>
              <w:rPr>
                <w:rFonts w:ascii="Calibri" w:eastAsia="Calibri" w:hAnsi="Calibri" w:cs="Calibri"/>
                <w:color w:val="000000"/>
                <w:sz w:val="22"/>
                <w:szCs w:val="22"/>
                <w:lang w:val="en-US"/>
              </w:rPr>
            </w:pPr>
            <w:r w:rsidRPr="00841766">
              <w:rPr>
                <w:rFonts w:ascii="Calibri" w:eastAsia="Calibri" w:hAnsi="Calibri" w:cs="Calibri"/>
                <w:color w:val="000000"/>
                <w:sz w:val="22"/>
                <w:szCs w:val="22"/>
                <w:lang w:val="en-US"/>
              </w:rPr>
              <w:t xml:space="preserve">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p>
          <w:p w14:paraId="4D18FBF7" w14:textId="77777777" w:rsidR="003A41BE" w:rsidRPr="00841766" w:rsidRDefault="003A41BE" w:rsidP="00FD44CE">
            <w:pPr>
              <w:autoSpaceDE w:val="0"/>
              <w:autoSpaceDN w:val="0"/>
              <w:adjustRightInd w:val="0"/>
              <w:spacing w:after="63"/>
              <w:rPr>
                <w:rFonts w:ascii="Calibri" w:eastAsia="Calibri" w:hAnsi="Calibri"/>
                <w:color w:val="000000"/>
                <w:sz w:val="22"/>
                <w:szCs w:val="22"/>
                <w:lang w:val="en-US"/>
              </w:rPr>
            </w:pPr>
            <w:r w:rsidRPr="00841766">
              <w:rPr>
                <w:rFonts w:ascii="Calibri" w:eastAsia="Calibri" w:hAnsi="Calibri"/>
                <w:color w:val="000000"/>
                <w:sz w:val="22"/>
                <w:szCs w:val="22"/>
                <w:lang w:val="en-US"/>
              </w:rPr>
              <w:t xml:space="preserve">6.1 By 2030, achieve universal and equitable access to safe and affordable drinking water for all </w:t>
            </w:r>
          </w:p>
          <w:p w14:paraId="52871F9A" w14:textId="77777777" w:rsidR="003A41BE" w:rsidRPr="00841766" w:rsidRDefault="003A41BE" w:rsidP="00FD44CE">
            <w:pPr>
              <w:autoSpaceDE w:val="0"/>
              <w:autoSpaceDN w:val="0"/>
              <w:adjustRightInd w:val="0"/>
              <w:spacing w:after="63"/>
              <w:rPr>
                <w:rFonts w:ascii="Calibri" w:eastAsia="Calibri" w:hAnsi="Calibri"/>
                <w:b/>
                <w:color w:val="000000"/>
                <w:sz w:val="22"/>
                <w:szCs w:val="22"/>
                <w:lang w:val="en-US"/>
              </w:rPr>
            </w:pPr>
            <w:r w:rsidRPr="00841766">
              <w:rPr>
                <w:rFonts w:ascii="Calibri" w:eastAsia="Calibri" w:hAnsi="Calibri"/>
                <w:color w:val="000000"/>
                <w:sz w:val="22"/>
                <w:szCs w:val="22"/>
                <w:lang w:val="en-US"/>
              </w:rPr>
              <w:t xml:space="preserve">6.2 By 2030, achieve access to adequate and equitable sanitation and hygiene for all and end open defecation, paying special attention to the needs of women and girls and those in vulnerable situations </w:t>
            </w:r>
            <w:r w:rsidRPr="00841766">
              <w:rPr>
                <w:rFonts w:ascii="Calibri" w:eastAsia="Calibri" w:hAnsi="Calibri"/>
                <w:color w:val="000000"/>
                <w:sz w:val="22"/>
                <w:szCs w:val="22"/>
                <w:lang w:val="en-US"/>
              </w:rPr>
              <w:br/>
              <w:t>14.7 By 2030, increase the economic benefits to small island developing States and least developed countries from the sustainable use of marine resources, including through sustainable management of fisheries, aquaculture and tourism</w:t>
            </w:r>
          </w:p>
        </w:tc>
      </w:tr>
      <w:tr w:rsidR="003A41BE" w:rsidRPr="006444BA" w14:paraId="6EB01DF4" w14:textId="77777777" w:rsidTr="00FD44CE">
        <w:trPr>
          <w:trHeight w:val="860"/>
        </w:trPr>
        <w:tc>
          <w:tcPr>
            <w:tcW w:w="14458" w:type="dxa"/>
            <w:gridSpan w:val="3"/>
            <w:shd w:val="clear" w:color="auto" w:fill="2F5496" w:themeFill="accent1" w:themeFillShade="BF"/>
            <w:vAlign w:val="center"/>
          </w:tcPr>
          <w:p w14:paraId="7AF045BB" w14:textId="77777777" w:rsidR="003A41BE" w:rsidRPr="00841766" w:rsidRDefault="003A41BE" w:rsidP="00FD44CE">
            <w:pPr>
              <w:tabs>
                <w:tab w:val="left" w:pos="245"/>
              </w:tabs>
              <w:autoSpaceDE w:val="0"/>
              <w:autoSpaceDN w:val="0"/>
              <w:adjustRightInd w:val="0"/>
              <w:contextualSpacing/>
              <w:rPr>
                <w:rFonts w:ascii="Calibri" w:hAnsi="Calibri" w:cs="Calibri"/>
                <w:color w:val="FFFFFF"/>
                <w:sz w:val="26"/>
                <w:szCs w:val="26"/>
                <w:lang w:val="en-US"/>
              </w:rPr>
            </w:pPr>
            <w:r w:rsidRPr="00841766">
              <w:rPr>
                <w:rFonts w:ascii="Calibri" w:hAnsi="Calibri" w:cs="Calibri"/>
                <w:b/>
                <w:color w:val="FFFFFF"/>
                <w:sz w:val="26"/>
                <w:szCs w:val="26"/>
                <w:lang w:val="en-US"/>
              </w:rPr>
              <w:t>UNSDCF OUTCOME 1:</w:t>
            </w:r>
            <w:r w:rsidRPr="00841766">
              <w:rPr>
                <w:rFonts w:ascii="Calibri" w:hAnsi="Calibri" w:cs="Calibri"/>
                <w:color w:val="FFFFFF"/>
                <w:sz w:val="26"/>
                <w:szCs w:val="26"/>
                <w:lang w:val="en-US"/>
              </w:rPr>
              <w:t xml:space="preserve"> </w:t>
            </w:r>
            <w:r w:rsidRPr="00841766">
              <w:rPr>
                <w:rFonts w:ascii="Calibri" w:eastAsia="Calibri" w:hAnsi="Calibri" w:cs="Calibri"/>
                <w:color w:val="FFFFFF"/>
                <w:sz w:val="26"/>
                <w:szCs w:val="26"/>
                <w:lang w:val="en-US"/>
              </w:rPr>
              <w:t>By 2025, nutrition, food security and agricultural productivity have improved for all, irrespective of the individual ability, gender, age, socio-economic status and geographical location</w:t>
            </w:r>
          </w:p>
        </w:tc>
      </w:tr>
      <w:tr w:rsidR="003A41BE" w:rsidRPr="00841766" w14:paraId="6455F238" w14:textId="77777777" w:rsidTr="00FD4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44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9FFC4" w14:textId="77777777" w:rsidR="003A41BE" w:rsidRPr="00841766" w:rsidRDefault="003A41BE" w:rsidP="00FD44CE">
            <w:pPr>
              <w:autoSpaceDE w:val="0"/>
              <w:autoSpaceDN w:val="0"/>
              <w:adjustRightInd w:val="0"/>
              <w:rPr>
                <w:rFonts w:cstheme="minorHAnsi"/>
                <w:b/>
                <w:color w:val="000000" w:themeColor="text1"/>
                <w:lang w:val="en-US"/>
              </w:rPr>
            </w:pPr>
            <w:r w:rsidRPr="00841766">
              <w:rPr>
                <w:rFonts w:cstheme="minorHAnsi"/>
                <w:b/>
                <w:lang w:val="en-US"/>
              </w:rPr>
              <w:t>Outcome indicators</w:t>
            </w:r>
            <w:r w:rsidRPr="00841766">
              <w:rPr>
                <w:rFonts w:cstheme="minorHAnsi"/>
                <w:lang w:val="en-US" w:eastAsia="en-GB"/>
              </w:rPr>
              <w:t xml:space="preserve"> </w:t>
            </w:r>
          </w:p>
        </w:tc>
      </w:tr>
      <w:tr w:rsidR="003A41BE" w:rsidRPr="00841766" w14:paraId="7E7BB2A3" w14:textId="77777777" w:rsidTr="00FD4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44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A3D76"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1.a Prevalence of undernourishment (SDG Indicator 2.1.1.)</w:t>
            </w:r>
          </w:p>
          <w:tbl>
            <w:tblPr>
              <w:tblStyle w:val="TableGrid"/>
              <w:tblW w:w="0" w:type="auto"/>
              <w:tblLayout w:type="fixed"/>
              <w:tblLook w:val="04A0" w:firstRow="1" w:lastRow="0" w:firstColumn="1" w:lastColumn="0" w:noHBand="0" w:noVBand="1"/>
            </w:tblPr>
            <w:tblGrid>
              <w:gridCol w:w="1885"/>
              <w:gridCol w:w="1350"/>
            </w:tblGrid>
            <w:tr w:rsidR="003A41BE" w14:paraId="521AB61A" w14:textId="77777777" w:rsidTr="00FD44CE">
              <w:tc>
                <w:tcPr>
                  <w:tcW w:w="1885" w:type="dxa"/>
                </w:tcPr>
                <w:p w14:paraId="6554C004" w14:textId="77777777" w:rsidR="003A41BE" w:rsidRDefault="003A41BE" w:rsidP="00FD44CE">
                  <w:pPr>
                    <w:autoSpaceDE w:val="0"/>
                    <w:autoSpaceDN w:val="0"/>
                    <w:adjustRightInd w:val="0"/>
                    <w:rPr>
                      <w:rFonts w:cstheme="minorHAnsi"/>
                      <w:sz w:val="22"/>
                      <w:szCs w:val="22"/>
                      <w:lang w:val="en-US"/>
                    </w:rPr>
                  </w:pPr>
                  <w:r>
                    <w:rPr>
                      <w:rFonts w:cstheme="minorHAnsi"/>
                      <w:sz w:val="22"/>
                      <w:szCs w:val="22"/>
                      <w:lang w:val="en-US"/>
                    </w:rPr>
                    <w:t>Baseline</w:t>
                  </w:r>
                </w:p>
              </w:tc>
              <w:tc>
                <w:tcPr>
                  <w:tcW w:w="1350" w:type="dxa"/>
                </w:tcPr>
                <w:p w14:paraId="7F5745B9" w14:textId="77777777" w:rsidR="003A41BE" w:rsidRDefault="003A41BE" w:rsidP="00FD44CE">
                  <w:pPr>
                    <w:autoSpaceDE w:val="0"/>
                    <w:autoSpaceDN w:val="0"/>
                    <w:adjustRightInd w:val="0"/>
                    <w:rPr>
                      <w:rFonts w:cstheme="minorHAnsi"/>
                      <w:sz w:val="22"/>
                      <w:szCs w:val="22"/>
                      <w:lang w:val="en-US"/>
                    </w:rPr>
                  </w:pPr>
                  <w:r>
                    <w:rPr>
                      <w:rFonts w:cstheme="minorHAnsi"/>
                      <w:sz w:val="22"/>
                      <w:szCs w:val="22"/>
                      <w:lang w:val="en-US"/>
                    </w:rPr>
                    <w:t>Target</w:t>
                  </w:r>
                </w:p>
              </w:tc>
            </w:tr>
            <w:tr w:rsidR="003A41BE" w14:paraId="219750B4" w14:textId="77777777" w:rsidTr="00FD44CE">
              <w:tc>
                <w:tcPr>
                  <w:tcW w:w="1885" w:type="dxa"/>
                </w:tcPr>
                <w:p w14:paraId="65C8F2DD" w14:textId="77777777" w:rsidR="003A41BE" w:rsidRDefault="003A41BE" w:rsidP="00FD44CE">
                  <w:pPr>
                    <w:autoSpaceDE w:val="0"/>
                    <w:autoSpaceDN w:val="0"/>
                    <w:adjustRightInd w:val="0"/>
                    <w:rPr>
                      <w:rFonts w:cstheme="minorHAnsi"/>
                      <w:sz w:val="22"/>
                      <w:szCs w:val="22"/>
                      <w:lang w:val="en-US"/>
                    </w:rPr>
                  </w:pPr>
                  <w:r>
                    <w:rPr>
                      <w:rFonts w:cstheme="minorHAnsi"/>
                      <w:sz w:val="22"/>
                      <w:szCs w:val="22"/>
                      <w:lang w:val="en-US"/>
                    </w:rPr>
                    <w:t>24.9 % nationally</w:t>
                  </w:r>
                </w:p>
              </w:tc>
              <w:tc>
                <w:tcPr>
                  <w:tcW w:w="1350" w:type="dxa"/>
                </w:tcPr>
                <w:p w14:paraId="6919E5F1" w14:textId="77777777" w:rsidR="003A41BE" w:rsidRDefault="003A41BE" w:rsidP="00FD44CE">
                  <w:pPr>
                    <w:autoSpaceDE w:val="0"/>
                    <w:autoSpaceDN w:val="0"/>
                    <w:adjustRightInd w:val="0"/>
                    <w:rPr>
                      <w:rFonts w:cstheme="minorHAnsi"/>
                      <w:sz w:val="22"/>
                      <w:szCs w:val="22"/>
                      <w:lang w:val="en-US"/>
                    </w:rPr>
                  </w:pPr>
                  <w:r>
                    <w:rPr>
                      <w:rFonts w:ascii="Times New Roman" w:eastAsia="Times New Roman" w:hAnsi="Times New Roman" w:cs="Times New Roman"/>
                      <w:sz w:val="20"/>
                      <w:szCs w:val="20"/>
                      <w:lang w:val="en-US" w:eastAsia="fr-FR"/>
                    </w:rPr>
                    <w:t>&lt; 12.5%</w:t>
                  </w:r>
                </w:p>
              </w:tc>
            </w:tr>
          </w:tbl>
          <w:p w14:paraId="44FFD06C" w14:textId="77777777" w:rsidR="003A41BE" w:rsidRDefault="003A41BE" w:rsidP="00FD44CE">
            <w:pPr>
              <w:autoSpaceDE w:val="0"/>
              <w:autoSpaceDN w:val="0"/>
              <w:adjustRightInd w:val="0"/>
              <w:rPr>
                <w:rFonts w:ascii="Calibri" w:hAnsi="Calibri" w:cs="Calibri"/>
                <w:sz w:val="22"/>
                <w:szCs w:val="22"/>
                <w:lang w:val="en-US"/>
              </w:rPr>
            </w:pPr>
            <w:r w:rsidRPr="003F4BC2">
              <w:rPr>
                <w:rFonts w:ascii="Calibri" w:hAnsi="Calibri" w:cs="Calibri"/>
                <w:sz w:val="22"/>
                <w:szCs w:val="22"/>
                <w:lang w:val="en-US"/>
              </w:rPr>
              <w:t>Data Source:</w:t>
            </w:r>
            <w:r w:rsidRPr="00841766">
              <w:rPr>
                <w:sz w:val="22"/>
                <w:szCs w:val="22"/>
                <w:lang w:val="en-US"/>
              </w:rPr>
              <w:t xml:space="preserve"> </w:t>
            </w:r>
            <w:r w:rsidRPr="00841766">
              <w:rPr>
                <w:rFonts w:ascii="Calibri" w:hAnsi="Calibri" w:cs="Calibri"/>
                <w:sz w:val="22"/>
                <w:szCs w:val="22"/>
                <w:lang w:val="en-US"/>
              </w:rPr>
              <w:t>FAOSTAT (2016-2018)</w:t>
            </w:r>
          </w:p>
          <w:p w14:paraId="24EBA091" w14:textId="77777777" w:rsidR="003A41BE" w:rsidRPr="00841766" w:rsidRDefault="003A41BE" w:rsidP="00FD44CE">
            <w:pPr>
              <w:autoSpaceDE w:val="0"/>
              <w:autoSpaceDN w:val="0"/>
              <w:adjustRightInd w:val="0"/>
              <w:rPr>
                <w:rFonts w:cstheme="minorHAnsi"/>
                <w:b/>
                <w:sz w:val="22"/>
                <w:szCs w:val="22"/>
                <w:lang w:val="en-US"/>
              </w:rPr>
            </w:pPr>
          </w:p>
        </w:tc>
      </w:tr>
      <w:tr w:rsidR="003A41BE" w:rsidRPr="006444BA" w14:paraId="1B890D0E" w14:textId="77777777" w:rsidTr="00FD4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44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120DB" w14:textId="77777777" w:rsidR="003A41BE" w:rsidRDefault="003A41BE" w:rsidP="00FD44CE">
            <w:pPr>
              <w:autoSpaceDE w:val="0"/>
              <w:autoSpaceDN w:val="0"/>
              <w:adjustRightInd w:val="0"/>
              <w:rPr>
                <w:rFonts w:cstheme="minorHAnsi"/>
                <w:sz w:val="22"/>
                <w:szCs w:val="22"/>
                <w:lang w:val="en-US"/>
              </w:rPr>
            </w:pPr>
            <w:r w:rsidRPr="0099205A">
              <w:rPr>
                <w:rFonts w:cstheme="minorHAnsi"/>
                <w:sz w:val="22"/>
                <w:szCs w:val="22"/>
                <w:lang w:val="en-US"/>
              </w:rPr>
              <w:t xml:space="preserve">1.b Prevalence of moderate or severe food insecurity in the population, based on the Food Insecurity Experience Scale (FIES) (SDG Indicator 2.1.2), </w:t>
            </w:r>
            <w:r w:rsidRPr="003F4BC2">
              <w:rPr>
                <w:rFonts w:cstheme="minorHAnsi"/>
                <w:sz w:val="22"/>
                <w:szCs w:val="22"/>
                <w:lang w:val="en-US"/>
              </w:rPr>
              <w:t>disaggregated by municipality</w:t>
            </w:r>
          </w:p>
          <w:tbl>
            <w:tblPr>
              <w:tblStyle w:val="TableGrid"/>
              <w:tblW w:w="0" w:type="auto"/>
              <w:tblLayout w:type="fixed"/>
              <w:tblLook w:val="04A0" w:firstRow="1" w:lastRow="0" w:firstColumn="1" w:lastColumn="0" w:noHBand="0" w:noVBand="1"/>
            </w:tblPr>
            <w:tblGrid>
              <w:gridCol w:w="2875"/>
              <w:gridCol w:w="1170"/>
              <w:gridCol w:w="1350"/>
            </w:tblGrid>
            <w:tr w:rsidR="003A41BE" w14:paraId="757ACABF" w14:textId="77777777" w:rsidTr="00FD44CE">
              <w:tc>
                <w:tcPr>
                  <w:tcW w:w="2875" w:type="dxa"/>
                </w:tcPr>
                <w:p w14:paraId="76D66552" w14:textId="77777777" w:rsidR="003A41BE" w:rsidRDefault="003A41BE" w:rsidP="00FD44CE">
                  <w:pPr>
                    <w:autoSpaceDE w:val="0"/>
                    <w:autoSpaceDN w:val="0"/>
                    <w:adjustRightInd w:val="0"/>
                    <w:jc w:val="center"/>
                    <w:rPr>
                      <w:rFonts w:cstheme="minorHAnsi"/>
                      <w:b/>
                      <w:sz w:val="22"/>
                      <w:szCs w:val="22"/>
                      <w:lang w:val="en-US"/>
                    </w:rPr>
                  </w:pPr>
                </w:p>
              </w:tc>
              <w:tc>
                <w:tcPr>
                  <w:tcW w:w="1170" w:type="dxa"/>
                </w:tcPr>
                <w:p w14:paraId="19F9ECFC" w14:textId="77777777" w:rsidR="003A41BE" w:rsidRPr="003F4BC2" w:rsidRDefault="003A41BE" w:rsidP="00FD44CE">
                  <w:pPr>
                    <w:autoSpaceDE w:val="0"/>
                    <w:autoSpaceDN w:val="0"/>
                    <w:adjustRightInd w:val="0"/>
                    <w:jc w:val="center"/>
                    <w:rPr>
                      <w:rFonts w:cstheme="minorHAnsi"/>
                      <w:bCs/>
                      <w:sz w:val="22"/>
                      <w:szCs w:val="22"/>
                      <w:lang w:val="en-US"/>
                    </w:rPr>
                  </w:pPr>
                  <w:r w:rsidRPr="003F4BC2">
                    <w:rPr>
                      <w:rFonts w:cstheme="minorHAnsi"/>
                      <w:bCs/>
                      <w:sz w:val="22"/>
                      <w:szCs w:val="22"/>
                      <w:lang w:val="en-US"/>
                    </w:rPr>
                    <w:t>Baseline</w:t>
                  </w:r>
                </w:p>
              </w:tc>
              <w:tc>
                <w:tcPr>
                  <w:tcW w:w="1350" w:type="dxa"/>
                </w:tcPr>
                <w:p w14:paraId="24052C22" w14:textId="77777777" w:rsidR="003A41BE" w:rsidRPr="003F4BC2" w:rsidRDefault="003A41BE" w:rsidP="00FD44CE">
                  <w:pPr>
                    <w:autoSpaceDE w:val="0"/>
                    <w:autoSpaceDN w:val="0"/>
                    <w:adjustRightInd w:val="0"/>
                    <w:jc w:val="center"/>
                    <w:rPr>
                      <w:rFonts w:cstheme="minorHAnsi"/>
                      <w:bCs/>
                      <w:sz w:val="22"/>
                      <w:szCs w:val="22"/>
                      <w:lang w:val="en-US"/>
                    </w:rPr>
                  </w:pPr>
                  <w:r w:rsidRPr="003F4BC2">
                    <w:rPr>
                      <w:rFonts w:cstheme="minorHAnsi"/>
                      <w:bCs/>
                      <w:sz w:val="22"/>
                      <w:szCs w:val="22"/>
                      <w:lang w:val="en-US"/>
                    </w:rPr>
                    <w:t>Target</w:t>
                  </w:r>
                </w:p>
              </w:tc>
            </w:tr>
            <w:tr w:rsidR="003A41BE" w14:paraId="253F0F10" w14:textId="77777777" w:rsidTr="00FD44CE">
              <w:tc>
                <w:tcPr>
                  <w:tcW w:w="2875" w:type="dxa"/>
                </w:tcPr>
                <w:p w14:paraId="02C0FCA6" w14:textId="77777777" w:rsidR="003A41BE" w:rsidRPr="003F4BC2" w:rsidRDefault="003A41BE" w:rsidP="00FD44CE">
                  <w:pPr>
                    <w:autoSpaceDE w:val="0"/>
                    <w:autoSpaceDN w:val="0"/>
                    <w:adjustRightInd w:val="0"/>
                    <w:jc w:val="center"/>
                    <w:rPr>
                      <w:rFonts w:cstheme="minorHAnsi"/>
                      <w:bCs/>
                      <w:sz w:val="22"/>
                      <w:szCs w:val="22"/>
                      <w:lang w:val="en-US"/>
                    </w:rPr>
                  </w:pPr>
                  <w:r w:rsidRPr="003F4BC2">
                    <w:rPr>
                      <w:rFonts w:cstheme="minorHAnsi"/>
                      <w:bCs/>
                      <w:sz w:val="22"/>
                      <w:szCs w:val="22"/>
                      <w:lang w:val="en-US"/>
                    </w:rPr>
                    <w:t>Food Insecurity</w:t>
                  </w:r>
                </w:p>
              </w:tc>
              <w:tc>
                <w:tcPr>
                  <w:tcW w:w="1170" w:type="dxa"/>
                </w:tcPr>
                <w:p w14:paraId="40A91823" w14:textId="77777777" w:rsidR="003A41BE" w:rsidRDefault="003A41BE" w:rsidP="00FD44CE">
                  <w:pPr>
                    <w:autoSpaceDE w:val="0"/>
                    <w:autoSpaceDN w:val="0"/>
                    <w:adjustRightInd w:val="0"/>
                    <w:jc w:val="center"/>
                    <w:rPr>
                      <w:rFonts w:cstheme="minorHAnsi"/>
                      <w:b/>
                      <w:sz w:val="22"/>
                      <w:szCs w:val="22"/>
                      <w:lang w:val="en-US"/>
                    </w:rPr>
                  </w:pPr>
                  <w:r w:rsidRPr="00DA2276">
                    <w:rPr>
                      <w:rFonts w:cstheme="minorHAnsi"/>
                      <w:sz w:val="22"/>
                      <w:szCs w:val="22"/>
                      <w:lang w:val="en-US"/>
                    </w:rPr>
                    <w:t>36 %</w:t>
                  </w:r>
                </w:p>
              </w:tc>
              <w:tc>
                <w:tcPr>
                  <w:tcW w:w="1350" w:type="dxa"/>
                </w:tcPr>
                <w:p w14:paraId="320FDA86" w14:textId="77777777" w:rsidR="003A41BE" w:rsidRDefault="003A41BE" w:rsidP="00FD44CE">
                  <w:pPr>
                    <w:autoSpaceDE w:val="0"/>
                    <w:autoSpaceDN w:val="0"/>
                    <w:adjustRightInd w:val="0"/>
                    <w:jc w:val="center"/>
                    <w:rPr>
                      <w:rFonts w:cstheme="minorHAnsi"/>
                      <w:b/>
                      <w:sz w:val="22"/>
                      <w:szCs w:val="22"/>
                      <w:lang w:val="en-US"/>
                    </w:rPr>
                  </w:pPr>
                  <w:r w:rsidRPr="00DA2276">
                    <w:rPr>
                      <w:rFonts w:eastAsia="Times New Roman" w:cstheme="minorHAnsi"/>
                      <w:sz w:val="22"/>
                      <w:szCs w:val="22"/>
                      <w:lang w:val="en-US" w:eastAsia="fr-FR"/>
                    </w:rPr>
                    <w:t>&lt; 18%</w:t>
                  </w:r>
                </w:p>
              </w:tc>
            </w:tr>
            <w:tr w:rsidR="003A41BE" w14:paraId="31AF594E" w14:textId="77777777" w:rsidTr="00FD44CE">
              <w:tc>
                <w:tcPr>
                  <w:tcW w:w="2875" w:type="dxa"/>
                </w:tcPr>
                <w:p w14:paraId="7F319E1E" w14:textId="77777777" w:rsidR="003A41BE" w:rsidRPr="003F4BC2" w:rsidRDefault="003A41BE" w:rsidP="00FD44CE">
                  <w:pPr>
                    <w:autoSpaceDE w:val="0"/>
                    <w:autoSpaceDN w:val="0"/>
                    <w:adjustRightInd w:val="0"/>
                    <w:jc w:val="center"/>
                    <w:rPr>
                      <w:rFonts w:cstheme="minorHAnsi"/>
                      <w:bCs/>
                      <w:sz w:val="22"/>
                      <w:szCs w:val="22"/>
                      <w:lang w:val="en-US"/>
                    </w:rPr>
                  </w:pPr>
                  <w:r w:rsidRPr="003F4BC2">
                    <w:rPr>
                      <w:rFonts w:cstheme="minorHAnsi"/>
                      <w:bCs/>
                      <w:sz w:val="22"/>
                      <w:szCs w:val="22"/>
                      <w:lang w:val="en-US"/>
                    </w:rPr>
                    <w:t>Severe food insecurity</w:t>
                  </w:r>
                </w:p>
              </w:tc>
              <w:tc>
                <w:tcPr>
                  <w:tcW w:w="1170" w:type="dxa"/>
                </w:tcPr>
                <w:p w14:paraId="2D8BE5C7" w14:textId="77777777" w:rsidR="003A41BE" w:rsidRDefault="003A41BE" w:rsidP="00FD44CE">
                  <w:pPr>
                    <w:autoSpaceDE w:val="0"/>
                    <w:autoSpaceDN w:val="0"/>
                    <w:adjustRightInd w:val="0"/>
                    <w:jc w:val="center"/>
                    <w:rPr>
                      <w:rFonts w:cstheme="minorHAnsi"/>
                      <w:b/>
                      <w:sz w:val="22"/>
                      <w:szCs w:val="22"/>
                      <w:lang w:val="en-US"/>
                    </w:rPr>
                  </w:pPr>
                  <w:r w:rsidRPr="00DA2276">
                    <w:rPr>
                      <w:rFonts w:eastAsia="Times New Roman" w:cstheme="minorHAnsi"/>
                      <w:sz w:val="22"/>
                      <w:szCs w:val="22"/>
                      <w:lang w:val="en-US" w:eastAsia="fr-FR"/>
                    </w:rPr>
                    <w:t>15%</w:t>
                  </w:r>
                </w:p>
              </w:tc>
              <w:tc>
                <w:tcPr>
                  <w:tcW w:w="1350" w:type="dxa"/>
                </w:tcPr>
                <w:p w14:paraId="6AFAC6F3" w14:textId="77777777" w:rsidR="003A41BE" w:rsidRDefault="003A41BE" w:rsidP="00FD44CE">
                  <w:pPr>
                    <w:autoSpaceDE w:val="0"/>
                    <w:autoSpaceDN w:val="0"/>
                    <w:adjustRightInd w:val="0"/>
                    <w:jc w:val="center"/>
                    <w:rPr>
                      <w:rFonts w:cstheme="minorHAnsi"/>
                      <w:b/>
                      <w:sz w:val="22"/>
                      <w:szCs w:val="22"/>
                      <w:lang w:val="en-US"/>
                    </w:rPr>
                  </w:pPr>
                  <w:r w:rsidRPr="00DA2276">
                    <w:rPr>
                      <w:rFonts w:eastAsia="Times New Roman" w:cstheme="minorHAnsi"/>
                      <w:sz w:val="22"/>
                      <w:szCs w:val="22"/>
                      <w:lang w:val="en-US" w:eastAsia="fr-FR"/>
                    </w:rPr>
                    <w:t>&lt; 7.5%</w:t>
                  </w:r>
                </w:p>
              </w:tc>
            </w:tr>
            <w:tr w:rsidR="003A41BE" w14:paraId="6176E9A7" w14:textId="77777777" w:rsidTr="00FD44CE">
              <w:trPr>
                <w:trHeight w:val="215"/>
              </w:trPr>
              <w:tc>
                <w:tcPr>
                  <w:tcW w:w="2875" w:type="dxa"/>
                </w:tcPr>
                <w:p w14:paraId="2F01D716" w14:textId="77777777" w:rsidR="003A41BE" w:rsidRPr="003F4BC2" w:rsidRDefault="003A41BE" w:rsidP="00FD44CE">
                  <w:pPr>
                    <w:autoSpaceDE w:val="0"/>
                    <w:autoSpaceDN w:val="0"/>
                    <w:adjustRightInd w:val="0"/>
                    <w:jc w:val="center"/>
                    <w:rPr>
                      <w:rFonts w:cstheme="minorHAnsi"/>
                      <w:bCs/>
                      <w:sz w:val="22"/>
                      <w:szCs w:val="22"/>
                      <w:lang w:val="en-US"/>
                    </w:rPr>
                  </w:pPr>
                  <w:r w:rsidRPr="003F4BC2">
                    <w:rPr>
                      <w:rFonts w:cstheme="minorHAnsi"/>
                      <w:bCs/>
                      <w:sz w:val="22"/>
                      <w:szCs w:val="22"/>
                      <w:lang w:val="en-US"/>
                    </w:rPr>
                    <w:t>Moderate food insecurity</w:t>
                  </w:r>
                </w:p>
              </w:tc>
              <w:tc>
                <w:tcPr>
                  <w:tcW w:w="1170" w:type="dxa"/>
                </w:tcPr>
                <w:p w14:paraId="74A520FC" w14:textId="77777777" w:rsidR="003A41BE" w:rsidRDefault="003A41BE" w:rsidP="00FD44CE">
                  <w:pPr>
                    <w:autoSpaceDE w:val="0"/>
                    <w:autoSpaceDN w:val="0"/>
                    <w:adjustRightInd w:val="0"/>
                    <w:jc w:val="center"/>
                    <w:rPr>
                      <w:rFonts w:cstheme="minorHAnsi"/>
                      <w:b/>
                      <w:sz w:val="22"/>
                      <w:szCs w:val="22"/>
                      <w:lang w:val="en-US"/>
                    </w:rPr>
                  </w:pPr>
                  <w:r w:rsidRPr="00DA2276">
                    <w:rPr>
                      <w:rFonts w:eastAsia="Times New Roman" w:cstheme="minorHAnsi"/>
                      <w:sz w:val="22"/>
                      <w:szCs w:val="22"/>
                      <w:lang w:val="en-US" w:eastAsia="fr-FR"/>
                    </w:rPr>
                    <w:t>21%</w:t>
                  </w:r>
                </w:p>
              </w:tc>
              <w:tc>
                <w:tcPr>
                  <w:tcW w:w="1350" w:type="dxa"/>
                </w:tcPr>
                <w:p w14:paraId="7DEF5403" w14:textId="77777777" w:rsidR="003A41BE" w:rsidRDefault="003A41BE" w:rsidP="00FD44CE">
                  <w:pPr>
                    <w:jc w:val="center"/>
                    <w:rPr>
                      <w:rFonts w:cstheme="minorHAnsi"/>
                      <w:b/>
                      <w:sz w:val="22"/>
                      <w:szCs w:val="22"/>
                      <w:lang w:val="en-US"/>
                    </w:rPr>
                  </w:pPr>
                  <w:r w:rsidRPr="003F4BC2">
                    <w:rPr>
                      <w:rFonts w:eastAsia="Times New Roman" w:cstheme="minorHAnsi"/>
                      <w:sz w:val="22"/>
                      <w:szCs w:val="22"/>
                      <w:lang w:val="en-US" w:eastAsia="fr-FR"/>
                    </w:rPr>
                    <w:t>&lt; 10.5%</w:t>
                  </w:r>
                </w:p>
              </w:tc>
            </w:tr>
          </w:tbl>
          <w:p w14:paraId="29EEA188" w14:textId="77777777" w:rsidR="003A41BE" w:rsidRDefault="003A41BE" w:rsidP="00FD44CE">
            <w:pPr>
              <w:rPr>
                <w:rFonts w:cstheme="minorHAnsi"/>
                <w:sz w:val="22"/>
                <w:szCs w:val="22"/>
                <w:lang w:val="en-US"/>
              </w:rPr>
            </w:pPr>
            <w:r w:rsidRPr="003F4BC2">
              <w:rPr>
                <w:rFonts w:cstheme="minorHAnsi"/>
                <w:bCs/>
                <w:sz w:val="22"/>
                <w:szCs w:val="22"/>
                <w:lang w:val="en-US"/>
              </w:rPr>
              <w:lastRenderedPageBreak/>
              <w:t xml:space="preserve">Data Source: At this stage </w:t>
            </w:r>
            <w:r w:rsidRPr="003F4BC2">
              <w:rPr>
                <w:rFonts w:cstheme="minorHAnsi"/>
                <w:sz w:val="22"/>
                <w:szCs w:val="22"/>
                <w:lang w:val="en-US"/>
              </w:rPr>
              <w:t>MAF, IPC (2018)</w:t>
            </w:r>
            <w:r>
              <w:rPr>
                <w:rFonts w:cstheme="minorHAnsi"/>
                <w:sz w:val="22"/>
                <w:szCs w:val="22"/>
                <w:lang w:val="en-US"/>
              </w:rPr>
              <w:t xml:space="preserve"> provides data at national and municipal level (proxy).</w:t>
            </w:r>
            <w:r w:rsidRPr="003F4BC2">
              <w:rPr>
                <w:rFonts w:cstheme="minorHAnsi"/>
                <w:sz w:val="22"/>
                <w:szCs w:val="22"/>
                <w:lang w:val="en-US"/>
              </w:rPr>
              <w:t xml:space="preserve"> </w:t>
            </w:r>
            <w:r>
              <w:rPr>
                <w:rFonts w:cstheme="minorHAnsi"/>
                <w:sz w:val="22"/>
                <w:szCs w:val="22"/>
                <w:lang w:val="en-US"/>
              </w:rPr>
              <w:t xml:space="preserve">Later, </w:t>
            </w:r>
            <w:r w:rsidRPr="003F4BC2">
              <w:rPr>
                <w:rFonts w:cstheme="minorHAnsi"/>
                <w:sz w:val="22"/>
                <w:szCs w:val="22"/>
                <w:lang w:val="en-US"/>
              </w:rPr>
              <w:t>FIES (June 2020) will provide the baseline</w:t>
            </w:r>
            <w:r>
              <w:rPr>
                <w:rFonts w:cstheme="minorHAnsi"/>
                <w:sz w:val="22"/>
                <w:szCs w:val="22"/>
                <w:lang w:val="en-US"/>
              </w:rPr>
              <w:t>.</w:t>
            </w:r>
          </w:p>
          <w:p w14:paraId="42B7AD88" w14:textId="77777777" w:rsidR="003A41BE" w:rsidRPr="0099205A" w:rsidRDefault="003A41BE" w:rsidP="00FD44CE">
            <w:pPr>
              <w:rPr>
                <w:rFonts w:cstheme="minorHAnsi"/>
                <w:b/>
                <w:sz w:val="22"/>
                <w:szCs w:val="22"/>
                <w:lang w:val="en-US"/>
              </w:rPr>
            </w:pPr>
          </w:p>
        </w:tc>
      </w:tr>
      <w:tr w:rsidR="003A41BE" w:rsidRPr="006444BA" w14:paraId="6C4ABD79" w14:textId="77777777" w:rsidTr="00FD4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44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692F9"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lastRenderedPageBreak/>
              <w:t xml:space="preserve">1.c Prevalence of stunting (height for age &lt;-2 standard deviation from the median of the World Health Organization (WHO) Child Growth Standards) among children under 5 years (SDG Indicator 2.2.1), </w:t>
            </w:r>
            <w:r w:rsidRPr="00841766">
              <w:rPr>
                <w:rFonts w:ascii="Calibri" w:hAnsi="Calibri" w:cs="Calibri"/>
                <w:sz w:val="22"/>
                <w:szCs w:val="22"/>
                <w:lang w:val="en-US"/>
              </w:rPr>
              <w:t>disaggregated by sex and geographic location</w:t>
            </w:r>
          </w:p>
          <w:tbl>
            <w:tblPr>
              <w:tblStyle w:val="TableGrid"/>
              <w:tblW w:w="0" w:type="auto"/>
              <w:tblLayout w:type="fixed"/>
              <w:tblLook w:val="04A0" w:firstRow="1" w:lastRow="0" w:firstColumn="1" w:lastColumn="0" w:noHBand="0" w:noVBand="1"/>
            </w:tblPr>
            <w:tblGrid>
              <w:gridCol w:w="1885"/>
              <w:gridCol w:w="1350"/>
            </w:tblGrid>
            <w:tr w:rsidR="003A41BE" w14:paraId="55754B94" w14:textId="77777777" w:rsidTr="00FD44CE">
              <w:tc>
                <w:tcPr>
                  <w:tcW w:w="1885" w:type="dxa"/>
                </w:tcPr>
                <w:p w14:paraId="24013FD6" w14:textId="77777777" w:rsidR="003A41BE" w:rsidRDefault="003A41BE" w:rsidP="00FD44CE">
                  <w:pPr>
                    <w:autoSpaceDE w:val="0"/>
                    <w:autoSpaceDN w:val="0"/>
                    <w:adjustRightInd w:val="0"/>
                    <w:rPr>
                      <w:rFonts w:cstheme="minorHAnsi"/>
                      <w:sz w:val="22"/>
                      <w:szCs w:val="22"/>
                      <w:lang w:val="en-US"/>
                    </w:rPr>
                  </w:pPr>
                  <w:r>
                    <w:rPr>
                      <w:rFonts w:cstheme="minorHAnsi"/>
                      <w:sz w:val="22"/>
                      <w:szCs w:val="22"/>
                      <w:lang w:val="en-US"/>
                    </w:rPr>
                    <w:t>Baseline</w:t>
                  </w:r>
                </w:p>
              </w:tc>
              <w:tc>
                <w:tcPr>
                  <w:tcW w:w="1350" w:type="dxa"/>
                </w:tcPr>
                <w:p w14:paraId="5EFAC570" w14:textId="77777777" w:rsidR="003A41BE" w:rsidRDefault="003A41BE" w:rsidP="00FD44CE">
                  <w:pPr>
                    <w:autoSpaceDE w:val="0"/>
                    <w:autoSpaceDN w:val="0"/>
                    <w:adjustRightInd w:val="0"/>
                    <w:rPr>
                      <w:rFonts w:cstheme="minorHAnsi"/>
                      <w:sz w:val="22"/>
                      <w:szCs w:val="22"/>
                      <w:lang w:val="en-US"/>
                    </w:rPr>
                  </w:pPr>
                  <w:r>
                    <w:rPr>
                      <w:rFonts w:cstheme="minorHAnsi"/>
                      <w:sz w:val="22"/>
                      <w:szCs w:val="22"/>
                      <w:lang w:val="en-US"/>
                    </w:rPr>
                    <w:t>Target</w:t>
                  </w:r>
                </w:p>
              </w:tc>
            </w:tr>
            <w:tr w:rsidR="003A41BE" w14:paraId="00AE4654" w14:textId="77777777" w:rsidTr="00FD44CE">
              <w:tc>
                <w:tcPr>
                  <w:tcW w:w="1885" w:type="dxa"/>
                </w:tcPr>
                <w:p w14:paraId="0FE14A34" w14:textId="77777777" w:rsidR="003A41BE" w:rsidRPr="00A62E28" w:rsidRDefault="003A41BE" w:rsidP="00FD44CE">
                  <w:pPr>
                    <w:autoSpaceDE w:val="0"/>
                    <w:autoSpaceDN w:val="0"/>
                    <w:adjustRightInd w:val="0"/>
                    <w:rPr>
                      <w:rFonts w:cstheme="minorHAnsi"/>
                      <w:sz w:val="22"/>
                      <w:szCs w:val="22"/>
                      <w:lang w:val="en-US"/>
                    </w:rPr>
                  </w:pPr>
                  <w:r w:rsidRPr="00A62E28">
                    <w:rPr>
                      <w:rFonts w:cstheme="minorHAnsi"/>
                      <w:sz w:val="22"/>
                      <w:szCs w:val="22"/>
                      <w:lang w:val="en-US"/>
                    </w:rPr>
                    <w:t>50 % nationally</w:t>
                  </w:r>
                </w:p>
              </w:tc>
              <w:tc>
                <w:tcPr>
                  <w:tcW w:w="1350" w:type="dxa"/>
                </w:tcPr>
                <w:p w14:paraId="50E873C6" w14:textId="77777777" w:rsidR="003A41BE" w:rsidRPr="00A62E28" w:rsidRDefault="003A41BE" w:rsidP="00FD44CE">
                  <w:pPr>
                    <w:autoSpaceDE w:val="0"/>
                    <w:autoSpaceDN w:val="0"/>
                    <w:adjustRightInd w:val="0"/>
                    <w:rPr>
                      <w:rFonts w:cstheme="minorHAnsi"/>
                      <w:sz w:val="22"/>
                      <w:szCs w:val="22"/>
                      <w:lang w:val="en-US"/>
                    </w:rPr>
                  </w:pPr>
                  <w:r w:rsidRPr="003F4BC2">
                    <w:rPr>
                      <w:rFonts w:eastAsia="Times New Roman" w:cs="Times New Roman"/>
                      <w:sz w:val="22"/>
                      <w:szCs w:val="22"/>
                      <w:lang w:val="en-US" w:eastAsia="fr-FR"/>
                    </w:rPr>
                    <w:t>&lt; 30%</w:t>
                  </w:r>
                </w:p>
              </w:tc>
            </w:tr>
          </w:tbl>
          <w:p w14:paraId="38CCBE5C" w14:textId="77777777" w:rsidR="003A41BE" w:rsidRDefault="003A41BE" w:rsidP="00FD44CE">
            <w:pPr>
              <w:autoSpaceDE w:val="0"/>
              <w:autoSpaceDN w:val="0"/>
              <w:adjustRightInd w:val="0"/>
              <w:rPr>
                <w:rFonts w:ascii="Calibri" w:hAnsi="Calibri" w:cs="Calibri"/>
                <w:sz w:val="22"/>
                <w:szCs w:val="22"/>
                <w:lang w:val="en-US"/>
              </w:rPr>
            </w:pPr>
            <w:r w:rsidRPr="00DA2276">
              <w:rPr>
                <w:rFonts w:ascii="Calibri" w:hAnsi="Calibri" w:cs="Calibri"/>
                <w:sz w:val="22"/>
                <w:szCs w:val="22"/>
                <w:lang w:val="en-US"/>
              </w:rPr>
              <w:t>Data Source:</w:t>
            </w:r>
            <w:r w:rsidRPr="00841766">
              <w:rPr>
                <w:sz w:val="22"/>
                <w:szCs w:val="22"/>
                <w:lang w:val="en-US"/>
              </w:rPr>
              <w:t xml:space="preserve"> </w:t>
            </w:r>
            <w:r>
              <w:rPr>
                <w:rFonts w:ascii="Calibri" w:hAnsi="Calibri" w:cs="Calibri"/>
                <w:sz w:val="22"/>
                <w:szCs w:val="22"/>
                <w:lang w:val="en-US"/>
              </w:rPr>
              <w:t>TLFNS 2013</w:t>
            </w:r>
          </w:p>
          <w:p w14:paraId="21AFB1F5" w14:textId="77777777" w:rsidR="003A41BE" w:rsidRPr="00841766" w:rsidRDefault="003A41BE" w:rsidP="00FD44CE">
            <w:pPr>
              <w:autoSpaceDE w:val="0"/>
              <w:autoSpaceDN w:val="0"/>
              <w:adjustRightInd w:val="0"/>
              <w:rPr>
                <w:rFonts w:cstheme="minorHAnsi"/>
                <w:b/>
                <w:sz w:val="22"/>
                <w:szCs w:val="22"/>
                <w:lang w:val="en-US"/>
              </w:rPr>
            </w:pPr>
          </w:p>
        </w:tc>
      </w:tr>
      <w:tr w:rsidR="003A41BE" w:rsidRPr="006444BA" w14:paraId="59F9DE75" w14:textId="77777777" w:rsidTr="00FD4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44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3B103"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1.d Prevalence of malnutrition (weight for height &gt;+2 or &lt;-2 standard deviation from the median of the WHO Child Growth Standards) among children under 5 years of age, by type (wasting and overweight),</w:t>
            </w:r>
            <w:r w:rsidRPr="00841766">
              <w:rPr>
                <w:lang w:val="en-US"/>
              </w:rPr>
              <w:t xml:space="preserve"> </w:t>
            </w:r>
            <w:r w:rsidRPr="00841766">
              <w:rPr>
                <w:rFonts w:cstheme="minorHAnsi"/>
                <w:sz w:val="22"/>
                <w:szCs w:val="22"/>
                <w:lang w:val="en-US"/>
              </w:rPr>
              <w:t>disaggregated by sex and geographic location</w:t>
            </w:r>
          </w:p>
          <w:tbl>
            <w:tblPr>
              <w:tblStyle w:val="TableGrid"/>
              <w:tblW w:w="0" w:type="auto"/>
              <w:tblLayout w:type="fixed"/>
              <w:tblLook w:val="04A0" w:firstRow="1" w:lastRow="0" w:firstColumn="1" w:lastColumn="0" w:noHBand="0" w:noVBand="1"/>
            </w:tblPr>
            <w:tblGrid>
              <w:gridCol w:w="1705"/>
              <w:gridCol w:w="1620"/>
              <w:gridCol w:w="1710"/>
            </w:tblGrid>
            <w:tr w:rsidR="003A41BE" w14:paraId="146DAECD" w14:textId="77777777" w:rsidTr="00FD44CE">
              <w:tc>
                <w:tcPr>
                  <w:tcW w:w="1705" w:type="dxa"/>
                </w:tcPr>
                <w:p w14:paraId="47BA82DA" w14:textId="77777777" w:rsidR="003A41BE" w:rsidRDefault="003A41BE" w:rsidP="00FD44CE">
                  <w:pPr>
                    <w:autoSpaceDE w:val="0"/>
                    <w:autoSpaceDN w:val="0"/>
                    <w:adjustRightInd w:val="0"/>
                    <w:jc w:val="center"/>
                    <w:rPr>
                      <w:rFonts w:cstheme="minorHAnsi"/>
                      <w:b/>
                      <w:sz w:val="22"/>
                      <w:szCs w:val="22"/>
                      <w:lang w:val="en-US"/>
                    </w:rPr>
                  </w:pPr>
                </w:p>
              </w:tc>
              <w:tc>
                <w:tcPr>
                  <w:tcW w:w="1620" w:type="dxa"/>
                </w:tcPr>
                <w:p w14:paraId="593AB8F7" w14:textId="77777777" w:rsidR="003A41BE" w:rsidRPr="00DA2276" w:rsidRDefault="003A41BE" w:rsidP="00FD44CE">
                  <w:pPr>
                    <w:autoSpaceDE w:val="0"/>
                    <w:autoSpaceDN w:val="0"/>
                    <w:adjustRightInd w:val="0"/>
                    <w:jc w:val="center"/>
                    <w:rPr>
                      <w:rFonts w:cstheme="minorHAnsi"/>
                      <w:bCs/>
                      <w:sz w:val="22"/>
                      <w:szCs w:val="22"/>
                      <w:lang w:val="en-US"/>
                    </w:rPr>
                  </w:pPr>
                  <w:r w:rsidRPr="00DA2276">
                    <w:rPr>
                      <w:rFonts w:cstheme="minorHAnsi"/>
                      <w:bCs/>
                      <w:sz w:val="22"/>
                      <w:szCs w:val="22"/>
                      <w:lang w:val="en-US"/>
                    </w:rPr>
                    <w:t>Baseline</w:t>
                  </w:r>
                </w:p>
              </w:tc>
              <w:tc>
                <w:tcPr>
                  <w:tcW w:w="1710" w:type="dxa"/>
                </w:tcPr>
                <w:p w14:paraId="3CD6B86B" w14:textId="77777777" w:rsidR="003A41BE" w:rsidRPr="00DA2276" w:rsidRDefault="003A41BE" w:rsidP="00FD44CE">
                  <w:pPr>
                    <w:autoSpaceDE w:val="0"/>
                    <w:autoSpaceDN w:val="0"/>
                    <w:adjustRightInd w:val="0"/>
                    <w:jc w:val="center"/>
                    <w:rPr>
                      <w:rFonts w:cstheme="minorHAnsi"/>
                      <w:bCs/>
                      <w:sz w:val="22"/>
                      <w:szCs w:val="22"/>
                      <w:lang w:val="en-US"/>
                    </w:rPr>
                  </w:pPr>
                  <w:r w:rsidRPr="00DA2276">
                    <w:rPr>
                      <w:rFonts w:cstheme="minorHAnsi"/>
                      <w:bCs/>
                      <w:sz w:val="22"/>
                      <w:szCs w:val="22"/>
                      <w:lang w:val="en-US"/>
                    </w:rPr>
                    <w:t>Target</w:t>
                  </w:r>
                </w:p>
              </w:tc>
            </w:tr>
            <w:tr w:rsidR="003A41BE" w14:paraId="17E3339E" w14:textId="77777777" w:rsidTr="00FD44CE">
              <w:tc>
                <w:tcPr>
                  <w:tcW w:w="1705" w:type="dxa"/>
                </w:tcPr>
                <w:p w14:paraId="4ED79E5A" w14:textId="77777777" w:rsidR="003A41BE" w:rsidRPr="00DA2276" w:rsidRDefault="003A41BE" w:rsidP="00FD44CE">
                  <w:pPr>
                    <w:autoSpaceDE w:val="0"/>
                    <w:autoSpaceDN w:val="0"/>
                    <w:adjustRightInd w:val="0"/>
                    <w:jc w:val="center"/>
                    <w:rPr>
                      <w:rFonts w:cstheme="minorHAnsi"/>
                      <w:bCs/>
                      <w:sz w:val="22"/>
                      <w:szCs w:val="22"/>
                      <w:lang w:val="en-US"/>
                    </w:rPr>
                  </w:pPr>
                  <w:r>
                    <w:rPr>
                      <w:rFonts w:cstheme="minorHAnsi"/>
                      <w:bCs/>
                      <w:sz w:val="22"/>
                      <w:szCs w:val="22"/>
                      <w:lang w:val="en-US"/>
                    </w:rPr>
                    <w:t>Wasting</w:t>
                  </w:r>
                </w:p>
              </w:tc>
              <w:tc>
                <w:tcPr>
                  <w:tcW w:w="1620" w:type="dxa"/>
                </w:tcPr>
                <w:p w14:paraId="40E2BF28" w14:textId="77777777" w:rsidR="003A41BE" w:rsidRDefault="003A41BE" w:rsidP="00FD44CE">
                  <w:pPr>
                    <w:autoSpaceDE w:val="0"/>
                    <w:autoSpaceDN w:val="0"/>
                    <w:adjustRightInd w:val="0"/>
                    <w:jc w:val="center"/>
                    <w:rPr>
                      <w:rFonts w:cstheme="minorHAnsi"/>
                      <w:b/>
                      <w:sz w:val="22"/>
                      <w:szCs w:val="22"/>
                      <w:lang w:val="en-US"/>
                    </w:rPr>
                  </w:pPr>
                  <w:r>
                    <w:rPr>
                      <w:rFonts w:cstheme="minorHAnsi"/>
                      <w:sz w:val="22"/>
                      <w:szCs w:val="22"/>
                      <w:lang w:val="en-US"/>
                    </w:rPr>
                    <w:t>11</w:t>
                  </w:r>
                  <w:r w:rsidRPr="00DA2276">
                    <w:rPr>
                      <w:rFonts w:cstheme="minorHAnsi"/>
                      <w:sz w:val="22"/>
                      <w:szCs w:val="22"/>
                      <w:lang w:val="en-US"/>
                    </w:rPr>
                    <w:t xml:space="preserve"> %</w:t>
                  </w:r>
                </w:p>
              </w:tc>
              <w:tc>
                <w:tcPr>
                  <w:tcW w:w="1710" w:type="dxa"/>
                </w:tcPr>
                <w:p w14:paraId="55CC40EA" w14:textId="77777777" w:rsidR="003A41BE" w:rsidRDefault="003A41BE" w:rsidP="00FD44CE">
                  <w:pPr>
                    <w:autoSpaceDE w:val="0"/>
                    <w:autoSpaceDN w:val="0"/>
                    <w:adjustRightInd w:val="0"/>
                    <w:jc w:val="center"/>
                    <w:rPr>
                      <w:rFonts w:cstheme="minorHAnsi"/>
                      <w:b/>
                      <w:sz w:val="22"/>
                      <w:szCs w:val="22"/>
                      <w:lang w:val="en-US"/>
                    </w:rPr>
                  </w:pPr>
                  <w:r w:rsidRPr="00DA2276">
                    <w:rPr>
                      <w:rFonts w:eastAsia="Times New Roman" w:cstheme="minorHAnsi"/>
                      <w:sz w:val="22"/>
                      <w:szCs w:val="22"/>
                      <w:lang w:val="en-US" w:eastAsia="fr-FR"/>
                    </w:rPr>
                    <w:t xml:space="preserve">&lt; </w:t>
                  </w:r>
                  <w:r>
                    <w:rPr>
                      <w:rFonts w:eastAsia="Times New Roman" w:cstheme="minorHAnsi"/>
                      <w:sz w:val="22"/>
                      <w:szCs w:val="22"/>
                      <w:lang w:val="en-US" w:eastAsia="fr-FR"/>
                    </w:rPr>
                    <w:t>5</w:t>
                  </w:r>
                  <w:r w:rsidRPr="00DA2276">
                    <w:rPr>
                      <w:rFonts w:eastAsia="Times New Roman" w:cstheme="minorHAnsi"/>
                      <w:sz w:val="22"/>
                      <w:szCs w:val="22"/>
                      <w:lang w:val="en-US" w:eastAsia="fr-FR"/>
                    </w:rPr>
                    <w:t>%</w:t>
                  </w:r>
                </w:p>
              </w:tc>
            </w:tr>
            <w:tr w:rsidR="003A41BE" w14:paraId="2E2A1E09" w14:textId="77777777" w:rsidTr="00FD44CE">
              <w:tc>
                <w:tcPr>
                  <w:tcW w:w="1705" w:type="dxa"/>
                </w:tcPr>
                <w:p w14:paraId="023FE960" w14:textId="77777777" w:rsidR="003A41BE" w:rsidRPr="00DA2276" w:rsidRDefault="003A41BE" w:rsidP="00FD44CE">
                  <w:pPr>
                    <w:autoSpaceDE w:val="0"/>
                    <w:autoSpaceDN w:val="0"/>
                    <w:adjustRightInd w:val="0"/>
                    <w:jc w:val="center"/>
                    <w:rPr>
                      <w:rFonts w:cstheme="minorHAnsi"/>
                      <w:bCs/>
                      <w:sz w:val="22"/>
                      <w:szCs w:val="22"/>
                      <w:lang w:val="en-US"/>
                    </w:rPr>
                  </w:pPr>
                  <w:r>
                    <w:rPr>
                      <w:rFonts w:cstheme="minorHAnsi"/>
                      <w:bCs/>
                      <w:sz w:val="22"/>
                      <w:szCs w:val="22"/>
                      <w:lang w:val="en-US"/>
                    </w:rPr>
                    <w:t>Overweight</w:t>
                  </w:r>
                </w:p>
              </w:tc>
              <w:tc>
                <w:tcPr>
                  <w:tcW w:w="1620" w:type="dxa"/>
                </w:tcPr>
                <w:p w14:paraId="68E8CB75" w14:textId="77777777" w:rsidR="003A41BE" w:rsidRDefault="003A41BE" w:rsidP="00FD44CE">
                  <w:pPr>
                    <w:autoSpaceDE w:val="0"/>
                    <w:autoSpaceDN w:val="0"/>
                    <w:adjustRightInd w:val="0"/>
                    <w:jc w:val="center"/>
                    <w:rPr>
                      <w:rFonts w:cstheme="minorHAnsi"/>
                      <w:b/>
                      <w:sz w:val="22"/>
                      <w:szCs w:val="22"/>
                      <w:lang w:val="en-US"/>
                    </w:rPr>
                  </w:pPr>
                  <w:r>
                    <w:rPr>
                      <w:rFonts w:eastAsia="Times New Roman" w:cstheme="minorHAnsi"/>
                      <w:sz w:val="22"/>
                      <w:szCs w:val="22"/>
                      <w:lang w:val="en-US" w:eastAsia="fr-FR"/>
                    </w:rPr>
                    <w:t>5</w:t>
                  </w:r>
                  <w:r w:rsidRPr="00DA2276">
                    <w:rPr>
                      <w:rFonts w:eastAsia="Times New Roman" w:cstheme="minorHAnsi"/>
                      <w:sz w:val="22"/>
                      <w:szCs w:val="22"/>
                      <w:lang w:val="en-US" w:eastAsia="fr-FR"/>
                    </w:rPr>
                    <w:t>%</w:t>
                  </w:r>
                </w:p>
              </w:tc>
              <w:tc>
                <w:tcPr>
                  <w:tcW w:w="1710" w:type="dxa"/>
                </w:tcPr>
                <w:p w14:paraId="45D24190" w14:textId="77777777" w:rsidR="003A41BE" w:rsidRDefault="003A41BE" w:rsidP="00FD44CE">
                  <w:pPr>
                    <w:autoSpaceDE w:val="0"/>
                    <w:autoSpaceDN w:val="0"/>
                    <w:adjustRightInd w:val="0"/>
                    <w:jc w:val="center"/>
                    <w:rPr>
                      <w:rFonts w:cstheme="minorHAnsi"/>
                      <w:b/>
                      <w:sz w:val="22"/>
                      <w:szCs w:val="22"/>
                      <w:lang w:val="en-US"/>
                    </w:rPr>
                  </w:pPr>
                  <w:r w:rsidRPr="00DA2276">
                    <w:rPr>
                      <w:rFonts w:eastAsia="Times New Roman" w:cstheme="minorHAnsi"/>
                      <w:sz w:val="22"/>
                      <w:szCs w:val="22"/>
                      <w:lang w:val="en-US" w:eastAsia="fr-FR"/>
                    </w:rPr>
                    <w:t xml:space="preserve">&lt; </w:t>
                  </w:r>
                  <w:r>
                    <w:rPr>
                      <w:rFonts w:eastAsia="Times New Roman" w:cstheme="minorHAnsi"/>
                      <w:sz w:val="22"/>
                      <w:szCs w:val="22"/>
                      <w:lang w:val="en-US" w:eastAsia="fr-FR"/>
                    </w:rPr>
                    <w:t>5</w:t>
                  </w:r>
                  <w:r w:rsidRPr="00DA2276">
                    <w:rPr>
                      <w:rFonts w:eastAsia="Times New Roman" w:cstheme="minorHAnsi"/>
                      <w:sz w:val="22"/>
                      <w:szCs w:val="22"/>
                      <w:lang w:val="en-US" w:eastAsia="fr-FR"/>
                    </w:rPr>
                    <w:t>%</w:t>
                  </w:r>
                </w:p>
              </w:tc>
            </w:tr>
          </w:tbl>
          <w:p w14:paraId="20CF0840" w14:textId="77777777" w:rsidR="003A41BE" w:rsidRDefault="003A41BE" w:rsidP="00FD44CE">
            <w:pPr>
              <w:autoSpaceDE w:val="0"/>
              <w:autoSpaceDN w:val="0"/>
              <w:adjustRightInd w:val="0"/>
              <w:rPr>
                <w:rFonts w:ascii="Calibri" w:hAnsi="Calibri" w:cs="Calibri"/>
                <w:sz w:val="22"/>
                <w:szCs w:val="22"/>
                <w:lang w:val="en-US"/>
              </w:rPr>
            </w:pPr>
            <w:r w:rsidRPr="003F4BC2">
              <w:rPr>
                <w:rFonts w:ascii="Calibri" w:hAnsi="Calibri" w:cs="Calibri"/>
                <w:sz w:val="22"/>
                <w:szCs w:val="22"/>
                <w:lang w:val="en-US"/>
              </w:rPr>
              <w:t>Data Source:</w:t>
            </w:r>
            <w:r w:rsidRPr="00841766">
              <w:rPr>
                <w:rFonts w:ascii="Calibri" w:hAnsi="Calibri" w:cs="Calibri"/>
                <w:b/>
                <w:sz w:val="22"/>
                <w:szCs w:val="22"/>
                <w:lang w:val="en-US"/>
              </w:rPr>
              <w:t xml:space="preserve"> </w:t>
            </w:r>
            <w:r w:rsidRPr="00841766">
              <w:rPr>
                <w:rFonts w:ascii="Calibri" w:hAnsi="Calibri" w:cs="Calibri"/>
                <w:sz w:val="22"/>
                <w:szCs w:val="22"/>
                <w:lang w:val="en-US"/>
              </w:rPr>
              <w:t>DHS</w:t>
            </w:r>
            <w:r>
              <w:rPr>
                <w:rFonts w:ascii="Calibri" w:hAnsi="Calibri" w:cs="Calibri"/>
                <w:sz w:val="22"/>
                <w:szCs w:val="22"/>
                <w:lang w:val="en-US"/>
              </w:rPr>
              <w:t>,</w:t>
            </w:r>
            <w:r w:rsidRPr="00841766">
              <w:rPr>
                <w:rFonts w:ascii="Calibri" w:hAnsi="Calibri" w:cs="Calibri"/>
                <w:sz w:val="22"/>
                <w:szCs w:val="22"/>
                <w:lang w:val="en-US"/>
              </w:rPr>
              <w:t xml:space="preserve"> TLFNS</w:t>
            </w:r>
            <w:r>
              <w:rPr>
                <w:rFonts w:ascii="Calibri" w:hAnsi="Calibri" w:cs="Calibri"/>
                <w:sz w:val="22"/>
                <w:szCs w:val="22"/>
                <w:lang w:val="en-US"/>
              </w:rPr>
              <w:t xml:space="preserve"> 2013</w:t>
            </w:r>
          </w:p>
          <w:p w14:paraId="417C55F1"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52C2593A" w14:textId="77777777" w:rsidTr="00FD44CE">
        <w:trPr>
          <w:trHeight w:val="339"/>
        </w:trPr>
        <w:tc>
          <w:tcPr>
            <w:tcW w:w="4701" w:type="dxa"/>
            <w:shd w:val="clear" w:color="auto" w:fill="000000" w:themeFill="text1"/>
          </w:tcPr>
          <w:p w14:paraId="61D81B86" w14:textId="77777777" w:rsidR="003A41BE" w:rsidRPr="00841766" w:rsidRDefault="003A41BE" w:rsidP="00FD44CE">
            <w:pPr>
              <w:rPr>
                <w:rFonts w:ascii="Calibri" w:hAnsi="Calibri" w:cs="Calibri"/>
                <w:b/>
                <w:color w:val="FFFFFF"/>
                <w:sz w:val="26"/>
                <w:szCs w:val="26"/>
                <w:lang w:val="en-US"/>
              </w:rPr>
            </w:pPr>
            <w:r w:rsidRPr="00841766">
              <w:rPr>
                <w:rFonts w:ascii="Calibri" w:hAnsi="Calibri" w:cs="Calibri"/>
                <w:b/>
                <w:color w:val="FFFFFF"/>
                <w:sz w:val="26"/>
                <w:szCs w:val="26"/>
                <w:lang w:val="en-US"/>
              </w:rPr>
              <w:t>UNSDCF Results</w:t>
            </w:r>
          </w:p>
        </w:tc>
        <w:tc>
          <w:tcPr>
            <w:tcW w:w="5528" w:type="dxa"/>
            <w:shd w:val="clear" w:color="auto" w:fill="000000" w:themeFill="text1"/>
          </w:tcPr>
          <w:p w14:paraId="3AA4C889" w14:textId="77777777" w:rsidR="003A41BE" w:rsidRPr="00841766" w:rsidRDefault="003A41BE" w:rsidP="00FD44CE">
            <w:pPr>
              <w:rPr>
                <w:rFonts w:ascii="Calibri" w:hAnsi="Calibri" w:cs="Calibri"/>
                <w:b/>
                <w:color w:val="FFFFFF"/>
                <w:sz w:val="26"/>
                <w:szCs w:val="26"/>
                <w:lang w:val="en-US"/>
              </w:rPr>
            </w:pPr>
            <w:r w:rsidRPr="00841766">
              <w:rPr>
                <w:rFonts w:ascii="Calibri" w:hAnsi="Calibri" w:cs="Calibri"/>
                <w:b/>
                <w:color w:val="FFFFFF"/>
                <w:sz w:val="26"/>
                <w:szCs w:val="26"/>
                <w:lang w:val="en-US"/>
              </w:rPr>
              <w:t>Indicators</w:t>
            </w:r>
          </w:p>
        </w:tc>
        <w:tc>
          <w:tcPr>
            <w:tcW w:w="4229" w:type="dxa"/>
            <w:shd w:val="clear" w:color="auto" w:fill="000000" w:themeFill="text1"/>
          </w:tcPr>
          <w:p w14:paraId="5EADF5FA" w14:textId="77777777" w:rsidR="003A41BE" w:rsidRPr="00841766" w:rsidRDefault="003A41BE" w:rsidP="00FD44CE">
            <w:pPr>
              <w:rPr>
                <w:rFonts w:ascii="Calibri" w:hAnsi="Calibri" w:cs="Calibri"/>
                <w:b/>
                <w:color w:val="FFFFFF"/>
                <w:sz w:val="26"/>
                <w:szCs w:val="26"/>
                <w:lang w:val="en-US"/>
              </w:rPr>
            </w:pPr>
            <w:r w:rsidRPr="00841766">
              <w:rPr>
                <w:rFonts w:ascii="Calibri" w:hAnsi="Calibri" w:cs="Calibri"/>
                <w:b/>
                <w:color w:val="FFFFFF"/>
                <w:sz w:val="26"/>
                <w:szCs w:val="26"/>
                <w:lang w:val="en-US"/>
              </w:rPr>
              <w:t>Partners</w:t>
            </w:r>
          </w:p>
        </w:tc>
      </w:tr>
      <w:tr w:rsidR="003A41BE" w:rsidRPr="006444BA" w14:paraId="541D3A08" w14:textId="77777777" w:rsidTr="00FD44CE">
        <w:trPr>
          <w:trHeight w:val="258"/>
        </w:trPr>
        <w:tc>
          <w:tcPr>
            <w:tcW w:w="4701" w:type="dxa"/>
            <w:vMerge w:val="restart"/>
            <w:shd w:val="clear" w:color="auto" w:fill="8EAADB" w:themeFill="accent1" w:themeFillTint="99"/>
          </w:tcPr>
          <w:p w14:paraId="04E5E502" w14:textId="77777777" w:rsidR="003A41BE" w:rsidRPr="00841766" w:rsidRDefault="003A41BE" w:rsidP="00FD44CE">
            <w:pPr>
              <w:jc w:val="both"/>
              <w:rPr>
                <w:rFonts w:ascii="Calibri" w:hAnsi="Calibri" w:cs="Calibri"/>
                <w:b/>
                <w:color w:val="000000"/>
                <w:sz w:val="22"/>
                <w:szCs w:val="22"/>
                <w:lang w:val="en-US"/>
              </w:rPr>
            </w:pPr>
            <w:r w:rsidRPr="00841766">
              <w:rPr>
                <w:rFonts w:ascii="Calibri" w:hAnsi="Calibri" w:cs="Calibri"/>
                <w:b/>
                <w:color w:val="000000"/>
                <w:sz w:val="22"/>
                <w:szCs w:val="22"/>
                <w:lang w:val="en-US"/>
              </w:rPr>
              <w:t xml:space="preserve">Sub-Outcome 1.1: </w:t>
            </w:r>
          </w:p>
          <w:p w14:paraId="028F3687" w14:textId="77777777" w:rsidR="003A41BE" w:rsidRPr="00841766" w:rsidRDefault="003A41BE" w:rsidP="00FD44CE">
            <w:pPr>
              <w:jc w:val="both"/>
              <w:rPr>
                <w:rFonts w:ascii="Calibri" w:hAnsi="Calibri" w:cs="Calibri"/>
                <w:b/>
                <w:color w:val="000000"/>
                <w:sz w:val="22"/>
                <w:szCs w:val="22"/>
                <w:lang w:val="en-US"/>
              </w:rPr>
            </w:pPr>
          </w:p>
          <w:p w14:paraId="4B2B8061" w14:textId="77777777" w:rsidR="003A41BE" w:rsidRPr="00841766" w:rsidRDefault="003A41BE" w:rsidP="00FD44CE">
            <w:pPr>
              <w:jc w:val="both"/>
              <w:rPr>
                <w:rFonts w:ascii="Calibri" w:hAnsi="Calibri" w:cs="Calibri"/>
                <w:b/>
                <w:color w:val="000000"/>
                <w:sz w:val="22"/>
                <w:szCs w:val="22"/>
                <w:lang w:val="en-US"/>
              </w:rPr>
            </w:pPr>
            <w:r w:rsidRPr="00841766">
              <w:rPr>
                <w:rFonts w:ascii="Calibri" w:hAnsi="Calibri" w:cs="Calibri"/>
                <w:b/>
                <w:color w:val="000000"/>
                <w:sz w:val="22"/>
                <w:szCs w:val="22"/>
                <w:lang w:val="en-US"/>
              </w:rPr>
              <w:t>Nutrition</w:t>
            </w:r>
            <w:r>
              <w:rPr>
                <w:rFonts w:ascii="Calibri" w:hAnsi="Calibri" w:cs="Calibri"/>
                <w:b/>
                <w:color w:val="000000"/>
                <w:sz w:val="22"/>
                <w:szCs w:val="22"/>
                <w:lang w:val="en-US"/>
              </w:rPr>
              <w:t xml:space="preserve">, </w:t>
            </w:r>
            <w:r w:rsidRPr="00841766">
              <w:rPr>
                <w:rFonts w:ascii="Calibri" w:hAnsi="Calibri" w:cs="Calibri"/>
                <w:b/>
                <w:color w:val="000000"/>
                <w:sz w:val="22"/>
                <w:szCs w:val="22"/>
                <w:lang w:val="en-US"/>
              </w:rPr>
              <w:t>access to water and sanitation</w:t>
            </w:r>
          </w:p>
          <w:p w14:paraId="5EE8F0F1" w14:textId="77777777" w:rsidR="003A41BE" w:rsidRPr="00841766" w:rsidRDefault="003A41BE" w:rsidP="00FD44CE">
            <w:pPr>
              <w:rPr>
                <w:rFonts w:ascii="Calibri" w:hAnsi="Calibri" w:cs="Calibri"/>
                <w:sz w:val="22"/>
                <w:szCs w:val="22"/>
                <w:lang w:val="en-US"/>
              </w:rPr>
            </w:pPr>
            <w:r w:rsidRPr="00841766">
              <w:rPr>
                <w:rFonts w:ascii="Calibri" w:hAnsi="Calibri" w:cs="Calibri"/>
                <w:sz w:val="22"/>
                <w:szCs w:val="22"/>
                <w:lang w:val="en-US"/>
              </w:rPr>
              <w:t>By 2025, access to quality nutrition services in particular for adolescents, women of reproductive age and children under five years old (incl. life-saving interventions, micronutrients supplementation, social protection programmes, infant and young child feeding, in particular breastfeeding), and hygiene, water and sanitation services for all has improved significantly and sustainably.</w:t>
            </w:r>
          </w:p>
        </w:tc>
        <w:tc>
          <w:tcPr>
            <w:tcW w:w="5528" w:type="dxa"/>
            <w:shd w:val="clear" w:color="auto" w:fill="D9D9D9" w:themeFill="background1" w:themeFillShade="D9"/>
          </w:tcPr>
          <w:p w14:paraId="29702704" w14:textId="77777777" w:rsidR="003A41BE" w:rsidRDefault="003A41BE" w:rsidP="00FD44CE">
            <w:pPr>
              <w:autoSpaceDE w:val="0"/>
              <w:autoSpaceDN w:val="0"/>
              <w:adjustRightInd w:val="0"/>
              <w:rPr>
                <w:rFonts w:ascii="Calibri" w:hAnsi="Calibri" w:cs="Calibri"/>
                <w:sz w:val="22"/>
                <w:szCs w:val="22"/>
                <w:lang w:val="en-US"/>
              </w:rPr>
            </w:pPr>
            <w:r w:rsidRPr="00841766">
              <w:rPr>
                <w:rFonts w:ascii="Calibri" w:hAnsi="Calibri" w:cs="Calibri"/>
                <w:b/>
                <w:sz w:val="22"/>
                <w:szCs w:val="22"/>
                <w:lang w:val="en-US"/>
              </w:rPr>
              <w:t xml:space="preserve">Indicator 1.1.1: </w:t>
            </w:r>
            <w:r w:rsidRPr="00841766">
              <w:rPr>
                <w:rFonts w:ascii="Calibri" w:hAnsi="Calibri" w:cs="Calibri"/>
                <w:sz w:val="22"/>
                <w:szCs w:val="22"/>
                <w:lang w:val="en-US"/>
              </w:rPr>
              <w:t>Min Dietary Diversity disaggregated by age and sex</w:t>
            </w:r>
          </w:p>
          <w:tbl>
            <w:tblPr>
              <w:tblStyle w:val="TableGrid"/>
              <w:tblW w:w="5194" w:type="dxa"/>
              <w:tblLayout w:type="fixed"/>
              <w:tblLook w:val="04A0" w:firstRow="1" w:lastRow="0" w:firstColumn="1" w:lastColumn="0" w:noHBand="0" w:noVBand="1"/>
            </w:tblPr>
            <w:tblGrid>
              <w:gridCol w:w="1774"/>
              <w:gridCol w:w="1620"/>
              <w:gridCol w:w="1800"/>
            </w:tblGrid>
            <w:tr w:rsidR="003A41BE" w14:paraId="72197E7E" w14:textId="77777777" w:rsidTr="00FD44CE">
              <w:trPr>
                <w:trHeight w:val="377"/>
              </w:trPr>
              <w:tc>
                <w:tcPr>
                  <w:tcW w:w="1774" w:type="dxa"/>
                </w:tcPr>
                <w:p w14:paraId="4E9599A5" w14:textId="77777777" w:rsidR="003A41BE" w:rsidRDefault="003A41BE" w:rsidP="00FD44CE">
                  <w:pPr>
                    <w:autoSpaceDE w:val="0"/>
                    <w:autoSpaceDN w:val="0"/>
                    <w:adjustRightInd w:val="0"/>
                    <w:rPr>
                      <w:rFonts w:ascii="Calibri" w:hAnsi="Calibri" w:cs="Calibri"/>
                      <w:b/>
                      <w:sz w:val="22"/>
                      <w:szCs w:val="22"/>
                      <w:lang w:val="en-US"/>
                    </w:rPr>
                  </w:pPr>
                </w:p>
              </w:tc>
              <w:tc>
                <w:tcPr>
                  <w:tcW w:w="1620" w:type="dxa"/>
                </w:tcPr>
                <w:p w14:paraId="5C343CEF" w14:textId="77777777" w:rsidR="003A41BE" w:rsidRPr="003F4BC2" w:rsidRDefault="003A41BE" w:rsidP="00FD44CE">
                  <w:pPr>
                    <w:autoSpaceDE w:val="0"/>
                    <w:autoSpaceDN w:val="0"/>
                    <w:adjustRightInd w:val="0"/>
                    <w:jc w:val="center"/>
                    <w:rPr>
                      <w:rFonts w:ascii="Calibri" w:hAnsi="Calibri" w:cs="Calibri"/>
                      <w:bCs/>
                      <w:sz w:val="22"/>
                      <w:szCs w:val="22"/>
                      <w:lang w:val="en-US"/>
                    </w:rPr>
                  </w:pPr>
                  <w:r w:rsidRPr="003F4BC2">
                    <w:rPr>
                      <w:rFonts w:ascii="Calibri" w:hAnsi="Calibri" w:cs="Calibri"/>
                      <w:bCs/>
                      <w:sz w:val="22"/>
                      <w:szCs w:val="22"/>
                      <w:lang w:val="en-US"/>
                    </w:rPr>
                    <w:t>Baseline</w:t>
                  </w:r>
                </w:p>
              </w:tc>
              <w:tc>
                <w:tcPr>
                  <w:tcW w:w="1800" w:type="dxa"/>
                </w:tcPr>
                <w:p w14:paraId="5B128F8A" w14:textId="77777777" w:rsidR="003A41BE" w:rsidRPr="003F4BC2" w:rsidRDefault="003A41BE" w:rsidP="00FD44CE">
                  <w:pPr>
                    <w:autoSpaceDE w:val="0"/>
                    <w:autoSpaceDN w:val="0"/>
                    <w:adjustRightInd w:val="0"/>
                    <w:jc w:val="center"/>
                    <w:rPr>
                      <w:rFonts w:ascii="Calibri" w:hAnsi="Calibri" w:cs="Calibri"/>
                      <w:bCs/>
                      <w:sz w:val="22"/>
                      <w:szCs w:val="22"/>
                      <w:lang w:val="en-US"/>
                    </w:rPr>
                  </w:pPr>
                  <w:r w:rsidRPr="003F4BC2">
                    <w:rPr>
                      <w:rFonts w:ascii="Calibri" w:hAnsi="Calibri" w:cs="Calibri"/>
                      <w:bCs/>
                      <w:sz w:val="22"/>
                      <w:szCs w:val="22"/>
                      <w:lang w:val="en-US"/>
                    </w:rPr>
                    <w:t>Target</w:t>
                  </w:r>
                </w:p>
              </w:tc>
            </w:tr>
            <w:tr w:rsidR="003A41BE" w14:paraId="6109D737" w14:textId="77777777" w:rsidTr="00FD44CE">
              <w:tc>
                <w:tcPr>
                  <w:tcW w:w="1774" w:type="dxa"/>
                </w:tcPr>
                <w:p w14:paraId="57168E0D" w14:textId="77777777" w:rsidR="003A41BE" w:rsidRPr="003F4BC2" w:rsidRDefault="003A41BE" w:rsidP="00FD44CE">
                  <w:pPr>
                    <w:autoSpaceDE w:val="0"/>
                    <w:autoSpaceDN w:val="0"/>
                    <w:adjustRightInd w:val="0"/>
                    <w:jc w:val="center"/>
                    <w:rPr>
                      <w:rFonts w:ascii="Calibri" w:hAnsi="Calibri" w:cs="Calibri"/>
                      <w:bCs/>
                      <w:sz w:val="22"/>
                      <w:szCs w:val="22"/>
                      <w:lang w:val="en-US"/>
                    </w:rPr>
                  </w:pPr>
                  <w:r w:rsidRPr="001C0101">
                    <w:rPr>
                      <w:rFonts w:ascii="Calibri" w:hAnsi="Calibri" w:cs="Calibri"/>
                      <w:bCs/>
                      <w:sz w:val="22"/>
                      <w:szCs w:val="22"/>
                      <w:lang w:val="en-US"/>
                    </w:rPr>
                    <w:t>MDD Women of Reproductive Age (WRA)</w:t>
                  </w:r>
                </w:p>
              </w:tc>
              <w:tc>
                <w:tcPr>
                  <w:tcW w:w="1620" w:type="dxa"/>
                </w:tcPr>
                <w:p w14:paraId="17546051" w14:textId="77777777" w:rsidR="003A41BE" w:rsidRPr="003F4BC2" w:rsidRDefault="003A41BE" w:rsidP="00FD44CE">
                  <w:pPr>
                    <w:autoSpaceDE w:val="0"/>
                    <w:autoSpaceDN w:val="0"/>
                    <w:adjustRightInd w:val="0"/>
                    <w:jc w:val="center"/>
                    <w:rPr>
                      <w:rFonts w:ascii="Calibri" w:hAnsi="Calibri" w:cs="Calibri"/>
                      <w:bCs/>
                      <w:sz w:val="22"/>
                      <w:szCs w:val="22"/>
                      <w:lang w:val="en-US"/>
                    </w:rPr>
                  </w:pPr>
                  <w:r>
                    <w:rPr>
                      <w:sz w:val="22"/>
                      <w:szCs w:val="22"/>
                      <w:lang w:val="en-US"/>
                    </w:rPr>
                    <w:t>TLFNS 2020 to provide baseline</w:t>
                  </w:r>
                </w:p>
              </w:tc>
              <w:tc>
                <w:tcPr>
                  <w:tcW w:w="1800" w:type="dxa"/>
                </w:tcPr>
                <w:p w14:paraId="1AFFC3DE" w14:textId="77777777" w:rsidR="003A41BE" w:rsidRPr="003F4BC2" w:rsidRDefault="003A41BE" w:rsidP="00FD44CE">
                  <w:pPr>
                    <w:autoSpaceDE w:val="0"/>
                    <w:autoSpaceDN w:val="0"/>
                    <w:adjustRightInd w:val="0"/>
                    <w:jc w:val="center"/>
                    <w:rPr>
                      <w:rFonts w:ascii="Calibri" w:hAnsi="Calibri" w:cs="Calibri"/>
                      <w:bCs/>
                      <w:sz w:val="22"/>
                      <w:szCs w:val="22"/>
                      <w:lang w:val="en-US"/>
                    </w:rPr>
                  </w:pPr>
                  <w:r>
                    <w:rPr>
                      <w:rFonts w:ascii="Calibri" w:hAnsi="Calibri" w:cs="Calibri"/>
                      <w:bCs/>
                      <w:sz w:val="22"/>
                      <w:szCs w:val="22"/>
                      <w:lang w:val="en-US"/>
                    </w:rPr>
                    <w:t xml:space="preserve">NNS to establish target (under revision) </w:t>
                  </w:r>
                </w:p>
              </w:tc>
            </w:tr>
            <w:tr w:rsidR="003A41BE" w14:paraId="0B8723AE" w14:textId="77777777" w:rsidTr="00FD44CE">
              <w:tc>
                <w:tcPr>
                  <w:tcW w:w="1774" w:type="dxa"/>
                </w:tcPr>
                <w:p w14:paraId="51924254" w14:textId="77777777" w:rsidR="003A41BE" w:rsidRPr="003F4BC2" w:rsidRDefault="003A41BE" w:rsidP="00FD44CE">
                  <w:pPr>
                    <w:autoSpaceDE w:val="0"/>
                    <w:autoSpaceDN w:val="0"/>
                    <w:adjustRightInd w:val="0"/>
                    <w:jc w:val="center"/>
                    <w:rPr>
                      <w:rFonts w:ascii="Calibri" w:hAnsi="Calibri" w:cs="Calibri"/>
                      <w:bCs/>
                      <w:sz w:val="22"/>
                      <w:szCs w:val="22"/>
                      <w:lang w:val="en-US"/>
                    </w:rPr>
                  </w:pPr>
                  <w:r w:rsidRPr="001C0101">
                    <w:rPr>
                      <w:rFonts w:ascii="Calibri" w:hAnsi="Calibri" w:cs="Calibri"/>
                      <w:bCs/>
                      <w:sz w:val="22"/>
                      <w:szCs w:val="22"/>
                      <w:lang w:val="en-US"/>
                    </w:rPr>
                    <w:t>MDD in children 6 to 23 month-old</w:t>
                  </w:r>
                </w:p>
              </w:tc>
              <w:tc>
                <w:tcPr>
                  <w:tcW w:w="1620" w:type="dxa"/>
                </w:tcPr>
                <w:p w14:paraId="73077930" w14:textId="77777777" w:rsidR="003A41BE" w:rsidRPr="003F4BC2" w:rsidRDefault="003A41BE" w:rsidP="00FD44CE">
                  <w:pPr>
                    <w:autoSpaceDE w:val="0"/>
                    <w:autoSpaceDN w:val="0"/>
                    <w:adjustRightInd w:val="0"/>
                    <w:jc w:val="center"/>
                    <w:rPr>
                      <w:rFonts w:ascii="Calibri" w:hAnsi="Calibri" w:cs="Calibri"/>
                      <w:bCs/>
                      <w:sz w:val="22"/>
                      <w:szCs w:val="22"/>
                      <w:lang w:val="en-US"/>
                    </w:rPr>
                  </w:pPr>
                  <w:r w:rsidRPr="003F4BC2">
                    <w:rPr>
                      <w:rFonts w:ascii="Calibri" w:hAnsi="Calibri" w:cs="Calibri"/>
                      <w:bCs/>
                      <w:sz w:val="22"/>
                      <w:szCs w:val="22"/>
                      <w:lang w:val="en-US"/>
                    </w:rPr>
                    <w:t>34%</w:t>
                  </w:r>
                </w:p>
              </w:tc>
              <w:tc>
                <w:tcPr>
                  <w:tcW w:w="1800" w:type="dxa"/>
                </w:tcPr>
                <w:p w14:paraId="00C11D21" w14:textId="77777777" w:rsidR="003A41BE" w:rsidRPr="003F4BC2" w:rsidRDefault="003A41BE" w:rsidP="00FD44CE">
                  <w:pPr>
                    <w:autoSpaceDE w:val="0"/>
                    <w:autoSpaceDN w:val="0"/>
                    <w:adjustRightInd w:val="0"/>
                    <w:jc w:val="center"/>
                    <w:rPr>
                      <w:rFonts w:ascii="Calibri" w:hAnsi="Calibri" w:cs="Calibri"/>
                      <w:bCs/>
                      <w:sz w:val="22"/>
                      <w:szCs w:val="22"/>
                      <w:lang w:val="en-US"/>
                    </w:rPr>
                  </w:pPr>
                  <w:r w:rsidRPr="003F4BC2">
                    <w:rPr>
                      <w:rFonts w:ascii="Calibri" w:hAnsi="Calibri" w:cs="Calibri"/>
                      <w:bCs/>
                      <w:sz w:val="22"/>
                      <w:szCs w:val="22"/>
                      <w:lang w:val="en-US"/>
                    </w:rPr>
                    <w:t>&gt; 50%</w:t>
                  </w:r>
                </w:p>
              </w:tc>
            </w:tr>
          </w:tbl>
          <w:p w14:paraId="5A706F86" w14:textId="77777777" w:rsidR="003A41BE" w:rsidRDefault="003A41BE" w:rsidP="00FD44CE">
            <w:pPr>
              <w:autoSpaceDE w:val="0"/>
              <w:autoSpaceDN w:val="0"/>
              <w:adjustRightInd w:val="0"/>
              <w:rPr>
                <w:rFonts w:ascii="Calibri" w:hAnsi="Calibri" w:cs="Calibri"/>
                <w:sz w:val="22"/>
                <w:szCs w:val="22"/>
                <w:lang w:val="en-US"/>
              </w:rPr>
            </w:pPr>
            <w:r w:rsidRPr="00241A59">
              <w:rPr>
                <w:rFonts w:ascii="Calibri" w:hAnsi="Calibri" w:cs="Calibri"/>
                <w:sz w:val="22"/>
                <w:szCs w:val="22"/>
                <w:lang w:val="en-US"/>
              </w:rPr>
              <w:t>Data Source</w:t>
            </w:r>
            <w:r>
              <w:rPr>
                <w:rFonts w:ascii="Calibri" w:hAnsi="Calibri" w:cs="Calibri"/>
                <w:sz w:val="22"/>
                <w:szCs w:val="22"/>
                <w:lang w:val="en-US"/>
              </w:rPr>
              <w:t xml:space="preserve">: </w:t>
            </w:r>
            <w:r w:rsidRPr="00241A59">
              <w:rPr>
                <w:rFonts w:ascii="Calibri" w:hAnsi="Calibri" w:cs="Calibri"/>
                <w:sz w:val="22"/>
                <w:szCs w:val="22"/>
                <w:lang w:val="en-US"/>
              </w:rPr>
              <w:t>DHS 2016</w:t>
            </w:r>
            <w:r>
              <w:rPr>
                <w:rFonts w:ascii="Calibri" w:hAnsi="Calibri" w:cs="Calibri"/>
                <w:sz w:val="22"/>
                <w:szCs w:val="22"/>
                <w:lang w:val="en-US"/>
              </w:rPr>
              <w:t xml:space="preserve">, </w:t>
            </w:r>
            <w:r w:rsidRPr="00241A59">
              <w:rPr>
                <w:rFonts w:ascii="Calibri" w:hAnsi="Calibri" w:cs="Calibri"/>
                <w:sz w:val="22"/>
                <w:szCs w:val="22"/>
                <w:lang w:val="en-US"/>
              </w:rPr>
              <w:t>TLFNS 2020,</w:t>
            </w:r>
            <w:r>
              <w:rPr>
                <w:rFonts w:ascii="Calibri" w:hAnsi="Calibri" w:cs="Calibri"/>
                <w:sz w:val="22"/>
                <w:szCs w:val="22"/>
                <w:lang w:val="en-US"/>
              </w:rPr>
              <w:t xml:space="preserve"> </w:t>
            </w:r>
            <w:r w:rsidRPr="00241A59">
              <w:rPr>
                <w:rFonts w:ascii="Calibri" w:hAnsi="Calibri" w:cs="Calibri"/>
                <w:sz w:val="22"/>
                <w:szCs w:val="22"/>
                <w:lang w:val="en-US"/>
              </w:rPr>
              <w:t>NNS (2014-2019)</w:t>
            </w:r>
          </w:p>
          <w:p w14:paraId="26735E8E" w14:textId="77777777" w:rsidR="003A41BE" w:rsidRPr="00841766" w:rsidRDefault="003A41BE" w:rsidP="00FD44CE">
            <w:pPr>
              <w:autoSpaceDE w:val="0"/>
              <w:autoSpaceDN w:val="0"/>
              <w:adjustRightInd w:val="0"/>
              <w:rPr>
                <w:rFonts w:ascii="Calibri" w:hAnsi="Calibri" w:cs="Calibri"/>
                <w:sz w:val="22"/>
                <w:szCs w:val="22"/>
                <w:lang w:val="en-US"/>
              </w:rPr>
            </w:pPr>
          </w:p>
        </w:tc>
        <w:tc>
          <w:tcPr>
            <w:tcW w:w="4229" w:type="dxa"/>
            <w:vMerge w:val="restart"/>
          </w:tcPr>
          <w:p w14:paraId="32FF3AEA" w14:textId="77777777" w:rsidR="003A41BE" w:rsidRDefault="003A41BE" w:rsidP="00FD44CE">
            <w:pPr>
              <w:autoSpaceDE w:val="0"/>
              <w:autoSpaceDN w:val="0"/>
              <w:adjustRightInd w:val="0"/>
              <w:rPr>
                <w:rFonts w:ascii="Calibri" w:hAnsi="Calibri" w:cs="Calibri"/>
                <w:sz w:val="22"/>
                <w:szCs w:val="22"/>
                <w:lang w:val="en-US"/>
              </w:rPr>
            </w:pPr>
            <w:r w:rsidRPr="00841766">
              <w:rPr>
                <w:rFonts w:ascii="Calibri" w:hAnsi="Calibri" w:cs="Calibri"/>
                <w:sz w:val="22"/>
                <w:szCs w:val="22"/>
                <w:lang w:val="en-US"/>
              </w:rPr>
              <w:t>M</w:t>
            </w:r>
            <w:r>
              <w:rPr>
                <w:rFonts w:ascii="Calibri" w:hAnsi="Calibri" w:cs="Calibri"/>
                <w:sz w:val="22"/>
                <w:szCs w:val="22"/>
                <w:lang w:val="en-US"/>
              </w:rPr>
              <w:t>inistry of Health,</w:t>
            </w:r>
          </w:p>
          <w:p w14:paraId="0483E7DF" w14:textId="77777777" w:rsidR="003A41BE" w:rsidRDefault="003A41BE" w:rsidP="00FD44CE">
            <w:pPr>
              <w:autoSpaceDE w:val="0"/>
              <w:autoSpaceDN w:val="0"/>
              <w:adjustRightInd w:val="0"/>
              <w:rPr>
                <w:rFonts w:ascii="Calibri" w:hAnsi="Calibri" w:cs="Calibri"/>
                <w:sz w:val="22"/>
                <w:szCs w:val="22"/>
                <w:lang w:val="en-US"/>
              </w:rPr>
            </w:pPr>
            <w:r>
              <w:rPr>
                <w:rFonts w:ascii="Calibri" w:hAnsi="Calibri" w:cs="Calibri"/>
                <w:sz w:val="22"/>
                <w:szCs w:val="22"/>
                <w:lang w:val="en-US"/>
              </w:rPr>
              <w:t>Ministry of Education Youth and Sport</w:t>
            </w:r>
            <w:r w:rsidRPr="00841766">
              <w:rPr>
                <w:rFonts w:ascii="Calibri" w:hAnsi="Calibri" w:cs="Calibri"/>
                <w:sz w:val="22"/>
                <w:szCs w:val="22"/>
                <w:lang w:val="en-US"/>
              </w:rPr>
              <w:t xml:space="preserve"> M</w:t>
            </w:r>
            <w:r>
              <w:rPr>
                <w:rFonts w:ascii="Calibri" w:hAnsi="Calibri" w:cs="Calibri"/>
                <w:sz w:val="22"/>
                <w:szCs w:val="22"/>
                <w:lang w:val="en-US"/>
              </w:rPr>
              <w:t xml:space="preserve">inistry of </w:t>
            </w:r>
            <w:r w:rsidRPr="00841766">
              <w:rPr>
                <w:rFonts w:ascii="Calibri" w:hAnsi="Calibri" w:cs="Calibri"/>
                <w:sz w:val="22"/>
                <w:szCs w:val="22"/>
                <w:lang w:val="en-US"/>
              </w:rPr>
              <w:t>P</w:t>
            </w:r>
            <w:r>
              <w:rPr>
                <w:rFonts w:ascii="Calibri" w:hAnsi="Calibri" w:cs="Calibri"/>
                <w:sz w:val="22"/>
                <w:szCs w:val="22"/>
                <w:lang w:val="en-US"/>
              </w:rPr>
              <w:t xml:space="preserve">ublic </w:t>
            </w:r>
            <w:r w:rsidRPr="00841766">
              <w:rPr>
                <w:rFonts w:ascii="Calibri" w:hAnsi="Calibri" w:cs="Calibri"/>
                <w:sz w:val="22"/>
                <w:szCs w:val="22"/>
                <w:lang w:val="en-US"/>
              </w:rPr>
              <w:t>W</w:t>
            </w:r>
            <w:r>
              <w:rPr>
                <w:rFonts w:ascii="Calibri" w:hAnsi="Calibri" w:cs="Calibri"/>
                <w:sz w:val="22"/>
                <w:szCs w:val="22"/>
                <w:lang w:val="en-US"/>
              </w:rPr>
              <w:t>orks,</w:t>
            </w:r>
          </w:p>
          <w:p w14:paraId="536306B7" w14:textId="77777777" w:rsidR="003A41BE" w:rsidRDefault="003A41BE" w:rsidP="00FD44CE">
            <w:pPr>
              <w:autoSpaceDE w:val="0"/>
              <w:autoSpaceDN w:val="0"/>
              <w:adjustRightInd w:val="0"/>
              <w:rPr>
                <w:rFonts w:ascii="Calibri" w:hAnsi="Calibri" w:cs="Calibri"/>
                <w:sz w:val="22"/>
                <w:szCs w:val="22"/>
                <w:lang w:val="en-US"/>
              </w:rPr>
            </w:pPr>
            <w:r w:rsidRPr="003F4BC2">
              <w:rPr>
                <w:rFonts w:ascii="Calibri" w:hAnsi="Calibri" w:cs="Calibri"/>
                <w:sz w:val="22"/>
                <w:szCs w:val="22"/>
                <w:lang w:val="en-US"/>
              </w:rPr>
              <w:t>Ministry of Social Solidarity and Inclusion</w:t>
            </w:r>
            <w:r>
              <w:rPr>
                <w:rFonts w:ascii="Calibri" w:hAnsi="Calibri" w:cs="Calibri"/>
                <w:sz w:val="22"/>
                <w:szCs w:val="22"/>
                <w:lang w:val="en-US"/>
              </w:rPr>
              <w:t>,</w:t>
            </w:r>
            <w:r w:rsidRPr="00841766">
              <w:rPr>
                <w:rFonts w:ascii="Calibri" w:hAnsi="Calibri" w:cs="Calibri"/>
                <w:sz w:val="22"/>
                <w:szCs w:val="22"/>
                <w:lang w:val="en-US"/>
              </w:rPr>
              <w:t xml:space="preserve"> </w:t>
            </w:r>
            <w:r w:rsidRPr="003F4BC2">
              <w:rPr>
                <w:rFonts w:ascii="Calibri" w:hAnsi="Calibri" w:cs="Calibri"/>
                <w:sz w:val="22"/>
                <w:szCs w:val="22"/>
                <w:lang w:val="en-US"/>
              </w:rPr>
              <w:t>Secretary of State for Equality and Inclusion</w:t>
            </w:r>
          </w:p>
          <w:p w14:paraId="190576DF" w14:textId="77777777" w:rsidR="003A41BE" w:rsidRDefault="003A41BE" w:rsidP="00FD44CE">
            <w:pPr>
              <w:autoSpaceDE w:val="0"/>
              <w:autoSpaceDN w:val="0"/>
              <w:adjustRightInd w:val="0"/>
              <w:rPr>
                <w:rFonts w:ascii="Calibri" w:hAnsi="Calibri" w:cs="Calibri"/>
                <w:sz w:val="22"/>
                <w:szCs w:val="22"/>
                <w:lang w:val="en-US"/>
              </w:rPr>
            </w:pPr>
          </w:p>
          <w:p w14:paraId="01ADFB11" w14:textId="77777777" w:rsidR="003A41BE" w:rsidRPr="00841766" w:rsidRDefault="003A41BE" w:rsidP="00FD44CE">
            <w:pPr>
              <w:autoSpaceDE w:val="0"/>
              <w:autoSpaceDN w:val="0"/>
              <w:adjustRightInd w:val="0"/>
              <w:rPr>
                <w:rFonts w:ascii="Calibri" w:hAnsi="Calibri" w:cs="Calibri"/>
                <w:sz w:val="22"/>
                <w:szCs w:val="22"/>
                <w:lang w:val="en-US"/>
              </w:rPr>
            </w:pPr>
            <w:r w:rsidRPr="00841766">
              <w:rPr>
                <w:rFonts w:ascii="Calibri" w:hAnsi="Calibri" w:cs="Calibri"/>
                <w:sz w:val="22"/>
                <w:szCs w:val="22"/>
                <w:lang w:val="en-US"/>
              </w:rPr>
              <w:t>FAO, UNESCO, UNFPA, UNICEF</w:t>
            </w:r>
            <w:r>
              <w:rPr>
                <w:rFonts w:ascii="Calibri" w:hAnsi="Calibri" w:cs="Calibri"/>
                <w:sz w:val="22"/>
                <w:szCs w:val="22"/>
                <w:lang w:val="en-US"/>
              </w:rPr>
              <w:t>,</w:t>
            </w:r>
            <w:r w:rsidRPr="00841766">
              <w:rPr>
                <w:rFonts w:ascii="Calibri" w:hAnsi="Calibri" w:cs="Calibri"/>
                <w:sz w:val="22"/>
                <w:szCs w:val="22"/>
                <w:lang w:val="en-US"/>
              </w:rPr>
              <w:t xml:space="preserve"> WFP, WHO </w:t>
            </w:r>
          </w:p>
          <w:p w14:paraId="0A857B8B" w14:textId="77777777" w:rsidR="003A41BE" w:rsidRPr="00841766" w:rsidRDefault="003A41BE" w:rsidP="00FD44CE">
            <w:pPr>
              <w:autoSpaceDE w:val="0"/>
              <w:autoSpaceDN w:val="0"/>
              <w:adjustRightInd w:val="0"/>
              <w:rPr>
                <w:rFonts w:ascii="Calibri" w:hAnsi="Calibri" w:cs="Calibri"/>
                <w:sz w:val="22"/>
                <w:szCs w:val="22"/>
                <w:lang w:val="en-US"/>
              </w:rPr>
            </w:pPr>
          </w:p>
          <w:p w14:paraId="3DE13819" w14:textId="77777777" w:rsidR="003A41BE" w:rsidRPr="00841766" w:rsidRDefault="003A41BE" w:rsidP="00FD44CE">
            <w:pPr>
              <w:autoSpaceDE w:val="0"/>
              <w:autoSpaceDN w:val="0"/>
              <w:adjustRightInd w:val="0"/>
              <w:rPr>
                <w:rFonts w:ascii="Calibri" w:hAnsi="Calibri" w:cs="Calibri"/>
                <w:sz w:val="22"/>
                <w:szCs w:val="22"/>
                <w:lang w:val="en-US"/>
              </w:rPr>
            </w:pPr>
            <w:r w:rsidRPr="00841766">
              <w:rPr>
                <w:rFonts w:ascii="Calibri" w:hAnsi="Calibri" w:cs="Calibri"/>
                <w:sz w:val="22"/>
                <w:szCs w:val="22"/>
                <w:lang w:val="en-US"/>
              </w:rPr>
              <w:t>Civil society</w:t>
            </w:r>
          </w:p>
          <w:p w14:paraId="0431F530" w14:textId="77777777" w:rsidR="003A41BE" w:rsidRPr="00841766" w:rsidRDefault="003A41BE" w:rsidP="00FD44CE">
            <w:pPr>
              <w:autoSpaceDE w:val="0"/>
              <w:autoSpaceDN w:val="0"/>
              <w:adjustRightInd w:val="0"/>
              <w:rPr>
                <w:rFonts w:ascii="Calibri" w:hAnsi="Calibri" w:cs="Calibri"/>
                <w:sz w:val="22"/>
                <w:szCs w:val="22"/>
                <w:lang w:val="en-US"/>
              </w:rPr>
            </w:pPr>
          </w:p>
          <w:p w14:paraId="0B97DC07" w14:textId="77777777" w:rsidR="003A41BE" w:rsidRPr="00841766" w:rsidRDefault="003A41BE" w:rsidP="00FD44CE">
            <w:pPr>
              <w:autoSpaceDE w:val="0"/>
              <w:autoSpaceDN w:val="0"/>
              <w:adjustRightInd w:val="0"/>
              <w:rPr>
                <w:rFonts w:ascii="Calibri" w:hAnsi="Calibri" w:cs="Calibri"/>
                <w:sz w:val="22"/>
                <w:szCs w:val="22"/>
                <w:lang w:val="en-US"/>
              </w:rPr>
            </w:pPr>
            <w:r w:rsidRPr="00841766">
              <w:rPr>
                <w:rFonts w:ascii="Calibri" w:hAnsi="Calibri" w:cs="Calibri"/>
                <w:sz w:val="22"/>
                <w:szCs w:val="22"/>
                <w:lang w:val="en-US"/>
              </w:rPr>
              <w:t>Private sector</w:t>
            </w:r>
          </w:p>
          <w:p w14:paraId="5BE0A4C0" w14:textId="77777777" w:rsidR="003A41BE" w:rsidRPr="00841766" w:rsidRDefault="003A41BE" w:rsidP="00FD44CE">
            <w:pPr>
              <w:autoSpaceDE w:val="0"/>
              <w:autoSpaceDN w:val="0"/>
              <w:adjustRightInd w:val="0"/>
              <w:rPr>
                <w:rFonts w:ascii="Calibri" w:hAnsi="Calibri" w:cs="Calibri"/>
                <w:sz w:val="22"/>
                <w:szCs w:val="22"/>
                <w:lang w:val="en-US"/>
              </w:rPr>
            </w:pPr>
          </w:p>
        </w:tc>
      </w:tr>
      <w:tr w:rsidR="003A41BE" w:rsidRPr="00841766" w14:paraId="6EB421F2" w14:textId="77777777" w:rsidTr="00FD44CE">
        <w:trPr>
          <w:trHeight w:val="1874"/>
        </w:trPr>
        <w:tc>
          <w:tcPr>
            <w:tcW w:w="4701" w:type="dxa"/>
            <w:vMerge/>
            <w:shd w:val="clear" w:color="auto" w:fill="8EAADB" w:themeFill="accent1" w:themeFillTint="99"/>
          </w:tcPr>
          <w:p w14:paraId="00482E69" w14:textId="77777777" w:rsidR="003A41BE" w:rsidRPr="00841766" w:rsidRDefault="003A41BE" w:rsidP="00FD44CE">
            <w:pPr>
              <w:jc w:val="both"/>
              <w:rPr>
                <w:rFonts w:ascii="Calibri" w:hAnsi="Calibri" w:cs="Calibri"/>
                <w:b/>
                <w:color w:val="000000"/>
                <w:sz w:val="22"/>
                <w:szCs w:val="22"/>
                <w:lang w:val="en-US"/>
              </w:rPr>
            </w:pPr>
          </w:p>
        </w:tc>
        <w:tc>
          <w:tcPr>
            <w:tcW w:w="5528" w:type="dxa"/>
            <w:shd w:val="clear" w:color="auto" w:fill="D9D9D9" w:themeFill="background1" w:themeFillShade="D9"/>
          </w:tcPr>
          <w:p w14:paraId="6C291C07" w14:textId="77777777" w:rsidR="003A41BE" w:rsidRDefault="003A41BE" w:rsidP="00FD44CE">
            <w:pPr>
              <w:autoSpaceDE w:val="0"/>
              <w:autoSpaceDN w:val="0"/>
              <w:adjustRightInd w:val="0"/>
              <w:rPr>
                <w:rFonts w:ascii="Calibri" w:hAnsi="Calibri" w:cs="Calibri"/>
                <w:sz w:val="22"/>
                <w:szCs w:val="22"/>
                <w:lang w:val="en-US"/>
              </w:rPr>
            </w:pPr>
            <w:r w:rsidRPr="00841766">
              <w:rPr>
                <w:rFonts w:ascii="Calibri" w:hAnsi="Calibri" w:cs="Calibri"/>
                <w:b/>
                <w:sz w:val="22"/>
                <w:szCs w:val="22"/>
                <w:lang w:val="en-US"/>
              </w:rPr>
              <w:t>Indicator 1.1.2:</w:t>
            </w:r>
            <w:r w:rsidRPr="00841766">
              <w:rPr>
                <w:rFonts w:ascii="Calibri" w:hAnsi="Calibri" w:cs="Calibri"/>
                <w:sz w:val="22"/>
                <w:szCs w:val="22"/>
                <w:lang w:val="en-US"/>
              </w:rPr>
              <w:t xml:space="preserve"> Breastfeeding rate (early initiation and exclusive until 6 month</w:t>
            </w:r>
            <w:r>
              <w:rPr>
                <w:rFonts w:ascii="Calibri" w:hAnsi="Calibri" w:cs="Calibri"/>
                <w:sz w:val="22"/>
                <w:szCs w:val="22"/>
                <w:lang w:val="en-US"/>
              </w:rPr>
              <w:t>s</w:t>
            </w:r>
            <w:r w:rsidRPr="00841766">
              <w:rPr>
                <w:rFonts w:ascii="Calibri" w:hAnsi="Calibri" w:cs="Calibri"/>
                <w:sz w:val="22"/>
                <w:szCs w:val="22"/>
                <w:lang w:val="en-US"/>
              </w:rPr>
              <w:t>)</w:t>
            </w:r>
          </w:p>
          <w:tbl>
            <w:tblPr>
              <w:tblStyle w:val="TableGrid"/>
              <w:tblW w:w="4840" w:type="dxa"/>
              <w:tblLayout w:type="fixed"/>
              <w:tblLook w:val="04A0" w:firstRow="1" w:lastRow="0" w:firstColumn="1" w:lastColumn="0" w:noHBand="0" w:noVBand="1"/>
            </w:tblPr>
            <w:tblGrid>
              <w:gridCol w:w="2410"/>
              <w:gridCol w:w="1170"/>
              <w:gridCol w:w="1260"/>
            </w:tblGrid>
            <w:tr w:rsidR="003A41BE" w:rsidRPr="00DA2276" w14:paraId="4BD2C8AB" w14:textId="77777777" w:rsidTr="00FD44CE">
              <w:tc>
                <w:tcPr>
                  <w:tcW w:w="2410" w:type="dxa"/>
                </w:tcPr>
                <w:p w14:paraId="002526FE" w14:textId="77777777" w:rsidR="003A41BE" w:rsidRDefault="003A41BE" w:rsidP="00FD44CE">
                  <w:pPr>
                    <w:autoSpaceDE w:val="0"/>
                    <w:autoSpaceDN w:val="0"/>
                    <w:adjustRightInd w:val="0"/>
                    <w:rPr>
                      <w:rFonts w:ascii="Calibri" w:hAnsi="Calibri" w:cs="Calibri"/>
                      <w:b/>
                      <w:sz w:val="22"/>
                      <w:szCs w:val="22"/>
                      <w:lang w:val="en-US"/>
                    </w:rPr>
                  </w:pPr>
                </w:p>
              </w:tc>
              <w:tc>
                <w:tcPr>
                  <w:tcW w:w="1170" w:type="dxa"/>
                </w:tcPr>
                <w:p w14:paraId="2C559619" w14:textId="77777777" w:rsidR="003A41BE" w:rsidRPr="00DA2276" w:rsidRDefault="003A41BE" w:rsidP="00FD44CE">
                  <w:pPr>
                    <w:autoSpaceDE w:val="0"/>
                    <w:autoSpaceDN w:val="0"/>
                    <w:adjustRightInd w:val="0"/>
                    <w:jc w:val="center"/>
                    <w:rPr>
                      <w:rFonts w:ascii="Calibri" w:hAnsi="Calibri" w:cs="Calibri"/>
                      <w:bCs/>
                      <w:sz w:val="22"/>
                      <w:szCs w:val="22"/>
                      <w:lang w:val="en-US"/>
                    </w:rPr>
                  </w:pPr>
                  <w:r w:rsidRPr="00DA2276">
                    <w:rPr>
                      <w:rFonts w:ascii="Calibri" w:hAnsi="Calibri" w:cs="Calibri"/>
                      <w:bCs/>
                      <w:sz w:val="22"/>
                      <w:szCs w:val="22"/>
                      <w:lang w:val="en-US"/>
                    </w:rPr>
                    <w:t>Baseline</w:t>
                  </w:r>
                </w:p>
              </w:tc>
              <w:tc>
                <w:tcPr>
                  <w:tcW w:w="1260" w:type="dxa"/>
                </w:tcPr>
                <w:p w14:paraId="6A6BFCEC" w14:textId="77777777" w:rsidR="003A41BE" w:rsidRPr="00DA2276" w:rsidRDefault="003A41BE" w:rsidP="00FD44CE">
                  <w:pPr>
                    <w:autoSpaceDE w:val="0"/>
                    <w:autoSpaceDN w:val="0"/>
                    <w:adjustRightInd w:val="0"/>
                    <w:jc w:val="center"/>
                    <w:rPr>
                      <w:rFonts w:ascii="Calibri" w:hAnsi="Calibri" w:cs="Calibri"/>
                      <w:bCs/>
                      <w:sz w:val="22"/>
                      <w:szCs w:val="22"/>
                      <w:lang w:val="en-US"/>
                    </w:rPr>
                  </w:pPr>
                  <w:r w:rsidRPr="00DA2276">
                    <w:rPr>
                      <w:rFonts w:ascii="Calibri" w:hAnsi="Calibri" w:cs="Calibri"/>
                      <w:bCs/>
                      <w:sz w:val="22"/>
                      <w:szCs w:val="22"/>
                      <w:lang w:val="en-US"/>
                    </w:rPr>
                    <w:t>Target</w:t>
                  </w:r>
                </w:p>
              </w:tc>
            </w:tr>
            <w:tr w:rsidR="003A41BE" w:rsidRPr="00DA2276" w14:paraId="1AB233AD" w14:textId="77777777" w:rsidTr="00FD44CE">
              <w:tc>
                <w:tcPr>
                  <w:tcW w:w="2410" w:type="dxa"/>
                </w:tcPr>
                <w:p w14:paraId="70692747" w14:textId="77777777" w:rsidR="003A41BE" w:rsidRPr="00DA2276" w:rsidRDefault="003A41BE" w:rsidP="00FD44CE">
                  <w:pPr>
                    <w:autoSpaceDE w:val="0"/>
                    <w:autoSpaceDN w:val="0"/>
                    <w:adjustRightInd w:val="0"/>
                    <w:jc w:val="center"/>
                    <w:rPr>
                      <w:rFonts w:ascii="Calibri" w:hAnsi="Calibri" w:cs="Calibri"/>
                      <w:bCs/>
                      <w:sz w:val="22"/>
                      <w:szCs w:val="22"/>
                      <w:lang w:val="en-US"/>
                    </w:rPr>
                  </w:pPr>
                  <w:r>
                    <w:rPr>
                      <w:rFonts w:ascii="Calibri" w:hAnsi="Calibri" w:cs="Calibri"/>
                      <w:sz w:val="22"/>
                      <w:szCs w:val="22"/>
                      <w:lang w:val="en-US"/>
                    </w:rPr>
                    <w:t>Early initiation</w:t>
                  </w:r>
                </w:p>
              </w:tc>
              <w:tc>
                <w:tcPr>
                  <w:tcW w:w="1170" w:type="dxa"/>
                </w:tcPr>
                <w:p w14:paraId="0D14C2DC" w14:textId="77777777" w:rsidR="003A41BE" w:rsidRPr="00DA2276" w:rsidRDefault="003A41BE" w:rsidP="00FD44CE">
                  <w:pPr>
                    <w:autoSpaceDE w:val="0"/>
                    <w:autoSpaceDN w:val="0"/>
                    <w:adjustRightInd w:val="0"/>
                    <w:jc w:val="center"/>
                    <w:rPr>
                      <w:rFonts w:ascii="Calibri" w:hAnsi="Calibri" w:cs="Calibri"/>
                      <w:bCs/>
                      <w:sz w:val="22"/>
                      <w:szCs w:val="22"/>
                      <w:lang w:val="en-US"/>
                    </w:rPr>
                  </w:pPr>
                  <w:r>
                    <w:rPr>
                      <w:rFonts w:ascii="Calibri" w:hAnsi="Calibri" w:cs="Calibri"/>
                      <w:bCs/>
                      <w:sz w:val="22"/>
                      <w:szCs w:val="22"/>
                      <w:lang w:val="en-US"/>
                    </w:rPr>
                    <w:t>75 %</w:t>
                  </w:r>
                </w:p>
              </w:tc>
              <w:tc>
                <w:tcPr>
                  <w:tcW w:w="1260" w:type="dxa"/>
                </w:tcPr>
                <w:p w14:paraId="70843355" w14:textId="77777777" w:rsidR="003A41BE" w:rsidRPr="00DA2276" w:rsidRDefault="003A41BE" w:rsidP="00FD44CE">
                  <w:pPr>
                    <w:autoSpaceDE w:val="0"/>
                    <w:autoSpaceDN w:val="0"/>
                    <w:adjustRightInd w:val="0"/>
                    <w:jc w:val="center"/>
                    <w:rPr>
                      <w:rFonts w:ascii="Calibri" w:hAnsi="Calibri" w:cs="Calibri"/>
                      <w:bCs/>
                      <w:sz w:val="22"/>
                      <w:szCs w:val="22"/>
                      <w:lang w:val="en-US"/>
                    </w:rPr>
                  </w:pPr>
                  <w:r w:rsidRPr="003F4BC2">
                    <w:rPr>
                      <w:rFonts w:ascii="Calibri" w:hAnsi="Calibri" w:cs="Calibri"/>
                      <w:bCs/>
                      <w:sz w:val="22"/>
                      <w:szCs w:val="22"/>
                      <w:lang w:val="en-US"/>
                    </w:rPr>
                    <w:t xml:space="preserve">&gt; 93.4% </w:t>
                  </w:r>
                </w:p>
              </w:tc>
            </w:tr>
            <w:tr w:rsidR="003A41BE" w:rsidRPr="00DA2276" w14:paraId="7ECA1907" w14:textId="77777777" w:rsidTr="00FD44CE">
              <w:tc>
                <w:tcPr>
                  <w:tcW w:w="2410" w:type="dxa"/>
                </w:tcPr>
                <w:p w14:paraId="417527A0" w14:textId="77777777" w:rsidR="003A41BE" w:rsidRPr="00DA2276" w:rsidRDefault="003A41BE" w:rsidP="00FD44CE">
                  <w:pPr>
                    <w:autoSpaceDE w:val="0"/>
                    <w:autoSpaceDN w:val="0"/>
                    <w:adjustRightInd w:val="0"/>
                    <w:jc w:val="center"/>
                    <w:rPr>
                      <w:rFonts w:ascii="Calibri" w:hAnsi="Calibri" w:cs="Calibri"/>
                      <w:bCs/>
                      <w:sz w:val="22"/>
                      <w:szCs w:val="22"/>
                      <w:lang w:val="en-US"/>
                    </w:rPr>
                  </w:pPr>
                  <w:r w:rsidRPr="001A2A3C">
                    <w:rPr>
                      <w:rFonts w:ascii="Calibri" w:hAnsi="Calibri" w:cs="Calibri"/>
                      <w:sz w:val="22"/>
                      <w:szCs w:val="22"/>
                      <w:lang w:val="en-US"/>
                    </w:rPr>
                    <w:t>Exclusive until 6 month</w:t>
                  </w:r>
                  <w:r>
                    <w:rPr>
                      <w:rFonts w:ascii="Calibri" w:hAnsi="Calibri" w:cs="Calibri"/>
                      <w:sz w:val="22"/>
                      <w:szCs w:val="22"/>
                      <w:lang w:val="en-US"/>
                    </w:rPr>
                    <w:t>s</w:t>
                  </w:r>
                </w:p>
              </w:tc>
              <w:tc>
                <w:tcPr>
                  <w:tcW w:w="1170" w:type="dxa"/>
                </w:tcPr>
                <w:p w14:paraId="467DEC4F" w14:textId="77777777" w:rsidR="003A41BE" w:rsidRPr="00DA2276" w:rsidRDefault="003A41BE" w:rsidP="00FD44CE">
                  <w:pPr>
                    <w:autoSpaceDE w:val="0"/>
                    <w:autoSpaceDN w:val="0"/>
                    <w:adjustRightInd w:val="0"/>
                    <w:jc w:val="center"/>
                    <w:rPr>
                      <w:rFonts w:ascii="Calibri" w:hAnsi="Calibri" w:cs="Calibri"/>
                      <w:bCs/>
                      <w:sz w:val="22"/>
                      <w:szCs w:val="22"/>
                      <w:lang w:val="en-US"/>
                    </w:rPr>
                  </w:pPr>
                  <w:r>
                    <w:rPr>
                      <w:rFonts w:ascii="Calibri" w:hAnsi="Calibri" w:cs="Calibri"/>
                      <w:bCs/>
                      <w:sz w:val="22"/>
                      <w:szCs w:val="22"/>
                      <w:lang w:val="en-US"/>
                    </w:rPr>
                    <w:t>50 %</w:t>
                  </w:r>
                </w:p>
              </w:tc>
              <w:tc>
                <w:tcPr>
                  <w:tcW w:w="1260" w:type="dxa"/>
                </w:tcPr>
                <w:p w14:paraId="67DF5B9A" w14:textId="77777777" w:rsidR="003A41BE" w:rsidRPr="00DA2276" w:rsidRDefault="003A41BE" w:rsidP="00FD44CE">
                  <w:pPr>
                    <w:autoSpaceDE w:val="0"/>
                    <w:autoSpaceDN w:val="0"/>
                    <w:adjustRightInd w:val="0"/>
                    <w:jc w:val="center"/>
                    <w:rPr>
                      <w:rFonts w:ascii="Calibri" w:hAnsi="Calibri" w:cs="Calibri"/>
                      <w:bCs/>
                      <w:sz w:val="22"/>
                      <w:szCs w:val="22"/>
                      <w:lang w:val="en-US"/>
                    </w:rPr>
                  </w:pPr>
                  <w:r w:rsidRPr="003F4BC2">
                    <w:rPr>
                      <w:rFonts w:ascii="Calibri" w:hAnsi="Calibri" w:cs="Calibri"/>
                      <w:bCs/>
                      <w:sz w:val="22"/>
                      <w:szCs w:val="22"/>
                      <w:lang w:val="en-US"/>
                    </w:rPr>
                    <w:t>&gt; 80%</w:t>
                  </w:r>
                </w:p>
              </w:tc>
            </w:tr>
          </w:tbl>
          <w:p w14:paraId="2A2F2BF0" w14:textId="77777777" w:rsidR="003A41BE" w:rsidRDefault="003A41BE" w:rsidP="00FD44CE">
            <w:pPr>
              <w:autoSpaceDE w:val="0"/>
              <w:autoSpaceDN w:val="0"/>
              <w:adjustRightInd w:val="0"/>
              <w:rPr>
                <w:rFonts w:ascii="Calibri" w:hAnsi="Calibri" w:cs="Calibri"/>
                <w:b/>
                <w:sz w:val="22"/>
                <w:szCs w:val="22"/>
                <w:lang w:val="en-US"/>
              </w:rPr>
            </w:pPr>
            <w:r w:rsidRPr="003F4BC2">
              <w:rPr>
                <w:rFonts w:ascii="Calibri" w:hAnsi="Calibri" w:cs="Calibri"/>
                <w:bCs/>
                <w:sz w:val="22"/>
                <w:szCs w:val="22"/>
                <w:lang w:val="en-US"/>
              </w:rPr>
              <w:t>Data Source: DHS 2016</w:t>
            </w:r>
            <w:r>
              <w:rPr>
                <w:rFonts w:ascii="Calibri" w:hAnsi="Calibri" w:cs="Calibri"/>
                <w:bCs/>
                <w:sz w:val="22"/>
                <w:szCs w:val="22"/>
                <w:lang w:val="en-US"/>
              </w:rPr>
              <w:t>,</w:t>
            </w:r>
            <w:r w:rsidRPr="003F4BC2">
              <w:rPr>
                <w:rFonts w:ascii="Calibri" w:hAnsi="Calibri" w:cs="Calibri"/>
                <w:bCs/>
                <w:sz w:val="22"/>
                <w:szCs w:val="22"/>
                <w:lang w:val="en-US"/>
              </w:rPr>
              <w:t xml:space="preserve"> NNS 2014-2019</w:t>
            </w:r>
          </w:p>
          <w:p w14:paraId="6EB55C8B" w14:textId="77777777" w:rsidR="003A41BE" w:rsidRPr="00841766" w:rsidRDefault="003A41BE" w:rsidP="00FD44CE">
            <w:pPr>
              <w:autoSpaceDE w:val="0"/>
              <w:autoSpaceDN w:val="0"/>
              <w:adjustRightInd w:val="0"/>
              <w:rPr>
                <w:rFonts w:ascii="Calibri" w:hAnsi="Calibri" w:cs="Calibri"/>
                <w:b/>
                <w:sz w:val="22"/>
                <w:szCs w:val="22"/>
                <w:lang w:val="en-US"/>
              </w:rPr>
            </w:pPr>
          </w:p>
        </w:tc>
        <w:tc>
          <w:tcPr>
            <w:tcW w:w="4229" w:type="dxa"/>
            <w:vMerge/>
          </w:tcPr>
          <w:p w14:paraId="3EAC2FD7" w14:textId="77777777" w:rsidR="003A41BE" w:rsidRPr="00841766" w:rsidRDefault="003A41BE" w:rsidP="00FD44CE">
            <w:pPr>
              <w:autoSpaceDE w:val="0"/>
              <w:autoSpaceDN w:val="0"/>
              <w:adjustRightInd w:val="0"/>
              <w:rPr>
                <w:rFonts w:ascii="Calibri" w:hAnsi="Calibri" w:cs="Calibri"/>
                <w:sz w:val="22"/>
                <w:szCs w:val="22"/>
                <w:lang w:val="en-US"/>
              </w:rPr>
            </w:pPr>
          </w:p>
        </w:tc>
      </w:tr>
      <w:tr w:rsidR="003A41BE" w:rsidRPr="00841766" w14:paraId="7273703D" w14:textId="77777777" w:rsidTr="00F001ED">
        <w:trPr>
          <w:trHeight w:val="256"/>
        </w:trPr>
        <w:tc>
          <w:tcPr>
            <w:tcW w:w="4701" w:type="dxa"/>
            <w:vMerge/>
            <w:shd w:val="clear" w:color="auto" w:fill="8EAADB" w:themeFill="accent1" w:themeFillTint="99"/>
          </w:tcPr>
          <w:p w14:paraId="0F872EC3" w14:textId="77777777" w:rsidR="003A41BE" w:rsidRPr="00841766" w:rsidRDefault="003A41BE" w:rsidP="00FD44CE">
            <w:pPr>
              <w:jc w:val="both"/>
              <w:rPr>
                <w:rFonts w:ascii="Calibri" w:hAnsi="Calibri" w:cs="Calibri"/>
                <w:b/>
                <w:color w:val="000000"/>
                <w:sz w:val="22"/>
                <w:szCs w:val="22"/>
                <w:lang w:val="en-US"/>
              </w:rPr>
            </w:pPr>
          </w:p>
        </w:tc>
        <w:tc>
          <w:tcPr>
            <w:tcW w:w="5528" w:type="dxa"/>
            <w:shd w:val="clear" w:color="auto" w:fill="E7E6E6" w:themeFill="background2"/>
          </w:tcPr>
          <w:p w14:paraId="5A49C904" w14:textId="77777777" w:rsidR="003A41BE" w:rsidRPr="002C03EB" w:rsidRDefault="003A41BE" w:rsidP="00FD44CE">
            <w:pPr>
              <w:autoSpaceDE w:val="0"/>
              <w:autoSpaceDN w:val="0"/>
              <w:adjustRightInd w:val="0"/>
              <w:rPr>
                <w:rFonts w:ascii="Calibri" w:hAnsi="Calibri" w:cs="Calibri"/>
                <w:sz w:val="22"/>
                <w:szCs w:val="22"/>
                <w:lang w:val="en-US"/>
              </w:rPr>
            </w:pPr>
            <w:r w:rsidRPr="002C03EB">
              <w:rPr>
                <w:rFonts w:ascii="Calibri" w:hAnsi="Calibri" w:cs="Calibri"/>
                <w:b/>
                <w:sz w:val="22"/>
                <w:szCs w:val="22"/>
                <w:lang w:val="en-US"/>
              </w:rPr>
              <w:t xml:space="preserve">Indicator 1.1.3: </w:t>
            </w:r>
            <w:r w:rsidRPr="002C03EB">
              <w:rPr>
                <w:rFonts w:ascii="Calibri" w:hAnsi="Calibri" w:cs="Calibri"/>
                <w:sz w:val="22"/>
                <w:szCs w:val="22"/>
                <w:lang w:val="en-US"/>
              </w:rPr>
              <w:t>Proportion of households using safely managed drinking water (SDG 6.1.1)</w:t>
            </w:r>
          </w:p>
          <w:tbl>
            <w:tblPr>
              <w:tblStyle w:val="TableGrid"/>
              <w:tblW w:w="0" w:type="auto"/>
              <w:tblLayout w:type="fixed"/>
              <w:tblLook w:val="04A0" w:firstRow="1" w:lastRow="0" w:firstColumn="1" w:lastColumn="0" w:noHBand="0" w:noVBand="1"/>
            </w:tblPr>
            <w:tblGrid>
              <w:gridCol w:w="3405"/>
              <w:gridCol w:w="1768"/>
            </w:tblGrid>
            <w:tr w:rsidR="003A41BE" w:rsidRPr="002C03EB" w14:paraId="7D4FE495" w14:textId="77777777" w:rsidTr="00FD44CE">
              <w:tc>
                <w:tcPr>
                  <w:tcW w:w="3405" w:type="dxa"/>
                </w:tcPr>
                <w:p w14:paraId="5BB175AB" w14:textId="77777777" w:rsidR="003A41BE" w:rsidRPr="002C03EB" w:rsidRDefault="003A41BE" w:rsidP="00FD44CE">
                  <w:pPr>
                    <w:autoSpaceDE w:val="0"/>
                    <w:autoSpaceDN w:val="0"/>
                    <w:adjustRightInd w:val="0"/>
                    <w:rPr>
                      <w:rFonts w:ascii="Calibri" w:hAnsi="Calibri" w:cs="Calibri"/>
                      <w:bCs/>
                      <w:sz w:val="22"/>
                      <w:szCs w:val="22"/>
                      <w:lang w:val="en-US"/>
                    </w:rPr>
                  </w:pPr>
                  <w:r w:rsidRPr="002C03EB">
                    <w:rPr>
                      <w:rFonts w:ascii="Calibri" w:hAnsi="Calibri" w:cs="Calibri"/>
                      <w:bCs/>
                      <w:sz w:val="22"/>
                      <w:szCs w:val="22"/>
                      <w:lang w:val="en-US"/>
                    </w:rPr>
                    <w:t xml:space="preserve">Baseline </w:t>
                  </w:r>
                </w:p>
              </w:tc>
              <w:tc>
                <w:tcPr>
                  <w:tcW w:w="1768" w:type="dxa"/>
                </w:tcPr>
                <w:p w14:paraId="41FC0B72" w14:textId="77777777" w:rsidR="003A41BE" w:rsidRPr="002C03EB" w:rsidRDefault="003A41BE" w:rsidP="00FD44CE">
                  <w:pPr>
                    <w:autoSpaceDE w:val="0"/>
                    <w:autoSpaceDN w:val="0"/>
                    <w:adjustRightInd w:val="0"/>
                    <w:rPr>
                      <w:rFonts w:ascii="Calibri" w:hAnsi="Calibri" w:cs="Calibri"/>
                      <w:bCs/>
                      <w:sz w:val="22"/>
                      <w:szCs w:val="22"/>
                      <w:lang w:val="en-US"/>
                    </w:rPr>
                  </w:pPr>
                  <w:r w:rsidRPr="002C03EB">
                    <w:rPr>
                      <w:rFonts w:ascii="Calibri" w:hAnsi="Calibri" w:cs="Calibri"/>
                      <w:bCs/>
                      <w:sz w:val="22"/>
                      <w:szCs w:val="22"/>
                      <w:lang w:val="en-US"/>
                    </w:rPr>
                    <w:t>Target</w:t>
                  </w:r>
                </w:p>
              </w:tc>
            </w:tr>
            <w:tr w:rsidR="003A41BE" w:rsidRPr="002C03EB" w14:paraId="7D0120A8" w14:textId="77777777" w:rsidTr="00FD44CE">
              <w:tc>
                <w:tcPr>
                  <w:tcW w:w="3405" w:type="dxa"/>
                </w:tcPr>
                <w:p w14:paraId="7D0135F7" w14:textId="77777777" w:rsidR="003A41BE" w:rsidRPr="002C03EB" w:rsidRDefault="003A41BE" w:rsidP="00FD44CE">
                  <w:pPr>
                    <w:autoSpaceDE w:val="0"/>
                    <w:autoSpaceDN w:val="0"/>
                    <w:adjustRightInd w:val="0"/>
                    <w:rPr>
                      <w:rFonts w:ascii="Calibri" w:hAnsi="Calibri" w:cs="Calibri"/>
                      <w:bCs/>
                      <w:sz w:val="22"/>
                      <w:szCs w:val="22"/>
                      <w:lang w:val="en-US"/>
                    </w:rPr>
                  </w:pPr>
                  <w:r w:rsidRPr="002C03EB">
                    <w:rPr>
                      <w:rFonts w:ascii="Calibri" w:hAnsi="Calibri" w:cs="Calibri"/>
                      <w:bCs/>
                      <w:sz w:val="22"/>
                      <w:szCs w:val="22"/>
                      <w:lang w:val="en-US"/>
                    </w:rPr>
                    <w:t xml:space="preserve">Not yet assessed, area for further research/data collection </w:t>
                  </w:r>
                </w:p>
              </w:tc>
              <w:tc>
                <w:tcPr>
                  <w:tcW w:w="1768" w:type="dxa"/>
                </w:tcPr>
                <w:p w14:paraId="32803F17" w14:textId="77777777" w:rsidR="003A41BE" w:rsidRPr="002C03EB" w:rsidRDefault="003A41BE" w:rsidP="00FD44CE">
                  <w:pPr>
                    <w:autoSpaceDE w:val="0"/>
                    <w:autoSpaceDN w:val="0"/>
                    <w:adjustRightInd w:val="0"/>
                    <w:rPr>
                      <w:rFonts w:ascii="Calibri" w:hAnsi="Calibri" w:cs="Calibri"/>
                      <w:bCs/>
                      <w:sz w:val="22"/>
                      <w:szCs w:val="22"/>
                      <w:lang w:val="en-US"/>
                    </w:rPr>
                  </w:pPr>
                  <w:r w:rsidRPr="002C03EB">
                    <w:rPr>
                      <w:rFonts w:ascii="Calibri" w:hAnsi="Calibri" w:cs="Calibri"/>
                      <w:bCs/>
                      <w:sz w:val="22"/>
                      <w:szCs w:val="22"/>
                      <w:lang w:val="en-US"/>
                    </w:rPr>
                    <w:t>Under discussion with relevant partners</w:t>
                  </w:r>
                </w:p>
              </w:tc>
            </w:tr>
          </w:tbl>
          <w:p w14:paraId="2F4EBBED" w14:textId="77777777" w:rsidR="003A41BE" w:rsidRPr="002C03EB" w:rsidRDefault="003A41BE" w:rsidP="00FD44CE">
            <w:pPr>
              <w:autoSpaceDE w:val="0"/>
              <w:autoSpaceDN w:val="0"/>
              <w:adjustRightInd w:val="0"/>
              <w:rPr>
                <w:rFonts w:ascii="Calibri" w:hAnsi="Calibri" w:cs="Calibri"/>
                <w:sz w:val="22"/>
                <w:szCs w:val="22"/>
                <w:lang w:val="en-US"/>
              </w:rPr>
            </w:pPr>
            <w:r w:rsidRPr="002C03EB">
              <w:rPr>
                <w:rFonts w:ascii="Calibri" w:hAnsi="Calibri" w:cs="Calibri"/>
                <w:bCs/>
                <w:sz w:val="22"/>
                <w:szCs w:val="22"/>
                <w:lang w:val="en-US"/>
              </w:rPr>
              <w:t xml:space="preserve">Note. Baseline study to be conducted upon available resources. Safely managed includes accessibility and quality, defined as water available, always free of harmful microorganisms and priority chemical contamination. </w:t>
            </w:r>
          </w:p>
        </w:tc>
        <w:tc>
          <w:tcPr>
            <w:tcW w:w="4229" w:type="dxa"/>
            <w:vMerge/>
          </w:tcPr>
          <w:p w14:paraId="7A8C4657" w14:textId="77777777" w:rsidR="003A41BE" w:rsidRPr="00841766" w:rsidRDefault="003A41BE" w:rsidP="00FD44CE">
            <w:pPr>
              <w:autoSpaceDE w:val="0"/>
              <w:autoSpaceDN w:val="0"/>
              <w:adjustRightInd w:val="0"/>
              <w:rPr>
                <w:rFonts w:ascii="Calibri" w:hAnsi="Calibri" w:cs="Calibri"/>
                <w:sz w:val="22"/>
                <w:szCs w:val="22"/>
                <w:lang w:val="en-US"/>
              </w:rPr>
            </w:pPr>
          </w:p>
        </w:tc>
      </w:tr>
      <w:tr w:rsidR="003A41BE" w:rsidRPr="00841766" w14:paraId="19723712" w14:textId="77777777" w:rsidTr="00F001ED">
        <w:trPr>
          <w:trHeight w:val="547"/>
        </w:trPr>
        <w:tc>
          <w:tcPr>
            <w:tcW w:w="4701" w:type="dxa"/>
            <w:vMerge/>
            <w:shd w:val="clear" w:color="auto" w:fill="8EAADB" w:themeFill="accent1" w:themeFillTint="99"/>
          </w:tcPr>
          <w:p w14:paraId="51A5BF15" w14:textId="77777777" w:rsidR="003A41BE" w:rsidRPr="00841766" w:rsidRDefault="003A41BE" w:rsidP="00FD44CE">
            <w:pPr>
              <w:jc w:val="both"/>
              <w:rPr>
                <w:rFonts w:ascii="Calibri" w:hAnsi="Calibri" w:cs="Calibri"/>
                <w:b/>
                <w:color w:val="000000"/>
                <w:sz w:val="22"/>
                <w:szCs w:val="22"/>
                <w:lang w:val="en-US"/>
              </w:rPr>
            </w:pPr>
          </w:p>
        </w:tc>
        <w:tc>
          <w:tcPr>
            <w:tcW w:w="5528" w:type="dxa"/>
            <w:shd w:val="clear" w:color="auto" w:fill="E7E6E6" w:themeFill="background2"/>
          </w:tcPr>
          <w:p w14:paraId="5EA06A42" w14:textId="77777777" w:rsidR="003A41BE" w:rsidRPr="002C03EB" w:rsidRDefault="003A41BE" w:rsidP="00FD44CE">
            <w:pPr>
              <w:autoSpaceDE w:val="0"/>
              <w:autoSpaceDN w:val="0"/>
              <w:adjustRightInd w:val="0"/>
              <w:rPr>
                <w:rFonts w:ascii="Calibri" w:hAnsi="Calibri" w:cs="Calibri"/>
                <w:sz w:val="22"/>
                <w:szCs w:val="22"/>
                <w:lang w:val="en-US"/>
              </w:rPr>
            </w:pPr>
            <w:r w:rsidRPr="002C03EB">
              <w:rPr>
                <w:rFonts w:ascii="Calibri" w:hAnsi="Calibri" w:cs="Calibri"/>
                <w:b/>
                <w:sz w:val="22"/>
                <w:szCs w:val="22"/>
                <w:lang w:val="en-US"/>
              </w:rPr>
              <w:t xml:space="preserve">Indicator 1.1.4: </w:t>
            </w:r>
            <w:r w:rsidRPr="002C03EB">
              <w:rPr>
                <w:rFonts w:ascii="Calibri" w:hAnsi="Calibri" w:cs="Calibri"/>
                <w:sz w:val="22"/>
                <w:szCs w:val="22"/>
                <w:lang w:val="en-US"/>
              </w:rPr>
              <w:t xml:space="preserve">Proportion of households using improved and non-shared sanitation facilities (basic service level) </w:t>
            </w:r>
          </w:p>
          <w:tbl>
            <w:tblPr>
              <w:tblStyle w:val="TableGrid"/>
              <w:tblW w:w="0" w:type="auto"/>
              <w:tblLayout w:type="fixed"/>
              <w:tblLook w:val="04A0" w:firstRow="1" w:lastRow="0" w:firstColumn="1" w:lastColumn="0" w:noHBand="0" w:noVBand="1"/>
            </w:tblPr>
            <w:tblGrid>
              <w:gridCol w:w="1767"/>
              <w:gridCol w:w="2617"/>
            </w:tblGrid>
            <w:tr w:rsidR="003A41BE" w:rsidRPr="002C03EB" w14:paraId="1C257D09" w14:textId="77777777" w:rsidTr="00FD44CE">
              <w:tc>
                <w:tcPr>
                  <w:tcW w:w="1767" w:type="dxa"/>
                </w:tcPr>
                <w:p w14:paraId="4B1959D1" w14:textId="77777777" w:rsidR="003A41BE" w:rsidRPr="002C03EB" w:rsidRDefault="003A41BE" w:rsidP="00FD44CE">
                  <w:pPr>
                    <w:autoSpaceDE w:val="0"/>
                    <w:autoSpaceDN w:val="0"/>
                    <w:adjustRightInd w:val="0"/>
                    <w:jc w:val="center"/>
                    <w:rPr>
                      <w:rFonts w:ascii="Calibri" w:hAnsi="Calibri" w:cs="Calibri"/>
                      <w:bCs/>
                      <w:sz w:val="22"/>
                      <w:szCs w:val="22"/>
                      <w:lang w:val="en-US"/>
                    </w:rPr>
                  </w:pPr>
                  <w:r w:rsidRPr="002C03EB">
                    <w:rPr>
                      <w:rFonts w:ascii="Calibri" w:hAnsi="Calibri" w:cs="Calibri"/>
                      <w:bCs/>
                      <w:sz w:val="22"/>
                      <w:szCs w:val="22"/>
                      <w:lang w:val="en-US"/>
                    </w:rPr>
                    <w:t>Baseline</w:t>
                  </w:r>
                </w:p>
              </w:tc>
              <w:tc>
                <w:tcPr>
                  <w:tcW w:w="2617" w:type="dxa"/>
                </w:tcPr>
                <w:p w14:paraId="269779B9" w14:textId="77777777" w:rsidR="003A41BE" w:rsidRPr="002C03EB" w:rsidRDefault="003A41BE" w:rsidP="00FD44CE">
                  <w:pPr>
                    <w:autoSpaceDE w:val="0"/>
                    <w:autoSpaceDN w:val="0"/>
                    <w:adjustRightInd w:val="0"/>
                    <w:jc w:val="center"/>
                    <w:rPr>
                      <w:rFonts w:ascii="Calibri" w:hAnsi="Calibri" w:cs="Calibri"/>
                      <w:bCs/>
                      <w:sz w:val="22"/>
                      <w:szCs w:val="22"/>
                      <w:lang w:val="en-US"/>
                    </w:rPr>
                  </w:pPr>
                  <w:r w:rsidRPr="002C03EB">
                    <w:rPr>
                      <w:rFonts w:ascii="Calibri" w:hAnsi="Calibri" w:cs="Calibri"/>
                      <w:bCs/>
                      <w:sz w:val="22"/>
                      <w:szCs w:val="22"/>
                      <w:lang w:val="en-US"/>
                    </w:rPr>
                    <w:t>Target</w:t>
                  </w:r>
                </w:p>
              </w:tc>
            </w:tr>
            <w:tr w:rsidR="003A41BE" w:rsidRPr="002C03EB" w14:paraId="02443608" w14:textId="77777777" w:rsidTr="00FD44CE">
              <w:tc>
                <w:tcPr>
                  <w:tcW w:w="1767" w:type="dxa"/>
                  <w:shd w:val="clear" w:color="auto" w:fill="auto"/>
                </w:tcPr>
                <w:p w14:paraId="653A790A" w14:textId="77777777" w:rsidR="003A41BE" w:rsidRPr="002C03EB" w:rsidRDefault="003A41BE" w:rsidP="00FD44CE">
                  <w:pPr>
                    <w:autoSpaceDE w:val="0"/>
                    <w:autoSpaceDN w:val="0"/>
                    <w:adjustRightInd w:val="0"/>
                    <w:jc w:val="center"/>
                    <w:rPr>
                      <w:rFonts w:ascii="Calibri" w:hAnsi="Calibri" w:cs="Calibri"/>
                      <w:bCs/>
                      <w:sz w:val="22"/>
                      <w:szCs w:val="22"/>
                      <w:lang w:val="en-US"/>
                    </w:rPr>
                  </w:pPr>
                  <w:r w:rsidRPr="002C03EB">
                    <w:rPr>
                      <w:rFonts w:ascii="Calibri" w:hAnsi="Calibri" w:cs="Calibri"/>
                      <w:bCs/>
                      <w:sz w:val="22"/>
                      <w:szCs w:val="22"/>
                      <w:lang w:val="en-US"/>
                    </w:rPr>
                    <w:t>44 %</w:t>
                  </w:r>
                </w:p>
              </w:tc>
              <w:tc>
                <w:tcPr>
                  <w:tcW w:w="2617" w:type="dxa"/>
                  <w:shd w:val="clear" w:color="auto" w:fill="auto"/>
                </w:tcPr>
                <w:p w14:paraId="0F426C5F" w14:textId="77777777" w:rsidR="003A41BE" w:rsidRPr="002C03EB" w:rsidRDefault="003A41BE" w:rsidP="00FD44CE">
                  <w:pPr>
                    <w:autoSpaceDE w:val="0"/>
                    <w:autoSpaceDN w:val="0"/>
                    <w:adjustRightInd w:val="0"/>
                    <w:jc w:val="center"/>
                    <w:rPr>
                      <w:rFonts w:ascii="Calibri" w:hAnsi="Calibri" w:cs="Calibri"/>
                      <w:bCs/>
                      <w:sz w:val="22"/>
                      <w:szCs w:val="22"/>
                      <w:lang w:val="en-US"/>
                    </w:rPr>
                  </w:pPr>
                  <w:r w:rsidRPr="002C03EB">
                    <w:rPr>
                      <w:rFonts w:ascii="Calibri" w:hAnsi="Calibri" w:cs="Calibri"/>
                      <w:bCs/>
                      <w:sz w:val="22"/>
                      <w:szCs w:val="22"/>
                      <w:lang w:val="en-US"/>
                    </w:rPr>
                    <w:t xml:space="preserve">Under discussion with relevant partners </w:t>
                  </w:r>
                </w:p>
              </w:tc>
            </w:tr>
          </w:tbl>
          <w:p w14:paraId="0DD98941" w14:textId="77777777" w:rsidR="003A41BE" w:rsidRPr="002C03EB" w:rsidRDefault="003A41BE" w:rsidP="00FD44CE">
            <w:pPr>
              <w:autoSpaceDE w:val="0"/>
              <w:autoSpaceDN w:val="0"/>
              <w:adjustRightInd w:val="0"/>
              <w:rPr>
                <w:rFonts w:ascii="Calibri" w:hAnsi="Calibri" w:cs="Calibri"/>
                <w:bCs/>
                <w:sz w:val="22"/>
                <w:szCs w:val="22"/>
                <w:lang w:val="en-US"/>
              </w:rPr>
            </w:pPr>
            <w:r w:rsidRPr="002C03EB">
              <w:rPr>
                <w:rFonts w:ascii="Calibri" w:hAnsi="Calibri" w:cs="Calibri"/>
                <w:bCs/>
                <w:sz w:val="22"/>
                <w:szCs w:val="22"/>
                <w:lang w:val="en-US"/>
              </w:rPr>
              <w:t>Data Source: JMP 2019</w:t>
            </w:r>
            <w:r w:rsidRPr="002C03EB">
              <w:rPr>
                <w:rFonts w:ascii="Calibri" w:hAnsi="Calibri" w:cs="Calibri"/>
                <w:bCs/>
                <w:sz w:val="22"/>
                <w:szCs w:val="22"/>
                <w:lang w:val="en-US"/>
              </w:rPr>
              <w:tab/>
            </w:r>
          </w:p>
          <w:p w14:paraId="6D734CDE" w14:textId="77777777" w:rsidR="003A41BE" w:rsidRPr="002C03EB" w:rsidRDefault="003A41BE" w:rsidP="00FD44CE">
            <w:pPr>
              <w:autoSpaceDE w:val="0"/>
              <w:autoSpaceDN w:val="0"/>
              <w:adjustRightInd w:val="0"/>
              <w:rPr>
                <w:rFonts w:ascii="Calibri" w:hAnsi="Calibri" w:cs="Calibri"/>
                <w:bCs/>
                <w:sz w:val="22"/>
                <w:szCs w:val="22"/>
                <w:lang w:val="en-US"/>
              </w:rPr>
            </w:pPr>
          </w:p>
        </w:tc>
        <w:tc>
          <w:tcPr>
            <w:tcW w:w="4229" w:type="dxa"/>
            <w:vMerge/>
          </w:tcPr>
          <w:p w14:paraId="7B58D1B6" w14:textId="77777777" w:rsidR="003A41BE" w:rsidRPr="00A55550" w:rsidRDefault="003A41BE" w:rsidP="00FD44CE">
            <w:pPr>
              <w:autoSpaceDE w:val="0"/>
              <w:autoSpaceDN w:val="0"/>
              <w:adjustRightInd w:val="0"/>
              <w:rPr>
                <w:rFonts w:ascii="Calibri" w:hAnsi="Calibri" w:cs="Calibri"/>
                <w:bCs/>
                <w:sz w:val="22"/>
                <w:szCs w:val="22"/>
                <w:lang w:val="en-US"/>
              </w:rPr>
            </w:pPr>
          </w:p>
        </w:tc>
      </w:tr>
      <w:tr w:rsidR="003A41BE" w:rsidRPr="006444BA" w14:paraId="3E09E111" w14:textId="77777777" w:rsidTr="00FD44CE">
        <w:trPr>
          <w:trHeight w:val="424"/>
        </w:trPr>
        <w:tc>
          <w:tcPr>
            <w:tcW w:w="4701" w:type="dxa"/>
            <w:vMerge w:val="restart"/>
            <w:shd w:val="clear" w:color="auto" w:fill="8EAADB" w:themeFill="accent1" w:themeFillTint="99"/>
          </w:tcPr>
          <w:p w14:paraId="4DB75C12" w14:textId="77777777" w:rsidR="003A41BE" w:rsidRPr="00841766" w:rsidRDefault="003A41BE" w:rsidP="00FD44CE">
            <w:pPr>
              <w:jc w:val="both"/>
              <w:rPr>
                <w:rFonts w:ascii="Calibri" w:hAnsi="Calibri" w:cs="Calibri"/>
                <w:b/>
                <w:color w:val="000000"/>
                <w:sz w:val="22"/>
                <w:szCs w:val="22"/>
                <w:lang w:val="en-US"/>
              </w:rPr>
            </w:pPr>
            <w:r w:rsidRPr="00841766">
              <w:rPr>
                <w:rFonts w:ascii="Calibri" w:hAnsi="Calibri" w:cs="Calibri"/>
                <w:b/>
                <w:color w:val="000000"/>
                <w:sz w:val="22"/>
                <w:szCs w:val="22"/>
                <w:lang w:val="en-US"/>
              </w:rPr>
              <w:t xml:space="preserve">Sub-Outcome 1.2: </w:t>
            </w:r>
          </w:p>
          <w:p w14:paraId="0E53F0AA" w14:textId="77777777" w:rsidR="003A41BE" w:rsidRPr="00841766" w:rsidRDefault="003A41BE" w:rsidP="00FD44CE">
            <w:pPr>
              <w:jc w:val="both"/>
              <w:rPr>
                <w:rFonts w:ascii="Calibri" w:hAnsi="Calibri" w:cs="Calibri"/>
                <w:b/>
                <w:color w:val="000000"/>
                <w:sz w:val="22"/>
                <w:szCs w:val="22"/>
                <w:lang w:val="en-US"/>
              </w:rPr>
            </w:pPr>
          </w:p>
          <w:p w14:paraId="4544603B" w14:textId="77777777" w:rsidR="003A41BE" w:rsidRPr="00841766" w:rsidRDefault="003A41BE" w:rsidP="00FD44CE">
            <w:pPr>
              <w:jc w:val="both"/>
              <w:rPr>
                <w:rFonts w:ascii="Calibri" w:hAnsi="Calibri" w:cs="Calibri"/>
                <w:b/>
                <w:color w:val="000000"/>
                <w:sz w:val="22"/>
                <w:szCs w:val="22"/>
                <w:lang w:val="en-US"/>
              </w:rPr>
            </w:pPr>
            <w:r w:rsidRPr="00841766">
              <w:rPr>
                <w:rFonts w:ascii="Calibri" w:hAnsi="Calibri" w:cs="Calibri"/>
                <w:b/>
                <w:color w:val="000000"/>
                <w:sz w:val="22"/>
                <w:szCs w:val="22"/>
                <w:lang w:val="en-US"/>
              </w:rPr>
              <w:t>Agri-food systems and food security</w:t>
            </w:r>
          </w:p>
          <w:p w14:paraId="6B2C934B" w14:textId="77777777" w:rsidR="003A41BE" w:rsidRPr="00841766" w:rsidRDefault="003A41BE" w:rsidP="00FD44CE">
            <w:pPr>
              <w:jc w:val="both"/>
              <w:rPr>
                <w:rFonts w:ascii="Calibri" w:hAnsi="Calibri" w:cs="Calibri"/>
                <w:sz w:val="22"/>
                <w:szCs w:val="22"/>
                <w:lang w:val="en-US"/>
              </w:rPr>
            </w:pPr>
            <w:r w:rsidRPr="00841766">
              <w:rPr>
                <w:rFonts w:ascii="Calibri" w:hAnsi="Calibri" w:cs="Calibri"/>
                <w:sz w:val="22"/>
                <w:szCs w:val="22"/>
                <w:lang w:val="en-US"/>
              </w:rPr>
              <w:t>By 2025, agricultural productivity and income have sustainably increased based on climate-smart / resilient crop, livestock, forestry and fisheries’ production, post-harvest management and access to markets, in particular for smallholder producers, women farmers and rural youth.</w:t>
            </w:r>
          </w:p>
        </w:tc>
        <w:tc>
          <w:tcPr>
            <w:tcW w:w="5528" w:type="dxa"/>
            <w:shd w:val="clear" w:color="auto" w:fill="D9D9D9" w:themeFill="background1" w:themeFillShade="D9"/>
          </w:tcPr>
          <w:p w14:paraId="281B989D" w14:textId="77777777" w:rsidR="003A41BE" w:rsidRDefault="003A41BE" w:rsidP="00FD44CE">
            <w:pPr>
              <w:autoSpaceDE w:val="0"/>
              <w:autoSpaceDN w:val="0"/>
              <w:adjustRightInd w:val="0"/>
              <w:rPr>
                <w:rFonts w:ascii="Calibri" w:hAnsi="Calibri" w:cs="Calibri"/>
                <w:sz w:val="22"/>
                <w:szCs w:val="22"/>
                <w:lang w:val="en-US"/>
              </w:rPr>
            </w:pPr>
            <w:r w:rsidRPr="00841766">
              <w:rPr>
                <w:rFonts w:ascii="Calibri" w:hAnsi="Calibri" w:cs="Calibri"/>
                <w:b/>
                <w:sz w:val="22"/>
                <w:szCs w:val="22"/>
                <w:lang w:val="en-US"/>
              </w:rPr>
              <w:t>Indicator 1.2.1</w:t>
            </w:r>
            <w:r>
              <w:rPr>
                <w:rFonts w:ascii="Calibri" w:hAnsi="Calibri" w:cs="Calibri"/>
                <w:b/>
                <w:sz w:val="22"/>
                <w:szCs w:val="22"/>
                <w:lang w:val="en-US"/>
              </w:rPr>
              <w:t xml:space="preserve"> </w:t>
            </w:r>
            <w:r w:rsidRPr="006F2CDD">
              <w:rPr>
                <w:rFonts w:ascii="Calibri" w:hAnsi="Calibri" w:cs="Calibri"/>
                <w:sz w:val="22"/>
                <w:szCs w:val="22"/>
                <w:lang w:val="en-US"/>
              </w:rPr>
              <w:t xml:space="preserve">Volume of production per </w:t>
            </w:r>
            <w:proofErr w:type="spellStart"/>
            <w:r w:rsidRPr="006F2CDD">
              <w:rPr>
                <w:rFonts w:ascii="Calibri" w:hAnsi="Calibri" w:cs="Calibri"/>
                <w:sz w:val="22"/>
                <w:szCs w:val="22"/>
                <w:lang w:val="en-US"/>
              </w:rPr>
              <w:t>labour</w:t>
            </w:r>
            <w:proofErr w:type="spellEnd"/>
            <w:r w:rsidRPr="006F2CDD">
              <w:rPr>
                <w:rFonts w:ascii="Calibri" w:hAnsi="Calibri" w:cs="Calibri"/>
                <w:sz w:val="22"/>
                <w:szCs w:val="22"/>
                <w:lang w:val="en-US"/>
              </w:rPr>
              <w:t xml:space="preserve"> unit by classes of farming/pastoral/forestry enterprise size</w:t>
            </w:r>
            <w:r>
              <w:rPr>
                <w:rFonts w:ascii="Calibri" w:hAnsi="Calibri" w:cs="Calibri"/>
                <w:sz w:val="22"/>
                <w:szCs w:val="22"/>
                <w:lang w:val="en-US"/>
              </w:rPr>
              <w:t xml:space="preserve"> (SDG Indicator 2.3.1)</w:t>
            </w:r>
          </w:p>
          <w:tbl>
            <w:tblPr>
              <w:tblStyle w:val="TableGrid"/>
              <w:tblW w:w="0" w:type="auto"/>
              <w:tblLayout w:type="fixed"/>
              <w:tblLook w:val="04A0" w:firstRow="1" w:lastRow="0" w:firstColumn="1" w:lastColumn="0" w:noHBand="0" w:noVBand="1"/>
            </w:tblPr>
            <w:tblGrid>
              <w:gridCol w:w="2680"/>
              <w:gridCol w:w="2160"/>
            </w:tblGrid>
            <w:tr w:rsidR="003A41BE" w:rsidRPr="00DA2276" w14:paraId="0B2733B4" w14:textId="77777777" w:rsidTr="00FD44CE">
              <w:tc>
                <w:tcPr>
                  <w:tcW w:w="2680" w:type="dxa"/>
                </w:tcPr>
                <w:p w14:paraId="45BA75F5" w14:textId="77777777" w:rsidR="003A41BE" w:rsidRPr="00DA2276" w:rsidRDefault="003A41BE" w:rsidP="00FD44CE">
                  <w:pPr>
                    <w:autoSpaceDE w:val="0"/>
                    <w:autoSpaceDN w:val="0"/>
                    <w:adjustRightInd w:val="0"/>
                    <w:jc w:val="center"/>
                    <w:rPr>
                      <w:rFonts w:ascii="Calibri" w:hAnsi="Calibri" w:cs="Calibri"/>
                      <w:bCs/>
                      <w:sz w:val="22"/>
                      <w:szCs w:val="22"/>
                      <w:lang w:val="en-US"/>
                    </w:rPr>
                  </w:pPr>
                  <w:r w:rsidRPr="00DA2276">
                    <w:rPr>
                      <w:rFonts w:ascii="Calibri" w:hAnsi="Calibri" w:cs="Calibri"/>
                      <w:bCs/>
                      <w:sz w:val="22"/>
                      <w:szCs w:val="22"/>
                      <w:lang w:val="en-US"/>
                    </w:rPr>
                    <w:t>Baseline</w:t>
                  </w:r>
                </w:p>
              </w:tc>
              <w:tc>
                <w:tcPr>
                  <w:tcW w:w="2160" w:type="dxa"/>
                </w:tcPr>
                <w:p w14:paraId="1D4C1751" w14:textId="77777777" w:rsidR="003A41BE" w:rsidRPr="00DA2276" w:rsidRDefault="003A41BE" w:rsidP="00FD44CE">
                  <w:pPr>
                    <w:autoSpaceDE w:val="0"/>
                    <w:autoSpaceDN w:val="0"/>
                    <w:adjustRightInd w:val="0"/>
                    <w:rPr>
                      <w:rFonts w:ascii="Calibri" w:hAnsi="Calibri" w:cs="Calibri"/>
                      <w:bCs/>
                      <w:sz w:val="22"/>
                      <w:szCs w:val="22"/>
                      <w:lang w:val="en-US"/>
                    </w:rPr>
                  </w:pPr>
                  <w:r w:rsidRPr="00DA2276">
                    <w:rPr>
                      <w:rFonts w:ascii="Calibri" w:hAnsi="Calibri" w:cs="Calibri"/>
                      <w:bCs/>
                      <w:sz w:val="22"/>
                      <w:szCs w:val="22"/>
                      <w:lang w:val="en-US"/>
                    </w:rPr>
                    <w:t xml:space="preserve">Target </w:t>
                  </w:r>
                </w:p>
              </w:tc>
            </w:tr>
            <w:tr w:rsidR="003A41BE" w:rsidRPr="00DA2276" w14:paraId="717A320D" w14:textId="77777777" w:rsidTr="00FD44CE">
              <w:tc>
                <w:tcPr>
                  <w:tcW w:w="2680" w:type="dxa"/>
                </w:tcPr>
                <w:p w14:paraId="79F7397C" w14:textId="77777777" w:rsidR="003A41BE" w:rsidRPr="00DA2276" w:rsidRDefault="003A41BE" w:rsidP="00FD44CE">
                  <w:pPr>
                    <w:autoSpaceDE w:val="0"/>
                    <w:autoSpaceDN w:val="0"/>
                    <w:adjustRightInd w:val="0"/>
                    <w:jc w:val="center"/>
                    <w:rPr>
                      <w:rFonts w:ascii="Calibri" w:hAnsi="Calibri" w:cs="Calibri"/>
                      <w:bCs/>
                      <w:sz w:val="22"/>
                      <w:szCs w:val="22"/>
                      <w:lang w:val="en-US"/>
                    </w:rPr>
                  </w:pPr>
                  <w:r>
                    <w:rPr>
                      <w:rFonts w:ascii="Calibri" w:hAnsi="Calibri" w:cs="Calibri"/>
                      <w:bCs/>
                      <w:sz w:val="22"/>
                      <w:szCs w:val="22"/>
                      <w:lang w:val="en-US"/>
                    </w:rPr>
                    <w:t xml:space="preserve">MAF/FAO to establish in 2020 following </w:t>
                  </w:r>
                  <w:r>
                    <w:rPr>
                      <w:rFonts w:ascii="Calibri" w:hAnsi="Calibri" w:cs="Calibri"/>
                      <w:bCs/>
                      <w:sz w:val="22"/>
                      <w:szCs w:val="22"/>
                      <w:lang w:val="en-US"/>
                    </w:rPr>
                    <w:br/>
                    <w:t>SDG methodology</w:t>
                  </w:r>
                </w:p>
              </w:tc>
              <w:tc>
                <w:tcPr>
                  <w:tcW w:w="2160" w:type="dxa"/>
                </w:tcPr>
                <w:p w14:paraId="1C6533A0" w14:textId="77777777" w:rsidR="003A41BE" w:rsidRPr="00DA2276" w:rsidRDefault="003A41BE" w:rsidP="00FD44CE">
                  <w:pPr>
                    <w:autoSpaceDE w:val="0"/>
                    <w:autoSpaceDN w:val="0"/>
                    <w:adjustRightInd w:val="0"/>
                    <w:jc w:val="center"/>
                    <w:rPr>
                      <w:rFonts w:ascii="Calibri" w:hAnsi="Calibri" w:cs="Calibri"/>
                      <w:bCs/>
                      <w:sz w:val="22"/>
                      <w:szCs w:val="22"/>
                      <w:lang w:val="en-US"/>
                    </w:rPr>
                  </w:pPr>
                  <w:r>
                    <w:rPr>
                      <w:rFonts w:ascii="Calibri" w:hAnsi="Calibri" w:cs="Calibri"/>
                      <w:bCs/>
                      <w:sz w:val="22"/>
                      <w:szCs w:val="22"/>
                      <w:lang w:val="en-US"/>
                    </w:rPr>
                    <w:t xml:space="preserve">+50 % </w:t>
                  </w:r>
                </w:p>
              </w:tc>
            </w:tr>
          </w:tbl>
          <w:p w14:paraId="77DF0E03" w14:textId="77777777" w:rsidR="003A41BE" w:rsidRPr="003F4BC2" w:rsidRDefault="003A41BE" w:rsidP="00FD44CE">
            <w:pPr>
              <w:autoSpaceDE w:val="0"/>
              <w:autoSpaceDN w:val="0"/>
              <w:adjustRightInd w:val="0"/>
              <w:rPr>
                <w:rFonts w:ascii="Calibri" w:hAnsi="Calibri" w:cs="Calibri"/>
                <w:bCs/>
                <w:sz w:val="22"/>
                <w:szCs w:val="22"/>
                <w:lang w:val="en-US"/>
              </w:rPr>
            </w:pPr>
            <w:r w:rsidRPr="003F4BC2">
              <w:rPr>
                <w:rFonts w:ascii="Calibri" w:hAnsi="Calibri" w:cs="Calibri"/>
                <w:bCs/>
                <w:sz w:val="22"/>
                <w:szCs w:val="22"/>
                <w:lang w:val="en-US"/>
              </w:rPr>
              <w:t>Data Source: MAF, FAO 20</w:t>
            </w:r>
            <w:r>
              <w:rPr>
                <w:rFonts w:ascii="Calibri" w:hAnsi="Calibri" w:cs="Calibri"/>
                <w:bCs/>
                <w:sz w:val="22"/>
                <w:szCs w:val="22"/>
                <w:lang w:val="en-US"/>
              </w:rPr>
              <w:t>19</w:t>
            </w:r>
          </w:p>
          <w:p w14:paraId="43297B81" w14:textId="77777777" w:rsidR="003A41BE" w:rsidRPr="00841766" w:rsidRDefault="003A41BE" w:rsidP="00FD44CE">
            <w:pPr>
              <w:autoSpaceDE w:val="0"/>
              <w:autoSpaceDN w:val="0"/>
              <w:adjustRightInd w:val="0"/>
              <w:rPr>
                <w:rFonts w:ascii="Calibri" w:hAnsi="Calibri" w:cs="Calibri"/>
                <w:sz w:val="22"/>
                <w:szCs w:val="22"/>
                <w:lang w:val="en-US"/>
              </w:rPr>
            </w:pPr>
          </w:p>
        </w:tc>
        <w:tc>
          <w:tcPr>
            <w:tcW w:w="4229" w:type="dxa"/>
            <w:vMerge w:val="restart"/>
          </w:tcPr>
          <w:p w14:paraId="2973EBCA" w14:textId="77777777" w:rsidR="003A41BE" w:rsidRPr="00841766" w:rsidRDefault="003A41BE" w:rsidP="00FD44CE">
            <w:pPr>
              <w:autoSpaceDE w:val="0"/>
              <w:autoSpaceDN w:val="0"/>
              <w:adjustRightInd w:val="0"/>
              <w:rPr>
                <w:rFonts w:ascii="Calibri" w:hAnsi="Calibri" w:cs="Calibri"/>
                <w:sz w:val="22"/>
                <w:szCs w:val="22"/>
                <w:lang w:val="en-US"/>
              </w:rPr>
            </w:pPr>
            <w:r w:rsidRPr="00841766">
              <w:rPr>
                <w:rFonts w:ascii="Calibri" w:hAnsi="Calibri" w:cs="Calibri"/>
                <w:sz w:val="22"/>
                <w:szCs w:val="22"/>
                <w:lang w:val="en-US"/>
              </w:rPr>
              <w:t>Min</w:t>
            </w:r>
            <w:r>
              <w:rPr>
                <w:rFonts w:ascii="Calibri" w:hAnsi="Calibri" w:cs="Calibri"/>
                <w:sz w:val="22"/>
                <w:szCs w:val="22"/>
                <w:lang w:val="en-US"/>
              </w:rPr>
              <w:t>istry</w:t>
            </w:r>
            <w:r w:rsidRPr="00841766">
              <w:rPr>
                <w:rFonts w:ascii="Calibri" w:hAnsi="Calibri" w:cs="Calibri"/>
                <w:sz w:val="22"/>
                <w:szCs w:val="22"/>
                <w:lang w:val="en-US"/>
              </w:rPr>
              <w:t xml:space="preserve"> of Agriculture and Fisheries, </w:t>
            </w:r>
          </w:p>
          <w:p w14:paraId="5F297BBF" w14:textId="77777777" w:rsidR="003A41BE" w:rsidRPr="00841766" w:rsidRDefault="003A41BE" w:rsidP="00FD44CE">
            <w:pPr>
              <w:autoSpaceDE w:val="0"/>
              <w:autoSpaceDN w:val="0"/>
              <w:adjustRightInd w:val="0"/>
              <w:rPr>
                <w:rFonts w:ascii="Calibri" w:hAnsi="Calibri" w:cs="Calibri"/>
                <w:sz w:val="22"/>
                <w:szCs w:val="22"/>
                <w:lang w:val="en-US"/>
              </w:rPr>
            </w:pPr>
            <w:r w:rsidRPr="00841766">
              <w:rPr>
                <w:rFonts w:ascii="Calibri" w:hAnsi="Calibri" w:cs="Calibri"/>
                <w:sz w:val="22"/>
                <w:szCs w:val="22"/>
                <w:lang w:val="en-US"/>
              </w:rPr>
              <w:t>Sec</w:t>
            </w:r>
            <w:r>
              <w:rPr>
                <w:rFonts w:ascii="Calibri" w:hAnsi="Calibri" w:cs="Calibri"/>
                <w:sz w:val="22"/>
                <w:szCs w:val="22"/>
                <w:lang w:val="en-US"/>
              </w:rPr>
              <w:t>retary</w:t>
            </w:r>
            <w:r w:rsidRPr="00841766">
              <w:rPr>
                <w:rFonts w:ascii="Calibri" w:hAnsi="Calibri" w:cs="Calibri"/>
                <w:sz w:val="22"/>
                <w:szCs w:val="22"/>
                <w:lang w:val="en-US"/>
              </w:rPr>
              <w:t xml:space="preserve"> State Environment / </w:t>
            </w:r>
            <w:r>
              <w:rPr>
                <w:rFonts w:ascii="Calibri" w:hAnsi="Calibri" w:cs="Calibri"/>
                <w:sz w:val="22"/>
                <w:szCs w:val="22"/>
                <w:lang w:val="en-US"/>
              </w:rPr>
              <w:br/>
              <w:t>National Directorate for Climate Change</w:t>
            </w:r>
            <w:r w:rsidRPr="00841766">
              <w:rPr>
                <w:rFonts w:ascii="Calibri" w:hAnsi="Calibri" w:cs="Calibri"/>
                <w:sz w:val="22"/>
                <w:szCs w:val="22"/>
                <w:lang w:val="en-US"/>
              </w:rPr>
              <w:t>,</w:t>
            </w:r>
          </w:p>
          <w:p w14:paraId="557D46A5" w14:textId="77777777" w:rsidR="003A41BE" w:rsidRPr="00841766" w:rsidRDefault="003A41BE" w:rsidP="00FD44CE">
            <w:pPr>
              <w:autoSpaceDE w:val="0"/>
              <w:autoSpaceDN w:val="0"/>
              <w:adjustRightInd w:val="0"/>
              <w:rPr>
                <w:rFonts w:ascii="Calibri" w:hAnsi="Calibri" w:cs="Calibri"/>
                <w:sz w:val="22"/>
                <w:szCs w:val="22"/>
                <w:lang w:val="en-US"/>
              </w:rPr>
            </w:pPr>
            <w:r w:rsidRPr="00841766">
              <w:rPr>
                <w:rFonts w:ascii="Calibri" w:hAnsi="Calibri" w:cs="Calibri"/>
                <w:sz w:val="22"/>
                <w:szCs w:val="22"/>
                <w:lang w:val="en-US"/>
              </w:rPr>
              <w:t>Sec</w:t>
            </w:r>
            <w:r>
              <w:rPr>
                <w:rFonts w:ascii="Calibri" w:hAnsi="Calibri" w:cs="Calibri"/>
                <w:sz w:val="22"/>
                <w:szCs w:val="22"/>
                <w:lang w:val="en-US"/>
              </w:rPr>
              <w:t>retary</w:t>
            </w:r>
            <w:r w:rsidRPr="00841766">
              <w:rPr>
                <w:rFonts w:ascii="Calibri" w:hAnsi="Calibri" w:cs="Calibri"/>
                <w:sz w:val="22"/>
                <w:szCs w:val="22"/>
                <w:lang w:val="en-US"/>
              </w:rPr>
              <w:t xml:space="preserve"> State for Equality and Inclusion </w:t>
            </w:r>
          </w:p>
          <w:p w14:paraId="420C163C" w14:textId="77777777" w:rsidR="003A41BE" w:rsidRDefault="003A41BE" w:rsidP="00FD44CE">
            <w:pPr>
              <w:autoSpaceDE w:val="0"/>
              <w:autoSpaceDN w:val="0"/>
              <w:adjustRightInd w:val="0"/>
              <w:rPr>
                <w:rFonts w:ascii="Calibri" w:hAnsi="Calibri" w:cs="Calibri"/>
                <w:sz w:val="22"/>
                <w:szCs w:val="22"/>
                <w:lang w:val="en-US"/>
              </w:rPr>
            </w:pPr>
            <w:r w:rsidRPr="00841766">
              <w:rPr>
                <w:rFonts w:ascii="Calibri" w:hAnsi="Calibri" w:cs="Calibri"/>
                <w:sz w:val="22"/>
                <w:szCs w:val="22"/>
                <w:lang w:val="en-US"/>
              </w:rPr>
              <w:t xml:space="preserve">Secretary of State for Cooperatives </w:t>
            </w:r>
          </w:p>
          <w:p w14:paraId="64BDE405" w14:textId="77777777" w:rsidR="003A41BE" w:rsidRDefault="003A41BE" w:rsidP="00FD44CE">
            <w:pPr>
              <w:autoSpaceDE w:val="0"/>
              <w:autoSpaceDN w:val="0"/>
              <w:adjustRightInd w:val="0"/>
              <w:rPr>
                <w:rFonts w:ascii="Calibri" w:hAnsi="Calibri" w:cs="Calibri"/>
                <w:sz w:val="22"/>
                <w:szCs w:val="22"/>
                <w:lang w:val="en-US"/>
              </w:rPr>
            </w:pPr>
          </w:p>
          <w:p w14:paraId="63E1870E" w14:textId="77777777" w:rsidR="003A41BE" w:rsidRPr="00841766" w:rsidRDefault="003A41BE" w:rsidP="00FD44CE">
            <w:pPr>
              <w:autoSpaceDE w:val="0"/>
              <w:autoSpaceDN w:val="0"/>
              <w:adjustRightInd w:val="0"/>
              <w:rPr>
                <w:rFonts w:ascii="Calibri" w:hAnsi="Calibri" w:cs="Calibri"/>
                <w:sz w:val="22"/>
                <w:szCs w:val="22"/>
                <w:lang w:val="en-US"/>
              </w:rPr>
            </w:pPr>
            <w:r w:rsidRPr="00841766">
              <w:rPr>
                <w:rFonts w:ascii="Calibri" w:hAnsi="Calibri" w:cs="Calibri"/>
                <w:sz w:val="22"/>
                <w:szCs w:val="22"/>
                <w:lang w:val="en-US"/>
              </w:rPr>
              <w:t>FAO, ILO</w:t>
            </w:r>
            <w:r>
              <w:rPr>
                <w:rFonts w:ascii="Calibri" w:hAnsi="Calibri" w:cs="Calibri"/>
                <w:sz w:val="22"/>
                <w:szCs w:val="22"/>
                <w:lang w:val="en-US"/>
              </w:rPr>
              <w:t xml:space="preserve">, </w:t>
            </w:r>
            <w:r w:rsidRPr="00841766">
              <w:rPr>
                <w:rFonts w:ascii="Calibri" w:hAnsi="Calibri" w:cs="Calibri"/>
                <w:sz w:val="22"/>
                <w:szCs w:val="22"/>
                <w:lang w:val="en-US"/>
              </w:rPr>
              <w:t xml:space="preserve">UNDP, UN Women, WFP </w:t>
            </w:r>
          </w:p>
          <w:p w14:paraId="5E070BDC" w14:textId="77777777" w:rsidR="003A41BE" w:rsidRDefault="003A41BE" w:rsidP="00FD44CE">
            <w:pPr>
              <w:autoSpaceDE w:val="0"/>
              <w:autoSpaceDN w:val="0"/>
              <w:adjustRightInd w:val="0"/>
              <w:rPr>
                <w:rFonts w:ascii="Calibri" w:hAnsi="Calibri" w:cs="Calibri"/>
                <w:sz w:val="22"/>
                <w:szCs w:val="22"/>
                <w:lang w:val="en-US"/>
              </w:rPr>
            </w:pPr>
          </w:p>
          <w:p w14:paraId="4F5EE6B7" w14:textId="77777777" w:rsidR="003A41BE" w:rsidRDefault="003A41BE" w:rsidP="00FD44CE">
            <w:pPr>
              <w:autoSpaceDE w:val="0"/>
              <w:autoSpaceDN w:val="0"/>
              <w:adjustRightInd w:val="0"/>
              <w:rPr>
                <w:rFonts w:ascii="Calibri" w:hAnsi="Calibri" w:cs="Calibri"/>
                <w:sz w:val="22"/>
                <w:szCs w:val="22"/>
                <w:lang w:val="en-US"/>
              </w:rPr>
            </w:pPr>
            <w:r w:rsidRPr="00496DEF">
              <w:rPr>
                <w:rFonts w:ascii="Calibri" w:hAnsi="Calibri" w:cs="Calibri"/>
                <w:sz w:val="22"/>
                <w:szCs w:val="22"/>
                <w:lang w:val="en-US"/>
              </w:rPr>
              <w:t>World Bank</w:t>
            </w:r>
          </w:p>
          <w:p w14:paraId="06C5D49F" w14:textId="77777777" w:rsidR="003A41BE" w:rsidRPr="00841766" w:rsidRDefault="003A41BE" w:rsidP="00FD44CE">
            <w:pPr>
              <w:autoSpaceDE w:val="0"/>
              <w:autoSpaceDN w:val="0"/>
              <w:adjustRightInd w:val="0"/>
              <w:rPr>
                <w:rFonts w:ascii="Calibri" w:hAnsi="Calibri" w:cs="Calibri"/>
                <w:sz w:val="22"/>
                <w:szCs w:val="22"/>
                <w:lang w:val="en-US"/>
              </w:rPr>
            </w:pPr>
          </w:p>
          <w:p w14:paraId="6E7A9EF1" w14:textId="77777777" w:rsidR="003A41BE" w:rsidRPr="00841766" w:rsidRDefault="003A41BE" w:rsidP="00FD44CE">
            <w:pPr>
              <w:autoSpaceDE w:val="0"/>
              <w:autoSpaceDN w:val="0"/>
              <w:adjustRightInd w:val="0"/>
              <w:rPr>
                <w:rFonts w:ascii="Calibri" w:hAnsi="Calibri" w:cs="Calibri"/>
                <w:sz w:val="22"/>
                <w:szCs w:val="22"/>
                <w:lang w:val="en-US"/>
              </w:rPr>
            </w:pPr>
            <w:r w:rsidRPr="00841766">
              <w:rPr>
                <w:rFonts w:ascii="Calibri" w:hAnsi="Calibri" w:cs="Calibri"/>
                <w:sz w:val="22"/>
                <w:szCs w:val="22"/>
                <w:lang w:val="en-US"/>
              </w:rPr>
              <w:t>Civil Society (</w:t>
            </w:r>
            <w:r>
              <w:rPr>
                <w:rFonts w:ascii="Calibri" w:hAnsi="Calibri" w:cs="Calibri"/>
                <w:sz w:val="22"/>
                <w:szCs w:val="22"/>
                <w:lang w:val="en-US"/>
              </w:rPr>
              <w:t>in particular</w:t>
            </w:r>
            <w:r w:rsidRPr="00841766">
              <w:rPr>
                <w:rFonts w:ascii="Calibri" w:hAnsi="Calibri" w:cs="Calibri"/>
                <w:sz w:val="22"/>
                <w:szCs w:val="22"/>
                <w:lang w:val="en-US"/>
              </w:rPr>
              <w:t xml:space="preserve"> HASATIL members)</w:t>
            </w:r>
          </w:p>
          <w:p w14:paraId="713072D1" w14:textId="77777777" w:rsidR="003A41BE" w:rsidRPr="00841766" w:rsidRDefault="003A41BE" w:rsidP="00FD44CE">
            <w:pPr>
              <w:autoSpaceDE w:val="0"/>
              <w:autoSpaceDN w:val="0"/>
              <w:adjustRightInd w:val="0"/>
              <w:rPr>
                <w:rFonts w:ascii="Calibri" w:hAnsi="Calibri" w:cs="Calibri"/>
                <w:sz w:val="22"/>
                <w:szCs w:val="22"/>
                <w:lang w:val="en-US"/>
              </w:rPr>
            </w:pPr>
          </w:p>
          <w:p w14:paraId="6AB1B216" w14:textId="77777777" w:rsidR="003A41BE" w:rsidRPr="00841766" w:rsidRDefault="003A41BE" w:rsidP="00FD44CE">
            <w:pPr>
              <w:autoSpaceDE w:val="0"/>
              <w:autoSpaceDN w:val="0"/>
              <w:adjustRightInd w:val="0"/>
              <w:rPr>
                <w:rFonts w:ascii="Calibri" w:hAnsi="Calibri" w:cs="Calibri"/>
                <w:sz w:val="22"/>
                <w:szCs w:val="22"/>
                <w:lang w:val="en-US"/>
              </w:rPr>
            </w:pPr>
            <w:r w:rsidRPr="00841766">
              <w:rPr>
                <w:rFonts w:ascii="Calibri" w:hAnsi="Calibri" w:cs="Calibri"/>
                <w:sz w:val="22"/>
                <w:szCs w:val="22"/>
                <w:lang w:val="en-US"/>
              </w:rPr>
              <w:t>Private sector (including traders, processors, service providers, cooperatives)</w:t>
            </w:r>
          </w:p>
        </w:tc>
      </w:tr>
      <w:tr w:rsidR="003A41BE" w:rsidRPr="00841766" w14:paraId="0F1BDD79" w14:textId="77777777" w:rsidTr="00FD44CE">
        <w:trPr>
          <w:trHeight w:val="1054"/>
        </w:trPr>
        <w:tc>
          <w:tcPr>
            <w:tcW w:w="4701" w:type="dxa"/>
            <w:vMerge/>
            <w:shd w:val="clear" w:color="auto" w:fill="8EAADB" w:themeFill="accent1" w:themeFillTint="99"/>
          </w:tcPr>
          <w:p w14:paraId="1C0C124F" w14:textId="77777777" w:rsidR="003A41BE" w:rsidRPr="00841766" w:rsidRDefault="003A41BE" w:rsidP="00FD44CE">
            <w:pPr>
              <w:jc w:val="both"/>
              <w:rPr>
                <w:rFonts w:ascii="Calibri" w:hAnsi="Calibri" w:cs="Calibri"/>
                <w:b/>
                <w:color w:val="000000"/>
                <w:sz w:val="22"/>
                <w:szCs w:val="22"/>
                <w:lang w:val="en-US"/>
              </w:rPr>
            </w:pPr>
          </w:p>
        </w:tc>
        <w:tc>
          <w:tcPr>
            <w:tcW w:w="5528" w:type="dxa"/>
            <w:shd w:val="clear" w:color="auto" w:fill="D9D9D9" w:themeFill="background1" w:themeFillShade="D9"/>
          </w:tcPr>
          <w:p w14:paraId="16271EF8" w14:textId="77777777" w:rsidR="003A41BE" w:rsidRDefault="003A41BE" w:rsidP="00FD44CE">
            <w:pPr>
              <w:rPr>
                <w:rFonts w:ascii="Calibri" w:hAnsi="Calibri" w:cs="Calibri"/>
                <w:sz w:val="22"/>
                <w:szCs w:val="22"/>
                <w:lang w:val="en-US"/>
              </w:rPr>
            </w:pPr>
            <w:r w:rsidRPr="00841766">
              <w:rPr>
                <w:rFonts w:ascii="Calibri" w:hAnsi="Calibri" w:cs="Calibri"/>
                <w:b/>
                <w:sz w:val="22"/>
                <w:szCs w:val="22"/>
                <w:lang w:val="en-US"/>
              </w:rPr>
              <w:t xml:space="preserve">Indicator 1.2.2: </w:t>
            </w:r>
            <w:r w:rsidRPr="00F6359B">
              <w:rPr>
                <w:rFonts w:ascii="Calibri" w:hAnsi="Calibri" w:cs="Calibri"/>
                <w:sz w:val="22"/>
                <w:szCs w:val="22"/>
                <w:lang w:val="en-US"/>
              </w:rPr>
              <w:t>Average income of small-scale food producers, by sex and indigenous status</w:t>
            </w:r>
            <w:r w:rsidRPr="00F6359B" w:rsidDel="00F6359B">
              <w:rPr>
                <w:rFonts w:ascii="Calibri" w:hAnsi="Calibri" w:cs="Calibri"/>
                <w:sz w:val="22"/>
                <w:szCs w:val="22"/>
                <w:lang w:val="en-US"/>
              </w:rPr>
              <w:t xml:space="preserve"> </w:t>
            </w:r>
            <w:r w:rsidRPr="00841766">
              <w:rPr>
                <w:rFonts w:ascii="Calibri" w:hAnsi="Calibri" w:cs="Calibri"/>
                <w:sz w:val="22"/>
                <w:szCs w:val="22"/>
                <w:lang w:val="en-US"/>
              </w:rPr>
              <w:t>(SDG indicator 2.3.2)</w:t>
            </w:r>
          </w:p>
          <w:tbl>
            <w:tblPr>
              <w:tblStyle w:val="TableGrid"/>
              <w:tblW w:w="0" w:type="auto"/>
              <w:tblLayout w:type="fixed"/>
              <w:tblLook w:val="04A0" w:firstRow="1" w:lastRow="0" w:firstColumn="1" w:lastColumn="0" w:noHBand="0" w:noVBand="1"/>
            </w:tblPr>
            <w:tblGrid>
              <w:gridCol w:w="2651"/>
              <w:gridCol w:w="2651"/>
            </w:tblGrid>
            <w:tr w:rsidR="003A41BE" w14:paraId="64B7E5C0" w14:textId="77777777" w:rsidTr="00FD44CE">
              <w:tc>
                <w:tcPr>
                  <w:tcW w:w="2651" w:type="dxa"/>
                </w:tcPr>
                <w:p w14:paraId="75DBC165" w14:textId="77777777" w:rsidR="003A41BE" w:rsidRDefault="003A41BE" w:rsidP="00FD44CE">
                  <w:pPr>
                    <w:jc w:val="center"/>
                    <w:rPr>
                      <w:sz w:val="22"/>
                      <w:szCs w:val="22"/>
                      <w:lang w:val="en-US"/>
                    </w:rPr>
                  </w:pPr>
                  <w:r>
                    <w:rPr>
                      <w:sz w:val="22"/>
                      <w:szCs w:val="22"/>
                      <w:lang w:val="en-US"/>
                    </w:rPr>
                    <w:t>Baseline</w:t>
                  </w:r>
                </w:p>
              </w:tc>
              <w:tc>
                <w:tcPr>
                  <w:tcW w:w="2651" w:type="dxa"/>
                </w:tcPr>
                <w:p w14:paraId="0A972D77" w14:textId="77777777" w:rsidR="003A41BE" w:rsidRDefault="003A41BE" w:rsidP="00FD44CE">
                  <w:pPr>
                    <w:jc w:val="center"/>
                    <w:rPr>
                      <w:sz w:val="22"/>
                      <w:szCs w:val="22"/>
                      <w:lang w:val="en-US"/>
                    </w:rPr>
                  </w:pPr>
                  <w:r>
                    <w:rPr>
                      <w:sz w:val="22"/>
                      <w:szCs w:val="22"/>
                      <w:lang w:val="en-US"/>
                    </w:rPr>
                    <w:t>Target</w:t>
                  </w:r>
                </w:p>
              </w:tc>
            </w:tr>
            <w:tr w:rsidR="003A41BE" w14:paraId="2C61F729" w14:textId="77777777" w:rsidTr="00FD44CE">
              <w:tc>
                <w:tcPr>
                  <w:tcW w:w="2651" w:type="dxa"/>
                </w:tcPr>
                <w:p w14:paraId="7DF5E770" w14:textId="77777777" w:rsidR="003A41BE" w:rsidRDefault="003A41BE" w:rsidP="00FD44CE">
                  <w:pPr>
                    <w:jc w:val="center"/>
                    <w:rPr>
                      <w:sz w:val="22"/>
                      <w:szCs w:val="22"/>
                      <w:lang w:val="en-US"/>
                    </w:rPr>
                  </w:pPr>
                  <w:r>
                    <w:rPr>
                      <w:rFonts w:ascii="Calibri" w:hAnsi="Calibri" w:cs="Calibri"/>
                      <w:bCs/>
                      <w:sz w:val="22"/>
                      <w:szCs w:val="22"/>
                      <w:lang w:val="en-US"/>
                    </w:rPr>
                    <w:t xml:space="preserve">MAF/FAO to establish in 2020 following </w:t>
                  </w:r>
                  <w:r>
                    <w:rPr>
                      <w:rFonts w:ascii="Calibri" w:hAnsi="Calibri" w:cs="Calibri"/>
                      <w:bCs/>
                      <w:sz w:val="22"/>
                      <w:szCs w:val="22"/>
                      <w:lang w:val="en-US"/>
                    </w:rPr>
                    <w:br/>
                    <w:t>SDG methodology</w:t>
                  </w:r>
                </w:p>
              </w:tc>
              <w:tc>
                <w:tcPr>
                  <w:tcW w:w="2651" w:type="dxa"/>
                </w:tcPr>
                <w:p w14:paraId="5DBCBB15" w14:textId="77777777" w:rsidR="003A41BE" w:rsidRDefault="003A41BE" w:rsidP="00FD44CE">
                  <w:pPr>
                    <w:jc w:val="center"/>
                    <w:rPr>
                      <w:sz w:val="22"/>
                      <w:szCs w:val="22"/>
                      <w:lang w:val="en-US"/>
                    </w:rPr>
                  </w:pPr>
                  <w:r>
                    <w:rPr>
                      <w:sz w:val="22"/>
                      <w:szCs w:val="22"/>
                      <w:lang w:val="en-US"/>
                    </w:rPr>
                    <w:t>+50 %</w:t>
                  </w:r>
                </w:p>
              </w:tc>
            </w:tr>
          </w:tbl>
          <w:p w14:paraId="4553B444" w14:textId="77777777" w:rsidR="003A41BE" w:rsidRDefault="003A41BE" w:rsidP="00FD44CE">
            <w:pPr>
              <w:autoSpaceDE w:val="0"/>
              <w:autoSpaceDN w:val="0"/>
              <w:adjustRightInd w:val="0"/>
              <w:rPr>
                <w:rFonts w:ascii="Calibri" w:hAnsi="Calibri" w:cs="Calibri"/>
                <w:sz w:val="22"/>
                <w:szCs w:val="22"/>
                <w:lang w:val="en-US"/>
              </w:rPr>
            </w:pPr>
            <w:r w:rsidRPr="003F4BC2">
              <w:rPr>
                <w:rFonts w:ascii="Calibri" w:hAnsi="Calibri" w:cs="Calibri"/>
                <w:sz w:val="22"/>
                <w:szCs w:val="22"/>
                <w:lang w:val="en-US"/>
              </w:rPr>
              <w:t>Data Source:</w:t>
            </w:r>
            <w:r w:rsidRPr="0073707D">
              <w:rPr>
                <w:rFonts w:ascii="Calibri" w:hAnsi="Calibri" w:cs="Calibri"/>
                <w:sz w:val="22"/>
                <w:szCs w:val="22"/>
                <w:lang w:val="en-US"/>
              </w:rPr>
              <w:t xml:space="preserve"> </w:t>
            </w:r>
            <w:r>
              <w:rPr>
                <w:rFonts w:ascii="Calibri" w:hAnsi="Calibri" w:cs="Calibri"/>
                <w:sz w:val="22"/>
                <w:szCs w:val="22"/>
                <w:lang w:val="en-US"/>
              </w:rPr>
              <w:t>MAF, FAO 2020</w:t>
            </w:r>
          </w:p>
          <w:p w14:paraId="37375C69" w14:textId="77777777" w:rsidR="003A41BE" w:rsidRPr="00841766" w:rsidRDefault="003A41BE" w:rsidP="00FD44CE">
            <w:pPr>
              <w:autoSpaceDE w:val="0"/>
              <w:autoSpaceDN w:val="0"/>
              <w:adjustRightInd w:val="0"/>
              <w:rPr>
                <w:rFonts w:ascii="Calibri" w:hAnsi="Calibri" w:cs="Calibri"/>
                <w:b/>
                <w:sz w:val="22"/>
                <w:szCs w:val="22"/>
                <w:lang w:val="en-US"/>
              </w:rPr>
            </w:pPr>
          </w:p>
        </w:tc>
        <w:tc>
          <w:tcPr>
            <w:tcW w:w="4229" w:type="dxa"/>
            <w:vMerge/>
          </w:tcPr>
          <w:p w14:paraId="61E0FB77" w14:textId="77777777" w:rsidR="003A41BE" w:rsidRPr="00841766" w:rsidRDefault="003A41BE" w:rsidP="00FD44CE">
            <w:pPr>
              <w:autoSpaceDE w:val="0"/>
              <w:autoSpaceDN w:val="0"/>
              <w:adjustRightInd w:val="0"/>
              <w:rPr>
                <w:rFonts w:ascii="Calibri" w:hAnsi="Calibri" w:cs="Calibri"/>
                <w:sz w:val="22"/>
                <w:szCs w:val="22"/>
                <w:lang w:val="en-US"/>
              </w:rPr>
            </w:pPr>
          </w:p>
        </w:tc>
      </w:tr>
      <w:tr w:rsidR="003A41BE" w:rsidRPr="006444BA" w14:paraId="0DEE17F5" w14:textId="77777777" w:rsidTr="00FD44CE">
        <w:trPr>
          <w:trHeight w:val="332"/>
        </w:trPr>
        <w:tc>
          <w:tcPr>
            <w:tcW w:w="4701" w:type="dxa"/>
            <w:vMerge/>
            <w:shd w:val="clear" w:color="auto" w:fill="8EAADB" w:themeFill="accent1" w:themeFillTint="99"/>
          </w:tcPr>
          <w:p w14:paraId="3B0C2B3F" w14:textId="77777777" w:rsidR="003A41BE" w:rsidRPr="00841766" w:rsidRDefault="003A41BE" w:rsidP="00FD44CE">
            <w:pPr>
              <w:jc w:val="both"/>
              <w:rPr>
                <w:rFonts w:ascii="Calibri" w:hAnsi="Calibri" w:cs="Calibri"/>
                <w:b/>
                <w:color w:val="000000"/>
                <w:sz w:val="22"/>
                <w:szCs w:val="22"/>
                <w:lang w:val="en-US"/>
              </w:rPr>
            </w:pPr>
          </w:p>
        </w:tc>
        <w:tc>
          <w:tcPr>
            <w:tcW w:w="5528" w:type="dxa"/>
            <w:shd w:val="clear" w:color="auto" w:fill="D9D9D9" w:themeFill="background1" w:themeFillShade="D9"/>
          </w:tcPr>
          <w:p w14:paraId="5CE3E3E1" w14:textId="77777777" w:rsidR="003A41BE" w:rsidRDefault="003A41BE" w:rsidP="00FD44CE">
            <w:pPr>
              <w:autoSpaceDE w:val="0"/>
              <w:autoSpaceDN w:val="0"/>
              <w:adjustRightInd w:val="0"/>
              <w:rPr>
                <w:rFonts w:ascii="Calibri" w:hAnsi="Calibri" w:cs="Calibri"/>
                <w:sz w:val="22"/>
                <w:szCs w:val="22"/>
                <w:lang w:val="en-US"/>
              </w:rPr>
            </w:pPr>
            <w:r w:rsidRPr="00841766">
              <w:rPr>
                <w:rFonts w:ascii="Calibri" w:hAnsi="Calibri" w:cs="Calibri"/>
                <w:b/>
                <w:sz w:val="22"/>
                <w:szCs w:val="22"/>
                <w:lang w:val="en-US"/>
              </w:rPr>
              <w:t xml:space="preserve">Indicator 1.2.3: </w:t>
            </w:r>
            <w:r w:rsidRPr="00F6359B">
              <w:rPr>
                <w:rFonts w:ascii="Calibri" w:hAnsi="Calibri" w:cs="Calibri"/>
                <w:sz w:val="22"/>
                <w:szCs w:val="22"/>
                <w:lang w:val="en-US"/>
              </w:rPr>
              <w:t>Proportion of agricultural area under productive and sustainable agriculture</w:t>
            </w:r>
            <w:r w:rsidRPr="00F6359B" w:rsidDel="00F6359B">
              <w:rPr>
                <w:rFonts w:ascii="Calibri" w:hAnsi="Calibri" w:cs="Calibri"/>
                <w:sz w:val="22"/>
                <w:szCs w:val="22"/>
                <w:lang w:val="en-US"/>
              </w:rPr>
              <w:t xml:space="preserve"> </w:t>
            </w:r>
            <w:r w:rsidRPr="00841766">
              <w:rPr>
                <w:rFonts w:ascii="Calibri" w:hAnsi="Calibri" w:cs="Calibri"/>
                <w:sz w:val="22"/>
                <w:szCs w:val="22"/>
                <w:lang w:val="en-US"/>
              </w:rPr>
              <w:t>(SDG indicator 2.4.1)</w:t>
            </w:r>
          </w:p>
          <w:tbl>
            <w:tblPr>
              <w:tblStyle w:val="TableGrid"/>
              <w:tblW w:w="0" w:type="auto"/>
              <w:tblLayout w:type="fixed"/>
              <w:tblLook w:val="04A0" w:firstRow="1" w:lastRow="0" w:firstColumn="1" w:lastColumn="0" w:noHBand="0" w:noVBand="1"/>
            </w:tblPr>
            <w:tblGrid>
              <w:gridCol w:w="2651"/>
              <w:gridCol w:w="2651"/>
            </w:tblGrid>
            <w:tr w:rsidR="003A41BE" w14:paraId="1047AC6C" w14:textId="77777777" w:rsidTr="00FD44CE">
              <w:tc>
                <w:tcPr>
                  <w:tcW w:w="2651" w:type="dxa"/>
                </w:tcPr>
                <w:p w14:paraId="2DAA2055" w14:textId="77777777" w:rsidR="003A41BE" w:rsidRDefault="003A41BE" w:rsidP="00FD44CE">
                  <w:pPr>
                    <w:jc w:val="center"/>
                    <w:rPr>
                      <w:sz w:val="22"/>
                      <w:szCs w:val="22"/>
                      <w:lang w:val="en-US"/>
                    </w:rPr>
                  </w:pPr>
                  <w:r>
                    <w:rPr>
                      <w:sz w:val="22"/>
                      <w:szCs w:val="22"/>
                      <w:lang w:val="en-US"/>
                    </w:rPr>
                    <w:t>Baseline</w:t>
                  </w:r>
                </w:p>
              </w:tc>
              <w:tc>
                <w:tcPr>
                  <w:tcW w:w="2651" w:type="dxa"/>
                </w:tcPr>
                <w:p w14:paraId="72A71E70" w14:textId="77777777" w:rsidR="003A41BE" w:rsidRDefault="003A41BE" w:rsidP="00FD44CE">
                  <w:pPr>
                    <w:jc w:val="center"/>
                    <w:rPr>
                      <w:sz w:val="22"/>
                      <w:szCs w:val="22"/>
                      <w:lang w:val="en-US"/>
                    </w:rPr>
                  </w:pPr>
                  <w:r>
                    <w:rPr>
                      <w:sz w:val="22"/>
                      <w:szCs w:val="22"/>
                      <w:lang w:val="en-US"/>
                    </w:rPr>
                    <w:t>Target</w:t>
                  </w:r>
                </w:p>
              </w:tc>
            </w:tr>
            <w:tr w:rsidR="003A41BE" w14:paraId="6DD84324" w14:textId="77777777" w:rsidTr="00FD44CE">
              <w:tc>
                <w:tcPr>
                  <w:tcW w:w="2651" w:type="dxa"/>
                </w:tcPr>
                <w:p w14:paraId="28AE56EB" w14:textId="77777777" w:rsidR="003A41BE" w:rsidRDefault="003A41BE" w:rsidP="00FD44CE">
                  <w:pPr>
                    <w:jc w:val="center"/>
                    <w:rPr>
                      <w:sz w:val="22"/>
                      <w:szCs w:val="22"/>
                      <w:lang w:val="en-US"/>
                    </w:rPr>
                  </w:pPr>
                  <w:r>
                    <w:rPr>
                      <w:rFonts w:ascii="Calibri" w:hAnsi="Calibri" w:cs="Calibri"/>
                      <w:bCs/>
                      <w:sz w:val="22"/>
                      <w:szCs w:val="22"/>
                      <w:lang w:val="en-US"/>
                    </w:rPr>
                    <w:t xml:space="preserve">MAF/FAO to establish in 2020 following </w:t>
                  </w:r>
                  <w:r>
                    <w:rPr>
                      <w:rFonts w:ascii="Calibri" w:hAnsi="Calibri" w:cs="Calibri"/>
                      <w:bCs/>
                      <w:sz w:val="22"/>
                      <w:szCs w:val="22"/>
                      <w:lang w:val="en-US"/>
                    </w:rPr>
                    <w:br/>
                    <w:t>SDG methodology</w:t>
                  </w:r>
                </w:p>
              </w:tc>
              <w:tc>
                <w:tcPr>
                  <w:tcW w:w="2651" w:type="dxa"/>
                </w:tcPr>
                <w:p w14:paraId="43494B3D" w14:textId="77777777" w:rsidR="003A41BE" w:rsidRDefault="003A41BE" w:rsidP="00FD44CE">
                  <w:pPr>
                    <w:jc w:val="center"/>
                    <w:rPr>
                      <w:sz w:val="22"/>
                      <w:szCs w:val="22"/>
                      <w:lang w:val="en-US"/>
                    </w:rPr>
                  </w:pPr>
                  <w:r>
                    <w:rPr>
                      <w:sz w:val="22"/>
                      <w:szCs w:val="22"/>
                      <w:lang w:val="en-US"/>
                    </w:rPr>
                    <w:t xml:space="preserve">Increased </w:t>
                  </w:r>
                </w:p>
              </w:tc>
            </w:tr>
          </w:tbl>
          <w:p w14:paraId="1C94B012" w14:textId="77777777" w:rsidR="003A41BE" w:rsidRDefault="003A41BE" w:rsidP="00FD44CE">
            <w:pPr>
              <w:autoSpaceDE w:val="0"/>
              <w:autoSpaceDN w:val="0"/>
              <w:adjustRightInd w:val="0"/>
              <w:rPr>
                <w:rFonts w:ascii="Calibri" w:hAnsi="Calibri" w:cs="Calibri"/>
                <w:sz w:val="22"/>
                <w:szCs w:val="22"/>
                <w:lang w:val="en-US"/>
              </w:rPr>
            </w:pPr>
            <w:r w:rsidRPr="00DA2276">
              <w:rPr>
                <w:rFonts w:ascii="Calibri" w:hAnsi="Calibri" w:cs="Calibri"/>
                <w:sz w:val="22"/>
                <w:szCs w:val="22"/>
                <w:lang w:val="en-US"/>
              </w:rPr>
              <w:t xml:space="preserve">Data Source: </w:t>
            </w:r>
            <w:r>
              <w:rPr>
                <w:rFonts w:ascii="Calibri" w:hAnsi="Calibri" w:cs="Calibri"/>
                <w:sz w:val="22"/>
                <w:szCs w:val="22"/>
                <w:lang w:val="en-US"/>
              </w:rPr>
              <w:t>MAF, FAO 2020</w:t>
            </w:r>
          </w:p>
          <w:p w14:paraId="0F335CE9" w14:textId="77777777" w:rsidR="003A41BE" w:rsidRPr="00841766" w:rsidRDefault="003A41BE" w:rsidP="00FD44CE">
            <w:pPr>
              <w:autoSpaceDE w:val="0"/>
              <w:autoSpaceDN w:val="0"/>
              <w:adjustRightInd w:val="0"/>
              <w:rPr>
                <w:rFonts w:ascii="Calibri" w:hAnsi="Calibri" w:cs="Calibri"/>
                <w:b/>
                <w:sz w:val="22"/>
                <w:szCs w:val="22"/>
                <w:lang w:val="en-US"/>
              </w:rPr>
            </w:pPr>
          </w:p>
        </w:tc>
        <w:tc>
          <w:tcPr>
            <w:tcW w:w="4229" w:type="dxa"/>
            <w:vMerge/>
          </w:tcPr>
          <w:p w14:paraId="40801D3A" w14:textId="77777777" w:rsidR="003A41BE" w:rsidRPr="00841766" w:rsidRDefault="003A41BE" w:rsidP="00FD44CE">
            <w:pPr>
              <w:autoSpaceDE w:val="0"/>
              <w:autoSpaceDN w:val="0"/>
              <w:adjustRightInd w:val="0"/>
              <w:rPr>
                <w:rFonts w:ascii="Calibri" w:hAnsi="Calibri" w:cs="Calibri"/>
                <w:sz w:val="22"/>
                <w:szCs w:val="22"/>
                <w:lang w:val="en-US"/>
              </w:rPr>
            </w:pPr>
          </w:p>
        </w:tc>
      </w:tr>
      <w:tr w:rsidR="003A41BE" w:rsidRPr="006444BA" w14:paraId="74404146" w14:textId="77777777" w:rsidTr="00FD44CE">
        <w:trPr>
          <w:trHeight w:val="1413"/>
        </w:trPr>
        <w:tc>
          <w:tcPr>
            <w:tcW w:w="4701" w:type="dxa"/>
            <w:vMerge/>
            <w:tcBorders>
              <w:bottom w:val="single" w:sz="4" w:space="0" w:color="auto"/>
            </w:tcBorders>
            <w:shd w:val="clear" w:color="auto" w:fill="8EAADB" w:themeFill="accent1" w:themeFillTint="99"/>
          </w:tcPr>
          <w:p w14:paraId="0219DC56" w14:textId="77777777" w:rsidR="003A41BE" w:rsidRPr="00841766" w:rsidRDefault="003A41BE" w:rsidP="00FD44CE">
            <w:pPr>
              <w:jc w:val="both"/>
              <w:rPr>
                <w:rFonts w:ascii="Calibri" w:hAnsi="Calibri" w:cs="Calibri"/>
                <w:b/>
                <w:color w:val="000000"/>
                <w:sz w:val="22"/>
                <w:szCs w:val="22"/>
                <w:lang w:val="en-US"/>
              </w:rPr>
            </w:pPr>
          </w:p>
        </w:tc>
        <w:tc>
          <w:tcPr>
            <w:tcW w:w="5528" w:type="dxa"/>
            <w:tcBorders>
              <w:bottom w:val="single" w:sz="4" w:space="0" w:color="auto"/>
            </w:tcBorders>
            <w:shd w:val="clear" w:color="auto" w:fill="D9D9D9" w:themeFill="background1" w:themeFillShade="D9"/>
          </w:tcPr>
          <w:p w14:paraId="352689E9" w14:textId="77777777" w:rsidR="003A41BE" w:rsidRDefault="003A41BE" w:rsidP="00FD44CE">
            <w:pPr>
              <w:rPr>
                <w:rFonts w:ascii="Calibri" w:hAnsi="Calibri" w:cs="Calibri"/>
                <w:sz w:val="22"/>
                <w:szCs w:val="22"/>
                <w:lang w:val="en-US"/>
              </w:rPr>
            </w:pPr>
            <w:r w:rsidRPr="00841766">
              <w:rPr>
                <w:rFonts w:ascii="Calibri" w:hAnsi="Calibri" w:cs="Calibri"/>
                <w:b/>
                <w:sz w:val="22"/>
                <w:szCs w:val="22"/>
                <w:lang w:val="en-US"/>
              </w:rPr>
              <w:t xml:space="preserve">Indicator 1.2.4: </w:t>
            </w:r>
            <w:r w:rsidRPr="00841766">
              <w:rPr>
                <w:rFonts w:ascii="Calibri" w:hAnsi="Calibri" w:cs="Calibri"/>
                <w:sz w:val="22"/>
                <w:szCs w:val="22"/>
                <w:lang w:val="en-US"/>
              </w:rPr>
              <w:t>Sustainable fisheries as a proportion of GDP (SDG indicator 14.7.1 )</w:t>
            </w:r>
          </w:p>
          <w:tbl>
            <w:tblPr>
              <w:tblStyle w:val="TableGrid"/>
              <w:tblW w:w="0" w:type="auto"/>
              <w:tblLayout w:type="fixed"/>
              <w:tblLook w:val="04A0" w:firstRow="1" w:lastRow="0" w:firstColumn="1" w:lastColumn="0" w:noHBand="0" w:noVBand="1"/>
            </w:tblPr>
            <w:tblGrid>
              <w:gridCol w:w="2770"/>
              <w:gridCol w:w="1620"/>
            </w:tblGrid>
            <w:tr w:rsidR="003A41BE" w14:paraId="13C614F6" w14:textId="77777777" w:rsidTr="00FD44CE">
              <w:tc>
                <w:tcPr>
                  <w:tcW w:w="2770" w:type="dxa"/>
                </w:tcPr>
                <w:p w14:paraId="2285921B" w14:textId="77777777" w:rsidR="003A41BE" w:rsidRDefault="003A41BE" w:rsidP="00FD44CE">
                  <w:pPr>
                    <w:jc w:val="center"/>
                    <w:rPr>
                      <w:sz w:val="22"/>
                      <w:szCs w:val="22"/>
                      <w:lang w:val="en-US"/>
                    </w:rPr>
                  </w:pPr>
                  <w:r>
                    <w:rPr>
                      <w:sz w:val="22"/>
                      <w:szCs w:val="22"/>
                      <w:lang w:val="en-US"/>
                    </w:rPr>
                    <w:t>Baseline</w:t>
                  </w:r>
                </w:p>
              </w:tc>
              <w:tc>
                <w:tcPr>
                  <w:tcW w:w="1620" w:type="dxa"/>
                </w:tcPr>
                <w:p w14:paraId="7942D3D9" w14:textId="77777777" w:rsidR="003A41BE" w:rsidRDefault="003A41BE" w:rsidP="00FD44CE">
                  <w:pPr>
                    <w:jc w:val="center"/>
                    <w:rPr>
                      <w:sz w:val="22"/>
                      <w:szCs w:val="22"/>
                      <w:lang w:val="en-US"/>
                    </w:rPr>
                  </w:pPr>
                  <w:r>
                    <w:rPr>
                      <w:sz w:val="22"/>
                      <w:szCs w:val="22"/>
                      <w:lang w:val="en-US"/>
                    </w:rPr>
                    <w:t>Target</w:t>
                  </w:r>
                </w:p>
              </w:tc>
            </w:tr>
            <w:tr w:rsidR="003A41BE" w14:paraId="683F1398" w14:textId="77777777" w:rsidTr="00FD44CE">
              <w:tc>
                <w:tcPr>
                  <w:tcW w:w="2770" w:type="dxa"/>
                </w:tcPr>
                <w:p w14:paraId="311ECEDA" w14:textId="77777777" w:rsidR="003A41BE" w:rsidRDefault="003A41BE" w:rsidP="00FD44CE">
                  <w:pPr>
                    <w:jc w:val="center"/>
                    <w:rPr>
                      <w:sz w:val="22"/>
                      <w:szCs w:val="22"/>
                      <w:lang w:val="en-US"/>
                    </w:rPr>
                  </w:pPr>
                  <w:r>
                    <w:rPr>
                      <w:rFonts w:ascii="Calibri" w:hAnsi="Calibri" w:cs="Calibri"/>
                      <w:bCs/>
                      <w:sz w:val="22"/>
                      <w:szCs w:val="22"/>
                      <w:lang w:val="en-US"/>
                    </w:rPr>
                    <w:t xml:space="preserve">MAF/FAO to establish in 2020 following </w:t>
                  </w:r>
                  <w:r>
                    <w:rPr>
                      <w:rFonts w:ascii="Calibri" w:hAnsi="Calibri" w:cs="Calibri"/>
                      <w:bCs/>
                      <w:sz w:val="22"/>
                      <w:szCs w:val="22"/>
                      <w:lang w:val="en-US"/>
                    </w:rPr>
                    <w:br/>
                    <w:t>SDG methodology</w:t>
                  </w:r>
                </w:p>
              </w:tc>
              <w:tc>
                <w:tcPr>
                  <w:tcW w:w="1620" w:type="dxa"/>
                </w:tcPr>
                <w:p w14:paraId="05F23E7E" w14:textId="77777777" w:rsidR="003A41BE" w:rsidRDefault="003A41BE" w:rsidP="00FD44CE">
                  <w:pPr>
                    <w:jc w:val="center"/>
                    <w:rPr>
                      <w:sz w:val="22"/>
                      <w:szCs w:val="22"/>
                      <w:lang w:val="en-US"/>
                    </w:rPr>
                  </w:pPr>
                  <w:r w:rsidRPr="00C54222">
                    <w:rPr>
                      <w:sz w:val="22"/>
                      <w:szCs w:val="22"/>
                      <w:lang w:val="en-US"/>
                    </w:rPr>
                    <w:t>&gt; 1.25%</w:t>
                  </w:r>
                </w:p>
                <w:p w14:paraId="39540B37" w14:textId="77777777" w:rsidR="003A41BE" w:rsidRDefault="003A41BE" w:rsidP="00FD44CE">
                  <w:pPr>
                    <w:jc w:val="center"/>
                    <w:rPr>
                      <w:sz w:val="22"/>
                      <w:szCs w:val="22"/>
                      <w:lang w:val="en-US"/>
                    </w:rPr>
                  </w:pPr>
                  <w:r>
                    <w:rPr>
                      <w:sz w:val="22"/>
                      <w:szCs w:val="22"/>
                      <w:lang w:val="en-US"/>
                    </w:rPr>
                    <w:t>Increased</w:t>
                  </w:r>
                </w:p>
              </w:tc>
            </w:tr>
          </w:tbl>
          <w:p w14:paraId="56DFAD85" w14:textId="77777777" w:rsidR="003A41BE" w:rsidRDefault="003A41BE" w:rsidP="00FD44CE">
            <w:pPr>
              <w:autoSpaceDE w:val="0"/>
              <w:autoSpaceDN w:val="0"/>
              <w:adjustRightInd w:val="0"/>
              <w:rPr>
                <w:rFonts w:ascii="Calibri" w:hAnsi="Calibri" w:cs="Calibri"/>
                <w:sz w:val="22"/>
                <w:szCs w:val="22"/>
                <w:lang w:val="en-US"/>
              </w:rPr>
            </w:pPr>
            <w:r w:rsidRPr="00DA2276">
              <w:rPr>
                <w:rFonts w:ascii="Calibri" w:hAnsi="Calibri" w:cs="Calibri"/>
                <w:sz w:val="22"/>
                <w:szCs w:val="22"/>
                <w:lang w:val="en-US"/>
              </w:rPr>
              <w:t xml:space="preserve">Data Source: </w:t>
            </w:r>
            <w:r>
              <w:rPr>
                <w:rFonts w:ascii="Calibri" w:hAnsi="Calibri" w:cs="Calibri"/>
                <w:sz w:val="22"/>
                <w:szCs w:val="22"/>
                <w:lang w:val="en-US"/>
              </w:rPr>
              <w:t>MAF, FAO 2020</w:t>
            </w:r>
          </w:p>
          <w:p w14:paraId="5E10B875" w14:textId="77777777" w:rsidR="003A41BE" w:rsidRPr="00841766" w:rsidRDefault="003A41BE" w:rsidP="00FD44CE">
            <w:pPr>
              <w:autoSpaceDE w:val="0"/>
              <w:autoSpaceDN w:val="0"/>
              <w:adjustRightInd w:val="0"/>
              <w:rPr>
                <w:rFonts w:ascii="Calibri" w:hAnsi="Calibri" w:cs="Calibri"/>
                <w:b/>
                <w:sz w:val="22"/>
                <w:szCs w:val="22"/>
                <w:lang w:val="en-US"/>
              </w:rPr>
            </w:pPr>
          </w:p>
        </w:tc>
        <w:tc>
          <w:tcPr>
            <w:tcW w:w="4229" w:type="dxa"/>
            <w:vMerge/>
            <w:tcBorders>
              <w:bottom w:val="single" w:sz="4" w:space="0" w:color="auto"/>
            </w:tcBorders>
          </w:tcPr>
          <w:p w14:paraId="428144FC" w14:textId="77777777" w:rsidR="003A41BE" w:rsidRPr="00841766" w:rsidRDefault="003A41BE" w:rsidP="00FD44CE">
            <w:pPr>
              <w:autoSpaceDE w:val="0"/>
              <w:autoSpaceDN w:val="0"/>
              <w:adjustRightInd w:val="0"/>
              <w:rPr>
                <w:rFonts w:ascii="Calibri" w:hAnsi="Calibri" w:cs="Calibri"/>
                <w:sz w:val="22"/>
                <w:szCs w:val="22"/>
                <w:lang w:val="en-US"/>
              </w:rPr>
            </w:pPr>
          </w:p>
        </w:tc>
      </w:tr>
    </w:tbl>
    <w:tbl>
      <w:tblPr>
        <w:tblpPr w:leftFromText="141" w:rightFromText="141" w:vertAnchor="text" w:tblpX="421" w:tblpY="1"/>
        <w:tblOverlap w:val="never"/>
        <w:tblW w:w="14458" w:type="dxa"/>
        <w:tblLayout w:type="fixed"/>
        <w:tblLook w:val="04A0" w:firstRow="1" w:lastRow="0" w:firstColumn="1" w:lastColumn="0" w:noHBand="0" w:noVBand="1"/>
      </w:tblPr>
      <w:tblGrid>
        <w:gridCol w:w="4529"/>
        <w:gridCol w:w="6"/>
        <w:gridCol w:w="279"/>
        <w:gridCol w:w="5131"/>
        <w:gridCol w:w="397"/>
        <w:gridCol w:w="4116"/>
      </w:tblGrid>
      <w:tr w:rsidR="003A41BE" w:rsidRPr="006444BA" w14:paraId="4E88AECF" w14:textId="77777777" w:rsidTr="53E3C463">
        <w:trPr>
          <w:trHeight w:val="549"/>
        </w:trPr>
        <w:tc>
          <w:tcPr>
            <w:tcW w:w="4814" w:type="dxa"/>
            <w:gridSpan w:val="3"/>
            <w:tcBorders>
              <w:top w:val="single" w:sz="4" w:space="0" w:color="auto"/>
              <w:left w:val="single" w:sz="4" w:space="0" w:color="auto"/>
              <w:right w:val="single" w:sz="4" w:space="0" w:color="auto"/>
            </w:tcBorders>
            <w:shd w:val="clear" w:color="auto" w:fill="2F5496" w:themeFill="accent1" w:themeFillShade="BF"/>
            <w:vAlign w:val="center"/>
          </w:tcPr>
          <w:p w14:paraId="60151071" w14:textId="77777777" w:rsidR="003A41BE" w:rsidRPr="00841766" w:rsidRDefault="003A41BE" w:rsidP="00FD44CE">
            <w:pPr>
              <w:tabs>
                <w:tab w:val="left" w:pos="245"/>
              </w:tabs>
              <w:autoSpaceDE w:val="0"/>
              <w:autoSpaceDN w:val="0"/>
              <w:adjustRightInd w:val="0"/>
              <w:rPr>
                <w:rFonts w:cstheme="minorHAnsi"/>
                <w:sz w:val="26"/>
                <w:szCs w:val="26"/>
                <w:lang w:val="en-US"/>
              </w:rPr>
            </w:pPr>
            <w:r>
              <w:rPr>
                <w:rStyle w:val="FootnoteReference"/>
                <w:rFonts w:cstheme="minorHAnsi"/>
                <w:color w:val="FFFFFF" w:themeColor="background1"/>
                <w:sz w:val="26"/>
                <w:szCs w:val="26"/>
                <w:lang w:val="en-US"/>
              </w:rPr>
              <w:footnoteReference w:id="74"/>
            </w:r>
            <w:r w:rsidRPr="00841766">
              <w:rPr>
                <w:rFonts w:cstheme="minorHAnsi"/>
                <w:color w:val="FFFFFF" w:themeColor="background1"/>
                <w:sz w:val="26"/>
                <w:szCs w:val="26"/>
                <w:lang w:val="en-US"/>
              </w:rPr>
              <w:t xml:space="preserve">UNSDCF Strategic Priority 2 </w:t>
            </w:r>
          </w:p>
        </w:tc>
        <w:tc>
          <w:tcPr>
            <w:tcW w:w="9644" w:type="dxa"/>
            <w:gridSpan w:val="3"/>
            <w:tcBorders>
              <w:top w:val="single" w:sz="4" w:space="0" w:color="auto"/>
              <w:left w:val="single" w:sz="4" w:space="0" w:color="auto"/>
              <w:right w:val="single" w:sz="4" w:space="0" w:color="auto"/>
            </w:tcBorders>
            <w:shd w:val="clear" w:color="auto" w:fill="2F5496" w:themeFill="accent1" w:themeFillShade="BF"/>
            <w:vAlign w:val="center"/>
          </w:tcPr>
          <w:p w14:paraId="23249C30" w14:textId="77777777" w:rsidR="003A41BE" w:rsidRPr="00841766" w:rsidRDefault="003A41BE" w:rsidP="00FD44CE">
            <w:pPr>
              <w:tabs>
                <w:tab w:val="left" w:pos="245"/>
              </w:tabs>
              <w:autoSpaceDE w:val="0"/>
              <w:autoSpaceDN w:val="0"/>
              <w:adjustRightInd w:val="0"/>
              <w:jc w:val="center"/>
              <w:rPr>
                <w:rFonts w:cstheme="minorHAnsi"/>
                <w:sz w:val="26"/>
                <w:szCs w:val="26"/>
                <w:lang w:val="en-US"/>
              </w:rPr>
            </w:pPr>
            <w:r w:rsidRPr="00841766">
              <w:rPr>
                <w:rFonts w:cstheme="minorHAnsi"/>
                <w:color w:val="FFFFFF" w:themeColor="background1"/>
                <w:sz w:val="26"/>
                <w:szCs w:val="26"/>
                <w:lang w:val="en-US"/>
              </w:rPr>
              <w:t>SUSTAINABLE ECONOMIC OPPORTUNITIES AND DECENT WORK FOR ALL</w:t>
            </w:r>
          </w:p>
        </w:tc>
      </w:tr>
      <w:tr w:rsidR="003A41BE" w:rsidRPr="00841766" w14:paraId="626020F9"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A71F14" w14:textId="77777777" w:rsidR="003A41BE" w:rsidRPr="00841766" w:rsidRDefault="003A41BE" w:rsidP="00FD44CE">
            <w:pPr>
              <w:autoSpaceDE w:val="0"/>
              <w:autoSpaceDN w:val="0"/>
              <w:adjustRightInd w:val="0"/>
              <w:rPr>
                <w:rFonts w:cstheme="minorHAnsi"/>
                <w:b/>
                <w:color w:val="000000" w:themeColor="text1"/>
                <w:lang w:val="en-US"/>
              </w:rPr>
            </w:pPr>
            <w:r w:rsidRPr="00841766">
              <w:rPr>
                <w:rFonts w:cstheme="minorHAnsi"/>
                <w:b/>
                <w:lang w:val="en-US"/>
              </w:rPr>
              <w:t xml:space="preserve">Related Global SDG Targets </w:t>
            </w:r>
            <w:r w:rsidRPr="00841766">
              <w:rPr>
                <w:rFonts w:cstheme="minorHAnsi"/>
                <w:lang w:val="en-US" w:eastAsia="en-GB"/>
              </w:rPr>
              <w:t xml:space="preserve"> </w:t>
            </w:r>
          </w:p>
        </w:tc>
      </w:tr>
      <w:tr w:rsidR="003A41BE" w:rsidRPr="006444BA" w14:paraId="3C5780EC"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DDE114" w14:textId="77777777" w:rsidR="003A41BE" w:rsidRPr="00841766" w:rsidRDefault="003A41BE" w:rsidP="00FD44CE">
            <w:pPr>
              <w:pStyle w:val="Default"/>
              <w:spacing w:before="63" w:after="63"/>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8.3 Promote development-oriented policies that support productive activities, decent job creation, entrepreneurship, creativity and innovation, and encourage the formalization and growth of micro-, small-and medium-sized enterprises, including through access to financial services </w:t>
            </w:r>
          </w:p>
          <w:p w14:paraId="07106FF8" w14:textId="77777777" w:rsidR="003A41BE" w:rsidRPr="00841766" w:rsidRDefault="003A41BE" w:rsidP="00FD44CE">
            <w:pPr>
              <w:pStyle w:val="Default"/>
              <w:spacing w:after="63"/>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8.5 By 2030, achieve full and productive employment and decent work for all women and men, including for young people and persons with disabilities, and equal pay for work of equal value </w:t>
            </w:r>
          </w:p>
          <w:p w14:paraId="1CA43D4F" w14:textId="77777777" w:rsidR="003A41BE" w:rsidRPr="00841766" w:rsidRDefault="003A41BE" w:rsidP="00FD44CE">
            <w:pPr>
              <w:pStyle w:val="Default"/>
              <w:spacing w:after="63"/>
              <w:rPr>
                <w:rFonts w:asciiTheme="minorHAnsi" w:hAnsiTheme="minorHAnsi" w:cstheme="minorHAnsi"/>
                <w:sz w:val="22"/>
                <w:szCs w:val="22"/>
                <w:lang w:val="en-US"/>
              </w:rPr>
            </w:pPr>
            <w:r w:rsidRPr="00841766">
              <w:rPr>
                <w:rFonts w:asciiTheme="minorHAnsi" w:hAnsiTheme="minorHAnsi" w:cstheme="minorHAnsi"/>
                <w:sz w:val="22"/>
                <w:szCs w:val="22"/>
                <w:lang w:val="en-US"/>
              </w:rPr>
              <w:t>8.6 By 2020, substantially reduce the proportion of youth not in employment, education or training</w:t>
            </w:r>
          </w:p>
          <w:p w14:paraId="63D0CCB9" w14:textId="77777777" w:rsidR="003A41BE" w:rsidRPr="00841766" w:rsidRDefault="003A41BE" w:rsidP="00FD44CE">
            <w:pPr>
              <w:pStyle w:val="Default"/>
              <w:spacing w:after="63"/>
              <w:rPr>
                <w:rFonts w:asciiTheme="minorHAnsi" w:hAnsiTheme="minorHAnsi" w:cstheme="minorHAnsi"/>
                <w:b/>
                <w:sz w:val="22"/>
                <w:szCs w:val="22"/>
                <w:lang w:val="en-US"/>
              </w:rPr>
            </w:pPr>
            <w:r w:rsidRPr="00841766">
              <w:rPr>
                <w:rFonts w:asciiTheme="minorHAnsi" w:hAnsiTheme="minorHAnsi" w:cstheme="minorHAnsi"/>
                <w:sz w:val="22"/>
                <w:szCs w:val="22"/>
                <w:lang w:val="en-US"/>
              </w:rPr>
              <w:t xml:space="preserve">8.8 Protect </w:t>
            </w:r>
            <w:proofErr w:type="spellStart"/>
            <w:r w:rsidRPr="00841766">
              <w:rPr>
                <w:rFonts w:asciiTheme="minorHAnsi" w:hAnsiTheme="minorHAnsi" w:cstheme="minorHAnsi"/>
                <w:sz w:val="22"/>
                <w:szCs w:val="22"/>
                <w:lang w:val="en-US"/>
              </w:rPr>
              <w:t>labour</w:t>
            </w:r>
            <w:proofErr w:type="spellEnd"/>
            <w:r w:rsidRPr="00841766">
              <w:rPr>
                <w:rFonts w:asciiTheme="minorHAnsi" w:hAnsiTheme="minorHAnsi" w:cstheme="minorHAnsi"/>
                <w:sz w:val="22"/>
                <w:szCs w:val="22"/>
                <w:lang w:val="en-US"/>
              </w:rPr>
              <w:t xml:space="preserve"> rights and promote safe and secure working environments for all workers, including migrant workers, in particular women migrants, and those in precarious employment</w:t>
            </w:r>
            <w:r w:rsidRPr="00841766">
              <w:rPr>
                <w:rFonts w:asciiTheme="minorHAnsi" w:hAnsiTheme="minorHAnsi" w:cstheme="minorHAnsi"/>
                <w:b/>
                <w:sz w:val="22"/>
                <w:szCs w:val="22"/>
                <w:lang w:val="en-US"/>
              </w:rPr>
              <w:t xml:space="preserve"> </w:t>
            </w:r>
          </w:p>
          <w:p w14:paraId="5C4ACAEB" w14:textId="77777777" w:rsidR="003A41BE" w:rsidRPr="00841766" w:rsidRDefault="003A41BE" w:rsidP="00FD44CE">
            <w:pPr>
              <w:pStyle w:val="Default"/>
              <w:spacing w:after="63"/>
              <w:rPr>
                <w:rFonts w:asciiTheme="minorHAnsi" w:hAnsiTheme="minorHAnsi" w:cstheme="minorHAnsi"/>
                <w:b/>
                <w:sz w:val="22"/>
                <w:szCs w:val="22"/>
                <w:lang w:val="en-US"/>
              </w:rPr>
            </w:pPr>
            <w:r w:rsidRPr="00841766">
              <w:rPr>
                <w:rFonts w:asciiTheme="minorHAnsi" w:hAnsiTheme="minorHAnsi"/>
                <w:sz w:val="22"/>
                <w:szCs w:val="22"/>
                <w:lang w:val="en-US"/>
              </w:rPr>
              <w:t xml:space="preserve">9.3 Increase the access of small-scale industrial and other enterprises, in particular in developing countries, to financial services, including affordable credit, and their integration into value chains and markets </w:t>
            </w:r>
          </w:p>
        </w:tc>
      </w:tr>
      <w:tr w:rsidR="003A41BE" w:rsidRPr="006444BA" w14:paraId="1E2C9244" w14:textId="77777777" w:rsidTr="53E3C463">
        <w:trPr>
          <w:trHeight w:val="1074"/>
        </w:trPr>
        <w:tc>
          <w:tcPr>
            <w:tcW w:w="14458" w:type="dxa"/>
            <w:gridSpan w:val="6"/>
            <w:tcBorders>
              <w:top w:val="single" w:sz="4" w:space="0" w:color="auto"/>
              <w:left w:val="single" w:sz="4" w:space="0" w:color="auto"/>
              <w:right w:val="single" w:sz="4" w:space="0" w:color="auto"/>
            </w:tcBorders>
            <w:shd w:val="clear" w:color="auto" w:fill="2F5496" w:themeFill="accent1" w:themeFillShade="BF"/>
            <w:vAlign w:val="center"/>
          </w:tcPr>
          <w:p w14:paraId="03F9B8A0" w14:textId="77777777" w:rsidR="003A41BE" w:rsidRPr="00841766" w:rsidRDefault="003A41BE" w:rsidP="00FD44CE">
            <w:pPr>
              <w:pStyle w:val="ListParagraph"/>
              <w:tabs>
                <w:tab w:val="left" w:pos="245"/>
              </w:tabs>
              <w:autoSpaceDE w:val="0"/>
              <w:autoSpaceDN w:val="0"/>
              <w:adjustRightInd w:val="0"/>
              <w:ind w:left="18"/>
              <w:rPr>
                <w:rFonts w:cstheme="minorHAnsi"/>
                <w:color w:val="FFFFFF" w:themeColor="background1"/>
                <w:sz w:val="26"/>
                <w:szCs w:val="26"/>
                <w:lang w:val="en-US"/>
              </w:rPr>
            </w:pPr>
            <w:r w:rsidRPr="00841766">
              <w:rPr>
                <w:rFonts w:cstheme="minorHAnsi"/>
                <w:b/>
                <w:color w:val="FFFFFF" w:themeColor="background1"/>
                <w:sz w:val="26"/>
                <w:szCs w:val="26"/>
                <w:lang w:val="en-US"/>
              </w:rPr>
              <w:lastRenderedPageBreak/>
              <w:t>UNSDCF OUTCOME 2:</w:t>
            </w:r>
            <w:r w:rsidRPr="00841766">
              <w:rPr>
                <w:rFonts w:cstheme="minorHAnsi"/>
                <w:color w:val="FFFFFF" w:themeColor="background1"/>
                <w:sz w:val="26"/>
                <w:szCs w:val="26"/>
                <w:lang w:val="en-US"/>
              </w:rPr>
              <w:t xml:space="preserve"> </w:t>
            </w:r>
            <w:bookmarkStart w:id="157" w:name="_Hlk32928072"/>
            <w:r w:rsidRPr="00841766">
              <w:rPr>
                <w:rFonts w:cstheme="minorHAnsi"/>
                <w:bCs/>
                <w:color w:val="FFFFFF" w:themeColor="background1"/>
                <w:sz w:val="26"/>
                <w:szCs w:val="26"/>
                <w:lang w:val="en-US"/>
              </w:rPr>
              <w:t>By 2025, institutions and people throughout Timor-Leste in all their diversity, especially women and youth, benefit from sustainable economic opportunities and decent work to reduce poverty</w:t>
            </w:r>
            <w:bookmarkEnd w:id="157"/>
          </w:p>
        </w:tc>
      </w:tr>
      <w:tr w:rsidR="003A41BE" w:rsidRPr="00841766" w14:paraId="61CE0C4F"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F400C3" w14:textId="77777777" w:rsidR="003A41BE" w:rsidRPr="00841766" w:rsidRDefault="003A41BE" w:rsidP="00FD44CE">
            <w:pPr>
              <w:autoSpaceDE w:val="0"/>
              <w:autoSpaceDN w:val="0"/>
              <w:adjustRightInd w:val="0"/>
              <w:rPr>
                <w:rFonts w:cstheme="minorHAnsi"/>
                <w:b/>
                <w:color w:val="000000" w:themeColor="text1"/>
                <w:lang w:val="en-US"/>
              </w:rPr>
            </w:pPr>
            <w:r w:rsidRPr="00841766">
              <w:rPr>
                <w:rFonts w:cstheme="minorHAnsi"/>
                <w:b/>
                <w:lang w:val="en-US"/>
              </w:rPr>
              <w:t xml:space="preserve">Outcome Indicators  </w:t>
            </w:r>
            <w:r w:rsidRPr="00841766">
              <w:rPr>
                <w:rFonts w:cstheme="minorHAnsi"/>
                <w:lang w:val="en-US" w:eastAsia="en-GB"/>
              </w:rPr>
              <w:t xml:space="preserve"> </w:t>
            </w:r>
          </w:p>
        </w:tc>
      </w:tr>
      <w:tr w:rsidR="003A41BE" w:rsidRPr="00841766" w14:paraId="063C50D7"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BB19E0" w14:textId="77777777" w:rsidR="003A41BE" w:rsidRPr="00A55634" w:rsidRDefault="003A41BE" w:rsidP="00FD44CE">
            <w:pPr>
              <w:pStyle w:val="Default"/>
              <w:rPr>
                <w:rFonts w:asciiTheme="minorHAnsi" w:hAnsiTheme="minorHAnsi" w:cstheme="minorHAnsi"/>
                <w:bCs/>
                <w:color w:val="auto"/>
                <w:sz w:val="22"/>
                <w:szCs w:val="22"/>
                <w:lang w:val="en-US"/>
              </w:rPr>
            </w:pPr>
            <w:r w:rsidRPr="00A55634">
              <w:rPr>
                <w:rFonts w:asciiTheme="minorHAnsi" w:hAnsiTheme="minorHAnsi" w:cstheme="minorHAnsi"/>
                <w:bCs/>
                <w:color w:val="auto"/>
                <w:sz w:val="22"/>
                <w:szCs w:val="22"/>
                <w:lang w:val="en-US"/>
              </w:rPr>
              <w:t>2.</w:t>
            </w:r>
            <w:proofErr w:type="spellStart"/>
            <w:r w:rsidRPr="00A55634">
              <w:rPr>
                <w:rFonts w:asciiTheme="minorHAnsi" w:hAnsiTheme="minorHAnsi" w:cstheme="minorHAnsi"/>
                <w:bCs/>
                <w:color w:val="auto"/>
                <w:sz w:val="22"/>
                <w:szCs w:val="22"/>
                <w:lang w:val="en-US"/>
              </w:rPr>
              <w:t>a</w:t>
            </w:r>
            <w:proofErr w:type="spellEnd"/>
            <w:r w:rsidRPr="00A55634">
              <w:rPr>
                <w:rFonts w:asciiTheme="minorHAnsi" w:hAnsiTheme="minorHAnsi" w:cstheme="minorHAnsi"/>
                <w:bCs/>
                <w:color w:val="auto"/>
                <w:sz w:val="22"/>
                <w:szCs w:val="22"/>
                <w:lang w:val="en-US"/>
              </w:rPr>
              <w:t xml:space="preserve"> Annual growth rate of real non-oil GDP – (SDG Indicator 8.2.1)</w:t>
            </w:r>
          </w:p>
          <w:tbl>
            <w:tblPr>
              <w:tblStyle w:val="TableGrid"/>
              <w:tblW w:w="0" w:type="auto"/>
              <w:tblLayout w:type="fixed"/>
              <w:tblLook w:val="04A0" w:firstRow="1" w:lastRow="0" w:firstColumn="1" w:lastColumn="0" w:noHBand="0" w:noVBand="1"/>
            </w:tblPr>
            <w:tblGrid>
              <w:gridCol w:w="1510"/>
              <w:gridCol w:w="1620"/>
            </w:tblGrid>
            <w:tr w:rsidR="003A41BE" w:rsidRPr="00A55634" w14:paraId="2C6E0E77" w14:textId="77777777" w:rsidTr="00FD44CE">
              <w:tc>
                <w:tcPr>
                  <w:tcW w:w="1510" w:type="dxa"/>
                  <w:tcBorders>
                    <w:bottom w:val="single" w:sz="4" w:space="0" w:color="auto"/>
                  </w:tcBorders>
                </w:tcPr>
                <w:p w14:paraId="7CDC84C8" w14:textId="77777777" w:rsidR="003A41BE" w:rsidRPr="00A55634" w:rsidRDefault="003A41BE" w:rsidP="002A37E3">
                  <w:pPr>
                    <w:framePr w:hSpace="141" w:wrap="around" w:vAnchor="text" w:hAnchor="text" w:x="421" w:y="1"/>
                    <w:suppressOverlap/>
                    <w:jc w:val="center"/>
                    <w:rPr>
                      <w:sz w:val="22"/>
                      <w:szCs w:val="22"/>
                      <w:lang w:val="en-US"/>
                    </w:rPr>
                  </w:pPr>
                  <w:r w:rsidRPr="00A55634">
                    <w:rPr>
                      <w:sz w:val="22"/>
                      <w:szCs w:val="22"/>
                      <w:lang w:val="en-US"/>
                    </w:rPr>
                    <w:t>Baseline</w:t>
                  </w:r>
                </w:p>
              </w:tc>
              <w:tc>
                <w:tcPr>
                  <w:tcW w:w="1620" w:type="dxa"/>
                  <w:tcBorders>
                    <w:bottom w:val="single" w:sz="4" w:space="0" w:color="auto"/>
                  </w:tcBorders>
                </w:tcPr>
                <w:p w14:paraId="32DEE7C4" w14:textId="77777777" w:rsidR="003A41BE" w:rsidRPr="00A55634" w:rsidRDefault="003A41BE" w:rsidP="002A37E3">
                  <w:pPr>
                    <w:framePr w:hSpace="141" w:wrap="around" w:vAnchor="text" w:hAnchor="text" w:x="421" w:y="1"/>
                    <w:suppressOverlap/>
                    <w:jc w:val="center"/>
                    <w:rPr>
                      <w:sz w:val="22"/>
                      <w:szCs w:val="22"/>
                      <w:lang w:val="en-US"/>
                    </w:rPr>
                  </w:pPr>
                  <w:r w:rsidRPr="00A55634">
                    <w:rPr>
                      <w:sz w:val="22"/>
                      <w:szCs w:val="22"/>
                      <w:lang w:val="en-US"/>
                    </w:rPr>
                    <w:t>Target</w:t>
                  </w:r>
                </w:p>
              </w:tc>
            </w:tr>
            <w:tr w:rsidR="003A41BE" w:rsidRPr="00A55634" w14:paraId="43B34D6B" w14:textId="77777777" w:rsidTr="00FD44CE">
              <w:tc>
                <w:tcPr>
                  <w:tcW w:w="1510" w:type="dxa"/>
                  <w:tcBorders>
                    <w:bottom w:val="single" w:sz="4" w:space="0" w:color="auto"/>
                  </w:tcBorders>
                </w:tcPr>
                <w:p w14:paraId="152DB0EB" w14:textId="77777777" w:rsidR="003A41BE" w:rsidRPr="00A55634" w:rsidRDefault="003A41BE" w:rsidP="002A37E3">
                  <w:pPr>
                    <w:framePr w:hSpace="141" w:wrap="around" w:vAnchor="text" w:hAnchor="text" w:x="421" w:y="1"/>
                    <w:suppressOverlap/>
                    <w:jc w:val="center"/>
                    <w:rPr>
                      <w:sz w:val="22"/>
                      <w:szCs w:val="22"/>
                      <w:lang w:val="en-US"/>
                    </w:rPr>
                  </w:pPr>
                  <w:r w:rsidRPr="00A55634">
                    <w:rPr>
                      <w:sz w:val="22"/>
                      <w:szCs w:val="22"/>
                      <w:lang w:val="en-US"/>
                    </w:rPr>
                    <w:t>4.8% (2019)</w:t>
                  </w:r>
                </w:p>
              </w:tc>
              <w:tc>
                <w:tcPr>
                  <w:tcW w:w="1620" w:type="dxa"/>
                  <w:tcBorders>
                    <w:bottom w:val="single" w:sz="4" w:space="0" w:color="auto"/>
                  </w:tcBorders>
                </w:tcPr>
                <w:p w14:paraId="14E8D801" w14:textId="77777777" w:rsidR="003A41BE" w:rsidRPr="00A55634" w:rsidRDefault="003A41BE" w:rsidP="002A37E3">
                  <w:pPr>
                    <w:framePr w:hSpace="141" w:wrap="around" w:vAnchor="text" w:hAnchor="text" w:x="421" w:y="1"/>
                    <w:suppressOverlap/>
                    <w:jc w:val="center"/>
                    <w:rPr>
                      <w:sz w:val="22"/>
                      <w:szCs w:val="22"/>
                      <w:lang w:val="en-US"/>
                    </w:rPr>
                  </w:pPr>
                  <w:r w:rsidRPr="00A55634">
                    <w:rPr>
                      <w:sz w:val="22"/>
                      <w:szCs w:val="22"/>
                      <w:lang w:val="en-US"/>
                    </w:rPr>
                    <w:t>5% per year</w:t>
                  </w:r>
                </w:p>
              </w:tc>
            </w:tr>
          </w:tbl>
          <w:p w14:paraId="50ADDE68" w14:textId="77777777" w:rsidR="003A41BE" w:rsidRPr="00A55634" w:rsidRDefault="003A41BE" w:rsidP="00FD44CE">
            <w:pPr>
              <w:pStyle w:val="Default"/>
              <w:rPr>
                <w:rFonts w:asciiTheme="minorHAnsi" w:hAnsiTheme="minorHAnsi" w:cstheme="minorHAnsi"/>
                <w:bCs/>
                <w:color w:val="auto"/>
                <w:sz w:val="22"/>
                <w:szCs w:val="22"/>
                <w:lang w:val="en-US"/>
              </w:rPr>
            </w:pPr>
            <w:r w:rsidRPr="00A55634">
              <w:rPr>
                <w:rFonts w:asciiTheme="minorHAnsi" w:hAnsiTheme="minorHAnsi" w:cstheme="minorHAnsi"/>
                <w:bCs/>
                <w:color w:val="auto"/>
                <w:sz w:val="22"/>
                <w:szCs w:val="22"/>
                <w:lang w:val="en-US"/>
              </w:rPr>
              <w:t>Data Source: IMF Country Report No. 19/124</w:t>
            </w:r>
          </w:p>
          <w:p w14:paraId="393A2222" w14:textId="77777777" w:rsidR="003A41BE" w:rsidRPr="00A55634" w:rsidRDefault="003A41BE" w:rsidP="00FD44CE">
            <w:pPr>
              <w:pStyle w:val="Default"/>
              <w:rPr>
                <w:rFonts w:asciiTheme="minorHAnsi" w:hAnsiTheme="minorHAnsi" w:cstheme="minorHAnsi"/>
                <w:b/>
                <w:bCs/>
                <w:color w:val="auto"/>
                <w:sz w:val="22"/>
                <w:szCs w:val="22"/>
                <w:lang w:val="en-US"/>
              </w:rPr>
            </w:pPr>
          </w:p>
        </w:tc>
      </w:tr>
      <w:tr w:rsidR="003A41BE" w:rsidRPr="00841766" w14:paraId="329EDF39"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F5FD74" w14:textId="77777777" w:rsidR="003A41BE" w:rsidRPr="00A55634" w:rsidRDefault="003A41BE" w:rsidP="00FD44CE">
            <w:pPr>
              <w:pStyle w:val="Default"/>
              <w:rPr>
                <w:rFonts w:asciiTheme="minorHAnsi" w:hAnsiTheme="minorHAnsi" w:cstheme="minorHAnsi"/>
                <w:sz w:val="22"/>
                <w:szCs w:val="22"/>
                <w:lang w:val="en-US"/>
              </w:rPr>
            </w:pPr>
            <w:r w:rsidRPr="00A55634">
              <w:rPr>
                <w:rFonts w:asciiTheme="minorHAnsi" w:hAnsiTheme="minorHAnsi" w:cstheme="minorHAnsi"/>
                <w:sz w:val="22"/>
                <w:szCs w:val="22"/>
                <w:lang w:val="en-US"/>
              </w:rPr>
              <w:t>2.b Average monthly earnings of female and male employees, by age group (SDG Indicator 8.5.1)</w:t>
            </w:r>
          </w:p>
          <w:tbl>
            <w:tblPr>
              <w:tblStyle w:val="TableGrid"/>
              <w:tblW w:w="0" w:type="auto"/>
              <w:tblLayout w:type="fixed"/>
              <w:tblLook w:val="04A0" w:firstRow="1" w:lastRow="0" w:firstColumn="1" w:lastColumn="0" w:noHBand="0" w:noVBand="1"/>
            </w:tblPr>
            <w:tblGrid>
              <w:gridCol w:w="1510"/>
              <w:gridCol w:w="1620"/>
            </w:tblGrid>
            <w:tr w:rsidR="003A41BE" w:rsidRPr="00A55634" w14:paraId="4BCA6294" w14:textId="77777777" w:rsidTr="00FD44CE">
              <w:tc>
                <w:tcPr>
                  <w:tcW w:w="1510" w:type="dxa"/>
                </w:tcPr>
                <w:p w14:paraId="42093191" w14:textId="77777777" w:rsidR="003A41BE" w:rsidRPr="00A55634" w:rsidRDefault="003A41BE" w:rsidP="002A37E3">
                  <w:pPr>
                    <w:framePr w:hSpace="141" w:wrap="around" w:vAnchor="text" w:hAnchor="text" w:x="421" w:y="1"/>
                    <w:suppressOverlap/>
                    <w:jc w:val="center"/>
                    <w:rPr>
                      <w:sz w:val="22"/>
                      <w:szCs w:val="22"/>
                      <w:lang w:val="en-US"/>
                    </w:rPr>
                  </w:pPr>
                  <w:r w:rsidRPr="00A55634">
                    <w:rPr>
                      <w:sz w:val="22"/>
                      <w:szCs w:val="22"/>
                      <w:lang w:val="en-US"/>
                    </w:rPr>
                    <w:t>Baseline</w:t>
                  </w:r>
                </w:p>
              </w:tc>
              <w:tc>
                <w:tcPr>
                  <w:tcW w:w="1620" w:type="dxa"/>
                </w:tcPr>
                <w:p w14:paraId="75BF6D20" w14:textId="77777777" w:rsidR="003A41BE" w:rsidRPr="00A55634" w:rsidRDefault="003A41BE" w:rsidP="002A37E3">
                  <w:pPr>
                    <w:framePr w:hSpace="141" w:wrap="around" w:vAnchor="text" w:hAnchor="text" w:x="421" w:y="1"/>
                    <w:suppressOverlap/>
                    <w:jc w:val="center"/>
                    <w:rPr>
                      <w:sz w:val="22"/>
                      <w:szCs w:val="22"/>
                      <w:lang w:val="en-US"/>
                    </w:rPr>
                  </w:pPr>
                  <w:r w:rsidRPr="00A55634">
                    <w:rPr>
                      <w:sz w:val="22"/>
                      <w:szCs w:val="22"/>
                      <w:lang w:val="en-US"/>
                    </w:rPr>
                    <w:t>Target</w:t>
                  </w:r>
                </w:p>
              </w:tc>
            </w:tr>
            <w:tr w:rsidR="003A41BE" w:rsidRPr="00A55634" w14:paraId="05F7D78D" w14:textId="77777777" w:rsidTr="00FD44CE">
              <w:tc>
                <w:tcPr>
                  <w:tcW w:w="1510" w:type="dxa"/>
                </w:tcPr>
                <w:p w14:paraId="2E34AEA5" w14:textId="77777777" w:rsidR="003A41BE" w:rsidRPr="00A55634" w:rsidRDefault="003A41BE" w:rsidP="002A37E3">
                  <w:pPr>
                    <w:framePr w:hSpace="141" w:wrap="around" w:vAnchor="text" w:hAnchor="text" w:x="421" w:y="1"/>
                    <w:suppressOverlap/>
                    <w:jc w:val="center"/>
                    <w:rPr>
                      <w:sz w:val="22"/>
                      <w:szCs w:val="22"/>
                      <w:lang w:val="en-US"/>
                    </w:rPr>
                  </w:pPr>
                  <w:r w:rsidRPr="00A55634">
                    <w:rPr>
                      <w:sz w:val="22"/>
                      <w:szCs w:val="22"/>
                      <w:lang w:val="en-US"/>
                    </w:rPr>
                    <w:t>530.8 USDG</w:t>
                  </w:r>
                </w:p>
              </w:tc>
              <w:tc>
                <w:tcPr>
                  <w:tcW w:w="1620" w:type="dxa"/>
                </w:tcPr>
                <w:p w14:paraId="361CB27B" w14:textId="77777777" w:rsidR="003A41BE" w:rsidRPr="00A55634" w:rsidRDefault="003A41BE" w:rsidP="002A37E3">
                  <w:pPr>
                    <w:framePr w:hSpace="141" w:wrap="around" w:vAnchor="text" w:hAnchor="text" w:x="421" w:y="1"/>
                    <w:suppressOverlap/>
                    <w:jc w:val="center"/>
                    <w:rPr>
                      <w:sz w:val="22"/>
                      <w:szCs w:val="22"/>
                      <w:lang w:val="en-US"/>
                    </w:rPr>
                  </w:pPr>
                  <w:r w:rsidRPr="00A55634">
                    <w:rPr>
                      <w:sz w:val="22"/>
                      <w:szCs w:val="22"/>
                      <w:lang w:val="en-US"/>
                    </w:rPr>
                    <w:t>756.8 USD</w:t>
                  </w:r>
                </w:p>
              </w:tc>
            </w:tr>
          </w:tbl>
          <w:p w14:paraId="1014FEE9" w14:textId="77777777" w:rsidR="003A41BE" w:rsidRPr="00A55634" w:rsidRDefault="003A41BE" w:rsidP="00FD44CE">
            <w:pPr>
              <w:pStyle w:val="Default"/>
              <w:rPr>
                <w:rFonts w:asciiTheme="minorHAnsi" w:hAnsiTheme="minorHAnsi" w:cstheme="minorHAnsi"/>
                <w:bCs/>
                <w:color w:val="auto"/>
                <w:sz w:val="22"/>
                <w:szCs w:val="22"/>
                <w:lang w:val="en-US"/>
              </w:rPr>
            </w:pPr>
            <w:r w:rsidRPr="00A55634">
              <w:rPr>
                <w:rFonts w:asciiTheme="minorHAnsi" w:hAnsiTheme="minorHAnsi" w:cstheme="minorHAnsi"/>
                <w:bCs/>
                <w:color w:val="auto"/>
                <w:sz w:val="22"/>
                <w:szCs w:val="22"/>
                <w:lang w:val="en-US"/>
              </w:rPr>
              <w:t xml:space="preserve">Data Source: </w:t>
            </w:r>
            <w:proofErr w:type="spellStart"/>
            <w:r w:rsidRPr="00A55634">
              <w:rPr>
                <w:rFonts w:asciiTheme="minorHAnsi" w:hAnsiTheme="minorHAnsi" w:cstheme="minorHAnsi"/>
                <w:bCs/>
                <w:color w:val="auto"/>
                <w:sz w:val="22"/>
                <w:szCs w:val="22"/>
                <w:lang w:val="en-US"/>
              </w:rPr>
              <w:t>Labour</w:t>
            </w:r>
            <w:proofErr w:type="spellEnd"/>
            <w:r w:rsidRPr="00A55634">
              <w:rPr>
                <w:rFonts w:asciiTheme="minorHAnsi" w:hAnsiTheme="minorHAnsi" w:cstheme="minorHAnsi"/>
                <w:bCs/>
                <w:color w:val="auto"/>
                <w:sz w:val="22"/>
                <w:szCs w:val="22"/>
                <w:lang w:val="en-US"/>
              </w:rPr>
              <w:t xml:space="preserve"> Force Survey (LFS) 2013</w:t>
            </w:r>
          </w:p>
          <w:p w14:paraId="1083FD73" w14:textId="77777777" w:rsidR="003A41BE" w:rsidRPr="00A55634" w:rsidRDefault="003A41BE" w:rsidP="00FD44CE">
            <w:pPr>
              <w:pStyle w:val="Default"/>
              <w:rPr>
                <w:rFonts w:asciiTheme="minorHAnsi" w:hAnsiTheme="minorHAnsi" w:cstheme="minorHAnsi"/>
                <w:b/>
                <w:bCs/>
                <w:color w:val="auto"/>
                <w:sz w:val="22"/>
                <w:szCs w:val="22"/>
                <w:lang w:val="en-US"/>
              </w:rPr>
            </w:pPr>
          </w:p>
        </w:tc>
      </w:tr>
      <w:tr w:rsidR="003A41BE" w:rsidRPr="00841766" w14:paraId="024F0612"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E65B43" w14:textId="77777777" w:rsidR="003A41BE" w:rsidRPr="00841766"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2.c Unemployment rate, by sex, age group and persons with disabilities (SDG indicator 8.5.2)</w:t>
            </w:r>
          </w:p>
          <w:tbl>
            <w:tblPr>
              <w:tblStyle w:val="TableGrid"/>
              <w:tblW w:w="0" w:type="auto"/>
              <w:tblLayout w:type="fixed"/>
              <w:tblLook w:val="04A0" w:firstRow="1" w:lastRow="0" w:firstColumn="1" w:lastColumn="0" w:noHBand="0" w:noVBand="1"/>
            </w:tblPr>
            <w:tblGrid>
              <w:gridCol w:w="1510"/>
              <w:gridCol w:w="1620"/>
            </w:tblGrid>
            <w:tr w:rsidR="003A41BE" w14:paraId="06134016" w14:textId="77777777" w:rsidTr="00FD44CE">
              <w:tc>
                <w:tcPr>
                  <w:tcW w:w="1510" w:type="dxa"/>
                </w:tcPr>
                <w:p w14:paraId="0747CCBF"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68865FBA"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53E5CB96" w14:textId="77777777" w:rsidTr="00FD44CE">
              <w:tc>
                <w:tcPr>
                  <w:tcW w:w="1510" w:type="dxa"/>
                </w:tcPr>
                <w:p w14:paraId="2B8E337B"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10.4%</w:t>
                  </w:r>
                </w:p>
              </w:tc>
              <w:tc>
                <w:tcPr>
                  <w:tcW w:w="1620" w:type="dxa"/>
                </w:tcPr>
                <w:p w14:paraId="0959C4F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9.3%</w:t>
                  </w:r>
                </w:p>
              </w:tc>
            </w:tr>
          </w:tbl>
          <w:p w14:paraId="31C01881" w14:textId="77777777" w:rsidR="003A41BE" w:rsidRPr="00841766" w:rsidRDefault="003A41BE" w:rsidP="00FD44CE">
            <w:pPr>
              <w:pStyle w:val="Default"/>
              <w:rPr>
                <w:rFonts w:asciiTheme="minorHAnsi" w:hAnsiTheme="minorHAnsi" w:cstheme="minorHAnsi"/>
                <w:bCs/>
                <w:color w:val="auto"/>
                <w:sz w:val="22"/>
                <w:szCs w:val="22"/>
                <w:lang w:val="en-US"/>
              </w:rPr>
            </w:pPr>
            <w:r>
              <w:rPr>
                <w:rFonts w:asciiTheme="minorHAnsi" w:hAnsiTheme="minorHAnsi" w:cstheme="minorHAnsi"/>
                <w:bCs/>
                <w:color w:val="auto"/>
                <w:sz w:val="22"/>
                <w:szCs w:val="22"/>
                <w:lang w:val="en-US"/>
              </w:rPr>
              <w:t>Data Source: Mini LFS 2016</w:t>
            </w:r>
          </w:p>
          <w:p w14:paraId="3178CCA1" w14:textId="77777777" w:rsidR="003A41BE" w:rsidRPr="00841766" w:rsidRDefault="003A41BE" w:rsidP="00FD44CE">
            <w:pPr>
              <w:pStyle w:val="Default"/>
              <w:rPr>
                <w:rFonts w:asciiTheme="minorHAnsi" w:hAnsiTheme="minorHAnsi" w:cstheme="minorHAnsi"/>
                <w:b/>
                <w:bCs/>
                <w:color w:val="auto"/>
                <w:sz w:val="22"/>
                <w:szCs w:val="22"/>
                <w:lang w:val="en-US"/>
              </w:rPr>
            </w:pPr>
          </w:p>
        </w:tc>
      </w:tr>
      <w:tr w:rsidR="003A41BE" w:rsidRPr="00841766" w14:paraId="7BB76C8D"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8A241" w14:textId="77777777" w:rsidR="003A41BE" w:rsidRPr="00841766" w:rsidRDefault="003A41BE" w:rsidP="00FD44CE">
            <w:pPr>
              <w:textAlignment w:val="center"/>
              <w:rPr>
                <w:rFonts w:cstheme="minorHAnsi"/>
                <w:bCs/>
                <w:color w:val="000000"/>
                <w:sz w:val="22"/>
                <w:szCs w:val="22"/>
                <w:lang w:val="en-US"/>
              </w:rPr>
            </w:pPr>
            <w:r w:rsidRPr="00841766">
              <w:rPr>
                <w:rFonts w:cstheme="minorHAnsi"/>
                <w:bCs/>
                <w:color w:val="000000"/>
                <w:sz w:val="22"/>
                <w:szCs w:val="22"/>
                <w:lang w:val="en-US"/>
              </w:rPr>
              <w:t>2.d</w:t>
            </w:r>
            <w:r w:rsidRPr="00A84B8B">
              <w:rPr>
                <w:rFonts w:cstheme="minorHAnsi"/>
                <w:bCs/>
                <w:sz w:val="22"/>
                <w:szCs w:val="22"/>
                <w:lang w:val="en-US"/>
              </w:rPr>
              <w:t xml:space="preserve"> Percentage of low pay employees by sex, age group and</w:t>
            </w:r>
            <w:r>
              <w:rPr>
                <w:rFonts w:cstheme="minorHAnsi"/>
                <w:bCs/>
                <w:sz w:val="22"/>
                <w:szCs w:val="22"/>
                <w:lang w:val="en-US"/>
              </w:rPr>
              <w:t xml:space="preserve"> </w:t>
            </w:r>
            <w:r w:rsidRPr="00A84B8B">
              <w:rPr>
                <w:rFonts w:cstheme="minorHAnsi"/>
                <w:bCs/>
                <w:sz w:val="22"/>
                <w:szCs w:val="22"/>
                <w:lang w:val="en-US"/>
              </w:rPr>
              <w:t>educational attainment,</w:t>
            </w:r>
            <w:r>
              <w:rPr>
                <w:rFonts w:cstheme="minorHAnsi"/>
                <w:bCs/>
                <w:sz w:val="22"/>
                <w:szCs w:val="22"/>
                <w:lang w:val="en-US"/>
              </w:rPr>
              <w:t xml:space="preserve"> by sex and age</w:t>
            </w:r>
            <w:r>
              <w:rPr>
                <w:rStyle w:val="FootnoteReference"/>
                <w:rFonts w:cstheme="minorHAnsi"/>
                <w:bCs/>
                <w:sz w:val="22"/>
                <w:szCs w:val="22"/>
                <w:lang w:val="en-US"/>
              </w:rPr>
              <w:footnoteReference w:id="75"/>
            </w:r>
            <w:r>
              <w:rPr>
                <w:rFonts w:cstheme="minorHAnsi"/>
                <w:bCs/>
                <w:sz w:val="22"/>
                <w:szCs w:val="22"/>
                <w:lang w:val="en-US"/>
              </w:rPr>
              <w:t>.</w:t>
            </w:r>
          </w:p>
          <w:tbl>
            <w:tblPr>
              <w:tblStyle w:val="TableGrid"/>
              <w:tblW w:w="0" w:type="auto"/>
              <w:tblLayout w:type="fixed"/>
              <w:tblLook w:val="04A0" w:firstRow="1" w:lastRow="0" w:firstColumn="1" w:lastColumn="0" w:noHBand="0" w:noVBand="1"/>
            </w:tblPr>
            <w:tblGrid>
              <w:gridCol w:w="1510"/>
              <w:gridCol w:w="1620"/>
            </w:tblGrid>
            <w:tr w:rsidR="003A41BE" w14:paraId="0E7D3E81" w14:textId="77777777" w:rsidTr="00FD44CE">
              <w:tc>
                <w:tcPr>
                  <w:tcW w:w="1510" w:type="dxa"/>
                </w:tcPr>
                <w:p w14:paraId="5C65568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36B6663F"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62E9A056" w14:textId="77777777" w:rsidTr="00FD44CE">
              <w:tc>
                <w:tcPr>
                  <w:tcW w:w="1510" w:type="dxa"/>
                </w:tcPr>
                <w:p w14:paraId="75D39681"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28%</w:t>
                  </w:r>
                </w:p>
              </w:tc>
              <w:tc>
                <w:tcPr>
                  <w:tcW w:w="1620" w:type="dxa"/>
                </w:tcPr>
                <w:p w14:paraId="5141C32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25%</w:t>
                  </w:r>
                </w:p>
              </w:tc>
            </w:tr>
          </w:tbl>
          <w:p w14:paraId="37B90146" w14:textId="77777777" w:rsidR="003A41BE" w:rsidRPr="00841766" w:rsidRDefault="003A41BE" w:rsidP="00FD44CE">
            <w:pPr>
              <w:pStyle w:val="Default"/>
              <w:rPr>
                <w:rFonts w:asciiTheme="minorHAnsi" w:hAnsiTheme="minorHAnsi" w:cstheme="minorHAnsi"/>
                <w:bCs/>
                <w:color w:val="auto"/>
                <w:sz w:val="22"/>
                <w:szCs w:val="22"/>
                <w:lang w:val="en-US"/>
              </w:rPr>
            </w:pPr>
            <w:r>
              <w:rPr>
                <w:rFonts w:asciiTheme="minorHAnsi" w:hAnsiTheme="minorHAnsi" w:cstheme="minorHAnsi"/>
                <w:bCs/>
                <w:color w:val="auto"/>
                <w:sz w:val="22"/>
                <w:szCs w:val="22"/>
                <w:lang w:val="en-US"/>
              </w:rPr>
              <w:t>Data Source: LFS 2013</w:t>
            </w:r>
          </w:p>
          <w:p w14:paraId="4F72A1D6" w14:textId="77777777" w:rsidR="003A41BE" w:rsidRPr="00841766" w:rsidRDefault="003A41BE" w:rsidP="00FD44CE">
            <w:pPr>
              <w:pStyle w:val="Default"/>
              <w:rPr>
                <w:rFonts w:asciiTheme="minorHAnsi" w:hAnsiTheme="minorHAnsi" w:cstheme="minorHAnsi"/>
                <w:sz w:val="22"/>
                <w:szCs w:val="22"/>
                <w:lang w:val="en-US"/>
              </w:rPr>
            </w:pPr>
          </w:p>
        </w:tc>
      </w:tr>
      <w:tr w:rsidR="003A41BE" w:rsidRPr="00841766" w14:paraId="4309EE82"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C46F2" w14:textId="77777777" w:rsidR="003A41BE" w:rsidRPr="003F4BC2" w:rsidRDefault="003A41BE" w:rsidP="00FD44CE">
            <w:pPr>
              <w:pStyle w:val="Default"/>
              <w:rPr>
                <w:rFonts w:asciiTheme="minorHAnsi" w:hAnsiTheme="minorHAnsi" w:cstheme="minorHAnsi"/>
                <w:color w:val="auto"/>
                <w:sz w:val="22"/>
                <w:szCs w:val="22"/>
                <w:lang w:val="en-US"/>
              </w:rPr>
            </w:pPr>
            <w:r w:rsidRPr="00841766">
              <w:rPr>
                <w:rFonts w:asciiTheme="minorHAnsi" w:hAnsiTheme="minorHAnsi" w:cstheme="minorHAnsi"/>
                <w:sz w:val="22"/>
                <w:szCs w:val="22"/>
                <w:lang w:val="en-US"/>
              </w:rPr>
              <w:t>2.</w:t>
            </w:r>
            <w:r>
              <w:rPr>
                <w:rFonts w:asciiTheme="minorHAnsi" w:hAnsiTheme="minorHAnsi" w:cstheme="minorHAnsi"/>
                <w:sz w:val="22"/>
                <w:szCs w:val="22"/>
                <w:lang w:val="en-US"/>
              </w:rPr>
              <w:t>e</w:t>
            </w:r>
            <w:r w:rsidRPr="00841766">
              <w:rPr>
                <w:rFonts w:asciiTheme="minorHAnsi" w:hAnsiTheme="minorHAnsi" w:cstheme="minorHAnsi"/>
                <w:sz w:val="22"/>
                <w:szCs w:val="22"/>
                <w:lang w:val="en-US"/>
              </w:rPr>
              <w:t xml:space="preserve"> </w:t>
            </w:r>
            <w:r w:rsidRPr="00841766">
              <w:rPr>
                <w:rStyle w:val="ListParagraphChar"/>
                <w:rFonts w:asciiTheme="minorHAnsi" w:hAnsiTheme="minorHAnsi" w:cstheme="minorHAnsi"/>
                <w:sz w:val="22"/>
                <w:szCs w:val="22"/>
                <w:lang w:val="en-US"/>
              </w:rPr>
              <w:t>Proportion of</w:t>
            </w:r>
            <w:r>
              <w:rPr>
                <w:rStyle w:val="ListParagraphChar"/>
                <w:rFonts w:asciiTheme="minorHAnsi" w:hAnsiTheme="minorHAnsi" w:cstheme="minorHAnsi"/>
                <w:sz w:val="22"/>
                <w:szCs w:val="22"/>
                <w:lang w:val="en-US"/>
              </w:rPr>
              <w:t xml:space="preserve"> Micro, small and medium (private) enterprises having access to credits </w:t>
            </w:r>
            <w:r w:rsidRPr="00841766">
              <w:rPr>
                <w:rStyle w:val="ListParagraphChar"/>
                <w:rFonts w:asciiTheme="minorHAnsi" w:hAnsiTheme="minorHAnsi" w:cstheme="minorHAnsi"/>
                <w:sz w:val="22"/>
                <w:szCs w:val="22"/>
                <w:lang w:val="en-US"/>
              </w:rPr>
              <w:t>(SDG Indicator 9.3.2)</w:t>
            </w:r>
          </w:p>
          <w:tbl>
            <w:tblPr>
              <w:tblStyle w:val="TableGrid"/>
              <w:tblW w:w="0" w:type="auto"/>
              <w:tblLayout w:type="fixed"/>
              <w:tblLook w:val="04A0" w:firstRow="1" w:lastRow="0" w:firstColumn="1" w:lastColumn="0" w:noHBand="0" w:noVBand="1"/>
            </w:tblPr>
            <w:tblGrid>
              <w:gridCol w:w="1510"/>
              <w:gridCol w:w="1620"/>
            </w:tblGrid>
            <w:tr w:rsidR="003A41BE" w14:paraId="0ED7A3CB" w14:textId="77777777" w:rsidTr="00FD44CE">
              <w:tc>
                <w:tcPr>
                  <w:tcW w:w="1510" w:type="dxa"/>
                </w:tcPr>
                <w:p w14:paraId="25CA9725"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68152920"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1366CC77" w14:textId="77777777" w:rsidTr="00FD44CE">
              <w:tc>
                <w:tcPr>
                  <w:tcW w:w="1510" w:type="dxa"/>
                </w:tcPr>
                <w:p w14:paraId="01B35D32"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21%</w:t>
                  </w:r>
                </w:p>
              </w:tc>
              <w:tc>
                <w:tcPr>
                  <w:tcW w:w="1620" w:type="dxa"/>
                </w:tcPr>
                <w:p w14:paraId="590AEE5A"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23%</w:t>
                  </w:r>
                </w:p>
              </w:tc>
            </w:tr>
          </w:tbl>
          <w:p w14:paraId="69BEAC92" w14:textId="77777777" w:rsidR="003A41BE" w:rsidRPr="00841766" w:rsidRDefault="003A41BE" w:rsidP="00FD44CE">
            <w:pPr>
              <w:pStyle w:val="Default"/>
              <w:rPr>
                <w:rFonts w:asciiTheme="minorHAnsi" w:hAnsiTheme="minorHAnsi" w:cstheme="minorHAnsi"/>
                <w:bCs/>
                <w:color w:val="auto"/>
                <w:sz w:val="22"/>
                <w:szCs w:val="22"/>
                <w:lang w:val="en-US"/>
              </w:rPr>
            </w:pPr>
            <w:r>
              <w:rPr>
                <w:rFonts w:asciiTheme="minorHAnsi" w:hAnsiTheme="minorHAnsi" w:cstheme="minorHAnsi"/>
                <w:bCs/>
                <w:color w:val="auto"/>
                <w:sz w:val="22"/>
                <w:szCs w:val="22"/>
                <w:lang w:val="en-US"/>
              </w:rPr>
              <w:t xml:space="preserve">Data Source: </w:t>
            </w:r>
            <w:r w:rsidRPr="002A7985">
              <w:rPr>
                <w:rFonts w:asciiTheme="minorHAnsi" w:hAnsiTheme="minorHAnsi" w:cstheme="minorHAnsi"/>
                <w:bCs/>
                <w:color w:val="auto"/>
                <w:sz w:val="22"/>
                <w:szCs w:val="22"/>
                <w:lang w:val="en-US"/>
              </w:rPr>
              <w:t>World</w:t>
            </w:r>
            <w:r>
              <w:rPr>
                <w:rFonts w:asciiTheme="minorHAnsi" w:hAnsiTheme="minorHAnsi" w:cstheme="minorHAnsi"/>
                <w:bCs/>
                <w:color w:val="auto"/>
                <w:sz w:val="22"/>
                <w:szCs w:val="22"/>
                <w:lang w:val="en-US"/>
              </w:rPr>
              <w:t xml:space="preserve"> B</w:t>
            </w:r>
            <w:r w:rsidRPr="002A7985">
              <w:rPr>
                <w:rFonts w:asciiTheme="minorHAnsi" w:hAnsiTheme="minorHAnsi" w:cstheme="minorHAnsi"/>
                <w:bCs/>
                <w:color w:val="auto"/>
                <w:sz w:val="22"/>
                <w:szCs w:val="22"/>
                <w:lang w:val="en-US"/>
              </w:rPr>
              <w:t>ank Enterprise Survey (2018)</w:t>
            </w:r>
            <w:r>
              <w:rPr>
                <w:rFonts w:asciiTheme="minorHAnsi" w:hAnsiTheme="minorHAnsi" w:cstheme="minorHAnsi"/>
                <w:bCs/>
                <w:color w:val="auto"/>
                <w:sz w:val="22"/>
                <w:szCs w:val="22"/>
                <w:lang w:val="en-US"/>
              </w:rPr>
              <w:t xml:space="preserve"> and </w:t>
            </w:r>
            <w:r w:rsidRPr="002A7985">
              <w:rPr>
                <w:rFonts w:asciiTheme="minorHAnsi" w:hAnsiTheme="minorHAnsi" w:cstheme="minorHAnsi"/>
                <w:bCs/>
                <w:color w:val="auto"/>
                <w:sz w:val="22"/>
                <w:szCs w:val="22"/>
                <w:lang w:val="en-US"/>
              </w:rPr>
              <w:t>Development Financing Assessment (DFA) report 2018.</w:t>
            </w:r>
          </w:p>
          <w:p w14:paraId="52EF57D8" w14:textId="77777777" w:rsidR="003A41BE" w:rsidRPr="00841766" w:rsidRDefault="003A41BE" w:rsidP="00FD44CE">
            <w:pPr>
              <w:pStyle w:val="Default"/>
              <w:rPr>
                <w:rFonts w:asciiTheme="minorHAnsi" w:hAnsiTheme="minorHAnsi" w:cstheme="minorHAnsi"/>
                <w:b/>
                <w:bCs/>
                <w:color w:val="auto"/>
                <w:sz w:val="22"/>
                <w:szCs w:val="22"/>
                <w:lang w:val="en-US"/>
              </w:rPr>
            </w:pPr>
          </w:p>
        </w:tc>
      </w:tr>
      <w:tr w:rsidR="003A41BE" w:rsidRPr="00841766" w14:paraId="1C85697F" w14:textId="77777777" w:rsidTr="53E3C463">
        <w:trPr>
          <w:trHeight w:val="339"/>
        </w:trPr>
        <w:tc>
          <w:tcPr>
            <w:tcW w:w="4529" w:type="dxa"/>
            <w:tcBorders>
              <w:left w:val="single" w:sz="4" w:space="0" w:color="auto"/>
              <w:bottom w:val="single" w:sz="4" w:space="0" w:color="auto"/>
            </w:tcBorders>
            <w:shd w:val="clear" w:color="auto" w:fill="000000" w:themeFill="text1"/>
          </w:tcPr>
          <w:p w14:paraId="65CD68E1"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UNSDCF Results</w:t>
            </w:r>
          </w:p>
        </w:tc>
        <w:tc>
          <w:tcPr>
            <w:tcW w:w="5813" w:type="dxa"/>
            <w:gridSpan w:val="4"/>
            <w:tcBorders>
              <w:bottom w:val="single" w:sz="4" w:space="0" w:color="auto"/>
            </w:tcBorders>
            <w:shd w:val="clear" w:color="auto" w:fill="000000" w:themeFill="text1"/>
          </w:tcPr>
          <w:p w14:paraId="143D6FE9"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Indicators</w:t>
            </w:r>
          </w:p>
        </w:tc>
        <w:tc>
          <w:tcPr>
            <w:tcW w:w="4116" w:type="dxa"/>
            <w:tcBorders>
              <w:bottom w:val="single" w:sz="4" w:space="0" w:color="auto"/>
            </w:tcBorders>
            <w:shd w:val="clear" w:color="auto" w:fill="000000" w:themeFill="text1"/>
          </w:tcPr>
          <w:p w14:paraId="13FAEDE7"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Partners</w:t>
            </w:r>
          </w:p>
        </w:tc>
      </w:tr>
      <w:tr w:rsidR="003A41BE" w:rsidRPr="00841766" w14:paraId="6EFA9474" w14:textId="77777777" w:rsidTr="53E3C463">
        <w:trPr>
          <w:trHeight w:val="258"/>
        </w:trPr>
        <w:tc>
          <w:tcPr>
            <w:tcW w:w="4529" w:type="dxa"/>
            <w:vMerge w:val="restart"/>
            <w:tcBorders>
              <w:top w:val="single" w:sz="4" w:space="0" w:color="auto"/>
              <w:left w:val="single" w:sz="4" w:space="0" w:color="auto"/>
              <w:right w:val="single" w:sz="4" w:space="0" w:color="auto"/>
            </w:tcBorders>
            <w:shd w:val="clear" w:color="auto" w:fill="8EAADB" w:themeFill="accent1" w:themeFillTint="99"/>
          </w:tcPr>
          <w:p w14:paraId="452CF7EA" w14:textId="77777777" w:rsidR="003A41BE" w:rsidRPr="00841766" w:rsidRDefault="003A41BE" w:rsidP="00FD44CE">
            <w:pPr>
              <w:rPr>
                <w:rFonts w:cstheme="minorHAnsi"/>
                <w:b/>
                <w:color w:val="000000" w:themeColor="text1"/>
                <w:sz w:val="22"/>
                <w:szCs w:val="22"/>
                <w:lang w:val="en-US"/>
              </w:rPr>
            </w:pPr>
            <w:r>
              <w:rPr>
                <w:rFonts w:cstheme="minorHAnsi"/>
                <w:b/>
                <w:color w:val="000000" w:themeColor="text1"/>
                <w:sz w:val="22"/>
                <w:szCs w:val="22"/>
                <w:lang w:val="en-US"/>
              </w:rPr>
              <w:lastRenderedPageBreak/>
              <w:t>Sub-o</w:t>
            </w:r>
            <w:r w:rsidRPr="00841766">
              <w:rPr>
                <w:rFonts w:cstheme="minorHAnsi"/>
                <w:b/>
                <w:color w:val="000000" w:themeColor="text1"/>
                <w:sz w:val="22"/>
                <w:szCs w:val="22"/>
                <w:lang w:val="en-US"/>
              </w:rPr>
              <w:t xml:space="preserve">utcome 2.1: </w:t>
            </w:r>
          </w:p>
          <w:p w14:paraId="692FB07C" w14:textId="77777777" w:rsidR="003A41BE" w:rsidRPr="00841766" w:rsidRDefault="003A41BE" w:rsidP="00FD44CE">
            <w:pPr>
              <w:contextualSpacing/>
              <w:rPr>
                <w:rFonts w:cstheme="minorHAnsi"/>
                <w:b/>
                <w:color w:val="000000" w:themeColor="text1"/>
                <w:sz w:val="22"/>
                <w:szCs w:val="22"/>
                <w:lang w:val="en-US"/>
              </w:rPr>
            </w:pPr>
          </w:p>
          <w:p w14:paraId="65927523" w14:textId="77777777" w:rsidR="003A41BE" w:rsidRPr="00841766" w:rsidRDefault="003A41BE" w:rsidP="00FD44CE">
            <w:pPr>
              <w:spacing w:before="53" w:beforeAutospacing="1" w:after="53" w:afterAutospacing="1"/>
              <w:contextualSpacing/>
              <w:rPr>
                <w:rFonts w:ascii="Helvetica" w:hAnsi="Helvetica"/>
                <w:color w:val="000000"/>
                <w:sz w:val="20"/>
                <w:szCs w:val="20"/>
                <w:lang w:val="en-US"/>
              </w:rPr>
            </w:pPr>
            <w:r w:rsidRPr="00841766">
              <w:rPr>
                <w:rFonts w:ascii="Calibri" w:hAnsi="Calibri" w:cs="Calibri"/>
                <w:b/>
                <w:bCs/>
                <w:color w:val="000000"/>
                <w:sz w:val="22"/>
                <w:szCs w:val="22"/>
                <w:lang w:val="en-US"/>
              </w:rPr>
              <w:t>Policy and institutional framework for decent work and productive employment</w:t>
            </w:r>
          </w:p>
          <w:p w14:paraId="3EA4B5BA" w14:textId="77777777" w:rsidR="003A41BE" w:rsidRPr="00841766" w:rsidRDefault="003A41BE" w:rsidP="00FD44CE">
            <w:pPr>
              <w:rPr>
                <w:rFonts w:cstheme="minorHAnsi"/>
                <w:sz w:val="22"/>
                <w:szCs w:val="22"/>
                <w:lang w:val="en-US" w:eastAsia="en-GB"/>
              </w:rPr>
            </w:pPr>
            <w:r w:rsidRPr="00841766">
              <w:rPr>
                <w:rFonts w:cstheme="minorHAnsi"/>
                <w:bCs/>
                <w:color w:val="000000" w:themeColor="text1"/>
                <w:sz w:val="22"/>
                <w:szCs w:val="22"/>
                <w:lang w:val="en-US"/>
              </w:rPr>
              <w:t xml:space="preserve">Institutional regulatory and policy frameworks which are gender responsive, foster employment and jobs through enabling business environment, social dialogue, social protection, and strengthened </w:t>
            </w:r>
            <w:proofErr w:type="spellStart"/>
            <w:r w:rsidRPr="00841766">
              <w:rPr>
                <w:rFonts w:cstheme="minorHAnsi"/>
                <w:bCs/>
                <w:color w:val="000000" w:themeColor="text1"/>
                <w:sz w:val="22"/>
                <w:szCs w:val="22"/>
                <w:lang w:val="en-US"/>
              </w:rPr>
              <w:t>labour</w:t>
            </w:r>
            <w:proofErr w:type="spellEnd"/>
            <w:r w:rsidRPr="00841766">
              <w:rPr>
                <w:rFonts w:cstheme="minorHAnsi"/>
                <w:bCs/>
                <w:color w:val="000000" w:themeColor="text1"/>
                <w:sz w:val="22"/>
                <w:szCs w:val="22"/>
                <w:lang w:val="en-US"/>
              </w:rPr>
              <w:t xml:space="preserve"> rights especially for the groups facing greater barriers in accessing decent work opportunities (such as unpaid domestic workers)</w:t>
            </w:r>
          </w:p>
          <w:p w14:paraId="4FDC7DA1" w14:textId="77777777" w:rsidR="003A41BE" w:rsidRPr="002A7985" w:rsidRDefault="003A41BE" w:rsidP="00FD44CE">
            <w:pPr>
              <w:rPr>
                <w:rFonts w:cstheme="minorHAnsi"/>
                <w:b/>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C7A41" w14:textId="77777777" w:rsidR="003A41BE" w:rsidRDefault="003A41BE" w:rsidP="00FD44CE">
            <w:pPr>
              <w:autoSpaceDE w:val="0"/>
              <w:autoSpaceDN w:val="0"/>
              <w:adjustRightInd w:val="0"/>
              <w:rPr>
                <w:rFonts w:cstheme="minorHAnsi"/>
                <w:bCs/>
                <w:lang w:val="en-US"/>
              </w:rPr>
            </w:pPr>
            <w:r w:rsidRPr="00841766">
              <w:rPr>
                <w:rFonts w:cstheme="minorHAnsi"/>
                <w:b/>
                <w:sz w:val="22"/>
                <w:szCs w:val="22"/>
                <w:lang w:val="en-US"/>
              </w:rPr>
              <w:t xml:space="preserve">Indicator 2.1.1: </w:t>
            </w:r>
            <w:r w:rsidRPr="00841766">
              <w:rPr>
                <w:sz w:val="22"/>
                <w:szCs w:val="22"/>
                <w:lang w:val="en-US"/>
              </w:rPr>
              <w:t xml:space="preserve"> </w:t>
            </w:r>
            <w:proofErr w:type="spellStart"/>
            <w:r w:rsidRPr="00841766">
              <w:rPr>
                <w:rFonts w:cstheme="minorHAnsi"/>
                <w:bCs/>
                <w:sz w:val="22"/>
                <w:szCs w:val="22"/>
                <w:lang w:val="en-US"/>
              </w:rPr>
              <w:t>Labour</w:t>
            </w:r>
            <w:proofErr w:type="spellEnd"/>
            <w:r w:rsidRPr="00841766">
              <w:rPr>
                <w:rFonts w:cstheme="minorHAnsi"/>
                <w:bCs/>
                <w:sz w:val="22"/>
                <w:szCs w:val="22"/>
                <w:lang w:val="en-US"/>
              </w:rPr>
              <w:t xml:space="preserve"> share of GDP, comprising wages and</w:t>
            </w:r>
            <w:r w:rsidRPr="00841766">
              <w:rPr>
                <w:rFonts w:cstheme="minorHAnsi"/>
                <w:bCs/>
                <w:lang w:val="en-US"/>
              </w:rPr>
              <w:t> </w:t>
            </w:r>
            <w:r w:rsidRPr="00841766">
              <w:rPr>
                <w:rFonts w:cstheme="minorHAnsi"/>
                <w:bCs/>
                <w:sz w:val="22"/>
                <w:szCs w:val="22"/>
                <w:lang w:val="en-US"/>
              </w:rPr>
              <w:t>social protection transfers (SDG Indicator 10.4.1</w:t>
            </w:r>
            <w:r w:rsidRPr="00841766">
              <w:rPr>
                <w:rFonts w:cstheme="minorHAnsi"/>
                <w:bCs/>
                <w:lang w:val="en-US"/>
              </w:rPr>
              <w:t>)</w:t>
            </w:r>
          </w:p>
          <w:tbl>
            <w:tblPr>
              <w:tblStyle w:val="TableGrid"/>
              <w:tblW w:w="0" w:type="auto"/>
              <w:tblLayout w:type="fixed"/>
              <w:tblLook w:val="04A0" w:firstRow="1" w:lastRow="0" w:firstColumn="1" w:lastColumn="0" w:noHBand="0" w:noVBand="1"/>
            </w:tblPr>
            <w:tblGrid>
              <w:gridCol w:w="1510"/>
              <w:gridCol w:w="1620"/>
            </w:tblGrid>
            <w:tr w:rsidR="003A41BE" w14:paraId="7F38AA49" w14:textId="77777777" w:rsidTr="00FD44CE">
              <w:tc>
                <w:tcPr>
                  <w:tcW w:w="1510" w:type="dxa"/>
                </w:tcPr>
                <w:p w14:paraId="377AF79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037A2060"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11F18A96" w14:textId="77777777" w:rsidTr="00FD44CE">
              <w:tc>
                <w:tcPr>
                  <w:tcW w:w="1510" w:type="dxa"/>
                </w:tcPr>
                <w:p w14:paraId="3BE9A130"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29.8% (2016)</w:t>
                  </w:r>
                </w:p>
              </w:tc>
              <w:tc>
                <w:tcPr>
                  <w:tcW w:w="1620" w:type="dxa"/>
                </w:tcPr>
                <w:p w14:paraId="0CD99338"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35</w:t>
                  </w:r>
                  <w:r w:rsidRPr="00C54222">
                    <w:rPr>
                      <w:sz w:val="22"/>
                      <w:szCs w:val="22"/>
                      <w:lang w:val="en-US"/>
                    </w:rPr>
                    <w:t>%</w:t>
                  </w:r>
                </w:p>
              </w:tc>
            </w:tr>
          </w:tbl>
          <w:p w14:paraId="7A5E5BA7" w14:textId="77777777" w:rsidR="003A41BE" w:rsidRDefault="003A41BE" w:rsidP="00FD44CE">
            <w:pPr>
              <w:autoSpaceDE w:val="0"/>
              <w:autoSpaceDN w:val="0"/>
              <w:adjustRightInd w:val="0"/>
              <w:rPr>
                <w:rFonts w:cstheme="minorHAnsi"/>
                <w:bCs/>
                <w:lang w:val="en-US"/>
              </w:rPr>
            </w:pPr>
            <w:r w:rsidRPr="003F4BC2">
              <w:rPr>
                <w:rFonts w:cstheme="minorHAnsi"/>
                <w:bCs/>
                <w:sz w:val="22"/>
                <w:szCs w:val="22"/>
                <w:lang w:val="en-US"/>
              </w:rPr>
              <w:t>Data Source: National Accounts</w:t>
            </w:r>
          </w:p>
          <w:p w14:paraId="10EF1A98" w14:textId="77777777" w:rsidR="003A41BE" w:rsidRPr="00841766" w:rsidRDefault="003A41BE" w:rsidP="00FD44CE">
            <w:pPr>
              <w:autoSpaceDE w:val="0"/>
              <w:autoSpaceDN w:val="0"/>
              <w:adjustRightInd w:val="0"/>
              <w:rPr>
                <w:rFonts w:cstheme="minorHAnsi"/>
                <w:sz w:val="22"/>
                <w:szCs w:val="22"/>
                <w:lang w:val="en-US"/>
              </w:rPr>
            </w:pPr>
          </w:p>
        </w:tc>
        <w:tc>
          <w:tcPr>
            <w:tcW w:w="4116" w:type="dxa"/>
            <w:vMerge w:val="restart"/>
            <w:tcBorders>
              <w:top w:val="single" w:sz="4" w:space="0" w:color="auto"/>
              <w:left w:val="single" w:sz="4" w:space="0" w:color="auto"/>
              <w:right w:val="single" w:sz="4" w:space="0" w:color="auto"/>
            </w:tcBorders>
          </w:tcPr>
          <w:p w14:paraId="3FDBF5B0" w14:textId="1DFB26D9" w:rsidR="003A41BE" w:rsidRDefault="003A41BE" w:rsidP="00FD44CE">
            <w:pPr>
              <w:autoSpaceDE w:val="0"/>
              <w:autoSpaceDN w:val="0"/>
              <w:adjustRightInd w:val="0"/>
              <w:rPr>
                <w:rFonts w:cstheme="minorHAnsi"/>
                <w:bCs/>
                <w:sz w:val="22"/>
                <w:szCs w:val="22"/>
                <w:lang w:val="en-US"/>
              </w:rPr>
            </w:pPr>
            <w:r w:rsidRPr="00FE57BC">
              <w:rPr>
                <w:rFonts w:cstheme="minorHAnsi"/>
                <w:bCs/>
                <w:sz w:val="22"/>
                <w:szCs w:val="22"/>
                <w:lang w:val="en-US"/>
              </w:rPr>
              <w:t>S</w:t>
            </w:r>
            <w:r>
              <w:rPr>
                <w:rFonts w:cstheme="minorHAnsi"/>
                <w:bCs/>
                <w:sz w:val="22"/>
                <w:szCs w:val="22"/>
                <w:lang w:val="en-US"/>
              </w:rPr>
              <w:t>ecretary of State for Vocational Training and Employment (S</w:t>
            </w:r>
            <w:r w:rsidRPr="00FE57BC">
              <w:rPr>
                <w:rFonts w:cstheme="minorHAnsi"/>
                <w:bCs/>
                <w:sz w:val="22"/>
                <w:szCs w:val="22"/>
                <w:lang w:val="en-US"/>
              </w:rPr>
              <w:t>EFOPE</w:t>
            </w:r>
            <w:r>
              <w:rPr>
                <w:rFonts w:cstheme="minorHAnsi"/>
                <w:bCs/>
                <w:sz w:val="22"/>
                <w:szCs w:val="22"/>
                <w:lang w:val="en-US"/>
              </w:rPr>
              <w:t xml:space="preserve">), </w:t>
            </w:r>
            <w:r w:rsidRPr="00FE57BC">
              <w:rPr>
                <w:rFonts w:cstheme="minorHAnsi"/>
                <w:bCs/>
                <w:sz w:val="22"/>
                <w:szCs w:val="22"/>
                <w:lang w:val="en-US"/>
              </w:rPr>
              <w:t>Ministry of Finance</w:t>
            </w:r>
            <w:r w:rsidR="00EE1F3B">
              <w:rPr>
                <w:rFonts w:cstheme="minorHAnsi"/>
                <w:bCs/>
                <w:sz w:val="22"/>
                <w:szCs w:val="22"/>
                <w:lang w:val="en-US"/>
              </w:rPr>
              <w:t xml:space="preserve">, </w:t>
            </w:r>
            <w:r w:rsidR="004872B3">
              <w:rPr>
                <w:rFonts w:cstheme="minorHAnsi"/>
                <w:bCs/>
                <w:sz w:val="22"/>
                <w:szCs w:val="22"/>
                <w:lang w:val="en-US"/>
              </w:rPr>
              <w:t>Ministry of Social Solidarity and Inclusion (MSSI)</w:t>
            </w:r>
            <w:r w:rsidR="004D01FC">
              <w:rPr>
                <w:rFonts w:cstheme="minorHAnsi"/>
                <w:bCs/>
                <w:sz w:val="22"/>
                <w:szCs w:val="22"/>
                <w:lang w:val="en-US"/>
              </w:rPr>
              <w:t xml:space="preserve">, </w:t>
            </w:r>
            <w:r w:rsidRPr="00FE57BC">
              <w:rPr>
                <w:rFonts w:cstheme="minorHAnsi"/>
                <w:bCs/>
                <w:sz w:val="22"/>
                <w:szCs w:val="22"/>
                <w:lang w:val="en-US"/>
              </w:rPr>
              <w:t xml:space="preserve"> </w:t>
            </w:r>
          </w:p>
          <w:p w14:paraId="746D2AD0" w14:textId="77777777" w:rsidR="003A41BE" w:rsidRDefault="003A41BE" w:rsidP="00FD44CE">
            <w:pPr>
              <w:autoSpaceDE w:val="0"/>
              <w:autoSpaceDN w:val="0"/>
              <w:adjustRightInd w:val="0"/>
              <w:rPr>
                <w:rFonts w:cstheme="minorHAnsi"/>
                <w:bCs/>
                <w:sz w:val="22"/>
                <w:szCs w:val="22"/>
                <w:lang w:val="en-US"/>
              </w:rPr>
            </w:pPr>
          </w:p>
          <w:p w14:paraId="1B107184" w14:textId="73AF26F2" w:rsidR="003A41BE" w:rsidRPr="00FE57BC" w:rsidRDefault="003A41BE" w:rsidP="00FD44CE">
            <w:pPr>
              <w:autoSpaceDE w:val="0"/>
              <w:autoSpaceDN w:val="0"/>
              <w:adjustRightInd w:val="0"/>
              <w:rPr>
                <w:rFonts w:cstheme="minorHAnsi"/>
                <w:bCs/>
                <w:sz w:val="22"/>
                <w:szCs w:val="22"/>
                <w:lang w:val="en-US"/>
              </w:rPr>
            </w:pPr>
            <w:r w:rsidRPr="00FE57BC">
              <w:rPr>
                <w:rFonts w:cstheme="minorHAnsi"/>
                <w:bCs/>
                <w:sz w:val="22"/>
                <w:szCs w:val="22"/>
                <w:lang w:val="en-US"/>
              </w:rPr>
              <w:t>ILO, IOM, UNCDF</w:t>
            </w:r>
            <w:r>
              <w:rPr>
                <w:rFonts w:cstheme="minorHAnsi"/>
                <w:bCs/>
                <w:sz w:val="22"/>
                <w:szCs w:val="22"/>
                <w:lang w:val="en-US"/>
              </w:rPr>
              <w:t>,</w:t>
            </w:r>
            <w:r w:rsidRPr="00FE57BC">
              <w:rPr>
                <w:rFonts w:cstheme="minorHAnsi"/>
                <w:bCs/>
                <w:sz w:val="22"/>
                <w:szCs w:val="22"/>
                <w:lang w:val="en-US"/>
              </w:rPr>
              <w:t xml:space="preserve"> UNDP</w:t>
            </w:r>
            <w:r>
              <w:rPr>
                <w:rFonts w:cstheme="minorHAnsi"/>
                <w:bCs/>
                <w:sz w:val="22"/>
                <w:szCs w:val="22"/>
                <w:lang w:val="en-US"/>
              </w:rPr>
              <w:t>,</w:t>
            </w:r>
            <w:r w:rsidRPr="00FE57BC">
              <w:rPr>
                <w:rFonts w:cstheme="minorHAnsi"/>
                <w:bCs/>
                <w:sz w:val="22"/>
                <w:szCs w:val="22"/>
                <w:lang w:val="en-US"/>
              </w:rPr>
              <w:t xml:space="preserve"> UN Women</w:t>
            </w:r>
          </w:p>
          <w:p w14:paraId="60DF837B" w14:textId="77777777" w:rsidR="003A41BE" w:rsidRPr="00FE57BC" w:rsidRDefault="003A41BE" w:rsidP="00FD44CE">
            <w:pPr>
              <w:autoSpaceDE w:val="0"/>
              <w:autoSpaceDN w:val="0"/>
              <w:adjustRightInd w:val="0"/>
              <w:rPr>
                <w:rFonts w:cstheme="minorHAnsi"/>
                <w:bCs/>
                <w:sz w:val="22"/>
                <w:szCs w:val="22"/>
                <w:lang w:val="en-US"/>
              </w:rPr>
            </w:pPr>
          </w:p>
          <w:p w14:paraId="79C3FE2A" w14:textId="77777777" w:rsidR="003A41BE" w:rsidRPr="00841766" w:rsidRDefault="003A41BE" w:rsidP="00FD44CE">
            <w:pPr>
              <w:autoSpaceDE w:val="0"/>
              <w:autoSpaceDN w:val="0"/>
              <w:adjustRightInd w:val="0"/>
              <w:rPr>
                <w:rFonts w:cstheme="minorHAnsi"/>
                <w:sz w:val="22"/>
                <w:szCs w:val="22"/>
                <w:lang w:val="en-US"/>
              </w:rPr>
            </w:pPr>
            <w:r w:rsidRPr="00FE57BC">
              <w:rPr>
                <w:rFonts w:cstheme="minorHAnsi"/>
                <w:bCs/>
                <w:sz w:val="22"/>
                <w:szCs w:val="22"/>
                <w:lang w:val="en-US"/>
              </w:rPr>
              <w:t>CCITL</w:t>
            </w:r>
            <w:r>
              <w:rPr>
                <w:rFonts w:cstheme="minorHAnsi"/>
                <w:bCs/>
                <w:sz w:val="22"/>
                <w:szCs w:val="22"/>
                <w:lang w:val="en-US"/>
              </w:rPr>
              <w:t xml:space="preserve">, </w:t>
            </w:r>
            <w:r w:rsidRPr="00FE57BC">
              <w:rPr>
                <w:rFonts w:cstheme="minorHAnsi"/>
                <w:bCs/>
                <w:sz w:val="22"/>
                <w:szCs w:val="22"/>
                <w:lang w:val="en-US"/>
              </w:rPr>
              <w:t>KSTL</w:t>
            </w:r>
          </w:p>
        </w:tc>
      </w:tr>
      <w:tr w:rsidR="003A41BE" w:rsidRPr="00841766" w14:paraId="43E6DC13" w14:textId="77777777" w:rsidTr="53E3C463">
        <w:trPr>
          <w:trHeight w:val="258"/>
        </w:trPr>
        <w:tc>
          <w:tcPr>
            <w:tcW w:w="4529" w:type="dxa"/>
            <w:vMerge/>
          </w:tcPr>
          <w:p w14:paraId="1E1E2871" w14:textId="77777777" w:rsidR="003A41BE" w:rsidRPr="00841766" w:rsidRDefault="003A41BE" w:rsidP="00FD44CE">
            <w:pPr>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24C19"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b/>
                <w:sz w:val="22"/>
                <w:szCs w:val="22"/>
                <w:lang w:val="en-US"/>
              </w:rPr>
              <w:t xml:space="preserve">Indicator 2.1.2: </w:t>
            </w:r>
            <w:r w:rsidRPr="00841766">
              <w:rPr>
                <w:rFonts w:asciiTheme="minorHAnsi" w:hAnsiTheme="minorHAnsi" w:cstheme="minorHAnsi"/>
                <w:bCs/>
                <w:sz w:val="22"/>
                <w:szCs w:val="22"/>
                <w:lang w:val="en-US"/>
              </w:rPr>
              <w:t>Share of informal employment in non-agriculture employment, by sex</w:t>
            </w:r>
            <w:r w:rsidRPr="00841766">
              <w:rPr>
                <w:rFonts w:asciiTheme="minorHAnsi" w:hAnsiTheme="minorHAnsi" w:cstheme="minorHAnsi"/>
                <w:b/>
                <w:sz w:val="22"/>
                <w:szCs w:val="22"/>
                <w:lang w:val="en-US"/>
              </w:rPr>
              <w:t xml:space="preserve"> </w:t>
            </w:r>
            <w:r w:rsidRPr="00841766">
              <w:rPr>
                <w:rFonts w:asciiTheme="minorHAnsi" w:hAnsiTheme="minorHAnsi" w:cstheme="minorHAnsi"/>
                <w:sz w:val="22"/>
                <w:szCs w:val="22"/>
                <w:lang w:val="en-US"/>
              </w:rPr>
              <w:t>(SDG indicator 8.3.1)</w:t>
            </w:r>
          </w:p>
          <w:tbl>
            <w:tblPr>
              <w:tblStyle w:val="TableGrid"/>
              <w:tblW w:w="0" w:type="auto"/>
              <w:tblLayout w:type="fixed"/>
              <w:tblLook w:val="04A0" w:firstRow="1" w:lastRow="0" w:firstColumn="1" w:lastColumn="0" w:noHBand="0" w:noVBand="1"/>
            </w:tblPr>
            <w:tblGrid>
              <w:gridCol w:w="1862"/>
              <w:gridCol w:w="1863"/>
            </w:tblGrid>
            <w:tr w:rsidR="003A41BE" w14:paraId="4C42E313" w14:textId="77777777" w:rsidTr="00FD44CE">
              <w:tc>
                <w:tcPr>
                  <w:tcW w:w="1862" w:type="dxa"/>
                </w:tcPr>
                <w:p w14:paraId="212E14C7" w14:textId="77777777" w:rsidR="003A41BE" w:rsidRPr="003F4BC2"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3F4BC2">
                    <w:rPr>
                      <w:rFonts w:asciiTheme="minorHAnsi" w:hAnsiTheme="minorHAnsi" w:cstheme="minorHAnsi"/>
                      <w:bCs/>
                      <w:sz w:val="22"/>
                      <w:szCs w:val="22"/>
                      <w:lang w:val="en-US"/>
                    </w:rPr>
                    <w:t>Baseline</w:t>
                  </w:r>
                </w:p>
              </w:tc>
              <w:tc>
                <w:tcPr>
                  <w:tcW w:w="1863" w:type="dxa"/>
                </w:tcPr>
                <w:p w14:paraId="7FDFEAE2" w14:textId="77777777" w:rsidR="003A41BE" w:rsidRPr="003F4BC2"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3F4BC2">
                    <w:rPr>
                      <w:rFonts w:asciiTheme="minorHAnsi" w:hAnsiTheme="minorHAnsi" w:cstheme="minorHAnsi"/>
                      <w:bCs/>
                      <w:sz w:val="22"/>
                      <w:szCs w:val="22"/>
                      <w:lang w:val="en-US"/>
                    </w:rPr>
                    <w:t>Target</w:t>
                  </w:r>
                </w:p>
              </w:tc>
            </w:tr>
            <w:tr w:rsidR="003A41BE" w14:paraId="150A24A1" w14:textId="77777777" w:rsidTr="00FD44CE">
              <w:tc>
                <w:tcPr>
                  <w:tcW w:w="1862" w:type="dxa"/>
                </w:tcPr>
                <w:p w14:paraId="3D0E3D39" w14:textId="77777777" w:rsidR="003A41BE" w:rsidRPr="003F4BC2"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3F4BC2">
                    <w:rPr>
                      <w:rFonts w:asciiTheme="minorHAnsi" w:hAnsiTheme="minorHAnsi" w:cstheme="minorHAnsi"/>
                      <w:bCs/>
                      <w:sz w:val="22"/>
                      <w:szCs w:val="22"/>
                      <w:lang w:val="en-US"/>
                    </w:rPr>
                    <w:t>72%</w:t>
                  </w:r>
                  <w:r>
                    <w:rPr>
                      <w:rFonts w:asciiTheme="minorHAnsi" w:hAnsiTheme="minorHAnsi" w:cstheme="minorHAnsi"/>
                      <w:bCs/>
                      <w:sz w:val="22"/>
                      <w:szCs w:val="22"/>
                      <w:lang w:val="en-US"/>
                    </w:rPr>
                    <w:t xml:space="preserve"> (2013)</w:t>
                  </w:r>
                </w:p>
              </w:tc>
              <w:tc>
                <w:tcPr>
                  <w:tcW w:w="1863" w:type="dxa"/>
                </w:tcPr>
                <w:p w14:paraId="664F8E12" w14:textId="77777777" w:rsidR="003A41BE" w:rsidRPr="003F4BC2" w:rsidRDefault="003A41BE" w:rsidP="002A37E3">
                  <w:pPr>
                    <w:pStyle w:val="Default"/>
                    <w:framePr w:hSpace="141" w:wrap="around" w:vAnchor="text" w:hAnchor="text" w:x="421" w:y="1"/>
                    <w:suppressOverlap/>
                    <w:jc w:val="center"/>
                    <w:rPr>
                      <w:rFonts w:asciiTheme="minorHAnsi" w:hAnsiTheme="minorHAnsi" w:cstheme="minorHAnsi"/>
                      <w:bCs/>
                      <w:sz w:val="22"/>
                      <w:szCs w:val="22"/>
                      <w:highlight w:val="yellow"/>
                      <w:lang w:val="en-US"/>
                    </w:rPr>
                  </w:pPr>
                  <w:r w:rsidRPr="002A7985">
                    <w:rPr>
                      <w:rFonts w:asciiTheme="minorHAnsi" w:hAnsiTheme="minorHAnsi" w:cstheme="minorHAnsi"/>
                      <w:bCs/>
                      <w:sz w:val="22"/>
                      <w:szCs w:val="22"/>
                      <w:lang w:val="en-US"/>
                    </w:rPr>
                    <w:t>65%</w:t>
                  </w:r>
                </w:p>
              </w:tc>
            </w:tr>
          </w:tbl>
          <w:p w14:paraId="412BF108" w14:textId="77777777" w:rsidR="003A41BE" w:rsidRDefault="003A41BE" w:rsidP="00FD44CE">
            <w:pPr>
              <w:pStyle w:val="Default"/>
              <w:rPr>
                <w:rFonts w:asciiTheme="minorHAnsi" w:hAnsiTheme="minorHAnsi" w:cstheme="minorHAnsi"/>
                <w:bCs/>
                <w:sz w:val="22"/>
                <w:szCs w:val="22"/>
                <w:lang w:val="en-US"/>
              </w:rPr>
            </w:pPr>
            <w:r>
              <w:rPr>
                <w:rFonts w:asciiTheme="minorHAnsi" w:hAnsiTheme="minorHAnsi" w:cstheme="minorHAnsi"/>
                <w:bCs/>
                <w:sz w:val="22"/>
                <w:szCs w:val="22"/>
                <w:lang w:val="en-US"/>
              </w:rPr>
              <w:t>Note. Male 70 %, Female 76 %</w:t>
            </w:r>
          </w:p>
          <w:p w14:paraId="4DCA90C1" w14:textId="77777777" w:rsidR="003A41BE" w:rsidRPr="003F4BC2" w:rsidRDefault="003A41BE" w:rsidP="00FD44CE">
            <w:pPr>
              <w:pStyle w:val="Default"/>
              <w:rPr>
                <w:rFonts w:asciiTheme="minorHAnsi" w:hAnsiTheme="minorHAnsi" w:cstheme="minorHAnsi"/>
                <w:bCs/>
                <w:sz w:val="22"/>
                <w:szCs w:val="22"/>
                <w:lang w:val="en-US"/>
              </w:rPr>
            </w:pPr>
            <w:r w:rsidRPr="003F4BC2">
              <w:rPr>
                <w:rFonts w:asciiTheme="minorHAnsi" w:hAnsiTheme="minorHAnsi" w:cstheme="minorHAnsi"/>
                <w:bCs/>
                <w:sz w:val="22"/>
                <w:szCs w:val="22"/>
                <w:lang w:val="en-US"/>
              </w:rPr>
              <w:t xml:space="preserve">Data Source: </w:t>
            </w:r>
            <w:proofErr w:type="spellStart"/>
            <w:r w:rsidRPr="003F4BC2">
              <w:rPr>
                <w:rFonts w:asciiTheme="minorHAnsi" w:hAnsiTheme="minorHAnsi" w:cstheme="minorHAnsi"/>
                <w:bCs/>
                <w:sz w:val="22"/>
                <w:szCs w:val="22"/>
                <w:lang w:val="en-US"/>
              </w:rPr>
              <w:t>Labour</w:t>
            </w:r>
            <w:proofErr w:type="spellEnd"/>
            <w:r w:rsidRPr="003F4BC2">
              <w:rPr>
                <w:rFonts w:asciiTheme="minorHAnsi" w:hAnsiTheme="minorHAnsi" w:cstheme="minorHAnsi"/>
                <w:bCs/>
                <w:sz w:val="22"/>
                <w:szCs w:val="22"/>
                <w:lang w:val="en-US"/>
              </w:rPr>
              <w:t xml:space="preserve"> Force Survey (LFS) 2013, to be updated with LFS 2020</w:t>
            </w:r>
          </w:p>
          <w:p w14:paraId="6F201593" w14:textId="77777777" w:rsidR="003A41BE" w:rsidRPr="00841766" w:rsidRDefault="003A41BE" w:rsidP="00FD44CE">
            <w:pPr>
              <w:pStyle w:val="Default"/>
              <w:rPr>
                <w:rFonts w:cstheme="minorHAnsi"/>
                <w:b/>
                <w:sz w:val="22"/>
                <w:szCs w:val="22"/>
                <w:lang w:val="en-US"/>
              </w:rPr>
            </w:pPr>
          </w:p>
        </w:tc>
        <w:tc>
          <w:tcPr>
            <w:tcW w:w="4116" w:type="dxa"/>
            <w:vMerge/>
          </w:tcPr>
          <w:p w14:paraId="3CE8A3F6"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29325FC0" w14:textId="77777777" w:rsidTr="53E3C463">
        <w:trPr>
          <w:trHeight w:val="258"/>
        </w:trPr>
        <w:tc>
          <w:tcPr>
            <w:tcW w:w="4529" w:type="dxa"/>
            <w:vMerge w:val="restart"/>
            <w:tcBorders>
              <w:top w:val="single" w:sz="4" w:space="0" w:color="auto"/>
              <w:left w:val="single" w:sz="4" w:space="0" w:color="auto"/>
              <w:right w:val="single" w:sz="4" w:space="0" w:color="auto"/>
            </w:tcBorders>
            <w:shd w:val="clear" w:color="auto" w:fill="8EAADB" w:themeFill="accent1" w:themeFillTint="99"/>
          </w:tcPr>
          <w:p w14:paraId="0A95983A" w14:textId="77777777" w:rsidR="003A41BE" w:rsidRPr="00841766" w:rsidRDefault="003A41BE" w:rsidP="00FD44CE">
            <w:pPr>
              <w:spacing w:after="84" w:line="259" w:lineRule="auto"/>
              <w:rPr>
                <w:rFonts w:cstheme="minorHAnsi"/>
                <w:sz w:val="22"/>
                <w:szCs w:val="22"/>
                <w:lang w:val="en-US"/>
              </w:rPr>
            </w:pPr>
            <w:r>
              <w:rPr>
                <w:rFonts w:cstheme="minorHAnsi"/>
                <w:b/>
                <w:color w:val="000000" w:themeColor="text1"/>
                <w:sz w:val="22"/>
                <w:szCs w:val="22"/>
                <w:lang w:val="en-US"/>
              </w:rPr>
              <w:t>Sub-o</w:t>
            </w:r>
            <w:r w:rsidRPr="00841766">
              <w:rPr>
                <w:rFonts w:cstheme="minorHAnsi"/>
                <w:b/>
                <w:color w:val="000000" w:themeColor="text1"/>
                <w:sz w:val="22"/>
                <w:szCs w:val="22"/>
                <w:lang w:val="en-US"/>
              </w:rPr>
              <w:t>utcome 2.2:</w:t>
            </w:r>
            <w:r w:rsidRPr="00841766">
              <w:rPr>
                <w:rFonts w:cstheme="minorHAnsi"/>
                <w:sz w:val="22"/>
                <w:szCs w:val="22"/>
                <w:lang w:val="en-US"/>
              </w:rPr>
              <w:t xml:space="preserve"> </w:t>
            </w:r>
          </w:p>
          <w:p w14:paraId="27FD9BF3" w14:textId="77777777" w:rsidR="003A41BE" w:rsidRPr="00841766" w:rsidRDefault="003A41BE" w:rsidP="00FD44CE">
            <w:pPr>
              <w:spacing w:line="259" w:lineRule="auto"/>
              <w:rPr>
                <w:rFonts w:cstheme="minorHAnsi"/>
                <w:b/>
                <w:color w:val="000000" w:themeColor="text1"/>
                <w:sz w:val="22"/>
                <w:szCs w:val="22"/>
                <w:lang w:val="en-US"/>
              </w:rPr>
            </w:pPr>
            <w:r w:rsidRPr="00841766">
              <w:rPr>
                <w:rFonts w:cstheme="minorHAnsi"/>
                <w:b/>
                <w:color w:val="000000" w:themeColor="text1"/>
                <w:sz w:val="22"/>
                <w:szCs w:val="22"/>
                <w:lang w:val="en-US"/>
              </w:rPr>
              <w:t>Business environment</w:t>
            </w:r>
          </w:p>
          <w:p w14:paraId="47547991" w14:textId="77777777" w:rsidR="003A41BE" w:rsidRPr="00841766" w:rsidRDefault="003A41BE" w:rsidP="00FD44CE">
            <w:pPr>
              <w:spacing w:after="84" w:line="259" w:lineRule="auto"/>
              <w:rPr>
                <w:rFonts w:cstheme="minorHAnsi"/>
                <w:sz w:val="22"/>
                <w:szCs w:val="22"/>
                <w:lang w:val="en-US" w:eastAsia="en-GB"/>
              </w:rPr>
            </w:pPr>
            <w:r w:rsidRPr="00841766">
              <w:rPr>
                <w:rFonts w:cstheme="minorHAnsi"/>
                <w:sz w:val="22"/>
                <w:szCs w:val="22"/>
                <w:lang w:val="en-US"/>
              </w:rPr>
              <w:t>By 2025, c</w:t>
            </w:r>
            <w:r w:rsidRPr="00841766">
              <w:rPr>
                <w:rFonts w:cstheme="minorHAnsi"/>
                <w:sz w:val="22"/>
                <w:szCs w:val="22"/>
                <w:lang w:val="en-US" w:eastAsia="en-GB"/>
              </w:rPr>
              <w:t xml:space="preserve">onditions and incentives for diversified and sustainable entrepreneurship and private sector growth, prioritizing NEET youth, </w:t>
            </w:r>
            <w:r w:rsidRPr="00841766">
              <w:rPr>
                <w:rFonts w:cstheme="minorHAnsi"/>
                <w:sz w:val="22"/>
                <w:szCs w:val="22"/>
                <w:lang w:val="en-US"/>
              </w:rPr>
              <w:t>women</w:t>
            </w:r>
            <w:r w:rsidRPr="00841766">
              <w:rPr>
                <w:rFonts w:cstheme="minorHAnsi"/>
                <w:sz w:val="22"/>
                <w:szCs w:val="22"/>
                <w:lang w:val="en-US" w:eastAsia="en-GB"/>
              </w:rPr>
              <w:t xml:space="preserve">, returning </w:t>
            </w:r>
            <w:proofErr w:type="spellStart"/>
            <w:r w:rsidRPr="00841766">
              <w:rPr>
                <w:rFonts w:cstheme="minorHAnsi"/>
                <w:sz w:val="22"/>
                <w:szCs w:val="22"/>
                <w:lang w:val="en-US" w:eastAsia="en-GB"/>
              </w:rPr>
              <w:t>labour</w:t>
            </w:r>
            <w:proofErr w:type="spellEnd"/>
            <w:r w:rsidRPr="00841766">
              <w:rPr>
                <w:rFonts w:cstheme="minorHAnsi"/>
                <w:sz w:val="22"/>
                <w:szCs w:val="22"/>
                <w:lang w:val="en-US" w:eastAsia="en-GB"/>
              </w:rPr>
              <w:t xml:space="preserve"> migrants and rural population, are created.</w:t>
            </w:r>
          </w:p>
        </w:tc>
        <w:tc>
          <w:tcPr>
            <w:tcW w:w="581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C883AC" w14:textId="77777777" w:rsidR="003A41BE" w:rsidRDefault="003A41BE" w:rsidP="00FD44CE">
            <w:pPr>
              <w:pStyle w:val="Default"/>
              <w:rPr>
                <w:rFonts w:asciiTheme="minorHAnsi" w:hAnsiTheme="minorHAnsi" w:cstheme="minorHAnsi"/>
                <w:lang w:val="en-US"/>
              </w:rPr>
            </w:pPr>
            <w:r w:rsidRPr="00841766">
              <w:rPr>
                <w:rFonts w:asciiTheme="minorHAnsi" w:hAnsiTheme="minorHAnsi" w:cstheme="minorHAnsi"/>
                <w:b/>
                <w:sz w:val="22"/>
                <w:szCs w:val="22"/>
                <w:lang w:val="en-US"/>
              </w:rPr>
              <w:t xml:space="preserve">Indicator 2.2.1: </w:t>
            </w:r>
            <w:r w:rsidRPr="00841766">
              <w:rPr>
                <w:rFonts w:asciiTheme="minorHAnsi" w:hAnsiTheme="minorHAnsi" w:cstheme="minorHAnsi"/>
                <w:sz w:val="22"/>
                <w:szCs w:val="22"/>
                <w:lang w:val="en-US"/>
              </w:rPr>
              <w:t xml:space="preserve">Procedures, time, cost and paid-in minimum capital to start a limited liability company, </w:t>
            </w:r>
            <w:r w:rsidRPr="00841766">
              <w:rPr>
                <w:rFonts w:asciiTheme="minorHAnsi" w:hAnsiTheme="minorHAnsi" w:cstheme="minorHAnsi"/>
                <w:lang w:val="en-US"/>
              </w:rPr>
              <w:t>disaggregated by sex and age</w:t>
            </w:r>
          </w:p>
          <w:tbl>
            <w:tblPr>
              <w:tblStyle w:val="TableGrid"/>
              <w:tblW w:w="0" w:type="auto"/>
              <w:tblLayout w:type="fixed"/>
              <w:tblLook w:val="04A0" w:firstRow="1" w:lastRow="0" w:firstColumn="1" w:lastColumn="0" w:noHBand="0" w:noVBand="1"/>
            </w:tblPr>
            <w:tblGrid>
              <w:gridCol w:w="1862"/>
              <w:gridCol w:w="1862"/>
              <w:gridCol w:w="1863"/>
            </w:tblGrid>
            <w:tr w:rsidR="003A41BE" w14:paraId="2EDF10AF" w14:textId="77777777" w:rsidTr="00FD44CE">
              <w:tc>
                <w:tcPr>
                  <w:tcW w:w="1862" w:type="dxa"/>
                </w:tcPr>
                <w:p w14:paraId="3D7028B6" w14:textId="77777777" w:rsidR="003A41BE" w:rsidRPr="00E67AC7" w:rsidRDefault="003A41BE" w:rsidP="002A37E3">
                  <w:pPr>
                    <w:pStyle w:val="Default"/>
                    <w:framePr w:hSpace="141" w:wrap="around" w:vAnchor="text" w:hAnchor="text" w:x="421" w:y="1"/>
                    <w:suppressOverlap/>
                    <w:rPr>
                      <w:rFonts w:asciiTheme="minorHAnsi" w:hAnsiTheme="minorHAnsi" w:cstheme="minorHAnsi"/>
                      <w:b/>
                      <w:sz w:val="20"/>
                      <w:szCs w:val="20"/>
                      <w:lang w:val="en-US"/>
                    </w:rPr>
                  </w:pPr>
                </w:p>
              </w:tc>
              <w:tc>
                <w:tcPr>
                  <w:tcW w:w="1862" w:type="dxa"/>
                </w:tcPr>
                <w:p w14:paraId="12D6B60C" w14:textId="77777777" w:rsidR="003A41BE" w:rsidRPr="00E67AC7" w:rsidRDefault="003A41BE" w:rsidP="002A37E3">
                  <w:pPr>
                    <w:pStyle w:val="Default"/>
                    <w:framePr w:hSpace="141" w:wrap="around" w:vAnchor="text" w:hAnchor="text" w:x="421" w:y="1"/>
                    <w:suppressOverlap/>
                    <w:jc w:val="center"/>
                    <w:rPr>
                      <w:rFonts w:asciiTheme="minorHAnsi" w:hAnsiTheme="minorHAnsi" w:cstheme="minorHAnsi"/>
                      <w:b/>
                      <w:sz w:val="20"/>
                      <w:szCs w:val="20"/>
                      <w:lang w:val="en-US"/>
                    </w:rPr>
                  </w:pPr>
                  <w:r w:rsidRPr="00E67AC7">
                    <w:rPr>
                      <w:rFonts w:asciiTheme="minorHAnsi" w:hAnsiTheme="minorHAnsi" w:cstheme="minorHAnsi"/>
                      <w:bCs/>
                      <w:sz w:val="22"/>
                      <w:szCs w:val="22"/>
                      <w:lang w:val="en-US"/>
                    </w:rPr>
                    <w:t>Baseline</w:t>
                  </w:r>
                  <w:r w:rsidRPr="00E67AC7">
                    <w:rPr>
                      <w:rFonts w:asciiTheme="minorHAnsi" w:hAnsiTheme="minorHAnsi" w:cstheme="minorHAnsi"/>
                      <w:b/>
                      <w:sz w:val="20"/>
                      <w:szCs w:val="20"/>
                      <w:lang w:val="en-US"/>
                    </w:rPr>
                    <w:t xml:space="preserve"> </w:t>
                  </w:r>
                </w:p>
              </w:tc>
              <w:tc>
                <w:tcPr>
                  <w:tcW w:w="1863" w:type="dxa"/>
                </w:tcPr>
                <w:p w14:paraId="52129B5D" w14:textId="77777777" w:rsidR="003A41BE" w:rsidRPr="00E67AC7" w:rsidRDefault="003A41BE" w:rsidP="002A37E3">
                  <w:pPr>
                    <w:pStyle w:val="Default"/>
                    <w:framePr w:hSpace="141" w:wrap="around" w:vAnchor="text" w:hAnchor="text" w:x="421" w:y="1"/>
                    <w:suppressOverlap/>
                    <w:jc w:val="center"/>
                    <w:rPr>
                      <w:rFonts w:asciiTheme="minorHAnsi" w:hAnsiTheme="minorHAnsi" w:cstheme="minorHAnsi"/>
                      <w:b/>
                      <w:sz w:val="20"/>
                      <w:szCs w:val="20"/>
                      <w:lang w:val="en-US"/>
                    </w:rPr>
                  </w:pPr>
                  <w:r w:rsidRPr="00E67AC7">
                    <w:rPr>
                      <w:rFonts w:asciiTheme="minorHAnsi" w:hAnsiTheme="minorHAnsi" w:cstheme="minorHAnsi"/>
                      <w:bCs/>
                      <w:sz w:val="22"/>
                      <w:szCs w:val="22"/>
                      <w:lang w:val="en-US"/>
                    </w:rPr>
                    <w:t>Target</w:t>
                  </w:r>
                </w:p>
              </w:tc>
            </w:tr>
            <w:tr w:rsidR="003A41BE" w14:paraId="4CC69C35" w14:textId="77777777" w:rsidTr="00FD44CE">
              <w:tc>
                <w:tcPr>
                  <w:tcW w:w="1862" w:type="dxa"/>
                </w:tcPr>
                <w:p w14:paraId="3E8FD181" w14:textId="77777777" w:rsidR="003A41BE" w:rsidRPr="00E67AC7"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E67AC7">
                    <w:rPr>
                      <w:rFonts w:asciiTheme="minorHAnsi" w:hAnsiTheme="minorHAnsi" w:cstheme="minorHAnsi"/>
                      <w:bCs/>
                      <w:sz w:val="22"/>
                      <w:szCs w:val="22"/>
                      <w:lang w:val="en-US"/>
                    </w:rPr>
                    <w:t>Procedure</w:t>
                  </w:r>
                </w:p>
              </w:tc>
              <w:tc>
                <w:tcPr>
                  <w:tcW w:w="1862" w:type="dxa"/>
                </w:tcPr>
                <w:p w14:paraId="2E652A17" w14:textId="77777777" w:rsidR="003A41BE" w:rsidRPr="00E67AC7"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E67AC7">
                    <w:rPr>
                      <w:rFonts w:asciiTheme="minorHAnsi" w:hAnsiTheme="minorHAnsi" w:cstheme="minorHAnsi"/>
                      <w:bCs/>
                      <w:sz w:val="22"/>
                      <w:szCs w:val="22"/>
                      <w:lang w:val="en-US"/>
                    </w:rPr>
                    <w:t>6 days</w:t>
                  </w:r>
                </w:p>
              </w:tc>
              <w:tc>
                <w:tcPr>
                  <w:tcW w:w="1863" w:type="dxa"/>
                </w:tcPr>
                <w:p w14:paraId="7A0C813B" w14:textId="77777777" w:rsidR="003A41BE" w:rsidRPr="002A7985"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2A7985">
                    <w:rPr>
                      <w:rFonts w:asciiTheme="minorHAnsi" w:hAnsiTheme="minorHAnsi" w:cstheme="minorHAnsi"/>
                      <w:bCs/>
                      <w:sz w:val="22"/>
                      <w:szCs w:val="22"/>
                      <w:lang w:val="en-US"/>
                    </w:rPr>
                    <w:t>4.9 days</w:t>
                  </w:r>
                </w:p>
              </w:tc>
            </w:tr>
            <w:tr w:rsidR="003A41BE" w14:paraId="01956AB0" w14:textId="77777777" w:rsidTr="00FD44CE">
              <w:tc>
                <w:tcPr>
                  <w:tcW w:w="1862" w:type="dxa"/>
                </w:tcPr>
                <w:p w14:paraId="7A638D1E" w14:textId="77777777" w:rsidR="003A41BE" w:rsidRPr="00E67AC7"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E67AC7">
                    <w:rPr>
                      <w:rFonts w:asciiTheme="minorHAnsi" w:hAnsiTheme="minorHAnsi" w:cstheme="minorHAnsi"/>
                      <w:bCs/>
                      <w:sz w:val="22"/>
                      <w:szCs w:val="22"/>
                      <w:lang w:val="en-US"/>
                    </w:rPr>
                    <w:t>Time</w:t>
                  </w:r>
                </w:p>
              </w:tc>
              <w:tc>
                <w:tcPr>
                  <w:tcW w:w="1862" w:type="dxa"/>
                </w:tcPr>
                <w:p w14:paraId="5829BF5E" w14:textId="77777777" w:rsidR="003A41BE" w:rsidRPr="00E67AC7"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E67AC7">
                    <w:rPr>
                      <w:rFonts w:asciiTheme="minorHAnsi" w:hAnsiTheme="minorHAnsi" w:cstheme="minorHAnsi"/>
                      <w:bCs/>
                      <w:sz w:val="22"/>
                      <w:szCs w:val="22"/>
                      <w:lang w:val="en-US"/>
                    </w:rPr>
                    <w:t>13 days</w:t>
                  </w:r>
                </w:p>
              </w:tc>
              <w:tc>
                <w:tcPr>
                  <w:tcW w:w="1863" w:type="dxa"/>
                </w:tcPr>
                <w:p w14:paraId="549F6292" w14:textId="77777777" w:rsidR="003A41BE" w:rsidRPr="002A7985"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2A7985">
                    <w:rPr>
                      <w:rFonts w:asciiTheme="minorHAnsi" w:hAnsiTheme="minorHAnsi" w:cstheme="minorHAnsi"/>
                      <w:bCs/>
                      <w:sz w:val="22"/>
                      <w:szCs w:val="22"/>
                      <w:lang w:val="en-US"/>
                    </w:rPr>
                    <w:t>9.2 days</w:t>
                  </w:r>
                </w:p>
              </w:tc>
            </w:tr>
            <w:tr w:rsidR="003A41BE" w14:paraId="2F91BDFB" w14:textId="77777777" w:rsidTr="00FD44CE">
              <w:tc>
                <w:tcPr>
                  <w:tcW w:w="1862" w:type="dxa"/>
                </w:tcPr>
                <w:p w14:paraId="5C2A87C6" w14:textId="77777777" w:rsidR="003A41BE" w:rsidRPr="00E67AC7"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E67AC7">
                    <w:rPr>
                      <w:rFonts w:asciiTheme="minorHAnsi" w:hAnsiTheme="minorHAnsi" w:cstheme="minorHAnsi"/>
                      <w:bCs/>
                      <w:sz w:val="22"/>
                      <w:szCs w:val="22"/>
                      <w:lang w:val="en-US"/>
                    </w:rPr>
                    <w:t>Cost</w:t>
                  </w:r>
                </w:p>
              </w:tc>
              <w:tc>
                <w:tcPr>
                  <w:tcW w:w="1862" w:type="dxa"/>
                </w:tcPr>
                <w:p w14:paraId="66A7ACB7" w14:textId="77777777" w:rsidR="003A41BE" w:rsidRPr="00E67AC7"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E67AC7">
                    <w:rPr>
                      <w:rFonts w:asciiTheme="minorHAnsi" w:hAnsiTheme="minorHAnsi" w:cstheme="minorHAnsi"/>
                      <w:bCs/>
                      <w:sz w:val="22"/>
                      <w:szCs w:val="22"/>
                      <w:lang w:val="en-US"/>
                    </w:rPr>
                    <w:t>0.7 (% of income per capita)</w:t>
                  </w:r>
                </w:p>
              </w:tc>
              <w:tc>
                <w:tcPr>
                  <w:tcW w:w="1863" w:type="dxa"/>
                </w:tcPr>
                <w:p w14:paraId="4999E277" w14:textId="77777777" w:rsidR="003A41BE" w:rsidRPr="002A7985"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E67AC7">
                    <w:rPr>
                      <w:rFonts w:asciiTheme="minorHAnsi" w:hAnsiTheme="minorHAnsi" w:cstheme="minorHAnsi"/>
                      <w:bCs/>
                      <w:sz w:val="22"/>
                      <w:szCs w:val="22"/>
                      <w:lang w:val="en-US"/>
                    </w:rPr>
                    <w:t>3.0</w:t>
                  </w:r>
                  <w:r w:rsidRPr="002A7985">
                    <w:rPr>
                      <w:rFonts w:asciiTheme="minorHAnsi" w:hAnsiTheme="minorHAnsi" w:cstheme="minorHAnsi"/>
                      <w:bCs/>
                      <w:sz w:val="22"/>
                      <w:szCs w:val="22"/>
                      <w:lang w:val="en-US"/>
                    </w:rPr>
                    <w:t xml:space="preserve"> (% of income per capita)</w:t>
                  </w:r>
                </w:p>
              </w:tc>
            </w:tr>
            <w:tr w:rsidR="003A41BE" w14:paraId="248331C9" w14:textId="77777777" w:rsidTr="00FD44CE">
              <w:tc>
                <w:tcPr>
                  <w:tcW w:w="1862" w:type="dxa"/>
                </w:tcPr>
                <w:p w14:paraId="05321C5B" w14:textId="77777777" w:rsidR="003A41BE" w:rsidRPr="00E67AC7"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E67AC7">
                    <w:rPr>
                      <w:rFonts w:asciiTheme="minorHAnsi" w:hAnsiTheme="minorHAnsi" w:cstheme="minorHAnsi"/>
                      <w:bCs/>
                      <w:sz w:val="22"/>
                      <w:szCs w:val="22"/>
                      <w:lang w:val="en-US"/>
                    </w:rPr>
                    <w:t>Paid-in min capital</w:t>
                  </w:r>
                </w:p>
              </w:tc>
              <w:tc>
                <w:tcPr>
                  <w:tcW w:w="1862" w:type="dxa"/>
                </w:tcPr>
                <w:p w14:paraId="6E767E30" w14:textId="77777777" w:rsidR="003A41BE" w:rsidRPr="00E67AC7"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E67AC7">
                    <w:rPr>
                      <w:rFonts w:asciiTheme="minorHAnsi" w:hAnsiTheme="minorHAnsi" w:cstheme="minorHAnsi"/>
                      <w:bCs/>
                      <w:sz w:val="22"/>
                      <w:szCs w:val="22"/>
                      <w:lang w:val="en-US"/>
                    </w:rPr>
                    <w:t>0.3 (% of income per capita)</w:t>
                  </w:r>
                </w:p>
              </w:tc>
              <w:tc>
                <w:tcPr>
                  <w:tcW w:w="1863" w:type="dxa"/>
                </w:tcPr>
                <w:p w14:paraId="52D3DAF1" w14:textId="77777777" w:rsidR="003A41BE" w:rsidRPr="00E67AC7" w:rsidRDefault="003A41BE" w:rsidP="002A37E3">
                  <w:pPr>
                    <w:pStyle w:val="Default"/>
                    <w:framePr w:hSpace="141" w:wrap="around" w:vAnchor="text" w:hAnchor="text" w:x="421" w:y="1"/>
                    <w:suppressOverlap/>
                    <w:jc w:val="center"/>
                    <w:rPr>
                      <w:rFonts w:asciiTheme="minorHAnsi" w:hAnsiTheme="minorHAnsi" w:cstheme="minorHAnsi"/>
                      <w:bCs/>
                      <w:sz w:val="22"/>
                      <w:szCs w:val="22"/>
                      <w:lang w:val="en-US"/>
                    </w:rPr>
                  </w:pPr>
                  <w:r w:rsidRPr="00E67AC7">
                    <w:rPr>
                      <w:rFonts w:asciiTheme="minorHAnsi" w:hAnsiTheme="minorHAnsi" w:cstheme="minorHAnsi"/>
                      <w:bCs/>
                      <w:sz w:val="22"/>
                      <w:szCs w:val="22"/>
                      <w:lang w:val="en-US"/>
                    </w:rPr>
                    <w:t>7.6 (% of income per capita)</w:t>
                  </w:r>
                </w:p>
              </w:tc>
            </w:tr>
          </w:tbl>
          <w:p w14:paraId="5819A484" w14:textId="42426253" w:rsidR="003A41BE" w:rsidRPr="003F4BC2" w:rsidRDefault="003A41BE" w:rsidP="00FD44CE">
            <w:pPr>
              <w:autoSpaceDE w:val="0"/>
              <w:autoSpaceDN w:val="0"/>
              <w:adjustRightInd w:val="0"/>
              <w:rPr>
                <w:rFonts w:cstheme="minorHAnsi"/>
                <w:bCs/>
                <w:sz w:val="22"/>
                <w:szCs w:val="22"/>
                <w:lang w:val="en-US"/>
              </w:rPr>
            </w:pPr>
            <w:r w:rsidRPr="00DA2276">
              <w:rPr>
                <w:rFonts w:cstheme="minorHAnsi"/>
                <w:bCs/>
                <w:sz w:val="22"/>
                <w:szCs w:val="22"/>
                <w:lang w:val="en-US"/>
              </w:rPr>
              <w:t>Data Source:</w:t>
            </w:r>
            <w:r w:rsidR="00A800E3">
              <w:rPr>
                <w:rFonts w:cstheme="minorHAnsi"/>
                <w:bCs/>
                <w:sz w:val="22"/>
                <w:szCs w:val="22"/>
                <w:lang w:val="en-US"/>
              </w:rPr>
              <w:t xml:space="preserve"> World Bank Ease of Doing Business Report 2019</w:t>
            </w:r>
          </w:p>
          <w:p w14:paraId="6AC93424" w14:textId="77777777" w:rsidR="003A41BE" w:rsidRPr="00841766" w:rsidRDefault="003A41BE" w:rsidP="00FD44CE">
            <w:pPr>
              <w:autoSpaceDE w:val="0"/>
              <w:autoSpaceDN w:val="0"/>
              <w:adjustRightInd w:val="0"/>
              <w:rPr>
                <w:rFonts w:cstheme="minorHAnsi"/>
                <w:b/>
                <w:sz w:val="22"/>
                <w:szCs w:val="22"/>
                <w:lang w:val="en-US"/>
              </w:rPr>
            </w:pPr>
          </w:p>
        </w:tc>
        <w:tc>
          <w:tcPr>
            <w:tcW w:w="4116" w:type="dxa"/>
            <w:vMerge w:val="restart"/>
            <w:tcBorders>
              <w:top w:val="single" w:sz="4" w:space="0" w:color="auto"/>
              <w:left w:val="single" w:sz="4" w:space="0" w:color="auto"/>
              <w:right w:val="single" w:sz="4" w:space="0" w:color="auto"/>
            </w:tcBorders>
          </w:tcPr>
          <w:p w14:paraId="43E24143" w14:textId="2176012F" w:rsidR="003A41BE" w:rsidRPr="002A7985" w:rsidRDefault="003A41BE" w:rsidP="00FD44CE">
            <w:pPr>
              <w:autoSpaceDE w:val="0"/>
              <w:autoSpaceDN w:val="0"/>
              <w:adjustRightInd w:val="0"/>
              <w:rPr>
                <w:rFonts w:cstheme="minorHAnsi"/>
                <w:bCs/>
                <w:sz w:val="22"/>
                <w:szCs w:val="22"/>
                <w:lang w:val="en-US"/>
              </w:rPr>
            </w:pPr>
            <w:r w:rsidRPr="002A7985">
              <w:rPr>
                <w:rFonts w:cstheme="minorHAnsi"/>
                <w:bCs/>
                <w:sz w:val="22"/>
                <w:szCs w:val="22"/>
                <w:lang w:val="en-US"/>
              </w:rPr>
              <w:t>SEFOPE</w:t>
            </w:r>
            <w:r>
              <w:rPr>
                <w:rFonts w:cstheme="minorHAnsi"/>
                <w:bCs/>
                <w:sz w:val="22"/>
                <w:szCs w:val="22"/>
                <w:lang w:val="en-US"/>
              </w:rPr>
              <w:t xml:space="preserve">, </w:t>
            </w:r>
            <w:r w:rsidRPr="002A7985">
              <w:rPr>
                <w:rFonts w:cstheme="minorHAnsi"/>
                <w:bCs/>
                <w:sz w:val="22"/>
                <w:szCs w:val="22"/>
                <w:lang w:val="en-US"/>
              </w:rPr>
              <w:t>Ministry of Finance</w:t>
            </w:r>
            <w:r>
              <w:rPr>
                <w:rFonts w:cstheme="minorHAnsi"/>
                <w:bCs/>
                <w:sz w:val="22"/>
                <w:szCs w:val="22"/>
                <w:lang w:val="en-US"/>
              </w:rPr>
              <w:t xml:space="preserve">, </w:t>
            </w:r>
            <w:r w:rsidR="000C38C2">
              <w:rPr>
                <w:rFonts w:cstheme="minorHAnsi"/>
                <w:bCs/>
                <w:sz w:val="22"/>
                <w:szCs w:val="22"/>
                <w:lang w:val="en-US"/>
              </w:rPr>
              <w:t>Ministry of Commerce and Industry (MECAII), MERLAP, TRADEINVEST, Secretary State for Cooperatives</w:t>
            </w:r>
          </w:p>
          <w:p w14:paraId="59EE8EAA" w14:textId="77777777" w:rsidR="003A41BE" w:rsidRPr="002A7985" w:rsidRDefault="003A41BE" w:rsidP="00FD44CE">
            <w:pPr>
              <w:autoSpaceDE w:val="0"/>
              <w:autoSpaceDN w:val="0"/>
              <w:adjustRightInd w:val="0"/>
              <w:rPr>
                <w:rFonts w:cstheme="minorHAnsi"/>
                <w:bCs/>
                <w:sz w:val="22"/>
                <w:szCs w:val="22"/>
                <w:lang w:val="en-US"/>
              </w:rPr>
            </w:pPr>
          </w:p>
          <w:p w14:paraId="2FE3FC1B" w14:textId="441F8AD7" w:rsidR="003A41BE" w:rsidRPr="002A7985" w:rsidRDefault="003A41BE" w:rsidP="00FD44CE">
            <w:pPr>
              <w:autoSpaceDE w:val="0"/>
              <w:autoSpaceDN w:val="0"/>
              <w:adjustRightInd w:val="0"/>
              <w:rPr>
                <w:rFonts w:cstheme="minorHAnsi"/>
                <w:bCs/>
                <w:sz w:val="22"/>
                <w:szCs w:val="22"/>
                <w:lang w:val="en-US"/>
              </w:rPr>
            </w:pPr>
            <w:r w:rsidRPr="002A7985">
              <w:rPr>
                <w:rFonts w:cstheme="minorHAnsi"/>
                <w:bCs/>
                <w:sz w:val="22"/>
                <w:szCs w:val="22"/>
                <w:lang w:val="en-US"/>
              </w:rPr>
              <w:t xml:space="preserve">ILO, IOM, </w:t>
            </w:r>
            <w:r w:rsidR="00B67FB9">
              <w:rPr>
                <w:rFonts w:cstheme="minorHAnsi"/>
                <w:bCs/>
                <w:sz w:val="22"/>
                <w:szCs w:val="22"/>
                <w:lang w:val="en-US"/>
              </w:rPr>
              <w:t xml:space="preserve">UNCDF, </w:t>
            </w:r>
            <w:r w:rsidRPr="002A7985">
              <w:rPr>
                <w:rFonts w:cstheme="minorHAnsi"/>
                <w:bCs/>
                <w:sz w:val="22"/>
                <w:szCs w:val="22"/>
                <w:lang w:val="en-US"/>
              </w:rPr>
              <w:t>UNDP, UNICEF</w:t>
            </w:r>
          </w:p>
          <w:p w14:paraId="584B644F" w14:textId="77777777" w:rsidR="003A41BE" w:rsidRPr="002A7985" w:rsidRDefault="003A41BE" w:rsidP="00FD44CE">
            <w:pPr>
              <w:autoSpaceDE w:val="0"/>
              <w:autoSpaceDN w:val="0"/>
              <w:adjustRightInd w:val="0"/>
              <w:rPr>
                <w:rFonts w:cstheme="minorHAnsi"/>
                <w:bCs/>
                <w:sz w:val="22"/>
                <w:szCs w:val="22"/>
                <w:lang w:val="en-US"/>
              </w:rPr>
            </w:pPr>
          </w:p>
          <w:p w14:paraId="5F5415FF" w14:textId="3B2A4B2F" w:rsidR="003A41BE" w:rsidRPr="002A7985" w:rsidRDefault="003A41BE" w:rsidP="00FD44CE">
            <w:pPr>
              <w:autoSpaceDE w:val="0"/>
              <w:autoSpaceDN w:val="0"/>
              <w:adjustRightInd w:val="0"/>
              <w:rPr>
                <w:rFonts w:cstheme="minorHAnsi"/>
                <w:bCs/>
                <w:sz w:val="22"/>
                <w:szCs w:val="22"/>
                <w:lang w:val="en-US"/>
              </w:rPr>
            </w:pPr>
            <w:r w:rsidRPr="002A7985">
              <w:rPr>
                <w:rFonts w:cstheme="minorHAnsi"/>
                <w:bCs/>
                <w:sz w:val="22"/>
                <w:szCs w:val="22"/>
                <w:lang w:val="en-US"/>
              </w:rPr>
              <w:t>CCITL</w:t>
            </w:r>
            <w:r>
              <w:rPr>
                <w:rFonts w:cstheme="minorHAnsi"/>
                <w:bCs/>
                <w:sz w:val="22"/>
                <w:szCs w:val="22"/>
                <w:lang w:val="en-US"/>
              </w:rPr>
              <w:t xml:space="preserve">, </w:t>
            </w:r>
            <w:r w:rsidRPr="002A7985">
              <w:rPr>
                <w:rFonts w:cstheme="minorHAnsi"/>
                <w:bCs/>
                <w:sz w:val="22"/>
                <w:szCs w:val="22"/>
                <w:lang w:val="en-US"/>
              </w:rPr>
              <w:t>KSTL</w:t>
            </w:r>
            <w:r w:rsidR="00B15CD7">
              <w:rPr>
                <w:rFonts w:cstheme="minorHAnsi"/>
                <w:bCs/>
                <w:sz w:val="22"/>
                <w:szCs w:val="22"/>
                <w:lang w:val="en-US"/>
              </w:rPr>
              <w:t>, Financial Institutions</w:t>
            </w:r>
          </w:p>
          <w:p w14:paraId="37DCB5AC"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2397A5CF" w14:textId="77777777" w:rsidTr="53E3C463">
        <w:trPr>
          <w:trHeight w:val="258"/>
        </w:trPr>
        <w:tc>
          <w:tcPr>
            <w:tcW w:w="4529" w:type="dxa"/>
            <w:vMerge/>
          </w:tcPr>
          <w:p w14:paraId="0C90218B" w14:textId="77777777" w:rsidR="003A41BE" w:rsidRPr="00841766" w:rsidRDefault="003A41BE" w:rsidP="00FD44CE">
            <w:pPr>
              <w:spacing w:after="84" w:line="259" w:lineRule="auto"/>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38E57" w14:textId="77777777" w:rsidR="003A41BE" w:rsidRDefault="003A41BE" w:rsidP="00FD44CE">
            <w:pPr>
              <w:rPr>
                <w:sz w:val="22"/>
                <w:szCs w:val="22"/>
                <w:lang w:val="en-US"/>
              </w:rPr>
            </w:pPr>
            <w:r w:rsidRPr="00841766">
              <w:rPr>
                <w:rFonts w:cstheme="minorHAnsi"/>
                <w:b/>
                <w:sz w:val="22"/>
                <w:szCs w:val="22"/>
                <w:lang w:val="en-US"/>
              </w:rPr>
              <w:t xml:space="preserve">Indicator 2.2.2: </w:t>
            </w:r>
            <w:r w:rsidRPr="00841766">
              <w:rPr>
                <w:rFonts w:ascii="Garamond" w:hAnsi="Garamond" w:cs="Calibri"/>
                <w:b/>
                <w:bCs/>
                <w:color w:val="1F3864"/>
                <w:sz w:val="22"/>
                <w:szCs w:val="22"/>
                <w:lang w:val="en-US"/>
              </w:rPr>
              <w:t xml:space="preserve"> </w:t>
            </w:r>
            <w:r w:rsidRPr="00841766">
              <w:rPr>
                <w:sz w:val="22"/>
                <w:szCs w:val="22"/>
                <w:lang w:val="en-US"/>
              </w:rPr>
              <w:t xml:space="preserve">Proportion </w:t>
            </w:r>
            <w:r>
              <w:rPr>
                <w:sz w:val="22"/>
                <w:szCs w:val="22"/>
                <w:lang w:val="en-US"/>
              </w:rPr>
              <w:t xml:space="preserve">of Micro, small and medium enterprises having access to credits </w:t>
            </w:r>
            <w:r w:rsidRPr="00841766">
              <w:rPr>
                <w:sz w:val="22"/>
                <w:szCs w:val="22"/>
                <w:lang w:val="en-US"/>
              </w:rPr>
              <w:t>(SDG indicator 9.3.</w:t>
            </w:r>
            <w:r>
              <w:rPr>
                <w:sz w:val="22"/>
                <w:szCs w:val="22"/>
                <w:lang w:val="en-US"/>
              </w:rPr>
              <w:t>2</w:t>
            </w:r>
            <w:r w:rsidRPr="00841766">
              <w:rPr>
                <w:sz w:val="22"/>
                <w:szCs w:val="22"/>
                <w:lang w:val="en-US"/>
              </w:rPr>
              <w:t xml:space="preserve">) </w:t>
            </w:r>
          </w:p>
          <w:tbl>
            <w:tblPr>
              <w:tblStyle w:val="TableGrid"/>
              <w:tblW w:w="0" w:type="auto"/>
              <w:tblLayout w:type="fixed"/>
              <w:tblLook w:val="04A0" w:firstRow="1" w:lastRow="0" w:firstColumn="1" w:lastColumn="0" w:noHBand="0" w:noVBand="1"/>
            </w:tblPr>
            <w:tblGrid>
              <w:gridCol w:w="1510"/>
              <w:gridCol w:w="1620"/>
            </w:tblGrid>
            <w:tr w:rsidR="003A41BE" w14:paraId="497F85CF" w14:textId="77777777" w:rsidTr="00FD44CE">
              <w:tc>
                <w:tcPr>
                  <w:tcW w:w="1510" w:type="dxa"/>
                </w:tcPr>
                <w:p w14:paraId="565865F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184C7DB7"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3C1427DF" w14:textId="77777777" w:rsidTr="00FD44CE">
              <w:tc>
                <w:tcPr>
                  <w:tcW w:w="1510" w:type="dxa"/>
                </w:tcPr>
                <w:p w14:paraId="3C3D361C"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21%</w:t>
                  </w:r>
                </w:p>
              </w:tc>
              <w:tc>
                <w:tcPr>
                  <w:tcW w:w="1620" w:type="dxa"/>
                </w:tcPr>
                <w:p w14:paraId="135196D5"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23%</w:t>
                  </w:r>
                </w:p>
              </w:tc>
            </w:tr>
          </w:tbl>
          <w:p w14:paraId="6C4A5C38" w14:textId="77777777" w:rsidR="003A41BE" w:rsidRPr="00841766" w:rsidRDefault="003A41BE" w:rsidP="00FD44CE">
            <w:pPr>
              <w:pStyle w:val="Default"/>
              <w:rPr>
                <w:rFonts w:asciiTheme="minorHAnsi" w:hAnsiTheme="minorHAnsi" w:cstheme="minorHAnsi"/>
                <w:bCs/>
                <w:color w:val="auto"/>
                <w:sz w:val="22"/>
                <w:szCs w:val="22"/>
                <w:lang w:val="en-US"/>
              </w:rPr>
            </w:pPr>
            <w:r>
              <w:rPr>
                <w:rFonts w:asciiTheme="minorHAnsi" w:hAnsiTheme="minorHAnsi" w:cstheme="minorHAnsi"/>
                <w:bCs/>
                <w:color w:val="auto"/>
                <w:sz w:val="22"/>
                <w:szCs w:val="22"/>
                <w:lang w:val="en-US"/>
              </w:rPr>
              <w:t xml:space="preserve">Data Source: World Bank Enterprise Survey (2018) and Development Financing Assessment (DFA) report 2018. </w:t>
            </w:r>
          </w:p>
          <w:p w14:paraId="7BC0B1BF" w14:textId="77777777" w:rsidR="003A41BE" w:rsidRPr="00841766" w:rsidRDefault="003A41BE" w:rsidP="00FD44CE">
            <w:pPr>
              <w:autoSpaceDE w:val="0"/>
              <w:autoSpaceDN w:val="0"/>
              <w:adjustRightInd w:val="0"/>
              <w:rPr>
                <w:rFonts w:cstheme="minorHAnsi"/>
                <w:b/>
                <w:sz w:val="22"/>
                <w:szCs w:val="22"/>
                <w:lang w:val="en-US"/>
              </w:rPr>
            </w:pPr>
          </w:p>
        </w:tc>
        <w:tc>
          <w:tcPr>
            <w:tcW w:w="4116" w:type="dxa"/>
            <w:vMerge/>
          </w:tcPr>
          <w:p w14:paraId="2A6FF1B0"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6664BB45" w14:textId="77777777" w:rsidTr="53E3C463">
        <w:trPr>
          <w:trHeight w:val="258"/>
        </w:trPr>
        <w:tc>
          <w:tcPr>
            <w:tcW w:w="4529" w:type="dxa"/>
            <w:vMerge w:val="restart"/>
            <w:tcBorders>
              <w:top w:val="single" w:sz="4" w:space="0" w:color="auto"/>
              <w:left w:val="single" w:sz="4" w:space="0" w:color="auto"/>
              <w:right w:val="single" w:sz="4" w:space="0" w:color="auto"/>
            </w:tcBorders>
            <w:shd w:val="clear" w:color="auto" w:fill="8EAADB" w:themeFill="accent1" w:themeFillTint="99"/>
          </w:tcPr>
          <w:p w14:paraId="0BC0CADF" w14:textId="77777777" w:rsidR="003A41BE" w:rsidRPr="00841766" w:rsidRDefault="003A41BE" w:rsidP="00FD44CE">
            <w:pPr>
              <w:rPr>
                <w:rFonts w:cstheme="minorHAnsi"/>
                <w:sz w:val="22"/>
                <w:szCs w:val="22"/>
                <w:lang w:val="en-US"/>
              </w:rPr>
            </w:pPr>
            <w:r>
              <w:rPr>
                <w:rFonts w:cstheme="minorHAnsi"/>
                <w:b/>
                <w:color w:val="000000" w:themeColor="text1"/>
                <w:sz w:val="22"/>
                <w:szCs w:val="22"/>
                <w:lang w:val="en-US"/>
              </w:rPr>
              <w:lastRenderedPageBreak/>
              <w:t>Sub-o</w:t>
            </w:r>
            <w:r w:rsidRPr="00841766">
              <w:rPr>
                <w:rFonts w:cstheme="minorHAnsi"/>
                <w:b/>
                <w:color w:val="000000" w:themeColor="text1"/>
                <w:sz w:val="22"/>
                <w:szCs w:val="22"/>
                <w:lang w:val="en-US"/>
              </w:rPr>
              <w:t>utcome 2.3:</w:t>
            </w:r>
            <w:r w:rsidRPr="00841766">
              <w:rPr>
                <w:rFonts w:cstheme="minorHAnsi"/>
                <w:sz w:val="22"/>
                <w:szCs w:val="22"/>
                <w:lang w:val="en-US"/>
              </w:rPr>
              <w:t xml:space="preserve"> </w:t>
            </w:r>
          </w:p>
          <w:p w14:paraId="7E338A3A" w14:textId="77777777" w:rsidR="003A41BE" w:rsidRPr="00841766" w:rsidRDefault="003A41BE" w:rsidP="00FD44CE">
            <w:pPr>
              <w:rPr>
                <w:rFonts w:cstheme="minorHAnsi"/>
                <w:sz w:val="22"/>
                <w:szCs w:val="22"/>
                <w:lang w:val="en-US"/>
              </w:rPr>
            </w:pPr>
          </w:p>
          <w:p w14:paraId="1A4ABC46" w14:textId="77777777" w:rsidR="003A41BE" w:rsidRPr="00841766" w:rsidRDefault="003A41BE" w:rsidP="00FD44CE">
            <w:pPr>
              <w:rPr>
                <w:rFonts w:cstheme="minorHAnsi"/>
                <w:b/>
                <w:sz w:val="22"/>
                <w:szCs w:val="22"/>
                <w:lang w:val="en-US"/>
              </w:rPr>
            </w:pPr>
            <w:r w:rsidRPr="00841766">
              <w:rPr>
                <w:rFonts w:cstheme="minorHAnsi"/>
                <w:b/>
                <w:sz w:val="22"/>
                <w:szCs w:val="22"/>
                <w:lang w:val="en-US"/>
              </w:rPr>
              <w:t>Skills development</w:t>
            </w:r>
          </w:p>
          <w:p w14:paraId="40257DCE" w14:textId="77777777" w:rsidR="003A41BE" w:rsidRPr="00841766" w:rsidRDefault="003A41BE" w:rsidP="00FD44CE">
            <w:pPr>
              <w:rPr>
                <w:rFonts w:cstheme="minorHAnsi"/>
                <w:color w:val="000000" w:themeColor="text1"/>
                <w:sz w:val="22"/>
                <w:szCs w:val="22"/>
                <w:lang w:val="en-US"/>
              </w:rPr>
            </w:pPr>
            <w:r w:rsidRPr="00841766">
              <w:rPr>
                <w:rFonts w:cstheme="minorHAnsi"/>
                <w:sz w:val="22"/>
                <w:szCs w:val="22"/>
                <w:lang w:val="en-US"/>
              </w:rPr>
              <w:t>By 2025, inclusive and innovative learning and training systems including public and private TVET are put in place to support lifelong learning, competencies and skills development of people particularly women and youth to engage in gainful employment.</w:t>
            </w:r>
          </w:p>
          <w:p w14:paraId="79582066" w14:textId="77777777" w:rsidR="003A41BE" w:rsidRPr="00841766" w:rsidRDefault="003A41BE" w:rsidP="00FD44CE">
            <w:pPr>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FDDB8"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b/>
                <w:sz w:val="22"/>
                <w:szCs w:val="22"/>
                <w:lang w:val="en-US"/>
              </w:rPr>
              <w:t xml:space="preserve">Indicator 2.3.1: </w:t>
            </w:r>
            <w:r w:rsidRPr="00841766">
              <w:rPr>
                <w:rFonts w:asciiTheme="minorHAnsi" w:hAnsiTheme="minorHAnsi" w:cstheme="minorHAnsi"/>
                <w:sz w:val="22"/>
                <w:szCs w:val="22"/>
                <w:lang w:val="en-US"/>
              </w:rPr>
              <w:t>Percentage of youth (aged 15-24) not in education, employment or training (SDG Indicator</w:t>
            </w:r>
            <w:r w:rsidRPr="00841766">
              <w:rPr>
                <w:rFonts w:asciiTheme="minorHAnsi" w:hAnsiTheme="minorHAnsi" w:cstheme="minorHAnsi"/>
                <w:sz w:val="20"/>
                <w:szCs w:val="20"/>
                <w:lang w:val="en-US"/>
              </w:rPr>
              <w:t xml:space="preserve"> </w:t>
            </w:r>
            <w:r w:rsidRPr="00841766">
              <w:rPr>
                <w:rFonts w:asciiTheme="minorHAnsi" w:hAnsiTheme="minorHAnsi" w:cstheme="minorHAnsi"/>
                <w:sz w:val="22"/>
                <w:szCs w:val="22"/>
                <w:lang w:val="en-US"/>
              </w:rPr>
              <w:t>8.6.1)</w:t>
            </w:r>
          </w:p>
          <w:tbl>
            <w:tblPr>
              <w:tblStyle w:val="TableGrid"/>
              <w:tblW w:w="0" w:type="auto"/>
              <w:tblLayout w:type="fixed"/>
              <w:tblLook w:val="04A0" w:firstRow="1" w:lastRow="0" w:firstColumn="1" w:lastColumn="0" w:noHBand="0" w:noVBand="1"/>
            </w:tblPr>
            <w:tblGrid>
              <w:gridCol w:w="1690"/>
              <w:gridCol w:w="1440"/>
              <w:gridCol w:w="1530"/>
            </w:tblGrid>
            <w:tr w:rsidR="003A41BE" w:rsidRPr="00DA2276" w14:paraId="71C60CF5" w14:textId="77777777" w:rsidTr="00FD44CE">
              <w:tc>
                <w:tcPr>
                  <w:tcW w:w="1690" w:type="dxa"/>
                </w:tcPr>
                <w:p w14:paraId="5B49AEA3" w14:textId="77777777" w:rsidR="003A41BE" w:rsidRDefault="003A41BE" w:rsidP="002A37E3">
                  <w:pPr>
                    <w:framePr w:hSpace="141" w:wrap="around" w:vAnchor="text" w:hAnchor="text" w:x="421" w:y="1"/>
                    <w:autoSpaceDE w:val="0"/>
                    <w:autoSpaceDN w:val="0"/>
                    <w:adjustRightInd w:val="0"/>
                    <w:suppressOverlap/>
                    <w:rPr>
                      <w:rFonts w:ascii="Calibri" w:hAnsi="Calibri" w:cs="Calibri"/>
                      <w:b/>
                      <w:sz w:val="22"/>
                      <w:szCs w:val="22"/>
                      <w:lang w:val="en-US"/>
                    </w:rPr>
                  </w:pPr>
                </w:p>
              </w:tc>
              <w:tc>
                <w:tcPr>
                  <w:tcW w:w="1440" w:type="dxa"/>
                </w:tcPr>
                <w:p w14:paraId="34BD9867" w14:textId="77777777" w:rsidR="003A41BE" w:rsidRPr="00DA2276" w:rsidRDefault="003A41BE" w:rsidP="002A37E3">
                  <w:pPr>
                    <w:framePr w:hSpace="141" w:wrap="around" w:vAnchor="text" w:hAnchor="text" w:x="421" w:y="1"/>
                    <w:autoSpaceDE w:val="0"/>
                    <w:autoSpaceDN w:val="0"/>
                    <w:adjustRightInd w:val="0"/>
                    <w:suppressOverlap/>
                    <w:jc w:val="center"/>
                    <w:rPr>
                      <w:rFonts w:ascii="Calibri" w:hAnsi="Calibri" w:cs="Calibri"/>
                      <w:bCs/>
                      <w:sz w:val="22"/>
                      <w:szCs w:val="22"/>
                      <w:lang w:val="en-US"/>
                    </w:rPr>
                  </w:pPr>
                  <w:r w:rsidRPr="00DA2276">
                    <w:rPr>
                      <w:rFonts w:ascii="Calibri" w:hAnsi="Calibri" w:cs="Calibri"/>
                      <w:bCs/>
                      <w:sz w:val="22"/>
                      <w:szCs w:val="22"/>
                      <w:lang w:val="en-US"/>
                    </w:rPr>
                    <w:t>Baseline</w:t>
                  </w:r>
                </w:p>
              </w:tc>
              <w:tc>
                <w:tcPr>
                  <w:tcW w:w="1530" w:type="dxa"/>
                </w:tcPr>
                <w:p w14:paraId="688C848D" w14:textId="77777777" w:rsidR="003A41BE" w:rsidRPr="00DA2276" w:rsidRDefault="003A41BE" w:rsidP="002A37E3">
                  <w:pPr>
                    <w:framePr w:hSpace="141" w:wrap="around" w:vAnchor="text" w:hAnchor="text" w:x="421" w:y="1"/>
                    <w:autoSpaceDE w:val="0"/>
                    <w:autoSpaceDN w:val="0"/>
                    <w:adjustRightInd w:val="0"/>
                    <w:suppressOverlap/>
                    <w:jc w:val="center"/>
                    <w:rPr>
                      <w:rFonts w:ascii="Calibri" w:hAnsi="Calibri" w:cs="Calibri"/>
                      <w:bCs/>
                      <w:sz w:val="22"/>
                      <w:szCs w:val="22"/>
                      <w:lang w:val="en-US"/>
                    </w:rPr>
                  </w:pPr>
                  <w:r w:rsidRPr="00DA2276">
                    <w:rPr>
                      <w:rFonts w:ascii="Calibri" w:hAnsi="Calibri" w:cs="Calibri"/>
                      <w:bCs/>
                      <w:sz w:val="22"/>
                      <w:szCs w:val="22"/>
                      <w:lang w:val="en-US"/>
                    </w:rPr>
                    <w:t>Target</w:t>
                  </w:r>
                </w:p>
              </w:tc>
            </w:tr>
            <w:tr w:rsidR="003A41BE" w:rsidRPr="00DA2276" w14:paraId="531200E1" w14:textId="77777777" w:rsidTr="00FD44CE">
              <w:tc>
                <w:tcPr>
                  <w:tcW w:w="1690" w:type="dxa"/>
                </w:tcPr>
                <w:p w14:paraId="55EBF6E2" w14:textId="77777777" w:rsidR="003A41BE" w:rsidRPr="00DA2276" w:rsidRDefault="003A41BE" w:rsidP="002A37E3">
                  <w:pPr>
                    <w:framePr w:hSpace="141" w:wrap="around" w:vAnchor="text" w:hAnchor="text" w:x="421" w:y="1"/>
                    <w:autoSpaceDE w:val="0"/>
                    <w:autoSpaceDN w:val="0"/>
                    <w:adjustRightInd w:val="0"/>
                    <w:suppressOverlap/>
                    <w:jc w:val="center"/>
                    <w:rPr>
                      <w:rFonts w:ascii="Calibri" w:hAnsi="Calibri" w:cs="Calibri"/>
                      <w:bCs/>
                      <w:sz w:val="22"/>
                      <w:szCs w:val="22"/>
                      <w:lang w:val="en-US"/>
                    </w:rPr>
                  </w:pPr>
                  <w:r>
                    <w:rPr>
                      <w:rFonts w:ascii="Calibri" w:hAnsi="Calibri" w:cs="Calibri"/>
                      <w:bCs/>
                      <w:sz w:val="22"/>
                      <w:szCs w:val="22"/>
                      <w:lang w:val="en-US"/>
                    </w:rPr>
                    <w:t>Total</w:t>
                  </w:r>
                </w:p>
              </w:tc>
              <w:tc>
                <w:tcPr>
                  <w:tcW w:w="1440" w:type="dxa"/>
                </w:tcPr>
                <w:p w14:paraId="586B1AE2" w14:textId="77777777" w:rsidR="003A41BE" w:rsidRPr="00DA2276" w:rsidRDefault="003A41BE" w:rsidP="002A37E3">
                  <w:pPr>
                    <w:framePr w:hSpace="141" w:wrap="around" w:vAnchor="text" w:hAnchor="text" w:x="421" w:y="1"/>
                    <w:autoSpaceDE w:val="0"/>
                    <w:autoSpaceDN w:val="0"/>
                    <w:adjustRightInd w:val="0"/>
                    <w:suppressOverlap/>
                    <w:jc w:val="center"/>
                    <w:rPr>
                      <w:rFonts w:ascii="Calibri" w:hAnsi="Calibri" w:cs="Calibri"/>
                      <w:bCs/>
                      <w:sz w:val="22"/>
                      <w:szCs w:val="22"/>
                      <w:lang w:val="en-US"/>
                    </w:rPr>
                  </w:pPr>
                  <w:r>
                    <w:rPr>
                      <w:rFonts w:ascii="Calibri" w:hAnsi="Calibri" w:cs="Calibri"/>
                      <w:bCs/>
                      <w:sz w:val="22"/>
                      <w:szCs w:val="22"/>
                      <w:lang w:val="en-US"/>
                    </w:rPr>
                    <w:t>20%</w:t>
                  </w:r>
                </w:p>
              </w:tc>
              <w:tc>
                <w:tcPr>
                  <w:tcW w:w="1530" w:type="dxa"/>
                </w:tcPr>
                <w:p w14:paraId="1FF347B0" w14:textId="77777777" w:rsidR="003A41BE" w:rsidRPr="00DA2276" w:rsidRDefault="003A41BE" w:rsidP="002A37E3">
                  <w:pPr>
                    <w:framePr w:hSpace="141" w:wrap="around" w:vAnchor="text" w:hAnchor="text" w:x="421" w:y="1"/>
                    <w:autoSpaceDE w:val="0"/>
                    <w:autoSpaceDN w:val="0"/>
                    <w:adjustRightInd w:val="0"/>
                    <w:suppressOverlap/>
                    <w:jc w:val="center"/>
                    <w:rPr>
                      <w:rFonts w:ascii="Calibri" w:hAnsi="Calibri" w:cs="Calibri"/>
                      <w:bCs/>
                      <w:sz w:val="22"/>
                      <w:szCs w:val="22"/>
                      <w:lang w:val="en-US"/>
                    </w:rPr>
                  </w:pPr>
                  <w:r>
                    <w:rPr>
                      <w:rFonts w:ascii="Calibri" w:hAnsi="Calibri" w:cs="Calibri"/>
                      <w:bCs/>
                      <w:sz w:val="22"/>
                      <w:szCs w:val="22"/>
                      <w:lang w:val="en-US"/>
                    </w:rPr>
                    <w:t>18%</w:t>
                  </w:r>
                </w:p>
              </w:tc>
            </w:tr>
          </w:tbl>
          <w:p w14:paraId="74B89EB0" w14:textId="77777777" w:rsidR="003A41BE" w:rsidRDefault="003A41BE" w:rsidP="00FD44CE">
            <w:pPr>
              <w:autoSpaceDE w:val="0"/>
              <w:autoSpaceDN w:val="0"/>
              <w:adjustRightInd w:val="0"/>
              <w:rPr>
                <w:rFonts w:cstheme="minorHAnsi"/>
                <w:bCs/>
                <w:sz w:val="22"/>
                <w:szCs w:val="22"/>
                <w:lang w:val="en-US"/>
              </w:rPr>
            </w:pPr>
            <w:r>
              <w:rPr>
                <w:rFonts w:cstheme="minorHAnsi"/>
                <w:bCs/>
                <w:sz w:val="22"/>
                <w:szCs w:val="22"/>
                <w:lang w:val="en-US"/>
              </w:rPr>
              <w:t>Note: Male 17%, Female 24%</w:t>
            </w:r>
          </w:p>
          <w:p w14:paraId="69ACB5CE" w14:textId="77777777" w:rsidR="003A41BE" w:rsidRPr="00841766" w:rsidRDefault="003A41BE" w:rsidP="00FD44CE">
            <w:pPr>
              <w:autoSpaceDE w:val="0"/>
              <w:autoSpaceDN w:val="0"/>
              <w:adjustRightInd w:val="0"/>
              <w:rPr>
                <w:rFonts w:cstheme="minorHAnsi"/>
                <w:b/>
                <w:sz w:val="22"/>
                <w:szCs w:val="22"/>
                <w:lang w:val="en-US"/>
              </w:rPr>
            </w:pPr>
            <w:r w:rsidRPr="002A7985">
              <w:rPr>
                <w:rFonts w:cstheme="minorHAnsi"/>
                <w:bCs/>
                <w:sz w:val="22"/>
                <w:szCs w:val="22"/>
                <w:lang w:val="en-US"/>
              </w:rPr>
              <w:t>Data Source: Census 2015</w:t>
            </w:r>
            <w:r w:rsidRPr="002A7985">
              <w:rPr>
                <w:rFonts w:cstheme="minorHAnsi"/>
                <w:bCs/>
                <w:sz w:val="22"/>
                <w:szCs w:val="22"/>
                <w:lang w:val="en-US"/>
              </w:rPr>
              <w:br/>
            </w:r>
          </w:p>
        </w:tc>
        <w:tc>
          <w:tcPr>
            <w:tcW w:w="4116" w:type="dxa"/>
            <w:vMerge w:val="restart"/>
            <w:tcBorders>
              <w:top w:val="single" w:sz="4" w:space="0" w:color="auto"/>
              <w:left w:val="single" w:sz="4" w:space="0" w:color="auto"/>
              <w:right w:val="single" w:sz="4" w:space="0" w:color="auto"/>
            </w:tcBorders>
          </w:tcPr>
          <w:p w14:paraId="21C78105" w14:textId="471837DF" w:rsidR="003A41BE" w:rsidRDefault="003A41BE" w:rsidP="00FD44CE">
            <w:pPr>
              <w:autoSpaceDE w:val="0"/>
              <w:autoSpaceDN w:val="0"/>
              <w:adjustRightInd w:val="0"/>
              <w:rPr>
                <w:rFonts w:cstheme="minorHAnsi"/>
                <w:bCs/>
                <w:sz w:val="22"/>
                <w:szCs w:val="22"/>
                <w:lang w:val="en-US"/>
              </w:rPr>
            </w:pPr>
            <w:r>
              <w:rPr>
                <w:rFonts w:cstheme="minorHAnsi"/>
                <w:bCs/>
                <w:sz w:val="22"/>
                <w:szCs w:val="22"/>
                <w:lang w:val="en-US"/>
              </w:rPr>
              <w:t>SEFOPE</w:t>
            </w:r>
            <w:r w:rsidR="000F3144">
              <w:rPr>
                <w:rFonts w:cstheme="minorHAnsi"/>
                <w:bCs/>
                <w:sz w:val="22"/>
                <w:szCs w:val="22"/>
                <w:lang w:val="en-US"/>
              </w:rPr>
              <w:t>, Ministry of Education</w:t>
            </w:r>
          </w:p>
          <w:p w14:paraId="7DAD66D8" w14:textId="77777777" w:rsidR="003A41BE" w:rsidRDefault="003A41BE" w:rsidP="00FD44CE">
            <w:pPr>
              <w:autoSpaceDE w:val="0"/>
              <w:autoSpaceDN w:val="0"/>
              <w:adjustRightInd w:val="0"/>
              <w:rPr>
                <w:rFonts w:cstheme="minorHAnsi"/>
                <w:bCs/>
                <w:sz w:val="22"/>
                <w:szCs w:val="22"/>
                <w:lang w:val="en-US"/>
              </w:rPr>
            </w:pPr>
          </w:p>
          <w:p w14:paraId="004F57FF" w14:textId="5108CD94" w:rsidR="003A41BE" w:rsidRDefault="003A41BE" w:rsidP="00FD44CE">
            <w:pPr>
              <w:autoSpaceDE w:val="0"/>
              <w:autoSpaceDN w:val="0"/>
              <w:adjustRightInd w:val="0"/>
              <w:rPr>
                <w:rFonts w:cstheme="minorHAnsi"/>
                <w:bCs/>
                <w:sz w:val="22"/>
                <w:szCs w:val="22"/>
                <w:lang w:val="en-US"/>
              </w:rPr>
            </w:pPr>
            <w:r>
              <w:rPr>
                <w:rFonts w:cstheme="minorHAnsi"/>
                <w:bCs/>
                <w:sz w:val="22"/>
                <w:szCs w:val="22"/>
                <w:lang w:val="en-US"/>
              </w:rPr>
              <w:t xml:space="preserve">ILO, UNDP, </w:t>
            </w:r>
            <w:r w:rsidRPr="00841766">
              <w:rPr>
                <w:rFonts w:cstheme="minorHAnsi"/>
                <w:bCs/>
                <w:sz w:val="22"/>
                <w:szCs w:val="22"/>
                <w:lang w:val="en-US"/>
              </w:rPr>
              <w:t>UNESCO</w:t>
            </w:r>
            <w:r>
              <w:rPr>
                <w:rFonts w:cstheme="minorHAnsi"/>
                <w:bCs/>
                <w:sz w:val="22"/>
                <w:szCs w:val="22"/>
                <w:lang w:val="en-US"/>
              </w:rPr>
              <w:t>, UNICEF</w:t>
            </w:r>
            <w:r w:rsidR="00B3397A">
              <w:rPr>
                <w:rFonts w:cstheme="minorHAnsi"/>
                <w:bCs/>
                <w:sz w:val="22"/>
                <w:szCs w:val="22"/>
                <w:lang w:val="en-US"/>
              </w:rPr>
              <w:t>, UNV</w:t>
            </w:r>
          </w:p>
          <w:p w14:paraId="7EEF77EC" w14:textId="77777777" w:rsidR="003A41BE" w:rsidRDefault="003A41BE" w:rsidP="00FD44CE">
            <w:pPr>
              <w:autoSpaceDE w:val="0"/>
              <w:autoSpaceDN w:val="0"/>
              <w:adjustRightInd w:val="0"/>
              <w:rPr>
                <w:rFonts w:cstheme="minorHAnsi"/>
                <w:bCs/>
                <w:sz w:val="22"/>
                <w:szCs w:val="22"/>
                <w:lang w:val="en-US"/>
              </w:rPr>
            </w:pPr>
          </w:p>
          <w:p w14:paraId="43D891F8" w14:textId="07245103" w:rsidR="003A41BE" w:rsidRPr="00841766" w:rsidRDefault="003A41BE" w:rsidP="00FD44CE">
            <w:pPr>
              <w:autoSpaceDE w:val="0"/>
              <w:autoSpaceDN w:val="0"/>
              <w:adjustRightInd w:val="0"/>
              <w:rPr>
                <w:rFonts w:cstheme="minorHAnsi"/>
                <w:sz w:val="22"/>
                <w:szCs w:val="22"/>
                <w:lang w:val="en-US"/>
              </w:rPr>
            </w:pPr>
            <w:r>
              <w:rPr>
                <w:rFonts w:cstheme="minorHAnsi"/>
                <w:bCs/>
                <w:sz w:val="22"/>
                <w:szCs w:val="22"/>
                <w:lang w:val="en-US"/>
              </w:rPr>
              <w:t xml:space="preserve">KSTL, CCITL, </w:t>
            </w:r>
            <w:r w:rsidR="000F3144">
              <w:rPr>
                <w:rFonts w:cstheme="minorHAnsi"/>
                <w:bCs/>
                <w:sz w:val="22"/>
                <w:szCs w:val="22"/>
                <w:lang w:val="en-US"/>
              </w:rPr>
              <w:t xml:space="preserve">Private Providers of Technical and Vocational Training </w:t>
            </w:r>
          </w:p>
        </w:tc>
      </w:tr>
      <w:tr w:rsidR="003A41BE" w:rsidRPr="006444BA" w14:paraId="0F0DD818" w14:textId="77777777" w:rsidTr="53E3C463">
        <w:trPr>
          <w:trHeight w:val="258"/>
        </w:trPr>
        <w:tc>
          <w:tcPr>
            <w:tcW w:w="4529" w:type="dxa"/>
            <w:vMerge/>
          </w:tcPr>
          <w:p w14:paraId="417140A6" w14:textId="77777777" w:rsidR="003A41BE" w:rsidRPr="00841766" w:rsidRDefault="003A41BE" w:rsidP="00FD44CE">
            <w:pPr>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A0070" w14:textId="77777777" w:rsidR="003A41BE" w:rsidRDefault="003A41BE" w:rsidP="00FD44CE">
            <w:pPr>
              <w:rPr>
                <w:rFonts w:cstheme="minorHAnsi"/>
                <w:sz w:val="22"/>
                <w:szCs w:val="22"/>
                <w:lang w:val="en-US"/>
              </w:rPr>
            </w:pPr>
            <w:r w:rsidRPr="00841766">
              <w:rPr>
                <w:rFonts w:cstheme="minorHAnsi"/>
                <w:b/>
                <w:sz w:val="22"/>
                <w:szCs w:val="22"/>
                <w:lang w:val="en-US"/>
              </w:rPr>
              <w:t>Indicator 2.3.2:</w:t>
            </w:r>
            <w:r w:rsidRPr="00841766">
              <w:rPr>
                <w:rFonts w:cstheme="minorHAnsi"/>
                <w:sz w:val="22"/>
                <w:szCs w:val="22"/>
                <w:lang w:val="en-US"/>
              </w:rPr>
              <w:t xml:space="preserve"> Percentage of youth/adults with information and communications technology (ICT) skills by sex and type of skill (SDG Indicator 4.4.1)</w:t>
            </w:r>
          </w:p>
          <w:tbl>
            <w:tblPr>
              <w:tblStyle w:val="TableGrid"/>
              <w:tblW w:w="0" w:type="auto"/>
              <w:tblLayout w:type="fixed"/>
              <w:tblLook w:val="04A0" w:firstRow="1" w:lastRow="0" w:firstColumn="1" w:lastColumn="0" w:noHBand="0" w:noVBand="1"/>
            </w:tblPr>
            <w:tblGrid>
              <w:gridCol w:w="2639"/>
              <w:gridCol w:w="1620"/>
            </w:tblGrid>
            <w:tr w:rsidR="003A41BE" w14:paraId="1315575C" w14:textId="77777777" w:rsidTr="00FD44CE">
              <w:tc>
                <w:tcPr>
                  <w:tcW w:w="2639" w:type="dxa"/>
                </w:tcPr>
                <w:p w14:paraId="507FA440"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4BCD03B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4F57DAFB" w14:textId="77777777" w:rsidTr="00FD44CE">
              <w:tc>
                <w:tcPr>
                  <w:tcW w:w="2639" w:type="dxa"/>
                </w:tcPr>
                <w:p w14:paraId="34C514E7"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Ranks 130 out of 143 or</w:t>
                  </w:r>
                </w:p>
                <w:p w14:paraId="07BFA967"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 xml:space="preserve">Score 2.8 out of 7 </w:t>
                  </w:r>
                </w:p>
              </w:tc>
              <w:tc>
                <w:tcPr>
                  <w:tcW w:w="1620" w:type="dxa"/>
                </w:tcPr>
                <w:p w14:paraId="5ED292D5"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3.0/7</w:t>
                  </w:r>
                </w:p>
              </w:tc>
            </w:tr>
          </w:tbl>
          <w:p w14:paraId="7878B4B5" w14:textId="77777777" w:rsidR="003A41BE" w:rsidRPr="00841766" w:rsidRDefault="003A41BE" w:rsidP="00FD44CE">
            <w:pPr>
              <w:rPr>
                <w:rFonts w:cstheme="minorHAnsi"/>
                <w:sz w:val="22"/>
                <w:szCs w:val="22"/>
                <w:lang w:val="en-US"/>
              </w:rPr>
            </w:pPr>
            <w:r>
              <w:rPr>
                <w:rFonts w:cstheme="minorHAnsi"/>
                <w:sz w:val="22"/>
                <w:szCs w:val="22"/>
                <w:lang w:val="en-US"/>
              </w:rPr>
              <w:t>Data Source</w:t>
            </w:r>
            <w:r w:rsidRPr="00397807">
              <w:rPr>
                <w:rFonts w:cstheme="minorHAnsi"/>
                <w:sz w:val="22"/>
                <w:szCs w:val="22"/>
                <w:lang w:val="en-US"/>
              </w:rPr>
              <w:t>:</w:t>
            </w:r>
            <w:r w:rsidRPr="002A7985">
              <w:rPr>
                <w:rFonts w:cstheme="minorHAnsi"/>
                <w:sz w:val="22"/>
                <w:szCs w:val="22"/>
                <w:lang w:val="en-US"/>
              </w:rPr>
              <w:t xml:space="preserve"> Network Readiness Index (2015), World Economic Forum, 2018 National Human Development Report, Timor-Leste. UNDP</w:t>
            </w:r>
          </w:p>
          <w:p w14:paraId="49B988AD" w14:textId="77777777" w:rsidR="003A41BE" w:rsidRPr="00841766" w:rsidRDefault="003A41BE" w:rsidP="00FD44CE">
            <w:pPr>
              <w:autoSpaceDE w:val="0"/>
              <w:autoSpaceDN w:val="0"/>
              <w:adjustRightInd w:val="0"/>
              <w:rPr>
                <w:rFonts w:cstheme="minorHAnsi"/>
                <w:b/>
                <w:sz w:val="22"/>
                <w:szCs w:val="22"/>
                <w:lang w:val="en-US"/>
              </w:rPr>
            </w:pPr>
          </w:p>
        </w:tc>
        <w:tc>
          <w:tcPr>
            <w:tcW w:w="4116" w:type="dxa"/>
            <w:vMerge/>
          </w:tcPr>
          <w:p w14:paraId="6DBD37AD"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7B820471" w14:textId="77777777" w:rsidTr="53E3C463">
        <w:trPr>
          <w:trHeight w:val="549"/>
        </w:trPr>
        <w:tc>
          <w:tcPr>
            <w:tcW w:w="4535" w:type="dxa"/>
            <w:gridSpan w:val="2"/>
            <w:tcBorders>
              <w:top w:val="single" w:sz="4" w:space="0" w:color="auto"/>
              <w:left w:val="single" w:sz="4" w:space="0" w:color="auto"/>
              <w:right w:val="single" w:sz="4" w:space="0" w:color="auto"/>
            </w:tcBorders>
            <w:shd w:val="clear" w:color="auto" w:fill="2F5496" w:themeFill="accent1" w:themeFillShade="BF"/>
            <w:vAlign w:val="center"/>
          </w:tcPr>
          <w:p w14:paraId="2127C818" w14:textId="77777777" w:rsidR="003A41BE" w:rsidRPr="00841766" w:rsidRDefault="003A41BE" w:rsidP="00FD44CE">
            <w:pPr>
              <w:tabs>
                <w:tab w:val="left" w:pos="245"/>
              </w:tabs>
              <w:autoSpaceDE w:val="0"/>
              <w:autoSpaceDN w:val="0"/>
              <w:adjustRightInd w:val="0"/>
              <w:rPr>
                <w:rFonts w:cstheme="minorHAnsi"/>
                <w:sz w:val="26"/>
                <w:szCs w:val="26"/>
                <w:lang w:val="en-US"/>
              </w:rPr>
            </w:pPr>
            <w:r w:rsidRPr="00841766">
              <w:rPr>
                <w:rFonts w:cstheme="minorHAnsi"/>
                <w:color w:val="FFFFFF" w:themeColor="background1"/>
                <w:sz w:val="26"/>
                <w:szCs w:val="26"/>
                <w:lang w:val="en-US"/>
              </w:rPr>
              <w:t xml:space="preserve">UNSDCF Strategic Priority 3 </w:t>
            </w:r>
          </w:p>
        </w:tc>
        <w:tc>
          <w:tcPr>
            <w:tcW w:w="9923" w:type="dxa"/>
            <w:gridSpan w:val="4"/>
            <w:tcBorders>
              <w:top w:val="single" w:sz="4" w:space="0" w:color="auto"/>
              <w:left w:val="single" w:sz="4" w:space="0" w:color="auto"/>
              <w:right w:val="single" w:sz="4" w:space="0" w:color="auto"/>
            </w:tcBorders>
            <w:shd w:val="clear" w:color="auto" w:fill="2F5496" w:themeFill="accent1" w:themeFillShade="BF"/>
            <w:vAlign w:val="center"/>
          </w:tcPr>
          <w:p w14:paraId="0E33FD1D" w14:textId="77777777" w:rsidR="003A41BE" w:rsidRPr="00841766" w:rsidRDefault="003A41BE" w:rsidP="00FD44CE">
            <w:pPr>
              <w:tabs>
                <w:tab w:val="left" w:pos="245"/>
              </w:tabs>
              <w:autoSpaceDE w:val="0"/>
              <w:autoSpaceDN w:val="0"/>
              <w:adjustRightInd w:val="0"/>
              <w:jc w:val="center"/>
              <w:rPr>
                <w:rFonts w:cstheme="minorHAnsi"/>
                <w:color w:val="FFFFFF" w:themeColor="background1"/>
                <w:sz w:val="26"/>
                <w:szCs w:val="26"/>
                <w:lang w:val="en-US"/>
              </w:rPr>
            </w:pPr>
            <w:r w:rsidRPr="00841766">
              <w:rPr>
                <w:rFonts w:cstheme="minorHAnsi"/>
                <w:color w:val="FFFFFF" w:themeColor="background1"/>
                <w:sz w:val="26"/>
                <w:szCs w:val="26"/>
                <w:lang w:val="en-US"/>
              </w:rPr>
              <w:t>EARLY CHILHOOD DEVELOPMENT AND LIFE-LONG LEARNING OUTCOMES AND SKILLS</w:t>
            </w:r>
          </w:p>
        </w:tc>
      </w:tr>
      <w:tr w:rsidR="003A41BE" w:rsidRPr="00841766" w14:paraId="59A758B4"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F16B1F" w14:textId="77777777" w:rsidR="003A41BE" w:rsidRPr="00841766" w:rsidRDefault="003A41BE" w:rsidP="00FD44CE">
            <w:pPr>
              <w:autoSpaceDE w:val="0"/>
              <w:autoSpaceDN w:val="0"/>
              <w:adjustRightInd w:val="0"/>
              <w:rPr>
                <w:rFonts w:cstheme="minorHAnsi"/>
                <w:b/>
                <w:color w:val="000000" w:themeColor="text1"/>
                <w:lang w:val="en-US"/>
              </w:rPr>
            </w:pPr>
            <w:r w:rsidRPr="00841766">
              <w:rPr>
                <w:rFonts w:cstheme="minorHAnsi"/>
                <w:b/>
                <w:lang w:val="en-US"/>
              </w:rPr>
              <w:t>Related Global SDG Targets:</w:t>
            </w:r>
            <w:r w:rsidRPr="00841766">
              <w:rPr>
                <w:rFonts w:cstheme="minorHAnsi"/>
                <w:lang w:val="en-US" w:eastAsia="en-GB"/>
              </w:rPr>
              <w:t xml:space="preserve"> </w:t>
            </w:r>
          </w:p>
        </w:tc>
      </w:tr>
      <w:tr w:rsidR="003A41BE" w:rsidRPr="006444BA" w14:paraId="72E6D942"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02E66F" w14:textId="77777777" w:rsidR="003A41BE" w:rsidRPr="00841766" w:rsidRDefault="003A41BE" w:rsidP="00FD44CE">
            <w:pPr>
              <w:pStyle w:val="Default"/>
              <w:spacing w:after="63"/>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4.1 By 2030, ensure that all girls and boys complete free, equitable and quality primary and secondary education leading to relevant and effective learning outcomes </w:t>
            </w:r>
          </w:p>
          <w:p w14:paraId="7E4ED928" w14:textId="77777777" w:rsidR="003A41BE" w:rsidRPr="00841766" w:rsidRDefault="003A41BE" w:rsidP="00FD44CE">
            <w:pPr>
              <w:pStyle w:val="Default"/>
              <w:spacing w:after="63"/>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4.2 By 2030, ensure that all girls and boys have access to quality early childhood development, care and pre-primary education so that they are ready for primary education </w:t>
            </w:r>
          </w:p>
          <w:p w14:paraId="31EDD383" w14:textId="77777777" w:rsidR="003A41BE" w:rsidRPr="00841766" w:rsidRDefault="003A41BE" w:rsidP="00FD44CE">
            <w:pPr>
              <w:pStyle w:val="Default"/>
              <w:spacing w:after="63"/>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4.3 By 2030, ensure equal access for all women and men to affordable and quality technical, vocational and tertiary education, including university </w:t>
            </w:r>
          </w:p>
          <w:p w14:paraId="0BD8055C" w14:textId="77777777" w:rsidR="003A41BE" w:rsidRPr="00841766" w:rsidRDefault="003A41BE" w:rsidP="00FD44CE">
            <w:pPr>
              <w:pStyle w:val="Default"/>
              <w:spacing w:after="63"/>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4.4 By 2030, substantially increase the number of youth and adults who have relevant skills, including technical and vocational skills, for employment, decent jobs and entrepreneurship </w:t>
            </w:r>
          </w:p>
          <w:p w14:paraId="795259CF" w14:textId="77777777" w:rsidR="003A41BE" w:rsidRPr="00841766" w:rsidRDefault="003A41BE" w:rsidP="00FD44CE">
            <w:pPr>
              <w:pStyle w:val="Default"/>
              <w:spacing w:after="63"/>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4.5 By 2030, eliminate gender disparities in education and ensure equal access to all levels of education and vocational training for the vulnerable, including persons with disabilities, indigenous peoples and children in vulnerable situations </w:t>
            </w:r>
          </w:p>
          <w:p w14:paraId="674C4DA9" w14:textId="77777777" w:rsidR="003A41BE" w:rsidRPr="00841766" w:rsidRDefault="003A41BE" w:rsidP="00FD44CE">
            <w:pPr>
              <w:pStyle w:val="Default"/>
              <w:spacing w:after="63"/>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4.6 By 2030, ensure that all youth and a substantial proportion of adults, both men and women, achieve literacy and numeracy </w:t>
            </w:r>
          </w:p>
          <w:p w14:paraId="754C4926" w14:textId="77777777" w:rsidR="003A41BE" w:rsidRPr="00841766" w:rsidRDefault="003A41BE" w:rsidP="00FD44CE">
            <w:pPr>
              <w:pStyle w:val="Default"/>
              <w:spacing w:after="63"/>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w:t>
            </w:r>
          </w:p>
          <w:p w14:paraId="0A9F2135"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lastRenderedPageBreak/>
              <w:t xml:space="preserve">4.a Build and upgrade education facilities that are child, disability and gender sensitive and provide safe, non-violent, inclusive and effective learning environments for all </w:t>
            </w:r>
          </w:p>
          <w:p w14:paraId="15C99F09" w14:textId="77777777" w:rsidR="003A41BE" w:rsidRPr="00841766" w:rsidRDefault="003A41BE" w:rsidP="00FD44CE">
            <w:pPr>
              <w:pStyle w:val="Default"/>
              <w:spacing w:after="63"/>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4.c By 2030, substantially increase the supply of qualified teachers, including through international cooperation for teacher training in developing countries, especially least developed countries and small island developing States </w:t>
            </w:r>
          </w:p>
        </w:tc>
      </w:tr>
      <w:tr w:rsidR="003A41BE" w:rsidRPr="006444BA" w14:paraId="63DD3507" w14:textId="77777777" w:rsidTr="53E3C463">
        <w:trPr>
          <w:trHeight w:val="1074"/>
        </w:trPr>
        <w:tc>
          <w:tcPr>
            <w:tcW w:w="14458" w:type="dxa"/>
            <w:gridSpan w:val="6"/>
            <w:tcBorders>
              <w:top w:val="single" w:sz="4" w:space="0" w:color="auto"/>
              <w:left w:val="single" w:sz="4" w:space="0" w:color="auto"/>
              <w:right w:val="single" w:sz="4" w:space="0" w:color="auto"/>
            </w:tcBorders>
            <w:shd w:val="clear" w:color="auto" w:fill="2F5496" w:themeFill="accent1" w:themeFillShade="BF"/>
            <w:vAlign w:val="center"/>
          </w:tcPr>
          <w:p w14:paraId="1D29B3A3" w14:textId="77777777" w:rsidR="003A41BE" w:rsidRPr="00841766" w:rsidRDefault="003A41BE" w:rsidP="00FD44CE">
            <w:pPr>
              <w:pStyle w:val="ListParagraph"/>
              <w:tabs>
                <w:tab w:val="left" w:pos="245"/>
              </w:tabs>
              <w:autoSpaceDE w:val="0"/>
              <w:autoSpaceDN w:val="0"/>
              <w:adjustRightInd w:val="0"/>
              <w:ind w:left="21"/>
              <w:rPr>
                <w:rFonts w:cstheme="minorHAnsi"/>
                <w:color w:val="FFFFFF" w:themeColor="background1"/>
                <w:sz w:val="26"/>
                <w:szCs w:val="26"/>
                <w:lang w:val="en-US"/>
              </w:rPr>
            </w:pPr>
            <w:r w:rsidRPr="00841766">
              <w:rPr>
                <w:rFonts w:cstheme="minorHAnsi"/>
                <w:b/>
                <w:color w:val="FFFFFF" w:themeColor="background1"/>
                <w:sz w:val="26"/>
                <w:szCs w:val="26"/>
                <w:lang w:val="en-US"/>
              </w:rPr>
              <w:lastRenderedPageBreak/>
              <w:t>UNSDCF OUTCOME 3:</w:t>
            </w:r>
            <w:r w:rsidRPr="00841766">
              <w:rPr>
                <w:rFonts w:cstheme="minorHAnsi"/>
                <w:color w:val="FFFFFF" w:themeColor="background1"/>
                <w:sz w:val="26"/>
                <w:szCs w:val="26"/>
                <w:lang w:val="en-US"/>
              </w:rPr>
              <w:t xml:space="preserve"> </w:t>
            </w:r>
            <w:bookmarkStart w:id="158" w:name="_Hlk32928119"/>
            <w:r w:rsidRPr="00841766">
              <w:rPr>
                <w:rFonts w:cstheme="minorHAnsi"/>
                <w:color w:val="FFFFFF" w:themeColor="background1"/>
                <w:sz w:val="26"/>
                <w:szCs w:val="26"/>
                <w:lang w:val="en-US"/>
              </w:rPr>
              <w:t xml:space="preserve">By 2025, all people of Timor-Leste, regardless </w:t>
            </w:r>
            <w:r w:rsidRPr="00841766">
              <w:rPr>
                <w:rFonts w:cstheme="minorHAnsi"/>
                <w:sz w:val="20"/>
                <w:szCs w:val="20"/>
                <w:lang w:val="en-US"/>
              </w:rPr>
              <w:t xml:space="preserve"> </w:t>
            </w:r>
            <w:r w:rsidRPr="00841766">
              <w:rPr>
                <w:rFonts w:cstheme="minorHAnsi"/>
                <w:color w:val="FFFFFF" w:themeColor="background1"/>
                <w:sz w:val="26"/>
                <w:szCs w:val="26"/>
                <w:lang w:val="en-US"/>
              </w:rPr>
              <w:t>of gender identity, abilities, geographic location and particular vulnerabilities, have increased access to quality formal and innovative learning pathways (from early childhood through lifelong learning) and acquire foundational, transferable, digital and job-specific skills</w:t>
            </w:r>
            <w:bookmarkEnd w:id="158"/>
          </w:p>
        </w:tc>
      </w:tr>
      <w:tr w:rsidR="003A41BE" w:rsidRPr="006444BA" w14:paraId="5EDAAE50"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482BF4"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3.a Proportion of children under 5 years of age who are developmentally on track in health, learning and psychosocial well-being, by sex (SDG Indicator 4.2.1)</w:t>
            </w:r>
          </w:p>
          <w:p w14:paraId="43CB0462" w14:textId="77777777" w:rsidR="003A41BE" w:rsidRDefault="003A41BE" w:rsidP="00FD44CE">
            <w:pPr>
              <w:pStyle w:val="Default"/>
              <w:rPr>
                <w:rFonts w:asciiTheme="minorHAnsi" w:hAnsiTheme="minorHAnsi" w:cstheme="minorHAnsi"/>
                <w:sz w:val="22"/>
                <w:szCs w:val="22"/>
                <w:lang w:val="en-US"/>
              </w:rPr>
            </w:pPr>
            <w:r w:rsidRPr="002A7985">
              <w:rPr>
                <w:rFonts w:asciiTheme="minorHAnsi" w:hAnsiTheme="minorHAnsi" w:cstheme="minorHAnsi"/>
                <w:sz w:val="22"/>
                <w:szCs w:val="22"/>
                <w:u w:val="single"/>
                <w:lang w:val="en-US"/>
              </w:rPr>
              <w:t>Proxy indicator</w:t>
            </w:r>
            <w:r w:rsidRPr="002A7985">
              <w:rPr>
                <w:rFonts w:asciiTheme="minorHAnsi" w:hAnsiTheme="minorHAnsi" w:cstheme="minorHAnsi"/>
                <w:sz w:val="22"/>
                <w:szCs w:val="22"/>
                <w:lang w:val="en-US"/>
              </w:rPr>
              <w:t>: Percentage of children age 36-47 months who are developmentally on track on the early child development index score.</w:t>
            </w:r>
          </w:p>
          <w:tbl>
            <w:tblPr>
              <w:tblStyle w:val="TableGrid"/>
              <w:tblW w:w="0" w:type="auto"/>
              <w:tblLayout w:type="fixed"/>
              <w:tblLook w:val="04A0" w:firstRow="1" w:lastRow="0" w:firstColumn="1" w:lastColumn="0" w:noHBand="0" w:noVBand="1"/>
            </w:tblPr>
            <w:tblGrid>
              <w:gridCol w:w="1510"/>
              <w:gridCol w:w="1510"/>
              <w:gridCol w:w="2446"/>
            </w:tblGrid>
            <w:tr w:rsidR="003A41BE" w14:paraId="5C0E5406" w14:textId="77777777" w:rsidTr="00FD44CE">
              <w:tc>
                <w:tcPr>
                  <w:tcW w:w="1510" w:type="dxa"/>
                </w:tcPr>
                <w:p w14:paraId="5E740E26" w14:textId="77777777" w:rsidR="003A41BE" w:rsidRDefault="003A41BE" w:rsidP="002A37E3">
                  <w:pPr>
                    <w:framePr w:hSpace="141" w:wrap="around" w:vAnchor="text" w:hAnchor="text" w:x="421" w:y="1"/>
                    <w:suppressOverlap/>
                    <w:rPr>
                      <w:sz w:val="22"/>
                      <w:szCs w:val="22"/>
                      <w:lang w:val="en-US"/>
                    </w:rPr>
                  </w:pPr>
                </w:p>
              </w:tc>
              <w:tc>
                <w:tcPr>
                  <w:tcW w:w="1510" w:type="dxa"/>
                </w:tcPr>
                <w:p w14:paraId="254FACE3"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2446" w:type="dxa"/>
                </w:tcPr>
                <w:p w14:paraId="7CA8353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1C1DC8BC" w14:textId="77777777" w:rsidTr="00FD44CE">
              <w:tc>
                <w:tcPr>
                  <w:tcW w:w="1510" w:type="dxa"/>
                </w:tcPr>
                <w:p w14:paraId="2CBA4A50" w14:textId="77777777" w:rsidR="003A41BE" w:rsidRPr="003F4BC2" w:rsidRDefault="003A41BE" w:rsidP="002A37E3">
                  <w:pPr>
                    <w:framePr w:hSpace="141" w:wrap="around" w:vAnchor="text" w:hAnchor="text" w:x="421" w:y="1"/>
                    <w:suppressOverlap/>
                    <w:jc w:val="center"/>
                    <w:rPr>
                      <w:sz w:val="22"/>
                      <w:szCs w:val="22"/>
                      <w:lang w:val="en-US"/>
                    </w:rPr>
                  </w:pPr>
                  <w:r w:rsidRPr="003F4BC2">
                    <w:rPr>
                      <w:sz w:val="22"/>
                      <w:szCs w:val="22"/>
                      <w:lang w:val="en-US"/>
                    </w:rPr>
                    <w:t>Total</w:t>
                  </w:r>
                </w:p>
              </w:tc>
              <w:tc>
                <w:tcPr>
                  <w:tcW w:w="1510" w:type="dxa"/>
                </w:tcPr>
                <w:p w14:paraId="01C1BAA1" w14:textId="77777777" w:rsidR="003A41BE" w:rsidRPr="00EB2CE9" w:rsidRDefault="003A41BE" w:rsidP="002A37E3">
                  <w:pPr>
                    <w:framePr w:hSpace="141" w:wrap="around" w:vAnchor="text" w:hAnchor="text" w:x="421" w:y="1"/>
                    <w:suppressOverlap/>
                    <w:jc w:val="center"/>
                    <w:rPr>
                      <w:sz w:val="22"/>
                      <w:szCs w:val="22"/>
                      <w:lang w:val="en-US"/>
                    </w:rPr>
                  </w:pPr>
                  <w:r w:rsidRPr="00EB2CE9">
                    <w:rPr>
                      <w:sz w:val="22"/>
                      <w:szCs w:val="22"/>
                      <w:lang w:val="en-US"/>
                    </w:rPr>
                    <w:t>43.9%</w:t>
                  </w:r>
                </w:p>
              </w:tc>
              <w:tc>
                <w:tcPr>
                  <w:tcW w:w="2446" w:type="dxa"/>
                </w:tcPr>
                <w:p w14:paraId="0021649F" w14:textId="77777777" w:rsidR="003A41BE" w:rsidRPr="003F4BC2" w:rsidRDefault="003A41BE" w:rsidP="002A37E3">
                  <w:pPr>
                    <w:framePr w:hSpace="141" w:wrap="around" w:vAnchor="text" w:hAnchor="text" w:x="421" w:y="1"/>
                    <w:suppressOverlap/>
                    <w:jc w:val="center"/>
                    <w:rPr>
                      <w:sz w:val="22"/>
                      <w:szCs w:val="22"/>
                      <w:highlight w:val="yellow"/>
                      <w:lang w:val="en-US"/>
                    </w:rPr>
                  </w:pPr>
                  <w:r>
                    <w:rPr>
                      <w:sz w:val="22"/>
                      <w:szCs w:val="22"/>
                      <w:lang w:val="en-US"/>
                    </w:rPr>
                    <w:t>Under discussion with relevant partners</w:t>
                  </w:r>
                </w:p>
              </w:tc>
            </w:tr>
          </w:tbl>
          <w:p w14:paraId="3DAA9BC6" w14:textId="77777777" w:rsidR="003A41BE" w:rsidRDefault="003A41BE" w:rsidP="00FD44CE">
            <w:pPr>
              <w:pStyle w:val="Default"/>
              <w:rPr>
                <w:rFonts w:asciiTheme="minorHAnsi" w:hAnsiTheme="minorHAnsi" w:cstheme="minorHAnsi"/>
                <w:bCs/>
                <w:color w:val="auto"/>
                <w:sz w:val="22"/>
                <w:szCs w:val="22"/>
                <w:lang w:val="en-US"/>
              </w:rPr>
            </w:pPr>
            <w:r>
              <w:rPr>
                <w:rFonts w:asciiTheme="minorHAnsi" w:hAnsiTheme="minorHAnsi" w:cstheme="minorHAnsi"/>
                <w:bCs/>
                <w:color w:val="auto"/>
                <w:sz w:val="22"/>
                <w:szCs w:val="22"/>
                <w:lang w:val="en-US"/>
              </w:rPr>
              <w:t xml:space="preserve">Note: Male 42.7 %, Female 45.2 %, Urban 51.1 %, Rural 41 %. </w:t>
            </w:r>
            <w:r>
              <w:rPr>
                <w:rFonts w:asciiTheme="minorHAnsi" w:hAnsiTheme="minorHAnsi" w:cstheme="minorHAnsi"/>
                <w:sz w:val="22"/>
                <w:szCs w:val="22"/>
                <w:lang w:val="en-US"/>
              </w:rPr>
              <w:t xml:space="preserve">For proxy indicator, </w:t>
            </w:r>
            <w:r w:rsidRPr="00DA2276">
              <w:rPr>
                <w:rFonts w:asciiTheme="minorHAnsi" w:hAnsiTheme="minorHAnsi" w:cstheme="minorHAnsi"/>
                <w:sz w:val="22"/>
                <w:szCs w:val="22"/>
                <w:lang w:val="en-US"/>
              </w:rPr>
              <w:t>age range will change to 36-59 months in next DHS)</w:t>
            </w:r>
          </w:p>
          <w:p w14:paraId="5526CF73" w14:textId="77777777" w:rsidR="003A41BE" w:rsidRPr="00841766" w:rsidRDefault="003A41BE" w:rsidP="00FD44CE">
            <w:pPr>
              <w:pStyle w:val="Default"/>
              <w:rPr>
                <w:rFonts w:asciiTheme="minorHAnsi" w:hAnsiTheme="minorHAnsi" w:cstheme="minorHAnsi"/>
                <w:bCs/>
                <w:color w:val="auto"/>
                <w:sz w:val="22"/>
                <w:szCs w:val="22"/>
                <w:lang w:val="en-US"/>
              </w:rPr>
            </w:pPr>
            <w:r>
              <w:rPr>
                <w:rFonts w:asciiTheme="minorHAnsi" w:hAnsiTheme="minorHAnsi" w:cstheme="minorHAnsi"/>
                <w:bCs/>
                <w:color w:val="auto"/>
                <w:sz w:val="22"/>
                <w:szCs w:val="22"/>
                <w:lang w:val="en-US"/>
              </w:rPr>
              <w:t>Data Source: ECD module in DHS 2016</w:t>
            </w:r>
          </w:p>
          <w:p w14:paraId="4CF1446B" w14:textId="77777777" w:rsidR="003A41BE" w:rsidRPr="00841766" w:rsidRDefault="003A41BE" w:rsidP="00FD44CE">
            <w:pPr>
              <w:pStyle w:val="Default"/>
              <w:rPr>
                <w:rFonts w:asciiTheme="minorHAnsi" w:hAnsiTheme="minorHAnsi" w:cstheme="minorHAnsi"/>
                <w:sz w:val="22"/>
                <w:szCs w:val="22"/>
                <w:lang w:val="en-US"/>
              </w:rPr>
            </w:pPr>
          </w:p>
        </w:tc>
      </w:tr>
      <w:tr w:rsidR="003A41BE" w:rsidRPr="006444BA" w14:paraId="24732DE1"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E0D0E"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3.</w:t>
            </w:r>
            <w:r>
              <w:rPr>
                <w:rFonts w:asciiTheme="minorHAnsi" w:hAnsiTheme="minorHAnsi" w:cstheme="minorHAnsi"/>
                <w:sz w:val="22"/>
                <w:szCs w:val="22"/>
                <w:lang w:val="en-US"/>
              </w:rPr>
              <w:t>b</w:t>
            </w:r>
            <w:r w:rsidRPr="00841766">
              <w:rPr>
                <w:rFonts w:asciiTheme="minorHAnsi" w:hAnsiTheme="minorHAnsi" w:cstheme="minorHAnsi"/>
                <w:sz w:val="22"/>
                <w:szCs w:val="22"/>
                <w:lang w:val="en-US"/>
              </w:rPr>
              <w:t xml:space="preserve"> Percentage of population in a given age group achieving at least a fixed level of proficiency in functional (a) literacy and (b) numeracy skills</w:t>
            </w:r>
            <w:r>
              <w:rPr>
                <w:rFonts w:asciiTheme="minorHAnsi" w:hAnsiTheme="minorHAnsi" w:cstheme="minorHAnsi"/>
                <w:sz w:val="22"/>
                <w:szCs w:val="22"/>
                <w:lang w:val="en-US"/>
              </w:rPr>
              <w:t>,</w:t>
            </w:r>
            <w:r w:rsidRPr="00841766">
              <w:rPr>
                <w:rFonts w:asciiTheme="minorHAnsi" w:hAnsiTheme="minorHAnsi" w:cstheme="minorHAnsi"/>
                <w:sz w:val="22"/>
                <w:szCs w:val="22"/>
                <w:lang w:val="en-US"/>
              </w:rPr>
              <w:t xml:space="preserve"> </w:t>
            </w:r>
            <w:r>
              <w:rPr>
                <w:rFonts w:asciiTheme="minorHAnsi" w:hAnsiTheme="minorHAnsi" w:cstheme="minorHAnsi"/>
                <w:sz w:val="22"/>
                <w:szCs w:val="22"/>
                <w:lang w:val="en-US"/>
              </w:rPr>
              <w:t>d</w:t>
            </w:r>
            <w:r w:rsidRPr="00841766">
              <w:rPr>
                <w:rFonts w:asciiTheme="minorHAnsi" w:hAnsiTheme="minorHAnsi" w:cstheme="minorHAnsi"/>
                <w:sz w:val="22"/>
                <w:szCs w:val="22"/>
                <w:lang w:val="en-US"/>
              </w:rPr>
              <w:t>isaggregat</w:t>
            </w:r>
            <w:r>
              <w:rPr>
                <w:rFonts w:asciiTheme="minorHAnsi" w:hAnsiTheme="minorHAnsi" w:cstheme="minorHAnsi"/>
                <w:sz w:val="22"/>
                <w:szCs w:val="22"/>
                <w:lang w:val="en-US"/>
              </w:rPr>
              <w:t>ed by</w:t>
            </w:r>
            <w:r w:rsidRPr="00841766">
              <w:rPr>
                <w:rFonts w:asciiTheme="minorHAnsi" w:hAnsiTheme="minorHAnsi" w:cstheme="minorHAnsi"/>
                <w:sz w:val="22"/>
                <w:szCs w:val="22"/>
                <w:lang w:val="en-US"/>
              </w:rPr>
              <w:t xml:space="preserve"> sex, location, wealth (and other where data are available) (SDG Indicators 4.6.1 )</w:t>
            </w:r>
            <w:r>
              <w:rPr>
                <w:rFonts w:asciiTheme="minorHAnsi" w:hAnsiTheme="minorHAnsi" w:cstheme="minorHAnsi"/>
                <w:sz w:val="22"/>
                <w:szCs w:val="22"/>
                <w:lang w:val="en-US"/>
              </w:rPr>
              <w:t xml:space="preserve"> </w:t>
            </w:r>
          </w:p>
          <w:p w14:paraId="61278B54" w14:textId="77777777" w:rsidR="003A41BE" w:rsidRDefault="003A41BE" w:rsidP="00FD44CE">
            <w:pPr>
              <w:pStyle w:val="Default"/>
              <w:rPr>
                <w:rFonts w:asciiTheme="minorHAnsi" w:hAnsiTheme="minorHAnsi" w:cstheme="minorHAnsi"/>
                <w:sz w:val="22"/>
                <w:szCs w:val="22"/>
                <w:lang w:val="en-US"/>
              </w:rPr>
            </w:pPr>
            <w:r w:rsidRPr="002A7985">
              <w:rPr>
                <w:rFonts w:asciiTheme="minorHAnsi" w:hAnsiTheme="minorHAnsi" w:cstheme="minorHAnsi"/>
                <w:sz w:val="22"/>
                <w:szCs w:val="22"/>
                <w:u w:val="single"/>
                <w:lang w:val="en-US"/>
              </w:rPr>
              <w:t>Proxy indicator</w:t>
            </w:r>
            <w:r w:rsidRPr="002A7985">
              <w:rPr>
                <w:rFonts w:asciiTheme="minorHAnsi" w:hAnsiTheme="minorHAnsi" w:cstheme="minorHAnsi"/>
                <w:sz w:val="22"/>
                <w:szCs w:val="22"/>
                <w:lang w:val="en-US"/>
              </w:rPr>
              <w:t>:</w:t>
            </w:r>
            <w:r>
              <w:rPr>
                <w:rFonts w:asciiTheme="minorHAnsi" w:hAnsiTheme="minorHAnsi" w:cstheme="minorHAnsi"/>
                <w:b/>
                <w:bCs/>
                <w:sz w:val="22"/>
                <w:szCs w:val="22"/>
                <w:lang w:val="en-US"/>
              </w:rPr>
              <w:t xml:space="preserve"> </w:t>
            </w:r>
            <w:r>
              <w:rPr>
                <w:rFonts w:asciiTheme="minorHAnsi" w:hAnsiTheme="minorHAnsi" w:cstheme="minorHAnsi"/>
                <w:sz w:val="22"/>
                <w:szCs w:val="22"/>
                <w:lang w:val="en-US"/>
              </w:rPr>
              <w:t xml:space="preserve">Adult and youth Literacy Rate – reported by age, sex, geography and language. </w:t>
            </w:r>
          </w:p>
          <w:tbl>
            <w:tblPr>
              <w:tblStyle w:val="TableGrid"/>
              <w:tblW w:w="0" w:type="auto"/>
              <w:tblLayout w:type="fixed"/>
              <w:tblLook w:val="04A0" w:firstRow="1" w:lastRow="0" w:firstColumn="1" w:lastColumn="0" w:noHBand="0" w:noVBand="1"/>
            </w:tblPr>
            <w:tblGrid>
              <w:gridCol w:w="2280"/>
              <w:gridCol w:w="2280"/>
              <w:gridCol w:w="2446"/>
            </w:tblGrid>
            <w:tr w:rsidR="003A41BE" w14:paraId="50B610BF" w14:textId="77777777" w:rsidTr="00FD44CE">
              <w:trPr>
                <w:trHeight w:val="132"/>
              </w:trPr>
              <w:tc>
                <w:tcPr>
                  <w:tcW w:w="2280" w:type="dxa"/>
                </w:tcPr>
                <w:p w14:paraId="45190D07" w14:textId="77777777" w:rsidR="003A41BE" w:rsidRDefault="003A41BE" w:rsidP="002A37E3">
                  <w:pPr>
                    <w:framePr w:hSpace="141" w:wrap="around" w:vAnchor="text" w:hAnchor="text" w:x="421" w:y="1"/>
                    <w:suppressOverlap/>
                    <w:jc w:val="center"/>
                    <w:rPr>
                      <w:sz w:val="22"/>
                      <w:szCs w:val="22"/>
                      <w:lang w:val="en-US"/>
                    </w:rPr>
                  </w:pPr>
                </w:p>
              </w:tc>
              <w:tc>
                <w:tcPr>
                  <w:tcW w:w="2280" w:type="dxa"/>
                </w:tcPr>
                <w:p w14:paraId="6D159484"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2446" w:type="dxa"/>
                </w:tcPr>
                <w:p w14:paraId="6FEF770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270BA6DF" w14:textId="77777777" w:rsidTr="00FD44CE">
              <w:trPr>
                <w:trHeight w:val="125"/>
              </w:trPr>
              <w:tc>
                <w:tcPr>
                  <w:tcW w:w="2280" w:type="dxa"/>
                </w:tcPr>
                <w:p w14:paraId="73AD5B0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Adult</w:t>
                  </w:r>
                </w:p>
              </w:tc>
              <w:tc>
                <w:tcPr>
                  <w:tcW w:w="2280" w:type="dxa"/>
                </w:tcPr>
                <w:p w14:paraId="5C8B28F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64.4%</w:t>
                  </w:r>
                </w:p>
              </w:tc>
              <w:tc>
                <w:tcPr>
                  <w:tcW w:w="2446" w:type="dxa"/>
                  <w:vMerge w:val="restart"/>
                </w:tcPr>
                <w:p w14:paraId="61AF4F64"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Under discussion with relevant partners</w:t>
                  </w:r>
                </w:p>
                <w:p w14:paraId="1D8589FE" w14:textId="77777777" w:rsidR="003A41BE" w:rsidRDefault="003A41BE" w:rsidP="002A37E3">
                  <w:pPr>
                    <w:framePr w:hSpace="141" w:wrap="around" w:vAnchor="text" w:hAnchor="text" w:x="421" w:y="1"/>
                    <w:suppressOverlap/>
                    <w:jc w:val="center"/>
                    <w:rPr>
                      <w:sz w:val="22"/>
                      <w:szCs w:val="22"/>
                      <w:lang w:val="en-US"/>
                    </w:rPr>
                  </w:pPr>
                </w:p>
              </w:tc>
            </w:tr>
            <w:tr w:rsidR="003A41BE" w14:paraId="055665F0" w14:textId="77777777" w:rsidTr="00FD44CE">
              <w:trPr>
                <w:trHeight w:val="516"/>
              </w:trPr>
              <w:tc>
                <w:tcPr>
                  <w:tcW w:w="2280" w:type="dxa"/>
                </w:tcPr>
                <w:p w14:paraId="050D8B70"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Youth (15-24)</w:t>
                  </w:r>
                </w:p>
              </w:tc>
              <w:tc>
                <w:tcPr>
                  <w:tcW w:w="2280" w:type="dxa"/>
                </w:tcPr>
                <w:p w14:paraId="73AAF3AB"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84.4%</w:t>
                  </w:r>
                </w:p>
              </w:tc>
              <w:tc>
                <w:tcPr>
                  <w:tcW w:w="2446" w:type="dxa"/>
                  <w:vMerge/>
                </w:tcPr>
                <w:p w14:paraId="0052D8DE" w14:textId="77777777" w:rsidR="003A41BE" w:rsidRPr="003F4BC2" w:rsidRDefault="003A41BE" w:rsidP="002A37E3">
                  <w:pPr>
                    <w:framePr w:hSpace="141" w:wrap="around" w:vAnchor="text" w:hAnchor="text" w:x="421" w:y="1"/>
                    <w:suppressOverlap/>
                    <w:jc w:val="center"/>
                    <w:rPr>
                      <w:sz w:val="22"/>
                      <w:szCs w:val="22"/>
                      <w:lang w:val="en-US"/>
                    </w:rPr>
                  </w:pPr>
                </w:p>
              </w:tc>
            </w:tr>
          </w:tbl>
          <w:p w14:paraId="5E915EE3" w14:textId="77777777" w:rsidR="003A41BE" w:rsidRPr="002F23B8" w:rsidRDefault="003A41BE" w:rsidP="00FD44CE">
            <w:pPr>
              <w:pStyle w:val="Default"/>
              <w:rPr>
                <w:rFonts w:asciiTheme="minorHAnsi" w:hAnsiTheme="minorHAnsi" w:cstheme="minorHAnsi"/>
                <w:sz w:val="22"/>
                <w:szCs w:val="22"/>
                <w:lang w:val="en-US"/>
              </w:rPr>
            </w:pPr>
            <w:r>
              <w:rPr>
                <w:rFonts w:asciiTheme="minorHAnsi" w:hAnsiTheme="minorHAnsi" w:cstheme="minorHAnsi"/>
                <w:sz w:val="22"/>
                <w:szCs w:val="22"/>
                <w:lang w:val="en-US"/>
              </w:rPr>
              <w:t>Data Source: Timor-Leste Population and Housing Census 2015</w:t>
            </w:r>
          </w:p>
          <w:p w14:paraId="09F2033F" w14:textId="77777777" w:rsidR="003A41BE" w:rsidRPr="00841766" w:rsidRDefault="003A41BE" w:rsidP="00FD44CE">
            <w:pPr>
              <w:pStyle w:val="Default"/>
              <w:rPr>
                <w:rFonts w:asciiTheme="minorHAnsi" w:hAnsiTheme="minorHAnsi" w:cstheme="minorHAnsi"/>
                <w:sz w:val="22"/>
                <w:szCs w:val="22"/>
                <w:lang w:val="en-US"/>
              </w:rPr>
            </w:pPr>
          </w:p>
        </w:tc>
      </w:tr>
      <w:tr w:rsidR="003A41BE" w:rsidRPr="00841766" w14:paraId="6855A213" w14:textId="77777777" w:rsidTr="53E3C463">
        <w:trPr>
          <w:trHeight w:val="339"/>
        </w:trPr>
        <w:tc>
          <w:tcPr>
            <w:tcW w:w="4529" w:type="dxa"/>
            <w:tcBorders>
              <w:left w:val="single" w:sz="4" w:space="0" w:color="auto"/>
              <w:bottom w:val="single" w:sz="4" w:space="0" w:color="auto"/>
            </w:tcBorders>
            <w:shd w:val="clear" w:color="auto" w:fill="000000" w:themeFill="text1"/>
          </w:tcPr>
          <w:p w14:paraId="71B3C7BC"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UNSDCF Results</w:t>
            </w:r>
          </w:p>
        </w:tc>
        <w:tc>
          <w:tcPr>
            <w:tcW w:w="5813" w:type="dxa"/>
            <w:gridSpan w:val="4"/>
            <w:tcBorders>
              <w:bottom w:val="single" w:sz="4" w:space="0" w:color="auto"/>
            </w:tcBorders>
            <w:shd w:val="clear" w:color="auto" w:fill="000000" w:themeFill="text1"/>
          </w:tcPr>
          <w:p w14:paraId="19025D94"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Indicators</w:t>
            </w:r>
          </w:p>
        </w:tc>
        <w:tc>
          <w:tcPr>
            <w:tcW w:w="4116" w:type="dxa"/>
            <w:tcBorders>
              <w:bottom w:val="single" w:sz="4" w:space="0" w:color="auto"/>
            </w:tcBorders>
            <w:shd w:val="clear" w:color="auto" w:fill="000000" w:themeFill="text1"/>
          </w:tcPr>
          <w:p w14:paraId="0ACCA7FF"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Partners</w:t>
            </w:r>
          </w:p>
        </w:tc>
      </w:tr>
      <w:tr w:rsidR="003A41BE" w:rsidRPr="006444BA" w14:paraId="12CE2F4E" w14:textId="77777777" w:rsidTr="53E3C463">
        <w:trPr>
          <w:trHeight w:val="258"/>
        </w:trPr>
        <w:tc>
          <w:tcPr>
            <w:tcW w:w="4529"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83794D6" w14:textId="77777777" w:rsidR="003A41BE" w:rsidRPr="00841766" w:rsidRDefault="003A41BE" w:rsidP="00FD44CE">
            <w:pPr>
              <w:rPr>
                <w:rFonts w:cstheme="minorHAnsi"/>
                <w:sz w:val="20"/>
                <w:szCs w:val="20"/>
                <w:lang w:val="en-US"/>
              </w:rPr>
            </w:pPr>
            <w:r>
              <w:rPr>
                <w:rFonts w:cstheme="minorHAnsi"/>
                <w:b/>
                <w:color w:val="000000" w:themeColor="text1"/>
                <w:sz w:val="22"/>
                <w:szCs w:val="22"/>
                <w:lang w:val="en-US"/>
              </w:rPr>
              <w:t>Sub-o</w:t>
            </w:r>
            <w:r w:rsidRPr="00841766">
              <w:rPr>
                <w:rFonts w:cstheme="minorHAnsi"/>
                <w:b/>
                <w:color w:val="000000" w:themeColor="text1"/>
                <w:sz w:val="22"/>
                <w:szCs w:val="22"/>
                <w:lang w:val="en-US"/>
              </w:rPr>
              <w:t>utcome 3.1:</w:t>
            </w:r>
            <w:r w:rsidRPr="00841766">
              <w:rPr>
                <w:rFonts w:cstheme="minorHAnsi"/>
                <w:sz w:val="20"/>
                <w:szCs w:val="20"/>
                <w:lang w:val="en-US"/>
              </w:rPr>
              <w:t xml:space="preserve"> </w:t>
            </w:r>
          </w:p>
          <w:p w14:paraId="475598BA" w14:textId="77777777" w:rsidR="003A41BE" w:rsidRPr="00841766" w:rsidRDefault="003A41BE" w:rsidP="00FD44CE">
            <w:pPr>
              <w:rPr>
                <w:rFonts w:cstheme="minorHAnsi"/>
                <w:sz w:val="20"/>
                <w:szCs w:val="20"/>
                <w:lang w:val="en-US"/>
              </w:rPr>
            </w:pPr>
          </w:p>
          <w:p w14:paraId="39D1003F" w14:textId="77777777" w:rsidR="003A41BE" w:rsidRPr="00841766" w:rsidRDefault="003A41BE" w:rsidP="00FD44CE">
            <w:pPr>
              <w:rPr>
                <w:rFonts w:cstheme="minorHAnsi"/>
                <w:b/>
                <w:sz w:val="22"/>
                <w:szCs w:val="20"/>
                <w:lang w:val="en-US"/>
              </w:rPr>
            </w:pPr>
            <w:bookmarkStart w:id="159" w:name="_Hlk33000538"/>
            <w:r w:rsidRPr="00841766">
              <w:rPr>
                <w:rFonts w:cstheme="minorHAnsi"/>
                <w:b/>
                <w:sz w:val="22"/>
                <w:szCs w:val="20"/>
                <w:lang w:val="en-US"/>
              </w:rPr>
              <w:t>Access to ECD and ECE</w:t>
            </w:r>
          </w:p>
          <w:p w14:paraId="22034136" w14:textId="77777777" w:rsidR="003A41BE" w:rsidRPr="00841766" w:rsidRDefault="003A41BE" w:rsidP="00FD44CE">
            <w:pPr>
              <w:rPr>
                <w:rFonts w:cstheme="minorHAnsi"/>
                <w:sz w:val="20"/>
                <w:szCs w:val="20"/>
                <w:lang w:val="en-US"/>
              </w:rPr>
            </w:pPr>
            <w:r w:rsidRPr="00841766">
              <w:rPr>
                <w:rFonts w:cstheme="minorHAnsi"/>
                <w:sz w:val="22"/>
                <w:szCs w:val="22"/>
                <w:lang w:val="en-US"/>
              </w:rPr>
              <w:t xml:space="preserve">By 2025, families, schools and education institutions and systems for early child education and ECD have the knowledge, capacities and resources required to ensure children access to gender-sensitive ECD and ECE </w:t>
            </w:r>
            <w:r w:rsidRPr="00841766">
              <w:rPr>
                <w:rFonts w:cstheme="minorHAnsi"/>
                <w:sz w:val="22"/>
                <w:szCs w:val="22"/>
                <w:lang w:val="en-US"/>
              </w:rPr>
              <w:lastRenderedPageBreak/>
              <w:t>services and are holistically prepared for success in basic education</w:t>
            </w:r>
            <w:r w:rsidRPr="00841766">
              <w:rPr>
                <w:rFonts w:cstheme="minorHAnsi"/>
                <w:sz w:val="20"/>
                <w:szCs w:val="20"/>
                <w:lang w:val="en-US"/>
              </w:rPr>
              <w:t xml:space="preserve">. </w:t>
            </w:r>
          </w:p>
          <w:bookmarkEnd w:id="159"/>
          <w:p w14:paraId="71E983AA" w14:textId="77777777" w:rsidR="003A41BE" w:rsidRPr="00841766" w:rsidRDefault="003A41BE" w:rsidP="00FD44CE">
            <w:pPr>
              <w:rPr>
                <w:rFonts w:cstheme="minorHAnsi"/>
                <w:sz w:val="20"/>
                <w:szCs w:val="20"/>
                <w:lang w:val="en-US"/>
              </w:rPr>
            </w:pPr>
          </w:p>
          <w:p w14:paraId="266D02CD" w14:textId="77777777" w:rsidR="003A41BE" w:rsidRPr="00841766" w:rsidRDefault="003A41BE" w:rsidP="00FD44CE">
            <w:pPr>
              <w:pStyle w:val="ListParagraph"/>
              <w:ind w:left="572"/>
              <w:rPr>
                <w:rFonts w:cstheme="minorHAnsi"/>
                <w:i/>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137A2"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b/>
                <w:sz w:val="22"/>
                <w:szCs w:val="22"/>
                <w:lang w:val="en-US"/>
              </w:rPr>
              <w:lastRenderedPageBreak/>
              <w:t xml:space="preserve">Indicator 3.1.1: </w:t>
            </w:r>
            <w:r w:rsidRPr="00841766">
              <w:rPr>
                <w:rFonts w:cstheme="minorHAnsi"/>
                <w:sz w:val="22"/>
                <w:szCs w:val="22"/>
                <w:lang w:val="en-US"/>
              </w:rPr>
              <w:t xml:space="preserve">NER in ECE </w:t>
            </w:r>
            <w:r>
              <w:rPr>
                <w:rFonts w:cstheme="minorHAnsi"/>
                <w:sz w:val="22"/>
                <w:szCs w:val="22"/>
                <w:lang w:val="en-US"/>
              </w:rPr>
              <w:t xml:space="preserve">age 3-5 </w:t>
            </w:r>
            <w:r w:rsidRPr="00841766">
              <w:rPr>
                <w:rFonts w:cstheme="minorHAnsi"/>
                <w:sz w:val="22"/>
                <w:szCs w:val="22"/>
                <w:lang w:val="en-US"/>
              </w:rPr>
              <w:t>disaggregated by age, sex, municipality</w:t>
            </w:r>
          </w:p>
          <w:tbl>
            <w:tblPr>
              <w:tblStyle w:val="TableGrid"/>
              <w:tblW w:w="0" w:type="auto"/>
              <w:tblLayout w:type="fixed"/>
              <w:tblLook w:val="04A0" w:firstRow="1" w:lastRow="0" w:firstColumn="1" w:lastColumn="0" w:noHBand="0" w:noVBand="1"/>
            </w:tblPr>
            <w:tblGrid>
              <w:gridCol w:w="1510"/>
              <w:gridCol w:w="1510"/>
              <w:gridCol w:w="2510"/>
            </w:tblGrid>
            <w:tr w:rsidR="003A41BE" w14:paraId="1FBF9A2B" w14:textId="77777777" w:rsidTr="00FD44CE">
              <w:tc>
                <w:tcPr>
                  <w:tcW w:w="1510" w:type="dxa"/>
                </w:tcPr>
                <w:p w14:paraId="12900E6E" w14:textId="77777777" w:rsidR="003A41BE" w:rsidRDefault="003A41BE" w:rsidP="002A37E3">
                  <w:pPr>
                    <w:framePr w:hSpace="141" w:wrap="around" w:vAnchor="text" w:hAnchor="text" w:x="421" w:y="1"/>
                    <w:suppressOverlap/>
                    <w:rPr>
                      <w:sz w:val="22"/>
                      <w:szCs w:val="22"/>
                      <w:lang w:val="en-US"/>
                    </w:rPr>
                  </w:pPr>
                </w:p>
              </w:tc>
              <w:tc>
                <w:tcPr>
                  <w:tcW w:w="1510" w:type="dxa"/>
                </w:tcPr>
                <w:p w14:paraId="3B865DD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2510" w:type="dxa"/>
                </w:tcPr>
                <w:p w14:paraId="2CCBC133"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23F7828A" w14:textId="77777777" w:rsidTr="00FD44CE">
              <w:tc>
                <w:tcPr>
                  <w:tcW w:w="1510" w:type="dxa"/>
                </w:tcPr>
                <w:p w14:paraId="148A38E4"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Total</w:t>
                  </w:r>
                </w:p>
              </w:tc>
              <w:tc>
                <w:tcPr>
                  <w:tcW w:w="1510" w:type="dxa"/>
                </w:tcPr>
                <w:p w14:paraId="15B5516E"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20.40%</w:t>
                  </w:r>
                </w:p>
              </w:tc>
              <w:tc>
                <w:tcPr>
                  <w:tcW w:w="2510" w:type="dxa"/>
                </w:tcPr>
                <w:p w14:paraId="6801B131" w14:textId="77777777" w:rsidR="003A41BE" w:rsidRPr="003F4BC2" w:rsidRDefault="003A41BE" w:rsidP="002A37E3">
                  <w:pPr>
                    <w:framePr w:hSpace="141" w:wrap="around" w:vAnchor="text" w:hAnchor="text" w:x="421" w:y="1"/>
                    <w:suppressOverlap/>
                    <w:jc w:val="center"/>
                    <w:rPr>
                      <w:sz w:val="22"/>
                      <w:szCs w:val="22"/>
                      <w:lang w:val="en-US"/>
                    </w:rPr>
                  </w:pPr>
                  <w:r>
                    <w:rPr>
                      <w:sz w:val="22"/>
                      <w:szCs w:val="22"/>
                      <w:lang w:val="en-US"/>
                    </w:rPr>
                    <w:t>Under discussion with relevant partners</w:t>
                  </w:r>
                </w:p>
              </w:tc>
            </w:tr>
          </w:tbl>
          <w:p w14:paraId="6957A486" w14:textId="77777777" w:rsidR="003A41BE" w:rsidRDefault="003A41BE" w:rsidP="00FD44CE">
            <w:pPr>
              <w:autoSpaceDE w:val="0"/>
              <w:autoSpaceDN w:val="0"/>
              <w:adjustRightInd w:val="0"/>
              <w:rPr>
                <w:rFonts w:cstheme="minorHAnsi"/>
                <w:bCs/>
                <w:sz w:val="22"/>
                <w:szCs w:val="22"/>
                <w:lang w:val="en-US"/>
              </w:rPr>
            </w:pPr>
            <w:r>
              <w:rPr>
                <w:rFonts w:cstheme="minorHAnsi"/>
                <w:bCs/>
                <w:sz w:val="22"/>
                <w:szCs w:val="22"/>
                <w:lang w:val="en-US"/>
              </w:rPr>
              <w:t>Note: Female 21.34%, Male 19.56 %</w:t>
            </w:r>
          </w:p>
          <w:p w14:paraId="624F91F4" w14:textId="77777777" w:rsidR="003A41BE" w:rsidRPr="00841766" w:rsidRDefault="003A41BE" w:rsidP="00FD44CE">
            <w:pPr>
              <w:autoSpaceDE w:val="0"/>
              <w:autoSpaceDN w:val="0"/>
              <w:adjustRightInd w:val="0"/>
              <w:rPr>
                <w:rFonts w:cstheme="minorHAnsi"/>
                <w:sz w:val="22"/>
                <w:szCs w:val="22"/>
                <w:lang w:val="en-US"/>
              </w:rPr>
            </w:pPr>
            <w:r w:rsidRPr="003F4BC2">
              <w:rPr>
                <w:rFonts w:cstheme="minorHAnsi"/>
                <w:bCs/>
                <w:sz w:val="22"/>
                <w:szCs w:val="22"/>
                <w:lang w:val="en-US"/>
              </w:rPr>
              <w:t>Data Source:</w:t>
            </w:r>
            <w:r w:rsidRPr="00841766">
              <w:rPr>
                <w:rFonts w:cstheme="minorHAnsi"/>
                <w:b/>
                <w:sz w:val="22"/>
                <w:szCs w:val="22"/>
                <w:lang w:val="en-US"/>
              </w:rPr>
              <w:t xml:space="preserve"> </w:t>
            </w:r>
            <w:r w:rsidRPr="007E775B">
              <w:rPr>
                <w:rFonts w:cstheme="minorHAnsi"/>
                <w:sz w:val="22"/>
                <w:szCs w:val="22"/>
                <w:lang w:val="en-US"/>
              </w:rPr>
              <w:t>EMIS 2018</w:t>
            </w:r>
            <w:r>
              <w:rPr>
                <w:rFonts w:cstheme="minorHAnsi"/>
                <w:sz w:val="22"/>
                <w:szCs w:val="22"/>
                <w:lang w:val="en-US"/>
              </w:rPr>
              <w:t xml:space="preserve"> </w:t>
            </w:r>
            <w:r>
              <w:rPr>
                <w:rFonts w:cstheme="minorHAnsi"/>
                <w:sz w:val="22"/>
                <w:szCs w:val="22"/>
                <w:lang w:val="en-US"/>
              </w:rPr>
              <w:br/>
            </w:r>
          </w:p>
        </w:tc>
        <w:tc>
          <w:tcPr>
            <w:tcW w:w="4116" w:type="dxa"/>
            <w:vMerge w:val="restart"/>
            <w:tcBorders>
              <w:top w:val="single" w:sz="4" w:space="0" w:color="auto"/>
              <w:left w:val="single" w:sz="4" w:space="0" w:color="auto"/>
              <w:bottom w:val="single" w:sz="4" w:space="0" w:color="auto"/>
              <w:right w:val="single" w:sz="4" w:space="0" w:color="auto"/>
            </w:tcBorders>
          </w:tcPr>
          <w:p w14:paraId="219F1F59" w14:textId="77777777" w:rsidR="003A41BE" w:rsidRDefault="003A41BE" w:rsidP="00FD44CE">
            <w:pPr>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 xml:space="preserve">Ministry of Education Youth and Sport Ministry of Higher Education, Science and Culture </w:t>
            </w:r>
          </w:p>
          <w:p w14:paraId="70826DC6" w14:textId="77777777" w:rsidR="003A41BE" w:rsidRDefault="003A41BE" w:rsidP="00FD44CE">
            <w:pPr>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 xml:space="preserve">Ministry of Finance </w:t>
            </w:r>
          </w:p>
          <w:p w14:paraId="56BA39F7" w14:textId="77777777" w:rsidR="003A41BE" w:rsidRPr="00841766" w:rsidRDefault="003A41BE" w:rsidP="00FD44CE">
            <w:pPr>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Ministry of Social Solidarity and Inclusion Ministry of State Administration</w:t>
            </w:r>
          </w:p>
          <w:p w14:paraId="414EAE71" w14:textId="77777777" w:rsidR="003A41BE" w:rsidRDefault="003A41BE" w:rsidP="00FD44CE">
            <w:pPr>
              <w:rPr>
                <w:rFonts w:ascii="Times New Roman" w:eastAsia="Times New Roman" w:hAnsi="Times New Roman" w:cs="Times New Roman"/>
                <w:sz w:val="22"/>
                <w:szCs w:val="22"/>
                <w:lang w:val="en-US"/>
              </w:rPr>
            </w:pPr>
          </w:p>
          <w:p w14:paraId="02870C9B" w14:textId="77777777" w:rsidR="003A41BE" w:rsidRDefault="003A41BE" w:rsidP="00FD44CE">
            <w:pPr>
              <w:rPr>
                <w:rFonts w:cstheme="minorHAnsi"/>
                <w:sz w:val="22"/>
                <w:szCs w:val="22"/>
                <w:lang w:val="en-US"/>
              </w:rPr>
            </w:pPr>
            <w:r w:rsidRPr="00841766">
              <w:rPr>
                <w:rFonts w:cstheme="minorHAnsi"/>
                <w:sz w:val="22"/>
                <w:szCs w:val="22"/>
                <w:lang w:val="en-US"/>
              </w:rPr>
              <w:lastRenderedPageBreak/>
              <w:t>FAO</w:t>
            </w:r>
            <w:r>
              <w:rPr>
                <w:rFonts w:cstheme="minorHAnsi"/>
                <w:sz w:val="22"/>
                <w:szCs w:val="22"/>
                <w:lang w:val="en-US"/>
              </w:rPr>
              <w:t xml:space="preserve">, </w:t>
            </w:r>
            <w:r w:rsidRPr="00841766">
              <w:rPr>
                <w:rFonts w:cstheme="minorHAnsi"/>
                <w:sz w:val="22"/>
                <w:szCs w:val="22"/>
                <w:lang w:val="en-US"/>
              </w:rPr>
              <w:t>IOM</w:t>
            </w:r>
            <w:r>
              <w:rPr>
                <w:rFonts w:cstheme="minorHAnsi"/>
                <w:sz w:val="22"/>
                <w:szCs w:val="22"/>
                <w:lang w:val="en-US"/>
              </w:rPr>
              <w:t>,</w:t>
            </w:r>
            <w:r w:rsidRPr="00841766">
              <w:rPr>
                <w:rFonts w:cstheme="minorHAnsi"/>
                <w:sz w:val="22"/>
                <w:szCs w:val="22"/>
                <w:lang w:val="en-US"/>
              </w:rPr>
              <w:t xml:space="preserve"> UNDP</w:t>
            </w:r>
            <w:r>
              <w:rPr>
                <w:rFonts w:cstheme="minorHAnsi"/>
                <w:sz w:val="22"/>
                <w:szCs w:val="22"/>
                <w:lang w:val="en-US"/>
              </w:rPr>
              <w:t xml:space="preserve">, </w:t>
            </w:r>
            <w:r w:rsidRPr="00841766">
              <w:rPr>
                <w:rFonts w:cstheme="minorHAnsi"/>
                <w:sz w:val="22"/>
                <w:szCs w:val="22"/>
                <w:lang w:val="en-US"/>
              </w:rPr>
              <w:t>UNESCO</w:t>
            </w:r>
            <w:r>
              <w:rPr>
                <w:rFonts w:cstheme="minorHAnsi"/>
                <w:sz w:val="22"/>
                <w:szCs w:val="22"/>
                <w:lang w:val="en-US"/>
              </w:rPr>
              <w:t xml:space="preserve">, </w:t>
            </w:r>
            <w:r w:rsidRPr="00841766">
              <w:rPr>
                <w:rFonts w:cstheme="minorHAnsi"/>
                <w:sz w:val="22"/>
                <w:szCs w:val="22"/>
                <w:lang w:val="en-US"/>
              </w:rPr>
              <w:t xml:space="preserve">UNICEF, WFP, WHO </w:t>
            </w:r>
          </w:p>
          <w:p w14:paraId="11FB4AD6" w14:textId="77777777" w:rsidR="003A41BE" w:rsidRDefault="003A41BE" w:rsidP="00FD44CE">
            <w:pPr>
              <w:rPr>
                <w:rFonts w:cstheme="minorHAnsi"/>
                <w:sz w:val="22"/>
                <w:szCs w:val="22"/>
                <w:lang w:val="en-US"/>
              </w:rPr>
            </w:pPr>
          </w:p>
          <w:p w14:paraId="7072B3E1" w14:textId="77777777" w:rsidR="003A41BE" w:rsidRDefault="003A41BE" w:rsidP="00FD44CE">
            <w:pPr>
              <w:rPr>
                <w:rFonts w:cstheme="minorHAnsi"/>
                <w:sz w:val="22"/>
                <w:szCs w:val="22"/>
                <w:lang w:val="en-US"/>
              </w:rPr>
            </w:pPr>
            <w:r w:rsidRPr="00841766">
              <w:rPr>
                <w:rFonts w:cstheme="minorHAnsi"/>
                <w:sz w:val="22"/>
                <w:szCs w:val="22"/>
                <w:lang w:val="en-US"/>
              </w:rPr>
              <w:t>World Bank, Bilateral partners (NFAT</w:t>
            </w:r>
            <w:r>
              <w:rPr>
                <w:rFonts w:cstheme="minorHAnsi"/>
                <w:sz w:val="22"/>
                <w:szCs w:val="22"/>
                <w:lang w:val="en-US"/>
              </w:rPr>
              <w:t>)</w:t>
            </w:r>
          </w:p>
          <w:p w14:paraId="7B6BC229" w14:textId="77777777" w:rsidR="003A41BE" w:rsidRPr="00841766" w:rsidRDefault="003A41BE" w:rsidP="00FD44CE">
            <w:pPr>
              <w:rPr>
                <w:rFonts w:ascii="Times New Roman" w:eastAsia="Times New Roman" w:hAnsi="Times New Roman" w:cs="Times New Roman"/>
                <w:sz w:val="22"/>
                <w:szCs w:val="22"/>
                <w:lang w:val="en-US"/>
              </w:rPr>
            </w:pPr>
          </w:p>
          <w:p w14:paraId="70048FCF" w14:textId="77777777" w:rsidR="003A41BE" w:rsidRPr="00841766" w:rsidRDefault="003A41BE" w:rsidP="00FD44CE">
            <w:pPr>
              <w:contextualSpacing/>
              <w:rPr>
                <w:rFonts w:eastAsiaTheme="minorEastAsia" w:hAnsi="Calibri"/>
                <w:color w:val="000000" w:themeColor="text1"/>
                <w:kern w:val="24"/>
                <w:sz w:val="22"/>
                <w:szCs w:val="22"/>
                <w:lang w:val="en-US"/>
              </w:rPr>
            </w:pPr>
            <w:r w:rsidRPr="00A2201E">
              <w:rPr>
                <w:rFonts w:eastAsiaTheme="minorEastAsia" w:hAnsi="Calibri"/>
                <w:color w:val="000000" w:themeColor="text1"/>
                <w:kern w:val="24"/>
                <w:sz w:val="22"/>
                <w:szCs w:val="22"/>
                <w:lang w:val="en-US"/>
              </w:rPr>
              <w:t xml:space="preserve">Local authorities/Municipalities </w:t>
            </w:r>
          </w:p>
          <w:p w14:paraId="7A0DEE35" w14:textId="77777777" w:rsidR="003A41BE" w:rsidRDefault="003A41BE" w:rsidP="00FD44CE">
            <w:pPr>
              <w:contextualSpacing/>
              <w:rPr>
                <w:rFonts w:ascii="Times New Roman" w:eastAsia="Times New Roman" w:hAnsi="Times New Roman" w:cs="Times New Roman"/>
                <w:sz w:val="22"/>
                <w:szCs w:val="22"/>
                <w:lang w:val="en-US"/>
              </w:rPr>
            </w:pPr>
          </w:p>
          <w:p w14:paraId="03786AC2" w14:textId="77777777" w:rsidR="003A41BE" w:rsidRDefault="003A41BE" w:rsidP="00FD44CE">
            <w:pPr>
              <w:contextualSpacing/>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Development partners including Civil society</w:t>
            </w:r>
          </w:p>
          <w:p w14:paraId="3DA43F90" w14:textId="77777777" w:rsidR="003A41BE" w:rsidRPr="00841766" w:rsidRDefault="003A41BE" w:rsidP="00FD44CE">
            <w:pPr>
              <w:contextualSpacing/>
              <w:rPr>
                <w:rFonts w:ascii="Times New Roman" w:eastAsia="Times New Roman" w:hAnsi="Times New Roman" w:cs="Times New Roman"/>
                <w:sz w:val="22"/>
                <w:szCs w:val="22"/>
                <w:lang w:val="en-US"/>
              </w:rPr>
            </w:pPr>
          </w:p>
          <w:p w14:paraId="61273BCC" w14:textId="77777777" w:rsidR="003A41BE" w:rsidRPr="00841766" w:rsidRDefault="003A41BE" w:rsidP="00FD44CE">
            <w:pPr>
              <w:contextualSpacing/>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Private sector including private schools; Universities, schools;</w:t>
            </w:r>
            <w:r w:rsidRPr="00841766">
              <w:rPr>
                <w:rFonts w:ascii="Times New Roman" w:eastAsia="Times New Roman" w:hAnsi="Times New Roman" w:cs="Times New Roman"/>
                <w:sz w:val="22"/>
                <w:szCs w:val="22"/>
                <w:lang w:val="en-US"/>
              </w:rPr>
              <w:t xml:space="preserve"> </w:t>
            </w:r>
            <w:r w:rsidRPr="00841766">
              <w:rPr>
                <w:rFonts w:eastAsiaTheme="minorEastAsia" w:hAnsi="Calibri"/>
                <w:color w:val="000000" w:themeColor="text1"/>
                <w:kern w:val="24"/>
                <w:sz w:val="22"/>
                <w:szCs w:val="22"/>
                <w:lang w:val="en-US"/>
              </w:rPr>
              <w:t>Parent associations;</w:t>
            </w:r>
            <w:r w:rsidRPr="00841766">
              <w:rPr>
                <w:rFonts w:ascii="Times New Roman" w:eastAsia="Times New Roman" w:hAnsi="Times New Roman" w:cs="Times New Roman"/>
                <w:sz w:val="22"/>
                <w:szCs w:val="22"/>
                <w:lang w:val="en-US"/>
              </w:rPr>
              <w:t xml:space="preserve"> </w:t>
            </w:r>
            <w:r w:rsidRPr="00841766">
              <w:rPr>
                <w:rFonts w:eastAsiaTheme="minorEastAsia" w:hAnsi="Calibri"/>
                <w:color w:val="000000" w:themeColor="text1"/>
                <w:kern w:val="24"/>
                <w:sz w:val="22"/>
                <w:szCs w:val="22"/>
                <w:lang w:val="en-US"/>
              </w:rPr>
              <w:t>Students councils.</w:t>
            </w:r>
          </w:p>
          <w:p w14:paraId="392DDBB3" w14:textId="77777777" w:rsidR="003A41BE" w:rsidRPr="00841766" w:rsidRDefault="003A41BE" w:rsidP="00FD44CE">
            <w:pPr>
              <w:contextualSpacing/>
              <w:rPr>
                <w:rFonts w:ascii="Times New Roman" w:eastAsia="Times New Roman" w:hAnsi="Times New Roman" w:cs="Times New Roman"/>
                <w:sz w:val="22"/>
                <w:szCs w:val="22"/>
                <w:lang w:val="en-US"/>
              </w:rPr>
            </w:pPr>
          </w:p>
          <w:p w14:paraId="2F522CA8" w14:textId="77777777" w:rsidR="003A41BE" w:rsidRPr="00841766" w:rsidRDefault="003A41BE" w:rsidP="00FD44CE">
            <w:pPr>
              <w:contextualSpacing/>
              <w:rPr>
                <w:rFonts w:eastAsia="Times New Roman" w:cstheme="minorHAnsi"/>
                <w:sz w:val="22"/>
                <w:szCs w:val="22"/>
                <w:lang w:val="en-US"/>
              </w:rPr>
            </w:pPr>
            <w:proofErr w:type="spellStart"/>
            <w:r w:rsidRPr="00841766">
              <w:rPr>
                <w:rFonts w:eastAsia="Times New Roman" w:cstheme="minorHAnsi"/>
                <w:sz w:val="22"/>
                <w:szCs w:val="22"/>
                <w:lang w:val="en-US"/>
              </w:rPr>
              <w:t>Alola</w:t>
            </w:r>
            <w:proofErr w:type="spellEnd"/>
            <w:r w:rsidRPr="00841766">
              <w:rPr>
                <w:rFonts w:eastAsia="Times New Roman" w:cstheme="minorHAnsi"/>
                <w:sz w:val="22"/>
                <w:szCs w:val="22"/>
                <w:lang w:val="en-US"/>
              </w:rPr>
              <w:t xml:space="preserve"> Foundation </w:t>
            </w:r>
          </w:p>
          <w:p w14:paraId="7E87FF92" w14:textId="77777777" w:rsidR="003A41BE" w:rsidRPr="00841766" w:rsidRDefault="003A41BE" w:rsidP="00FD44CE">
            <w:pPr>
              <w:contextualSpacing/>
              <w:rPr>
                <w:rFonts w:ascii="Times New Roman" w:eastAsia="Times New Roman" w:hAnsi="Times New Roman" w:cs="Times New Roman"/>
                <w:sz w:val="22"/>
                <w:szCs w:val="22"/>
                <w:lang w:val="en-US"/>
              </w:rPr>
            </w:pPr>
          </w:p>
          <w:p w14:paraId="42647C60" w14:textId="77777777" w:rsidR="003A41BE" w:rsidRPr="00841766" w:rsidRDefault="003A41BE" w:rsidP="00FD44CE">
            <w:pPr>
              <w:rPr>
                <w:rFonts w:eastAsiaTheme="minorEastAsia" w:hAnsi="Calibri"/>
                <w:color w:val="000000" w:themeColor="text1"/>
                <w:kern w:val="24"/>
                <w:sz w:val="22"/>
                <w:szCs w:val="22"/>
                <w:lang w:val="en-US"/>
              </w:rPr>
            </w:pPr>
          </w:p>
          <w:p w14:paraId="24043DED" w14:textId="77777777" w:rsidR="003A41BE" w:rsidRPr="00841766" w:rsidRDefault="003A41BE" w:rsidP="00FD44CE">
            <w:pPr>
              <w:rPr>
                <w:rFonts w:eastAsiaTheme="minorEastAsia" w:hAnsi="Calibri"/>
                <w:color w:val="000000" w:themeColor="text1"/>
                <w:kern w:val="24"/>
                <w:sz w:val="22"/>
                <w:szCs w:val="22"/>
                <w:lang w:val="en-US"/>
              </w:rPr>
            </w:pPr>
          </w:p>
          <w:p w14:paraId="51C878C6" w14:textId="77777777" w:rsidR="003A41BE" w:rsidRPr="00841766" w:rsidRDefault="003A41BE" w:rsidP="00FD44CE">
            <w:pPr>
              <w:autoSpaceDE w:val="0"/>
              <w:autoSpaceDN w:val="0"/>
              <w:adjustRightInd w:val="0"/>
              <w:rPr>
                <w:rFonts w:cstheme="minorHAnsi"/>
                <w:b/>
                <w:sz w:val="22"/>
                <w:szCs w:val="22"/>
                <w:highlight w:val="yellow"/>
                <w:lang w:val="en-US"/>
              </w:rPr>
            </w:pPr>
          </w:p>
        </w:tc>
      </w:tr>
      <w:tr w:rsidR="003A41BE" w:rsidRPr="006444BA" w14:paraId="30DA59E0" w14:textId="77777777" w:rsidTr="53E3C463">
        <w:trPr>
          <w:trHeight w:val="256"/>
        </w:trPr>
        <w:tc>
          <w:tcPr>
            <w:tcW w:w="4529" w:type="dxa"/>
            <w:vMerge/>
          </w:tcPr>
          <w:p w14:paraId="0AF981FB"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C27F8" w14:textId="77777777" w:rsidR="003A41BE" w:rsidRDefault="003A41BE" w:rsidP="00FD44CE">
            <w:pPr>
              <w:autoSpaceDE w:val="0"/>
              <w:autoSpaceDN w:val="0"/>
              <w:adjustRightInd w:val="0"/>
              <w:rPr>
                <w:rFonts w:cstheme="minorHAnsi"/>
                <w:sz w:val="22"/>
                <w:szCs w:val="22"/>
                <w:lang w:val="en-US"/>
              </w:rPr>
            </w:pPr>
            <w:r w:rsidRPr="00841766">
              <w:rPr>
                <w:rFonts w:cstheme="minorHAnsi"/>
                <w:b/>
                <w:sz w:val="22"/>
                <w:szCs w:val="22"/>
                <w:lang w:val="en-US"/>
              </w:rPr>
              <w:t xml:space="preserve">Indicator 3.1.2: </w:t>
            </w:r>
            <w:r w:rsidRPr="00841766">
              <w:rPr>
                <w:rFonts w:cstheme="minorHAnsi"/>
                <w:sz w:val="22"/>
                <w:szCs w:val="22"/>
                <w:lang w:val="en-US"/>
              </w:rPr>
              <w:t>Proportion of children under 5 years of age who are developmentally on track in health, learning and psychosocial well-being, by sex. (</w:t>
            </w:r>
            <w:r>
              <w:rPr>
                <w:rFonts w:cstheme="minorHAnsi"/>
                <w:sz w:val="22"/>
                <w:szCs w:val="22"/>
                <w:lang w:val="en-US"/>
              </w:rPr>
              <w:t xml:space="preserve">SDG Indicator </w:t>
            </w:r>
            <w:r w:rsidRPr="00841766">
              <w:rPr>
                <w:rFonts w:cstheme="minorHAnsi"/>
                <w:sz w:val="22"/>
                <w:szCs w:val="22"/>
                <w:lang w:val="en-US"/>
              </w:rPr>
              <w:t>4.2.1)</w:t>
            </w:r>
          </w:p>
          <w:p w14:paraId="049607E6" w14:textId="77777777" w:rsidR="003A41BE" w:rsidRDefault="003A41BE" w:rsidP="00FD44CE">
            <w:pPr>
              <w:autoSpaceDE w:val="0"/>
              <w:autoSpaceDN w:val="0"/>
              <w:adjustRightInd w:val="0"/>
              <w:rPr>
                <w:rFonts w:cstheme="minorHAnsi"/>
                <w:sz w:val="22"/>
                <w:szCs w:val="22"/>
                <w:lang w:val="en-US"/>
              </w:rPr>
            </w:pPr>
            <w:r w:rsidRPr="002A7985">
              <w:rPr>
                <w:rFonts w:cstheme="minorHAnsi"/>
                <w:bCs/>
                <w:sz w:val="22"/>
                <w:szCs w:val="22"/>
                <w:u w:val="single"/>
                <w:lang w:val="en-GB"/>
              </w:rPr>
              <w:t>Proxy indicator:</w:t>
            </w:r>
            <w:r>
              <w:rPr>
                <w:rFonts w:cstheme="minorHAnsi"/>
                <w:b/>
                <w:sz w:val="22"/>
                <w:szCs w:val="22"/>
                <w:lang w:val="en-GB"/>
              </w:rPr>
              <w:t xml:space="preserve"> </w:t>
            </w:r>
            <w:r>
              <w:rPr>
                <w:rFonts w:cstheme="minorHAnsi"/>
                <w:sz w:val="22"/>
                <w:szCs w:val="22"/>
                <w:lang w:val="en-US"/>
              </w:rPr>
              <w:t>Percentage of children age 36-47 months who are developmentally on track on the early child development index score.</w:t>
            </w:r>
          </w:p>
          <w:tbl>
            <w:tblPr>
              <w:tblStyle w:val="TableGrid"/>
              <w:tblW w:w="0" w:type="auto"/>
              <w:tblLayout w:type="fixed"/>
              <w:tblLook w:val="04A0" w:firstRow="1" w:lastRow="0" w:firstColumn="1" w:lastColumn="0" w:noHBand="0" w:noVBand="1"/>
            </w:tblPr>
            <w:tblGrid>
              <w:gridCol w:w="1510"/>
              <w:gridCol w:w="1510"/>
              <w:gridCol w:w="2413"/>
            </w:tblGrid>
            <w:tr w:rsidR="003A41BE" w14:paraId="0BDC7993" w14:textId="77777777" w:rsidTr="00FD44CE">
              <w:tc>
                <w:tcPr>
                  <w:tcW w:w="1510" w:type="dxa"/>
                </w:tcPr>
                <w:p w14:paraId="0AB9BBE1" w14:textId="77777777" w:rsidR="003A41BE" w:rsidRDefault="003A41BE" w:rsidP="002A37E3">
                  <w:pPr>
                    <w:framePr w:hSpace="141" w:wrap="around" w:vAnchor="text" w:hAnchor="text" w:x="421" w:y="1"/>
                    <w:suppressOverlap/>
                    <w:rPr>
                      <w:sz w:val="22"/>
                      <w:szCs w:val="22"/>
                      <w:lang w:val="en-US"/>
                    </w:rPr>
                  </w:pPr>
                </w:p>
              </w:tc>
              <w:tc>
                <w:tcPr>
                  <w:tcW w:w="1510" w:type="dxa"/>
                </w:tcPr>
                <w:p w14:paraId="1269587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2413" w:type="dxa"/>
                </w:tcPr>
                <w:p w14:paraId="6E74A4A0"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3BB7E48C" w14:textId="77777777" w:rsidTr="00FD44CE">
              <w:tc>
                <w:tcPr>
                  <w:tcW w:w="1510" w:type="dxa"/>
                </w:tcPr>
                <w:p w14:paraId="2430C22A"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Total</w:t>
                  </w:r>
                </w:p>
              </w:tc>
              <w:tc>
                <w:tcPr>
                  <w:tcW w:w="1510" w:type="dxa"/>
                </w:tcPr>
                <w:p w14:paraId="7D957CDA"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43.9%</w:t>
                  </w:r>
                </w:p>
              </w:tc>
              <w:tc>
                <w:tcPr>
                  <w:tcW w:w="2413" w:type="dxa"/>
                </w:tcPr>
                <w:p w14:paraId="6AE3AEDA"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Under discussion with relevant partners</w:t>
                  </w:r>
                </w:p>
              </w:tc>
            </w:tr>
          </w:tbl>
          <w:p w14:paraId="18C7925F" w14:textId="77777777" w:rsidR="003A41BE" w:rsidRDefault="003A41BE" w:rsidP="00FD44CE">
            <w:pPr>
              <w:autoSpaceDE w:val="0"/>
              <w:autoSpaceDN w:val="0"/>
              <w:adjustRightInd w:val="0"/>
              <w:rPr>
                <w:rFonts w:cstheme="minorHAnsi"/>
                <w:sz w:val="22"/>
                <w:szCs w:val="22"/>
                <w:lang w:val="en-US"/>
              </w:rPr>
            </w:pPr>
            <w:r w:rsidRPr="003F4BC2">
              <w:rPr>
                <w:rFonts w:cstheme="minorHAnsi"/>
                <w:bCs/>
                <w:sz w:val="22"/>
                <w:szCs w:val="22"/>
                <w:lang w:val="en-US"/>
              </w:rPr>
              <w:t xml:space="preserve">Note: Female 45.2 %, Male 42.7 %, Urban 51.1%, Rural 41% </w:t>
            </w:r>
            <w:r>
              <w:rPr>
                <w:rFonts w:cstheme="minorHAnsi"/>
                <w:sz w:val="22"/>
                <w:szCs w:val="22"/>
                <w:lang w:val="en-US"/>
              </w:rPr>
              <w:t>Age range will change to 36-59 months in next DHS.</w:t>
            </w:r>
          </w:p>
          <w:p w14:paraId="3B47133D" w14:textId="77777777" w:rsidR="003A41BE"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Data Source:</w:t>
            </w:r>
            <w:r w:rsidRPr="00841766">
              <w:rPr>
                <w:rFonts w:cstheme="minorHAnsi"/>
                <w:b/>
                <w:sz w:val="22"/>
                <w:szCs w:val="22"/>
                <w:lang w:val="en-US"/>
              </w:rPr>
              <w:t xml:space="preserve"> </w:t>
            </w:r>
            <w:r w:rsidRPr="00841766">
              <w:rPr>
                <w:rFonts w:cstheme="minorHAnsi"/>
                <w:sz w:val="22"/>
                <w:szCs w:val="22"/>
                <w:lang w:val="en-US"/>
              </w:rPr>
              <w:t>ECD module in DHS</w:t>
            </w:r>
            <w:r>
              <w:rPr>
                <w:rFonts w:cstheme="minorHAnsi"/>
                <w:sz w:val="22"/>
                <w:szCs w:val="22"/>
                <w:lang w:val="en-US"/>
              </w:rPr>
              <w:t xml:space="preserve"> </w:t>
            </w:r>
            <w:r w:rsidRPr="007E775B">
              <w:rPr>
                <w:rFonts w:cstheme="minorHAnsi"/>
                <w:sz w:val="22"/>
                <w:szCs w:val="22"/>
                <w:lang w:val="en-US"/>
              </w:rPr>
              <w:t>2016</w:t>
            </w:r>
          </w:p>
          <w:p w14:paraId="30B9E500" w14:textId="77777777" w:rsidR="003A41BE" w:rsidRPr="00841766" w:rsidRDefault="003A41BE" w:rsidP="00FD44CE">
            <w:pPr>
              <w:autoSpaceDE w:val="0"/>
              <w:autoSpaceDN w:val="0"/>
              <w:adjustRightInd w:val="0"/>
              <w:rPr>
                <w:rFonts w:cstheme="minorHAnsi"/>
                <w:b/>
                <w:sz w:val="22"/>
                <w:szCs w:val="22"/>
                <w:lang w:val="en-US"/>
              </w:rPr>
            </w:pPr>
          </w:p>
        </w:tc>
        <w:tc>
          <w:tcPr>
            <w:tcW w:w="4116" w:type="dxa"/>
            <w:vMerge/>
          </w:tcPr>
          <w:p w14:paraId="669302AB"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59703BA6" w14:textId="77777777" w:rsidTr="53E3C463">
        <w:trPr>
          <w:trHeight w:val="256"/>
        </w:trPr>
        <w:tc>
          <w:tcPr>
            <w:tcW w:w="4529" w:type="dxa"/>
            <w:vMerge/>
          </w:tcPr>
          <w:p w14:paraId="43B6B49A"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B43B2" w14:textId="77777777" w:rsidR="003A41BE" w:rsidRPr="00841766"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b/>
                <w:sz w:val="22"/>
                <w:szCs w:val="22"/>
                <w:lang w:val="en-US"/>
              </w:rPr>
              <w:t xml:space="preserve">Indicator 3.1.3: </w:t>
            </w:r>
            <w:r w:rsidRPr="00841766">
              <w:rPr>
                <w:rFonts w:asciiTheme="minorHAnsi" w:hAnsiTheme="minorHAnsi" w:cstheme="minorHAnsi"/>
                <w:sz w:val="22"/>
                <w:szCs w:val="22"/>
                <w:lang w:val="en-US"/>
              </w:rPr>
              <w:t>Participation rate in organized learning (one year before the official primary entry age), by sex, municipality (access) (</w:t>
            </w:r>
            <w:r>
              <w:rPr>
                <w:rFonts w:asciiTheme="minorHAnsi" w:hAnsiTheme="minorHAnsi" w:cstheme="minorHAnsi"/>
                <w:sz w:val="22"/>
                <w:szCs w:val="22"/>
                <w:lang w:val="en-US"/>
              </w:rPr>
              <w:t xml:space="preserve">SDG Indicator </w:t>
            </w:r>
            <w:r w:rsidRPr="00841766">
              <w:rPr>
                <w:rFonts w:asciiTheme="minorHAnsi" w:hAnsiTheme="minorHAnsi" w:cstheme="minorHAnsi"/>
                <w:sz w:val="22"/>
                <w:szCs w:val="22"/>
                <w:lang w:val="en-US"/>
              </w:rPr>
              <w:t xml:space="preserve">4.2.2) </w:t>
            </w:r>
          </w:p>
          <w:tbl>
            <w:tblPr>
              <w:tblStyle w:val="TableGrid"/>
              <w:tblW w:w="0" w:type="auto"/>
              <w:tblLayout w:type="fixed"/>
              <w:tblLook w:val="04A0" w:firstRow="1" w:lastRow="0" w:firstColumn="1" w:lastColumn="0" w:noHBand="0" w:noVBand="1"/>
            </w:tblPr>
            <w:tblGrid>
              <w:gridCol w:w="1510"/>
              <w:gridCol w:w="1510"/>
              <w:gridCol w:w="2420"/>
            </w:tblGrid>
            <w:tr w:rsidR="003A41BE" w14:paraId="092BC96E" w14:textId="77777777" w:rsidTr="00FD44CE">
              <w:tc>
                <w:tcPr>
                  <w:tcW w:w="1510" w:type="dxa"/>
                </w:tcPr>
                <w:p w14:paraId="23A0F602" w14:textId="77777777" w:rsidR="003A41BE" w:rsidRDefault="003A41BE" w:rsidP="002A37E3">
                  <w:pPr>
                    <w:framePr w:hSpace="141" w:wrap="around" w:vAnchor="text" w:hAnchor="text" w:x="421" w:y="1"/>
                    <w:suppressOverlap/>
                    <w:rPr>
                      <w:sz w:val="22"/>
                      <w:szCs w:val="22"/>
                      <w:lang w:val="en-US"/>
                    </w:rPr>
                  </w:pPr>
                </w:p>
              </w:tc>
              <w:tc>
                <w:tcPr>
                  <w:tcW w:w="1510" w:type="dxa"/>
                </w:tcPr>
                <w:p w14:paraId="710A653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2420" w:type="dxa"/>
                </w:tcPr>
                <w:p w14:paraId="36DAF668"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3505E9B7" w14:textId="77777777" w:rsidTr="00FD44CE">
              <w:tc>
                <w:tcPr>
                  <w:tcW w:w="1510" w:type="dxa"/>
                </w:tcPr>
                <w:p w14:paraId="6FDB25AC"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Total</w:t>
                  </w:r>
                </w:p>
              </w:tc>
              <w:tc>
                <w:tcPr>
                  <w:tcW w:w="1510" w:type="dxa"/>
                </w:tcPr>
                <w:p w14:paraId="454137D6"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45.9%</w:t>
                  </w:r>
                </w:p>
              </w:tc>
              <w:tc>
                <w:tcPr>
                  <w:tcW w:w="2420" w:type="dxa"/>
                </w:tcPr>
                <w:p w14:paraId="7207EC6C" w14:textId="77777777" w:rsidR="003A41BE" w:rsidRPr="002A7985" w:rsidRDefault="003A41BE" w:rsidP="002A37E3">
                  <w:pPr>
                    <w:framePr w:hSpace="141" w:wrap="around" w:vAnchor="text" w:hAnchor="text" w:x="421" w:y="1"/>
                    <w:suppressOverlap/>
                    <w:rPr>
                      <w:sz w:val="22"/>
                      <w:szCs w:val="22"/>
                      <w:highlight w:val="yellow"/>
                      <w:lang w:val="en-US"/>
                    </w:rPr>
                  </w:pPr>
                  <w:r w:rsidRPr="007E58D6">
                    <w:rPr>
                      <w:sz w:val="22"/>
                      <w:szCs w:val="22"/>
                      <w:lang w:val="en-US"/>
                    </w:rPr>
                    <w:t>Under discussion with relevant partners</w:t>
                  </w:r>
                </w:p>
              </w:tc>
            </w:tr>
          </w:tbl>
          <w:p w14:paraId="3EE3DC56" w14:textId="77777777" w:rsidR="003A41BE" w:rsidRDefault="003A41BE" w:rsidP="00FD44CE">
            <w:pPr>
              <w:autoSpaceDE w:val="0"/>
              <w:autoSpaceDN w:val="0"/>
              <w:adjustRightInd w:val="0"/>
              <w:rPr>
                <w:rFonts w:cstheme="minorHAnsi"/>
                <w:sz w:val="22"/>
                <w:szCs w:val="22"/>
                <w:lang w:val="en-US"/>
              </w:rPr>
            </w:pPr>
            <w:r w:rsidRPr="00715FF4">
              <w:rPr>
                <w:rFonts w:cstheme="minorHAnsi"/>
                <w:bCs/>
                <w:sz w:val="22"/>
                <w:szCs w:val="22"/>
                <w:lang w:val="en-US"/>
              </w:rPr>
              <w:t>Note:</w:t>
            </w:r>
            <w:r w:rsidRPr="00715FF4" w:rsidDel="005F2619">
              <w:rPr>
                <w:rFonts w:cstheme="minorHAnsi"/>
                <w:bCs/>
                <w:sz w:val="22"/>
                <w:szCs w:val="22"/>
                <w:lang w:val="en-US"/>
              </w:rPr>
              <w:t xml:space="preserve"> </w:t>
            </w:r>
            <w:r w:rsidRPr="003F4BC2">
              <w:rPr>
                <w:rFonts w:cstheme="minorHAnsi"/>
                <w:bCs/>
                <w:sz w:val="22"/>
                <w:szCs w:val="22"/>
                <w:lang w:val="en-US"/>
              </w:rPr>
              <w:t>Female 47.1 %, Male 44.7 %</w:t>
            </w:r>
            <w:r>
              <w:rPr>
                <w:rFonts w:cstheme="minorHAnsi"/>
                <w:sz w:val="22"/>
                <w:szCs w:val="22"/>
                <w:lang w:val="en-US"/>
              </w:rPr>
              <w:t xml:space="preserve"> </w:t>
            </w:r>
          </w:p>
          <w:p w14:paraId="46889453" w14:textId="77777777" w:rsidR="003A41BE" w:rsidRPr="00841766" w:rsidRDefault="003A41BE" w:rsidP="00FD44CE">
            <w:pPr>
              <w:autoSpaceDE w:val="0"/>
              <w:autoSpaceDN w:val="0"/>
              <w:adjustRightInd w:val="0"/>
              <w:rPr>
                <w:rFonts w:cstheme="minorHAnsi"/>
                <w:b/>
                <w:sz w:val="22"/>
                <w:szCs w:val="22"/>
                <w:lang w:val="en-US"/>
              </w:rPr>
            </w:pPr>
            <w:r w:rsidRPr="003F4BC2">
              <w:rPr>
                <w:rFonts w:cstheme="minorHAnsi"/>
                <w:sz w:val="22"/>
                <w:szCs w:val="22"/>
                <w:lang w:val="en-US"/>
              </w:rPr>
              <w:t xml:space="preserve">Data Source: </w:t>
            </w:r>
            <w:r>
              <w:rPr>
                <w:rFonts w:cstheme="minorHAnsi"/>
                <w:sz w:val="22"/>
                <w:szCs w:val="22"/>
                <w:lang w:val="en-US"/>
              </w:rPr>
              <w:t>Timor-Leste Population and Housing Census 2015</w:t>
            </w:r>
          </w:p>
        </w:tc>
        <w:tc>
          <w:tcPr>
            <w:tcW w:w="4116" w:type="dxa"/>
            <w:vMerge/>
          </w:tcPr>
          <w:p w14:paraId="00AF2021"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1869E7E7" w14:textId="77777777" w:rsidTr="53E3C463">
        <w:trPr>
          <w:trHeight w:val="256"/>
        </w:trPr>
        <w:tc>
          <w:tcPr>
            <w:tcW w:w="4529" w:type="dxa"/>
            <w:vMerge w:val="restart"/>
            <w:tcBorders>
              <w:top w:val="single" w:sz="4" w:space="0" w:color="auto"/>
              <w:left w:val="single" w:sz="4" w:space="0" w:color="auto"/>
              <w:right w:val="single" w:sz="4" w:space="0" w:color="auto"/>
            </w:tcBorders>
            <w:shd w:val="clear" w:color="auto" w:fill="8EAADB" w:themeFill="accent1" w:themeFillTint="99"/>
          </w:tcPr>
          <w:p w14:paraId="41AD28D8" w14:textId="77777777" w:rsidR="003A41BE" w:rsidRPr="00841766" w:rsidRDefault="003A41BE" w:rsidP="00FD44CE">
            <w:pPr>
              <w:jc w:val="both"/>
              <w:rPr>
                <w:rFonts w:cstheme="minorHAnsi"/>
                <w:b/>
                <w:color w:val="000000" w:themeColor="text1"/>
                <w:sz w:val="22"/>
                <w:szCs w:val="22"/>
                <w:lang w:val="en-US"/>
              </w:rPr>
            </w:pPr>
            <w:bookmarkStart w:id="160" w:name="_Hlk33000546"/>
            <w:r>
              <w:rPr>
                <w:rFonts w:cstheme="minorHAnsi"/>
                <w:b/>
                <w:color w:val="000000" w:themeColor="text1"/>
                <w:sz w:val="22"/>
                <w:szCs w:val="22"/>
                <w:lang w:val="en-US"/>
              </w:rPr>
              <w:t>Sub-o</w:t>
            </w:r>
            <w:r w:rsidRPr="00841766">
              <w:rPr>
                <w:rFonts w:cstheme="minorHAnsi"/>
                <w:b/>
                <w:color w:val="000000" w:themeColor="text1"/>
                <w:sz w:val="22"/>
                <w:szCs w:val="22"/>
                <w:lang w:val="en-US"/>
              </w:rPr>
              <w:t>utcome 3.2:</w:t>
            </w:r>
          </w:p>
          <w:p w14:paraId="2B04CE19" w14:textId="77777777" w:rsidR="003A41BE" w:rsidRPr="00841766" w:rsidRDefault="003A41BE" w:rsidP="00FD44CE">
            <w:pPr>
              <w:jc w:val="both"/>
              <w:rPr>
                <w:rFonts w:cstheme="minorHAnsi"/>
                <w:b/>
                <w:color w:val="000000" w:themeColor="text1"/>
                <w:sz w:val="22"/>
                <w:szCs w:val="22"/>
                <w:lang w:val="en-US"/>
              </w:rPr>
            </w:pPr>
          </w:p>
          <w:p w14:paraId="72635093" w14:textId="77777777" w:rsidR="003A41BE" w:rsidRPr="00841766" w:rsidRDefault="003A41BE" w:rsidP="00FD44CE">
            <w:pPr>
              <w:jc w:val="both"/>
              <w:rPr>
                <w:rFonts w:cstheme="minorHAnsi"/>
                <w:b/>
                <w:sz w:val="22"/>
                <w:szCs w:val="22"/>
                <w:lang w:val="en-US"/>
              </w:rPr>
            </w:pPr>
            <w:r w:rsidRPr="00841766">
              <w:rPr>
                <w:rFonts w:cstheme="minorHAnsi"/>
                <w:b/>
                <w:color w:val="000000" w:themeColor="text1"/>
                <w:sz w:val="22"/>
                <w:szCs w:val="22"/>
                <w:lang w:val="en-US"/>
              </w:rPr>
              <w:t>Access to</w:t>
            </w:r>
            <w:r w:rsidRPr="00841766">
              <w:rPr>
                <w:rFonts w:cstheme="minorHAnsi"/>
                <w:b/>
                <w:sz w:val="22"/>
                <w:szCs w:val="22"/>
                <w:lang w:val="en-US"/>
              </w:rPr>
              <w:t xml:space="preserve"> and completion of quality basic and secondary education </w:t>
            </w:r>
          </w:p>
          <w:p w14:paraId="6716F9C8" w14:textId="77777777" w:rsidR="003A41BE" w:rsidRPr="00841766" w:rsidRDefault="003A41BE" w:rsidP="00FD44CE">
            <w:pPr>
              <w:jc w:val="both"/>
              <w:rPr>
                <w:rFonts w:cstheme="minorHAnsi"/>
                <w:b/>
                <w:color w:val="000000" w:themeColor="text1"/>
                <w:sz w:val="22"/>
                <w:szCs w:val="22"/>
                <w:lang w:val="en-US"/>
              </w:rPr>
            </w:pPr>
            <w:r w:rsidRPr="00841766">
              <w:rPr>
                <w:rFonts w:cstheme="minorHAnsi"/>
                <w:sz w:val="22"/>
                <w:szCs w:val="22"/>
                <w:lang w:val="en-US"/>
              </w:rPr>
              <w:t>By 2025, children (girls and boys), particularly in rural areas, are supported through social protection and other means have increased access to and completion of inclusive, equitable, relevant quality basic education and secondary in safe learning environment that promotes healthy gender norms and relationships.</w:t>
            </w:r>
            <w:bookmarkEnd w:id="160"/>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795A86" w14:textId="77777777" w:rsidR="003A41BE" w:rsidRDefault="003A41BE" w:rsidP="00FD44CE">
            <w:pPr>
              <w:autoSpaceDE w:val="0"/>
              <w:autoSpaceDN w:val="0"/>
              <w:adjustRightInd w:val="0"/>
              <w:rPr>
                <w:rFonts w:cstheme="minorHAnsi"/>
                <w:sz w:val="22"/>
                <w:szCs w:val="22"/>
                <w:lang w:val="en-US"/>
              </w:rPr>
            </w:pPr>
            <w:r w:rsidRPr="00841766">
              <w:rPr>
                <w:rFonts w:cstheme="minorHAnsi"/>
                <w:b/>
                <w:sz w:val="22"/>
                <w:szCs w:val="22"/>
                <w:lang w:val="en-US"/>
              </w:rPr>
              <w:t xml:space="preserve">Indicator 3.2.1: </w:t>
            </w:r>
            <w:r w:rsidRPr="00841766">
              <w:rPr>
                <w:rFonts w:cstheme="minorHAnsi"/>
                <w:sz w:val="22"/>
                <w:szCs w:val="22"/>
                <w:lang w:val="en-US"/>
              </w:rPr>
              <w:t xml:space="preserve">NER in </w:t>
            </w:r>
            <w:r>
              <w:rPr>
                <w:rFonts w:cstheme="minorHAnsi"/>
                <w:sz w:val="22"/>
                <w:szCs w:val="22"/>
                <w:lang w:val="en-US"/>
              </w:rPr>
              <w:t>primary</w:t>
            </w:r>
            <w:r w:rsidRPr="00841766">
              <w:rPr>
                <w:rFonts w:cstheme="minorHAnsi"/>
                <w:sz w:val="22"/>
                <w:szCs w:val="22"/>
                <w:lang w:val="en-US"/>
              </w:rPr>
              <w:t>, pre-secondary and secondary education disaggregated by sex</w:t>
            </w:r>
          </w:p>
          <w:tbl>
            <w:tblPr>
              <w:tblStyle w:val="TableGrid"/>
              <w:tblW w:w="5519" w:type="dxa"/>
              <w:tblLayout w:type="fixed"/>
              <w:tblLook w:val="04A0" w:firstRow="1" w:lastRow="0" w:firstColumn="1" w:lastColumn="0" w:noHBand="0" w:noVBand="1"/>
            </w:tblPr>
            <w:tblGrid>
              <w:gridCol w:w="1889"/>
              <w:gridCol w:w="1740"/>
              <w:gridCol w:w="1890"/>
            </w:tblGrid>
            <w:tr w:rsidR="003A41BE" w14:paraId="2111761C" w14:textId="77777777" w:rsidTr="00FD44CE">
              <w:trPr>
                <w:trHeight w:val="212"/>
              </w:trPr>
              <w:tc>
                <w:tcPr>
                  <w:tcW w:w="1889" w:type="dxa"/>
                </w:tcPr>
                <w:p w14:paraId="0592C3F7" w14:textId="77777777" w:rsidR="003A41BE" w:rsidRDefault="003A41BE" w:rsidP="002A37E3">
                  <w:pPr>
                    <w:framePr w:hSpace="141" w:wrap="around" w:vAnchor="text" w:hAnchor="text" w:x="421" w:y="1"/>
                    <w:autoSpaceDE w:val="0"/>
                    <w:autoSpaceDN w:val="0"/>
                    <w:adjustRightInd w:val="0"/>
                    <w:suppressOverlap/>
                    <w:rPr>
                      <w:rFonts w:cstheme="minorHAnsi"/>
                      <w:sz w:val="22"/>
                      <w:szCs w:val="22"/>
                      <w:lang w:val="en-US"/>
                    </w:rPr>
                  </w:pPr>
                </w:p>
              </w:tc>
              <w:tc>
                <w:tcPr>
                  <w:tcW w:w="1740" w:type="dxa"/>
                </w:tcPr>
                <w:p w14:paraId="6A7482D1" w14:textId="77777777" w:rsidR="003A41BE" w:rsidRDefault="003A41BE" w:rsidP="002A37E3">
                  <w:pPr>
                    <w:framePr w:hSpace="141" w:wrap="around" w:vAnchor="text" w:hAnchor="text" w:x="421" w:y="1"/>
                    <w:autoSpaceDE w:val="0"/>
                    <w:autoSpaceDN w:val="0"/>
                    <w:adjustRightInd w:val="0"/>
                    <w:suppressOverlap/>
                    <w:rPr>
                      <w:rFonts w:cstheme="minorHAnsi"/>
                      <w:sz w:val="22"/>
                      <w:szCs w:val="22"/>
                      <w:lang w:val="en-US"/>
                    </w:rPr>
                  </w:pPr>
                  <w:r>
                    <w:rPr>
                      <w:rFonts w:cstheme="minorHAnsi"/>
                      <w:sz w:val="22"/>
                      <w:szCs w:val="22"/>
                      <w:lang w:val="en-US"/>
                    </w:rPr>
                    <w:t>Baseline</w:t>
                  </w:r>
                </w:p>
              </w:tc>
              <w:tc>
                <w:tcPr>
                  <w:tcW w:w="1890" w:type="dxa"/>
                </w:tcPr>
                <w:p w14:paraId="12CB6C96" w14:textId="77777777" w:rsidR="003A41BE" w:rsidRDefault="003A41BE" w:rsidP="002A37E3">
                  <w:pPr>
                    <w:framePr w:hSpace="141" w:wrap="around" w:vAnchor="text" w:hAnchor="text" w:x="421" w:y="1"/>
                    <w:autoSpaceDE w:val="0"/>
                    <w:autoSpaceDN w:val="0"/>
                    <w:adjustRightInd w:val="0"/>
                    <w:suppressOverlap/>
                    <w:rPr>
                      <w:rFonts w:cstheme="minorHAnsi"/>
                      <w:sz w:val="22"/>
                      <w:szCs w:val="22"/>
                      <w:lang w:val="en-US"/>
                    </w:rPr>
                  </w:pPr>
                  <w:r>
                    <w:rPr>
                      <w:rFonts w:cstheme="minorHAnsi"/>
                      <w:sz w:val="22"/>
                      <w:szCs w:val="22"/>
                      <w:lang w:val="en-US"/>
                    </w:rPr>
                    <w:t>Target</w:t>
                  </w:r>
                </w:p>
              </w:tc>
            </w:tr>
            <w:tr w:rsidR="003A41BE" w14:paraId="4DF6E3F1" w14:textId="77777777" w:rsidTr="00FD44CE">
              <w:trPr>
                <w:trHeight w:val="212"/>
              </w:trPr>
              <w:tc>
                <w:tcPr>
                  <w:tcW w:w="1889" w:type="dxa"/>
                </w:tcPr>
                <w:p w14:paraId="35ECCBD1" w14:textId="77777777" w:rsidR="003A41BE" w:rsidRDefault="003A41BE" w:rsidP="002A37E3">
                  <w:pPr>
                    <w:framePr w:hSpace="141" w:wrap="around" w:vAnchor="text" w:hAnchor="text" w:x="421" w:y="1"/>
                    <w:autoSpaceDE w:val="0"/>
                    <w:autoSpaceDN w:val="0"/>
                    <w:adjustRightInd w:val="0"/>
                    <w:suppressOverlap/>
                    <w:rPr>
                      <w:rFonts w:cstheme="minorHAnsi"/>
                      <w:sz w:val="22"/>
                      <w:szCs w:val="22"/>
                      <w:lang w:val="en-US"/>
                    </w:rPr>
                  </w:pPr>
                  <w:r>
                    <w:rPr>
                      <w:rFonts w:cstheme="minorHAnsi"/>
                      <w:sz w:val="22"/>
                      <w:szCs w:val="22"/>
                      <w:lang w:val="en-US"/>
                    </w:rPr>
                    <w:t>Primary</w:t>
                  </w:r>
                </w:p>
              </w:tc>
              <w:tc>
                <w:tcPr>
                  <w:tcW w:w="1740" w:type="dxa"/>
                </w:tcPr>
                <w:p w14:paraId="5853DAE1" w14:textId="77777777" w:rsidR="003A41BE" w:rsidRDefault="003A41BE" w:rsidP="002A37E3">
                  <w:pPr>
                    <w:framePr w:hSpace="141" w:wrap="around" w:vAnchor="text" w:hAnchor="text" w:x="421" w:y="1"/>
                    <w:autoSpaceDE w:val="0"/>
                    <w:autoSpaceDN w:val="0"/>
                    <w:adjustRightInd w:val="0"/>
                    <w:suppressOverlap/>
                    <w:rPr>
                      <w:rFonts w:cstheme="minorHAnsi"/>
                      <w:sz w:val="22"/>
                      <w:szCs w:val="22"/>
                      <w:lang w:val="en-US"/>
                    </w:rPr>
                  </w:pPr>
                  <w:r>
                    <w:rPr>
                      <w:rFonts w:cstheme="minorHAnsi"/>
                      <w:sz w:val="22"/>
                      <w:szCs w:val="22"/>
                      <w:lang w:val="en-US"/>
                    </w:rPr>
                    <w:t>89%</w:t>
                  </w:r>
                </w:p>
              </w:tc>
              <w:tc>
                <w:tcPr>
                  <w:tcW w:w="1890" w:type="dxa"/>
                  <w:vMerge w:val="restart"/>
                </w:tcPr>
                <w:p w14:paraId="2400CE4B" w14:textId="77777777" w:rsidR="003A41BE" w:rsidRDefault="003A41BE" w:rsidP="002A37E3">
                  <w:pPr>
                    <w:framePr w:hSpace="141" w:wrap="around" w:vAnchor="text" w:hAnchor="text" w:x="421" w:y="1"/>
                    <w:autoSpaceDE w:val="0"/>
                    <w:autoSpaceDN w:val="0"/>
                    <w:adjustRightInd w:val="0"/>
                    <w:suppressOverlap/>
                    <w:jc w:val="center"/>
                    <w:rPr>
                      <w:rFonts w:cstheme="minorHAnsi"/>
                      <w:sz w:val="22"/>
                      <w:szCs w:val="22"/>
                      <w:lang w:val="en-US"/>
                    </w:rPr>
                  </w:pPr>
                  <w:r>
                    <w:rPr>
                      <w:sz w:val="22"/>
                      <w:szCs w:val="22"/>
                      <w:lang w:val="en-US"/>
                    </w:rPr>
                    <w:t>Under discussion with relevant partners</w:t>
                  </w:r>
                </w:p>
              </w:tc>
            </w:tr>
            <w:tr w:rsidR="003A41BE" w14:paraId="356914A4" w14:textId="77777777" w:rsidTr="00FD44CE">
              <w:trPr>
                <w:trHeight w:val="424"/>
              </w:trPr>
              <w:tc>
                <w:tcPr>
                  <w:tcW w:w="1889" w:type="dxa"/>
                </w:tcPr>
                <w:p w14:paraId="13938672" w14:textId="77777777" w:rsidR="003A41BE" w:rsidRDefault="003A41BE" w:rsidP="002A37E3">
                  <w:pPr>
                    <w:framePr w:hSpace="141" w:wrap="around" w:vAnchor="text" w:hAnchor="text" w:x="421" w:y="1"/>
                    <w:autoSpaceDE w:val="0"/>
                    <w:autoSpaceDN w:val="0"/>
                    <w:adjustRightInd w:val="0"/>
                    <w:suppressOverlap/>
                    <w:rPr>
                      <w:rFonts w:cstheme="minorHAnsi"/>
                      <w:sz w:val="22"/>
                      <w:szCs w:val="22"/>
                      <w:lang w:val="en-US"/>
                    </w:rPr>
                  </w:pPr>
                  <w:r>
                    <w:rPr>
                      <w:rFonts w:cstheme="minorHAnsi"/>
                      <w:sz w:val="22"/>
                      <w:szCs w:val="22"/>
                      <w:lang w:val="en-US"/>
                    </w:rPr>
                    <w:t>Pre-secondary</w:t>
                  </w:r>
                </w:p>
              </w:tc>
              <w:tc>
                <w:tcPr>
                  <w:tcW w:w="1740" w:type="dxa"/>
                </w:tcPr>
                <w:p w14:paraId="1D997A7D" w14:textId="77777777" w:rsidR="003A41BE" w:rsidRDefault="003A41BE" w:rsidP="002A37E3">
                  <w:pPr>
                    <w:framePr w:hSpace="141" w:wrap="around" w:vAnchor="text" w:hAnchor="text" w:x="421" w:y="1"/>
                    <w:autoSpaceDE w:val="0"/>
                    <w:autoSpaceDN w:val="0"/>
                    <w:adjustRightInd w:val="0"/>
                    <w:suppressOverlap/>
                    <w:rPr>
                      <w:rFonts w:cstheme="minorHAnsi"/>
                      <w:sz w:val="22"/>
                      <w:szCs w:val="22"/>
                      <w:lang w:val="en-US"/>
                    </w:rPr>
                  </w:pPr>
                  <w:r>
                    <w:rPr>
                      <w:rFonts w:cstheme="minorHAnsi"/>
                      <w:sz w:val="22"/>
                      <w:szCs w:val="22"/>
                      <w:lang w:val="en-US"/>
                    </w:rPr>
                    <w:t>55.13%</w:t>
                  </w:r>
                </w:p>
              </w:tc>
              <w:tc>
                <w:tcPr>
                  <w:tcW w:w="1890" w:type="dxa"/>
                  <w:vMerge/>
                </w:tcPr>
                <w:p w14:paraId="23FCD44B" w14:textId="77777777" w:rsidR="003A41BE" w:rsidRDefault="003A41BE" w:rsidP="002A37E3">
                  <w:pPr>
                    <w:framePr w:hSpace="141" w:wrap="around" w:vAnchor="text" w:hAnchor="text" w:x="421" w:y="1"/>
                    <w:autoSpaceDE w:val="0"/>
                    <w:autoSpaceDN w:val="0"/>
                    <w:adjustRightInd w:val="0"/>
                    <w:suppressOverlap/>
                    <w:rPr>
                      <w:rFonts w:cstheme="minorHAnsi"/>
                      <w:sz w:val="22"/>
                      <w:szCs w:val="22"/>
                      <w:lang w:val="en-US"/>
                    </w:rPr>
                  </w:pPr>
                </w:p>
              </w:tc>
            </w:tr>
            <w:tr w:rsidR="003A41BE" w14:paraId="48C0EC13" w14:textId="77777777" w:rsidTr="00FD44CE">
              <w:trPr>
                <w:trHeight w:val="407"/>
              </w:trPr>
              <w:tc>
                <w:tcPr>
                  <w:tcW w:w="1889" w:type="dxa"/>
                </w:tcPr>
                <w:p w14:paraId="1B49B7CA" w14:textId="77777777" w:rsidR="003A41BE" w:rsidRDefault="003A41BE" w:rsidP="002A37E3">
                  <w:pPr>
                    <w:framePr w:hSpace="141" w:wrap="around" w:vAnchor="text" w:hAnchor="text" w:x="421" w:y="1"/>
                    <w:autoSpaceDE w:val="0"/>
                    <w:autoSpaceDN w:val="0"/>
                    <w:adjustRightInd w:val="0"/>
                    <w:suppressOverlap/>
                    <w:rPr>
                      <w:rFonts w:cstheme="minorHAnsi"/>
                      <w:sz w:val="22"/>
                      <w:szCs w:val="22"/>
                      <w:lang w:val="en-US"/>
                    </w:rPr>
                  </w:pPr>
                  <w:r>
                    <w:rPr>
                      <w:rFonts w:cstheme="minorHAnsi"/>
                      <w:sz w:val="22"/>
                      <w:szCs w:val="22"/>
                      <w:lang w:val="en-US"/>
                    </w:rPr>
                    <w:t>Secondary</w:t>
                  </w:r>
                </w:p>
              </w:tc>
              <w:tc>
                <w:tcPr>
                  <w:tcW w:w="1740" w:type="dxa"/>
                </w:tcPr>
                <w:p w14:paraId="761C7C8C" w14:textId="77777777" w:rsidR="003A41BE" w:rsidRDefault="003A41BE" w:rsidP="002A37E3">
                  <w:pPr>
                    <w:framePr w:hSpace="141" w:wrap="around" w:vAnchor="text" w:hAnchor="text" w:x="421" w:y="1"/>
                    <w:autoSpaceDE w:val="0"/>
                    <w:autoSpaceDN w:val="0"/>
                    <w:adjustRightInd w:val="0"/>
                    <w:suppressOverlap/>
                    <w:rPr>
                      <w:rFonts w:cstheme="minorHAnsi"/>
                      <w:sz w:val="22"/>
                      <w:szCs w:val="22"/>
                      <w:lang w:val="en-US"/>
                    </w:rPr>
                  </w:pPr>
                  <w:r>
                    <w:rPr>
                      <w:rFonts w:cstheme="minorHAnsi"/>
                      <w:sz w:val="22"/>
                      <w:szCs w:val="22"/>
                      <w:lang w:val="en-US"/>
                    </w:rPr>
                    <w:t>39.19%</w:t>
                  </w:r>
                </w:p>
              </w:tc>
              <w:tc>
                <w:tcPr>
                  <w:tcW w:w="1890" w:type="dxa"/>
                  <w:vMerge/>
                </w:tcPr>
                <w:p w14:paraId="3DE30198" w14:textId="77777777" w:rsidR="003A41BE" w:rsidRDefault="003A41BE" w:rsidP="002A37E3">
                  <w:pPr>
                    <w:framePr w:hSpace="141" w:wrap="around" w:vAnchor="text" w:hAnchor="text" w:x="421" w:y="1"/>
                    <w:autoSpaceDE w:val="0"/>
                    <w:autoSpaceDN w:val="0"/>
                    <w:adjustRightInd w:val="0"/>
                    <w:suppressOverlap/>
                    <w:rPr>
                      <w:rFonts w:cstheme="minorHAnsi"/>
                      <w:sz w:val="22"/>
                      <w:szCs w:val="22"/>
                      <w:lang w:val="en-US"/>
                    </w:rPr>
                  </w:pPr>
                </w:p>
              </w:tc>
            </w:tr>
          </w:tbl>
          <w:p w14:paraId="2C2D7629" w14:textId="77777777" w:rsidR="003A41BE" w:rsidRDefault="003A41BE" w:rsidP="00FD44CE">
            <w:pPr>
              <w:autoSpaceDE w:val="0"/>
              <w:autoSpaceDN w:val="0"/>
              <w:adjustRightInd w:val="0"/>
              <w:rPr>
                <w:rFonts w:cstheme="minorHAnsi"/>
                <w:sz w:val="22"/>
                <w:szCs w:val="22"/>
                <w:lang w:val="en-US"/>
              </w:rPr>
            </w:pPr>
            <w:r>
              <w:rPr>
                <w:rFonts w:cstheme="minorHAnsi"/>
                <w:sz w:val="22"/>
                <w:szCs w:val="22"/>
                <w:lang w:val="en-US"/>
              </w:rPr>
              <w:t>Notes: Primary: Girls: 93.21%, Boys: 85.45 %</w:t>
            </w:r>
          </w:p>
          <w:p w14:paraId="671AD3E4" w14:textId="77777777" w:rsidR="003A41BE" w:rsidRDefault="003A41BE" w:rsidP="00FD44CE">
            <w:pPr>
              <w:autoSpaceDE w:val="0"/>
              <w:autoSpaceDN w:val="0"/>
              <w:adjustRightInd w:val="0"/>
              <w:rPr>
                <w:rFonts w:cstheme="minorHAnsi"/>
                <w:sz w:val="22"/>
                <w:szCs w:val="22"/>
                <w:lang w:val="en-US"/>
              </w:rPr>
            </w:pPr>
            <w:r>
              <w:rPr>
                <w:rFonts w:cstheme="minorHAnsi"/>
                <w:sz w:val="22"/>
                <w:szCs w:val="22"/>
                <w:lang w:val="en-US"/>
              </w:rPr>
              <w:t>Pre-Secondary: Girls: 59.52 %, Boys: 47.24 %</w:t>
            </w:r>
          </w:p>
          <w:p w14:paraId="0B3FB93C" w14:textId="77777777" w:rsidR="003A41BE" w:rsidRDefault="003A41BE" w:rsidP="00FD44CE">
            <w:pPr>
              <w:autoSpaceDE w:val="0"/>
              <w:autoSpaceDN w:val="0"/>
              <w:adjustRightInd w:val="0"/>
              <w:rPr>
                <w:rFonts w:cstheme="minorHAnsi"/>
                <w:sz w:val="22"/>
                <w:szCs w:val="22"/>
                <w:lang w:val="en-US"/>
              </w:rPr>
            </w:pPr>
            <w:r>
              <w:rPr>
                <w:rFonts w:cstheme="minorHAnsi"/>
                <w:sz w:val="22"/>
                <w:szCs w:val="22"/>
                <w:lang w:val="en-US"/>
              </w:rPr>
              <w:t>Secondary: Girls: 44.07%, Boys 32.63 %</w:t>
            </w:r>
          </w:p>
          <w:p w14:paraId="26B1D963" w14:textId="77777777" w:rsidR="003A41BE" w:rsidRPr="00841766" w:rsidRDefault="003A41BE" w:rsidP="00FD44CE">
            <w:pPr>
              <w:autoSpaceDE w:val="0"/>
              <w:autoSpaceDN w:val="0"/>
              <w:adjustRightInd w:val="0"/>
              <w:rPr>
                <w:rFonts w:cstheme="minorHAnsi"/>
                <w:sz w:val="22"/>
                <w:szCs w:val="22"/>
                <w:lang w:val="en-US"/>
              </w:rPr>
            </w:pPr>
            <w:r>
              <w:rPr>
                <w:rFonts w:cstheme="minorHAnsi"/>
                <w:sz w:val="22"/>
                <w:szCs w:val="22"/>
                <w:lang w:val="en-US"/>
              </w:rPr>
              <w:t>Data Source: EMIS 2018</w:t>
            </w:r>
          </w:p>
          <w:p w14:paraId="0FED7359" w14:textId="77777777" w:rsidR="003A41BE" w:rsidRPr="00715FF4" w:rsidRDefault="003A41BE" w:rsidP="00FD44CE">
            <w:pPr>
              <w:autoSpaceDE w:val="0"/>
              <w:autoSpaceDN w:val="0"/>
              <w:adjustRightInd w:val="0"/>
              <w:rPr>
                <w:rFonts w:cstheme="minorHAnsi"/>
                <w:bCs/>
                <w:sz w:val="22"/>
                <w:szCs w:val="22"/>
                <w:lang w:val="en-US"/>
              </w:rPr>
            </w:pPr>
          </w:p>
        </w:tc>
        <w:tc>
          <w:tcPr>
            <w:tcW w:w="4116" w:type="dxa"/>
            <w:vMerge w:val="restart"/>
            <w:tcBorders>
              <w:top w:val="single" w:sz="4" w:space="0" w:color="auto"/>
              <w:left w:val="single" w:sz="4" w:space="0" w:color="auto"/>
              <w:right w:val="single" w:sz="4" w:space="0" w:color="auto"/>
            </w:tcBorders>
          </w:tcPr>
          <w:p w14:paraId="236EE2A5" w14:textId="77777777" w:rsidR="003A41BE" w:rsidRDefault="003A41BE" w:rsidP="00FD44CE">
            <w:pPr>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Ministry of Education Youth and Sport Ministry of Higher Education</w:t>
            </w:r>
            <w:r>
              <w:rPr>
                <w:rFonts w:eastAsiaTheme="minorEastAsia" w:hAnsi="Calibri"/>
                <w:color w:val="000000" w:themeColor="text1"/>
                <w:kern w:val="24"/>
                <w:sz w:val="22"/>
                <w:szCs w:val="22"/>
                <w:lang w:val="en-US"/>
              </w:rPr>
              <w:t xml:space="preserve">, </w:t>
            </w:r>
            <w:r w:rsidRPr="00841766">
              <w:rPr>
                <w:rFonts w:eastAsiaTheme="minorEastAsia" w:hAnsi="Calibri"/>
                <w:color w:val="000000" w:themeColor="text1"/>
                <w:kern w:val="24"/>
                <w:sz w:val="22"/>
                <w:szCs w:val="22"/>
                <w:lang w:val="en-US"/>
              </w:rPr>
              <w:t xml:space="preserve">Science and Culture, Ministry of Finance, </w:t>
            </w:r>
          </w:p>
          <w:p w14:paraId="6FF98817" w14:textId="77777777" w:rsidR="003A41BE" w:rsidRDefault="003A41BE" w:rsidP="00FD44CE">
            <w:pPr>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Ministry of Social Solidarity and Inclusion Ministry of State Administration</w:t>
            </w:r>
            <w:r>
              <w:rPr>
                <w:rFonts w:eastAsiaTheme="minorEastAsia" w:hAnsi="Calibri"/>
                <w:color w:val="000000" w:themeColor="text1"/>
                <w:kern w:val="24"/>
                <w:sz w:val="22"/>
                <w:szCs w:val="22"/>
                <w:lang w:val="en-US"/>
              </w:rPr>
              <w:t>,</w:t>
            </w:r>
          </w:p>
          <w:p w14:paraId="52E6C461" w14:textId="77777777" w:rsidR="003A41BE" w:rsidRPr="00841766" w:rsidRDefault="003A41BE" w:rsidP="00FD44CE">
            <w:pPr>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 xml:space="preserve">Secretariat of State for Civil Protection </w:t>
            </w:r>
          </w:p>
          <w:p w14:paraId="7A0897F9" w14:textId="77777777" w:rsidR="003A41BE" w:rsidRDefault="003A41BE" w:rsidP="00FD44CE">
            <w:pPr>
              <w:rPr>
                <w:rFonts w:ascii="Times New Roman" w:eastAsia="Times New Roman" w:hAnsi="Times New Roman" w:cs="Times New Roman"/>
                <w:sz w:val="22"/>
                <w:szCs w:val="22"/>
                <w:lang w:val="en-US"/>
              </w:rPr>
            </w:pPr>
          </w:p>
          <w:p w14:paraId="36BB2A63"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 xml:space="preserve">FAO, </w:t>
            </w:r>
            <w:r>
              <w:rPr>
                <w:rFonts w:cstheme="minorHAnsi"/>
                <w:sz w:val="22"/>
                <w:szCs w:val="22"/>
                <w:lang w:val="en-US"/>
              </w:rPr>
              <w:t xml:space="preserve">ILO, </w:t>
            </w:r>
            <w:r w:rsidRPr="00841766">
              <w:rPr>
                <w:rFonts w:cstheme="minorHAnsi"/>
                <w:sz w:val="22"/>
                <w:szCs w:val="22"/>
                <w:lang w:val="en-US"/>
              </w:rPr>
              <w:t>IOM, UNDP</w:t>
            </w:r>
            <w:r>
              <w:rPr>
                <w:rFonts w:cstheme="minorHAnsi"/>
                <w:sz w:val="22"/>
                <w:szCs w:val="22"/>
                <w:lang w:val="en-US"/>
              </w:rPr>
              <w:t>,</w:t>
            </w:r>
            <w:r w:rsidRPr="00841766">
              <w:rPr>
                <w:rFonts w:cstheme="minorHAnsi"/>
                <w:sz w:val="22"/>
                <w:szCs w:val="22"/>
                <w:lang w:val="en-US"/>
              </w:rPr>
              <w:t xml:space="preserve"> UNESCO, UNFPA</w:t>
            </w:r>
            <w:r>
              <w:rPr>
                <w:rFonts w:cstheme="minorHAnsi"/>
                <w:sz w:val="22"/>
                <w:szCs w:val="22"/>
                <w:lang w:val="en-US"/>
              </w:rPr>
              <w:t>,</w:t>
            </w:r>
            <w:r w:rsidRPr="00841766">
              <w:rPr>
                <w:rFonts w:cstheme="minorHAnsi"/>
                <w:sz w:val="22"/>
                <w:szCs w:val="22"/>
                <w:lang w:val="en-US"/>
              </w:rPr>
              <w:t xml:space="preserve"> UNICEF, UN Women, WFP, WHO, World Bank, Bilateral partners</w:t>
            </w:r>
          </w:p>
          <w:p w14:paraId="4555E66A" w14:textId="77777777" w:rsidR="003A41BE" w:rsidRPr="00841766" w:rsidRDefault="003A41BE" w:rsidP="00FD44CE">
            <w:pPr>
              <w:rPr>
                <w:rFonts w:ascii="Times New Roman" w:eastAsia="Times New Roman" w:hAnsi="Times New Roman" w:cs="Times New Roman"/>
                <w:sz w:val="22"/>
                <w:szCs w:val="22"/>
                <w:lang w:val="en-US"/>
              </w:rPr>
            </w:pPr>
          </w:p>
          <w:p w14:paraId="0B75512B" w14:textId="77777777" w:rsidR="003A41BE" w:rsidRPr="00841766" w:rsidRDefault="003A41BE" w:rsidP="00FD44CE">
            <w:pPr>
              <w:contextualSpacing/>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Local authorities/Municipalities</w:t>
            </w:r>
          </w:p>
          <w:p w14:paraId="2EB79E3D" w14:textId="77777777" w:rsidR="003A41BE" w:rsidRPr="00841766" w:rsidRDefault="003A41BE" w:rsidP="00FD44CE">
            <w:pPr>
              <w:contextualSpacing/>
              <w:rPr>
                <w:rFonts w:ascii="Times New Roman" w:eastAsia="Times New Roman" w:hAnsi="Times New Roman" w:cs="Times New Roman"/>
                <w:sz w:val="22"/>
                <w:szCs w:val="22"/>
                <w:lang w:val="en-US"/>
              </w:rPr>
            </w:pPr>
          </w:p>
          <w:p w14:paraId="553E45CD" w14:textId="77777777" w:rsidR="003A41BE" w:rsidRPr="00841766" w:rsidRDefault="003A41BE" w:rsidP="00FD44CE">
            <w:pPr>
              <w:contextualSpacing/>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Private sector including private schools; Universities, schools;</w:t>
            </w:r>
            <w:r w:rsidRPr="00841766">
              <w:rPr>
                <w:rFonts w:ascii="Times New Roman" w:eastAsia="Times New Roman" w:hAnsi="Times New Roman" w:cs="Times New Roman"/>
                <w:sz w:val="22"/>
                <w:szCs w:val="22"/>
                <w:lang w:val="en-US"/>
              </w:rPr>
              <w:t xml:space="preserve"> </w:t>
            </w:r>
            <w:r w:rsidRPr="00841766">
              <w:rPr>
                <w:rFonts w:eastAsiaTheme="minorEastAsia" w:hAnsi="Calibri"/>
                <w:color w:val="000000" w:themeColor="text1"/>
                <w:kern w:val="24"/>
                <w:sz w:val="22"/>
                <w:szCs w:val="22"/>
                <w:lang w:val="en-US"/>
              </w:rPr>
              <w:t>Parent associations;</w:t>
            </w:r>
            <w:r w:rsidRPr="00841766">
              <w:rPr>
                <w:rFonts w:ascii="Times New Roman" w:eastAsia="Times New Roman" w:hAnsi="Times New Roman" w:cs="Times New Roman"/>
                <w:sz w:val="22"/>
                <w:szCs w:val="22"/>
                <w:lang w:val="en-US"/>
              </w:rPr>
              <w:t xml:space="preserve"> </w:t>
            </w:r>
            <w:r w:rsidRPr="00841766">
              <w:rPr>
                <w:rFonts w:eastAsiaTheme="minorEastAsia" w:hAnsi="Calibri"/>
                <w:color w:val="000000" w:themeColor="text1"/>
                <w:kern w:val="24"/>
                <w:sz w:val="22"/>
                <w:szCs w:val="22"/>
                <w:lang w:val="en-US"/>
              </w:rPr>
              <w:t>Students councils.</w:t>
            </w:r>
          </w:p>
          <w:p w14:paraId="5108B9CA" w14:textId="77777777" w:rsidR="003A41BE" w:rsidRPr="00841766" w:rsidRDefault="003A41BE" w:rsidP="00FD44CE">
            <w:pPr>
              <w:contextualSpacing/>
              <w:rPr>
                <w:rFonts w:ascii="Times New Roman" w:eastAsia="Times New Roman" w:hAnsi="Times New Roman" w:cs="Times New Roman"/>
                <w:sz w:val="22"/>
                <w:szCs w:val="22"/>
                <w:lang w:val="en-US"/>
              </w:rPr>
            </w:pPr>
          </w:p>
          <w:p w14:paraId="56CC5EEF" w14:textId="77777777" w:rsidR="003A41BE" w:rsidRPr="00841766" w:rsidRDefault="003A41BE" w:rsidP="00FD44CE">
            <w:pPr>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 xml:space="preserve">Development partners </w:t>
            </w:r>
          </w:p>
          <w:p w14:paraId="7962EDE2" w14:textId="77777777" w:rsidR="003A41BE" w:rsidRPr="00841766" w:rsidRDefault="003A41BE" w:rsidP="00FD44CE">
            <w:pPr>
              <w:rPr>
                <w:rFonts w:eastAsiaTheme="minorEastAsia" w:hAnsi="Calibri"/>
                <w:color w:val="000000" w:themeColor="text1"/>
                <w:kern w:val="24"/>
                <w:sz w:val="22"/>
                <w:szCs w:val="22"/>
                <w:lang w:val="en-US"/>
              </w:rPr>
            </w:pPr>
          </w:p>
          <w:p w14:paraId="634CE8FE" w14:textId="77777777" w:rsidR="003A41BE" w:rsidRPr="00841766" w:rsidRDefault="003A41BE" w:rsidP="00FD44CE">
            <w:pPr>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 xml:space="preserve">Plan International </w:t>
            </w:r>
          </w:p>
          <w:p w14:paraId="189335B6" w14:textId="77777777" w:rsidR="003A41BE" w:rsidRPr="00841766" w:rsidRDefault="003A41BE" w:rsidP="00FD44CE">
            <w:pPr>
              <w:rPr>
                <w:rFonts w:eastAsiaTheme="minorEastAsia" w:hAnsi="Calibri"/>
                <w:color w:val="000000" w:themeColor="text1"/>
                <w:kern w:val="24"/>
                <w:sz w:val="22"/>
                <w:szCs w:val="22"/>
                <w:lang w:val="en-US"/>
              </w:rPr>
            </w:pPr>
          </w:p>
          <w:p w14:paraId="62804DFF" w14:textId="77777777" w:rsidR="003A41BE" w:rsidRPr="00841766" w:rsidRDefault="003A41BE" w:rsidP="00FD44CE">
            <w:pPr>
              <w:rPr>
                <w:rFonts w:ascii="Times New Roman" w:eastAsia="Times New Roman" w:hAnsi="Times New Roman" w:cs="Times New Roman"/>
                <w:lang w:val="en-US"/>
              </w:rPr>
            </w:pPr>
          </w:p>
          <w:p w14:paraId="6F3D2965"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43F33BE5" w14:textId="77777777" w:rsidTr="53E3C463">
        <w:trPr>
          <w:trHeight w:val="256"/>
        </w:trPr>
        <w:tc>
          <w:tcPr>
            <w:tcW w:w="4529" w:type="dxa"/>
            <w:vMerge/>
          </w:tcPr>
          <w:p w14:paraId="31F24516"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1315D" w14:textId="77777777" w:rsidR="003A41BE" w:rsidRDefault="003A41BE" w:rsidP="00FD44CE">
            <w:pPr>
              <w:autoSpaceDE w:val="0"/>
              <w:autoSpaceDN w:val="0"/>
              <w:adjustRightInd w:val="0"/>
              <w:rPr>
                <w:rFonts w:cstheme="minorHAnsi"/>
                <w:sz w:val="22"/>
                <w:szCs w:val="22"/>
                <w:lang w:val="en-US"/>
              </w:rPr>
            </w:pPr>
            <w:r w:rsidRPr="001332CD">
              <w:rPr>
                <w:rFonts w:cstheme="minorHAnsi"/>
                <w:b/>
                <w:sz w:val="22"/>
                <w:szCs w:val="22"/>
                <w:lang w:val="en-US"/>
              </w:rPr>
              <w:t xml:space="preserve">Indicator 3.2.2: </w:t>
            </w:r>
            <w:r w:rsidRPr="001332CD">
              <w:rPr>
                <w:rFonts w:cstheme="minorHAnsi"/>
                <w:sz w:val="22"/>
                <w:szCs w:val="22"/>
                <w:lang w:val="en-US"/>
              </w:rPr>
              <w:t>Proportion of the population age 15 and above that has finished primary school, pre-secondary or higher</w:t>
            </w:r>
          </w:p>
          <w:tbl>
            <w:tblPr>
              <w:tblStyle w:val="TableGrid"/>
              <w:tblW w:w="0" w:type="auto"/>
              <w:tblLayout w:type="fixed"/>
              <w:tblLook w:val="04A0" w:firstRow="1" w:lastRow="0" w:firstColumn="1" w:lastColumn="0" w:noHBand="0" w:noVBand="1"/>
            </w:tblPr>
            <w:tblGrid>
              <w:gridCol w:w="1817"/>
              <w:gridCol w:w="1817"/>
              <w:gridCol w:w="1949"/>
            </w:tblGrid>
            <w:tr w:rsidR="003A41BE" w14:paraId="7EF45BA7" w14:textId="77777777" w:rsidTr="00FD44CE">
              <w:trPr>
                <w:trHeight w:val="185"/>
              </w:trPr>
              <w:tc>
                <w:tcPr>
                  <w:tcW w:w="1817" w:type="dxa"/>
                </w:tcPr>
                <w:p w14:paraId="63DF847D" w14:textId="77777777" w:rsidR="003A41BE" w:rsidRDefault="003A41BE" w:rsidP="002A37E3">
                  <w:pPr>
                    <w:framePr w:hSpace="141" w:wrap="around" w:vAnchor="text" w:hAnchor="text" w:x="421" w:y="1"/>
                    <w:suppressOverlap/>
                    <w:rPr>
                      <w:sz w:val="22"/>
                      <w:szCs w:val="22"/>
                      <w:lang w:val="en-US"/>
                    </w:rPr>
                  </w:pPr>
                </w:p>
              </w:tc>
              <w:tc>
                <w:tcPr>
                  <w:tcW w:w="1817" w:type="dxa"/>
                </w:tcPr>
                <w:p w14:paraId="10EAA91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949" w:type="dxa"/>
                </w:tcPr>
                <w:p w14:paraId="1565D6F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0C20FE12" w14:textId="77777777" w:rsidTr="00FD44CE">
              <w:trPr>
                <w:trHeight w:val="185"/>
              </w:trPr>
              <w:tc>
                <w:tcPr>
                  <w:tcW w:w="1817" w:type="dxa"/>
                </w:tcPr>
                <w:p w14:paraId="7F6D1006"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Primary</w:t>
                  </w:r>
                </w:p>
              </w:tc>
              <w:tc>
                <w:tcPr>
                  <w:tcW w:w="1817" w:type="dxa"/>
                </w:tcPr>
                <w:p w14:paraId="160CA7D9"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40.4%</w:t>
                  </w:r>
                </w:p>
              </w:tc>
              <w:tc>
                <w:tcPr>
                  <w:tcW w:w="1949" w:type="dxa"/>
                  <w:vMerge w:val="restart"/>
                </w:tcPr>
                <w:p w14:paraId="7E8FF86F" w14:textId="77777777" w:rsidR="003A41BE" w:rsidRPr="00DF5B9E" w:rsidRDefault="003A41BE" w:rsidP="002A37E3">
                  <w:pPr>
                    <w:framePr w:hSpace="141" w:wrap="around" w:vAnchor="text" w:hAnchor="text" w:x="421" w:y="1"/>
                    <w:suppressOverlap/>
                    <w:jc w:val="center"/>
                    <w:rPr>
                      <w:sz w:val="22"/>
                      <w:szCs w:val="22"/>
                      <w:lang w:val="en-US"/>
                    </w:rPr>
                  </w:pPr>
                  <w:r w:rsidRPr="007E58D6">
                    <w:rPr>
                      <w:sz w:val="22"/>
                      <w:szCs w:val="22"/>
                      <w:lang w:val="en-US"/>
                    </w:rPr>
                    <w:t>Under discussion with relevant partners</w:t>
                  </w:r>
                </w:p>
                <w:p w14:paraId="743ABAE6" w14:textId="77777777" w:rsidR="003A41BE" w:rsidRPr="00DF5B9E" w:rsidRDefault="003A41BE" w:rsidP="002A37E3">
                  <w:pPr>
                    <w:framePr w:hSpace="141" w:wrap="around" w:vAnchor="text" w:hAnchor="text" w:x="421" w:y="1"/>
                    <w:suppressOverlap/>
                    <w:jc w:val="center"/>
                    <w:rPr>
                      <w:sz w:val="22"/>
                      <w:szCs w:val="22"/>
                      <w:lang w:val="en-US"/>
                    </w:rPr>
                  </w:pPr>
                </w:p>
              </w:tc>
            </w:tr>
            <w:tr w:rsidR="003A41BE" w:rsidRPr="00DA2276" w14:paraId="14C366B9" w14:textId="77777777" w:rsidTr="00FD44CE">
              <w:trPr>
                <w:trHeight w:val="738"/>
              </w:trPr>
              <w:tc>
                <w:tcPr>
                  <w:tcW w:w="1817" w:type="dxa"/>
                </w:tcPr>
                <w:p w14:paraId="68BFBD65"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Pre-secondary or higher</w:t>
                  </w:r>
                </w:p>
              </w:tc>
              <w:tc>
                <w:tcPr>
                  <w:tcW w:w="1817" w:type="dxa"/>
                </w:tcPr>
                <w:p w14:paraId="1ED1C920"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28.8%</w:t>
                  </w:r>
                </w:p>
              </w:tc>
              <w:tc>
                <w:tcPr>
                  <w:tcW w:w="1949" w:type="dxa"/>
                  <w:vMerge/>
                </w:tcPr>
                <w:p w14:paraId="711D86A5" w14:textId="77777777" w:rsidR="003A41BE" w:rsidRPr="007E58D6" w:rsidRDefault="003A41BE" w:rsidP="002A37E3">
                  <w:pPr>
                    <w:framePr w:hSpace="141" w:wrap="around" w:vAnchor="text" w:hAnchor="text" w:x="421" w:y="1"/>
                    <w:suppressOverlap/>
                    <w:jc w:val="center"/>
                    <w:rPr>
                      <w:sz w:val="22"/>
                      <w:szCs w:val="22"/>
                      <w:lang w:val="en-US"/>
                    </w:rPr>
                  </w:pPr>
                </w:p>
              </w:tc>
            </w:tr>
          </w:tbl>
          <w:p w14:paraId="27488793" w14:textId="77777777" w:rsidR="003A41BE" w:rsidRDefault="003A41BE" w:rsidP="00FD44CE">
            <w:pPr>
              <w:autoSpaceDE w:val="0"/>
              <w:autoSpaceDN w:val="0"/>
              <w:adjustRightInd w:val="0"/>
              <w:rPr>
                <w:rFonts w:cstheme="minorHAnsi"/>
                <w:sz w:val="22"/>
                <w:szCs w:val="22"/>
                <w:lang w:val="en-US"/>
              </w:rPr>
            </w:pPr>
            <w:r>
              <w:rPr>
                <w:rFonts w:cstheme="minorHAnsi"/>
                <w:sz w:val="22"/>
                <w:szCs w:val="22"/>
                <w:lang w:val="en-US"/>
              </w:rPr>
              <w:t>Data Source: Timor-Leste Population and Housing Census 2015</w:t>
            </w:r>
            <w:r w:rsidRPr="00841766">
              <w:rPr>
                <w:rFonts w:cstheme="minorHAnsi"/>
                <w:sz w:val="22"/>
                <w:szCs w:val="22"/>
                <w:lang w:val="en-US"/>
              </w:rPr>
              <w:t xml:space="preserve"> </w:t>
            </w:r>
          </w:p>
          <w:p w14:paraId="2485C701" w14:textId="77777777" w:rsidR="003A41BE" w:rsidRPr="00841766" w:rsidRDefault="003A41BE" w:rsidP="00FD44CE">
            <w:pPr>
              <w:autoSpaceDE w:val="0"/>
              <w:autoSpaceDN w:val="0"/>
              <w:adjustRightInd w:val="0"/>
              <w:rPr>
                <w:rFonts w:cstheme="minorHAnsi"/>
                <w:b/>
                <w:sz w:val="22"/>
                <w:szCs w:val="22"/>
                <w:lang w:val="en-US"/>
              </w:rPr>
            </w:pPr>
          </w:p>
        </w:tc>
        <w:tc>
          <w:tcPr>
            <w:tcW w:w="4116" w:type="dxa"/>
            <w:vMerge/>
          </w:tcPr>
          <w:p w14:paraId="3B303879"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40FD9531" w14:textId="77777777" w:rsidTr="53E3C463">
        <w:trPr>
          <w:trHeight w:val="1070"/>
        </w:trPr>
        <w:tc>
          <w:tcPr>
            <w:tcW w:w="4529" w:type="dxa"/>
            <w:vMerge/>
          </w:tcPr>
          <w:p w14:paraId="654D9409"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right w:val="single" w:sz="4" w:space="0" w:color="auto"/>
            </w:tcBorders>
            <w:shd w:val="clear" w:color="auto" w:fill="D9D9D9" w:themeFill="background1" w:themeFillShade="D9"/>
          </w:tcPr>
          <w:p w14:paraId="6C3500EC" w14:textId="77777777" w:rsidR="003A41BE" w:rsidRPr="003506AB" w:rsidRDefault="003A41BE" w:rsidP="00FD44CE">
            <w:pPr>
              <w:pStyle w:val="Default"/>
              <w:rPr>
                <w:sz w:val="22"/>
                <w:szCs w:val="22"/>
                <w:lang w:val="en-US"/>
              </w:rPr>
            </w:pPr>
            <w:r w:rsidRPr="00841766">
              <w:rPr>
                <w:rFonts w:asciiTheme="minorHAnsi" w:hAnsiTheme="minorHAnsi" w:cstheme="minorHAnsi"/>
                <w:b/>
                <w:sz w:val="22"/>
                <w:szCs w:val="22"/>
                <w:lang w:val="en-US"/>
              </w:rPr>
              <w:t>Indicator 3.2.</w:t>
            </w:r>
            <w:r>
              <w:rPr>
                <w:rFonts w:asciiTheme="minorHAnsi" w:hAnsiTheme="minorHAnsi" w:cstheme="minorHAnsi"/>
                <w:b/>
                <w:sz w:val="22"/>
                <w:szCs w:val="22"/>
                <w:lang w:val="en-US"/>
              </w:rPr>
              <w:t>3</w:t>
            </w:r>
            <w:r w:rsidRPr="00841766">
              <w:rPr>
                <w:rFonts w:asciiTheme="minorHAnsi" w:hAnsiTheme="minorHAnsi" w:cstheme="minorHAnsi"/>
                <w:b/>
                <w:sz w:val="22"/>
                <w:szCs w:val="22"/>
                <w:lang w:val="en-US"/>
              </w:rPr>
              <w:t xml:space="preserve">: </w:t>
            </w:r>
            <w:r w:rsidRPr="00841766">
              <w:rPr>
                <w:rFonts w:asciiTheme="minorHAnsi" w:hAnsiTheme="minorHAnsi"/>
                <w:sz w:val="22"/>
                <w:szCs w:val="22"/>
                <w:lang w:val="en-US"/>
              </w:rPr>
              <w:t xml:space="preserve">Percentage of </w:t>
            </w:r>
            <w:r>
              <w:rPr>
                <w:rFonts w:asciiTheme="minorHAnsi" w:hAnsiTheme="minorHAnsi"/>
                <w:sz w:val="22"/>
                <w:szCs w:val="22"/>
                <w:lang w:val="en-US"/>
              </w:rPr>
              <w:t xml:space="preserve">basic and secondary </w:t>
            </w:r>
            <w:r w:rsidRPr="00841766">
              <w:rPr>
                <w:rFonts w:asciiTheme="minorHAnsi" w:hAnsiTheme="minorHAnsi"/>
                <w:sz w:val="22"/>
                <w:szCs w:val="22"/>
                <w:lang w:val="en-US"/>
              </w:rPr>
              <w:t>schools with access to: (a) electricity; (b) the Internet for pedagogical purposes; (c) computers for pedagogical purposes; (d) adapted infrastructure and materials for students with disabilities; (e) single-sex basic sanitation facilities; and (f) basic handwashing facilities (as per the Water, Sanitation and Hygiene for All (WASH) indicator definitions)</w:t>
            </w:r>
            <w:r w:rsidRPr="002A7985">
              <w:rPr>
                <w:sz w:val="22"/>
                <w:szCs w:val="22"/>
                <w:lang w:val="en-US"/>
              </w:rPr>
              <w:t xml:space="preserve"> </w:t>
            </w:r>
            <w:r w:rsidRPr="002A7985">
              <w:rPr>
                <w:rFonts w:asciiTheme="minorHAnsi" w:hAnsiTheme="minorHAnsi"/>
                <w:sz w:val="22"/>
                <w:szCs w:val="22"/>
                <w:lang w:val="en-US"/>
              </w:rPr>
              <w:t>(SDG Indicator 4.a.1)</w:t>
            </w:r>
          </w:p>
          <w:tbl>
            <w:tblPr>
              <w:tblStyle w:val="TableGrid"/>
              <w:tblW w:w="0" w:type="auto"/>
              <w:tblLayout w:type="fixed"/>
              <w:tblLook w:val="04A0" w:firstRow="1" w:lastRow="0" w:firstColumn="1" w:lastColumn="0" w:noHBand="0" w:noVBand="1"/>
            </w:tblPr>
            <w:tblGrid>
              <w:gridCol w:w="2369"/>
              <w:gridCol w:w="1510"/>
              <w:gridCol w:w="1620"/>
            </w:tblGrid>
            <w:tr w:rsidR="003A41BE" w14:paraId="2B12EFCA" w14:textId="77777777" w:rsidTr="00FD44CE">
              <w:tc>
                <w:tcPr>
                  <w:tcW w:w="2369" w:type="dxa"/>
                </w:tcPr>
                <w:p w14:paraId="48714DE7" w14:textId="77777777" w:rsidR="003A41BE" w:rsidRDefault="003A41BE" w:rsidP="002A37E3">
                  <w:pPr>
                    <w:framePr w:hSpace="141" w:wrap="around" w:vAnchor="text" w:hAnchor="text" w:x="421" w:y="1"/>
                    <w:suppressOverlap/>
                    <w:rPr>
                      <w:sz w:val="22"/>
                      <w:szCs w:val="22"/>
                      <w:lang w:val="en-US"/>
                    </w:rPr>
                  </w:pPr>
                </w:p>
              </w:tc>
              <w:tc>
                <w:tcPr>
                  <w:tcW w:w="1510" w:type="dxa"/>
                </w:tcPr>
                <w:p w14:paraId="3DC66D9C"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0067D99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43AD137B" w14:textId="77777777" w:rsidTr="00FD44CE">
              <w:tc>
                <w:tcPr>
                  <w:tcW w:w="2369" w:type="dxa"/>
                </w:tcPr>
                <w:p w14:paraId="1085D6E1"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Electricity</w:t>
                  </w:r>
                </w:p>
              </w:tc>
              <w:tc>
                <w:tcPr>
                  <w:tcW w:w="1510" w:type="dxa"/>
                </w:tcPr>
                <w:p w14:paraId="799123F7"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80.51%</w:t>
                  </w:r>
                </w:p>
              </w:tc>
              <w:tc>
                <w:tcPr>
                  <w:tcW w:w="1620" w:type="dxa"/>
                  <w:vMerge w:val="restart"/>
                </w:tcPr>
                <w:p w14:paraId="501DBDB4"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Under discussion with relevant partners</w:t>
                  </w:r>
                </w:p>
                <w:p w14:paraId="20038FB7" w14:textId="77777777" w:rsidR="003A41BE" w:rsidRPr="00DA2276" w:rsidRDefault="003A41BE" w:rsidP="002A37E3">
                  <w:pPr>
                    <w:framePr w:hSpace="141" w:wrap="around" w:vAnchor="text" w:hAnchor="text" w:x="421" w:y="1"/>
                    <w:suppressOverlap/>
                    <w:jc w:val="center"/>
                    <w:rPr>
                      <w:sz w:val="22"/>
                      <w:szCs w:val="22"/>
                      <w:lang w:val="en-US"/>
                    </w:rPr>
                  </w:pPr>
                </w:p>
              </w:tc>
            </w:tr>
            <w:tr w:rsidR="003A41BE" w:rsidRPr="00DA2276" w14:paraId="02C73F4E" w14:textId="77777777" w:rsidTr="00FD44CE">
              <w:tc>
                <w:tcPr>
                  <w:tcW w:w="2369" w:type="dxa"/>
                </w:tcPr>
                <w:p w14:paraId="61D131C5"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Single-sex basic sanitation facilities</w:t>
                  </w:r>
                </w:p>
              </w:tc>
              <w:tc>
                <w:tcPr>
                  <w:tcW w:w="1510" w:type="dxa"/>
                </w:tcPr>
                <w:p w14:paraId="316F3579"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65.76%</w:t>
                  </w:r>
                </w:p>
              </w:tc>
              <w:tc>
                <w:tcPr>
                  <w:tcW w:w="1620" w:type="dxa"/>
                  <w:vMerge/>
                </w:tcPr>
                <w:p w14:paraId="126333CF" w14:textId="77777777" w:rsidR="003A41BE" w:rsidRPr="00DA2276" w:rsidRDefault="003A41BE" w:rsidP="002A37E3">
                  <w:pPr>
                    <w:framePr w:hSpace="141" w:wrap="around" w:vAnchor="text" w:hAnchor="text" w:x="421" w:y="1"/>
                    <w:suppressOverlap/>
                    <w:jc w:val="center"/>
                    <w:rPr>
                      <w:sz w:val="22"/>
                      <w:szCs w:val="22"/>
                      <w:highlight w:val="yellow"/>
                      <w:lang w:val="en-US"/>
                    </w:rPr>
                  </w:pPr>
                </w:p>
              </w:tc>
            </w:tr>
            <w:tr w:rsidR="003A41BE" w:rsidRPr="00DA2276" w14:paraId="760C2963" w14:textId="77777777" w:rsidTr="00FD44CE">
              <w:tc>
                <w:tcPr>
                  <w:tcW w:w="2369" w:type="dxa"/>
                </w:tcPr>
                <w:p w14:paraId="30D4422B"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Handwashing</w:t>
                  </w:r>
                </w:p>
              </w:tc>
              <w:tc>
                <w:tcPr>
                  <w:tcW w:w="1510" w:type="dxa"/>
                </w:tcPr>
                <w:p w14:paraId="59FB3341"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58.87%</w:t>
                  </w:r>
                </w:p>
              </w:tc>
              <w:tc>
                <w:tcPr>
                  <w:tcW w:w="1620" w:type="dxa"/>
                  <w:vMerge/>
                </w:tcPr>
                <w:p w14:paraId="14EA27F9" w14:textId="77777777" w:rsidR="003A41BE" w:rsidRDefault="003A41BE" w:rsidP="002A37E3">
                  <w:pPr>
                    <w:framePr w:hSpace="141" w:wrap="around" w:vAnchor="text" w:hAnchor="text" w:x="421" w:y="1"/>
                    <w:suppressOverlap/>
                    <w:jc w:val="center"/>
                    <w:rPr>
                      <w:sz w:val="22"/>
                      <w:szCs w:val="22"/>
                      <w:highlight w:val="yellow"/>
                      <w:lang w:val="en-US"/>
                    </w:rPr>
                  </w:pPr>
                </w:p>
              </w:tc>
            </w:tr>
          </w:tbl>
          <w:p w14:paraId="4B9CA211" w14:textId="77777777" w:rsidR="003A41BE" w:rsidRPr="003506AB" w:rsidRDefault="003A41BE" w:rsidP="00FD44CE">
            <w:pPr>
              <w:pStyle w:val="Default"/>
              <w:rPr>
                <w:rFonts w:asciiTheme="minorHAnsi" w:hAnsiTheme="minorHAnsi"/>
                <w:sz w:val="22"/>
                <w:szCs w:val="22"/>
                <w:lang w:val="en-US"/>
              </w:rPr>
            </w:pPr>
            <w:r w:rsidRPr="002A7985">
              <w:rPr>
                <w:rFonts w:asciiTheme="minorHAnsi" w:hAnsiTheme="minorHAnsi"/>
                <w:sz w:val="22"/>
                <w:szCs w:val="22"/>
                <w:lang w:val="en-US"/>
              </w:rPr>
              <w:t>Note. Data for internet, computers, and adapted infrastructure not available</w:t>
            </w:r>
            <w:r w:rsidRPr="00A2201E">
              <w:rPr>
                <w:rFonts w:asciiTheme="minorHAnsi" w:hAnsiTheme="minorHAnsi"/>
                <w:sz w:val="22"/>
                <w:szCs w:val="22"/>
                <w:lang w:val="en-US"/>
              </w:rPr>
              <w:t>.</w:t>
            </w:r>
            <w:r>
              <w:rPr>
                <w:rFonts w:asciiTheme="minorHAnsi" w:hAnsiTheme="minorHAnsi"/>
                <w:sz w:val="22"/>
                <w:szCs w:val="22"/>
                <w:lang w:val="en-US"/>
              </w:rPr>
              <w:t xml:space="preserve"> </w:t>
            </w:r>
          </w:p>
          <w:p w14:paraId="53023D9E" w14:textId="77777777" w:rsidR="003A41BE" w:rsidRPr="003506AB" w:rsidRDefault="003A41BE" w:rsidP="00FD44CE">
            <w:pPr>
              <w:pStyle w:val="Default"/>
              <w:rPr>
                <w:rFonts w:asciiTheme="minorHAnsi" w:hAnsiTheme="minorHAnsi"/>
                <w:sz w:val="22"/>
                <w:szCs w:val="22"/>
                <w:lang w:val="en-US"/>
              </w:rPr>
            </w:pPr>
            <w:r w:rsidRPr="002A7985">
              <w:rPr>
                <w:rFonts w:asciiTheme="minorHAnsi" w:hAnsiTheme="minorHAnsi"/>
                <w:sz w:val="22"/>
                <w:szCs w:val="22"/>
                <w:lang w:val="en-US"/>
              </w:rPr>
              <w:t xml:space="preserve">Data Source: </w:t>
            </w:r>
            <w:r w:rsidRPr="003506AB">
              <w:rPr>
                <w:rFonts w:asciiTheme="minorHAnsi" w:hAnsiTheme="minorHAnsi"/>
                <w:sz w:val="22"/>
                <w:szCs w:val="22"/>
                <w:lang w:val="en-US"/>
              </w:rPr>
              <w:t>EMIS 2018</w:t>
            </w:r>
          </w:p>
          <w:p w14:paraId="1802AF44" w14:textId="77777777" w:rsidR="003A41BE" w:rsidRPr="00841766" w:rsidRDefault="003A41BE" w:rsidP="00FD44CE">
            <w:pPr>
              <w:pStyle w:val="Default"/>
              <w:rPr>
                <w:rFonts w:asciiTheme="minorHAnsi" w:hAnsiTheme="minorHAnsi" w:cstheme="minorHAnsi"/>
                <w:sz w:val="22"/>
                <w:szCs w:val="22"/>
                <w:lang w:val="en-US"/>
              </w:rPr>
            </w:pPr>
          </w:p>
        </w:tc>
        <w:tc>
          <w:tcPr>
            <w:tcW w:w="4116" w:type="dxa"/>
            <w:vMerge/>
          </w:tcPr>
          <w:p w14:paraId="3A0A8784"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05962733" w14:textId="77777777" w:rsidTr="53E3C463">
        <w:trPr>
          <w:trHeight w:val="256"/>
        </w:trPr>
        <w:tc>
          <w:tcPr>
            <w:tcW w:w="4529" w:type="dxa"/>
            <w:vMerge/>
          </w:tcPr>
          <w:p w14:paraId="5B514227"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3CBB3" w14:textId="77777777" w:rsidR="003A41BE" w:rsidRDefault="003A41BE" w:rsidP="00FD44CE">
            <w:pPr>
              <w:autoSpaceDE w:val="0"/>
              <w:autoSpaceDN w:val="0"/>
              <w:adjustRightInd w:val="0"/>
              <w:rPr>
                <w:rFonts w:cstheme="minorHAnsi"/>
                <w:sz w:val="22"/>
                <w:szCs w:val="22"/>
                <w:lang w:val="en-US"/>
              </w:rPr>
            </w:pPr>
            <w:r w:rsidRPr="00841766">
              <w:rPr>
                <w:rFonts w:cstheme="minorHAnsi"/>
                <w:b/>
                <w:sz w:val="22"/>
                <w:szCs w:val="22"/>
                <w:lang w:val="en-US"/>
              </w:rPr>
              <w:t>Indicator 3.</w:t>
            </w:r>
            <w:r>
              <w:rPr>
                <w:rFonts w:cstheme="minorHAnsi"/>
                <w:b/>
                <w:sz w:val="22"/>
                <w:szCs w:val="22"/>
                <w:lang w:val="en-US"/>
              </w:rPr>
              <w:t>2</w:t>
            </w:r>
            <w:r w:rsidRPr="00841766">
              <w:rPr>
                <w:rFonts w:cstheme="minorHAnsi"/>
                <w:b/>
                <w:sz w:val="22"/>
                <w:szCs w:val="22"/>
                <w:lang w:val="en-US"/>
              </w:rPr>
              <w:t xml:space="preserve">.4: </w:t>
            </w:r>
            <w:r w:rsidRPr="00841766">
              <w:rPr>
                <w:rFonts w:cstheme="minorHAnsi"/>
                <w:sz w:val="22"/>
                <w:szCs w:val="22"/>
                <w:lang w:val="en-US"/>
              </w:rPr>
              <w:t>Proportion of teachers</w:t>
            </w:r>
            <w:r>
              <w:rPr>
                <w:rFonts w:cstheme="minorHAnsi"/>
                <w:sz w:val="22"/>
                <w:szCs w:val="22"/>
                <w:lang w:val="en-US"/>
              </w:rPr>
              <w:t xml:space="preserve"> in a) pre-primary; </w:t>
            </w:r>
            <w:r>
              <w:rPr>
                <w:rFonts w:cstheme="minorHAnsi"/>
                <w:sz w:val="22"/>
                <w:szCs w:val="22"/>
                <w:lang w:val="en-US"/>
              </w:rPr>
              <w:br/>
              <w:t xml:space="preserve">b) primary; c) lower secondary; and d) upper secondary education who have received at least the minimum organized teacher training (e.g. pedagogical training) pre-service or in-service required for teaching at the relevant level in given country (SDG Indicator 4.c.1) </w:t>
            </w:r>
          </w:p>
          <w:p w14:paraId="2A8A83B2" w14:textId="77777777" w:rsidR="003A41BE" w:rsidRDefault="003A41BE" w:rsidP="00FD44CE">
            <w:pPr>
              <w:autoSpaceDE w:val="0"/>
              <w:autoSpaceDN w:val="0"/>
              <w:adjustRightInd w:val="0"/>
              <w:rPr>
                <w:rFonts w:cstheme="minorHAnsi"/>
                <w:sz w:val="22"/>
                <w:szCs w:val="22"/>
                <w:lang w:val="en-US"/>
              </w:rPr>
            </w:pPr>
          </w:p>
          <w:p w14:paraId="1EEB0C32" w14:textId="77777777" w:rsidR="003A41BE" w:rsidRPr="007E58D6" w:rsidRDefault="003A41BE" w:rsidP="00FD44CE">
            <w:pPr>
              <w:autoSpaceDE w:val="0"/>
              <w:autoSpaceDN w:val="0"/>
              <w:adjustRightInd w:val="0"/>
              <w:rPr>
                <w:rFonts w:cstheme="minorHAnsi"/>
                <w:sz w:val="22"/>
                <w:szCs w:val="22"/>
                <w:lang w:val="en-US"/>
              </w:rPr>
            </w:pPr>
            <w:r w:rsidRPr="002A7985">
              <w:rPr>
                <w:rFonts w:cstheme="minorHAnsi"/>
                <w:sz w:val="22"/>
                <w:szCs w:val="22"/>
                <w:u w:val="single"/>
                <w:lang w:val="en-US"/>
              </w:rPr>
              <w:t xml:space="preserve">Proxy </w:t>
            </w:r>
            <w:r w:rsidRPr="00B12F00">
              <w:rPr>
                <w:rFonts w:cstheme="minorHAnsi"/>
                <w:sz w:val="22"/>
                <w:szCs w:val="22"/>
                <w:u w:val="single"/>
                <w:lang w:val="en-US"/>
              </w:rPr>
              <w:t>Indicator:</w:t>
            </w:r>
            <w:r w:rsidRPr="00B12F00">
              <w:rPr>
                <w:rFonts w:cstheme="minorHAnsi"/>
                <w:sz w:val="22"/>
                <w:szCs w:val="22"/>
                <w:lang w:val="en-US"/>
              </w:rPr>
              <w:t xml:space="preserve"> </w:t>
            </w:r>
            <w:r w:rsidRPr="007E58D6">
              <w:rPr>
                <w:rFonts w:cstheme="minorHAnsi"/>
                <w:sz w:val="22"/>
                <w:szCs w:val="22"/>
                <w:lang w:val="en-US"/>
              </w:rPr>
              <w:t>Pre-school, primary, secondary teachers that have qualifications in line with Government standards</w:t>
            </w:r>
          </w:p>
          <w:tbl>
            <w:tblPr>
              <w:tblStyle w:val="TableGrid"/>
              <w:tblW w:w="5527" w:type="dxa"/>
              <w:tblLayout w:type="fixed"/>
              <w:tblLook w:val="04A0" w:firstRow="1" w:lastRow="0" w:firstColumn="1" w:lastColumn="0" w:noHBand="0" w:noVBand="1"/>
            </w:tblPr>
            <w:tblGrid>
              <w:gridCol w:w="2017"/>
              <w:gridCol w:w="1510"/>
              <w:gridCol w:w="2000"/>
            </w:tblGrid>
            <w:tr w:rsidR="003A41BE" w14:paraId="04A3F5C8" w14:textId="77777777" w:rsidTr="00FD44CE">
              <w:tc>
                <w:tcPr>
                  <w:tcW w:w="2017" w:type="dxa"/>
                </w:tcPr>
                <w:p w14:paraId="3A3FAD69" w14:textId="77777777" w:rsidR="003A41BE" w:rsidRPr="00B12F00" w:rsidRDefault="003A41BE" w:rsidP="002A37E3">
                  <w:pPr>
                    <w:framePr w:hSpace="141" w:wrap="around" w:vAnchor="text" w:hAnchor="text" w:x="421" w:y="1"/>
                    <w:suppressOverlap/>
                    <w:jc w:val="center"/>
                    <w:rPr>
                      <w:sz w:val="22"/>
                      <w:szCs w:val="22"/>
                      <w:lang w:val="en-US"/>
                    </w:rPr>
                  </w:pPr>
                </w:p>
              </w:tc>
              <w:tc>
                <w:tcPr>
                  <w:tcW w:w="1510" w:type="dxa"/>
                </w:tcPr>
                <w:p w14:paraId="37EC676B" w14:textId="77777777" w:rsidR="003A41BE" w:rsidRPr="00B12F00" w:rsidRDefault="003A41BE" w:rsidP="002A37E3">
                  <w:pPr>
                    <w:framePr w:hSpace="141" w:wrap="around" w:vAnchor="text" w:hAnchor="text" w:x="421" w:y="1"/>
                    <w:suppressOverlap/>
                    <w:jc w:val="center"/>
                    <w:rPr>
                      <w:sz w:val="22"/>
                      <w:szCs w:val="22"/>
                      <w:lang w:val="en-US"/>
                    </w:rPr>
                  </w:pPr>
                  <w:r w:rsidRPr="00B12F00">
                    <w:rPr>
                      <w:sz w:val="22"/>
                      <w:szCs w:val="22"/>
                      <w:lang w:val="en-US"/>
                    </w:rPr>
                    <w:t>Baseline</w:t>
                  </w:r>
                </w:p>
              </w:tc>
              <w:tc>
                <w:tcPr>
                  <w:tcW w:w="2000" w:type="dxa"/>
                </w:tcPr>
                <w:p w14:paraId="03483849" w14:textId="77777777" w:rsidR="003A41BE" w:rsidRDefault="003A41BE" w:rsidP="002A37E3">
                  <w:pPr>
                    <w:framePr w:hSpace="141" w:wrap="around" w:vAnchor="text" w:hAnchor="text" w:x="421" w:y="1"/>
                    <w:suppressOverlap/>
                    <w:jc w:val="center"/>
                    <w:rPr>
                      <w:sz w:val="22"/>
                      <w:szCs w:val="22"/>
                      <w:lang w:val="en-US"/>
                    </w:rPr>
                  </w:pPr>
                  <w:r w:rsidRPr="00B12F00">
                    <w:rPr>
                      <w:sz w:val="22"/>
                      <w:szCs w:val="22"/>
                      <w:lang w:val="en-US"/>
                    </w:rPr>
                    <w:t>Target</w:t>
                  </w:r>
                </w:p>
              </w:tc>
            </w:tr>
            <w:tr w:rsidR="003A41BE" w:rsidRPr="00DA2276" w14:paraId="567B5A79" w14:textId="77777777" w:rsidTr="00FD44CE">
              <w:tc>
                <w:tcPr>
                  <w:tcW w:w="2017" w:type="dxa"/>
                </w:tcPr>
                <w:p w14:paraId="2118A20C"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 xml:space="preserve">Pre-school </w:t>
                  </w:r>
                </w:p>
              </w:tc>
              <w:tc>
                <w:tcPr>
                  <w:tcW w:w="1510" w:type="dxa"/>
                </w:tcPr>
                <w:p w14:paraId="490D6D28"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34%</w:t>
                  </w:r>
                </w:p>
              </w:tc>
              <w:tc>
                <w:tcPr>
                  <w:tcW w:w="2000" w:type="dxa"/>
                </w:tcPr>
                <w:p w14:paraId="23217B13" w14:textId="77777777" w:rsidR="003A41BE" w:rsidRPr="00DA2276" w:rsidRDefault="003A41BE" w:rsidP="002A37E3">
                  <w:pPr>
                    <w:framePr w:hSpace="141" w:wrap="around" w:vAnchor="text" w:hAnchor="text" w:x="421" w:y="1"/>
                    <w:suppressOverlap/>
                    <w:jc w:val="center"/>
                    <w:rPr>
                      <w:sz w:val="22"/>
                      <w:szCs w:val="22"/>
                      <w:lang w:val="en-US"/>
                    </w:rPr>
                  </w:pPr>
                  <w:r w:rsidRPr="007E58D6">
                    <w:rPr>
                      <w:sz w:val="22"/>
                      <w:szCs w:val="22"/>
                      <w:lang w:val="en-US"/>
                    </w:rPr>
                    <w:t xml:space="preserve">Under discussion with relevant partners </w:t>
                  </w:r>
                </w:p>
              </w:tc>
            </w:tr>
            <w:tr w:rsidR="003A41BE" w:rsidRPr="00DA2276" w14:paraId="4330F206" w14:textId="77777777" w:rsidTr="00FD44CE">
              <w:tc>
                <w:tcPr>
                  <w:tcW w:w="2017" w:type="dxa"/>
                </w:tcPr>
                <w:p w14:paraId="554AB43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Basic education</w:t>
                  </w:r>
                </w:p>
              </w:tc>
              <w:tc>
                <w:tcPr>
                  <w:tcW w:w="1510" w:type="dxa"/>
                </w:tcPr>
                <w:p w14:paraId="2DF171A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76%</w:t>
                  </w:r>
                </w:p>
              </w:tc>
              <w:tc>
                <w:tcPr>
                  <w:tcW w:w="2000" w:type="dxa"/>
                </w:tcPr>
                <w:p w14:paraId="22A230A5" w14:textId="77777777" w:rsidR="003A41BE" w:rsidRPr="007E58D6" w:rsidRDefault="003A41BE" w:rsidP="002A37E3">
                  <w:pPr>
                    <w:framePr w:hSpace="141" w:wrap="around" w:vAnchor="text" w:hAnchor="text" w:x="421" w:y="1"/>
                    <w:suppressOverlap/>
                    <w:jc w:val="center"/>
                    <w:rPr>
                      <w:sz w:val="22"/>
                      <w:szCs w:val="22"/>
                      <w:lang w:val="en-US"/>
                    </w:rPr>
                  </w:pPr>
                </w:p>
              </w:tc>
            </w:tr>
            <w:tr w:rsidR="003A41BE" w:rsidRPr="00DA2276" w14:paraId="2DF67A87" w14:textId="77777777" w:rsidTr="00FD44CE">
              <w:tc>
                <w:tcPr>
                  <w:tcW w:w="2017" w:type="dxa"/>
                </w:tcPr>
                <w:p w14:paraId="47C19FFA"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 xml:space="preserve">Secondary </w:t>
                  </w:r>
                </w:p>
              </w:tc>
              <w:tc>
                <w:tcPr>
                  <w:tcW w:w="1510" w:type="dxa"/>
                </w:tcPr>
                <w:p w14:paraId="6A2324D1"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96%</w:t>
                  </w:r>
                </w:p>
              </w:tc>
              <w:tc>
                <w:tcPr>
                  <w:tcW w:w="2000" w:type="dxa"/>
                </w:tcPr>
                <w:p w14:paraId="61484E73" w14:textId="77777777" w:rsidR="003A41BE" w:rsidRPr="007E58D6" w:rsidRDefault="003A41BE" w:rsidP="002A37E3">
                  <w:pPr>
                    <w:framePr w:hSpace="141" w:wrap="around" w:vAnchor="text" w:hAnchor="text" w:x="421" w:y="1"/>
                    <w:suppressOverlap/>
                    <w:jc w:val="center"/>
                    <w:rPr>
                      <w:sz w:val="22"/>
                      <w:szCs w:val="22"/>
                      <w:lang w:val="en-US"/>
                    </w:rPr>
                  </w:pPr>
                </w:p>
              </w:tc>
            </w:tr>
          </w:tbl>
          <w:p w14:paraId="63C76455" w14:textId="77777777" w:rsidR="003A41BE" w:rsidRDefault="003A41BE" w:rsidP="00FD44CE">
            <w:pPr>
              <w:autoSpaceDE w:val="0"/>
              <w:autoSpaceDN w:val="0"/>
              <w:adjustRightInd w:val="0"/>
              <w:rPr>
                <w:rFonts w:cstheme="minorHAnsi"/>
                <w:b/>
                <w:sz w:val="22"/>
                <w:szCs w:val="22"/>
                <w:lang w:val="en-US"/>
              </w:rPr>
            </w:pPr>
            <w:r w:rsidRPr="003F4BC2">
              <w:rPr>
                <w:rFonts w:cstheme="minorHAnsi"/>
                <w:sz w:val="22"/>
                <w:szCs w:val="22"/>
                <w:lang w:val="en-US"/>
              </w:rPr>
              <w:t xml:space="preserve">Data Source: </w:t>
            </w:r>
            <w:r w:rsidRPr="00235694">
              <w:rPr>
                <w:rFonts w:cstheme="minorHAnsi"/>
                <w:sz w:val="22"/>
                <w:szCs w:val="22"/>
                <w:lang w:val="en-US"/>
              </w:rPr>
              <w:t>EMIS 2018</w:t>
            </w:r>
          </w:p>
          <w:p w14:paraId="7361022B" w14:textId="77777777" w:rsidR="003A41BE" w:rsidRPr="00841766" w:rsidRDefault="003A41BE" w:rsidP="00FD44CE">
            <w:pPr>
              <w:pStyle w:val="Default"/>
              <w:rPr>
                <w:rFonts w:cstheme="minorHAnsi"/>
                <w:sz w:val="22"/>
                <w:szCs w:val="22"/>
                <w:lang w:val="en-US"/>
              </w:rPr>
            </w:pPr>
          </w:p>
        </w:tc>
        <w:tc>
          <w:tcPr>
            <w:tcW w:w="4116" w:type="dxa"/>
            <w:vMerge/>
          </w:tcPr>
          <w:p w14:paraId="6B9D1E09"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31F7459D" w14:textId="77777777" w:rsidTr="53E3C463">
        <w:trPr>
          <w:trHeight w:val="256"/>
        </w:trPr>
        <w:tc>
          <w:tcPr>
            <w:tcW w:w="4529" w:type="dxa"/>
            <w:vMerge w:val="restart"/>
            <w:tcBorders>
              <w:top w:val="single" w:sz="4" w:space="0" w:color="auto"/>
              <w:left w:val="single" w:sz="4" w:space="0" w:color="auto"/>
              <w:right w:val="single" w:sz="4" w:space="0" w:color="auto"/>
            </w:tcBorders>
            <w:shd w:val="clear" w:color="auto" w:fill="8EAADB" w:themeFill="accent1" w:themeFillTint="99"/>
          </w:tcPr>
          <w:p w14:paraId="6C6A809A" w14:textId="77777777" w:rsidR="003A41BE" w:rsidRPr="00841766" w:rsidRDefault="003A41BE" w:rsidP="00FD44CE">
            <w:pPr>
              <w:jc w:val="both"/>
              <w:rPr>
                <w:rFonts w:cstheme="minorHAnsi"/>
                <w:b/>
                <w:color w:val="000000" w:themeColor="text1"/>
                <w:sz w:val="22"/>
                <w:szCs w:val="22"/>
                <w:lang w:val="en-US"/>
              </w:rPr>
            </w:pPr>
            <w:r>
              <w:rPr>
                <w:rFonts w:cstheme="minorHAnsi"/>
                <w:b/>
                <w:color w:val="000000" w:themeColor="text1"/>
                <w:sz w:val="22"/>
                <w:szCs w:val="22"/>
                <w:lang w:val="en-US"/>
              </w:rPr>
              <w:t>Sub-o</w:t>
            </w:r>
            <w:r w:rsidRPr="00841766">
              <w:rPr>
                <w:rFonts w:cstheme="minorHAnsi"/>
                <w:b/>
                <w:color w:val="000000" w:themeColor="text1"/>
                <w:sz w:val="22"/>
                <w:szCs w:val="22"/>
                <w:lang w:val="en-US"/>
              </w:rPr>
              <w:t>utcome 3.3:</w:t>
            </w:r>
          </w:p>
          <w:p w14:paraId="4CD4932C" w14:textId="77777777" w:rsidR="003A41BE" w:rsidRPr="00841766" w:rsidRDefault="003A41BE" w:rsidP="00FD44CE">
            <w:pPr>
              <w:rPr>
                <w:rFonts w:cstheme="minorHAnsi"/>
                <w:sz w:val="22"/>
                <w:szCs w:val="22"/>
                <w:lang w:val="en-US"/>
              </w:rPr>
            </w:pPr>
          </w:p>
          <w:p w14:paraId="121EE950" w14:textId="77777777" w:rsidR="003A41BE" w:rsidRPr="00841766" w:rsidRDefault="003A41BE" w:rsidP="00FD44CE">
            <w:pPr>
              <w:rPr>
                <w:rFonts w:cstheme="minorHAnsi"/>
                <w:b/>
                <w:sz w:val="22"/>
                <w:szCs w:val="22"/>
                <w:lang w:val="en-US"/>
              </w:rPr>
            </w:pPr>
            <w:r w:rsidRPr="00841766">
              <w:rPr>
                <w:rFonts w:cstheme="minorHAnsi"/>
                <w:b/>
                <w:sz w:val="22"/>
                <w:szCs w:val="22"/>
                <w:lang w:val="en-US"/>
              </w:rPr>
              <w:t>Life-long learning</w:t>
            </w:r>
          </w:p>
          <w:p w14:paraId="46E94BDF" w14:textId="77777777" w:rsidR="003A41BE" w:rsidRPr="00841766" w:rsidRDefault="003A41BE" w:rsidP="00FD44CE">
            <w:pPr>
              <w:rPr>
                <w:rFonts w:cstheme="minorHAnsi"/>
                <w:sz w:val="22"/>
                <w:szCs w:val="22"/>
                <w:lang w:val="en-US"/>
              </w:rPr>
            </w:pPr>
            <w:r w:rsidRPr="00841766">
              <w:rPr>
                <w:rFonts w:cstheme="minorHAnsi"/>
                <w:sz w:val="22"/>
                <w:szCs w:val="22"/>
                <w:lang w:val="en-US"/>
              </w:rPr>
              <w:t xml:space="preserve">By 2025, </w:t>
            </w:r>
            <w:r w:rsidRPr="00841766">
              <w:rPr>
                <w:rFonts w:cstheme="minorHAnsi"/>
                <w:color w:val="000000"/>
                <w:sz w:val="22"/>
                <w:szCs w:val="22"/>
                <w:lang w:val="en-US"/>
              </w:rPr>
              <w:t xml:space="preserve">out-of-school children, youth, young mothers </w:t>
            </w:r>
            <w:r w:rsidRPr="00841766">
              <w:rPr>
                <w:rFonts w:cstheme="minorHAnsi"/>
                <w:color w:val="000000"/>
                <w:kern w:val="24"/>
                <w:sz w:val="22"/>
                <w:szCs w:val="22"/>
                <w:lang w:val="en-US"/>
              </w:rPr>
              <w:t xml:space="preserve">and adults, </w:t>
            </w:r>
            <w:r w:rsidRPr="00841766">
              <w:rPr>
                <w:rFonts w:cstheme="minorHAnsi"/>
                <w:sz w:val="22"/>
                <w:szCs w:val="22"/>
                <w:lang w:val="en-US"/>
              </w:rPr>
              <w:t>particularly in rural and poor urban areas, have increased access to inclusive, equitable, relevant and quality formal and non-formal education, including</w:t>
            </w:r>
            <w:r w:rsidRPr="00841766">
              <w:rPr>
                <w:rFonts w:cstheme="minorHAnsi"/>
                <w:sz w:val="20"/>
                <w:lang w:val="en-US"/>
              </w:rPr>
              <w:t xml:space="preserve"> </w:t>
            </w:r>
            <w:r w:rsidRPr="00841766">
              <w:rPr>
                <w:rFonts w:ascii="Calibri" w:hAnsi="Calibri" w:cs="Calibri"/>
                <w:sz w:val="22"/>
                <w:szCs w:val="22"/>
                <w:lang w:val="en-US"/>
              </w:rPr>
              <w:t>through social protection and other schemes, and to</w:t>
            </w:r>
            <w:r w:rsidRPr="00841766">
              <w:rPr>
                <w:rFonts w:ascii="Calibri" w:hAnsi="Calibri" w:cs="Calibri"/>
                <w:sz w:val="20"/>
                <w:szCs w:val="20"/>
                <w:lang w:val="en-US"/>
              </w:rPr>
              <w:t xml:space="preserve"> </w:t>
            </w:r>
            <w:r w:rsidRPr="00841766">
              <w:rPr>
                <w:rFonts w:cstheme="minorHAnsi"/>
                <w:sz w:val="22"/>
                <w:szCs w:val="22"/>
                <w:lang w:val="en-US"/>
              </w:rPr>
              <w:t xml:space="preserve">innovative learning pathways that promotes lifelong learning. </w:t>
            </w:r>
          </w:p>
          <w:p w14:paraId="7F10917C"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A3C55" w14:textId="71ABA4AC" w:rsidR="003A41BE" w:rsidRDefault="003A41BE" w:rsidP="00FD44CE">
            <w:pPr>
              <w:autoSpaceDE w:val="0"/>
              <w:autoSpaceDN w:val="0"/>
              <w:adjustRightInd w:val="0"/>
              <w:rPr>
                <w:rFonts w:cstheme="minorHAnsi"/>
                <w:sz w:val="22"/>
                <w:szCs w:val="22"/>
                <w:highlight w:val="yellow"/>
                <w:lang w:val="en-US"/>
              </w:rPr>
            </w:pPr>
            <w:r w:rsidRPr="00841766">
              <w:rPr>
                <w:rFonts w:cstheme="minorHAnsi"/>
                <w:b/>
                <w:sz w:val="22"/>
                <w:szCs w:val="22"/>
                <w:lang w:val="en-US"/>
              </w:rPr>
              <w:t>Indicator 3.3.1</w:t>
            </w:r>
            <w:bookmarkStart w:id="161" w:name="_Hlk26429993"/>
            <w:r w:rsidRPr="00841766">
              <w:rPr>
                <w:rFonts w:cstheme="minorHAnsi"/>
                <w:b/>
                <w:sz w:val="22"/>
                <w:szCs w:val="22"/>
                <w:lang w:val="en-US"/>
              </w:rPr>
              <w:t xml:space="preserve">: </w:t>
            </w:r>
            <w:r w:rsidRPr="00841766">
              <w:rPr>
                <w:rFonts w:cstheme="minorHAnsi"/>
                <w:sz w:val="22"/>
                <w:szCs w:val="22"/>
                <w:lang w:val="en-US"/>
              </w:rPr>
              <w:t>Participation rate of youth and adults in formal and non-formal education and training in the last 12 months (</w:t>
            </w:r>
            <w:r>
              <w:rPr>
                <w:rFonts w:cstheme="minorHAnsi"/>
                <w:sz w:val="22"/>
                <w:szCs w:val="22"/>
                <w:lang w:val="en-US"/>
              </w:rPr>
              <w:t xml:space="preserve">SDG Indicator </w:t>
            </w:r>
            <w:r w:rsidRPr="00841766">
              <w:rPr>
                <w:rFonts w:cstheme="minorHAnsi"/>
                <w:sz w:val="22"/>
                <w:szCs w:val="22"/>
                <w:lang w:val="en-US"/>
              </w:rPr>
              <w:t xml:space="preserve">4.3.1) </w:t>
            </w:r>
            <w:bookmarkEnd w:id="161"/>
          </w:p>
          <w:p w14:paraId="52D94D23" w14:textId="2ED2047F" w:rsidR="003A41BE" w:rsidRDefault="003A41BE" w:rsidP="00FD44CE">
            <w:pPr>
              <w:autoSpaceDE w:val="0"/>
              <w:autoSpaceDN w:val="0"/>
              <w:adjustRightInd w:val="0"/>
              <w:rPr>
                <w:rFonts w:cstheme="minorHAnsi"/>
                <w:sz w:val="22"/>
                <w:szCs w:val="22"/>
                <w:lang w:val="en-US"/>
              </w:rPr>
            </w:pPr>
            <w:r w:rsidRPr="002A7985">
              <w:rPr>
                <w:rFonts w:cstheme="minorHAnsi"/>
                <w:sz w:val="22"/>
                <w:szCs w:val="22"/>
                <w:u w:val="single"/>
                <w:lang w:val="en-US"/>
              </w:rPr>
              <w:t>Proxy Indicator:</w:t>
            </w:r>
            <w:r w:rsidRPr="002A7985">
              <w:rPr>
                <w:rFonts w:cstheme="minorHAnsi"/>
                <w:b/>
                <w:bCs/>
                <w:sz w:val="22"/>
                <w:szCs w:val="22"/>
                <w:lang w:val="en-US"/>
              </w:rPr>
              <w:t xml:space="preserve"> </w:t>
            </w:r>
            <w:r w:rsidRPr="002A7985">
              <w:rPr>
                <w:rFonts w:cstheme="minorHAnsi"/>
                <w:sz w:val="22"/>
                <w:szCs w:val="22"/>
                <w:lang w:val="en-US"/>
              </w:rPr>
              <w:t>Percent currently following any technical or vocational training or course, outside the formal secondary, polytechnic or university education</w:t>
            </w:r>
          </w:p>
          <w:p w14:paraId="6E24884F" w14:textId="77777777" w:rsidR="00C11980" w:rsidRPr="002A7985" w:rsidRDefault="00C11980" w:rsidP="00FD44CE">
            <w:pPr>
              <w:autoSpaceDE w:val="0"/>
              <w:autoSpaceDN w:val="0"/>
              <w:adjustRightInd w:val="0"/>
              <w:rPr>
                <w:rFonts w:cstheme="minorHAnsi"/>
                <w:sz w:val="22"/>
                <w:szCs w:val="22"/>
                <w:lang w:val="en-US"/>
              </w:rPr>
            </w:pPr>
          </w:p>
          <w:tbl>
            <w:tblPr>
              <w:tblStyle w:val="TableGrid"/>
              <w:tblW w:w="0" w:type="auto"/>
              <w:tblLayout w:type="fixed"/>
              <w:tblLook w:val="04A0" w:firstRow="1" w:lastRow="0" w:firstColumn="1" w:lastColumn="0" w:noHBand="0" w:noVBand="1"/>
            </w:tblPr>
            <w:tblGrid>
              <w:gridCol w:w="2654"/>
              <w:gridCol w:w="2847"/>
            </w:tblGrid>
            <w:tr w:rsidR="003A41BE" w14:paraId="1159AEE0" w14:textId="77777777" w:rsidTr="000135BE">
              <w:trPr>
                <w:trHeight w:val="358"/>
              </w:trPr>
              <w:tc>
                <w:tcPr>
                  <w:tcW w:w="2654" w:type="dxa"/>
                </w:tcPr>
                <w:p w14:paraId="757123C2"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2847" w:type="dxa"/>
                </w:tcPr>
                <w:p w14:paraId="1075C6D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58CF4FEF" w14:textId="77777777" w:rsidTr="000135BE">
              <w:trPr>
                <w:trHeight w:val="116"/>
              </w:trPr>
              <w:tc>
                <w:tcPr>
                  <w:tcW w:w="2654" w:type="dxa"/>
                </w:tcPr>
                <w:p w14:paraId="38968484" w14:textId="59C43E94" w:rsidR="003A41BE" w:rsidRPr="00537F65" w:rsidRDefault="005A1C24" w:rsidP="002A37E3">
                  <w:pPr>
                    <w:framePr w:hSpace="141" w:wrap="around" w:vAnchor="text" w:hAnchor="text" w:x="421" w:y="1"/>
                    <w:suppressOverlap/>
                    <w:jc w:val="center"/>
                    <w:rPr>
                      <w:sz w:val="22"/>
                      <w:szCs w:val="22"/>
                      <w:lang w:val="en-US"/>
                    </w:rPr>
                  </w:pPr>
                  <w:r>
                    <w:rPr>
                      <w:sz w:val="22"/>
                      <w:szCs w:val="22"/>
                      <w:lang w:val="en-US"/>
                    </w:rPr>
                    <w:t xml:space="preserve">Census </w:t>
                  </w:r>
                  <w:r w:rsidR="00C134B8">
                    <w:rPr>
                      <w:sz w:val="22"/>
                      <w:szCs w:val="22"/>
                      <w:lang w:val="en-US"/>
                    </w:rPr>
                    <w:t xml:space="preserve">2021 </w:t>
                  </w:r>
                  <w:r>
                    <w:rPr>
                      <w:sz w:val="22"/>
                      <w:szCs w:val="22"/>
                      <w:lang w:val="en-US"/>
                    </w:rPr>
                    <w:t>to provide baseline</w:t>
                  </w:r>
                </w:p>
              </w:tc>
              <w:tc>
                <w:tcPr>
                  <w:tcW w:w="2847" w:type="dxa"/>
                </w:tcPr>
                <w:p w14:paraId="01669E30" w14:textId="77777777" w:rsidR="003A41BE" w:rsidRPr="00537F65" w:rsidRDefault="003A41BE" w:rsidP="002A37E3">
                  <w:pPr>
                    <w:framePr w:hSpace="141" w:wrap="around" w:vAnchor="text" w:hAnchor="text" w:x="421" w:y="1"/>
                    <w:suppressOverlap/>
                    <w:jc w:val="center"/>
                    <w:rPr>
                      <w:sz w:val="22"/>
                      <w:szCs w:val="22"/>
                      <w:lang w:val="en-US"/>
                    </w:rPr>
                  </w:pPr>
                  <w:r w:rsidRPr="007E58D6">
                    <w:rPr>
                      <w:sz w:val="22"/>
                      <w:szCs w:val="22"/>
                      <w:lang w:val="en-US"/>
                    </w:rPr>
                    <w:t>TBD</w:t>
                  </w:r>
                </w:p>
              </w:tc>
            </w:tr>
          </w:tbl>
          <w:p w14:paraId="243A5C05" w14:textId="314C3331" w:rsidR="003A41BE" w:rsidRPr="00841766" w:rsidRDefault="003D7147" w:rsidP="00FD44CE">
            <w:pPr>
              <w:autoSpaceDE w:val="0"/>
              <w:autoSpaceDN w:val="0"/>
              <w:adjustRightInd w:val="0"/>
              <w:rPr>
                <w:rFonts w:cstheme="minorHAnsi"/>
                <w:b/>
                <w:sz w:val="22"/>
                <w:szCs w:val="22"/>
                <w:lang w:val="en-US"/>
              </w:rPr>
            </w:pPr>
            <w:r>
              <w:rPr>
                <w:rFonts w:cstheme="minorHAnsi"/>
                <w:sz w:val="22"/>
                <w:szCs w:val="22"/>
                <w:lang w:val="en-US"/>
              </w:rPr>
              <w:t>Data Source: Census 2021</w:t>
            </w:r>
          </w:p>
        </w:tc>
        <w:tc>
          <w:tcPr>
            <w:tcW w:w="4116" w:type="dxa"/>
            <w:vMerge w:val="restart"/>
            <w:tcBorders>
              <w:top w:val="single" w:sz="4" w:space="0" w:color="auto"/>
              <w:left w:val="single" w:sz="4" w:space="0" w:color="auto"/>
              <w:right w:val="single" w:sz="4" w:space="0" w:color="auto"/>
            </w:tcBorders>
          </w:tcPr>
          <w:p w14:paraId="6DE8E2BD" w14:textId="77777777" w:rsidR="003A41BE" w:rsidRDefault="003A41BE" w:rsidP="00FD44CE">
            <w:pPr>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Ministry of Education Youth and Sport Ministry of Higher Education</w:t>
            </w:r>
            <w:r>
              <w:rPr>
                <w:rFonts w:eastAsiaTheme="minorEastAsia" w:hAnsi="Calibri"/>
                <w:color w:val="000000" w:themeColor="text1"/>
                <w:kern w:val="24"/>
                <w:sz w:val="22"/>
                <w:szCs w:val="22"/>
                <w:lang w:val="en-US"/>
              </w:rPr>
              <w:t xml:space="preserve">, </w:t>
            </w:r>
            <w:r w:rsidRPr="00841766">
              <w:rPr>
                <w:rFonts w:eastAsiaTheme="minorEastAsia" w:hAnsi="Calibri"/>
                <w:color w:val="000000" w:themeColor="text1"/>
                <w:kern w:val="24"/>
                <w:sz w:val="22"/>
                <w:szCs w:val="22"/>
                <w:lang w:val="en-US"/>
              </w:rPr>
              <w:t>Science and Culture</w:t>
            </w:r>
          </w:p>
          <w:p w14:paraId="1A4F4BF9" w14:textId="77777777" w:rsidR="003A41BE" w:rsidRDefault="003A41BE" w:rsidP="00FD44CE">
            <w:pPr>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Ministry of Finance</w:t>
            </w:r>
          </w:p>
          <w:p w14:paraId="6F2244BA" w14:textId="77777777" w:rsidR="003A41BE" w:rsidRPr="00841766" w:rsidRDefault="003A41BE" w:rsidP="00FD44CE">
            <w:pPr>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Ministry of Social Solidarity and Inclusion Ministry of State Administration</w:t>
            </w:r>
          </w:p>
          <w:p w14:paraId="10B39965" w14:textId="77777777" w:rsidR="003A41BE" w:rsidRDefault="003A41BE" w:rsidP="00FD44CE">
            <w:pPr>
              <w:rPr>
                <w:rFonts w:cstheme="minorHAnsi"/>
                <w:sz w:val="22"/>
                <w:szCs w:val="22"/>
                <w:lang w:val="en-US"/>
              </w:rPr>
            </w:pPr>
          </w:p>
          <w:p w14:paraId="55107B0D" w14:textId="77777777" w:rsidR="003A41BE" w:rsidRDefault="003A41BE" w:rsidP="00FD44CE">
            <w:pPr>
              <w:rPr>
                <w:rFonts w:eastAsiaTheme="minorEastAsia" w:hAnsi="Calibri"/>
                <w:color w:val="000000" w:themeColor="text1"/>
                <w:kern w:val="24"/>
                <w:sz w:val="22"/>
                <w:szCs w:val="22"/>
                <w:lang w:val="en-US"/>
              </w:rPr>
            </w:pPr>
            <w:r w:rsidRPr="00841766">
              <w:rPr>
                <w:rFonts w:cstheme="minorHAnsi"/>
                <w:sz w:val="22"/>
                <w:szCs w:val="22"/>
                <w:lang w:val="en-US"/>
              </w:rPr>
              <w:t>FAO, ILO</w:t>
            </w:r>
            <w:r>
              <w:rPr>
                <w:rFonts w:cstheme="minorHAnsi"/>
                <w:sz w:val="22"/>
                <w:szCs w:val="22"/>
                <w:lang w:val="en-US"/>
              </w:rPr>
              <w:t xml:space="preserve">, </w:t>
            </w:r>
            <w:r w:rsidRPr="00841766">
              <w:rPr>
                <w:rFonts w:cstheme="minorHAnsi"/>
                <w:sz w:val="22"/>
                <w:szCs w:val="22"/>
                <w:lang w:val="en-US"/>
              </w:rPr>
              <w:t xml:space="preserve">IOM, </w:t>
            </w:r>
            <w:r>
              <w:rPr>
                <w:rFonts w:cstheme="minorHAnsi"/>
                <w:sz w:val="22"/>
                <w:szCs w:val="22"/>
                <w:lang w:val="en-US"/>
              </w:rPr>
              <w:t xml:space="preserve">UNDP, </w:t>
            </w:r>
            <w:r w:rsidRPr="00841766">
              <w:rPr>
                <w:rFonts w:cstheme="minorHAnsi"/>
                <w:sz w:val="22"/>
                <w:szCs w:val="22"/>
                <w:lang w:val="en-US"/>
              </w:rPr>
              <w:t>UNESCO, UNFPA, UNICEF, UN Women, WFP, WHO, World Bank, DFAAT, Bilateral partners</w:t>
            </w:r>
            <w:r w:rsidRPr="00841766">
              <w:rPr>
                <w:rFonts w:eastAsiaTheme="minorEastAsia" w:hAnsi="Calibri"/>
                <w:color w:val="000000" w:themeColor="text1"/>
                <w:kern w:val="24"/>
                <w:sz w:val="22"/>
                <w:szCs w:val="22"/>
                <w:lang w:val="en-US"/>
              </w:rPr>
              <w:t xml:space="preserve"> </w:t>
            </w:r>
          </w:p>
          <w:p w14:paraId="744D86DF" w14:textId="77777777" w:rsidR="003A41BE" w:rsidRPr="00841766" w:rsidRDefault="003A41BE" w:rsidP="00FD44CE">
            <w:pPr>
              <w:rPr>
                <w:rFonts w:ascii="Times New Roman" w:eastAsia="Times New Roman" w:hAnsi="Times New Roman" w:cs="Times New Roman"/>
                <w:sz w:val="22"/>
                <w:szCs w:val="22"/>
                <w:lang w:val="en-US"/>
              </w:rPr>
            </w:pPr>
          </w:p>
          <w:p w14:paraId="5D3C2174" w14:textId="77777777" w:rsidR="003A41BE" w:rsidRPr="00841766" w:rsidRDefault="003A41BE" w:rsidP="00FD44CE">
            <w:pPr>
              <w:contextualSpacing/>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Local authorities/Municipalities</w:t>
            </w:r>
          </w:p>
          <w:p w14:paraId="66DC5680" w14:textId="77777777" w:rsidR="003A41BE" w:rsidRPr="00841766" w:rsidRDefault="003A41BE" w:rsidP="00FD44CE">
            <w:pPr>
              <w:contextualSpacing/>
              <w:rPr>
                <w:rFonts w:ascii="Times New Roman" w:eastAsia="Times New Roman" w:hAnsi="Times New Roman" w:cs="Times New Roman"/>
                <w:sz w:val="22"/>
                <w:szCs w:val="22"/>
                <w:lang w:val="en-US"/>
              </w:rPr>
            </w:pPr>
          </w:p>
          <w:p w14:paraId="2DEF53E7" w14:textId="77777777" w:rsidR="003A41BE" w:rsidRPr="00841766" w:rsidRDefault="003A41BE" w:rsidP="00FD44CE">
            <w:pPr>
              <w:contextualSpacing/>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Private sector including private schools; Universities, schools;</w:t>
            </w:r>
            <w:r w:rsidRPr="00841766">
              <w:rPr>
                <w:rFonts w:ascii="Times New Roman" w:eastAsia="Times New Roman" w:hAnsi="Times New Roman" w:cs="Times New Roman"/>
                <w:sz w:val="22"/>
                <w:szCs w:val="22"/>
                <w:lang w:val="en-US"/>
              </w:rPr>
              <w:t xml:space="preserve"> </w:t>
            </w:r>
            <w:r w:rsidRPr="00841766">
              <w:rPr>
                <w:rFonts w:eastAsiaTheme="minorEastAsia" w:hAnsi="Calibri"/>
                <w:color w:val="000000" w:themeColor="text1"/>
                <w:kern w:val="24"/>
                <w:sz w:val="22"/>
                <w:szCs w:val="22"/>
                <w:lang w:val="en-US"/>
              </w:rPr>
              <w:t>Parent associations;</w:t>
            </w:r>
            <w:r w:rsidRPr="00841766">
              <w:rPr>
                <w:rFonts w:ascii="Times New Roman" w:eastAsia="Times New Roman" w:hAnsi="Times New Roman" w:cs="Times New Roman"/>
                <w:sz w:val="22"/>
                <w:szCs w:val="22"/>
                <w:lang w:val="en-US"/>
              </w:rPr>
              <w:t xml:space="preserve"> </w:t>
            </w:r>
            <w:r w:rsidRPr="00841766">
              <w:rPr>
                <w:rFonts w:eastAsiaTheme="minorEastAsia" w:hAnsi="Calibri"/>
                <w:color w:val="000000" w:themeColor="text1"/>
                <w:kern w:val="24"/>
                <w:sz w:val="22"/>
                <w:szCs w:val="22"/>
                <w:lang w:val="en-US"/>
              </w:rPr>
              <w:t>Students councils.</w:t>
            </w:r>
          </w:p>
          <w:p w14:paraId="517291DE" w14:textId="77777777" w:rsidR="003A41BE" w:rsidRPr="00841766" w:rsidRDefault="003A41BE" w:rsidP="00FD44CE">
            <w:pPr>
              <w:contextualSpacing/>
              <w:rPr>
                <w:rFonts w:ascii="Times New Roman" w:eastAsia="Times New Roman" w:hAnsi="Times New Roman" w:cs="Times New Roman"/>
                <w:sz w:val="22"/>
                <w:szCs w:val="22"/>
                <w:lang w:val="en-US"/>
              </w:rPr>
            </w:pPr>
          </w:p>
          <w:p w14:paraId="3352E065" w14:textId="77777777" w:rsidR="003A41BE" w:rsidRPr="00841766" w:rsidRDefault="003A41BE" w:rsidP="00FD44CE">
            <w:pPr>
              <w:rPr>
                <w:rFonts w:eastAsiaTheme="minorEastAsia" w:hAnsi="Calibri"/>
                <w:color w:val="000000" w:themeColor="text1"/>
                <w:kern w:val="24"/>
                <w:sz w:val="22"/>
                <w:szCs w:val="22"/>
                <w:lang w:val="en-US"/>
              </w:rPr>
            </w:pPr>
            <w:r w:rsidRPr="00841766">
              <w:rPr>
                <w:rFonts w:eastAsiaTheme="minorEastAsia" w:hAnsi="Calibri"/>
                <w:color w:val="000000" w:themeColor="text1"/>
                <w:kern w:val="24"/>
                <w:sz w:val="22"/>
                <w:szCs w:val="22"/>
                <w:lang w:val="en-US"/>
              </w:rPr>
              <w:t>Development Partners</w:t>
            </w:r>
          </w:p>
          <w:p w14:paraId="0D774801" w14:textId="77777777" w:rsidR="003A41BE" w:rsidRDefault="003A41BE" w:rsidP="00FD44CE">
            <w:pPr>
              <w:autoSpaceDE w:val="0"/>
              <w:autoSpaceDN w:val="0"/>
              <w:adjustRightInd w:val="0"/>
              <w:rPr>
                <w:rFonts w:cstheme="minorHAnsi"/>
                <w:sz w:val="22"/>
                <w:szCs w:val="22"/>
                <w:lang w:val="en-US"/>
              </w:rPr>
            </w:pPr>
          </w:p>
          <w:p w14:paraId="34120284" w14:textId="77777777" w:rsidR="003A41BE" w:rsidRPr="00841766" w:rsidRDefault="003A41BE" w:rsidP="00FD44CE">
            <w:pPr>
              <w:autoSpaceDE w:val="0"/>
              <w:autoSpaceDN w:val="0"/>
              <w:adjustRightInd w:val="0"/>
              <w:rPr>
                <w:rFonts w:cstheme="minorHAnsi"/>
                <w:sz w:val="22"/>
                <w:szCs w:val="22"/>
                <w:lang w:val="en-US"/>
              </w:rPr>
            </w:pPr>
            <w:r>
              <w:rPr>
                <w:rFonts w:cstheme="minorHAnsi"/>
                <w:sz w:val="22"/>
                <w:szCs w:val="22"/>
                <w:lang w:val="en-US"/>
              </w:rPr>
              <w:t>DFAT</w:t>
            </w:r>
          </w:p>
        </w:tc>
      </w:tr>
      <w:tr w:rsidR="003A41BE" w:rsidRPr="006444BA" w14:paraId="7E2DD703" w14:textId="77777777" w:rsidTr="53E3C463">
        <w:trPr>
          <w:trHeight w:val="256"/>
        </w:trPr>
        <w:tc>
          <w:tcPr>
            <w:tcW w:w="4529" w:type="dxa"/>
            <w:vMerge/>
          </w:tcPr>
          <w:p w14:paraId="763672B2"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B0EA0" w14:textId="77777777" w:rsidR="003A41BE" w:rsidRPr="00EC19E1" w:rsidRDefault="003A41BE" w:rsidP="00FD44CE">
            <w:pPr>
              <w:rPr>
                <w:lang w:val="en-US"/>
              </w:rPr>
            </w:pPr>
            <w:r w:rsidRPr="003F4BC2">
              <w:rPr>
                <w:rFonts w:cstheme="minorHAnsi"/>
                <w:b/>
                <w:sz w:val="22"/>
                <w:szCs w:val="22"/>
                <w:lang w:val="en-US"/>
              </w:rPr>
              <w:t>Indicator 3.3.</w:t>
            </w:r>
            <w:r w:rsidRPr="00EC19E1">
              <w:rPr>
                <w:rFonts w:cstheme="minorHAnsi"/>
                <w:b/>
                <w:sz w:val="22"/>
                <w:szCs w:val="22"/>
                <w:lang w:val="en-US"/>
              </w:rPr>
              <w:t>2:</w:t>
            </w:r>
            <w:r w:rsidRPr="00EC19E1">
              <w:rPr>
                <w:rFonts w:cstheme="minorHAnsi"/>
                <w:b/>
                <w:lang w:val="en-US"/>
              </w:rPr>
              <w:t xml:space="preserve"> </w:t>
            </w:r>
            <w:r w:rsidRPr="002A7985">
              <w:rPr>
                <w:sz w:val="22"/>
                <w:szCs w:val="22"/>
                <w:lang w:val="en-US"/>
              </w:rPr>
              <w:t xml:space="preserve">Proportion of women </w:t>
            </w:r>
            <w:r w:rsidRPr="002A7985">
              <w:rPr>
                <w:rFonts w:cs="Times New Roman"/>
                <w:color w:val="000000"/>
                <w:sz w:val="22"/>
                <w:szCs w:val="22"/>
                <w:lang w:val="en-US"/>
              </w:rPr>
              <w:t>aged 20-</w:t>
            </w:r>
            <w:r w:rsidRPr="00EC19E1">
              <w:rPr>
                <w:rFonts w:cs="Times New Roman"/>
                <w:color w:val="000000"/>
                <w:sz w:val="22"/>
                <w:szCs w:val="22"/>
                <w:lang w:val="en-US"/>
              </w:rPr>
              <w:t>24</w:t>
            </w:r>
            <w:r w:rsidRPr="00EC19E1">
              <w:rPr>
                <w:sz w:val="32"/>
                <w:szCs w:val="32"/>
                <w:lang w:val="en-US"/>
              </w:rPr>
              <w:t xml:space="preserve"> </w:t>
            </w:r>
          </w:p>
          <w:p w14:paraId="6BCCE29E" w14:textId="77777777" w:rsidR="003A41BE" w:rsidRDefault="003A41BE" w:rsidP="00FD44CE">
            <w:pPr>
              <w:pStyle w:val="Default"/>
              <w:rPr>
                <w:rFonts w:asciiTheme="minorHAnsi" w:hAnsiTheme="minorHAnsi"/>
                <w:sz w:val="22"/>
                <w:szCs w:val="22"/>
                <w:lang w:val="en-US"/>
              </w:rPr>
            </w:pPr>
            <w:r w:rsidRPr="002A7985">
              <w:rPr>
                <w:rFonts w:asciiTheme="minorHAnsi" w:hAnsiTheme="minorHAnsi"/>
                <w:sz w:val="22"/>
                <w:szCs w:val="22"/>
                <w:lang w:val="en-US"/>
              </w:rPr>
              <w:t>years who were first married or in a union before age 15 and before age 18 (SDG indicator 5.3.1)</w:t>
            </w:r>
          </w:p>
          <w:tbl>
            <w:tblPr>
              <w:tblStyle w:val="TableGrid"/>
              <w:tblW w:w="0" w:type="auto"/>
              <w:tblLayout w:type="fixed"/>
              <w:tblLook w:val="04A0" w:firstRow="1" w:lastRow="0" w:firstColumn="1" w:lastColumn="0" w:noHBand="0" w:noVBand="1"/>
            </w:tblPr>
            <w:tblGrid>
              <w:gridCol w:w="1797"/>
              <w:gridCol w:w="1797"/>
              <w:gridCol w:w="1928"/>
            </w:tblGrid>
            <w:tr w:rsidR="003A41BE" w14:paraId="6D8F4056" w14:textId="77777777" w:rsidTr="00FD44CE">
              <w:trPr>
                <w:trHeight w:val="159"/>
              </w:trPr>
              <w:tc>
                <w:tcPr>
                  <w:tcW w:w="1797" w:type="dxa"/>
                </w:tcPr>
                <w:p w14:paraId="2E1EC714" w14:textId="77777777" w:rsidR="003A41BE" w:rsidRDefault="003A41BE" w:rsidP="002A37E3">
                  <w:pPr>
                    <w:framePr w:hSpace="141" w:wrap="around" w:vAnchor="text" w:hAnchor="text" w:x="421" w:y="1"/>
                    <w:suppressOverlap/>
                    <w:jc w:val="center"/>
                    <w:rPr>
                      <w:sz w:val="22"/>
                      <w:szCs w:val="22"/>
                      <w:lang w:val="en-US"/>
                    </w:rPr>
                  </w:pPr>
                </w:p>
              </w:tc>
              <w:tc>
                <w:tcPr>
                  <w:tcW w:w="1797" w:type="dxa"/>
                </w:tcPr>
                <w:p w14:paraId="6DC81185"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928" w:type="dxa"/>
                </w:tcPr>
                <w:p w14:paraId="2F55118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5F3519E8" w14:textId="77777777" w:rsidTr="00FD44CE">
              <w:trPr>
                <w:trHeight w:val="159"/>
              </w:trPr>
              <w:tc>
                <w:tcPr>
                  <w:tcW w:w="1797" w:type="dxa"/>
                </w:tcPr>
                <w:p w14:paraId="2BA4159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Before age 15</w:t>
                  </w:r>
                </w:p>
              </w:tc>
              <w:tc>
                <w:tcPr>
                  <w:tcW w:w="1797" w:type="dxa"/>
                </w:tcPr>
                <w:p w14:paraId="50DCD62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2.6%</w:t>
                  </w:r>
                </w:p>
              </w:tc>
              <w:tc>
                <w:tcPr>
                  <w:tcW w:w="1928" w:type="dxa"/>
                  <w:vMerge w:val="restart"/>
                </w:tcPr>
                <w:p w14:paraId="4310C55A" w14:textId="77777777" w:rsidR="003A41BE" w:rsidRPr="00537F65" w:rsidRDefault="003A41BE" w:rsidP="002A37E3">
                  <w:pPr>
                    <w:framePr w:hSpace="141" w:wrap="around" w:vAnchor="text" w:hAnchor="text" w:x="421" w:y="1"/>
                    <w:suppressOverlap/>
                    <w:jc w:val="center"/>
                    <w:rPr>
                      <w:sz w:val="22"/>
                      <w:szCs w:val="22"/>
                      <w:lang w:val="en-US"/>
                    </w:rPr>
                  </w:pPr>
                  <w:r w:rsidRPr="007E58D6">
                    <w:rPr>
                      <w:sz w:val="22"/>
                      <w:szCs w:val="22"/>
                      <w:lang w:val="en-US"/>
                    </w:rPr>
                    <w:t>Under discussion with relevant partners</w:t>
                  </w:r>
                </w:p>
                <w:p w14:paraId="756FDB18" w14:textId="77777777" w:rsidR="003A41BE" w:rsidRPr="00537F65" w:rsidRDefault="003A41BE" w:rsidP="002A37E3">
                  <w:pPr>
                    <w:framePr w:hSpace="141" w:wrap="around" w:vAnchor="text" w:hAnchor="text" w:x="421" w:y="1"/>
                    <w:suppressOverlap/>
                    <w:jc w:val="center"/>
                    <w:rPr>
                      <w:sz w:val="22"/>
                      <w:szCs w:val="22"/>
                      <w:lang w:val="en-US"/>
                    </w:rPr>
                  </w:pPr>
                </w:p>
              </w:tc>
            </w:tr>
            <w:tr w:rsidR="003A41BE" w14:paraId="79CC885D" w14:textId="77777777" w:rsidTr="00FD44CE">
              <w:trPr>
                <w:trHeight w:val="320"/>
              </w:trPr>
              <w:tc>
                <w:tcPr>
                  <w:tcW w:w="1797" w:type="dxa"/>
                </w:tcPr>
                <w:p w14:paraId="132FD298"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Before age 18</w:t>
                  </w:r>
                </w:p>
              </w:tc>
              <w:tc>
                <w:tcPr>
                  <w:tcW w:w="1797" w:type="dxa"/>
                </w:tcPr>
                <w:p w14:paraId="2CAEC79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15%</w:t>
                  </w:r>
                </w:p>
              </w:tc>
              <w:tc>
                <w:tcPr>
                  <w:tcW w:w="1928" w:type="dxa"/>
                  <w:vMerge/>
                </w:tcPr>
                <w:p w14:paraId="482CCD4B" w14:textId="77777777" w:rsidR="003A41BE" w:rsidRPr="00DA2276" w:rsidRDefault="003A41BE" w:rsidP="002A37E3">
                  <w:pPr>
                    <w:framePr w:hSpace="141" w:wrap="around" w:vAnchor="text" w:hAnchor="text" w:x="421" w:y="1"/>
                    <w:suppressOverlap/>
                    <w:jc w:val="center"/>
                    <w:rPr>
                      <w:sz w:val="22"/>
                      <w:szCs w:val="22"/>
                      <w:highlight w:val="yellow"/>
                      <w:lang w:val="en-US"/>
                    </w:rPr>
                  </w:pPr>
                </w:p>
              </w:tc>
            </w:tr>
          </w:tbl>
          <w:p w14:paraId="36985AFC" w14:textId="77777777" w:rsidR="003A41BE" w:rsidRPr="00841766" w:rsidRDefault="003A41BE" w:rsidP="00FD44CE">
            <w:pPr>
              <w:autoSpaceDE w:val="0"/>
              <w:autoSpaceDN w:val="0"/>
              <w:adjustRightInd w:val="0"/>
              <w:rPr>
                <w:rFonts w:cstheme="minorHAnsi"/>
                <w:b/>
                <w:sz w:val="22"/>
                <w:szCs w:val="22"/>
                <w:lang w:val="en-US"/>
              </w:rPr>
            </w:pPr>
            <w:r>
              <w:rPr>
                <w:rFonts w:cstheme="minorHAnsi"/>
                <w:sz w:val="22"/>
                <w:szCs w:val="22"/>
                <w:lang w:val="en-US"/>
              </w:rPr>
              <w:t xml:space="preserve">Data </w:t>
            </w:r>
            <w:r w:rsidRPr="002A7985">
              <w:rPr>
                <w:rFonts w:cstheme="minorHAnsi"/>
                <w:sz w:val="22"/>
                <w:szCs w:val="22"/>
                <w:lang w:val="en-US"/>
              </w:rPr>
              <w:t>Source: DHS 2016</w:t>
            </w:r>
          </w:p>
        </w:tc>
        <w:tc>
          <w:tcPr>
            <w:tcW w:w="4116" w:type="dxa"/>
            <w:vMerge/>
          </w:tcPr>
          <w:p w14:paraId="0DE7517D"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2A9761BA" w14:textId="77777777" w:rsidTr="53E3C463">
        <w:trPr>
          <w:trHeight w:val="549"/>
        </w:trPr>
        <w:tc>
          <w:tcPr>
            <w:tcW w:w="4535" w:type="dxa"/>
            <w:gridSpan w:val="2"/>
            <w:tcBorders>
              <w:top w:val="single" w:sz="4" w:space="0" w:color="auto"/>
              <w:left w:val="single" w:sz="4" w:space="0" w:color="auto"/>
              <w:right w:val="single" w:sz="4" w:space="0" w:color="auto"/>
            </w:tcBorders>
            <w:shd w:val="clear" w:color="auto" w:fill="2F5496" w:themeFill="accent1" w:themeFillShade="BF"/>
            <w:vAlign w:val="center"/>
          </w:tcPr>
          <w:p w14:paraId="3F9E8D8B" w14:textId="77777777" w:rsidR="003A41BE" w:rsidRPr="00841766" w:rsidRDefault="003A41BE" w:rsidP="00FD44CE">
            <w:pPr>
              <w:tabs>
                <w:tab w:val="left" w:pos="245"/>
              </w:tabs>
              <w:autoSpaceDE w:val="0"/>
              <w:autoSpaceDN w:val="0"/>
              <w:adjustRightInd w:val="0"/>
              <w:rPr>
                <w:rFonts w:cstheme="minorHAnsi"/>
                <w:b/>
                <w:sz w:val="26"/>
                <w:szCs w:val="26"/>
                <w:lang w:val="en-US"/>
              </w:rPr>
            </w:pPr>
            <w:r w:rsidRPr="00841766">
              <w:rPr>
                <w:rFonts w:cstheme="minorHAnsi"/>
                <w:b/>
                <w:color w:val="FFFFFF" w:themeColor="background1"/>
                <w:sz w:val="26"/>
                <w:szCs w:val="26"/>
                <w:lang w:val="en-US"/>
              </w:rPr>
              <w:t>UNSDCF Strategic Priority 4</w:t>
            </w:r>
          </w:p>
        </w:tc>
        <w:tc>
          <w:tcPr>
            <w:tcW w:w="9923" w:type="dxa"/>
            <w:gridSpan w:val="4"/>
            <w:tcBorders>
              <w:top w:val="single" w:sz="4" w:space="0" w:color="auto"/>
              <w:left w:val="single" w:sz="4" w:space="0" w:color="auto"/>
              <w:right w:val="single" w:sz="4" w:space="0" w:color="auto"/>
            </w:tcBorders>
            <w:shd w:val="clear" w:color="auto" w:fill="2F5496" w:themeFill="accent1" w:themeFillShade="BF"/>
            <w:vAlign w:val="center"/>
          </w:tcPr>
          <w:p w14:paraId="40A8E649" w14:textId="77777777" w:rsidR="003A41BE" w:rsidRPr="00841766" w:rsidRDefault="003A41BE" w:rsidP="00FD44CE">
            <w:pPr>
              <w:tabs>
                <w:tab w:val="left" w:pos="245"/>
              </w:tabs>
              <w:autoSpaceDE w:val="0"/>
              <w:autoSpaceDN w:val="0"/>
              <w:adjustRightInd w:val="0"/>
              <w:jc w:val="center"/>
              <w:rPr>
                <w:rFonts w:cstheme="minorHAnsi"/>
                <w:b/>
                <w:color w:val="FFFFFF" w:themeColor="background1"/>
                <w:sz w:val="26"/>
                <w:szCs w:val="26"/>
                <w:lang w:val="en-US"/>
              </w:rPr>
            </w:pPr>
            <w:r w:rsidRPr="00841766">
              <w:rPr>
                <w:rFonts w:cstheme="minorHAnsi"/>
                <w:b/>
                <w:color w:val="FFFFFF" w:themeColor="background1"/>
                <w:sz w:val="26"/>
                <w:szCs w:val="26"/>
                <w:lang w:val="en-US"/>
              </w:rPr>
              <w:t>QUALITY HEALTH</w:t>
            </w:r>
            <w:r>
              <w:rPr>
                <w:rFonts w:cstheme="minorHAnsi"/>
                <w:b/>
                <w:color w:val="FFFFFF" w:themeColor="background1"/>
                <w:sz w:val="26"/>
                <w:szCs w:val="26"/>
                <w:lang w:val="en-US"/>
              </w:rPr>
              <w:t xml:space="preserve"> </w:t>
            </w:r>
            <w:r w:rsidRPr="00841766">
              <w:rPr>
                <w:rFonts w:cstheme="minorHAnsi"/>
                <w:b/>
                <w:color w:val="FFFFFF" w:themeColor="background1"/>
                <w:sz w:val="26"/>
                <w:szCs w:val="26"/>
                <w:lang w:val="en-US"/>
              </w:rPr>
              <w:t>CARE AND WELL-BEING</w:t>
            </w:r>
          </w:p>
        </w:tc>
      </w:tr>
      <w:tr w:rsidR="003A41BE" w:rsidRPr="00841766" w14:paraId="13EA8D72"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8CE2EE" w14:textId="77777777" w:rsidR="003A41BE" w:rsidRPr="00841766" w:rsidRDefault="003A41BE" w:rsidP="00FD44CE">
            <w:pPr>
              <w:autoSpaceDE w:val="0"/>
              <w:autoSpaceDN w:val="0"/>
              <w:adjustRightInd w:val="0"/>
              <w:rPr>
                <w:rFonts w:cstheme="minorHAnsi"/>
                <w:lang w:val="en-US" w:eastAsia="en-GB"/>
              </w:rPr>
            </w:pPr>
            <w:r w:rsidRPr="00841766">
              <w:rPr>
                <w:rFonts w:cstheme="minorHAnsi"/>
                <w:b/>
                <w:lang w:val="en-US"/>
              </w:rPr>
              <w:t>Related Global SDG Targets</w:t>
            </w:r>
          </w:p>
        </w:tc>
      </w:tr>
      <w:tr w:rsidR="003A41BE" w:rsidRPr="006444BA" w14:paraId="0013EDFC"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40FEBF"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lastRenderedPageBreak/>
              <w:t xml:space="preserve">3.1 By 2030, reduce the global maternal mortality ratio to less than 70 per 100,000 live births </w:t>
            </w:r>
          </w:p>
          <w:p w14:paraId="60799EEE"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 xml:space="preserve">3.2 By 2030, end preventable deaths of newborns and children under 5 years of age, with all countries aiming to reduce neonatal mortality to at least as low as 12 per 1,000 live births and under-5 mortality to at least as low as 25 per 1,000 live births </w:t>
            </w:r>
          </w:p>
          <w:p w14:paraId="34D2FD7C"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 xml:space="preserve">3.3 By 2030, end the epidemics of AIDS, tuberculosis, malaria and neglected tropical diseases and combat hepatitis, water-borne diseases and other communicable diseases </w:t>
            </w:r>
          </w:p>
          <w:p w14:paraId="1D533C8A"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 xml:space="preserve">3.4 By 2030, reduce by one third premature mortality from non-communicable diseases through prevention and treatment and promote mental health and well-being </w:t>
            </w:r>
          </w:p>
          <w:p w14:paraId="1D464058"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 xml:space="preserve">3.7 By 2030, ensure universal access to sexual and reproductive health-care services, including for family planning, information and education, and the integration of reproductive health into national strategies and programmes </w:t>
            </w:r>
          </w:p>
          <w:p w14:paraId="2B1F2B04"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 xml:space="preserve">3.8 Achieve universal health coverage, including financial risk protection, access to quality essential health-care services and access to safe, effective, quality and affordable essential medicines and vaccines for all </w:t>
            </w:r>
          </w:p>
          <w:p w14:paraId="65C1F106"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 xml:space="preserve">3.a Strengthen the implementation of the World Health Organization Framework Convention on Tobacco Control in all countries, as appropriate </w:t>
            </w:r>
          </w:p>
          <w:p w14:paraId="5C485256"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3.c Substantially increase health financing and the recruitment, development, training and retention of the health workforce in developing countries, especially in least developed countries and small island developing States</w:t>
            </w:r>
          </w:p>
          <w:p w14:paraId="5D8BA14E" w14:textId="77777777" w:rsidR="003A41BE" w:rsidRPr="00841766" w:rsidRDefault="003A41BE" w:rsidP="00FD44CE">
            <w:pPr>
              <w:pStyle w:val="Default"/>
              <w:spacing w:after="63"/>
              <w:rPr>
                <w:rFonts w:asciiTheme="minorHAnsi" w:hAnsiTheme="minorHAnsi" w:cstheme="minorHAnsi"/>
                <w:sz w:val="22"/>
                <w:szCs w:val="22"/>
                <w:lang w:val="en-US"/>
              </w:rPr>
            </w:pPr>
            <w:r w:rsidRPr="00841766">
              <w:rPr>
                <w:rFonts w:asciiTheme="minorHAnsi" w:hAnsiTheme="minorHAnsi"/>
                <w:sz w:val="22"/>
                <w:szCs w:val="22"/>
                <w:lang w:val="en-US"/>
              </w:rPr>
              <w:t>3.d Strengthen the capacity of all countries, in particular developing countries, for early warning, risk reduction and management of national and global health risks</w:t>
            </w:r>
          </w:p>
          <w:p w14:paraId="50B81509"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 xml:space="preserve">17.19 By 2030, build on existing initiatives to develop measurements of progress on sustainable development that complement gross domestic product, and support statistical capacity-building in developing countries </w:t>
            </w:r>
          </w:p>
          <w:p w14:paraId="410BE318" w14:textId="77777777" w:rsidR="003A41BE" w:rsidRPr="00841766" w:rsidRDefault="003A41BE" w:rsidP="00FD44CE">
            <w:pPr>
              <w:pStyle w:val="Default"/>
              <w:spacing w:after="63"/>
              <w:rPr>
                <w:rFonts w:asciiTheme="minorHAnsi" w:hAnsiTheme="minorHAnsi"/>
                <w:color w:val="000000" w:themeColor="text1"/>
                <w:sz w:val="22"/>
                <w:szCs w:val="22"/>
                <w:lang w:val="en-US"/>
              </w:rPr>
            </w:pPr>
            <w:r w:rsidRPr="00841766">
              <w:rPr>
                <w:rFonts w:asciiTheme="minorHAnsi" w:hAnsiTheme="minorHAnsi"/>
                <w:color w:val="000000" w:themeColor="text1"/>
                <w:sz w:val="22"/>
                <w:szCs w:val="22"/>
                <w:lang w:val="en-US"/>
              </w:rPr>
              <w:t xml:space="preserve">1.3 Implement nationally appropriate social protection systems and measures for all, including floors, and by 2030 achieve substantial coverage of the poor and the vulnerable </w:t>
            </w:r>
          </w:p>
        </w:tc>
      </w:tr>
      <w:tr w:rsidR="003A41BE" w:rsidRPr="006444BA" w14:paraId="0FD0E8B4" w14:textId="77777777" w:rsidTr="53E3C463">
        <w:trPr>
          <w:trHeight w:val="1074"/>
        </w:trPr>
        <w:tc>
          <w:tcPr>
            <w:tcW w:w="14458" w:type="dxa"/>
            <w:gridSpan w:val="6"/>
            <w:tcBorders>
              <w:top w:val="single" w:sz="4" w:space="0" w:color="auto"/>
              <w:left w:val="single" w:sz="4" w:space="0" w:color="auto"/>
              <w:right w:val="single" w:sz="4" w:space="0" w:color="auto"/>
            </w:tcBorders>
            <w:shd w:val="clear" w:color="auto" w:fill="2F5496" w:themeFill="accent1" w:themeFillShade="BF"/>
            <w:vAlign w:val="center"/>
          </w:tcPr>
          <w:p w14:paraId="179D7CFE" w14:textId="77777777" w:rsidR="003A41BE" w:rsidRPr="00841766" w:rsidRDefault="003A41BE" w:rsidP="00FD44CE">
            <w:pPr>
              <w:pStyle w:val="ListParagraph"/>
              <w:tabs>
                <w:tab w:val="left" w:pos="245"/>
              </w:tabs>
              <w:autoSpaceDE w:val="0"/>
              <w:autoSpaceDN w:val="0"/>
              <w:adjustRightInd w:val="0"/>
              <w:ind w:left="95"/>
              <w:rPr>
                <w:rFonts w:cstheme="minorHAnsi"/>
                <w:color w:val="FFFFFF" w:themeColor="background1"/>
                <w:sz w:val="26"/>
                <w:szCs w:val="26"/>
                <w:lang w:val="en-US"/>
              </w:rPr>
            </w:pPr>
            <w:r w:rsidRPr="00841766">
              <w:rPr>
                <w:rFonts w:cstheme="minorHAnsi"/>
                <w:b/>
                <w:color w:val="FFFFFF" w:themeColor="background1"/>
                <w:sz w:val="26"/>
                <w:szCs w:val="26"/>
                <w:lang w:val="en-US"/>
              </w:rPr>
              <w:t>UNSDCF OUTCOME 4:</w:t>
            </w:r>
            <w:r w:rsidRPr="00841766">
              <w:rPr>
                <w:rFonts w:cstheme="minorHAnsi"/>
                <w:color w:val="FFFFFF" w:themeColor="background1"/>
                <w:sz w:val="26"/>
                <w:szCs w:val="26"/>
                <w:lang w:val="en-US"/>
              </w:rPr>
              <w:t xml:space="preserve"> </w:t>
            </w:r>
            <w:r w:rsidRPr="00841766">
              <w:rPr>
                <w:rFonts w:cstheme="minorHAnsi"/>
                <w:color w:val="FFFFFF" w:themeColor="background1"/>
                <w:sz w:val="26"/>
                <w:szCs w:val="26"/>
                <w:lang w:val="en-US" w:eastAsia="en-GB"/>
              </w:rPr>
              <w:t>By 2025, the people of Timor-Leste increasingly demand and have access to  gender-responsive  equitable, high quality, resilient and inclusive Primary Health Care and strengthened social protection, including in time of emergencies</w:t>
            </w:r>
          </w:p>
        </w:tc>
      </w:tr>
      <w:tr w:rsidR="003A41BE" w:rsidRPr="00841766" w14:paraId="1E0C08A6"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C0D03" w14:textId="77777777" w:rsidR="003A41BE" w:rsidRPr="001415F5" w:rsidRDefault="003A41BE" w:rsidP="00FD44CE">
            <w:pPr>
              <w:pStyle w:val="Default"/>
              <w:rPr>
                <w:rFonts w:asciiTheme="minorHAnsi" w:eastAsia="Times New Roman" w:hAnsiTheme="minorHAnsi" w:cstheme="minorHAnsi"/>
                <w:b/>
                <w:color w:val="auto"/>
                <w:lang w:val="en-US" w:eastAsia="fr-FR"/>
              </w:rPr>
            </w:pPr>
            <w:r>
              <w:rPr>
                <w:rFonts w:asciiTheme="minorHAnsi" w:eastAsia="Times New Roman" w:hAnsiTheme="minorHAnsi" w:cstheme="minorHAnsi"/>
                <w:b/>
                <w:color w:val="auto"/>
                <w:lang w:val="en-US" w:eastAsia="fr-FR"/>
              </w:rPr>
              <w:t>UNSDCF Outcome 4</w:t>
            </w:r>
          </w:p>
        </w:tc>
      </w:tr>
      <w:tr w:rsidR="003A41BE" w:rsidRPr="00841766" w14:paraId="1FA5D677"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B4806D"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4.a Proportion of births attended by skilled health personnel (SDG indicator 3.1.2) (geographical disaggregation)</w:t>
            </w:r>
          </w:p>
          <w:tbl>
            <w:tblPr>
              <w:tblStyle w:val="TableGrid"/>
              <w:tblW w:w="0" w:type="auto"/>
              <w:tblLayout w:type="fixed"/>
              <w:tblLook w:val="04A0" w:firstRow="1" w:lastRow="0" w:firstColumn="1" w:lastColumn="0" w:noHBand="0" w:noVBand="1"/>
            </w:tblPr>
            <w:tblGrid>
              <w:gridCol w:w="2073"/>
              <w:gridCol w:w="1620"/>
            </w:tblGrid>
            <w:tr w:rsidR="003A41BE" w14:paraId="12BB5328" w14:textId="77777777" w:rsidTr="00FD44CE">
              <w:tc>
                <w:tcPr>
                  <w:tcW w:w="2073" w:type="dxa"/>
                </w:tcPr>
                <w:p w14:paraId="7DAFB14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58320A20"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0140788F" w14:textId="77777777" w:rsidTr="00FD44CE">
              <w:tc>
                <w:tcPr>
                  <w:tcW w:w="2073" w:type="dxa"/>
                </w:tcPr>
                <w:p w14:paraId="3771DDBA"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56.7%</w:t>
                  </w:r>
                  <w:r>
                    <w:rPr>
                      <w:sz w:val="22"/>
                      <w:szCs w:val="22"/>
                      <w:lang w:val="en-US"/>
                    </w:rPr>
                    <w:br/>
                    <w:t>53% (Jan-Sep 2019)</w:t>
                  </w:r>
                </w:p>
              </w:tc>
              <w:tc>
                <w:tcPr>
                  <w:tcW w:w="1620" w:type="dxa"/>
                </w:tcPr>
                <w:p w14:paraId="26540B41" w14:textId="77777777" w:rsidR="003A41BE" w:rsidRDefault="003A41BE" w:rsidP="002A37E3">
                  <w:pPr>
                    <w:framePr w:hSpace="141" w:wrap="around" w:vAnchor="text" w:hAnchor="text" w:x="421" w:y="1"/>
                    <w:suppressOverlap/>
                    <w:jc w:val="center"/>
                    <w:rPr>
                      <w:sz w:val="22"/>
                      <w:szCs w:val="22"/>
                      <w:lang w:val="en-US"/>
                    </w:rPr>
                  </w:pPr>
                  <w:r w:rsidRPr="00841766">
                    <w:rPr>
                      <w:rFonts w:cstheme="minorHAnsi"/>
                      <w:color w:val="000000"/>
                      <w:sz w:val="22"/>
                      <w:szCs w:val="22"/>
                      <w:lang w:val="en-US"/>
                    </w:rPr>
                    <w:t>&gt;70%</w:t>
                  </w:r>
                </w:p>
              </w:tc>
            </w:tr>
          </w:tbl>
          <w:p w14:paraId="215DC56A" w14:textId="77777777" w:rsidR="003A41BE" w:rsidRPr="00841766" w:rsidRDefault="003A41BE" w:rsidP="00FD44CE">
            <w:pPr>
              <w:pStyle w:val="Default"/>
              <w:rPr>
                <w:rFonts w:asciiTheme="minorHAnsi" w:hAnsiTheme="minorHAnsi" w:cstheme="minorHAnsi"/>
                <w:sz w:val="22"/>
                <w:szCs w:val="22"/>
                <w:lang w:val="en-US"/>
              </w:rPr>
            </w:pPr>
            <w:r>
              <w:rPr>
                <w:rFonts w:asciiTheme="minorHAnsi" w:hAnsiTheme="minorHAnsi" w:cstheme="minorHAnsi"/>
                <w:sz w:val="22"/>
                <w:szCs w:val="22"/>
                <w:lang w:val="en-US"/>
              </w:rPr>
              <w:t>Data Source: DHS and HMIS</w:t>
            </w:r>
          </w:p>
          <w:p w14:paraId="256B4795" w14:textId="77777777" w:rsidR="003A41BE" w:rsidRPr="00841766" w:rsidRDefault="003A41BE" w:rsidP="00FD44CE">
            <w:pPr>
              <w:pStyle w:val="Default"/>
              <w:rPr>
                <w:rFonts w:asciiTheme="minorHAnsi" w:hAnsiTheme="minorHAnsi" w:cstheme="minorHAnsi"/>
                <w:sz w:val="22"/>
                <w:szCs w:val="22"/>
                <w:lang w:val="en-US"/>
              </w:rPr>
            </w:pPr>
          </w:p>
        </w:tc>
      </w:tr>
      <w:tr w:rsidR="003A41BE" w:rsidRPr="006444BA" w14:paraId="561D8BFF"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215F52"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4.b Neonatal mortality rate (deaths per 1,000 live births) - (SDG indicator 3.2.2) </w:t>
            </w:r>
          </w:p>
          <w:tbl>
            <w:tblPr>
              <w:tblStyle w:val="TableGrid"/>
              <w:tblW w:w="0" w:type="auto"/>
              <w:tblLayout w:type="fixed"/>
              <w:tblLook w:val="04A0" w:firstRow="1" w:lastRow="0" w:firstColumn="1" w:lastColumn="0" w:noHBand="0" w:noVBand="1"/>
            </w:tblPr>
            <w:tblGrid>
              <w:gridCol w:w="1510"/>
              <w:gridCol w:w="1620"/>
            </w:tblGrid>
            <w:tr w:rsidR="003A41BE" w14:paraId="2CAE5FD5" w14:textId="77777777" w:rsidTr="00FD44CE">
              <w:tc>
                <w:tcPr>
                  <w:tcW w:w="1510" w:type="dxa"/>
                </w:tcPr>
                <w:p w14:paraId="7352A4F0"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lastRenderedPageBreak/>
                    <w:t>Baseline</w:t>
                  </w:r>
                </w:p>
              </w:tc>
              <w:tc>
                <w:tcPr>
                  <w:tcW w:w="1620" w:type="dxa"/>
                </w:tcPr>
                <w:p w14:paraId="448E931C"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22989EC1" w14:textId="77777777" w:rsidTr="00FD44CE">
              <w:tc>
                <w:tcPr>
                  <w:tcW w:w="1510" w:type="dxa"/>
                </w:tcPr>
                <w:p w14:paraId="389F2CDF"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19</w:t>
                  </w:r>
                </w:p>
              </w:tc>
              <w:tc>
                <w:tcPr>
                  <w:tcW w:w="1620" w:type="dxa"/>
                </w:tcPr>
                <w:p w14:paraId="4D892D38"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15</w:t>
                  </w:r>
                </w:p>
              </w:tc>
            </w:tr>
          </w:tbl>
          <w:p w14:paraId="540F0AAF" w14:textId="77777777" w:rsidR="003A41BE" w:rsidRPr="00841766" w:rsidRDefault="003A41BE" w:rsidP="00FD44CE">
            <w:pPr>
              <w:pStyle w:val="Default"/>
              <w:rPr>
                <w:rFonts w:asciiTheme="minorHAnsi" w:hAnsiTheme="minorHAnsi" w:cstheme="minorHAnsi"/>
                <w:sz w:val="22"/>
                <w:szCs w:val="22"/>
                <w:lang w:val="en-US"/>
              </w:rPr>
            </w:pPr>
            <w:r>
              <w:rPr>
                <w:rFonts w:asciiTheme="minorHAnsi" w:hAnsiTheme="minorHAnsi" w:cstheme="minorHAnsi"/>
                <w:sz w:val="22"/>
                <w:szCs w:val="22"/>
                <w:lang w:val="en-US"/>
              </w:rPr>
              <w:t>Data Source: DHS 2016</w:t>
            </w:r>
          </w:p>
          <w:p w14:paraId="6019BABB" w14:textId="77777777" w:rsidR="003A41BE" w:rsidRPr="00841766" w:rsidRDefault="003A41BE" w:rsidP="00FD44CE">
            <w:pPr>
              <w:pStyle w:val="Default"/>
              <w:rPr>
                <w:rFonts w:asciiTheme="minorHAnsi" w:hAnsiTheme="minorHAnsi" w:cstheme="minorHAnsi"/>
                <w:sz w:val="22"/>
                <w:szCs w:val="22"/>
                <w:lang w:val="en-US"/>
              </w:rPr>
            </w:pPr>
          </w:p>
        </w:tc>
      </w:tr>
      <w:tr w:rsidR="003A41BE" w:rsidRPr="006444BA" w14:paraId="45FDC572"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909D56"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color w:val="auto"/>
                <w:sz w:val="22"/>
                <w:szCs w:val="22"/>
                <w:lang w:val="en-US"/>
              </w:rPr>
              <w:lastRenderedPageBreak/>
              <w:t>4.c Under-five mortality rate (deaths per 1,000 live births)</w:t>
            </w:r>
            <w:r w:rsidRPr="00841766">
              <w:rPr>
                <w:rFonts w:asciiTheme="minorHAnsi" w:hAnsiTheme="minorHAnsi" w:cstheme="minorHAnsi"/>
                <w:sz w:val="22"/>
                <w:szCs w:val="22"/>
                <w:lang w:val="en-US"/>
              </w:rPr>
              <w:t xml:space="preserve"> - (SDG indicator </w:t>
            </w:r>
            <w:r w:rsidRPr="00841766">
              <w:rPr>
                <w:rFonts w:asciiTheme="minorHAnsi" w:hAnsiTheme="minorHAnsi" w:cstheme="minorHAnsi"/>
                <w:color w:val="auto"/>
                <w:sz w:val="22"/>
                <w:szCs w:val="22"/>
                <w:lang w:val="en-US"/>
              </w:rPr>
              <w:t xml:space="preserve">3.2.3) </w:t>
            </w:r>
            <w:r w:rsidRPr="00841766">
              <w:rPr>
                <w:rFonts w:asciiTheme="minorHAnsi" w:hAnsiTheme="minorHAnsi" w:cstheme="minorHAnsi"/>
                <w:sz w:val="22"/>
                <w:szCs w:val="22"/>
                <w:lang w:val="en-US"/>
              </w:rPr>
              <w:t>(geographical disaggregation)</w:t>
            </w:r>
          </w:p>
          <w:tbl>
            <w:tblPr>
              <w:tblStyle w:val="TableGrid"/>
              <w:tblW w:w="0" w:type="auto"/>
              <w:tblLayout w:type="fixed"/>
              <w:tblLook w:val="04A0" w:firstRow="1" w:lastRow="0" w:firstColumn="1" w:lastColumn="0" w:noHBand="0" w:noVBand="1"/>
            </w:tblPr>
            <w:tblGrid>
              <w:gridCol w:w="1510"/>
              <w:gridCol w:w="1620"/>
            </w:tblGrid>
            <w:tr w:rsidR="003A41BE" w14:paraId="02CB4E80" w14:textId="77777777" w:rsidTr="00FD44CE">
              <w:tc>
                <w:tcPr>
                  <w:tcW w:w="1510" w:type="dxa"/>
                </w:tcPr>
                <w:p w14:paraId="34F0D511"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162ACB70"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38E51EBD" w14:textId="77777777" w:rsidTr="00FD44CE">
              <w:tc>
                <w:tcPr>
                  <w:tcW w:w="1510" w:type="dxa"/>
                </w:tcPr>
                <w:p w14:paraId="4C8F2A90"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41</w:t>
                  </w:r>
                </w:p>
              </w:tc>
              <w:tc>
                <w:tcPr>
                  <w:tcW w:w="1620" w:type="dxa"/>
                </w:tcPr>
                <w:p w14:paraId="2B60BAA5"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33</w:t>
                  </w:r>
                </w:p>
              </w:tc>
            </w:tr>
          </w:tbl>
          <w:p w14:paraId="48D9077C" w14:textId="77777777" w:rsidR="003A41BE" w:rsidRPr="00841766" w:rsidRDefault="003A41BE" w:rsidP="00FD44CE">
            <w:pPr>
              <w:pStyle w:val="Defaul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Data Source: DHS 2016</w:t>
            </w:r>
          </w:p>
          <w:p w14:paraId="4900FD2F" w14:textId="77777777" w:rsidR="003A41BE" w:rsidRPr="00841766" w:rsidRDefault="003A41BE" w:rsidP="00FD44CE">
            <w:pPr>
              <w:pStyle w:val="Default"/>
              <w:rPr>
                <w:rFonts w:asciiTheme="minorHAnsi" w:hAnsiTheme="minorHAnsi" w:cstheme="minorHAnsi"/>
                <w:sz w:val="22"/>
                <w:szCs w:val="22"/>
                <w:lang w:val="en-US"/>
              </w:rPr>
            </w:pPr>
          </w:p>
        </w:tc>
      </w:tr>
      <w:tr w:rsidR="003A41BE" w:rsidRPr="006444BA" w14:paraId="3777941F"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8C8A4B"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4.d </w:t>
            </w:r>
            <w:r>
              <w:rPr>
                <w:rFonts w:asciiTheme="minorHAnsi" w:hAnsiTheme="minorHAnsi" w:cstheme="minorHAnsi"/>
                <w:sz w:val="22"/>
                <w:szCs w:val="22"/>
                <w:lang w:val="en-US"/>
              </w:rPr>
              <w:t>Maternal mortality ratio (SDG indicator 3.1.1)</w:t>
            </w:r>
          </w:p>
          <w:tbl>
            <w:tblPr>
              <w:tblStyle w:val="TableGrid"/>
              <w:tblW w:w="0" w:type="auto"/>
              <w:tblLayout w:type="fixed"/>
              <w:tblLook w:val="04A0" w:firstRow="1" w:lastRow="0" w:firstColumn="1" w:lastColumn="0" w:noHBand="0" w:noVBand="1"/>
            </w:tblPr>
            <w:tblGrid>
              <w:gridCol w:w="1510"/>
              <w:gridCol w:w="1620"/>
            </w:tblGrid>
            <w:tr w:rsidR="003A41BE" w14:paraId="17A3800B" w14:textId="77777777" w:rsidTr="00FD44CE">
              <w:tc>
                <w:tcPr>
                  <w:tcW w:w="1510" w:type="dxa"/>
                </w:tcPr>
                <w:p w14:paraId="31A23DF5"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382FAA42"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3761F34B" w14:textId="77777777" w:rsidTr="00FD44CE">
              <w:tc>
                <w:tcPr>
                  <w:tcW w:w="1510" w:type="dxa"/>
                </w:tcPr>
                <w:p w14:paraId="7673E635"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195</w:t>
                  </w:r>
                </w:p>
              </w:tc>
              <w:tc>
                <w:tcPr>
                  <w:tcW w:w="1620" w:type="dxa"/>
                </w:tcPr>
                <w:p w14:paraId="575372A4" w14:textId="77777777" w:rsidR="003A41BE" w:rsidRDefault="003A41BE" w:rsidP="002A37E3">
                  <w:pPr>
                    <w:framePr w:hSpace="141" w:wrap="around" w:vAnchor="text" w:hAnchor="text" w:x="421" w:y="1"/>
                    <w:suppressOverlap/>
                    <w:jc w:val="center"/>
                    <w:rPr>
                      <w:sz w:val="22"/>
                      <w:szCs w:val="22"/>
                      <w:lang w:val="en-US"/>
                    </w:rPr>
                  </w:pPr>
                  <w:r w:rsidRPr="003F4BC2">
                    <w:rPr>
                      <w:rFonts w:cstheme="minorHAnsi"/>
                      <w:sz w:val="22"/>
                      <w:szCs w:val="22"/>
                      <w:lang w:val="en-US"/>
                    </w:rPr>
                    <w:t>&lt;</w:t>
                  </w:r>
                  <w:r>
                    <w:rPr>
                      <w:rFonts w:cstheme="minorHAnsi"/>
                      <w:sz w:val="22"/>
                      <w:szCs w:val="22"/>
                      <w:lang w:val="en-US"/>
                    </w:rPr>
                    <w:t>100</w:t>
                  </w:r>
                  <w:r w:rsidRPr="003F4BC2">
                    <w:rPr>
                      <w:rFonts w:cstheme="minorHAnsi"/>
                      <w:sz w:val="22"/>
                      <w:szCs w:val="22"/>
                      <w:lang w:val="en-US"/>
                    </w:rPr>
                    <w:t>%</w:t>
                  </w:r>
                </w:p>
              </w:tc>
            </w:tr>
          </w:tbl>
          <w:p w14:paraId="43BF456F" w14:textId="77777777" w:rsidR="003A41BE" w:rsidRPr="00841766" w:rsidRDefault="003A41BE" w:rsidP="00FD44CE">
            <w:pPr>
              <w:pStyle w:val="Default"/>
              <w:rPr>
                <w:rFonts w:asciiTheme="minorHAnsi" w:hAnsiTheme="minorHAnsi" w:cstheme="minorHAnsi"/>
                <w:sz w:val="22"/>
                <w:szCs w:val="22"/>
                <w:lang w:val="en-US"/>
              </w:rPr>
            </w:pPr>
            <w:r>
              <w:rPr>
                <w:rFonts w:asciiTheme="minorHAnsi" w:hAnsiTheme="minorHAnsi" w:cstheme="minorHAnsi"/>
                <w:sz w:val="22"/>
                <w:szCs w:val="22"/>
                <w:lang w:val="en-US"/>
              </w:rPr>
              <w:t>Data Source: DHS</w:t>
            </w:r>
          </w:p>
          <w:p w14:paraId="1BD78E37"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75CD1AA2"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7A2F53" w14:textId="77777777" w:rsidR="003A41BE" w:rsidRDefault="003A41BE" w:rsidP="00FD44CE">
            <w:pPr>
              <w:pStyle w:val="Default"/>
              <w:rPr>
                <w:rFonts w:asciiTheme="minorHAnsi" w:eastAsia="Calibri" w:hAnsiTheme="minorHAnsi" w:cstheme="minorHAnsi"/>
                <w:color w:val="auto"/>
                <w:sz w:val="22"/>
                <w:szCs w:val="22"/>
                <w:lang w:val="en-US"/>
              </w:rPr>
            </w:pPr>
            <w:r w:rsidRPr="00841766">
              <w:rPr>
                <w:rFonts w:asciiTheme="minorHAnsi" w:eastAsia="Calibri" w:hAnsiTheme="minorHAnsi" w:cstheme="minorHAnsi"/>
                <w:color w:val="auto"/>
                <w:sz w:val="22"/>
                <w:szCs w:val="22"/>
                <w:lang w:val="en-US"/>
              </w:rPr>
              <w:t xml:space="preserve">4. e Proportion of children 12-23 months fully vaccinated </w:t>
            </w:r>
            <w:r w:rsidRPr="00841766">
              <w:rPr>
                <w:rFonts w:asciiTheme="minorHAnsi" w:hAnsiTheme="minorHAnsi" w:cstheme="minorHAnsi"/>
                <w:sz w:val="22"/>
                <w:szCs w:val="22"/>
                <w:lang w:val="en-US"/>
              </w:rPr>
              <w:t xml:space="preserve">(SDG indicator </w:t>
            </w:r>
            <w:r w:rsidRPr="00841766">
              <w:rPr>
                <w:rFonts w:asciiTheme="minorHAnsi" w:eastAsia="Calibri" w:hAnsiTheme="minorHAnsi" w:cstheme="minorHAnsi"/>
                <w:color w:val="auto"/>
                <w:sz w:val="22"/>
                <w:szCs w:val="22"/>
                <w:lang w:val="en-US"/>
              </w:rPr>
              <w:t>3.2.3)</w:t>
            </w:r>
          </w:p>
          <w:tbl>
            <w:tblPr>
              <w:tblStyle w:val="TableGrid"/>
              <w:tblW w:w="0" w:type="auto"/>
              <w:tblLayout w:type="fixed"/>
              <w:tblLook w:val="04A0" w:firstRow="1" w:lastRow="0" w:firstColumn="1" w:lastColumn="0" w:noHBand="0" w:noVBand="1"/>
            </w:tblPr>
            <w:tblGrid>
              <w:gridCol w:w="1510"/>
              <w:gridCol w:w="1620"/>
            </w:tblGrid>
            <w:tr w:rsidR="003A41BE" w14:paraId="01B8310C" w14:textId="77777777" w:rsidTr="00FD44CE">
              <w:tc>
                <w:tcPr>
                  <w:tcW w:w="1510" w:type="dxa"/>
                </w:tcPr>
                <w:p w14:paraId="47763042"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1C263B28"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47009309" w14:textId="77777777" w:rsidTr="00FD44CE">
              <w:tc>
                <w:tcPr>
                  <w:tcW w:w="1510" w:type="dxa"/>
                </w:tcPr>
                <w:p w14:paraId="123E3FBA"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52%</w:t>
                  </w:r>
                </w:p>
              </w:tc>
              <w:tc>
                <w:tcPr>
                  <w:tcW w:w="1620" w:type="dxa"/>
                </w:tcPr>
                <w:p w14:paraId="791F760C"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70%</w:t>
                  </w:r>
                </w:p>
              </w:tc>
            </w:tr>
          </w:tbl>
          <w:p w14:paraId="7C1590AA" w14:textId="77777777" w:rsidR="003A41BE" w:rsidRPr="00841766" w:rsidRDefault="003A41BE" w:rsidP="00FD44CE">
            <w:pPr>
              <w:pStyle w:val="Default"/>
              <w:rPr>
                <w:rFonts w:asciiTheme="minorHAnsi" w:hAnsiTheme="minorHAnsi" w:cstheme="minorHAnsi"/>
                <w:sz w:val="22"/>
                <w:szCs w:val="22"/>
                <w:lang w:val="en-US"/>
              </w:rPr>
            </w:pPr>
            <w:r>
              <w:rPr>
                <w:rFonts w:asciiTheme="minorHAnsi" w:hAnsiTheme="minorHAnsi" w:cstheme="minorHAnsi"/>
                <w:sz w:val="22"/>
                <w:szCs w:val="22"/>
                <w:lang w:val="en-US"/>
              </w:rPr>
              <w:t>Data Source: EPI survey</w:t>
            </w:r>
          </w:p>
          <w:p w14:paraId="625BC623" w14:textId="77777777" w:rsidR="003A41BE" w:rsidRPr="00841766" w:rsidRDefault="003A41BE" w:rsidP="00FD44CE">
            <w:pPr>
              <w:autoSpaceDE w:val="0"/>
              <w:autoSpaceDN w:val="0"/>
              <w:adjustRightInd w:val="0"/>
              <w:rPr>
                <w:lang w:val="en-US"/>
              </w:rPr>
            </w:pPr>
          </w:p>
        </w:tc>
      </w:tr>
      <w:tr w:rsidR="003A41BE" w:rsidRPr="006444BA" w14:paraId="343A90C6"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83A499"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4.f Number of new HIV infections per 1,000 uninfected population (by age group, sex and key populations) (SDG </w:t>
            </w:r>
            <w:r>
              <w:rPr>
                <w:rFonts w:asciiTheme="minorHAnsi" w:hAnsiTheme="minorHAnsi" w:cstheme="minorHAnsi"/>
                <w:sz w:val="22"/>
                <w:szCs w:val="22"/>
                <w:lang w:val="en-US"/>
              </w:rPr>
              <w:t>I</w:t>
            </w:r>
            <w:r w:rsidRPr="00841766">
              <w:rPr>
                <w:rFonts w:asciiTheme="minorHAnsi" w:hAnsiTheme="minorHAnsi" w:cstheme="minorHAnsi"/>
                <w:sz w:val="22"/>
                <w:szCs w:val="22"/>
                <w:lang w:val="en-US"/>
              </w:rPr>
              <w:t>ndicator 3.3.1)</w:t>
            </w:r>
          </w:p>
          <w:tbl>
            <w:tblPr>
              <w:tblStyle w:val="TableGrid"/>
              <w:tblW w:w="0" w:type="auto"/>
              <w:tblLayout w:type="fixed"/>
              <w:tblLook w:val="04A0" w:firstRow="1" w:lastRow="0" w:firstColumn="1" w:lastColumn="0" w:noHBand="0" w:noVBand="1"/>
            </w:tblPr>
            <w:tblGrid>
              <w:gridCol w:w="1510"/>
              <w:gridCol w:w="1620"/>
            </w:tblGrid>
            <w:tr w:rsidR="003A41BE" w14:paraId="0008154E" w14:textId="77777777" w:rsidTr="00FD44CE">
              <w:tc>
                <w:tcPr>
                  <w:tcW w:w="1510" w:type="dxa"/>
                </w:tcPr>
                <w:p w14:paraId="4D4E6337"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53410275"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72FD23E5" w14:textId="77777777" w:rsidTr="00FD44CE">
              <w:tc>
                <w:tcPr>
                  <w:tcW w:w="1510" w:type="dxa"/>
                </w:tcPr>
                <w:p w14:paraId="5125F9CC"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170</w:t>
                  </w:r>
                </w:p>
              </w:tc>
              <w:tc>
                <w:tcPr>
                  <w:tcW w:w="1620" w:type="dxa"/>
                </w:tcPr>
                <w:p w14:paraId="38ECE43F"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15</w:t>
                  </w:r>
                </w:p>
              </w:tc>
            </w:tr>
          </w:tbl>
          <w:p w14:paraId="7456EE51" w14:textId="77777777" w:rsidR="003A41BE" w:rsidRDefault="003A41BE" w:rsidP="00FD44CE">
            <w:pPr>
              <w:pStyle w:val="Default"/>
              <w:rPr>
                <w:rFonts w:asciiTheme="minorHAnsi" w:hAnsiTheme="minorHAnsi" w:cstheme="minorHAnsi"/>
                <w:sz w:val="22"/>
                <w:szCs w:val="22"/>
                <w:lang w:val="en-US"/>
              </w:rPr>
            </w:pPr>
            <w:r>
              <w:rPr>
                <w:rFonts w:asciiTheme="minorHAnsi" w:hAnsiTheme="minorHAnsi" w:cstheme="minorHAnsi"/>
                <w:sz w:val="22"/>
                <w:szCs w:val="22"/>
                <w:lang w:val="en-US"/>
              </w:rPr>
              <w:t xml:space="preserve">Note: Baseline is number of new cases </w:t>
            </w:r>
          </w:p>
          <w:p w14:paraId="46018972" w14:textId="77777777" w:rsidR="003A41BE" w:rsidRDefault="003A41BE" w:rsidP="00FD44CE">
            <w:pPr>
              <w:pStyle w:val="Default"/>
              <w:rPr>
                <w:rFonts w:asciiTheme="minorHAnsi" w:hAnsiTheme="minorHAnsi" w:cstheme="minorHAnsi"/>
                <w:sz w:val="22"/>
                <w:szCs w:val="22"/>
                <w:lang w:val="en-US"/>
              </w:rPr>
            </w:pPr>
            <w:r>
              <w:rPr>
                <w:rFonts w:asciiTheme="minorHAnsi" w:hAnsiTheme="minorHAnsi" w:cstheme="minorHAnsi"/>
                <w:sz w:val="22"/>
                <w:szCs w:val="22"/>
                <w:lang w:val="en-US"/>
              </w:rPr>
              <w:t>Data Source: MOH 2019</w:t>
            </w:r>
          </w:p>
          <w:p w14:paraId="4402A32B" w14:textId="77777777" w:rsidR="003A41BE" w:rsidRPr="00841766" w:rsidRDefault="003A41BE" w:rsidP="00FD44CE">
            <w:pPr>
              <w:autoSpaceDE w:val="0"/>
              <w:autoSpaceDN w:val="0"/>
              <w:adjustRightInd w:val="0"/>
              <w:rPr>
                <w:lang w:val="en-US"/>
              </w:rPr>
            </w:pPr>
          </w:p>
        </w:tc>
      </w:tr>
      <w:tr w:rsidR="003A41BE" w:rsidRPr="006444BA" w14:paraId="5CECF7B6"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D0C1D6"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4.g Tuberculosis incidence per 1,000 persons per year (SDG </w:t>
            </w:r>
            <w:r>
              <w:rPr>
                <w:rFonts w:asciiTheme="minorHAnsi" w:hAnsiTheme="minorHAnsi" w:cstheme="minorHAnsi"/>
                <w:sz w:val="22"/>
                <w:szCs w:val="22"/>
                <w:lang w:val="en-US"/>
              </w:rPr>
              <w:t>I</w:t>
            </w:r>
            <w:r w:rsidRPr="00841766">
              <w:rPr>
                <w:rFonts w:asciiTheme="minorHAnsi" w:hAnsiTheme="minorHAnsi" w:cstheme="minorHAnsi"/>
                <w:sz w:val="22"/>
                <w:szCs w:val="22"/>
                <w:lang w:val="en-US"/>
              </w:rPr>
              <w:t>ndicator 3.3.2)</w:t>
            </w:r>
          </w:p>
          <w:tbl>
            <w:tblPr>
              <w:tblStyle w:val="TableGrid"/>
              <w:tblW w:w="0" w:type="auto"/>
              <w:tblLayout w:type="fixed"/>
              <w:tblLook w:val="04A0" w:firstRow="1" w:lastRow="0" w:firstColumn="1" w:lastColumn="0" w:noHBand="0" w:noVBand="1"/>
            </w:tblPr>
            <w:tblGrid>
              <w:gridCol w:w="1510"/>
              <w:gridCol w:w="2722"/>
            </w:tblGrid>
            <w:tr w:rsidR="003A41BE" w14:paraId="5A56FA96" w14:textId="77777777" w:rsidTr="00FD44CE">
              <w:tc>
                <w:tcPr>
                  <w:tcW w:w="1510" w:type="dxa"/>
                </w:tcPr>
                <w:p w14:paraId="74A91AA3"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2722" w:type="dxa"/>
                </w:tcPr>
                <w:p w14:paraId="166FCEA3"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55FD9F9A" w14:textId="77777777" w:rsidTr="00FD44CE">
              <w:tc>
                <w:tcPr>
                  <w:tcW w:w="1510" w:type="dxa"/>
                </w:tcPr>
                <w:p w14:paraId="55D82F3F"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498</w:t>
                  </w:r>
                </w:p>
              </w:tc>
              <w:tc>
                <w:tcPr>
                  <w:tcW w:w="2722" w:type="dxa"/>
                </w:tcPr>
                <w:p w14:paraId="61996D2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249</w:t>
                  </w:r>
                </w:p>
              </w:tc>
            </w:tr>
          </w:tbl>
          <w:p w14:paraId="7DE0AB63" w14:textId="77777777" w:rsidR="003A41BE" w:rsidRPr="00841766" w:rsidRDefault="003A41BE" w:rsidP="00FD44CE">
            <w:pPr>
              <w:autoSpaceDE w:val="0"/>
              <w:autoSpaceDN w:val="0"/>
              <w:adjustRightInd w:val="0"/>
              <w:rPr>
                <w:rFonts w:cstheme="minorHAnsi"/>
                <w:b/>
                <w:sz w:val="22"/>
                <w:szCs w:val="22"/>
                <w:lang w:val="en-US"/>
              </w:rPr>
            </w:pPr>
            <w:r w:rsidRPr="002A7985">
              <w:rPr>
                <w:rFonts w:cstheme="minorHAnsi"/>
                <w:color w:val="000000"/>
                <w:sz w:val="22"/>
                <w:szCs w:val="22"/>
                <w:lang w:val="en-US"/>
              </w:rPr>
              <w:t>Data Source: TB program</w:t>
            </w:r>
            <w:r w:rsidRPr="00841766">
              <w:rPr>
                <w:rFonts w:cstheme="minorHAnsi"/>
                <w:sz w:val="22"/>
                <w:szCs w:val="22"/>
                <w:lang w:val="en-US"/>
              </w:rPr>
              <w:t>, MOH</w:t>
            </w:r>
          </w:p>
          <w:p w14:paraId="2F1BEA01" w14:textId="77777777" w:rsidR="003A41BE" w:rsidRPr="00841766" w:rsidRDefault="003A41BE" w:rsidP="00FD44CE">
            <w:pPr>
              <w:pStyle w:val="Default"/>
              <w:rPr>
                <w:rFonts w:asciiTheme="minorHAnsi" w:hAnsiTheme="minorHAnsi" w:cstheme="minorHAnsi"/>
                <w:sz w:val="22"/>
                <w:szCs w:val="22"/>
                <w:lang w:val="en-US"/>
              </w:rPr>
            </w:pPr>
          </w:p>
        </w:tc>
      </w:tr>
      <w:tr w:rsidR="003A41BE" w:rsidRPr="006444BA" w14:paraId="0B006FFE"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E7E8AC"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4.h Malaria incident cases per 1,000 persons per year (SDG </w:t>
            </w:r>
            <w:r>
              <w:rPr>
                <w:rFonts w:asciiTheme="minorHAnsi" w:hAnsiTheme="minorHAnsi" w:cstheme="minorHAnsi"/>
                <w:sz w:val="22"/>
                <w:szCs w:val="22"/>
                <w:lang w:val="en-US"/>
              </w:rPr>
              <w:t>I</w:t>
            </w:r>
            <w:r w:rsidRPr="00841766">
              <w:rPr>
                <w:rFonts w:asciiTheme="minorHAnsi" w:hAnsiTheme="minorHAnsi" w:cstheme="minorHAnsi"/>
                <w:sz w:val="22"/>
                <w:szCs w:val="22"/>
                <w:lang w:val="en-US"/>
              </w:rPr>
              <w:t>ndicator 3.3.3)</w:t>
            </w:r>
          </w:p>
          <w:tbl>
            <w:tblPr>
              <w:tblStyle w:val="TableGrid"/>
              <w:tblW w:w="0" w:type="auto"/>
              <w:tblLayout w:type="fixed"/>
              <w:tblLook w:val="04A0" w:firstRow="1" w:lastRow="0" w:firstColumn="1" w:lastColumn="0" w:noHBand="0" w:noVBand="1"/>
            </w:tblPr>
            <w:tblGrid>
              <w:gridCol w:w="1510"/>
              <w:gridCol w:w="2182"/>
            </w:tblGrid>
            <w:tr w:rsidR="003A41BE" w14:paraId="7A403F7D" w14:textId="77777777" w:rsidTr="00FD44CE">
              <w:tc>
                <w:tcPr>
                  <w:tcW w:w="1510" w:type="dxa"/>
                </w:tcPr>
                <w:p w14:paraId="20D5C303"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2182" w:type="dxa"/>
                </w:tcPr>
                <w:p w14:paraId="43A70A3B"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7E82962D" w14:textId="77777777" w:rsidTr="00FD44CE">
              <w:tc>
                <w:tcPr>
                  <w:tcW w:w="1510" w:type="dxa"/>
                </w:tcPr>
                <w:p w14:paraId="0DD0983F"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0</w:t>
                  </w:r>
                </w:p>
              </w:tc>
              <w:tc>
                <w:tcPr>
                  <w:tcW w:w="2182" w:type="dxa"/>
                </w:tcPr>
                <w:p w14:paraId="166D69DA"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Eliminated by 2021</w:t>
                  </w:r>
                </w:p>
              </w:tc>
            </w:tr>
          </w:tbl>
          <w:p w14:paraId="72C82F36" w14:textId="77777777" w:rsidR="003A41BE" w:rsidRPr="002A7985" w:rsidRDefault="003A41BE" w:rsidP="00FD44CE">
            <w:pPr>
              <w:autoSpaceDE w:val="0"/>
              <w:autoSpaceDN w:val="0"/>
              <w:adjustRightInd w:val="0"/>
              <w:rPr>
                <w:rFonts w:cstheme="minorHAnsi"/>
                <w:color w:val="000000"/>
                <w:sz w:val="22"/>
                <w:szCs w:val="22"/>
                <w:lang w:val="en-US"/>
              </w:rPr>
            </w:pPr>
            <w:r w:rsidRPr="002A7985">
              <w:rPr>
                <w:rFonts w:cstheme="minorHAnsi"/>
                <w:color w:val="000000"/>
                <w:sz w:val="22"/>
                <w:szCs w:val="22"/>
                <w:lang w:val="en-US"/>
              </w:rPr>
              <w:t>Data Source: Program, MOH</w:t>
            </w:r>
          </w:p>
          <w:p w14:paraId="04C815FE" w14:textId="77777777" w:rsidR="003A41BE" w:rsidRPr="00841766" w:rsidRDefault="003A41BE" w:rsidP="00FD44CE">
            <w:pPr>
              <w:pStyle w:val="Default"/>
              <w:rPr>
                <w:rFonts w:asciiTheme="minorHAnsi" w:hAnsiTheme="minorHAnsi" w:cstheme="minorHAnsi"/>
                <w:sz w:val="22"/>
                <w:szCs w:val="22"/>
                <w:lang w:val="en-US"/>
              </w:rPr>
            </w:pPr>
          </w:p>
        </w:tc>
      </w:tr>
      <w:tr w:rsidR="003A41BE" w:rsidRPr="006444BA" w14:paraId="4CD71474"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51806"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lastRenderedPageBreak/>
              <w:t xml:space="preserve">4.i Number of new hepatitis B infections per 100,000 population in a given year (SDG </w:t>
            </w:r>
            <w:r>
              <w:rPr>
                <w:rFonts w:asciiTheme="minorHAnsi" w:hAnsiTheme="minorHAnsi" w:cstheme="minorHAnsi"/>
                <w:sz w:val="22"/>
                <w:szCs w:val="22"/>
                <w:lang w:val="en-US"/>
              </w:rPr>
              <w:t>I</w:t>
            </w:r>
            <w:r w:rsidRPr="00841766">
              <w:rPr>
                <w:rFonts w:asciiTheme="minorHAnsi" w:hAnsiTheme="minorHAnsi" w:cstheme="minorHAnsi"/>
                <w:sz w:val="22"/>
                <w:szCs w:val="22"/>
                <w:lang w:val="en-US"/>
              </w:rPr>
              <w:t>ndicator 3.3.4)</w:t>
            </w:r>
          </w:p>
          <w:tbl>
            <w:tblPr>
              <w:tblStyle w:val="TableGrid"/>
              <w:tblW w:w="0" w:type="auto"/>
              <w:tblLayout w:type="fixed"/>
              <w:tblLook w:val="04A0" w:firstRow="1" w:lastRow="0" w:firstColumn="1" w:lastColumn="0" w:noHBand="0" w:noVBand="1"/>
            </w:tblPr>
            <w:tblGrid>
              <w:gridCol w:w="1510"/>
              <w:gridCol w:w="1620"/>
            </w:tblGrid>
            <w:tr w:rsidR="003A41BE" w14:paraId="1E6E00CD" w14:textId="77777777" w:rsidTr="00FD44CE">
              <w:tc>
                <w:tcPr>
                  <w:tcW w:w="1510" w:type="dxa"/>
                </w:tcPr>
                <w:p w14:paraId="4C07733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54DC31C4"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6C3A65" w14:paraId="7B3F03B1" w14:textId="77777777" w:rsidTr="00FD44CE">
              <w:tc>
                <w:tcPr>
                  <w:tcW w:w="1510" w:type="dxa"/>
                </w:tcPr>
                <w:p w14:paraId="7D216EB8" w14:textId="77777777" w:rsidR="003A41BE" w:rsidRPr="006C3A65" w:rsidRDefault="003A41BE" w:rsidP="002A37E3">
                  <w:pPr>
                    <w:framePr w:hSpace="141" w:wrap="around" w:vAnchor="text" w:hAnchor="text" w:x="421" w:y="1"/>
                    <w:suppressOverlap/>
                    <w:jc w:val="center"/>
                    <w:rPr>
                      <w:sz w:val="22"/>
                      <w:szCs w:val="22"/>
                      <w:lang w:val="en-US"/>
                    </w:rPr>
                  </w:pPr>
                  <w:r w:rsidRPr="006C3A65">
                    <w:rPr>
                      <w:sz w:val="22"/>
                      <w:szCs w:val="22"/>
                      <w:lang w:val="en-US"/>
                    </w:rPr>
                    <w:t>6.5</w:t>
                  </w:r>
                </w:p>
              </w:tc>
              <w:tc>
                <w:tcPr>
                  <w:tcW w:w="1620" w:type="dxa"/>
                </w:tcPr>
                <w:p w14:paraId="06A1762B" w14:textId="77777777" w:rsidR="003A41BE" w:rsidRPr="006C3A65" w:rsidRDefault="003A41BE" w:rsidP="002A37E3">
                  <w:pPr>
                    <w:framePr w:hSpace="141" w:wrap="around" w:vAnchor="text" w:hAnchor="text" w:x="421" w:y="1"/>
                    <w:suppressOverlap/>
                    <w:jc w:val="center"/>
                    <w:rPr>
                      <w:sz w:val="22"/>
                      <w:szCs w:val="22"/>
                      <w:lang w:val="en-US"/>
                    </w:rPr>
                  </w:pPr>
                  <w:r w:rsidRPr="003F4BC2">
                    <w:rPr>
                      <w:rFonts w:cstheme="minorHAnsi"/>
                      <w:sz w:val="22"/>
                      <w:szCs w:val="22"/>
                      <w:lang w:val="en-US"/>
                    </w:rPr>
                    <w:t>&lt;5</w:t>
                  </w:r>
                </w:p>
              </w:tc>
            </w:tr>
          </w:tbl>
          <w:p w14:paraId="3B7DA6B8" w14:textId="77777777" w:rsidR="003A41BE" w:rsidRPr="002A7985" w:rsidRDefault="003A41BE" w:rsidP="00FD44CE">
            <w:pPr>
              <w:autoSpaceDE w:val="0"/>
              <w:autoSpaceDN w:val="0"/>
              <w:adjustRightInd w:val="0"/>
              <w:rPr>
                <w:rFonts w:cstheme="minorHAnsi"/>
                <w:color w:val="000000"/>
                <w:sz w:val="22"/>
                <w:szCs w:val="22"/>
                <w:lang w:val="en-US"/>
              </w:rPr>
            </w:pPr>
            <w:r w:rsidRPr="002A7985">
              <w:rPr>
                <w:rFonts w:cstheme="minorHAnsi"/>
                <w:color w:val="000000"/>
                <w:sz w:val="22"/>
                <w:szCs w:val="22"/>
                <w:lang w:val="en-US"/>
              </w:rPr>
              <w:t>Data Source: Program, MOH</w:t>
            </w:r>
          </w:p>
          <w:p w14:paraId="5E71BFC7" w14:textId="77777777" w:rsidR="003A41BE" w:rsidRPr="00841766" w:rsidRDefault="003A41BE" w:rsidP="00FD44CE">
            <w:pPr>
              <w:pStyle w:val="Default"/>
              <w:rPr>
                <w:rFonts w:asciiTheme="minorHAnsi" w:hAnsiTheme="minorHAnsi" w:cstheme="minorHAnsi"/>
                <w:sz w:val="22"/>
                <w:szCs w:val="22"/>
                <w:lang w:val="en-US"/>
              </w:rPr>
            </w:pPr>
          </w:p>
        </w:tc>
      </w:tr>
      <w:tr w:rsidR="003A41BE" w:rsidRPr="00841766" w14:paraId="0589A5D1"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3873D7"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4.j Number of people requiring interventions against neglected tropical diseases (SDG </w:t>
            </w:r>
            <w:r>
              <w:rPr>
                <w:rFonts w:asciiTheme="minorHAnsi" w:hAnsiTheme="minorHAnsi" w:cstheme="minorHAnsi"/>
                <w:sz w:val="22"/>
                <w:szCs w:val="22"/>
                <w:lang w:val="en-US"/>
              </w:rPr>
              <w:t>I</w:t>
            </w:r>
            <w:r w:rsidRPr="00841766">
              <w:rPr>
                <w:rFonts w:asciiTheme="minorHAnsi" w:hAnsiTheme="minorHAnsi" w:cstheme="minorHAnsi"/>
                <w:sz w:val="22"/>
                <w:szCs w:val="22"/>
                <w:lang w:val="en-US"/>
              </w:rPr>
              <w:t>ndicator 3.3.5)</w:t>
            </w:r>
          </w:p>
          <w:tbl>
            <w:tblPr>
              <w:tblStyle w:val="TableGrid"/>
              <w:tblW w:w="0" w:type="auto"/>
              <w:tblLayout w:type="fixed"/>
              <w:tblLook w:val="04A0" w:firstRow="1" w:lastRow="0" w:firstColumn="1" w:lastColumn="0" w:noHBand="0" w:noVBand="1"/>
            </w:tblPr>
            <w:tblGrid>
              <w:gridCol w:w="2073"/>
              <w:gridCol w:w="2066"/>
              <w:gridCol w:w="1620"/>
            </w:tblGrid>
            <w:tr w:rsidR="003A41BE" w14:paraId="6F0D5DB5" w14:textId="77777777" w:rsidTr="00FD44CE">
              <w:tc>
                <w:tcPr>
                  <w:tcW w:w="2073" w:type="dxa"/>
                </w:tcPr>
                <w:p w14:paraId="7AC0E6CE" w14:textId="77777777" w:rsidR="003A41BE" w:rsidRDefault="003A41BE" w:rsidP="002A37E3">
                  <w:pPr>
                    <w:framePr w:hSpace="141" w:wrap="around" w:vAnchor="text" w:hAnchor="text" w:x="421" w:y="1"/>
                    <w:suppressOverlap/>
                    <w:jc w:val="center"/>
                    <w:rPr>
                      <w:sz w:val="22"/>
                      <w:szCs w:val="22"/>
                      <w:lang w:val="en-US"/>
                    </w:rPr>
                  </w:pPr>
                </w:p>
              </w:tc>
              <w:tc>
                <w:tcPr>
                  <w:tcW w:w="2066" w:type="dxa"/>
                </w:tcPr>
                <w:p w14:paraId="556355A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5EDA12BA"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1EB82AB4" w14:textId="77777777" w:rsidTr="00FD44CE">
              <w:tc>
                <w:tcPr>
                  <w:tcW w:w="2073" w:type="dxa"/>
                </w:tcPr>
                <w:p w14:paraId="6ED0D76C"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Lymphatic Filariasis</w:t>
                  </w:r>
                </w:p>
              </w:tc>
              <w:tc>
                <w:tcPr>
                  <w:tcW w:w="2066" w:type="dxa"/>
                </w:tcPr>
                <w:p w14:paraId="5CE52F03" w14:textId="77777777" w:rsidR="003A41BE" w:rsidRPr="00DA2276" w:rsidRDefault="003A41BE" w:rsidP="002A37E3">
                  <w:pPr>
                    <w:framePr w:hSpace="141" w:wrap="around" w:vAnchor="text" w:hAnchor="text" w:x="421" w:y="1"/>
                    <w:ind w:right="-31"/>
                    <w:suppressOverlap/>
                    <w:jc w:val="center"/>
                    <w:rPr>
                      <w:sz w:val="22"/>
                      <w:szCs w:val="22"/>
                      <w:lang w:val="en-US"/>
                    </w:rPr>
                  </w:pPr>
                  <w:r>
                    <w:rPr>
                      <w:sz w:val="22"/>
                      <w:szCs w:val="22"/>
                      <w:lang w:val="en-US"/>
                    </w:rPr>
                    <w:t>1.2 million at risk</w:t>
                  </w:r>
                </w:p>
              </w:tc>
              <w:tc>
                <w:tcPr>
                  <w:tcW w:w="1620" w:type="dxa"/>
                </w:tcPr>
                <w:p w14:paraId="5F496BC4"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Eliminated</w:t>
                  </w:r>
                </w:p>
              </w:tc>
            </w:tr>
            <w:tr w:rsidR="003A41BE" w:rsidRPr="00DA2276" w14:paraId="479DD78F" w14:textId="77777777" w:rsidTr="00FD44CE">
              <w:tc>
                <w:tcPr>
                  <w:tcW w:w="2073" w:type="dxa"/>
                </w:tcPr>
                <w:p w14:paraId="1A4AEF78"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Yaws</w:t>
                  </w:r>
                </w:p>
              </w:tc>
              <w:tc>
                <w:tcPr>
                  <w:tcW w:w="2066" w:type="dxa"/>
                </w:tcPr>
                <w:p w14:paraId="47D18B49"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0.02 %</w:t>
                  </w:r>
                </w:p>
              </w:tc>
              <w:tc>
                <w:tcPr>
                  <w:tcW w:w="1620" w:type="dxa"/>
                </w:tcPr>
                <w:p w14:paraId="4CD94E4E" w14:textId="77777777" w:rsidR="003A41BE" w:rsidRPr="00DA2276" w:rsidRDefault="003A41BE" w:rsidP="002A37E3">
                  <w:pPr>
                    <w:framePr w:hSpace="141" w:wrap="around" w:vAnchor="text" w:hAnchor="text" w:x="421" w:y="1"/>
                    <w:suppressOverlap/>
                    <w:jc w:val="center"/>
                    <w:rPr>
                      <w:rFonts w:cstheme="minorHAnsi"/>
                      <w:sz w:val="22"/>
                      <w:szCs w:val="22"/>
                      <w:lang w:val="en-US"/>
                    </w:rPr>
                  </w:pPr>
                  <w:r>
                    <w:rPr>
                      <w:sz w:val="22"/>
                      <w:szCs w:val="22"/>
                      <w:lang w:val="en-US"/>
                    </w:rPr>
                    <w:t>Eliminated</w:t>
                  </w:r>
                </w:p>
              </w:tc>
            </w:tr>
            <w:tr w:rsidR="003A41BE" w:rsidRPr="00DA2276" w14:paraId="7749AF00" w14:textId="77777777" w:rsidTr="00FD44CE">
              <w:tc>
                <w:tcPr>
                  <w:tcW w:w="2073" w:type="dxa"/>
                </w:tcPr>
                <w:p w14:paraId="0D635EE5"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Leprosy</w:t>
                  </w:r>
                </w:p>
              </w:tc>
              <w:tc>
                <w:tcPr>
                  <w:tcW w:w="2066" w:type="dxa"/>
                </w:tcPr>
                <w:p w14:paraId="383C37C8"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1/10,000 per year</w:t>
                  </w:r>
                </w:p>
              </w:tc>
              <w:tc>
                <w:tcPr>
                  <w:tcW w:w="1620" w:type="dxa"/>
                </w:tcPr>
                <w:p w14:paraId="7934BD28" w14:textId="77777777" w:rsidR="003A41BE" w:rsidRPr="00DA2276" w:rsidRDefault="003A41BE" w:rsidP="002A37E3">
                  <w:pPr>
                    <w:framePr w:hSpace="141" w:wrap="around" w:vAnchor="text" w:hAnchor="text" w:x="421" w:y="1"/>
                    <w:suppressOverlap/>
                    <w:jc w:val="center"/>
                    <w:rPr>
                      <w:rFonts w:cstheme="minorHAnsi"/>
                      <w:sz w:val="22"/>
                      <w:szCs w:val="22"/>
                      <w:lang w:val="en-US"/>
                    </w:rPr>
                  </w:pPr>
                  <w:r>
                    <w:rPr>
                      <w:sz w:val="22"/>
                      <w:szCs w:val="22"/>
                      <w:lang w:val="en-US"/>
                    </w:rPr>
                    <w:t>Eliminated</w:t>
                  </w:r>
                </w:p>
              </w:tc>
            </w:tr>
          </w:tbl>
          <w:p w14:paraId="60CB7C6C" w14:textId="77777777" w:rsidR="003A41BE" w:rsidRPr="00841766" w:rsidRDefault="003A41BE" w:rsidP="00FD44CE">
            <w:pPr>
              <w:autoSpaceDE w:val="0"/>
              <w:autoSpaceDN w:val="0"/>
              <w:adjustRightInd w:val="0"/>
              <w:rPr>
                <w:rFonts w:cstheme="minorHAnsi"/>
                <w:color w:val="000000"/>
                <w:sz w:val="22"/>
                <w:szCs w:val="22"/>
                <w:lang w:val="en-US"/>
              </w:rPr>
            </w:pPr>
            <w:r w:rsidRPr="002A7985">
              <w:rPr>
                <w:rFonts w:cstheme="minorHAnsi"/>
                <w:color w:val="000000"/>
                <w:sz w:val="22"/>
                <w:szCs w:val="22"/>
                <w:lang w:val="en-US"/>
              </w:rPr>
              <w:t>Data Source: Program, MOH</w:t>
            </w:r>
          </w:p>
          <w:p w14:paraId="79712AF3" w14:textId="77777777" w:rsidR="003A41BE" w:rsidRPr="00841766" w:rsidRDefault="003A41BE" w:rsidP="00FD44CE">
            <w:pPr>
              <w:pStyle w:val="Default"/>
              <w:rPr>
                <w:rFonts w:asciiTheme="minorHAnsi" w:hAnsiTheme="minorHAnsi" w:cstheme="minorHAnsi"/>
                <w:sz w:val="22"/>
                <w:szCs w:val="22"/>
                <w:lang w:val="en-US"/>
              </w:rPr>
            </w:pPr>
          </w:p>
        </w:tc>
      </w:tr>
      <w:tr w:rsidR="003A41BE" w:rsidRPr="006444BA" w14:paraId="42987BFD"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AAE805"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4.k Mortality of cardiovascular disease, cancer, diabetes or chronic respiratory disease (SDG </w:t>
            </w:r>
            <w:r>
              <w:rPr>
                <w:rFonts w:asciiTheme="minorHAnsi" w:hAnsiTheme="minorHAnsi" w:cstheme="minorHAnsi"/>
                <w:sz w:val="22"/>
                <w:szCs w:val="22"/>
                <w:lang w:val="en-US"/>
              </w:rPr>
              <w:t>I</w:t>
            </w:r>
            <w:r w:rsidRPr="00841766">
              <w:rPr>
                <w:rFonts w:asciiTheme="minorHAnsi" w:hAnsiTheme="minorHAnsi" w:cstheme="minorHAnsi"/>
                <w:sz w:val="22"/>
                <w:szCs w:val="22"/>
                <w:lang w:val="en-US"/>
              </w:rPr>
              <w:t>ndicator 3.4.1) (gender disaggregation)</w:t>
            </w:r>
          </w:p>
          <w:tbl>
            <w:tblPr>
              <w:tblStyle w:val="TableGrid"/>
              <w:tblW w:w="0" w:type="auto"/>
              <w:tblLayout w:type="fixed"/>
              <w:tblLook w:val="04A0" w:firstRow="1" w:lastRow="0" w:firstColumn="1" w:lastColumn="0" w:noHBand="0" w:noVBand="1"/>
            </w:tblPr>
            <w:tblGrid>
              <w:gridCol w:w="1510"/>
              <w:gridCol w:w="1620"/>
            </w:tblGrid>
            <w:tr w:rsidR="003A41BE" w14:paraId="17AD5CAF" w14:textId="77777777" w:rsidTr="00FD44CE">
              <w:tc>
                <w:tcPr>
                  <w:tcW w:w="1510" w:type="dxa"/>
                </w:tcPr>
                <w:p w14:paraId="1393B7EC"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2503A3B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18ABAACD" w14:textId="77777777" w:rsidTr="00FD44CE">
              <w:tc>
                <w:tcPr>
                  <w:tcW w:w="1510" w:type="dxa"/>
                </w:tcPr>
                <w:p w14:paraId="70C962F0"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19.9</w:t>
                  </w:r>
                </w:p>
              </w:tc>
              <w:tc>
                <w:tcPr>
                  <w:tcW w:w="1620" w:type="dxa"/>
                </w:tcPr>
                <w:p w14:paraId="78E58852" w14:textId="77777777" w:rsidR="003A41BE" w:rsidRPr="00DA2276" w:rsidRDefault="003A41BE" w:rsidP="002A37E3">
                  <w:pPr>
                    <w:framePr w:hSpace="141" w:wrap="around" w:vAnchor="text" w:hAnchor="text" w:x="421" w:y="1"/>
                    <w:suppressOverlap/>
                    <w:jc w:val="center"/>
                    <w:rPr>
                      <w:sz w:val="22"/>
                      <w:szCs w:val="22"/>
                      <w:lang w:val="en-US"/>
                    </w:rPr>
                  </w:pPr>
                  <w:r w:rsidRPr="00841766">
                    <w:rPr>
                      <w:rFonts w:cstheme="minorHAnsi"/>
                      <w:sz w:val="22"/>
                      <w:szCs w:val="22"/>
                      <w:lang w:val="en-US"/>
                    </w:rPr>
                    <w:t>&lt;20</w:t>
                  </w:r>
                </w:p>
              </w:tc>
            </w:tr>
          </w:tbl>
          <w:p w14:paraId="0CC43B70" w14:textId="77777777" w:rsidR="003A41BE" w:rsidRPr="00715FF4" w:rsidRDefault="003A41BE" w:rsidP="00FD44CE">
            <w:pPr>
              <w:pStyle w:val="Default"/>
              <w:rPr>
                <w:rFonts w:asciiTheme="minorHAnsi" w:hAnsiTheme="minorHAnsi" w:cstheme="minorHAnsi"/>
                <w:bCs/>
                <w:sz w:val="22"/>
                <w:szCs w:val="22"/>
                <w:lang w:val="en-US"/>
              </w:rPr>
            </w:pPr>
            <w:r w:rsidRPr="003F4BC2">
              <w:rPr>
                <w:rFonts w:asciiTheme="minorHAnsi" w:hAnsiTheme="minorHAnsi" w:cstheme="minorHAnsi"/>
                <w:bCs/>
                <w:sz w:val="22"/>
                <w:szCs w:val="22"/>
                <w:lang w:val="en-US"/>
              </w:rPr>
              <w:t xml:space="preserve">Data Source: </w:t>
            </w:r>
            <w:r w:rsidRPr="00715FF4">
              <w:rPr>
                <w:rFonts w:asciiTheme="minorHAnsi" w:hAnsiTheme="minorHAnsi" w:cstheme="minorHAnsi"/>
                <w:bCs/>
                <w:sz w:val="22"/>
                <w:szCs w:val="22"/>
                <w:lang w:val="en-US"/>
              </w:rPr>
              <w:t>STEPS survey</w:t>
            </w:r>
            <w:r>
              <w:rPr>
                <w:rFonts w:asciiTheme="minorHAnsi" w:hAnsiTheme="minorHAnsi" w:cstheme="minorHAnsi"/>
                <w:bCs/>
                <w:sz w:val="22"/>
                <w:szCs w:val="22"/>
                <w:lang w:val="en-US"/>
              </w:rPr>
              <w:t xml:space="preserve"> 2018</w:t>
            </w:r>
          </w:p>
          <w:p w14:paraId="5F28FDAB"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5F3130B5"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D95DD7"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4.l Percentage of women of reproductive age (aged 15-49) who have their need for family planning satisfied with modern methods (SDG </w:t>
            </w:r>
            <w:r>
              <w:rPr>
                <w:rFonts w:asciiTheme="minorHAnsi" w:hAnsiTheme="minorHAnsi" w:cstheme="minorHAnsi"/>
                <w:sz w:val="22"/>
                <w:szCs w:val="22"/>
                <w:lang w:val="en-US"/>
              </w:rPr>
              <w:t>I</w:t>
            </w:r>
            <w:r w:rsidRPr="00841766">
              <w:rPr>
                <w:rFonts w:asciiTheme="minorHAnsi" w:hAnsiTheme="minorHAnsi" w:cstheme="minorHAnsi"/>
                <w:sz w:val="22"/>
                <w:szCs w:val="22"/>
                <w:lang w:val="en-US"/>
              </w:rPr>
              <w:t>ndicator 3.7.1)</w:t>
            </w:r>
          </w:p>
          <w:tbl>
            <w:tblPr>
              <w:tblStyle w:val="TableGrid"/>
              <w:tblW w:w="0" w:type="auto"/>
              <w:tblLayout w:type="fixed"/>
              <w:tblLook w:val="04A0" w:firstRow="1" w:lastRow="0" w:firstColumn="1" w:lastColumn="0" w:noHBand="0" w:noVBand="1"/>
            </w:tblPr>
            <w:tblGrid>
              <w:gridCol w:w="1510"/>
              <w:gridCol w:w="1620"/>
            </w:tblGrid>
            <w:tr w:rsidR="003A41BE" w14:paraId="5E29F0A6" w14:textId="77777777" w:rsidTr="00FD44CE">
              <w:tc>
                <w:tcPr>
                  <w:tcW w:w="1510" w:type="dxa"/>
                </w:tcPr>
                <w:p w14:paraId="23F20581"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16C9FE35"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2D0EA946" w14:textId="77777777" w:rsidTr="00FD44CE">
              <w:tc>
                <w:tcPr>
                  <w:tcW w:w="1510" w:type="dxa"/>
                </w:tcPr>
                <w:p w14:paraId="0A01EF64" w14:textId="19630369" w:rsidR="003A41BE" w:rsidRPr="00DA2276" w:rsidRDefault="00850137" w:rsidP="002A37E3">
                  <w:pPr>
                    <w:framePr w:hSpace="141" w:wrap="around" w:vAnchor="text" w:hAnchor="text" w:x="421" w:y="1"/>
                    <w:suppressOverlap/>
                    <w:jc w:val="center"/>
                    <w:rPr>
                      <w:sz w:val="22"/>
                      <w:szCs w:val="22"/>
                      <w:lang w:val="en-US"/>
                    </w:rPr>
                  </w:pPr>
                  <w:r>
                    <w:rPr>
                      <w:sz w:val="22"/>
                      <w:szCs w:val="22"/>
                      <w:lang w:val="en-US"/>
                    </w:rPr>
                    <w:t>46.6</w:t>
                  </w:r>
                  <w:r w:rsidR="003A41BE">
                    <w:rPr>
                      <w:sz w:val="22"/>
                      <w:szCs w:val="22"/>
                      <w:lang w:val="en-US"/>
                    </w:rPr>
                    <w:t>%</w:t>
                  </w:r>
                  <w:r w:rsidR="00A75D00">
                    <w:rPr>
                      <w:sz w:val="22"/>
                      <w:szCs w:val="22"/>
                      <w:lang w:val="en-US"/>
                    </w:rPr>
                    <w:t xml:space="preserve"> (2016)</w:t>
                  </w:r>
                </w:p>
              </w:tc>
              <w:tc>
                <w:tcPr>
                  <w:tcW w:w="1620" w:type="dxa"/>
                </w:tcPr>
                <w:p w14:paraId="07499610" w14:textId="7F7360E3" w:rsidR="003A41BE" w:rsidRPr="00DA2276" w:rsidRDefault="00850137" w:rsidP="002A37E3">
                  <w:pPr>
                    <w:framePr w:hSpace="141" w:wrap="around" w:vAnchor="text" w:hAnchor="text" w:x="421" w:y="1"/>
                    <w:suppressOverlap/>
                    <w:jc w:val="center"/>
                    <w:rPr>
                      <w:sz w:val="22"/>
                      <w:szCs w:val="22"/>
                      <w:lang w:val="en-US"/>
                    </w:rPr>
                  </w:pPr>
                  <w:r>
                    <w:rPr>
                      <w:rFonts w:cstheme="minorHAnsi"/>
                      <w:sz w:val="22"/>
                      <w:szCs w:val="22"/>
                      <w:lang w:val="en-US"/>
                    </w:rPr>
                    <w:t>60</w:t>
                  </w:r>
                  <w:r w:rsidR="003A41BE">
                    <w:rPr>
                      <w:rFonts w:cstheme="minorHAnsi"/>
                      <w:sz w:val="22"/>
                      <w:szCs w:val="22"/>
                      <w:lang w:val="en-US"/>
                    </w:rPr>
                    <w:t>%</w:t>
                  </w:r>
                </w:p>
              </w:tc>
            </w:tr>
          </w:tbl>
          <w:p w14:paraId="2680A485" w14:textId="77777777" w:rsidR="003A41BE" w:rsidRPr="00841766" w:rsidRDefault="003A41BE" w:rsidP="00FD44CE">
            <w:pPr>
              <w:pStyle w:val="Default"/>
              <w:rPr>
                <w:rFonts w:asciiTheme="minorHAnsi" w:hAnsiTheme="minorHAnsi" w:cstheme="minorHAnsi"/>
                <w:sz w:val="22"/>
                <w:szCs w:val="22"/>
                <w:lang w:val="en-US"/>
              </w:rPr>
            </w:pPr>
            <w:r>
              <w:rPr>
                <w:rFonts w:asciiTheme="minorHAnsi" w:hAnsiTheme="minorHAnsi" w:cstheme="minorHAnsi"/>
                <w:sz w:val="22"/>
                <w:szCs w:val="22"/>
                <w:lang w:val="en-US"/>
              </w:rPr>
              <w:t>Data Source: DHS</w:t>
            </w:r>
          </w:p>
          <w:p w14:paraId="30343DBC" w14:textId="77777777" w:rsidR="003A41BE" w:rsidRPr="00841766" w:rsidRDefault="003A41BE" w:rsidP="00FD44CE">
            <w:pPr>
              <w:pStyle w:val="Default"/>
              <w:rPr>
                <w:rFonts w:asciiTheme="minorHAnsi" w:hAnsiTheme="minorHAnsi" w:cstheme="minorHAnsi"/>
                <w:sz w:val="22"/>
                <w:szCs w:val="22"/>
                <w:lang w:val="en-US"/>
              </w:rPr>
            </w:pPr>
          </w:p>
        </w:tc>
      </w:tr>
      <w:tr w:rsidR="003A41BE" w:rsidRPr="006444BA" w14:paraId="54F1EA35"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680AB"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4.m Adolescent birth rate (aged 10-14; aged 15-19) per 1,000 women in that age group (SDG </w:t>
            </w:r>
            <w:r>
              <w:rPr>
                <w:rFonts w:asciiTheme="minorHAnsi" w:hAnsiTheme="minorHAnsi" w:cstheme="minorHAnsi"/>
                <w:sz w:val="22"/>
                <w:szCs w:val="22"/>
                <w:lang w:val="en-US"/>
              </w:rPr>
              <w:t>I</w:t>
            </w:r>
            <w:r w:rsidRPr="00841766">
              <w:rPr>
                <w:rFonts w:asciiTheme="minorHAnsi" w:hAnsiTheme="minorHAnsi" w:cstheme="minorHAnsi"/>
                <w:sz w:val="22"/>
                <w:szCs w:val="22"/>
                <w:lang w:val="en-US"/>
              </w:rPr>
              <w:t xml:space="preserve">ndicator 3.7.2) </w:t>
            </w:r>
          </w:p>
          <w:tbl>
            <w:tblPr>
              <w:tblStyle w:val="TableGrid"/>
              <w:tblW w:w="0" w:type="auto"/>
              <w:tblLayout w:type="fixed"/>
              <w:tblLook w:val="04A0" w:firstRow="1" w:lastRow="0" w:firstColumn="1" w:lastColumn="0" w:noHBand="0" w:noVBand="1"/>
            </w:tblPr>
            <w:tblGrid>
              <w:gridCol w:w="2035"/>
              <w:gridCol w:w="4004"/>
            </w:tblGrid>
            <w:tr w:rsidR="003A41BE" w14:paraId="6A8A49C3" w14:textId="77777777" w:rsidTr="00FD44CE">
              <w:tc>
                <w:tcPr>
                  <w:tcW w:w="2035" w:type="dxa"/>
                </w:tcPr>
                <w:p w14:paraId="4923160F"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4004" w:type="dxa"/>
                </w:tcPr>
                <w:p w14:paraId="621213B1"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388FB667" w14:textId="77777777" w:rsidTr="00FD44CE">
              <w:tc>
                <w:tcPr>
                  <w:tcW w:w="2035" w:type="dxa"/>
                </w:tcPr>
                <w:p w14:paraId="563C9D39"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42 (aged 15-19)</w:t>
                  </w:r>
                </w:p>
              </w:tc>
              <w:tc>
                <w:tcPr>
                  <w:tcW w:w="4004" w:type="dxa"/>
                </w:tcPr>
                <w:p w14:paraId="6E68764F" w14:textId="77777777" w:rsidR="003A41BE" w:rsidRPr="00DA2276" w:rsidRDefault="003A41BE" w:rsidP="002A37E3">
                  <w:pPr>
                    <w:framePr w:hSpace="141" w:wrap="around" w:vAnchor="text" w:hAnchor="text" w:x="421" w:y="1"/>
                    <w:suppressOverlap/>
                    <w:jc w:val="center"/>
                    <w:rPr>
                      <w:sz w:val="22"/>
                      <w:szCs w:val="22"/>
                      <w:lang w:val="en-US"/>
                    </w:rPr>
                  </w:pPr>
                  <w:r>
                    <w:rPr>
                      <w:rFonts w:cstheme="minorHAnsi"/>
                      <w:sz w:val="22"/>
                      <w:szCs w:val="22"/>
                      <w:lang w:val="en-US"/>
                    </w:rPr>
                    <w:t>Under discussion with relevant partners</w:t>
                  </w:r>
                </w:p>
              </w:tc>
            </w:tr>
          </w:tbl>
          <w:p w14:paraId="7C555113" w14:textId="77777777" w:rsidR="003A41BE" w:rsidRPr="00841766" w:rsidRDefault="003A41BE" w:rsidP="00FD44CE">
            <w:pPr>
              <w:pStyle w:val="Default"/>
              <w:rPr>
                <w:rFonts w:asciiTheme="minorHAnsi" w:hAnsiTheme="minorHAnsi" w:cstheme="minorHAnsi"/>
                <w:color w:val="auto"/>
                <w:sz w:val="22"/>
                <w:szCs w:val="22"/>
                <w:lang w:val="en-US"/>
              </w:rPr>
            </w:pPr>
            <w:r>
              <w:rPr>
                <w:rFonts w:asciiTheme="minorHAnsi" w:hAnsiTheme="minorHAnsi" w:cstheme="minorHAnsi"/>
                <w:sz w:val="22"/>
                <w:szCs w:val="22"/>
                <w:lang w:val="en-US"/>
              </w:rPr>
              <w:t>Data Source: DHS</w:t>
            </w:r>
          </w:p>
          <w:p w14:paraId="701446ED" w14:textId="77777777" w:rsidR="003A41BE" w:rsidRPr="00841766" w:rsidRDefault="003A41BE" w:rsidP="00FD44CE">
            <w:pPr>
              <w:pStyle w:val="Default"/>
              <w:rPr>
                <w:rFonts w:asciiTheme="minorHAnsi" w:hAnsiTheme="minorHAnsi" w:cstheme="minorHAnsi"/>
                <w:sz w:val="22"/>
                <w:szCs w:val="22"/>
                <w:lang w:val="en-US"/>
              </w:rPr>
            </w:pPr>
          </w:p>
        </w:tc>
      </w:tr>
      <w:tr w:rsidR="003A41BE" w:rsidRPr="00841766" w14:paraId="31E98EEA" w14:textId="77777777" w:rsidTr="53E3C463">
        <w:trPr>
          <w:trHeight w:val="339"/>
        </w:trPr>
        <w:tc>
          <w:tcPr>
            <w:tcW w:w="4535" w:type="dxa"/>
            <w:gridSpan w:val="2"/>
            <w:tcBorders>
              <w:left w:val="single" w:sz="4" w:space="0" w:color="auto"/>
              <w:bottom w:val="single" w:sz="4" w:space="0" w:color="auto"/>
            </w:tcBorders>
            <w:shd w:val="clear" w:color="auto" w:fill="000000" w:themeFill="text1"/>
          </w:tcPr>
          <w:p w14:paraId="5FB2D3AF"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UNSDCF Results</w:t>
            </w:r>
          </w:p>
        </w:tc>
        <w:tc>
          <w:tcPr>
            <w:tcW w:w="5410" w:type="dxa"/>
            <w:gridSpan w:val="2"/>
            <w:tcBorders>
              <w:bottom w:val="single" w:sz="4" w:space="0" w:color="auto"/>
            </w:tcBorders>
            <w:shd w:val="clear" w:color="auto" w:fill="000000" w:themeFill="text1"/>
          </w:tcPr>
          <w:p w14:paraId="6A6FD802"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Indicators</w:t>
            </w:r>
          </w:p>
        </w:tc>
        <w:tc>
          <w:tcPr>
            <w:tcW w:w="4513" w:type="dxa"/>
            <w:gridSpan w:val="2"/>
            <w:tcBorders>
              <w:bottom w:val="single" w:sz="4" w:space="0" w:color="auto"/>
            </w:tcBorders>
            <w:shd w:val="clear" w:color="auto" w:fill="000000" w:themeFill="text1"/>
          </w:tcPr>
          <w:p w14:paraId="5FBEB318"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Partners</w:t>
            </w:r>
          </w:p>
        </w:tc>
      </w:tr>
      <w:tr w:rsidR="003A41BE" w:rsidRPr="006444BA" w14:paraId="22474F84" w14:textId="77777777" w:rsidTr="53E3C463">
        <w:trPr>
          <w:trHeight w:val="818"/>
        </w:trPr>
        <w:tc>
          <w:tcPr>
            <w:tcW w:w="4535" w:type="dxa"/>
            <w:gridSpan w:val="2"/>
            <w:vMerge w:val="restart"/>
            <w:tcBorders>
              <w:top w:val="single" w:sz="4" w:space="0" w:color="auto"/>
              <w:left w:val="single" w:sz="4" w:space="0" w:color="auto"/>
              <w:right w:val="single" w:sz="4" w:space="0" w:color="auto"/>
            </w:tcBorders>
            <w:shd w:val="clear" w:color="auto" w:fill="8EAADB" w:themeFill="accent1" w:themeFillTint="99"/>
          </w:tcPr>
          <w:p w14:paraId="681C6FC3" w14:textId="77777777" w:rsidR="003A41BE" w:rsidRPr="00841766" w:rsidRDefault="003A41BE" w:rsidP="00FD44CE">
            <w:pPr>
              <w:rPr>
                <w:rFonts w:cstheme="minorHAnsi"/>
                <w:sz w:val="20"/>
                <w:szCs w:val="20"/>
                <w:lang w:val="en-US"/>
              </w:rPr>
            </w:pPr>
            <w:bookmarkStart w:id="162" w:name="_Hlk33012845"/>
            <w:r>
              <w:rPr>
                <w:rFonts w:cstheme="minorHAnsi"/>
                <w:b/>
                <w:color w:val="000000" w:themeColor="text1"/>
                <w:sz w:val="22"/>
                <w:szCs w:val="22"/>
                <w:lang w:val="en-US"/>
              </w:rPr>
              <w:t>Sub-o</w:t>
            </w:r>
            <w:r w:rsidRPr="00841766">
              <w:rPr>
                <w:rFonts w:cstheme="minorHAnsi"/>
                <w:b/>
                <w:color w:val="000000" w:themeColor="text1"/>
                <w:sz w:val="22"/>
                <w:szCs w:val="22"/>
                <w:lang w:val="en-US"/>
              </w:rPr>
              <w:t>utcome 4.1:</w:t>
            </w:r>
            <w:r w:rsidRPr="00841766">
              <w:rPr>
                <w:rFonts w:cstheme="minorHAnsi"/>
                <w:sz w:val="20"/>
                <w:szCs w:val="20"/>
                <w:lang w:val="en-US"/>
              </w:rPr>
              <w:t xml:space="preserve"> </w:t>
            </w:r>
          </w:p>
          <w:p w14:paraId="25F873FE" w14:textId="77777777" w:rsidR="003A41BE" w:rsidRPr="00841766" w:rsidRDefault="003A41BE" w:rsidP="00FD44CE">
            <w:pPr>
              <w:rPr>
                <w:rFonts w:cstheme="minorHAnsi"/>
                <w:sz w:val="20"/>
                <w:szCs w:val="20"/>
                <w:lang w:val="en-US"/>
              </w:rPr>
            </w:pPr>
          </w:p>
          <w:p w14:paraId="47869D2E" w14:textId="77777777" w:rsidR="003A41BE" w:rsidRPr="00841766" w:rsidRDefault="003A41BE" w:rsidP="00FD44CE">
            <w:pPr>
              <w:rPr>
                <w:rFonts w:cstheme="minorHAnsi"/>
                <w:b/>
                <w:sz w:val="22"/>
                <w:szCs w:val="22"/>
                <w:lang w:val="en-US"/>
              </w:rPr>
            </w:pPr>
            <w:r w:rsidRPr="00841766">
              <w:rPr>
                <w:rFonts w:cstheme="minorHAnsi"/>
                <w:b/>
                <w:sz w:val="22"/>
                <w:szCs w:val="22"/>
                <w:lang w:val="en-US"/>
              </w:rPr>
              <w:t xml:space="preserve">Primary Health Care </w:t>
            </w:r>
          </w:p>
          <w:p w14:paraId="1248D99C" w14:textId="77777777" w:rsidR="003A41BE" w:rsidRPr="00841766" w:rsidRDefault="003A41BE" w:rsidP="00FD44CE">
            <w:pPr>
              <w:jc w:val="both"/>
              <w:rPr>
                <w:rFonts w:cstheme="minorHAnsi"/>
                <w:sz w:val="22"/>
                <w:szCs w:val="22"/>
                <w:lang w:val="en-US"/>
              </w:rPr>
            </w:pPr>
            <w:r w:rsidRPr="00841766">
              <w:rPr>
                <w:rFonts w:cstheme="minorHAnsi"/>
                <w:sz w:val="22"/>
                <w:szCs w:val="22"/>
                <w:lang w:val="en-US"/>
              </w:rPr>
              <w:t>By 2025, health care institutions in Timor-Leste have improved delivery of quality, gender-</w:t>
            </w:r>
            <w:r w:rsidRPr="00841766">
              <w:rPr>
                <w:rFonts w:cstheme="minorHAnsi"/>
                <w:sz w:val="22"/>
                <w:szCs w:val="22"/>
                <w:lang w:val="en-US"/>
              </w:rPr>
              <w:lastRenderedPageBreak/>
              <w:t>responsive, equitable and resilient Primary Health Care for Universal Health Coverage, including sexual and reproductive health and rights and in time of emergencies.</w:t>
            </w:r>
          </w:p>
          <w:bookmarkEnd w:id="162"/>
          <w:p w14:paraId="0FD0FEBB" w14:textId="77777777" w:rsidR="003A41BE" w:rsidRPr="00841766" w:rsidRDefault="003A41BE" w:rsidP="00FD44CE">
            <w:pPr>
              <w:jc w:val="both"/>
              <w:rPr>
                <w:rFonts w:cstheme="minorHAnsi"/>
                <w:i/>
                <w:sz w:val="22"/>
                <w:szCs w:val="22"/>
                <w:lang w:val="en-US"/>
              </w:rPr>
            </w:pPr>
          </w:p>
        </w:tc>
        <w:tc>
          <w:tcPr>
            <w:tcW w:w="5410" w:type="dxa"/>
            <w:gridSpan w:val="2"/>
            <w:tcBorders>
              <w:top w:val="single" w:sz="4" w:space="0" w:color="auto"/>
              <w:left w:val="single" w:sz="4" w:space="0" w:color="auto"/>
              <w:right w:val="single" w:sz="4" w:space="0" w:color="auto"/>
            </w:tcBorders>
            <w:shd w:val="clear" w:color="auto" w:fill="D9D9D9" w:themeFill="background1" w:themeFillShade="D9"/>
          </w:tcPr>
          <w:p w14:paraId="5FC9033B"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b/>
                <w:sz w:val="22"/>
                <w:szCs w:val="22"/>
                <w:lang w:val="en-US"/>
              </w:rPr>
              <w:lastRenderedPageBreak/>
              <w:t xml:space="preserve">Indicator 4.1.1: </w:t>
            </w:r>
            <w:bookmarkStart w:id="163" w:name="_Hlk33012869"/>
            <w:r w:rsidRPr="00841766">
              <w:rPr>
                <w:rFonts w:asciiTheme="minorHAnsi" w:hAnsiTheme="minorHAnsi" w:cstheme="minorHAnsi"/>
                <w:sz w:val="22"/>
                <w:szCs w:val="22"/>
                <w:lang w:val="en-US"/>
              </w:rPr>
              <w:t xml:space="preserve">Coverage of essential health services (defined as the average coverage of essential services based on tracer interventions that include reproductive, maternal, newborn and child health, infectious diseases, non-communicable diseases and service capacity and </w:t>
            </w:r>
            <w:r w:rsidRPr="00841766">
              <w:rPr>
                <w:rFonts w:asciiTheme="minorHAnsi" w:hAnsiTheme="minorHAnsi" w:cstheme="minorHAnsi"/>
                <w:sz w:val="22"/>
                <w:szCs w:val="22"/>
                <w:lang w:val="en-US"/>
              </w:rPr>
              <w:lastRenderedPageBreak/>
              <w:t xml:space="preserve">access, among the general and the most disadvantaged population) (SDG </w:t>
            </w:r>
            <w:r>
              <w:rPr>
                <w:rFonts w:asciiTheme="minorHAnsi" w:hAnsiTheme="minorHAnsi" w:cstheme="minorHAnsi"/>
                <w:sz w:val="22"/>
                <w:szCs w:val="22"/>
                <w:lang w:val="en-US"/>
              </w:rPr>
              <w:t>I</w:t>
            </w:r>
            <w:r w:rsidRPr="00841766">
              <w:rPr>
                <w:rFonts w:asciiTheme="minorHAnsi" w:hAnsiTheme="minorHAnsi" w:cstheme="minorHAnsi"/>
                <w:sz w:val="22"/>
                <w:szCs w:val="22"/>
                <w:lang w:val="en-US"/>
              </w:rPr>
              <w:t>ndicator 3.8.1)</w:t>
            </w:r>
          </w:p>
          <w:tbl>
            <w:tblPr>
              <w:tblStyle w:val="TableGrid"/>
              <w:tblW w:w="0" w:type="auto"/>
              <w:tblLayout w:type="fixed"/>
              <w:tblLook w:val="04A0" w:firstRow="1" w:lastRow="0" w:firstColumn="1" w:lastColumn="0" w:noHBand="0" w:noVBand="1"/>
            </w:tblPr>
            <w:tblGrid>
              <w:gridCol w:w="2449"/>
              <w:gridCol w:w="1620"/>
            </w:tblGrid>
            <w:tr w:rsidR="003A41BE" w14:paraId="54633AFE" w14:textId="77777777" w:rsidTr="00FD44CE">
              <w:tc>
                <w:tcPr>
                  <w:tcW w:w="2449" w:type="dxa"/>
                </w:tcPr>
                <w:bookmarkEnd w:id="163"/>
                <w:p w14:paraId="3D8DCA3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0393B3B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38A89174" w14:textId="77777777" w:rsidTr="00FD44CE">
              <w:tc>
                <w:tcPr>
                  <w:tcW w:w="2449" w:type="dxa"/>
                </w:tcPr>
                <w:p w14:paraId="7DDAFA3C"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52 (UHC Index, 2017)</w:t>
                  </w:r>
                </w:p>
              </w:tc>
              <w:tc>
                <w:tcPr>
                  <w:tcW w:w="1620" w:type="dxa"/>
                </w:tcPr>
                <w:p w14:paraId="54BED970" w14:textId="77777777" w:rsidR="003A41BE" w:rsidRPr="00DA2276" w:rsidRDefault="003A41BE" w:rsidP="002A37E3">
                  <w:pPr>
                    <w:framePr w:hSpace="141" w:wrap="around" w:vAnchor="text" w:hAnchor="text" w:x="421" w:y="1"/>
                    <w:suppressOverlap/>
                    <w:jc w:val="center"/>
                    <w:rPr>
                      <w:sz w:val="22"/>
                      <w:szCs w:val="22"/>
                      <w:lang w:val="en-US"/>
                    </w:rPr>
                  </w:pPr>
                  <w:r>
                    <w:rPr>
                      <w:rFonts w:cstheme="minorHAnsi"/>
                      <w:sz w:val="22"/>
                      <w:szCs w:val="22"/>
                      <w:lang w:val="en-US"/>
                    </w:rPr>
                    <w:t>70</w:t>
                  </w:r>
                </w:p>
              </w:tc>
            </w:tr>
          </w:tbl>
          <w:p w14:paraId="35E0DAF8" w14:textId="77777777" w:rsidR="003A41BE" w:rsidRPr="00841766" w:rsidRDefault="003A41BE" w:rsidP="00FD44CE">
            <w:pPr>
              <w:autoSpaceDE w:val="0"/>
              <w:autoSpaceDN w:val="0"/>
              <w:adjustRightInd w:val="0"/>
              <w:rPr>
                <w:rFonts w:cstheme="minorHAnsi"/>
                <w:b/>
                <w:sz w:val="22"/>
                <w:szCs w:val="22"/>
                <w:lang w:val="en-US"/>
              </w:rPr>
            </w:pPr>
            <w:r w:rsidRPr="00DA2276">
              <w:rPr>
                <w:rFonts w:cstheme="minorHAnsi"/>
                <w:bCs/>
                <w:sz w:val="22"/>
                <w:szCs w:val="22"/>
                <w:lang w:val="en-US"/>
              </w:rPr>
              <w:t>Data Source:</w:t>
            </w:r>
            <w:r w:rsidRPr="00841766">
              <w:rPr>
                <w:rFonts w:cstheme="minorHAnsi"/>
                <w:b/>
                <w:sz w:val="22"/>
                <w:szCs w:val="22"/>
                <w:lang w:val="en-US"/>
              </w:rPr>
              <w:t xml:space="preserve"> </w:t>
            </w:r>
            <w:r w:rsidRPr="00841766">
              <w:rPr>
                <w:rFonts w:cstheme="minorHAnsi"/>
                <w:sz w:val="22"/>
                <w:szCs w:val="22"/>
                <w:lang w:val="en-US"/>
              </w:rPr>
              <w:t>SDG Profile</w:t>
            </w:r>
          </w:p>
          <w:p w14:paraId="0E3D2F0B" w14:textId="77777777" w:rsidR="003A41BE" w:rsidRPr="00841766" w:rsidRDefault="003A41BE" w:rsidP="00FD44CE">
            <w:pPr>
              <w:autoSpaceDE w:val="0"/>
              <w:autoSpaceDN w:val="0"/>
              <w:adjustRightInd w:val="0"/>
              <w:rPr>
                <w:rFonts w:cstheme="minorHAnsi"/>
                <w:sz w:val="22"/>
                <w:szCs w:val="22"/>
                <w:lang w:val="en-US"/>
              </w:rPr>
            </w:pPr>
          </w:p>
        </w:tc>
        <w:tc>
          <w:tcPr>
            <w:tcW w:w="4513" w:type="dxa"/>
            <w:gridSpan w:val="2"/>
            <w:vMerge w:val="restart"/>
            <w:tcBorders>
              <w:top w:val="single" w:sz="4" w:space="0" w:color="auto"/>
              <w:left w:val="single" w:sz="4" w:space="0" w:color="auto"/>
              <w:right w:val="single" w:sz="4" w:space="0" w:color="auto"/>
            </w:tcBorders>
          </w:tcPr>
          <w:p w14:paraId="5C426F65"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lastRenderedPageBreak/>
              <w:t>Ministry of Health</w:t>
            </w:r>
          </w:p>
          <w:p w14:paraId="7BB84A95"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Education, Youth and Sports; Ministry of Finance</w:t>
            </w:r>
          </w:p>
          <w:p w14:paraId="68122E9D"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Interior</w:t>
            </w:r>
          </w:p>
          <w:p w14:paraId="1C9319E0"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lastRenderedPageBreak/>
              <w:t>Ministry of Legislative Reform and Parliamentary Affairs</w:t>
            </w:r>
          </w:p>
          <w:p w14:paraId="52545BDF"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State Administration</w:t>
            </w:r>
          </w:p>
          <w:p w14:paraId="09556E61"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Social Solidarity and Inclusion Ministry of Plans and Strategic Investment Ministry of Public Works</w:t>
            </w:r>
          </w:p>
          <w:p w14:paraId="2D783616"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Transport and Communication; Ministry of Tourism</w:t>
            </w:r>
          </w:p>
          <w:p w14:paraId="77BFC254"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Trade and Industry</w:t>
            </w:r>
          </w:p>
          <w:p w14:paraId="128F16A4"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Agriculture and Fisheries</w:t>
            </w:r>
          </w:p>
          <w:p w14:paraId="16644A74"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Public Service Commission</w:t>
            </w:r>
          </w:p>
          <w:p w14:paraId="2088F273"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Regulatory Authorities in Health</w:t>
            </w:r>
          </w:p>
          <w:p w14:paraId="40C9E2FE"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National Institute for Social Security</w:t>
            </w:r>
          </w:p>
          <w:p w14:paraId="1C16137A" w14:textId="77777777" w:rsidR="003A41BE" w:rsidRDefault="003A41BE" w:rsidP="00FD44CE">
            <w:pPr>
              <w:autoSpaceDE w:val="0"/>
              <w:autoSpaceDN w:val="0"/>
              <w:adjustRightInd w:val="0"/>
              <w:rPr>
                <w:rFonts w:cstheme="minorHAnsi"/>
                <w:sz w:val="22"/>
                <w:szCs w:val="22"/>
                <w:lang w:val="en-US"/>
              </w:rPr>
            </w:pPr>
          </w:p>
          <w:p w14:paraId="15F5E3B3"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FAO</w:t>
            </w:r>
            <w:r>
              <w:rPr>
                <w:rFonts w:cstheme="minorHAnsi"/>
                <w:sz w:val="22"/>
                <w:szCs w:val="22"/>
                <w:lang w:val="en-US"/>
              </w:rPr>
              <w:t>,</w:t>
            </w:r>
            <w:r w:rsidRPr="00841766">
              <w:rPr>
                <w:rFonts w:cstheme="minorHAnsi"/>
                <w:sz w:val="22"/>
                <w:szCs w:val="22"/>
                <w:lang w:val="en-US"/>
              </w:rPr>
              <w:t xml:space="preserve"> </w:t>
            </w:r>
            <w:r>
              <w:rPr>
                <w:rFonts w:cstheme="minorHAnsi"/>
                <w:sz w:val="22"/>
                <w:szCs w:val="22"/>
                <w:lang w:val="en-US"/>
              </w:rPr>
              <w:t xml:space="preserve">ILO, IOM, </w:t>
            </w:r>
            <w:r w:rsidRPr="00841766">
              <w:rPr>
                <w:rFonts w:cstheme="minorHAnsi"/>
                <w:sz w:val="22"/>
                <w:szCs w:val="22"/>
                <w:lang w:val="en-US"/>
              </w:rPr>
              <w:t>UNDP</w:t>
            </w:r>
            <w:r>
              <w:rPr>
                <w:rFonts w:cstheme="minorHAnsi"/>
                <w:sz w:val="22"/>
                <w:szCs w:val="22"/>
                <w:lang w:val="en-US"/>
              </w:rPr>
              <w:t>, UNFPA</w:t>
            </w:r>
            <w:r w:rsidRPr="00841766">
              <w:rPr>
                <w:rFonts w:cstheme="minorHAnsi"/>
                <w:sz w:val="22"/>
                <w:szCs w:val="22"/>
                <w:lang w:val="en-US"/>
              </w:rPr>
              <w:t xml:space="preserve"> UNICEF</w:t>
            </w:r>
            <w:r>
              <w:rPr>
                <w:rFonts w:cstheme="minorHAnsi"/>
                <w:sz w:val="22"/>
                <w:szCs w:val="22"/>
                <w:lang w:val="en-US"/>
              </w:rPr>
              <w:t>,</w:t>
            </w:r>
            <w:r w:rsidRPr="00841766">
              <w:rPr>
                <w:rFonts w:cstheme="minorHAnsi"/>
                <w:sz w:val="22"/>
                <w:szCs w:val="22"/>
                <w:lang w:val="en-US"/>
              </w:rPr>
              <w:t xml:space="preserve"> </w:t>
            </w:r>
            <w:r>
              <w:rPr>
                <w:rFonts w:cstheme="minorHAnsi"/>
                <w:sz w:val="22"/>
                <w:szCs w:val="22"/>
                <w:lang w:val="en-US"/>
              </w:rPr>
              <w:t xml:space="preserve">WFP, </w:t>
            </w:r>
            <w:r w:rsidRPr="00841766">
              <w:rPr>
                <w:rFonts w:cstheme="minorHAnsi"/>
                <w:sz w:val="22"/>
                <w:szCs w:val="22"/>
                <w:lang w:val="en-US"/>
              </w:rPr>
              <w:t>WHO</w:t>
            </w:r>
          </w:p>
          <w:p w14:paraId="152CFC3B" w14:textId="77777777" w:rsidR="003A41BE" w:rsidRDefault="003A41BE" w:rsidP="00FD44CE">
            <w:pPr>
              <w:autoSpaceDE w:val="0"/>
              <w:autoSpaceDN w:val="0"/>
              <w:adjustRightInd w:val="0"/>
              <w:rPr>
                <w:rFonts w:cstheme="minorHAnsi"/>
                <w:sz w:val="22"/>
                <w:szCs w:val="22"/>
                <w:lang w:val="en-US"/>
              </w:rPr>
            </w:pPr>
          </w:p>
          <w:p w14:paraId="79D531BB"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World Bank, Bilateral partners</w:t>
            </w:r>
          </w:p>
          <w:p w14:paraId="02E1CC06" w14:textId="77777777" w:rsidR="003A41BE" w:rsidRPr="00841766" w:rsidRDefault="003A41BE" w:rsidP="00FD44CE">
            <w:pPr>
              <w:autoSpaceDE w:val="0"/>
              <w:autoSpaceDN w:val="0"/>
              <w:adjustRightInd w:val="0"/>
              <w:rPr>
                <w:rFonts w:cstheme="minorHAnsi"/>
                <w:sz w:val="22"/>
                <w:szCs w:val="22"/>
                <w:lang w:val="en-US"/>
              </w:rPr>
            </w:pPr>
          </w:p>
          <w:p w14:paraId="2B5CA3AD"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 xml:space="preserve">Universities, Media establishments and other health </w:t>
            </w:r>
            <w:r>
              <w:rPr>
                <w:rFonts w:cstheme="minorHAnsi"/>
                <w:sz w:val="22"/>
                <w:szCs w:val="22"/>
                <w:lang w:val="en-US"/>
              </w:rPr>
              <w:t>centers</w:t>
            </w:r>
          </w:p>
          <w:p w14:paraId="1BFFDEBF" w14:textId="77777777" w:rsidR="003A41BE" w:rsidRPr="00841766" w:rsidRDefault="003A41BE" w:rsidP="00FD44CE">
            <w:pPr>
              <w:autoSpaceDE w:val="0"/>
              <w:autoSpaceDN w:val="0"/>
              <w:adjustRightInd w:val="0"/>
              <w:rPr>
                <w:rFonts w:cstheme="minorHAnsi"/>
                <w:sz w:val="22"/>
                <w:szCs w:val="22"/>
                <w:lang w:val="en-US"/>
              </w:rPr>
            </w:pPr>
          </w:p>
          <w:p w14:paraId="42110706"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065D119D" w14:textId="77777777" w:rsidTr="53E3C463">
        <w:trPr>
          <w:trHeight w:val="256"/>
        </w:trPr>
        <w:tc>
          <w:tcPr>
            <w:tcW w:w="4535" w:type="dxa"/>
            <w:gridSpan w:val="2"/>
            <w:vMerge/>
          </w:tcPr>
          <w:p w14:paraId="24C248BB"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CF63D" w14:textId="77777777" w:rsidR="003A41BE" w:rsidRDefault="003A41BE" w:rsidP="00FD44CE">
            <w:pPr>
              <w:pStyle w:val="Default"/>
              <w:rPr>
                <w:rFonts w:asciiTheme="minorHAnsi" w:eastAsia="Times New Roman" w:hAnsiTheme="minorHAnsi" w:cstheme="minorHAnsi"/>
                <w:color w:val="auto"/>
                <w:sz w:val="22"/>
                <w:szCs w:val="22"/>
                <w:lang w:val="en-US" w:eastAsia="fr-FR"/>
              </w:rPr>
            </w:pPr>
            <w:r w:rsidRPr="00841766">
              <w:rPr>
                <w:rFonts w:asciiTheme="minorHAnsi" w:hAnsiTheme="minorHAnsi" w:cstheme="minorHAnsi"/>
                <w:b/>
                <w:sz w:val="22"/>
                <w:szCs w:val="22"/>
                <w:lang w:val="en-US"/>
              </w:rPr>
              <w:t xml:space="preserve">Indicator 4.1.2: </w:t>
            </w:r>
            <w:r w:rsidRPr="00841766">
              <w:rPr>
                <w:rFonts w:asciiTheme="minorHAnsi" w:eastAsia="Times New Roman" w:hAnsiTheme="minorHAnsi" w:cstheme="minorHAnsi"/>
                <w:color w:val="auto"/>
                <w:sz w:val="22"/>
                <w:szCs w:val="22"/>
                <w:lang w:val="en-US" w:eastAsia="fr-FR"/>
              </w:rPr>
              <w:t xml:space="preserve">Proportion of children with wasting receiving treatment services </w:t>
            </w:r>
          </w:p>
          <w:tbl>
            <w:tblPr>
              <w:tblStyle w:val="TableGrid"/>
              <w:tblW w:w="0" w:type="auto"/>
              <w:tblLayout w:type="fixed"/>
              <w:tblLook w:val="04A0" w:firstRow="1" w:lastRow="0" w:firstColumn="1" w:lastColumn="0" w:noHBand="0" w:noVBand="1"/>
            </w:tblPr>
            <w:tblGrid>
              <w:gridCol w:w="3175"/>
              <w:gridCol w:w="1620"/>
            </w:tblGrid>
            <w:tr w:rsidR="003A41BE" w14:paraId="2ED1C305" w14:textId="77777777" w:rsidTr="00FD44CE">
              <w:tc>
                <w:tcPr>
                  <w:tcW w:w="3175" w:type="dxa"/>
                </w:tcPr>
                <w:p w14:paraId="0B2F66D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348A0AEC"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09B00671" w14:textId="77777777" w:rsidTr="00FD44CE">
              <w:tc>
                <w:tcPr>
                  <w:tcW w:w="3175" w:type="dxa"/>
                </w:tcPr>
                <w:p w14:paraId="40337500" w14:textId="77777777" w:rsidR="003A41BE" w:rsidRPr="00DA2276" w:rsidRDefault="003A41BE" w:rsidP="002A37E3">
                  <w:pPr>
                    <w:framePr w:hSpace="141" w:wrap="around" w:vAnchor="text" w:hAnchor="text" w:x="421" w:y="1"/>
                    <w:suppressOverlap/>
                    <w:jc w:val="center"/>
                    <w:rPr>
                      <w:sz w:val="22"/>
                      <w:szCs w:val="22"/>
                      <w:lang w:val="en-US"/>
                    </w:rPr>
                  </w:pPr>
                  <w:r w:rsidRPr="002A7985">
                    <w:rPr>
                      <w:sz w:val="22"/>
                      <w:szCs w:val="22"/>
                      <w:lang w:val="en-US"/>
                    </w:rPr>
                    <w:t>TLFNS 2020 to provide baseline</w:t>
                  </w:r>
                </w:p>
              </w:tc>
              <w:tc>
                <w:tcPr>
                  <w:tcW w:w="1620" w:type="dxa"/>
                </w:tcPr>
                <w:p w14:paraId="111C6735" w14:textId="77777777" w:rsidR="003A41BE" w:rsidRPr="00DA2276" w:rsidRDefault="003A41BE" w:rsidP="002A37E3">
                  <w:pPr>
                    <w:framePr w:hSpace="141" w:wrap="around" w:vAnchor="text" w:hAnchor="text" w:x="421" w:y="1"/>
                    <w:suppressOverlap/>
                    <w:jc w:val="center"/>
                    <w:rPr>
                      <w:sz w:val="22"/>
                      <w:szCs w:val="22"/>
                      <w:lang w:val="en-US"/>
                    </w:rPr>
                  </w:pPr>
                  <w:r w:rsidRPr="00841766">
                    <w:rPr>
                      <w:rFonts w:cstheme="minorHAnsi"/>
                      <w:sz w:val="22"/>
                      <w:szCs w:val="22"/>
                      <w:lang w:val="en-US"/>
                    </w:rPr>
                    <w:t>&gt;80%</w:t>
                  </w:r>
                </w:p>
              </w:tc>
            </w:tr>
          </w:tbl>
          <w:p w14:paraId="40F3DAA4" w14:textId="77777777" w:rsidR="003A41BE" w:rsidRPr="003F4BC2" w:rsidRDefault="003A41BE" w:rsidP="00FD44CE">
            <w:pPr>
              <w:autoSpaceDE w:val="0"/>
              <w:autoSpaceDN w:val="0"/>
              <w:adjustRightInd w:val="0"/>
              <w:rPr>
                <w:rFonts w:cstheme="minorHAnsi"/>
                <w:bCs/>
                <w:sz w:val="22"/>
                <w:szCs w:val="22"/>
                <w:lang w:val="en-US"/>
              </w:rPr>
            </w:pPr>
            <w:r w:rsidRPr="002A7985">
              <w:rPr>
                <w:rFonts w:cstheme="minorHAnsi"/>
                <w:bCs/>
                <w:sz w:val="22"/>
                <w:szCs w:val="22"/>
                <w:lang w:val="en-US"/>
              </w:rPr>
              <w:t>Data Source: DHS/FNS</w:t>
            </w:r>
          </w:p>
          <w:p w14:paraId="6617AB41" w14:textId="77777777" w:rsidR="003A41BE" w:rsidRPr="00841766" w:rsidRDefault="003A41BE" w:rsidP="00FD44CE">
            <w:pPr>
              <w:pStyle w:val="Default"/>
              <w:rPr>
                <w:rFonts w:asciiTheme="minorHAnsi" w:hAnsiTheme="minorHAnsi" w:cstheme="minorHAnsi"/>
                <w:b/>
                <w:sz w:val="22"/>
                <w:szCs w:val="22"/>
                <w:lang w:val="en-US"/>
              </w:rPr>
            </w:pPr>
          </w:p>
        </w:tc>
        <w:tc>
          <w:tcPr>
            <w:tcW w:w="4513" w:type="dxa"/>
            <w:gridSpan w:val="2"/>
            <w:vMerge/>
          </w:tcPr>
          <w:p w14:paraId="3511C91C"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5C87BBDB" w14:textId="77777777" w:rsidTr="53E3C463">
        <w:trPr>
          <w:trHeight w:val="256"/>
        </w:trPr>
        <w:tc>
          <w:tcPr>
            <w:tcW w:w="4535" w:type="dxa"/>
            <w:gridSpan w:val="2"/>
            <w:vMerge/>
          </w:tcPr>
          <w:p w14:paraId="3B7970BA"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66E5B" w14:textId="77777777" w:rsidR="003A41BE" w:rsidRDefault="003A41BE" w:rsidP="00FD44CE">
            <w:pPr>
              <w:pStyle w:val="Default"/>
              <w:rPr>
                <w:rFonts w:asciiTheme="minorHAnsi" w:eastAsia="Times New Roman" w:hAnsiTheme="minorHAnsi" w:cstheme="minorHAnsi"/>
                <w:color w:val="auto"/>
                <w:sz w:val="22"/>
                <w:szCs w:val="22"/>
                <w:lang w:val="en-US" w:eastAsia="fr-FR"/>
              </w:rPr>
            </w:pPr>
            <w:r w:rsidRPr="00841766">
              <w:rPr>
                <w:rFonts w:asciiTheme="minorHAnsi" w:hAnsiTheme="minorHAnsi" w:cstheme="minorHAnsi"/>
                <w:b/>
                <w:sz w:val="22"/>
                <w:szCs w:val="22"/>
                <w:lang w:val="en-US"/>
              </w:rPr>
              <w:t xml:space="preserve">Indicator 4.1.3: </w:t>
            </w:r>
            <w:bookmarkStart w:id="164" w:name="_Hlk33012904"/>
            <w:r w:rsidRPr="00841766">
              <w:rPr>
                <w:rFonts w:asciiTheme="minorHAnsi" w:eastAsia="Times New Roman" w:hAnsiTheme="minorHAnsi" w:cstheme="minorHAnsi"/>
                <w:color w:val="auto"/>
                <w:sz w:val="22"/>
                <w:szCs w:val="22"/>
                <w:lang w:val="en-US" w:eastAsia="fr-FR"/>
              </w:rPr>
              <w:t xml:space="preserve">Proportion of children under 5 years of age and pregnant women receiving interventions for prevention of </w:t>
            </w:r>
            <w:proofErr w:type="spellStart"/>
            <w:r w:rsidRPr="00841766">
              <w:rPr>
                <w:rFonts w:asciiTheme="minorHAnsi" w:eastAsia="Times New Roman" w:hAnsiTheme="minorHAnsi" w:cstheme="minorHAnsi"/>
                <w:color w:val="auto"/>
                <w:sz w:val="22"/>
                <w:szCs w:val="22"/>
                <w:lang w:val="en-US" w:eastAsia="fr-FR"/>
              </w:rPr>
              <w:t>anaemia</w:t>
            </w:r>
            <w:proofErr w:type="spellEnd"/>
            <w:r w:rsidRPr="00841766">
              <w:rPr>
                <w:rFonts w:asciiTheme="minorHAnsi" w:eastAsia="Times New Roman" w:hAnsiTheme="minorHAnsi" w:cstheme="minorHAnsi"/>
                <w:color w:val="auto"/>
                <w:sz w:val="22"/>
                <w:szCs w:val="22"/>
                <w:lang w:val="en-US" w:eastAsia="fr-FR"/>
              </w:rPr>
              <w:t xml:space="preserve"> </w:t>
            </w:r>
          </w:p>
          <w:bookmarkEnd w:id="164"/>
          <w:tbl>
            <w:tblPr>
              <w:tblStyle w:val="TableGrid"/>
              <w:tblW w:w="4672" w:type="dxa"/>
              <w:tblInd w:w="40" w:type="dxa"/>
              <w:tblLayout w:type="fixed"/>
              <w:tblLook w:val="04A0" w:firstRow="1" w:lastRow="0" w:firstColumn="1" w:lastColumn="0" w:noHBand="0" w:noVBand="1"/>
            </w:tblPr>
            <w:tblGrid>
              <w:gridCol w:w="1792"/>
              <w:gridCol w:w="1260"/>
              <w:gridCol w:w="1620"/>
            </w:tblGrid>
            <w:tr w:rsidR="003A41BE" w14:paraId="7BF402A4" w14:textId="77777777" w:rsidTr="00FD44CE">
              <w:tc>
                <w:tcPr>
                  <w:tcW w:w="1792" w:type="dxa"/>
                </w:tcPr>
                <w:p w14:paraId="6F246A47" w14:textId="77777777" w:rsidR="003A41BE" w:rsidRDefault="003A41BE" w:rsidP="002A37E3">
                  <w:pPr>
                    <w:framePr w:hSpace="141" w:wrap="around" w:vAnchor="text" w:hAnchor="text" w:x="421" w:y="1"/>
                    <w:suppressOverlap/>
                    <w:jc w:val="center"/>
                    <w:rPr>
                      <w:sz w:val="22"/>
                      <w:szCs w:val="22"/>
                      <w:lang w:val="en-US"/>
                    </w:rPr>
                  </w:pPr>
                </w:p>
              </w:tc>
              <w:tc>
                <w:tcPr>
                  <w:tcW w:w="1260" w:type="dxa"/>
                </w:tcPr>
                <w:p w14:paraId="630E221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303F001C"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7F0492E9" w14:textId="77777777" w:rsidTr="00FD44CE">
              <w:tc>
                <w:tcPr>
                  <w:tcW w:w="1792" w:type="dxa"/>
                </w:tcPr>
                <w:p w14:paraId="5B1650ED" w14:textId="77777777" w:rsidR="003A41BE" w:rsidRPr="002A7985" w:rsidRDefault="003A41BE" w:rsidP="002A37E3">
                  <w:pPr>
                    <w:framePr w:hSpace="141" w:wrap="around" w:vAnchor="text" w:hAnchor="text" w:x="421" w:y="1"/>
                    <w:suppressOverlap/>
                    <w:jc w:val="center"/>
                    <w:rPr>
                      <w:sz w:val="22"/>
                      <w:szCs w:val="22"/>
                      <w:lang w:val="en-US"/>
                    </w:rPr>
                  </w:pPr>
                  <w:r>
                    <w:rPr>
                      <w:sz w:val="22"/>
                      <w:szCs w:val="22"/>
                      <w:lang w:val="en-US"/>
                    </w:rPr>
                    <w:t xml:space="preserve">Children under 5 years of age </w:t>
                  </w:r>
                </w:p>
              </w:tc>
              <w:tc>
                <w:tcPr>
                  <w:tcW w:w="1260" w:type="dxa"/>
                </w:tcPr>
                <w:p w14:paraId="022B7DFA" w14:textId="77777777" w:rsidR="003A41BE" w:rsidRPr="003F4BC2" w:rsidRDefault="003A41BE" w:rsidP="002A37E3">
                  <w:pPr>
                    <w:framePr w:hSpace="141" w:wrap="around" w:vAnchor="text" w:hAnchor="text" w:x="421" w:y="1"/>
                    <w:suppressOverlap/>
                    <w:jc w:val="center"/>
                    <w:rPr>
                      <w:sz w:val="22"/>
                      <w:szCs w:val="22"/>
                      <w:highlight w:val="yellow"/>
                      <w:lang w:val="en-US"/>
                    </w:rPr>
                  </w:pPr>
                  <w:r w:rsidRPr="002A7985">
                    <w:rPr>
                      <w:sz w:val="22"/>
                      <w:szCs w:val="22"/>
                      <w:lang w:val="en-US"/>
                    </w:rPr>
                    <w:t>TLFNS 2020 to provide baseline</w:t>
                  </w:r>
                </w:p>
              </w:tc>
              <w:tc>
                <w:tcPr>
                  <w:tcW w:w="1620" w:type="dxa"/>
                </w:tcPr>
                <w:p w14:paraId="598C862F"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80%</w:t>
                  </w:r>
                </w:p>
              </w:tc>
            </w:tr>
            <w:tr w:rsidR="003A41BE" w:rsidRPr="00DA2276" w14:paraId="4F39DDBF" w14:textId="77777777" w:rsidTr="00FD44CE">
              <w:tc>
                <w:tcPr>
                  <w:tcW w:w="1792" w:type="dxa"/>
                </w:tcPr>
                <w:p w14:paraId="6D8503A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Pregnant women</w:t>
                  </w:r>
                </w:p>
              </w:tc>
              <w:tc>
                <w:tcPr>
                  <w:tcW w:w="1260" w:type="dxa"/>
                </w:tcPr>
                <w:p w14:paraId="22EB20F9"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TLFNS 2020 to provide baseline</w:t>
                  </w:r>
                </w:p>
              </w:tc>
              <w:tc>
                <w:tcPr>
                  <w:tcW w:w="1620" w:type="dxa"/>
                </w:tcPr>
                <w:p w14:paraId="315CC68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80%</w:t>
                  </w:r>
                </w:p>
              </w:tc>
            </w:tr>
          </w:tbl>
          <w:p w14:paraId="79FCD002" w14:textId="77777777" w:rsidR="003A41BE" w:rsidRDefault="003A41BE" w:rsidP="00FD44CE">
            <w:pPr>
              <w:pStyle w:val="Default"/>
              <w:rPr>
                <w:rFonts w:asciiTheme="minorHAnsi" w:eastAsia="Times New Roman" w:hAnsiTheme="minorHAnsi" w:cstheme="minorHAnsi"/>
                <w:color w:val="auto"/>
                <w:sz w:val="22"/>
                <w:szCs w:val="22"/>
                <w:lang w:val="en-US" w:eastAsia="fr-FR"/>
              </w:rPr>
            </w:pPr>
            <w:r>
              <w:rPr>
                <w:rFonts w:asciiTheme="minorHAnsi" w:eastAsia="Times New Roman" w:hAnsiTheme="minorHAnsi" w:cstheme="minorHAnsi"/>
                <w:color w:val="auto"/>
                <w:sz w:val="22"/>
                <w:szCs w:val="22"/>
                <w:lang w:val="en-US" w:eastAsia="fr-FR"/>
              </w:rPr>
              <w:t>Data Source: DHS/FNS</w:t>
            </w:r>
            <w:r w:rsidDel="00244F7B">
              <w:rPr>
                <w:rFonts w:asciiTheme="minorHAnsi" w:eastAsia="Times New Roman" w:hAnsiTheme="minorHAnsi" w:cstheme="minorHAnsi"/>
                <w:color w:val="auto"/>
                <w:sz w:val="22"/>
                <w:szCs w:val="22"/>
                <w:lang w:val="en-US" w:eastAsia="fr-FR"/>
              </w:rPr>
              <w:t xml:space="preserve"> </w:t>
            </w:r>
          </w:p>
          <w:p w14:paraId="72C4E4F2" w14:textId="77777777" w:rsidR="003A41BE" w:rsidRPr="00841766" w:rsidRDefault="003A41BE" w:rsidP="00FD44CE">
            <w:pPr>
              <w:pStyle w:val="Default"/>
              <w:rPr>
                <w:rFonts w:asciiTheme="minorHAnsi" w:hAnsiTheme="minorHAnsi" w:cstheme="minorHAnsi"/>
                <w:b/>
                <w:sz w:val="22"/>
                <w:szCs w:val="22"/>
                <w:lang w:val="en-US"/>
              </w:rPr>
            </w:pPr>
          </w:p>
        </w:tc>
        <w:tc>
          <w:tcPr>
            <w:tcW w:w="4513" w:type="dxa"/>
            <w:gridSpan w:val="2"/>
            <w:vMerge/>
          </w:tcPr>
          <w:p w14:paraId="068FFA73"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076F6444" w14:textId="77777777" w:rsidTr="53E3C463">
        <w:trPr>
          <w:trHeight w:val="256"/>
        </w:trPr>
        <w:tc>
          <w:tcPr>
            <w:tcW w:w="4535" w:type="dxa"/>
            <w:gridSpan w:val="2"/>
            <w:vMerge/>
          </w:tcPr>
          <w:p w14:paraId="5E3EB598"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97DC8" w14:textId="77777777" w:rsidR="003A41BE" w:rsidRDefault="003A41BE" w:rsidP="00FD44CE">
            <w:pPr>
              <w:rPr>
                <w:rFonts w:cstheme="minorHAnsi"/>
                <w:sz w:val="22"/>
                <w:szCs w:val="22"/>
                <w:lang w:val="en-US"/>
              </w:rPr>
            </w:pPr>
            <w:r w:rsidRPr="00841766">
              <w:rPr>
                <w:rFonts w:cstheme="minorHAnsi"/>
                <w:b/>
                <w:sz w:val="22"/>
                <w:szCs w:val="22"/>
                <w:lang w:val="en-US"/>
              </w:rPr>
              <w:t xml:space="preserve">Indicator 4.1.4: </w:t>
            </w:r>
            <w:r w:rsidRPr="00D86430">
              <w:rPr>
                <w:rFonts w:cstheme="minorHAnsi"/>
                <w:sz w:val="22"/>
                <w:szCs w:val="22"/>
                <w:lang w:val="en-US"/>
              </w:rPr>
              <w:t>Percentage of children under-5 with diarrhea seeking care</w:t>
            </w:r>
          </w:p>
          <w:tbl>
            <w:tblPr>
              <w:tblStyle w:val="TableGrid"/>
              <w:tblW w:w="0" w:type="auto"/>
              <w:tblLayout w:type="fixed"/>
              <w:tblLook w:val="04A0" w:firstRow="1" w:lastRow="0" w:firstColumn="1" w:lastColumn="0" w:noHBand="0" w:noVBand="1"/>
            </w:tblPr>
            <w:tblGrid>
              <w:gridCol w:w="1510"/>
              <w:gridCol w:w="1620"/>
            </w:tblGrid>
            <w:tr w:rsidR="003A41BE" w14:paraId="3760C8EB" w14:textId="77777777" w:rsidTr="00FD44CE">
              <w:tc>
                <w:tcPr>
                  <w:tcW w:w="1510" w:type="dxa"/>
                </w:tcPr>
                <w:p w14:paraId="1AEB3B4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4D4DA932"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5EF284DC" w14:textId="77777777" w:rsidTr="00FD44CE">
              <w:tc>
                <w:tcPr>
                  <w:tcW w:w="1510" w:type="dxa"/>
                </w:tcPr>
                <w:p w14:paraId="1708AC7A"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60%</w:t>
                  </w:r>
                </w:p>
              </w:tc>
              <w:tc>
                <w:tcPr>
                  <w:tcW w:w="1620" w:type="dxa"/>
                </w:tcPr>
                <w:p w14:paraId="42CD7446" w14:textId="77777777" w:rsidR="003A41BE" w:rsidRPr="00DA2276" w:rsidRDefault="003A41BE" w:rsidP="002A37E3">
                  <w:pPr>
                    <w:framePr w:hSpace="141" w:wrap="around" w:vAnchor="text" w:hAnchor="text" w:x="421" w:y="1"/>
                    <w:suppressOverlap/>
                    <w:jc w:val="center"/>
                    <w:rPr>
                      <w:sz w:val="22"/>
                      <w:szCs w:val="22"/>
                      <w:lang w:val="en-US"/>
                    </w:rPr>
                  </w:pPr>
                  <w:r w:rsidRPr="00841766">
                    <w:rPr>
                      <w:rFonts w:cstheme="minorHAnsi"/>
                      <w:sz w:val="22"/>
                      <w:szCs w:val="22"/>
                      <w:lang w:val="en-US"/>
                    </w:rPr>
                    <w:t>&gt;80%</w:t>
                  </w:r>
                </w:p>
              </w:tc>
            </w:tr>
          </w:tbl>
          <w:p w14:paraId="18DFC730" w14:textId="77777777" w:rsidR="003A41BE" w:rsidRPr="00841766" w:rsidRDefault="003A41BE" w:rsidP="00FD44CE">
            <w:pPr>
              <w:autoSpaceDE w:val="0"/>
              <w:autoSpaceDN w:val="0"/>
              <w:adjustRightInd w:val="0"/>
              <w:rPr>
                <w:rFonts w:cstheme="minorHAnsi"/>
                <w:b/>
                <w:sz w:val="22"/>
                <w:szCs w:val="22"/>
                <w:lang w:val="en-US"/>
              </w:rPr>
            </w:pPr>
            <w:r w:rsidRPr="003F4BC2">
              <w:rPr>
                <w:rFonts w:cstheme="minorHAnsi"/>
                <w:bCs/>
                <w:sz w:val="22"/>
                <w:szCs w:val="22"/>
                <w:lang w:val="en-US"/>
              </w:rPr>
              <w:t>Data Source:</w:t>
            </w:r>
            <w:r w:rsidRPr="00841766">
              <w:rPr>
                <w:rFonts w:cstheme="minorHAnsi"/>
                <w:b/>
                <w:sz w:val="22"/>
                <w:szCs w:val="22"/>
                <w:lang w:val="en-US"/>
              </w:rPr>
              <w:t xml:space="preserve"> </w:t>
            </w:r>
            <w:r w:rsidRPr="00841766">
              <w:rPr>
                <w:rFonts w:cstheme="minorHAnsi"/>
                <w:sz w:val="22"/>
                <w:szCs w:val="22"/>
                <w:lang w:val="en-US"/>
              </w:rPr>
              <w:t>DHS</w:t>
            </w:r>
            <w:r>
              <w:rPr>
                <w:rFonts w:cstheme="minorHAnsi"/>
                <w:sz w:val="22"/>
                <w:szCs w:val="22"/>
                <w:lang w:val="en-US"/>
              </w:rPr>
              <w:t xml:space="preserve"> 2016</w:t>
            </w:r>
          </w:p>
          <w:p w14:paraId="5BE9390E" w14:textId="77777777" w:rsidR="003A41BE" w:rsidRPr="00841766" w:rsidRDefault="003A41BE" w:rsidP="00FD44CE">
            <w:pPr>
              <w:pStyle w:val="Default"/>
              <w:rPr>
                <w:rFonts w:asciiTheme="minorHAnsi" w:hAnsiTheme="minorHAnsi" w:cstheme="minorHAnsi"/>
                <w:b/>
                <w:sz w:val="22"/>
                <w:szCs w:val="22"/>
                <w:lang w:val="en-US"/>
              </w:rPr>
            </w:pPr>
          </w:p>
        </w:tc>
        <w:tc>
          <w:tcPr>
            <w:tcW w:w="4513" w:type="dxa"/>
            <w:gridSpan w:val="2"/>
            <w:vMerge/>
          </w:tcPr>
          <w:p w14:paraId="1D3EA5E8"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0A9020EB" w14:textId="77777777" w:rsidTr="53E3C463">
        <w:trPr>
          <w:trHeight w:val="256"/>
        </w:trPr>
        <w:tc>
          <w:tcPr>
            <w:tcW w:w="4535" w:type="dxa"/>
            <w:gridSpan w:val="2"/>
            <w:vMerge/>
          </w:tcPr>
          <w:p w14:paraId="576633E8"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235C2"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b/>
                <w:sz w:val="22"/>
                <w:szCs w:val="22"/>
                <w:lang w:val="en-US"/>
              </w:rPr>
              <w:t xml:space="preserve">Indicator 4.1.5: </w:t>
            </w:r>
            <w:r w:rsidRPr="00841766">
              <w:rPr>
                <w:rFonts w:asciiTheme="minorHAnsi" w:hAnsiTheme="minorHAnsi" w:cstheme="minorHAnsi"/>
                <w:sz w:val="22"/>
                <w:szCs w:val="22"/>
                <w:lang w:val="en-US"/>
              </w:rPr>
              <w:t xml:space="preserve">Number of functioning </w:t>
            </w:r>
            <w:proofErr w:type="spellStart"/>
            <w:r w:rsidRPr="00841766">
              <w:rPr>
                <w:rFonts w:asciiTheme="minorHAnsi" w:hAnsiTheme="minorHAnsi" w:cstheme="minorHAnsi"/>
                <w:sz w:val="22"/>
                <w:szCs w:val="22"/>
                <w:lang w:val="en-US"/>
              </w:rPr>
              <w:t>EmonC</w:t>
            </w:r>
            <w:proofErr w:type="spellEnd"/>
            <w:r w:rsidRPr="00841766">
              <w:rPr>
                <w:rFonts w:asciiTheme="minorHAnsi" w:hAnsiTheme="minorHAnsi" w:cstheme="minorHAnsi"/>
                <w:sz w:val="22"/>
                <w:szCs w:val="22"/>
                <w:lang w:val="en-US"/>
              </w:rPr>
              <w:t xml:space="preserve"> Facilities providing quality service (Geographic disaggregation)</w:t>
            </w:r>
          </w:p>
          <w:tbl>
            <w:tblPr>
              <w:tblStyle w:val="TableGrid"/>
              <w:tblW w:w="0" w:type="auto"/>
              <w:tblLayout w:type="fixed"/>
              <w:tblLook w:val="04A0" w:firstRow="1" w:lastRow="0" w:firstColumn="1" w:lastColumn="0" w:noHBand="0" w:noVBand="1"/>
            </w:tblPr>
            <w:tblGrid>
              <w:gridCol w:w="1510"/>
              <w:gridCol w:w="1620"/>
            </w:tblGrid>
            <w:tr w:rsidR="003A41BE" w14:paraId="0E52BA39" w14:textId="77777777" w:rsidTr="00FD44CE">
              <w:tc>
                <w:tcPr>
                  <w:tcW w:w="1510" w:type="dxa"/>
                </w:tcPr>
                <w:p w14:paraId="2F350B3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20FC68F1"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4F2B7A90" w14:textId="77777777" w:rsidTr="00FD44CE">
              <w:tc>
                <w:tcPr>
                  <w:tcW w:w="1510" w:type="dxa"/>
                </w:tcPr>
                <w:p w14:paraId="16BED9ED"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4 (2015)</w:t>
                  </w:r>
                </w:p>
              </w:tc>
              <w:tc>
                <w:tcPr>
                  <w:tcW w:w="1620" w:type="dxa"/>
                </w:tcPr>
                <w:p w14:paraId="32BB1BEF" w14:textId="77777777" w:rsidR="003A41BE" w:rsidRPr="00DA2276" w:rsidRDefault="003A41BE" w:rsidP="002A37E3">
                  <w:pPr>
                    <w:framePr w:hSpace="141" w:wrap="around" w:vAnchor="text" w:hAnchor="text" w:x="421" w:y="1"/>
                    <w:suppressOverlap/>
                    <w:jc w:val="center"/>
                    <w:rPr>
                      <w:sz w:val="22"/>
                      <w:szCs w:val="22"/>
                      <w:lang w:val="en-US"/>
                    </w:rPr>
                  </w:pPr>
                  <w:r>
                    <w:rPr>
                      <w:rFonts w:cstheme="minorHAnsi"/>
                      <w:sz w:val="22"/>
                      <w:szCs w:val="22"/>
                      <w:lang w:val="en-US"/>
                    </w:rPr>
                    <w:t>36</w:t>
                  </w:r>
                </w:p>
              </w:tc>
            </w:tr>
          </w:tbl>
          <w:p w14:paraId="5209BEE1" w14:textId="77777777" w:rsidR="003A41BE" w:rsidRPr="003F4BC2" w:rsidRDefault="003A41BE" w:rsidP="00FD44CE">
            <w:pPr>
              <w:autoSpaceDE w:val="0"/>
              <w:autoSpaceDN w:val="0"/>
              <w:adjustRightInd w:val="0"/>
              <w:rPr>
                <w:rFonts w:cstheme="minorHAnsi"/>
                <w:sz w:val="22"/>
                <w:szCs w:val="22"/>
                <w:lang w:val="en-US"/>
              </w:rPr>
            </w:pPr>
            <w:r w:rsidRPr="00715FF4">
              <w:rPr>
                <w:rFonts w:cstheme="minorHAnsi"/>
                <w:sz w:val="22"/>
                <w:szCs w:val="22"/>
                <w:lang w:val="en-US"/>
              </w:rPr>
              <w:lastRenderedPageBreak/>
              <w:t>Data Source:</w:t>
            </w:r>
            <w:r w:rsidRPr="003F4BC2">
              <w:rPr>
                <w:rFonts w:cstheme="minorHAnsi"/>
                <w:sz w:val="22"/>
                <w:szCs w:val="22"/>
                <w:lang w:val="en-US"/>
              </w:rPr>
              <w:t xml:space="preserve"> </w:t>
            </w:r>
            <w:r w:rsidRPr="00841766">
              <w:rPr>
                <w:rFonts w:cstheme="minorHAnsi"/>
                <w:sz w:val="22"/>
                <w:szCs w:val="22"/>
                <w:lang w:val="en-US"/>
              </w:rPr>
              <w:t>MOH and UNFPA</w:t>
            </w:r>
          </w:p>
          <w:p w14:paraId="5AEC8C09" w14:textId="77777777" w:rsidR="003A41BE" w:rsidRPr="00841766" w:rsidRDefault="003A41BE" w:rsidP="00FD44CE">
            <w:pPr>
              <w:autoSpaceDE w:val="0"/>
              <w:autoSpaceDN w:val="0"/>
              <w:adjustRightInd w:val="0"/>
              <w:rPr>
                <w:rFonts w:cstheme="minorHAnsi"/>
                <w:b/>
                <w:sz w:val="22"/>
                <w:szCs w:val="22"/>
                <w:lang w:val="en-US"/>
              </w:rPr>
            </w:pPr>
          </w:p>
        </w:tc>
        <w:tc>
          <w:tcPr>
            <w:tcW w:w="4513" w:type="dxa"/>
            <w:gridSpan w:val="2"/>
            <w:vMerge/>
          </w:tcPr>
          <w:p w14:paraId="3FC52E5B"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69994BBE" w14:textId="77777777" w:rsidTr="53E3C463">
        <w:trPr>
          <w:trHeight w:val="547"/>
        </w:trPr>
        <w:tc>
          <w:tcPr>
            <w:tcW w:w="4535" w:type="dxa"/>
            <w:gridSpan w:val="2"/>
            <w:vMerge/>
          </w:tcPr>
          <w:p w14:paraId="564B9244"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right w:val="single" w:sz="4" w:space="0" w:color="auto"/>
            </w:tcBorders>
            <w:shd w:val="clear" w:color="auto" w:fill="D9D9D9" w:themeFill="background1" w:themeFillShade="D9"/>
          </w:tcPr>
          <w:p w14:paraId="2C370BB4"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b/>
                <w:sz w:val="22"/>
                <w:szCs w:val="22"/>
                <w:lang w:val="en-US"/>
              </w:rPr>
              <w:t>Indicator 4.1.6:</w:t>
            </w:r>
            <w:r w:rsidRPr="00841766">
              <w:rPr>
                <w:rFonts w:asciiTheme="minorHAnsi" w:eastAsia="Calibri" w:hAnsiTheme="minorHAnsi" w:cstheme="minorHAnsi"/>
                <w:sz w:val="22"/>
                <w:szCs w:val="22"/>
                <w:lang w:val="en-US"/>
              </w:rPr>
              <w:t xml:space="preserve"> Proportion of </w:t>
            </w:r>
            <w:bookmarkStart w:id="165" w:name="_Hlk32995311"/>
            <w:r w:rsidRPr="00841766">
              <w:rPr>
                <w:rFonts w:asciiTheme="minorHAnsi" w:eastAsia="Calibri" w:hAnsiTheme="minorHAnsi" w:cstheme="minorHAnsi"/>
                <w:sz w:val="22"/>
                <w:szCs w:val="22"/>
                <w:lang w:val="en-US"/>
              </w:rPr>
              <w:t xml:space="preserve">health facilities that have a core </w:t>
            </w:r>
            <w:r w:rsidRPr="00841766">
              <w:rPr>
                <w:rFonts w:asciiTheme="minorHAnsi" w:eastAsia="Calibri" w:hAnsiTheme="minorHAnsi" w:cstheme="minorHAnsi"/>
                <w:color w:val="auto"/>
                <w:sz w:val="22"/>
                <w:szCs w:val="22"/>
                <w:lang w:val="en-US"/>
              </w:rPr>
              <w:t xml:space="preserve">set of relevant essential medicines available </w:t>
            </w:r>
            <w:bookmarkEnd w:id="165"/>
            <w:r w:rsidRPr="00841766">
              <w:rPr>
                <w:rFonts w:asciiTheme="minorHAnsi" w:eastAsia="Calibri" w:hAnsiTheme="minorHAnsi" w:cstheme="minorHAnsi"/>
                <w:color w:val="auto"/>
                <w:sz w:val="22"/>
                <w:szCs w:val="22"/>
                <w:lang w:val="en-US"/>
              </w:rPr>
              <w:t>and affordable on a sustainable basis (</w:t>
            </w:r>
            <w:r w:rsidRPr="00841766">
              <w:rPr>
                <w:rFonts w:asciiTheme="minorHAnsi" w:eastAsia="Calibri" w:hAnsiTheme="minorHAnsi" w:cs="Calibri"/>
                <w:color w:val="auto"/>
                <w:sz w:val="22"/>
                <w:szCs w:val="22"/>
                <w:lang w:val="en-US"/>
              </w:rPr>
              <w:t xml:space="preserve">SDG </w:t>
            </w:r>
            <w:r>
              <w:rPr>
                <w:rFonts w:asciiTheme="minorHAnsi" w:eastAsia="Calibri" w:hAnsiTheme="minorHAnsi" w:cs="Calibri"/>
                <w:color w:val="auto"/>
                <w:sz w:val="22"/>
                <w:szCs w:val="22"/>
                <w:lang w:val="en-US"/>
              </w:rPr>
              <w:t>I</w:t>
            </w:r>
            <w:r w:rsidRPr="00841766">
              <w:rPr>
                <w:rFonts w:asciiTheme="minorHAnsi" w:eastAsia="Calibri" w:hAnsiTheme="minorHAnsi" w:cs="Calibri"/>
                <w:color w:val="auto"/>
                <w:sz w:val="22"/>
                <w:szCs w:val="22"/>
                <w:lang w:val="en-US"/>
              </w:rPr>
              <w:t xml:space="preserve">ndicator </w:t>
            </w:r>
            <w:r w:rsidRPr="00841766">
              <w:rPr>
                <w:rFonts w:asciiTheme="minorHAnsi" w:eastAsia="Calibri" w:hAnsiTheme="minorHAnsi" w:cstheme="minorHAnsi"/>
                <w:color w:val="auto"/>
                <w:sz w:val="22"/>
                <w:szCs w:val="22"/>
                <w:lang w:val="en-US"/>
              </w:rPr>
              <w:t>3.b.3)</w:t>
            </w:r>
            <w:r>
              <w:rPr>
                <w:rStyle w:val="FootnoteReference"/>
                <w:rFonts w:asciiTheme="minorHAnsi" w:eastAsia="Calibri" w:hAnsiTheme="minorHAnsi" w:cstheme="minorHAnsi"/>
                <w:color w:val="auto"/>
                <w:sz w:val="22"/>
                <w:szCs w:val="22"/>
                <w:lang w:val="en-US"/>
              </w:rPr>
              <w:footnoteReference w:id="76"/>
            </w:r>
            <w:r w:rsidRPr="00841766">
              <w:rPr>
                <w:rFonts w:asciiTheme="minorHAnsi" w:eastAsia="Calibri" w:hAnsiTheme="minorHAnsi" w:cstheme="minorHAnsi"/>
                <w:color w:val="auto"/>
                <w:sz w:val="22"/>
                <w:szCs w:val="22"/>
                <w:lang w:val="en-US"/>
              </w:rPr>
              <w:t xml:space="preserve"> </w:t>
            </w:r>
            <w:r w:rsidRPr="00841766">
              <w:rPr>
                <w:rFonts w:asciiTheme="minorHAnsi" w:hAnsiTheme="minorHAnsi" w:cstheme="minorHAnsi"/>
                <w:sz w:val="22"/>
                <w:szCs w:val="22"/>
                <w:lang w:val="en-US"/>
              </w:rPr>
              <w:t>(Geographic disaggregation)</w:t>
            </w:r>
          </w:p>
          <w:tbl>
            <w:tblPr>
              <w:tblStyle w:val="TableGrid"/>
              <w:tblW w:w="0" w:type="auto"/>
              <w:tblLayout w:type="fixed"/>
              <w:tblLook w:val="04A0" w:firstRow="1" w:lastRow="0" w:firstColumn="1" w:lastColumn="0" w:noHBand="0" w:noVBand="1"/>
            </w:tblPr>
            <w:tblGrid>
              <w:gridCol w:w="3175"/>
              <w:gridCol w:w="1620"/>
            </w:tblGrid>
            <w:tr w:rsidR="003A41BE" w14:paraId="28B14264" w14:textId="77777777" w:rsidTr="00FD44CE">
              <w:tc>
                <w:tcPr>
                  <w:tcW w:w="3175" w:type="dxa"/>
                </w:tcPr>
                <w:p w14:paraId="56C8B96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6D7E7DE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4F183B60" w14:textId="77777777" w:rsidTr="00FD44CE">
              <w:tc>
                <w:tcPr>
                  <w:tcW w:w="3175" w:type="dxa"/>
                </w:tcPr>
                <w:p w14:paraId="334CBBCA"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Not yet assessed, area for further research/data collection</w:t>
                  </w:r>
                </w:p>
              </w:tc>
              <w:tc>
                <w:tcPr>
                  <w:tcW w:w="1620" w:type="dxa"/>
                </w:tcPr>
                <w:p w14:paraId="21CCF679" w14:textId="77777777" w:rsidR="003A41BE" w:rsidRPr="00DA2276" w:rsidRDefault="003A41BE" w:rsidP="002A37E3">
                  <w:pPr>
                    <w:framePr w:hSpace="141" w:wrap="around" w:vAnchor="text" w:hAnchor="text" w:x="421" w:y="1"/>
                    <w:suppressOverlap/>
                    <w:jc w:val="center"/>
                    <w:rPr>
                      <w:sz w:val="22"/>
                      <w:szCs w:val="22"/>
                      <w:lang w:val="en-US"/>
                    </w:rPr>
                  </w:pPr>
                  <w:r w:rsidRPr="00841766">
                    <w:rPr>
                      <w:rFonts w:cstheme="minorHAnsi"/>
                      <w:b/>
                      <w:sz w:val="22"/>
                      <w:szCs w:val="22"/>
                      <w:lang w:val="en-US"/>
                    </w:rPr>
                    <w:t>&gt;</w:t>
                  </w:r>
                  <w:r w:rsidRPr="00841766">
                    <w:rPr>
                      <w:rFonts w:cstheme="minorHAnsi"/>
                      <w:sz w:val="22"/>
                      <w:szCs w:val="22"/>
                      <w:lang w:val="en-US"/>
                    </w:rPr>
                    <w:t>80</w:t>
                  </w:r>
                </w:p>
              </w:tc>
            </w:tr>
          </w:tbl>
          <w:p w14:paraId="6FAAAD49" w14:textId="77777777" w:rsidR="003A41BE" w:rsidRDefault="003A41BE" w:rsidP="00FD44CE">
            <w:pPr>
              <w:pStyle w:val="Default"/>
              <w:rPr>
                <w:rFonts w:asciiTheme="minorHAnsi" w:hAnsiTheme="minorHAnsi" w:cstheme="minorHAnsi"/>
                <w:sz w:val="22"/>
                <w:szCs w:val="22"/>
                <w:lang w:val="en-US"/>
              </w:rPr>
            </w:pPr>
            <w:r w:rsidRPr="002A7985">
              <w:rPr>
                <w:rFonts w:asciiTheme="minorHAnsi" w:hAnsiTheme="minorHAnsi" w:cstheme="minorHAnsi"/>
                <w:sz w:val="22"/>
                <w:szCs w:val="22"/>
                <w:lang w:val="en-US"/>
              </w:rPr>
              <w:t>Note. Baseline study to be conducted upon available resources.</w:t>
            </w:r>
            <w:r>
              <w:rPr>
                <w:rFonts w:asciiTheme="minorHAnsi" w:hAnsiTheme="minorHAnsi" w:cstheme="minorHAnsi"/>
                <w:sz w:val="22"/>
                <w:szCs w:val="22"/>
                <w:lang w:val="en-US"/>
              </w:rPr>
              <w:t xml:space="preserve"> </w:t>
            </w:r>
          </w:p>
          <w:p w14:paraId="01C6BA71" w14:textId="77777777" w:rsidR="003A41BE" w:rsidRPr="002A7985" w:rsidRDefault="003A41BE" w:rsidP="00FD44CE">
            <w:pPr>
              <w:pStyle w:val="Default"/>
              <w:rPr>
                <w:rFonts w:cstheme="minorHAnsi"/>
                <w:sz w:val="22"/>
                <w:szCs w:val="22"/>
                <w:lang w:val="en-US"/>
              </w:rPr>
            </w:pPr>
            <w:r w:rsidRPr="002A7985">
              <w:rPr>
                <w:rFonts w:asciiTheme="minorHAnsi" w:hAnsiTheme="minorHAnsi" w:cstheme="minorHAnsi"/>
                <w:sz w:val="22"/>
                <w:szCs w:val="22"/>
                <w:lang w:val="en-US"/>
              </w:rPr>
              <w:t>Data Source: IHMIS, MOH</w:t>
            </w:r>
          </w:p>
          <w:p w14:paraId="3FEB2A56" w14:textId="77777777" w:rsidR="003A41BE" w:rsidRPr="00841766" w:rsidRDefault="003A41BE" w:rsidP="00FD44CE">
            <w:pPr>
              <w:autoSpaceDE w:val="0"/>
              <w:autoSpaceDN w:val="0"/>
              <w:adjustRightInd w:val="0"/>
              <w:rPr>
                <w:rFonts w:cstheme="minorHAnsi"/>
                <w:sz w:val="22"/>
                <w:szCs w:val="22"/>
                <w:lang w:val="en-US"/>
              </w:rPr>
            </w:pPr>
          </w:p>
        </w:tc>
        <w:tc>
          <w:tcPr>
            <w:tcW w:w="4513" w:type="dxa"/>
            <w:gridSpan w:val="2"/>
            <w:vMerge/>
          </w:tcPr>
          <w:p w14:paraId="3BC4024E"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410DDF0B" w14:textId="77777777" w:rsidTr="53E3C463">
        <w:trPr>
          <w:trHeight w:val="547"/>
        </w:trPr>
        <w:tc>
          <w:tcPr>
            <w:tcW w:w="4535" w:type="dxa"/>
            <w:gridSpan w:val="2"/>
            <w:vMerge/>
          </w:tcPr>
          <w:p w14:paraId="38FB96F5"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right w:val="single" w:sz="4" w:space="0" w:color="auto"/>
            </w:tcBorders>
            <w:shd w:val="clear" w:color="auto" w:fill="D9D9D9" w:themeFill="background1" w:themeFillShade="D9"/>
          </w:tcPr>
          <w:p w14:paraId="26DB142A" w14:textId="77777777" w:rsidR="003A41BE" w:rsidRDefault="003A41BE" w:rsidP="00FD44CE">
            <w:pPr>
              <w:pStyle w:val="Default"/>
              <w:rPr>
                <w:rFonts w:asciiTheme="minorHAnsi" w:eastAsia="Calibri" w:hAnsiTheme="minorHAnsi" w:cstheme="minorHAnsi"/>
                <w:color w:val="auto"/>
                <w:sz w:val="22"/>
                <w:szCs w:val="22"/>
                <w:lang w:val="en-US"/>
              </w:rPr>
            </w:pPr>
            <w:r w:rsidRPr="00841766">
              <w:rPr>
                <w:rFonts w:asciiTheme="minorHAnsi" w:hAnsiTheme="minorHAnsi" w:cstheme="minorHAnsi"/>
                <w:b/>
                <w:sz w:val="22"/>
                <w:szCs w:val="22"/>
                <w:lang w:val="en-US"/>
              </w:rPr>
              <w:t xml:space="preserve">Indicator 4.1.7: </w:t>
            </w:r>
            <w:r w:rsidRPr="00841766">
              <w:rPr>
                <w:rFonts w:asciiTheme="minorHAnsi" w:hAnsiTheme="minorHAnsi" w:cstheme="minorHAnsi"/>
                <w:sz w:val="22"/>
                <w:szCs w:val="22"/>
                <w:lang w:val="en-US"/>
              </w:rPr>
              <w:t xml:space="preserve">International </w:t>
            </w:r>
            <w:r w:rsidRPr="00841766">
              <w:rPr>
                <w:rFonts w:asciiTheme="minorHAnsi" w:eastAsia="Calibri" w:hAnsiTheme="minorHAnsi" w:cstheme="minorHAnsi"/>
                <w:sz w:val="22"/>
                <w:szCs w:val="22"/>
                <w:lang w:val="en-US"/>
              </w:rPr>
              <w:t xml:space="preserve">Health Regulations (IHR) core </w:t>
            </w:r>
            <w:r w:rsidRPr="00841766">
              <w:rPr>
                <w:rFonts w:asciiTheme="minorHAnsi" w:eastAsia="Calibri" w:hAnsiTheme="minorHAnsi" w:cstheme="minorHAnsi"/>
                <w:color w:val="auto"/>
                <w:sz w:val="22"/>
                <w:szCs w:val="22"/>
                <w:lang w:val="en-US"/>
              </w:rPr>
              <w:t xml:space="preserve">capacity index </w:t>
            </w:r>
          </w:p>
          <w:tbl>
            <w:tblPr>
              <w:tblStyle w:val="TableGrid"/>
              <w:tblW w:w="0" w:type="auto"/>
              <w:tblLayout w:type="fixed"/>
              <w:tblLook w:val="04A0" w:firstRow="1" w:lastRow="0" w:firstColumn="1" w:lastColumn="0" w:noHBand="0" w:noVBand="1"/>
            </w:tblPr>
            <w:tblGrid>
              <w:gridCol w:w="1510"/>
              <w:gridCol w:w="1620"/>
            </w:tblGrid>
            <w:tr w:rsidR="003A41BE" w14:paraId="023F8438" w14:textId="77777777" w:rsidTr="00FD44CE">
              <w:tc>
                <w:tcPr>
                  <w:tcW w:w="1510" w:type="dxa"/>
                </w:tcPr>
                <w:p w14:paraId="3DA15CF5"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72780AB4"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5A86C733" w14:textId="77777777" w:rsidTr="00FD44CE">
              <w:tc>
                <w:tcPr>
                  <w:tcW w:w="1510" w:type="dxa"/>
                </w:tcPr>
                <w:p w14:paraId="59C01050"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72 (2017)</w:t>
                  </w:r>
                </w:p>
              </w:tc>
              <w:tc>
                <w:tcPr>
                  <w:tcW w:w="1620" w:type="dxa"/>
                </w:tcPr>
                <w:p w14:paraId="383EC134" w14:textId="77777777" w:rsidR="003A41BE" w:rsidRPr="00DA2276" w:rsidRDefault="003A41BE" w:rsidP="002A37E3">
                  <w:pPr>
                    <w:framePr w:hSpace="141" w:wrap="around" w:vAnchor="text" w:hAnchor="text" w:x="421" w:y="1"/>
                    <w:suppressOverlap/>
                    <w:jc w:val="center"/>
                    <w:rPr>
                      <w:sz w:val="22"/>
                      <w:szCs w:val="22"/>
                      <w:lang w:val="en-US"/>
                    </w:rPr>
                  </w:pPr>
                  <w:r w:rsidRPr="00841766">
                    <w:rPr>
                      <w:rFonts w:cstheme="minorHAnsi"/>
                      <w:b/>
                      <w:sz w:val="22"/>
                      <w:szCs w:val="22"/>
                      <w:lang w:val="en-US"/>
                    </w:rPr>
                    <w:t>&gt;</w:t>
                  </w:r>
                  <w:r w:rsidRPr="00841766">
                    <w:rPr>
                      <w:rFonts w:cstheme="minorHAnsi"/>
                      <w:sz w:val="22"/>
                      <w:szCs w:val="22"/>
                      <w:lang w:val="en-US"/>
                    </w:rPr>
                    <w:t>80</w:t>
                  </w:r>
                </w:p>
              </w:tc>
            </w:tr>
          </w:tbl>
          <w:p w14:paraId="7F94CB29" w14:textId="77777777" w:rsidR="003A41BE" w:rsidRDefault="003A41BE" w:rsidP="00FD44CE">
            <w:pPr>
              <w:pStyle w:val="Default"/>
              <w:rPr>
                <w:rFonts w:asciiTheme="minorHAnsi" w:hAnsiTheme="minorHAnsi" w:cstheme="minorHAnsi"/>
                <w:color w:val="auto"/>
                <w:sz w:val="22"/>
                <w:szCs w:val="22"/>
                <w:lang w:val="en-US"/>
              </w:rPr>
            </w:pPr>
            <w:r w:rsidRPr="00DA2276">
              <w:rPr>
                <w:rFonts w:asciiTheme="minorHAnsi" w:hAnsiTheme="minorHAnsi" w:cstheme="minorHAnsi"/>
                <w:bCs/>
                <w:color w:val="auto"/>
                <w:sz w:val="22"/>
                <w:szCs w:val="22"/>
                <w:lang w:val="en-US"/>
              </w:rPr>
              <w:t>Data Source:</w:t>
            </w:r>
            <w:r w:rsidRPr="00841766">
              <w:rPr>
                <w:rFonts w:asciiTheme="minorHAnsi" w:hAnsiTheme="minorHAnsi" w:cstheme="minorHAnsi"/>
                <w:b/>
                <w:color w:val="auto"/>
                <w:sz w:val="22"/>
                <w:szCs w:val="22"/>
                <w:lang w:val="en-US"/>
              </w:rPr>
              <w:t xml:space="preserve"> </w:t>
            </w:r>
            <w:r w:rsidRPr="00841766">
              <w:rPr>
                <w:rFonts w:asciiTheme="minorHAnsi" w:hAnsiTheme="minorHAnsi" w:cstheme="minorHAnsi"/>
                <w:color w:val="auto"/>
                <w:sz w:val="22"/>
                <w:szCs w:val="22"/>
                <w:lang w:val="en-US"/>
              </w:rPr>
              <w:t>WHO IHR monitoring</w:t>
            </w:r>
          </w:p>
          <w:p w14:paraId="0A42E9B8" w14:textId="77777777" w:rsidR="003A41BE" w:rsidRPr="00841766" w:rsidRDefault="003A41BE" w:rsidP="00FD44CE">
            <w:pPr>
              <w:pStyle w:val="Default"/>
              <w:rPr>
                <w:rFonts w:asciiTheme="minorHAnsi" w:hAnsiTheme="minorHAnsi" w:cstheme="minorHAnsi"/>
                <w:b/>
                <w:sz w:val="22"/>
                <w:szCs w:val="22"/>
                <w:lang w:val="en-US"/>
              </w:rPr>
            </w:pPr>
          </w:p>
        </w:tc>
        <w:tc>
          <w:tcPr>
            <w:tcW w:w="4513" w:type="dxa"/>
            <w:gridSpan w:val="2"/>
            <w:vMerge/>
          </w:tcPr>
          <w:p w14:paraId="440CFB34"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6B9D1E01" w14:textId="77777777" w:rsidTr="53E3C463">
        <w:trPr>
          <w:trHeight w:val="547"/>
        </w:trPr>
        <w:tc>
          <w:tcPr>
            <w:tcW w:w="4535" w:type="dxa"/>
            <w:gridSpan w:val="2"/>
            <w:vMerge/>
          </w:tcPr>
          <w:p w14:paraId="4C328B14"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right w:val="single" w:sz="4" w:space="0" w:color="auto"/>
            </w:tcBorders>
            <w:shd w:val="clear" w:color="auto" w:fill="D9D9D9" w:themeFill="background1" w:themeFillShade="D9"/>
          </w:tcPr>
          <w:p w14:paraId="4A0E4F30" w14:textId="77777777" w:rsidR="003A41BE" w:rsidRDefault="003A41BE" w:rsidP="00FD44CE">
            <w:pPr>
              <w:pStyle w:val="Default"/>
              <w:rPr>
                <w:rFonts w:asciiTheme="minorHAnsi" w:hAnsiTheme="minorHAnsi" w:cstheme="minorHAnsi"/>
                <w:bCs/>
                <w:sz w:val="22"/>
                <w:szCs w:val="22"/>
                <w:lang w:val="en-US"/>
              </w:rPr>
            </w:pPr>
            <w:r>
              <w:rPr>
                <w:rFonts w:asciiTheme="minorHAnsi" w:hAnsiTheme="minorHAnsi" w:cstheme="minorHAnsi"/>
                <w:b/>
                <w:sz w:val="22"/>
                <w:szCs w:val="22"/>
                <w:lang w:val="en-US"/>
              </w:rPr>
              <w:t xml:space="preserve">Indicator 4.1.8: </w:t>
            </w:r>
            <w:r>
              <w:rPr>
                <w:rFonts w:asciiTheme="minorHAnsi" w:hAnsiTheme="minorHAnsi" w:cstheme="minorHAnsi"/>
                <w:bCs/>
                <w:sz w:val="22"/>
                <w:szCs w:val="22"/>
                <w:lang w:val="en-US"/>
              </w:rPr>
              <w:t>Age standardized suicide mortality rate per 100,000 population (SDG Indicator 3.4.2)</w:t>
            </w:r>
          </w:p>
          <w:tbl>
            <w:tblPr>
              <w:tblStyle w:val="TableGrid"/>
              <w:tblW w:w="0" w:type="auto"/>
              <w:tblLayout w:type="fixed"/>
              <w:tblLook w:val="04A0" w:firstRow="1" w:lastRow="0" w:firstColumn="1" w:lastColumn="0" w:noHBand="0" w:noVBand="1"/>
            </w:tblPr>
            <w:tblGrid>
              <w:gridCol w:w="1510"/>
              <w:gridCol w:w="1510"/>
              <w:gridCol w:w="1620"/>
            </w:tblGrid>
            <w:tr w:rsidR="003A41BE" w14:paraId="5F98FCD4" w14:textId="77777777" w:rsidTr="00FD44CE">
              <w:tc>
                <w:tcPr>
                  <w:tcW w:w="1510" w:type="dxa"/>
                </w:tcPr>
                <w:p w14:paraId="2200C4DF" w14:textId="77777777" w:rsidR="003A41BE" w:rsidRDefault="003A41BE" w:rsidP="002A37E3">
                  <w:pPr>
                    <w:framePr w:hSpace="141" w:wrap="around" w:vAnchor="text" w:hAnchor="text" w:x="421" w:y="1"/>
                    <w:suppressOverlap/>
                    <w:jc w:val="center"/>
                    <w:rPr>
                      <w:sz w:val="22"/>
                      <w:szCs w:val="22"/>
                      <w:lang w:val="en-US"/>
                    </w:rPr>
                  </w:pPr>
                </w:p>
              </w:tc>
              <w:tc>
                <w:tcPr>
                  <w:tcW w:w="1510" w:type="dxa"/>
                </w:tcPr>
                <w:p w14:paraId="128D701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5711C3FF"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2E9B2377" w14:textId="77777777" w:rsidTr="00FD44CE">
              <w:tc>
                <w:tcPr>
                  <w:tcW w:w="1510" w:type="dxa"/>
                </w:tcPr>
                <w:p w14:paraId="0B284023"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All</w:t>
                  </w:r>
                </w:p>
              </w:tc>
              <w:tc>
                <w:tcPr>
                  <w:tcW w:w="1510" w:type="dxa"/>
                </w:tcPr>
                <w:p w14:paraId="22314081"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8</w:t>
                  </w:r>
                </w:p>
              </w:tc>
              <w:tc>
                <w:tcPr>
                  <w:tcW w:w="1620" w:type="dxa"/>
                </w:tcPr>
                <w:p w14:paraId="56845AC5"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6.5</w:t>
                  </w:r>
                </w:p>
              </w:tc>
            </w:tr>
            <w:tr w:rsidR="003A41BE" w:rsidRPr="00DA2276" w14:paraId="6F591C88" w14:textId="77777777" w:rsidTr="00FD44CE">
              <w:tc>
                <w:tcPr>
                  <w:tcW w:w="1510" w:type="dxa"/>
                </w:tcPr>
                <w:p w14:paraId="10AC554A"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Male</w:t>
                  </w:r>
                </w:p>
              </w:tc>
              <w:tc>
                <w:tcPr>
                  <w:tcW w:w="1510" w:type="dxa"/>
                </w:tcPr>
                <w:p w14:paraId="3E50AF2E"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10.2</w:t>
                  </w:r>
                </w:p>
              </w:tc>
              <w:tc>
                <w:tcPr>
                  <w:tcW w:w="1620" w:type="dxa"/>
                </w:tcPr>
                <w:p w14:paraId="385D5380" w14:textId="77777777" w:rsidR="003A41BE" w:rsidRPr="00DA2276" w:rsidRDefault="003A41BE" w:rsidP="002A37E3">
                  <w:pPr>
                    <w:framePr w:hSpace="141" w:wrap="around" w:vAnchor="text" w:hAnchor="text" w:x="421" w:y="1"/>
                    <w:suppressOverlap/>
                    <w:jc w:val="center"/>
                    <w:rPr>
                      <w:sz w:val="22"/>
                      <w:szCs w:val="22"/>
                      <w:lang w:val="en-US"/>
                    </w:rPr>
                  </w:pPr>
                  <w:r w:rsidRPr="00841766">
                    <w:rPr>
                      <w:rFonts w:cstheme="minorHAnsi"/>
                      <w:sz w:val="22"/>
                      <w:szCs w:val="22"/>
                      <w:lang w:val="en-US"/>
                    </w:rPr>
                    <w:t>&lt;</w:t>
                  </w:r>
                  <w:r>
                    <w:rPr>
                      <w:rFonts w:cstheme="minorHAnsi"/>
                      <w:sz w:val="22"/>
                      <w:szCs w:val="22"/>
                      <w:lang w:val="en-US"/>
                    </w:rPr>
                    <w:t>8</w:t>
                  </w:r>
                </w:p>
              </w:tc>
            </w:tr>
            <w:tr w:rsidR="003A41BE" w:rsidRPr="00DA2276" w14:paraId="17233600" w14:textId="77777777" w:rsidTr="00FD44CE">
              <w:tc>
                <w:tcPr>
                  <w:tcW w:w="1510" w:type="dxa"/>
                </w:tcPr>
                <w:p w14:paraId="48A86EB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Female</w:t>
                  </w:r>
                </w:p>
              </w:tc>
              <w:tc>
                <w:tcPr>
                  <w:tcW w:w="1510" w:type="dxa"/>
                </w:tcPr>
                <w:p w14:paraId="00AD20B5"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5.8</w:t>
                  </w:r>
                </w:p>
              </w:tc>
              <w:tc>
                <w:tcPr>
                  <w:tcW w:w="1620" w:type="dxa"/>
                </w:tcPr>
                <w:p w14:paraId="0CCC5D47" w14:textId="77777777" w:rsidR="003A41BE" w:rsidRPr="00DA2276" w:rsidRDefault="003A41BE" w:rsidP="002A37E3">
                  <w:pPr>
                    <w:framePr w:hSpace="141" w:wrap="around" w:vAnchor="text" w:hAnchor="text" w:x="421" w:y="1"/>
                    <w:suppressOverlap/>
                    <w:jc w:val="center"/>
                    <w:rPr>
                      <w:sz w:val="22"/>
                      <w:szCs w:val="22"/>
                      <w:lang w:val="en-US"/>
                    </w:rPr>
                  </w:pPr>
                  <w:r w:rsidRPr="00841766">
                    <w:rPr>
                      <w:rFonts w:cstheme="minorHAnsi"/>
                      <w:sz w:val="22"/>
                      <w:szCs w:val="22"/>
                      <w:lang w:val="en-US"/>
                    </w:rPr>
                    <w:t>&lt;</w:t>
                  </w:r>
                  <w:r>
                    <w:rPr>
                      <w:rFonts w:cstheme="minorHAnsi"/>
                      <w:sz w:val="22"/>
                      <w:szCs w:val="22"/>
                      <w:lang w:val="en-US"/>
                    </w:rPr>
                    <w:t>5</w:t>
                  </w:r>
                </w:p>
              </w:tc>
            </w:tr>
          </w:tbl>
          <w:p w14:paraId="3CDB6EBC" w14:textId="77777777" w:rsidR="003A41BE" w:rsidRPr="007E58D6" w:rsidRDefault="003A41BE" w:rsidP="00FD44CE">
            <w:pPr>
              <w:pStyle w:val="Default"/>
              <w:rPr>
                <w:rFonts w:asciiTheme="minorHAnsi" w:hAnsiTheme="minorHAnsi" w:cstheme="minorHAnsi"/>
                <w:bCs/>
                <w:sz w:val="22"/>
                <w:szCs w:val="22"/>
                <w:lang w:val="en-US"/>
              </w:rPr>
            </w:pPr>
            <w:r>
              <w:rPr>
                <w:rFonts w:asciiTheme="minorHAnsi" w:hAnsiTheme="minorHAnsi" w:cstheme="minorHAnsi"/>
                <w:bCs/>
                <w:sz w:val="22"/>
                <w:szCs w:val="22"/>
                <w:lang w:val="en-US"/>
              </w:rPr>
              <w:t>Data Source: WHO</w:t>
            </w:r>
          </w:p>
        </w:tc>
        <w:tc>
          <w:tcPr>
            <w:tcW w:w="4513" w:type="dxa"/>
            <w:gridSpan w:val="2"/>
            <w:tcBorders>
              <w:left w:val="single" w:sz="4" w:space="0" w:color="auto"/>
              <w:bottom w:val="single" w:sz="4" w:space="0" w:color="auto"/>
              <w:right w:val="single" w:sz="4" w:space="0" w:color="auto"/>
            </w:tcBorders>
          </w:tcPr>
          <w:p w14:paraId="4934047D"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1138D7F4" w14:textId="77777777" w:rsidTr="53E3C463">
        <w:trPr>
          <w:trHeight w:val="256"/>
        </w:trPr>
        <w:tc>
          <w:tcPr>
            <w:tcW w:w="4535" w:type="dxa"/>
            <w:gridSpan w:val="2"/>
            <w:vMerge w:val="restart"/>
            <w:tcBorders>
              <w:top w:val="single" w:sz="4" w:space="0" w:color="auto"/>
              <w:left w:val="single" w:sz="4" w:space="0" w:color="auto"/>
              <w:right w:val="single" w:sz="4" w:space="0" w:color="auto"/>
            </w:tcBorders>
            <w:shd w:val="clear" w:color="auto" w:fill="8EAADB" w:themeFill="accent1" w:themeFillTint="99"/>
          </w:tcPr>
          <w:p w14:paraId="0594EA1A" w14:textId="77777777" w:rsidR="003A41BE" w:rsidRPr="00841766" w:rsidRDefault="003A41BE" w:rsidP="00FD44CE">
            <w:pPr>
              <w:jc w:val="both"/>
              <w:rPr>
                <w:rFonts w:cstheme="minorHAnsi"/>
                <w:b/>
                <w:color w:val="000000" w:themeColor="text1"/>
                <w:sz w:val="22"/>
                <w:szCs w:val="22"/>
                <w:lang w:val="en-US"/>
              </w:rPr>
            </w:pPr>
            <w:r>
              <w:rPr>
                <w:rFonts w:cstheme="minorHAnsi"/>
                <w:b/>
                <w:color w:val="000000" w:themeColor="text1"/>
                <w:sz w:val="22"/>
                <w:szCs w:val="22"/>
                <w:lang w:val="en-US"/>
              </w:rPr>
              <w:t>Sub-o</w:t>
            </w:r>
            <w:r w:rsidRPr="00841766">
              <w:rPr>
                <w:rFonts w:cstheme="minorHAnsi"/>
                <w:b/>
                <w:color w:val="000000" w:themeColor="text1"/>
                <w:sz w:val="22"/>
                <w:szCs w:val="22"/>
                <w:lang w:val="en-US"/>
              </w:rPr>
              <w:t>utcome 4.2:</w:t>
            </w:r>
          </w:p>
          <w:p w14:paraId="3CE5A3EA" w14:textId="77777777" w:rsidR="003A41BE" w:rsidRPr="00841766" w:rsidRDefault="003A41BE" w:rsidP="00FD44CE">
            <w:pPr>
              <w:jc w:val="both"/>
              <w:rPr>
                <w:rFonts w:cstheme="minorHAnsi"/>
                <w:b/>
                <w:color w:val="000000" w:themeColor="text1"/>
                <w:sz w:val="22"/>
                <w:szCs w:val="22"/>
                <w:lang w:val="en-US"/>
              </w:rPr>
            </w:pPr>
          </w:p>
          <w:p w14:paraId="50CE11E3" w14:textId="77777777" w:rsidR="003A41BE" w:rsidRPr="00841766" w:rsidRDefault="003A41BE" w:rsidP="00FD44CE">
            <w:pPr>
              <w:jc w:val="both"/>
              <w:rPr>
                <w:rFonts w:cstheme="minorHAnsi"/>
                <w:b/>
                <w:color w:val="000000" w:themeColor="text1"/>
                <w:sz w:val="22"/>
                <w:szCs w:val="22"/>
                <w:lang w:val="en-US"/>
              </w:rPr>
            </w:pPr>
            <w:r w:rsidRPr="00841766">
              <w:rPr>
                <w:rFonts w:cstheme="minorHAnsi"/>
                <w:b/>
                <w:color w:val="000000" w:themeColor="text1"/>
                <w:sz w:val="22"/>
                <w:szCs w:val="22"/>
                <w:lang w:val="en-US"/>
              </w:rPr>
              <w:t>Evidence-based decision-making and digital systems</w:t>
            </w:r>
          </w:p>
          <w:p w14:paraId="0C910F0E" w14:textId="77777777" w:rsidR="003A41BE" w:rsidRPr="00841766" w:rsidRDefault="003A41BE" w:rsidP="00FD44CE">
            <w:pPr>
              <w:pStyle w:val="NoSpacing"/>
              <w:rPr>
                <w:rFonts w:cstheme="minorHAnsi"/>
              </w:rPr>
            </w:pPr>
            <w:r w:rsidRPr="00841766">
              <w:rPr>
                <w:rFonts w:cstheme="minorHAnsi"/>
              </w:rPr>
              <w:t xml:space="preserve">By 2025, evidence, such as sex-disaggregated data, is systematically used for policies, strategies, programs and investment decisions </w:t>
            </w:r>
            <w:r w:rsidRPr="00841766">
              <w:rPr>
                <w:rFonts w:cstheme="minorHAnsi"/>
              </w:rPr>
              <w:lastRenderedPageBreak/>
              <w:t>to address public health needs, determinants of health and multi-</w:t>
            </w:r>
            <w:proofErr w:type="spellStart"/>
            <w:r w:rsidRPr="00841766">
              <w:rPr>
                <w:rFonts w:cstheme="minorHAnsi"/>
              </w:rPr>
              <w:t>sectorality</w:t>
            </w:r>
            <w:proofErr w:type="spellEnd"/>
            <w:r w:rsidRPr="00841766">
              <w:rPr>
                <w:rFonts w:cstheme="minorHAnsi"/>
              </w:rPr>
              <w:t>, including through strengthened digital health systems</w:t>
            </w:r>
          </w:p>
          <w:p w14:paraId="33FB3A8B" w14:textId="77777777" w:rsidR="003A41BE" w:rsidRPr="00841766" w:rsidRDefault="003A41BE" w:rsidP="00FD44CE">
            <w:pPr>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1B1A6" w14:textId="77777777" w:rsidR="003A41BE" w:rsidRDefault="003A41BE" w:rsidP="00FD44CE">
            <w:pPr>
              <w:autoSpaceDE w:val="0"/>
              <w:autoSpaceDN w:val="0"/>
              <w:adjustRightInd w:val="0"/>
              <w:rPr>
                <w:rFonts w:cs="Myriad Pro Cond"/>
                <w:sz w:val="22"/>
                <w:szCs w:val="22"/>
                <w:lang w:val="en-US"/>
              </w:rPr>
            </w:pPr>
            <w:r w:rsidRPr="00841766">
              <w:rPr>
                <w:rFonts w:cstheme="minorHAnsi"/>
                <w:b/>
                <w:sz w:val="22"/>
                <w:szCs w:val="22"/>
                <w:lang w:val="en-US"/>
              </w:rPr>
              <w:lastRenderedPageBreak/>
              <w:t xml:space="preserve">Indicator 4.2.1: </w:t>
            </w:r>
            <w:r w:rsidRPr="00841766">
              <w:rPr>
                <w:rFonts w:cstheme="minorHAnsi"/>
                <w:sz w:val="22"/>
                <w:szCs w:val="22"/>
                <w:lang w:val="en-US"/>
              </w:rPr>
              <w:t>Birth and death registration system put in place and being used for planning purposes (</w:t>
            </w:r>
            <w:r w:rsidRPr="00841766">
              <w:rPr>
                <w:rFonts w:eastAsia="Calibri" w:cs="Calibri"/>
                <w:sz w:val="22"/>
                <w:szCs w:val="22"/>
                <w:lang w:val="en-US"/>
              </w:rPr>
              <w:t xml:space="preserve">SDG </w:t>
            </w:r>
            <w:r>
              <w:rPr>
                <w:rFonts w:eastAsia="Calibri" w:cs="Calibri"/>
                <w:sz w:val="22"/>
                <w:szCs w:val="22"/>
                <w:lang w:val="en-US"/>
              </w:rPr>
              <w:t>I</w:t>
            </w:r>
            <w:r w:rsidRPr="00841766">
              <w:rPr>
                <w:rFonts w:eastAsia="Calibri" w:cs="Calibri"/>
                <w:sz w:val="22"/>
                <w:szCs w:val="22"/>
                <w:lang w:val="en-US"/>
              </w:rPr>
              <w:t xml:space="preserve">ndicator </w:t>
            </w:r>
            <w:r w:rsidRPr="00841766">
              <w:rPr>
                <w:rFonts w:cstheme="minorHAnsi"/>
                <w:sz w:val="22"/>
                <w:szCs w:val="22"/>
                <w:lang w:val="en-US"/>
              </w:rPr>
              <w:t>17.19.2b)</w:t>
            </w:r>
            <w:r w:rsidRPr="00841766">
              <w:rPr>
                <w:rFonts w:cs="Myriad Pro Cond"/>
                <w:sz w:val="22"/>
                <w:szCs w:val="22"/>
                <w:lang w:val="en-US"/>
              </w:rPr>
              <w:t xml:space="preserve"> </w:t>
            </w:r>
          </w:p>
          <w:tbl>
            <w:tblPr>
              <w:tblStyle w:val="TableGrid"/>
              <w:tblW w:w="0" w:type="auto"/>
              <w:tblLayout w:type="fixed"/>
              <w:tblLook w:val="04A0" w:firstRow="1" w:lastRow="0" w:firstColumn="1" w:lastColumn="0" w:noHBand="0" w:noVBand="1"/>
            </w:tblPr>
            <w:tblGrid>
              <w:gridCol w:w="1510"/>
              <w:gridCol w:w="1620"/>
            </w:tblGrid>
            <w:tr w:rsidR="003A41BE" w14:paraId="24EDC58A" w14:textId="77777777" w:rsidTr="00FD44CE">
              <w:tc>
                <w:tcPr>
                  <w:tcW w:w="1510" w:type="dxa"/>
                </w:tcPr>
                <w:p w14:paraId="04090E44"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6A74FBD3"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590F925F" w14:textId="77777777" w:rsidTr="00FD44CE">
              <w:tc>
                <w:tcPr>
                  <w:tcW w:w="1510" w:type="dxa"/>
                </w:tcPr>
                <w:p w14:paraId="50C00A96"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No</w:t>
                  </w:r>
                </w:p>
              </w:tc>
              <w:tc>
                <w:tcPr>
                  <w:tcW w:w="1620" w:type="dxa"/>
                </w:tcPr>
                <w:p w14:paraId="7262F2F5" w14:textId="77777777" w:rsidR="003A41BE" w:rsidRPr="00715FF4" w:rsidRDefault="003A41BE" w:rsidP="002A37E3">
                  <w:pPr>
                    <w:framePr w:hSpace="141" w:wrap="around" w:vAnchor="text" w:hAnchor="text" w:x="421" w:y="1"/>
                    <w:suppressOverlap/>
                    <w:jc w:val="center"/>
                    <w:rPr>
                      <w:bCs/>
                      <w:sz w:val="22"/>
                      <w:szCs w:val="22"/>
                      <w:lang w:val="en-US"/>
                    </w:rPr>
                  </w:pPr>
                  <w:r w:rsidRPr="003F4BC2">
                    <w:rPr>
                      <w:rFonts w:cstheme="minorHAnsi"/>
                      <w:bCs/>
                      <w:sz w:val="22"/>
                      <w:szCs w:val="22"/>
                      <w:lang w:val="en-US"/>
                    </w:rPr>
                    <w:t>Yes</w:t>
                  </w:r>
                </w:p>
              </w:tc>
            </w:tr>
          </w:tbl>
          <w:p w14:paraId="456F199B" w14:textId="77777777" w:rsidR="003A41BE" w:rsidRPr="00841766" w:rsidRDefault="003A41BE" w:rsidP="00FD44CE">
            <w:pPr>
              <w:autoSpaceDE w:val="0"/>
              <w:autoSpaceDN w:val="0"/>
              <w:adjustRightInd w:val="0"/>
              <w:rPr>
                <w:rFonts w:cstheme="minorHAnsi"/>
                <w:b/>
                <w:sz w:val="22"/>
                <w:szCs w:val="22"/>
                <w:lang w:val="en-US"/>
              </w:rPr>
            </w:pPr>
            <w:r w:rsidRPr="00DA2276">
              <w:rPr>
                <w:rFonts w:cstheme="minorHAnsi"/>
                <w:bCs/>
                <w:sz w:val="22"/>
                <w:szCs w:val="22"/>
                <w:lang w:val="en-US"/>
              </w:rPr>
              <w:t>Data Source:</w:t>
            </w:r>
            <w:r w:rsidRPr="00841766">
              <w:rPr>
                <w:rFonts w:cstheme="minorHAnsi"/>
                <w:b/>
                <w:sz w:val="22"/>
                <w:szCs w:val="22"/>
                <w:lang w:val="en-US"/>
              </w:rPr>
              <w:t xml:space="preserve"> </w:t>
            </w:r>
            <w:r w:rsidRPr="00841766">
              <w:rPr>
                <w:rFonts w:cstheme="minorHAnsi"/>
                <w:sz w:val="22"/>
                <w:szCs w:val="22"/>
                <w:lang w:val="en-US"/>
              </w:rPr>
              <w:t>CRVS, MSA</w:t>
            </w:r>
          </w:p>
          <w:p w14:paraId="52363A01" w14:textId="77777777" w:rsidR="003A41BE" w:rsidRPr="00841766" w:rsidRDefault="003A41BE" w:rsidP="00FD44CE">
            <w:pPr>
              <w:autoSpaceDE w:val="0"/>
              <w:autoSpaceDN w:val="0"/>
              <w:adjustRightInd w:val="0"/>
              <w:rPr>
                <w:rFonts w:cstheme="minorHAnsi"/>
                <w:sz w:val="22"/>
                <w:szCs w:val="22"/>
                <w:lang w:val="en-US"/>
              </w:rPr>
            </w:pPr>
          </w:p>
        </w:tc>
        <w:tc>
          <w:tcPr>
            <w:tcW w:w="4513" w:type="dxa"/>
            <w:gridSpan w:val="2"/>
            <w:vMerge w:val="restart"/>
            <w:tcBorders>
              <w:top w:val="single" w:sz="4" w:space="0" w:color="auto"/>
              <w:left w:val="single" w:sz="4" w:space="0" w:color="auto"/>
              <w:right w:val="single" w:sz="4" w:space="0" w:color="auto"/>
            </w:tcBorders>
          </w:tcPr>
          <w:p w14:paraId="055C2B62"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Finance</w:t>
            </w:r>
          </w:p>
          <w:p w14:paraId="3BF8FB1C"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Health</w:t>
            </w:r>
          </w:p>
          <w:p w14:paraId="59C636F7"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Legislative Reform and Parliamentary Affairs</w:t>
            </w:r>
          </w:p>
          <w:p w14:paraId="24377ABF" w14:textId="77777777" w:rsidR="003A41BE" w:rsidRPr="00841766" w:rsidRDefault="003A41BE" w:rsidP="00FD44CE">
            <w:pPr>
              <w:autoSpaceDE w:val="0"/>
              <w:autoSpaceDN w:val="0"/>
              <w:adjustRightInd w:val="0"/>
              <w:rPr>
                <w:rFonts w:cstheme="minorHAnsi"/>
                <w:sz w:val="22"/>
                <w:szCs w:val="22"/>
                <w:lang w:val="en-US"/>
              </w:rPr>
            </w:pPr>
          </w:p>
          <w:p w14:paraId="7F6CC321"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UNFPA</w:t>
            </w:r>
            <w:r>
              <w:rPr>
                <w:rFonts w:cstheme="minorHAnsi"/>
                <w:sz w:val="22"/>
                <w:szCs w:val="22"/>
                <w:lang w:val="en-US"/>
              </w:rPr>
              <w:t>,</w:t>
            </w:r>
            <w:r w:rsidRPr="00841766">
              <w:rPr>
                <w:rFonts w:cstheme="minorHAnsi"/>
                <w:sz w:val="22"/>
                <w:szCs w:val="22"/>
                <w:lang w:val="en-US"/>
              </w:rPr>
              <w:t xml:space="preserve"> UNICEF</w:t>
            </w:r>
            <w:r>
              <w:rPr>
                <w:rFonts w:cstheme="minorHAnsi"/>
                <w:sz w:val="22"/>
                <w:szCs w:val="22"/>
                <w:lang w:val="en-US"/>
              </w:rPr>
              <w:t xml:space="preserve">, </w:t>
            </w:r>
            <w:r w:rsidRPr="00841766">
              <w:rPr>
                <w:rFonts w:cstheme="minorHAnsi"/>
                <w:sz w:val="22"/>
                <w:szCs w:val="22"/>
                <w:lang w:val="en-US"/>
              </w:rPr>
              <w:t>WHO</w:t>
            </w:r>
          </w:p>
          <w:p w14:paraId="0A86CFB7" w14:textId="77777777" w:rsidR="003A41BE" w:rsidRDefault="003A41BE" w:rsidP="00FD44CE">
            <w:pPr>
              <w:autoSpaceDE w:val="0"/>
              <w:autoSpaceDN w:val="0"/>
              <w:adjustRightInd w:val="0"/>
              <w:rPr>
                <w:rFonts w:cstheme="minorHAnsi"/>
                <w:sz w:val="22"/>
                <w:szCs w:val="22"/>
                <w:lang w:val="en-US"/>
              </w:rPr>
            </w:pPr>
          </w:p>
          <w:p w14:paraId="70DB435E"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lastRenderedPageBreak/>
              <w:t>Universities, Media establishments</w:t>
            </w:r>
          </w:p>
          <w:p w14:paraId="26B46D94" w14:textId="77777777" w:rsidR="003A41BE" w:rsidRPr="00841766" w:rsidRDefault="003A41BE" w:rsidP="00FD44CE">
            <w:pPr>
              <w:autoSpaceDE w:val="0"/>
              <w:autoSpaceDN w:val="0"/>
              <w:adjustRightInd w:val="0"/>
              <w:rPr>
                <w:rFonts w:cstheme="minorHAnsi"/>
                <w:sz w:val="22"/>
                <w:szCs w:val="22"/>
                <w:lang w:val="en-US"/>
              </w:rPr>
            </w:pPr>
          </w:p>
          <w:p w14:paraId="72DC8720"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36E4C872" w14:textId="77777777" w:rsidTr="53E3C463">
        <w:trPr>
          <w:trHeight w:val="256"/>
        </w:trPr>
        <w:tc>
          <w:tcPr>
            <w:tcW w:w="4535" w:type="dxa"/>
            <w:gridSpan w:val="2"/>
            <w:vMerge/>
          </w:tcPr>
          <w:p w14:paraId="4CC172E6"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1B16E"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b/>
                <w:sz w:val="22"/>
                <w:szCs w:val="22"/>
                <w:lang w:val="en-US"/>
              </w:rPr>
              <w:t xml:space="preserve">Indicator 4.2.2: </w:t>
            </w:r>
            <w:r w:rsidRPr="00841766">
              <w:rPr>
                <w:rFonts w:cstheme="minorHAnsi"/>
                <w:sz w:val="22"/>
                <w:szCs w:val="22"/>
                <w:lang w:val="en-US"/>
              </w:rPr>
              <w:t>National digital health roadmap/strategy in place and implemented</w:t>
            </w:r>
          </w:p>
          <w:tbl>
            <w:tblPr>
              <w:tblStyle w:val="TableGrid"/>
              <w:tblW w:w="0" w:type="auto"/>
              <w:tblLayout w:type="fixed"/>
              <w:tblLook w:val="04A0" w:firstRow="1" w:lastRow="0" w:firstColumn="1" w:lastColumn="0" w:noHBand="0" w:noVBand="1"/>
            </w:tblPr>
            <w:tblGrid>
              <w:gridCol w:w="1510"/>
              <w:gridCol w:w="1620"/>
            </w:tblGrid>
            <w:tr w:rsidR="003A41BE" w14:paraId="3016219B" w14:textId="77777777" w:rsidTr="00FD44CE">
              <w:tc>
                <w:tcPr>
                  <w:tcW w:w="1510" w:type="dxa"/>
                </w:tcPr>
                <w:p w14:paraId="22E09491"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1CB03CB8"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17519092" w14:textId="77777777" w:rsidTr="00FD44CE">
              <w:tc>
                <w:tcPr>
                  <w:tcW w:w="1510" w:type="dxa"/>
                </w:tcPr>
                <w:p w14:paraId="5C140B14"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No</w:t>
                  </w:r>
                </w:p>
              </w:tc>
              <w:tc>
                <w:tcPr>
                  <w:tcW w:w="1620" w:type="dxa"/>
                </w:tcPr>
                <w:p w14:paraId="07F9DAF5" w14:textId="77777777" w:rsidR="003A41BE" w:rsidRPr="00DA2276" w:rsidRDefault="003A41BE" w:rsidP="002A37E3">
                  <w:pPr>
                    <w:framePr w:hSpace="141" w:wrap="around" w:vAnchor="text" w:hAnchor="text" w:x="421" w:y="1"/>
                    <w:suppressOverlap/>
                    <w:jc w:val="center"/>
                    <w:rPr>
                      <w:bCs/>
                      <w:sz w:val="22"/>
                      <w:szCs w:val="22"/>
                      <w:lang w:val="en-US"/>
                    </w:rPr>
                  </w:pPr>
                  <w:r w:rsidRPr="00DA2276">
                    <w:rPr>
                      <w:rFonts w:cstheme="minorHAnsi"/>
                      <w:bCs/>
                      <w:sz w:val="22"/>
                      <w:szCs w:val="22"/>
                      <w:lang w:val="en-US"/>
                    </w:rPr>
                    <w:t>Yes</w:t>
                  </w:r>
                </w:p>
              </w:tc>
            </w:tr>
          </w:tbl>
          <w:p w14:paraId="2F23E0EB" w14:textId="77777777" w:rsidR="003A41BE" w:rsidRDefault="003A41BE" w:rsidP="00FD44CE">
            <w:pPr>
              <w:autoSpaceDE w:val="0"/>
              <w:autoSpaceDN w:val="0"/>
              <w:adjustRightInd w:val="0"/>
              <w:rPr>
                <w:rFonts w:cstheme="minorHAnsi"/>
                <w:sz w:val="22"/>
                <w:szCs w:val="22"/>
                <w:lang w:val="en-US"/>
              </w:rPr>
            </w:pPr>
            <w:r w:rsidRPr="003F4BC2">
              <w:rPr>
                <w:rFonts w:cstheme="minorHAnsi"/>
                <w:bCs/>
                <w:sz w:val="22"/>
                <w:szCs w:val="22"/>
                <w:lang w:val="en-US"/>
              </w:rPr>
              <w:t xml:space="preserve">Data Source: </w:t>
            </w:r>
            <w:r w:rsidRPr="00841766">
              <w:rPr>
                <w:rFonts w:cstheme="minorHAnsi"/>
                <w:sz w:val="22"/>
                <w:szCs w:val="22"/>
                <w:lang w:val="en-US"/>
              </w:rPr>
              <w:t>MOH</w:t>
            </w:r>
          </w:p>
          <w:p w14:paraId="0E7873D6" w14:textId="77777777" w:rsidR="003A41BE" w:rsidRPr="00841766" w:rsidRDefault="003A41BE" w:rsidP="00FD44CE">
            <w:pPr>
              <w:autoSpaceDE w:val="0"/>
              <w:autoSpaceDN w:val="0"/>
              <w:adjustRightInd w:val="0"/>
              <w:rPr>
                <w:rFonts w:cstheme="minorHAnsi"/>
                <w:b/>
                <w:sz w:val="22"/>
                <w:szCs w:val="22"/>
                <w:lang w:val="en-US"/>
              </w:rPr>
            </w:pPr>
          </w:p>
        </w:tc>
        <w:tc>
          <w:tcPr>
            <w:tcW w:w="4513" w:type="dxa"/>
            <w:gridSpan w:val="2"/>
            <w:vMerge/>
          </w:tcPr>
          <w:p w14:paraId="3E0091C3"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10116107" w14:textId="77777777" w:rsidTr="53E3C463">
        <w:trPr>
          <w:trHeight w:val="1542"/>
        </w:trPr>
        <w:tc>
          <w:tcPr>
            <w:tcW w:w="4535" w:type="dxa"/>
            <w:gridSpan w:val="2"/>
            <w:vMerge/>
          </w:tcPr>
          <w:p w14:paraId="01EA98C1"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2E7B3" w14:textId="77777777" w:rsidR="003A41BE" w:rsidRPr="00841766"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b/>
                <w:sz w:val="22"/>
                <w:szCs w:val="22"/>
                <w:lang w:val="en-US"/>
              </w:rPr>
              <w:t xml:space="preserve">Indicator 4.2.3: </w:t>
            </w:r>
            <w:r w:rsidRPr="00841766">
              <w:rPr>
                <w:rFonts w:asciiTheme="minorHAnsi" w:hAnsiTheme="minorHAnsi" w:cstheme="minorHAnsi"/>
                <w:sz w:val="22"/>
                <w:szCs w:val="22"/>
                <w:lang w:val="en-US"/>
              </w:rPr>
              <w:t>National Human Resources for Health Strategy implemented (density, distribution and quality)</w:t>
            </w:r>
          </w:p>
          <w:tbl>
            <w:tblPr>
              <w:tblStyle w:val="TableGrid"/>
              <w:tblW w:w="0" w:type="auto"/>
              <w:tblLayout w:type="fixed"/>
              <w:tblLook w:val="04A0" w:firstRow="1" w:lastRow="0" w:firstColumn="1" w:lastColumn="0" w:noHBand="0" w:noVBand="1"/>
            </w:tblPr>
            <w:tblGrid>
              <w:gridCol w:w="1510"/>
              <w:gridCol w:w="1620"/>
            </w:tblGrid>
            <w:tr w:rsidR="003A41BE" w14:paraId="3C583D71" w14:textId="77777777" w:rsidTr="00FD44CE">
              <w:tc>
                <w:tcPr>
                  <w:tcW w:w="1510" w:type="dxa"/>
                </w:tcPr>
                <w:p w14:paraId="44AF91BA"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1E7652E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40776D7B" w14:textId="77777777" w:rsidTr="00FD44CE">
              <w:tc>
                <w:tcPr>
                  <w:tcW w:w="1510" w:type="dxa"/>
                </w:tcPr>
                <w:p w14:paraId="2039EEBF"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No</w:t>
                  </w:r>
                </w:p>
              </w:tc>
              <w:tc>
                <w:tcPr>
                  <w:tcW w:w="1620" w:type="dxa"/>
                </w:tcPr>
                <w:p w14:paraId="6988CEEE" w14:textId="77777777" w:rsidR="003A41BE" w:rsidRPr="00DA2276" w:rsidRDefault="003A41BE" w:rsidP="002A37E3">
                  <w:pPr>
                    <w:framePr w:hSpace="141" w:wrap="around" w:vAnchor="text" w:hAnchor="text" w:x="421" w:y="1"/>
                    <w:suppressOverlap/>
                    <w:jc w:val="center"/>
                    <w:rPr>
                      <w:bCs/>
                      <w:sz w:val="22"/>
                      <w:szCs w:val="22"/>
                      <w:lang w:val="en-US"/>
                    </w:rPr>
                  </w:pPr>
                  <w:r w:rsidRPr="00DA2276">
                    <w:rPr>
                      <w:rFonts w:cstheme="minorHAnsi"/>
                      <w:bCs/>
                      <w:sz w:val="22"/>
                      <w:szCs w:val="22"/>
                      <w:lang w:val="en-US"/>
                    </w:rPr>
                    <w:t>Yes</w:t>
                  </w:r>
                </w:p>
              </w:tc>
            </w:tr>
          </w:tbl>
          <w:p w14:paraId="40AFEC8A" w14:textId="77777777" w:rsidR="003A41BE" w:rsidRDefault="003A41BE" w:rsidP="00FD44CE">
            <w:pPr>
              <w:autoSpaceDE w:val="0"/>
              <w:autoSpaceDN w:val="0"/>
              <w:adjustRightInd w:val="0"/>
              <w:rPr>
                <w:rFonts w:cstheme="minorHAnsi"/>
                <w:sz w:val="22"/>
                <w:szCs w:val="22"/>
                <w:lang w:val="en-US"/>
              </w:rPr>
            </w:pPr>
            <w:r w:rsidRPr="003F4BC2">
              <w:rPr>
                <w:rFonts w:cstheme="minorHAnsi"/>
                <w:bCs/>
                <w:sz w:val="22"/>
                <w:szCs w:val="22"/>
                <w:lang w:val="en-US"/>
              </w:rPr>
              <w:t>Data Source:</w:t>
            </w:r>
            <w:r w:rsidRPr="00841766">
              <w:rPr>
                <w:rFonts w:cstheme="minorHAnsi"/>
                <w:b/>
                <w:sz w:val="22"/>
                <w:szCs w:val="22"/>
                <w:lang w:val="en-US"/>
              </w:rPr>
              <w:t xml:space="preserve"> </w:t>
            </w:r>
            <w:r w:rsidRPr="00841766">
              <w:rPr>
                <w:rFonts w:cstheme="minorHAnsi"/>
                <w:sz w:val="22"/>
                <w:szCs w:val="22"/>
                <w:lang w:val="en-US"/>
              </w:rPr>
              <w:t>MOH HR database</w:t>
            </w:r>
          </w:p>
          <w:p w14:paraId="38123057" w14:textId="77777777" w:rsidR="003A41BE" w:rsidRPr="00841766" w:rsidRDefault="003A41BE" w:rsidP="00FD44CE">
            <w:pPr>
              <w:autoSpaceDE w:val="0"/>
              <w:autoSpaceDN w:val="0"/>
              <w:adjustRightInd w:val="0"/>
              <w:rPr>
                <w:rFonts w:cstheme="minorHAnsi"/>
                <w:b/>
                <w:sz w:val="22"/>
                <w:szCs w:val="22"/>
                <w:lang w:val="en-US"/>
              </w:rPr>
            </w:pPr>
          </w:p>
        </w:tc>
        <w:tc>
          <w:tcPr>
            <w:tcW w:w="4513" w:type="dxa"/>
            <w:gridSpan w:val="2"/>
            <w:vMerge/>
          </w:tcPr>
          <w:p w14:paraId="2CD55B04" w14:textId="77777777" w:rsidR="003A41BE" w:rsidRPr="00841766" w:rsidRDefault="003A41BE" w:rsidP="00FD44CE">
            <w:pPr>
              <w:autoSpaceDE w:val="0"/>
              <w:autoSpaceDN w:val="0"/>
              <w:adjustRightInd w:val="0"/>
              <w:rPr>
                <w:rFonts w:cstheme="minorHAnsi"/>
                <w:sz w:val="22"/>
                <w:szCs w:val="22"/>
                <w:lang w:val="en-US"/>
              </w:rPr>
            </w:pPr>
          </w:p>
        </w:tc>
      </w:tr>
      <w:tr w:rsidR="003A41BE" w:rsidRPr="002A7985" w14:paraId="647B9196" w14:textId="77777777" w:rsidTr="53E3C463">
        <w:trPr>
          <w:trHeight w:val="70"/>
        </w:trPr>
        <w:tc>
          <w:tcPr>
            <w:tcW w:w="4535" w:type="dxa"/>
            <w:gridSpan w:val="2"/>
            <w:vMerge w:val="restart"/>
            <w:tcBorders>
              <w:top w:val="single" w:sz="4" w:space="0" w:color="auto"/>
              <w:left w:val="single" w:sz="4" w:space="0" w:color="auto"/>
              <w:right w:val="single" w:sz="4" w:space="0" w:color="auto"/>
            </w:tcBorders>
            <w:shd w:val="clear" w:color="auto" w:fill="8EAADB" w:themeFill="accent1" w:themeFillTint="99"/>
          </w:tcPr>
          <w:p w14:paraId="05C40258" w14:textId="77777777" w:rsidR="003A41BE" w:rsidRPr="002A7985" w:rsidRDefault="003A41BE" w:rsidP="00FD44CE">
            <w:pPr>
              <w:jc w:val="both"/>
              <w:rPr>
                <w:rFonts w:cstheme="minorHAnsi"/>
                <w:sz w:val="22"/>
                <w:szCs w:val="22"/>
                <w:lang w:val="en-US"/>
              </w:rPr>
            </w:pPr>
            <w:r w:rsidRPr="002A7985">
              <w:rPr>
                <w:rFonts w:cstheme="minorHAnsi"/>
                <w:b/>
                <w:sz w:val="22"/>
                <w:szCs w:val="22"/>
                <w:lang w:val="en-US"/>
              </w:rPr>
              <w:t>Sub-outcome 4.3:</w:t>
            </w:r>
            <w:r w:rsidRPr="002A7985">
              <w:rPr>
                <w:rFonts w:cstheme="minorHAnsi"/>
                <w:sz w:val="22"/>
                <w:szCs w:val="22"/>
                <w:lang w:val="en-US"/>
              </w:rPr>
              <w:t xml:space="preserve"> </w:t>
            </w:r>
          </w:p>
          <w:p w14:paraId="4B9A914E" w14:textId="77777777" w:rsidR="003A41BE" w:rsidRPr="002A7985" w:rsidRDefault="003A41BE" w:rsidP="00FD44CE">
            <w:pPr>
              <w:jc w:val="both"/>
              <w:rPr>
                <w:rFonts w:cstheme="minorHAnsi"/>
                <w:sz w:val="22"/>
                <w:szCs w:val="22"/>
                <w:lang w:val="en-US"/>
              </w:rPr>
            </w:pPr>
          </w:p>
          <w:p w14:paraId="03C5450A" w14:textId="77777777" w:rsidR="003A41BE" w:rsidRPr="002A7985" w:rsidRDefault="003A41BE" w:rsidP="00FD44CE">
            <w:pPr>
              <w:jc w:val="both"/>
              <w:rPr>
                <w:rFonts w:cstheme="minorHAnsi"/>
                <w:b/>
                <w:sz w:val="22"/>
                <w:szCs w:val="22"/>
                <w:lang w:val="en-US"/>
              </w:rPr>
            </w:pPr>
            <w:bookmarkStart w:id="166" w:name="_Hlk33012998"/>
            <w:proofErr w:type="spellStart"/>
            <w:r w:rsidRPr="002A7985">
              <w:rPr>
                <w:rFonts w:cstheme="minorHAnsi"/>
                <w:b/>
                <w:sz w:val="22"/>
                <w:szCs w:val="22"/>
                <w:lang w:val="en-US"/>
              </w:rPr>
              <w:t>Behaviour</w:t>
            </w:r>
            <w:proofErr w:type="spellEnd"/>
            <w:r w:rsidRPr="002A7985">
              <w:rPr>
                <w:rFonts w:cstheme="minorHAnsi"/>
                <w:b/>
                <w:sz w:val="22"/>
                <w:szCs w:val="22"/>
                <w:lang w:val="en-US"/>
              </w:rPr>
              <w:t xml:space="preserve"> change for determinants of health</w:t>
            </w:r>
          </w:p>
          <w:p w14:paraId="41F65318" w14:textId="77777777" w:rsidR="003A41BE" w:rsidRPr="002A7985" w:rsidRDefault="003A41BE" w:rsidP="00FD44CE">
            <w:pPr>
              <w:jc w:val="both"/>
              <w:rPr>
                <w:rFonts w:cstheme="minorHAnsi"/>
                <w:b/>
                <w:sz w:val="22"/>
                <w:szCs w:val="22"/>
                <w:lang w:val="en-US"/>
              </w:rPr>
            </w:pPr>
            <w:r w:rsidRPr="002A7985">
              <w:rPr>
                <w:rFonts w:cstheme="minorHAnsi"/>
                <w:sz w:val="22"/>
                <w:szCs w:val="22"/>
                <w:lang w:val="en-US"/>
              </w:rPr>
              <w:t>By 2025, communities, particularly women and girls, persons with disabilities, and civil society actors are engaged and empowered to influence decisions and behavior that affect health and well-being to ensure that the needs of the poor, less educated, rural communities, women and children, persons with disabilities, migrant and mobile populations and other marginalized and vulnerable population groups are met.</w:t>
            </w:r>
          </w:p>
          <w:bookmarkEnd w:id="166"/>
          <w:p w14:paraId="21DE9DFB" w14:textId="77777777" w:rsidR="003A41BE" w:rsidRPr="002A7985" w:rsidRDefault="003A41BE" w:rsidP="00FD44CE">
            <w:pPr>
              <w:jc w:val="both"/>
              <w:rPr>
                <w:rFonts w:cstheme="minorHAnsi"/>
                <w:b/>
                <w:sz w:val="22"/>
                <w:szCs w:val="22"/>
                <w:lang w:val="en-US"/>
              </w:rPr>
            </w:pPr>
          </w:p>
          <w:p w14:paraId="745F6CFD" w14:textId="77777777" w:rsidR="003A41BE" w:rsidRPr="002A7985" w:rsidRDefault="003A41BE" w:rsidP="00FD44CE">
            <w:pPr>
              <w:jc w:val="both"/>
              <w:rPr>
                <w:rFonts w:cstheme="minorHAnsi"/>
                <w:b/>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518B4" w14:textId="77777777" w:rsidR="003A41BE" w:rsidRPr="002A7985" w:rsidRDefault="003A41BE" w:rsidP="00FD44CE">
            <w:pPr>
              <w:autoSpaceDE w:val="0"/>
              <w:autoSpaceDN w:val="0"/>
              <w:adjustRightInd w:val="0"/>
              <w:rPr>
                <w:rFonts w:cstheme="minorHAnsi"/>
                <w:sz w:val="22"/>
                <w:szCs w:val="22"/>
                <w:lang w:val="en-US"/>
              </w:rPr>
            </w:pPr>
            <w:r w:rsidRPr="002A7985">
              <w:rPr>
                <w:rFonts w:cstheme="minorHAnsi"/>
                <w:b/>
                <w:sz w:val="22"/>
                <w:szCs w:val="22"/>
                <w:lang w:val="en-US"/>
              </w:rPr>
              <w:t xml:space="preserve">Indicator 4.3.1: </w:t>
            </w:r>
            <w:bookmarkStart w:id="167" w:name="_Hlk33012990"/>
            <w:r>
              <w:rPr>
                <w:sz w:val="22"/>
                <w:szCs w:val="22"/>
                <w:lang w:val="en-US"/>
              </w:rPr>
              <w:t>Proportion of married women aged 15-49 years who currently use modern contraceptive methods</w:t>
            </w:r>
            <w:r w:rsidRPr="002A7985">
              <w:rPr>
                <w:sz w:val="22"/>
                <w:szCs w:val="22"/>
                <w:lang w:val="en-US"/>
              </w:rPr>
              <w:t xml:space="preserve"> (</w:t>
            </w:r>
            <w:r w:rsidRPr="002A7985">
              <w:rPr>
                <w:rFonts w:eastAsia="Calibri" w:cs="Calibri"/>
                <w:sz w:val="22"/>
                <w:szCs w:val="22"/>
                <w:lang w:val="en-US"/>
              </w:rPr>
              <w:t xml:space="preserve">SDG indicator </w:t>
            </w:r>
            <w:r w:rsidRPr="002A7985">
              <w:rPr>
                <w:sz w:val="22"/>
                <w:szCs w:val="22"/>
                <w:lang w:val="en-US"/>
              </w:rPr>
              <w:t xml:space="preserve">5.6.1) </w:t>
            </w:r>
          </w:p>
          <w:tbl>
            <w:tblPr>
              <w:tblStyle w:val="TableGrid"/>
              <w:tblW w:w="0" w:type="auto"/>
              <w:tblLayout w:type="fixed"/>
              <w:tblLook w:val="04A0" w:firstRow="1" w:lastRow="0" w:firstColumn="1" w:lastColumn="0" w:noHBand="0" w:noVBand="1"/>
            </w:tblPr>
            <w:tblGrid>
              <w:gridCol w:w="1510"/>
              <w:gridCol w:w="1620"/>
            </w:tblGrid>
            <w:tr w:rsidR="003A41BE" w:rsidRPr="002A7985" w14:paraId="0EF88E06" w14:textId="77777777" w:rsidTr="00FD44CE">
              <w:tc>
                <w:tcPr>
                  <w:tcW w:w="1510" w:type="dxa"/>
                </w:tcPr>
                <w:bookmarkEnd w:id="167"/>
                <w:p w14:paraId="6EF16F5B"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Baseline</w:t>
                  </w:r>
                </w:p>
              </w:tc>
              <w:tc>
                <w:tcPr>
                  <w:tcW w:w="1620" w:type="dxa"/>
                </w:tcPr>
                <w:p w14:paraId="3F49D837"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Target</w:t>
                  </w:r>
                </w:p>
              </w:tc>
            </w:tr>
            <w:tr w:rsidR="003A41BE" w:rsidRPr="002A7985" w14:paraId="645295E9" w14:textId="77777777" w:rsidTr="00FD44CE">
              <w:tc>
                <w:tcPr>
                  <w:tcW w:w="1510" w:type="dxa"/>
                </w:tcPr>
                <w:p w14:paraId="706D4010" w14:textId="77777777" w:rsidR="003A41BE" w:rsidRPr="002A7985" w:rsidRDefault="003A41BE" w:rsidP="002A37E3">
                  <w:pPr>
                    <w:framePr w:hSpace="141" w:wrap="around" w:vAnchor="text" w:hAnchor="text" w:x="421" w:y="1"/>
                    <w:suppressOverlap/>
                    <w:jc w:val="center"/>
                    <w:rPr>
                      <w:sz w:val="22"/>
                      <w:szCs w:val="22"/>
                      <w:lang w:val="en-US"/>
                    </w:rPr>
                  </w:pPr>
                  <w:r>
                    <w:rPr>
                      <w:sz w:val="22"/>
                      <w:szCs w:val="22"/>
                      <w:lang w:val="en-US"/>
                    </w:rPr>
                    <w:t>24.1% (2016)</w:t>
                  </w:r>
                </w:p>
              </w:tc>
              <w:tc>
                <w:tcPr>
                  <w:tcW w:w="1620" w:type="dxa"/>
                </w:tcPr>
                <w:p w14:paraId="2A3F9562" w14:textId="77777777" w:rsidR="003A41BE" w:rsidRPr="002A7985" w:rsidRDefault="003A41BE" w:rsidP="002A37E3">
                  <w:pPr>
                    <w:framePr w:hSpace="141" w:wrap="around" w:vAnchor="text" w:hAnchor="text" w:x="421" w:y="1"/>
                    <w:suppressOverlap/>
                    <w:jc w:val="center"/>
                    <w:rPr>
                      <w:bCs/>
                      <w:sz w:val="22"/>
                      <w:szCs w:val="22"/>
                      <w:lang w:val="en-US"/>
                    </w:rPr>
                  </w:pPr>
                  <w:r>
                    <w:rPr>
                      <w:sz w:val="22"/>
                      <w:szCs w:val="22"/>
                      <w:lang w:val="en-US"/>
                    </w:rPr>
                    <w:t>40%</w:t>
                  </w:r>
                </w:p>
              </w:tc>
            </w:tr>
          </w:tbl>
          <w:p w14:paraId="4F4DE628" w14:textId="77777777" w:rsidR="003A41BE" w:rsidRDefault="003A41BE" w:rsidP="00FD44CE">
            <w:pPr>
              <w:autoSpaceDE w:val="0"/>
              <w:autoSpaceDN w:val="0"/>
              <w:adjustRightInd w:val="0"/>
              <w:rPr>
                <w:rFonts w:cstheme="minorHAnsi"/>
                <w:sz w:val="22"/>
                <w:szCs w:val="22"/>
                <w:lang w:val="en-US"/>
              </w:rPr>
            </w:pPr>
            <w:r w:rsidRPr="002A7985">
              <w:rPr>
                <w:rFonts w:cstheme="minorHAnsi"/>
                <w:bCs/>
                <w:sz w:val="22"/>
                <w:szCs w:val="22"/>
                <w:lang w:val="en-US"/>
              </w:rPr>
              <w:t>Data Source:</w:t>
            </w:r>
            <w:r w:rsidRPr="002A7985">
              <w:rPr>
                <w:rFonts w:cstheme="minorHAnsi"/>
                <w:b/>
                <w:sz w:val="22"/>
                <w:szCs w:val="22"/>
                <w:lang w:val="en-US"/>
              </w:rPr>
              <w:t xml:space="preserve"> </w:t>
            </w:r>
            <w:r w:rsidRPr="002A7985">
              <w:rPr>
                <w:rFonts w:cstheme="minorHAnsi"/>
                <w:sz w:val="22"/>
                <w:szCs w:val="22"/>
                <w:lang w:val="en-US"/>
              </w:rPr>
              <w:t>DHS</w:t>
            </w:r>
          </w:p>
          <w:p w14:paraId="7A83768D" w14:textId="77777777" w:rsidR="003A41BE" w:rsidRPr="002A7985" w:rsidRDefault="003A41BE" w:rsidP="00FD44CE">
            <w:pPr>
              <w:autoSpaceDE w:val="0"/>
              <w:autoSpaceDN w:val="0"/>
              <w:adjustRightInd w:val="0"/>
              <w:rPr>
                <w:rFonts w:cstheme="minorHAnsi"/>
                <w:sz w:val="22"/>
                <w:szCs w:val="22"/>
                <w:lang w:val="en-US"/>
              </w:rPr>
            </w:pPr>
          </w:p>
        </w:tc>
        <w:tc>
          <w:tcPr>
            <w:tcW w:w="4513" w:type="dxa"/>
            <w:gridSpan w:val="2"/>
            <w:vMerge w:val="restart"/>
            <w:tcBorders>
              <w:top w:val="single" w:sz="4" w:space="0" w:color="auto"/>
              <w:left w:val="single" w:sz="4" w:space="0" w:color="auto"/>
              <w:right w:val="single" w:sz="4" w:space="0" w:color="auto"/>
            </w:tcBorders>
          </w:tcPr>
          <w:p w14:paraId="20680040" w14:textId="77777777" w:rsidR="003A41BE" w:rsidRPr="002A7985" w:rsidRDefault="003A41BE" w:rsidP="00FD44CE">
            <w:pPr>
              <w:autoSpaceDE w:val="0"/>
              <w:autoSpaceDN w:val="0"/>
              <w:adjustRightInd w:val="0"/>
              <w:rPr>
                <w:rFonts w:cstheme="minorHAnsi"/>
                <w:sz w:val="22"/>
                <w:szCs w:val="22"/>
                <w:lang w:val="en-US"/>
              </w:rPr>
            </w:pPr>
            <w:r w:rsidRPr="002A7985">
              <w:rPr>
                <w:rFonts w:cstheme="minorHAnsi"/>
                <w:sz w:val="22"/>
                <w:szCs w:val="22"/>
                <w:lang w:val="en-US"/>
              </w:rPr>
              <w:t>Ministry of Health</w:t>
            </w:r>
          </w:p>
          <w:p w14:paraId="50DE68FF" w14:textId="77777777" w:rsidR="003A41BE" w:rsidRDefault="003A41BE" w:rsidP="00FD44CE">
            <w:pPr>
              <w:autoSpaceDE w:val="0"/>
              <w:autoSpaceDN w:val="0"/>
              <w:adjustRightInd w:val="0"/>
              <w:rPr>
                <w:rFonts w:cstheme="minorHAnsi"/>
                <w:sz w:val="22"/>
                <w:szCs w:val="22"/>
                <w:lang w:val="en-US"/>
              </w:rPr>
            </w:pPr>
            <w:r w:rsidRPr="002A7985">
              <w:rPr>
                <w:rFonts w:cstheme="minorHAnsi"/>
                <w:sz w:val="22"/>
                <w:szCs w:val="22"/>
                <w:lang w:val="en-US"/>
              </w:rPr>
              <w:t xml:space="preserve">Ministry of Education, Youth and Sports Ministry of Finance; </w:t>
            </w:r>
          </w:p>
          <w:p w14:paraId="7F6EDEFE" w14:textId="77777777" w:rsidR="003A41BE" w:rsidRDefault="003A41BE" w:rsidP="00FD44CE">
            <w:pPr>
              <w:autoSpaceDE w:val="0"/>
              <w:autoSpaceDN w:val="0"/>
              <w:adjustRightInd w:val="0"/>
              <w:rPr>
                <w:rFonts w:cstheme="minorHAnsi"/>
                <w:sz w:val="22"/>
                <w:szCs w:val="22"/>
                <w:lang w:val="en-US"/>
              </w:rPr>
            </w:pPr>
            <w:r w:rsidRPr="002A7985">
              <w:rPr>
                <w:rFonts w:cstheme="minorHAnsi"/>
                <w:sz w:val="22"/>
                <w:szCs w:val="22"/>
                <w:lang w:val="en-US"/>
              </w:rPr>
              <w:t xml:space="preserve">Ministry of Interior </w:t>
            </w:r>
          </w:p>
          <w:p w14:paraId="5B6DA6BD" w14:textId="77777777" w:rsidR="003A41BE" w:rsidRPr="002A7985" w:rsidRDefault="003A41BE" w:rsidP="00FD44CE">
            <w:pPr>
              <w:autoSpaceDE w:val="0"/>
              <w:autoSpaceDN w:val="0"/>
              <w:adjustRightInd w:val="0"/>
              <w:rPr>
                <w:rFonts w:cstheme="minorHAnsi"/>
                <w:sz w:val="22"/>
                <w:szCs w:val="22"/>
                <w:lang w:val="en-US"/>
              </w:rPr>
            </w:pPr>
            <w:r w:rsidRPr="002A7985">
              <w:rPr>
                <w:rFonts w:cstheme="minorHAnsi"/>
                <w:sz w:val="22"/>
                <w:szCs w:val="22"/>
                <w:lang w:val="en-US"/>
              </w:rPr>
              <w:t>Ministry of Social Solidarity and Inclusion Ministry of Agriculture and Fisheries</w:t>
            </w:r>
          </w:p>
          <w:p w14:paraId="18A2933A" w14:textId="77777777" w:rsidR="003A41BE" w:rsidRPr="002A7985" w:rsidRDefault="003A41BE" w:rsidP="00FD44CE">
            <w:pPr>
              <w:autoSpaceDE w:val="0"/>
              <w:autoSpaceDN w:val="0"/>
              <w:adjustRightInd w:val="0"/>
              <w:rPr>
                <w:rFonts w:cstheme="minorHAnsi"/>
                <w:sz w:val="22"/>
                <w:szCs w:val="22"/>
                <w:lang w:val="en-US"/>
              </w:rPr>
            </w:pPr>
          </w:p>
          <w:p w14:paraId="2FF6E77F" w14:textId="77777777" w:rsidR="003A41BE" w:rsidRDefault="003A41BE" w:rsidP="00FD44CE">
            <w:pPr>
              <w:autoSpaceDE w:val="0"/>
              <w:autoSpaceDN w:val="0"/>
              <w:adjustRightInd w:val="0"/>
              <w:rPr>
                <w:rFonts w:cstheme="minorHAnsi"/>
                <w:sz w:val="22"/>
                <w:szCs w:val="22"/>
                <w:lang w:val="en-US"/>
              </w:rPr>
            </w:pPr>
            <w:r w:rsidRPr="002A7985">
              <w:rPr>
                <w:rFonts w:cstheme="minorHAnsi"/>
                <w:sz w:val="22"/>
                <w:szCs w:val="22"/>
                <w:lang w:val="en-US"/>
              </w:rPr>
              <w:t>FAO</w:t>
            </w:r>
            <w:r>
              <w:rPr>
                <w:rFonts w:cstheme="minorHAnsi"/>
                <w:sz w:val="22"/>
                <w:szCs w:val="22"/>
                <w:lang w:val="en-US"/>
              </w:rPr>
              <w:t>,</w:t>
            </w:r>
            <w:r w:rsidRPr="002A7985">
              <w:rPr>
                <w:rFonts w:cstheme="minorHAnsi"/>
                <w:sz w:val="22"/>
                <w:szCs w:val="22"/>
                <w:lang w:val="en-US"/>
              </w:rPr>
              <w:t xml:space="preserve"> ILO</w:t>
            </w:r>
            <w:r>
              <w:rPr>
                <w:rFonts w:cstheme="minorHAnsi"/>
                <w:sz w:val="22"/>
                <w:szCs w:val="22"/>
                <w:lang w:val="en-US"/>
              </w:rPr>
              <w:t xml:space="preserve">, </w:t>
            </w:r>
            <w:r w:rsidRPr="002A7985">
              <w:rPr>
                <w:rFonts w:cstheme="minorHAnsi"/>
                <w:sz w:val="22"/>
                <w:szCs w:val="22"/>
                <w:lang w:val="en-US"/>
              </w:rPr>
              <w:t>IOM, UNDP, UNFPA</w:t>
            </w:r>
            <w:r>
              <w:rPr>
                <w:rFonts w:cstheme="minorHAnsi"/>
                <w:sz w:val="22"/>
                <w:szCs w:val="22"/>
                <w:lang w:val="en-US"/>
              </w:rPr>
              <w:t xml:space="preserve">, </w:t>
            </w:r>
            <w:r w:rsidRPr="002A7985">
              <w:rPr>
                <w:rFonts w:cstheme="minorHAnsi"/>
                <w:sz w:val="22"/>
                <w:szCs w:val="22"/>
                <w:lang w:val="en-US"/>
              </w:rPr>
              <w:t>UNICEF,</w:t>
            </w:r>
            <w:r>
              <w:rPr>
                <w:rFonts w:cstheme="minorHAnsi"/>
                <w:sz w:val="22"/>
                <w:szCs w:val="22"/>
                <w:lang w:val="en-US"/>
              </w:rPr>
              <w:t xml:space="preserve"> </w:t>
            </w:r>
            <w:r>
              <w:rPr>
                <w:rFonts w:cstheme="minorHAnsi"/>
                <w:sz w:val="22"/>
                <w:szCs w:val="22"/>
                <w:lang w:val="en-US"/>
              </w:rPr>
              <w:br/>
            </w:r>
            <w:r w:rsidRPr="002A7985">
              <w:rPr>
                <w:rFonts w:cstheme="minorHAnsi"/>
                <w:sz w:val="22"/>
                <w:szCs w:val="22"/>
                <w:lang w:val="en-US"/>
              </w:rPr>
              <w:t>UN Women</w:t>
            </w:r>
            <w:r>
              <w:rPr>
                <w:rFonts w:cstheme="minorHAnsi"/>
                <w:sz w:val="22"/>
                <w:szCs w:val="22"/>
                <w:lang w:val="en-US"/>
              </w:rPr>
              <w:t xml:space="preserve">, </w:t>
            </w:r>
            <w:r w:rsidRPr="002A7985">
              <w:rPr>
                <w:rFonts w:cstheme="minorHAnsi"/>
                <w:sz w:val="22"/>
                <w:szCs w:val="22"/>
                <w:lang w:val="en-US"/>
              </w:rPr>
              <w:t>WFP</w:t>
            </w:r>
            <w:r>
              <w:rPr>
                <w:rFonts w:cstheme="minorHAnsi"/>
                <w:sz w:val="22"/>
                <w:szCs w:val="22"/>
                <w:lang w:val="en-US"/>
              </w:rPr>
              <w:t xml:space="preserve">, </w:t>
            </w:r>
            <w:r w:rsidRPr="002A7985">
              <w:rPr>
                <w:rFonts w:cstheme="minorHAnsi"/>
                <w:sz w:val="22"/>
                <w:szCs w:val="22"/>
                <w:lang w:val="en-US"/>
              </w:rPr>
              <w:t xml:space="preserve">WHO </w:t>
            </w:r>
          </w:p>
          <w:p w14:paraId="2E1BBB4B" w14:textId="77777777" w:rsidR="003A41BE" w:rsidRDefault="003A41BE" w:rsidP="00FD44CE">
            <w:pPr>
              <w:autoSpaceDE w:val="0"/>
              <w:autoSpaceDN w:val="0"/>
              <w:adjustRightInd w:val="0"/>
              <w:rPr>
                <w:rFonts w:cstheme="minorHAnsi"/>
                <w:sz w:val="22"/>
                <w:szCs w:val="22"/>
                <w:lang w:val="en-US"/>
              </w:rPr>
            </w:pPr>
          </w:p>
          <w:p w14:paraId="78ED0303" w14:textId="77777777" w:rsidR="003A41BE" w:rsidRPr="002A7985" w:rsidRDefault="003A41BE" w:rsidP="00FD44CE">
            <w:pPr>
              <w:autoSpaceDE w:val="0"/>
              <w:autoSpaceDN w:val="0"/>
              <w:adjustRightInd w:val="0"/>
              <w:rPr>
                <w:rFonts w:cstheme="minorHAnsi"/>
                <w:sz w:val="22"/>
                <w:szCs w:val="22"/>
                <w:lang w:val="en-US"/>
              </w:rPr>
            </w:pPr>
            <w:r w:rsidRPr="002A7985">
              <w:rPr>
                <w:rFonts w:cstheme="minorHAnsi"/>
                <w:sz w:val="22"/>
                <w:szCs w:val="22"/>
                <w:lang w:val="en-US"/>
              </w:rPr>
              <w:t xml:space="preserve">Traditional medical practitioners; Church and other religious institutions, National Alliance for Tobacco Control, </w:t>
            </w:r>
            <w:proofErr w:type="spellStart"/>
            <w:r w:rsidRPr="002A7985">
              <w:rPr>
                <w:rFonts w:cstheme="minorHAnsi"/>
                <w:sz w:val="22"/>
                <w:szCs w:val="22"/>
                <w:lang w:val="en-US"/>
              </w:rPr>
              <w:t>Alola</w:t>
            </w:r>
            <w:proofErr w:type="spellEnd"/>
            <w:r w:rsidRPr="002A7985">
              <w:rPr>
                <w:rFonts w:cstheme="minorHAnsi"/>
                <w:sz w:val="22"/>
                <w:szCs w:val="22"/>
                <w:lang w:val="en-US"/>
              </w:rPr>
              <w:t xml:space="preserve"> Foundation and others; Women, youth and organizations of groups most left behind (persons with disabilities, LGBTI, people living with HIV, etc.)</w:t>
            </w:r>
          </w:p>
          <w:p w14:paraId="379970F8" w14:textId="77777777" w:rsidR="003A41BE" w:rsidRPr="002A7985" w:rsidRDefault="003A41BE" w:rsidP="00FD44CE">
            <w:pPr>
              <w:autoSpaceDE w:val="0"/>
              <w:autoSpaceDN w:val="0"/>
              <w:adjustRightInd w:val="0"/>
              <w:rPr>
                <w:rFonts w:cstheme="minorHAnsi"/>
                <w:sz w:val="22"/>
                <w:szCs w:val="22"/>
                <w:lang w:val="en-US"/>
              </w:rPr>
            </w:pPr>
          </w:p>
          <w:p w14:paraId="148F9CB5" w14:textId="77777777" w:rsidR="003A41BE" w:rsidRPr="002A7985" w:rsidRDefault="003A41BE" w:rsidP="00FD44CE">
            <w:pPr>
              <w:autoSpaceDE w:val="0"/>
              <w:autoSpaceDN w:val="0"/>
              <w:adjustRightInd w:val="0"/>
              <w:rPr>
                <w:rFonts w:cstheme="minorHAnsi"/>
                <w:sz w:val="22"/>
                <w:szCs w:val="22"/>
                <w:lang w:val="en-US"/>
              </w:rPr>
            </w:pPr>
          </w:p>
        </w:tc>
      </w:tr>
      <w:tr w:rsidR="003A41BE" w:rsidRPr="006444BA" w14:paraId="1CC99F8B" w14:textId="77777777" w:rsidTr="53E3C463">
        <w:trPr>
          <w:trHeight w:val="1349"/>
        </w:trPr>
        <w:tc>
          <w:tcPr>
            <w:tcW w:w="4535" w:type="dxa"/>
            <w:gridSpan w:val="2"/>
            <w:vMerge/>
          </w:tcPr>
          <w:p w14:paraId="738D0C6B"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2586A" w14:textId="77777777" w:rsidR="003A41BE" w:rsidRDefault="003A41BE" w:rsidP="00FD44CE">
            <w:pPr>
              <w:spacing w:line="276" w:lineRule="auto"/>
              <w:rPr>
                <w:rFonts w:cstheme="minorHAnsi"/>
                <w:sz w:val="22"/>
                <w:szCs w:val="22"/>
                <w:lang w:val="en-US"/>
              </w:rPr>
            </w:pPr>
            <w:r w:rsidRPr="00841766">
              <w:rPr>
                <w:rFonts w:cstheme="minorHAnsi"/>
                <w:b/>
                <w:sz w:val="22"/>
                <w:szCs w:val="22"/>
                <w:lang w:val="en-US"/>
              </w:rPr>
              <w:t>Indicator 4.3.</w:t>
            </w:r>
            <w:r>
              <w:rPr>
                <w:rFonts w:cstheme="minorHAnsi"/>
                <w:b/>
                <w:sz w:val="22"/>
                <w:szCs w:val="22"/>
                <w:lang w:val="en-US"/>
              </w:rPr>
              <w:t>2</w:t>
            </w:r>
            <w:r w:rsidRPr="00841766">
              <w:rPr>
                <w:rFonts w:cstheme="minorHAnsi"/>
                <w:b/>
                <w:sz w:val="22"/>
                <w:szCs w:val="22"/>
                <w:lang w:val="en-US"/>
              </w:rPr>
              <w:t xml:space="preserve">: </w:t>
            </w:r>
            <w:bookmarkStart w:id="168" w:name="_Hlk33013013"/>
            <w:r w:rsidRPr="00841766">
              <w:rPr>
                <w:rFonts w:cstheme="minorHAnsi"/>
                <w:sz w:val="22"/>
                <w:szCs w:val="22"/>
                <w:lang w:val="en-US"/>
              </w:rPr>
              <w:t>Proportion of children 0-5 months exclusively breastfed (Geographic disaggregation)</w:t>
            </w:r>
          </w:p>
          <w:tbl>
            <w:tblPr>
              <w:tblStyle w:val="TableGrid"/>
              <w:tblW w:w="0" w:type="auto"/>
              <w:tblLayout w:type="fixed"/>
              <w:tblLook w:val="04A0" w:firstRow="1" w:lastRow="0" w:firstColumn="1" w:lastColumn="0" w:noHBand="0" w:noVBand="1"/>
            </w:tblPr>
            <w:tblGrid>
              <w:gridCol w:w="1510"/>
              <w:gridCol w:w="1620"/>
            </w:tblGrid>
            <w:tr w:rsidR="003A41BE" w14:paraId="30A4EE7C" w14:textId="77777777" w:rsidTr="00FD44CE">
              <w:tc>
                <w:tcPr>
                  <w:tcW w:w="1510" w:type="dxa"/>
                </w:tcPr>
                <w:bookmarkEnd w:id="168"/>
                <w:p w14:paraId="11A69195"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3E2BC803"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154702D0" w14:textId="77777777" w:rsidTr="00FD44CE">
              <w:tc>
                <w:tcPr>
                  <w:tcW w:w="1510" w:type="dxa"/>
                </w:tcPr>
                <w:p w14:paraId="425DEB41"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50% (2016)</w:t>
                  </w:r>
                </w:p>
              </w:tc>
              <w:tc>
                <w:tcPr>
                  <w:tcW w:w="1620" w:type="dxa"/>
                </w:tcPr>
                <w:p w14:paraId="2816FF25" w14:textId="77777777" w:rsidR="003A41BE" w:rsidRPr="00DA2276" w:rsidRDefault="003A41BE" w:rsidP="002A37E3">
                  <w:pPr>
                    <w:framePr w:hSpace="141" w:wrap="around" w:vAnchor="text" w:hAnchor="text" w:x="421" w:y="1"/>
                    <w:suppressOverlap/>
                    <w:jc w:val="center"/>
                    <w:rPr>
                      <w:bCs/>
                      <w:sz w:val="22"/>
                      <w:szCs w:val="22"/>
                      <w:lang w:val="en-US"/>
                    </w:rPr>
                  </w:pPr>
                  <w:r>
                    <w:rPr>
                      <w:rFonts w:cstheme="minorHAnsi"/>
                      <w:bCs/>
                      <w:sz w:val="22"/>
                      <w:szCs w:val="22"/>
                      <w:lang w:val="en-US"/>
                    </w:rPr>
                    <w:t>70%</w:t>
                  </w:r>
                </w:p>
              </w:tc>
            </w:tr>
          </w:tbl>
          <w:p w14:paraId="6043AD44" w14:textId="77777777" w:rsidR="003A41BE" w:rsidRPr="00841766" w:rsidRDefault="003A41BE" w:rsidP="00FD44CE">
            <w:pPr>
              <w:spacing w:line="276" w:lineRule="auto"/>
              <w:rPr>
                <w:rFonts w:cstheme="minorHAnsi"/>
                <w:sz w:val="22"/>
                <w:szCs w:val="22"/>
                <w:lang w:val="en-US"/>
              </w:rPr>
            </w:pPr>
            <w:r>
              <w:rPr>
                <w:rFonts w:cstheme="minorHAnsi"/>
                <w:sz w:val="22"/>
                <w:szCs w:val="22"/>
                <w:lang w:val="en-US"/>
              </w:rPr>
              <w:t xml:space="preserve">Data Source: DHS </w:t>
            </w:r>
          </w:p>
          <w:p w14:paraId="1F5B0364" w14:textId="77777777" w:rsidR="003A41BE" w:rsidRPr="00841766" w:rsidRDefault="003A41BE" w:rsidP="00FD44CE">
            <w:pPr>
              <w:spacing w:line="276" w:lineRule="auto"/>
              <w:rPr>
                <w:rFonts w:cstheme="minorHAnsi"/>
                <w:b/>
                <w:sz w:val="22"/>
                <w:szCs w:val="22"/>
                <w:lang w:val="en-US"/>
              </w:rPr>
            </w:pPr>
          </w:p>
        </w:tc>
        <w:tc>
          <w:tcPr>
            <w:tcW w:w="4513" w:type="dxa"/>
            <w:gridSpan w:val="2"/>
            <w:vMerge/>
          </w:tcPr>
          <w:p w14:paraId="019DC635"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6526E873" w14:textId="77777777" w:rsidTr="53E3C463">
        <w:trPr>
          <w:trHeight w:val="623"/>
        </w:trPr>
        <w:tc>
          <w:tcPr>
            <w:tcW w:w="4535" w:type="dxa"/>
            <w:gridSpan w:val="2"/>
            <w:vMerge/>
          </w:tcPr>
          <w:p w14:paraId="7DFA6B7D"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right w:val="single" w:sz="4" w:space="0" w:color="auto"/>
            </w:tcBorders>
            <w:shd w:val="clear" w:color="auto" w:fill="D9D9D9" w:themeFill="background1" w:themeFillShade="D9"/>
          </w:tcPr>
          <w:p w14:paraId="0AFA9782" w14:textId="77777777" w:rsidR="003A41BE" w:rsidRDefault="003A41BE" w:rsidP="00FD44CE">
            <w:pPr>
              <w:autoSpaceDE w:val="0"/>
              <w:autoSpaceDN w:val="0"/>
              <w:adjustRightInd w:val="0"/>
              <w:rPr>
                <w:rFonts w:cstheme="minorHAnsi"/>
                <w:sz w:val="22"/>
                <w:szCs w:val="22"/>
                <w:lang w:val="en-US"/>
              </w:rPr>
            </w:pPr>
            <w:r w:rsidRPr="00841766">
              <w:rPr>
                <w:rFonts w:cstheme="minorHAnsi"/>
                <w:b/>
                <w:sz w:val="22"/>
                <w:szCs w:val="22"/>
                <w:lang w:val="en-US"/>
              </w:rPr>
              <w:t>Indicator 4.3.</w:t>
            </w:r>
            <w:r>
              <w:rPr>
                <w:rFonts w:cstheme="minorHAnsi"/>
                <w:b/>
                <w:sz w:val="22"/>
                <w:szCs w:val="22"/>
                <w:lang w:val="en-US"/>
              </w:rPr>
              <w:t>3</w:t>
            </w:r>
            <w:r w:rsidRPr="00841766">
              <w:rPr>
                <w:rFonts w:cstheme="minorHAnsi"/>
                <w:b/>
                <w:sz w:val="22"/>
                <w:szCs w:val="22"/>
                <w:lang w:val="en-US"/>
              </w:rPr>
              <w:t xml:space="preserve">: </w:t>
            </w:r>
            <w:bookmarkStart w:id="169" w:name="_Hlk33013027"/>
            <w:r w:rsidRPr="00841766">
              <w:rPr>
                <w:rFonts w:cstheme="minorHAnsi"/>
                <w:sz w:val="22"/>
                <w:szCs w:val="22"/>
                <w:lang w:val="en-US"/>
              </w:rPr>
              <w:t xml:space="preserve">Proportion of the population with knowledge of key family and homecare practices </w:t>
            </w:r>
          </w:p>
          <w:tbl>
            <w:tblPr>
              <w:tblStyle w:val="TableGrid"/>
              <w:tblW w:w="0" w:type="auto"/>
              <w:tblLayout w:type="fixed"/>
              <w:tblLook w:val="04A0" w:firstRow="1" w:lastRow="0" w:firstColumn="1" w:lastColumn="0" w:noHBand="0" w:noVBand="1"/>
            </w:tblPr>
            <w:tblGrid>
              <w:gridCol w:w="3079"/>
              <w:gridCol w:w="1620"/>
            </w:tblGrid>
            <w:tr w:rsidR="003A41BE" w14:paraId="0F881D33" w14:textId="77777777" w:rsidTr="00FD44CE">
              <w:tc>
                <w:tcPr>
                  <w:tcW w:w="3079" w:type="dxa"/>
                </w:tcPr>
                <w:bookmarkEnd w:id="169"/>
                <w:p w14:paraId="4A93001C"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0478209F"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7BD2ACB1" w14:textId="77777777" w:rsidTr="00FD44CE">
              <w:tc>
                <w:tcPr>
                  <w:tcW w:w="3079" w:type="dxa"/>
                </w:tcPr>
                <w:p w14:paraId="73D4F229"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TLFNS 2020 to provide baseline</w:t>
                  </w:r>
                </w:p>
              </w:tc>
              <w:tc>
                <w:tcPr>
                  <w:tcW w:w="1620" w:type="dxa"/>
                </w:tcPr>
                <w:p w14:paraId="4B5AF76B" w14:textId="77777777" w:rsidR="003A41BE" w:rsidRPr="00DA2276" w:rsidRDefault="003A41BE" w:rsidP="002A37E3">
                  <w:pPr>
                    <w:framePr w:hSpace="141" w:wrap="around" w:vAnchor="text" w:hAnchor="text" w:x="421" w:y="1"/>
                    <w:suppressOverlap/>
                    <w:jc w:val="center"/>
                    <w:rPr>
                      <w:bCs/>
                      <w:sz w:val="22"/>
                      <w:szCs w:val="22"/>
                      <w:lang w:val="en-US"/>
                    </w:rPr>
                  </w:pPr>
                  <w:r>
                    <w:rPr>
                      <w:rFonts w:cstheme="minorHAnsi"/>
                      <w:bCs/>
                      <w:sz w:val="22"/>
                      <w:szCs w:val="22"/>
                      <w:lang w:val="en-US"/>
                    </w:rPr>
                    <w:t>80%</w:t>
                  </w:r>
                </w:p>
              </w:tc>
            </w:tr>
          </w:tbl>
          <w:p w14:paraId="5C3806EC" w14:textId="77777777" w:rsidR="003A41BE" w:rsidRPr="00841766" w:rsidRDefault="003A41BE" w:rsidP="00FD44CE">
            <w:pPr>
              <w:spacing w:line="276" w:lineRule="auto"/>
              <w:rPr>
                <w:rFonts w:cstheme="minorHAnsi"/>
                <w:b/>
                <w:sz w:val="22"/>
                <w:szCs w:val="22"/>
                <w:lang w:val="en-US"/>
              </w:rPr>
            </w:pPr>
            <w:r w:rsidRPr="003F4BC2">
              <w:rPr>
                <w:rFonts w:cstheme="minorHAnsi"/>
                <w:bCs/>
                <w:sz w:val="22"/>
                <w:szCs w:val="22"/>
                <w:lang w:val="en-US"/>
              </w:rPr>
              <w:t>Data Source: DHS</w:t>
            </w:r>
          </w:p>
        </w:tc>
        <w:tc>
          <w:tcPr>
            <w:tcW w:w="4513" w:type="dxa"/>
            <w:gridSpan w:val="2"/>
            <w:vMerge/>
          </w:tcPr>
          <w:p w14:paraId="6C6E790D"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6599904D" w14:textId="77777777" w:rsidTr="53E3C463">
        <w:trPr>
          <w:trHeight w:val="1349"/>
        </w:trPr>
        <w:tc>
          <w:tcPr>
            <w:tcW w:w="4535" w:type="dxa"/>
            <w:gridSpan w:val="2"/>
            <w:vMerge/>
          </w:tcPr>
          <w:p w14:paraId="20B06004"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043EF" w14:textId="77777777" w:rsidR="003A41BE" w:rsidRDefault="003A41BE" w:rsidP="00FD44CE">
            <w:pPr>
              <w:autoSpaceDE w:val="0"/>
              <w:autoSpaceDN w:val="0"/>
              <w:adjustRightInd w:val="0"/>
              <w:rPr>
                <w:rFonts w:cstheme="minorHAnsi"/>
                <w:sz w:val="22"/>
                <w:szCs w:val="22"/>
                <w:lang w:val="en-US"/>
              </w:rPr>
            </w:pPr>
            <w:r w:rsidRPr="00841766">
              <w:rPr>
                <w:rFonts w:cstheme="minorHAnsi"/>
                <w:b/>
                <w:sz w:val="22"/>
                <w:szCs w:val="22"/>
                <w:lang w:val="en-US"/>
              </w:rPr>
              <w:t>Indicator 4.3.</w:t>
            </w:r>
            <w:r>
              <w:rPr>
                <w:rFonts w:cstheme="minorHAnsi"/>
                <w:b/>
                <w:sz w:val="22"/>
                <w:szCs w:val="22"/>
                <w:lang w:val="en-US"/>
              </w:rPr>
              <w:t>4</w:t>
            </w:r>
            <w:r w:rsidRPr="00841766">
              <w:rPr>
                <w:rFonts w:cstheme="minorHAnsi"/>
                <w:b/>
                <w:sz w:val="22"/>
                <w:szCs w:val="22"/>
                <w:lang w:val="en-US"/>
              </w:rPr>
              <w:t xml:space="preserve">: </w:t>
            </w:r>
            <w:r w:rsidRPr="00841766">
              <w:rPr>
                <w:sz w:val="22"/>
                <w:szCs w:val="22"/>
                <w:lang w:val="en-US"/>
              </w:rPr>
              <w:t>Mortality from cardiovascular disease, cancer, diabetes or chronic respiratory disease (</w:t>
            </w:r>
            <w:r w:rsidRPr="00841766">
              <w:rPr>
                <w:rFonts w:eastAsia="Calibri" w:cs="Calibri"/>
                <w:sz w:val="22"/>
                <w:szCs w:val="22"/>
                <w:lang w:val="en-US"/>
              </w:rPr>
              <w:t xml:space="preserve">SDG </w:t>
            </w:r>
            <w:r>
              <w:rPr>
                <w:rFonts w:eastAsia="Calibri" w:cs="Calibri"/>
                <w:sz w:val="22"/>
                <w:szCs w:val="22"/>
                <w:lang w:val="en-US"/>
              </w:rPr>
              <w:t>I</w:t>
            </w:r>
            <w:r w:rsidRPr="00841766">
              <w:rPr>
                <w:rFonts w:eastAsia="Calibri" w:cs="Calibri"/>
                <w:sz w:val="22"/>
                <w:szCs w:val="22"/>
                <w:lang w:val="en-US"/>
              </w:rPr>
              <w:t xml:space="preserve">ndicator </w:t>
            </w:r>
            <w:r w:rsidRPr="00841766">
              <w:rPr>
                <w:sz w:val="22"/>
                <w:szCs w:val="22"/>
                <w:lang w:val="en-US"/>
              </w:rPr>
              <w:t xml:space="preserve">3.4.1) </w:t>
            </w:r>
            <w:r w:rsidRPr="00841766">
              <w:rPr>
                <w:rFonts w:cstheme="minorHAnsi"/>
                <w:sz w:val="22"/>
                <w:szCs w:val="22"/>
                <w:lang w:val="en-US"/>
              </w:rPr>
              <w:t>(Geographic disaggregation)</w:t>
            </w:r>
          </w:p>
          <w:tbl>
            <w:tblPr>
              <w:tblStyle w:val="TableGrid"/>
              <w:tblW w:w="0" w:type="auto"/>
              <w:tblLayout w:type="fixed"/>
              <w:tblLook w:val="04A0" w:firstRow="1" w:lastRow="0" w:firstColumn="1" w:lastColumn="0" w:noHBand="0" w:noVBand="1"/>
            </w:tblPr>
            <w:tblGrid>
              <w:gridCol w:w="1510"/>
              <w:gridCol w:w="1620"/>
            </w:tblGrid>
            <w:tr w:rsidR="003A41BE" w14:paraId="6CD63A7F" w14:textId="77777777" w:rsidTr="00FD44CE">
              <w:tc>
                <w:tcPr>
                  <w:tcW w:w="1510" w:type="dxa"/>
                </w:tcPr>
                <w:p w14:paraId="6D1AF06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3D86862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7446FAB8" w14:textId="77777777" w:rsidTr="00FD44CE">
              <w:tc>
                <w:tcPr>
                  <w:tcW w:w="1510" w:type="dxa"/>
                </w:tcPr>
                <w:p w14:paraId="718F0548"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19.9 (2018)</w:t>
                  </w:r>
                </w:p>
              </w:tc>
              <w:tc>
                <w:tcPr>
                  <w:tcW w:w="1620" w:type="dxa"/>
                </w:tcPr>
                <w:p w14:paraId="16CA91C5" w14:textId="77777777" w:rsidR="003A41BE" w:rsidRPr="00DA2276" w:rsidRDefault="003A41BE" w:rsidP="002A37E3">
                  <w:pPr>
                    <w:framePr w:hSpace="141" w:wrap="around" w:vAnchor="text" w:hAnchor="text" w:x="421" w:y="1"/>
                    <w:suppressOverlap/>
                    <w:jc w:val="center"/>
                    <w:rPr>
                      <w:bCs/>
                      <w:sz w:val="22"/>
                      <w:szCs w:val="22"/>
                      <w:lang w:val="en-US"/>
                    </w:rPr>
                  </w:pPr>
                  <w:r w:rsidRPr="00841766">
                    <w:rPr>
                      <w:rFonts w:cstheme="minorHAnsi"/>
                      <w:sz w:val="22"/>
                      <w:szCs w:val="22"/>
                      <w:lang w:val="en-US"/>
                    </w:rPr>
                    <w:t>&lt;</w:t>
                  </w:r>
                  <w:r>
                    <w:rPr>
                      <w:rFonts w:cstheme="minorHAnsi"/>
                      <w:sz w:val="22"/>
                      <w:szCs w:val="22"/>
                      <w:lang w:val="en-US"/>
                    </w:rPr>
                    <w:t>16</w:t>
                  </w:r>
                </w:p>
              </w:tc>
            </w:tr>
          </w:tbl>
          <w:p w14:paraId="620D61F9" w14:textId="77777777" w:rsidR="003A41BE" w:rsidRPr="00841766" w:rsidRDefault="003A41BE" w:rsidP="00FD44CE">
            <w:pPr>
              <w:autoSpaceDE w:val="0"/>
              <w:autoSpaceDN w:val="0"/>
              <w:adjustRightInd w:val="0"/>
              <w:rPr>
                <w:rFonts w:cstheme="minorHAnsi"/>
                <w:b/>
                <w:sz w:val="22"/>
                <w:szCs w:val="22"/>
                <w:lang w:val="en-US"/>
              </w:rPr>
            </w:pPr>
            <w:r w:rsidRPr="003F4BC2">
              <w:rPr>
                <w:rFonts w:cstheme="minorHAnsi"/>
                <w:bCs/>
                <w:sz w:val="22"/>
                <w:szCs w:val="22"/>
                <w:lang w:val="en-US"/>
              </w:rPr>
              <w:t xml:space="preserve">Data Source: </w:t>
            </w:r>
            <w:r w:rsidRPr="006D53F4">
              <w:rPr>
                <w:rFonts w:cstheme="minorHAnsi"/>
                <w:bCs/>
                <w:sz w:val="22"/>
                <w:szCs w:val="22"/>
                <w:lang w:val="en-US"/>
              </w:rPr>
              <w:t xml:space="preserve">STEPS survey, </w:t>
            </w:r>
            <w:r w:rsidRPr="00715FF4">
              <w:rPr>
                <w:rFonts w:cstheme="minorHAnsi"/>
                <w:bCs/>
                <w:sz w:val="22"/>
                <w:szCs w:val="22"/>
                <w:lang w:val="en-US"/>
              </w:rPr>
              <w:t xml:space="preserve">JMP </w:t>
            </w:r>
          </w:p>
          <w:p w14:paraId="3674747C" w14:textId="77777777" w:rsidR="003A41BE" w:rsidRPr="00841766" w:rsidRDefault="003A41BE" w:rsidP="00FD44CE">
            <w:pPr>
              <w:autoSpaceDE w:val="0"/>
              <w:autoSpaceDN w:val="0"/>
              <w:adjustRightInd w:val="0"/>
              <w:rPr>
                <w:rFonts w:cstheme="minorHAnsi"/>
                <w:b/>
                <w:sz w:val="22"/>
                <w:szCs w:val="22"/>
                <w:lang w:val="en-US"/>
              </w:rPr>
            </w:pPr>
          </w:p>
        </w:tc>
        <w:tc>
          <w:tcPr>
            <w:tcW w:w="4513" w:type="dxa"/>
            <w:gridSpan w:val="2"/>
            <w:vMerge/>
          </w:tcPr>
          <w:p w14:paraId="2CA58985"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640F28FD" w14:textId="77777777" w:rsidTr="53E3C463">
        <w:trPr>
          <w:trHeight w:val="1349"/>
        </w:trPr>
        <w:tc>
          <w:tcPr>
            <w:tcW w:w="4535" w:type="dxa"/>
            <w:gridSpan w:val="2"/>
            <w:vMerge/>
          </w:tcPr>
          <w:p w14:paraId="4F41C3C5"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048B1" w14:textId="77777777" w:rsidR="003A41BE" w:rsidRDefault="003A41BE" w:rsidP="00FD44CE">
            <w:pPr>
              <w:rPr>
                <w:rFonts w:cstheme="minorHAnsi"/>
                <w:sz w:val="22"/>
                <w:szCs w:val="22"/>
                <w:lang w:val="en-US"/>
              </w:rPr>
            </w:pPr>
            <w:r w:rsidRPr="00841766">
              <w:rPr>
                <w:rFonts w:cstheme="minorHAnsi"/>
                <w:b/>
                <w:sz w:val="22"/>
                <w:szCs w:val="22"/>
                <w:lang w:val="en-US"/>
              </w:rPr>
              <w:t>Indicator 4.3.</w:t>
            </w:r>
            <w:r>
              <w:rPr>
                <w:rFonts w:cstheme="minorHAnsi"/>
                <w:b/>
                <w:sz w:val="22"/>
                <w:szCs w:val="22"/>
                <w:lang w:val="en-US"/>
              </w:rPr>
              <w:t>5</w:t>
            </w:r>
            <w:r w:rsidRPr="00841766">
              <w:rPr>
                <w:rFonts w:cstheme="minorHAnsi"/>
                <w:b/>
                <w:sz w:val="22"/>
                <w:szCs w:val="22"/>
                <w:lang w:val="en-US"/>
              </w:rPr>
              <w:t xml:space="preserve">: </w:t>
            </w:r>
            <w:r w:rsidRPr="00841766">
              <w:rPr>
                <w:rFonts w:cstheme="minorHAnsi"/>
                <w:sz w:val="22"/>
                <w:szCs w:val="22"/>
                <w:lang w:val="en-US"/>
              </w:rPr>
              <w:t>Age-standardized prevalence of current tobacco use among persons aged 15 years and older (Geographic disaggregation)</w:t>
            </w:r>
          </w:p>
          <w:tbl>
            <w:tblPr>
              <w:tblStyle w:val="TableGrid"/>
              <w:tblW w:w="0" w:type="auto"/>
              <w:tblLayout w:type="fixed"/>
              <w:tblLook w:val="04A0" w:firstRow="1" w:lastRow="0" w:firstColumn="1" w:lastColumn="0" w:noHBand="0" w:noVBand="1"/>
            </w:tblPr>
            <w:tblGrid>
              <w:gridCol w:w="1510"/>
              <w:gridCol w:w="2745"/>
            </w:tblGrid>
            <w:tr w:rsidR="003A41BE" w14:paraId="2A23FD1C" w14:textId="77777777" w:rsidTr="00FD44CE">
              <w:tc>
                <w:tcPr>
                  <w:tcW w:w="1510" w:type="dxa"/>
                </w:tcPr>
                <w:p w14:paraId="0AF165E7"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2745" w:type="dxa"/>
                </w:tcPr>
                <w:p w14:paraId="69DEF9DA"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4CDBFE17" w14:textId="77777777" w:rsidTr="00FD44CE">
              <w:tc>
                <w:tcPr>
                  <w:tcW w:w="1510" w:type="dxa"/>
                </w:tcPr>
                <w:p w14:paraId="41B1D7A4"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56.1%</w:t>
                  </w:r>
                </w:p>
              </w:tc>
              <w:tc>
                <w:tcPr>
                  <w:tcW w:w="2745" w:type="dxa"/>
                </w:tcPr>
                <w:p w14:paraId="5EAA7875" w14:textId="77777777" w:rsidR="003A41BE" w:rsidRPr="00DA2276" w:rsidRDefault="003A41BE" w:rsidP="002A37E3">
                  <w:pPr>
                    <w:framePr w:hSpace="141" w:wrap="around" w:vAnchor="text" w:hAnchor="text" w:x="421" w:y="1"/>
                    <w:suppressOverlap/>
                    <w:jc w:val="center"/>
                    <w:rPr>
                      <w:bCs/>
                      <w:sz w:val="22"/>
                      <w:szCs w:val="22"/>
                      <w:lang w:val="en-US"/>
                    </w:rPr>
                  </w:pPr>
                  <w:r>
                    <w:rPr>
                      <w:rFonts w:cstheme="minorHAnsi"/>
                      <w:sz w:val="22"/>
                      <w:szCs w:val="22"/>
                      <w:lang w:val="en-US"/>
                    </w:rPr>
                    <w:t>Reduction by half</w:t>
                  </w:r>
                </w:p>
              </w:tc>
            </w:tr>
          </w:tbl>
          <w:p w14:paraId="2EAF8D2D" w14:textId="77777777" w:rsidR="003A41BE" w:rsidRPr="00841766" w:rsidRDefault="003A41BE" w:rsidP="00FD44CE">
            <w:pPr>
              <w:rPr>
                <w:rFonts w:cstheme="minorHAnsi"/>
                <w:sz w:val="22"/>
                <w:szCs w:val="22"/>
                <w:lang w:val="en-US"/>
              </w:rPr>
            </w:pPr>
            <w:r w:rsidRPr="003F4BC2">
              <w:rPr>
                <w:rFonts w:cstheme="minorHAnsi"/>
                <w:bCs/>
                <w:sz w:val="22"/>
                <w:szCs w:val="22"/>
                <w:lang w:val="en-US"/>
              </w:rPr>
              <w:t>Data Source:</w:t>
            </w:r>
            <w:r w:rsidRPr="00841766">
              <w:rPr>
                <w:rFonts w:cstheme="minorHAnsi"/>
                <w:b/>
                <w:sz w:val="22"/>
                <w:szCs w:val="22"/>
                <w:lang w:val="en-US"/>
              </w:rPr>
              <w:t xml:space="preserve"> </w:t>
            </w:r>
            <w:r w:rsidRPr="00841766">
              <w:rPr>
                <w:rFonts w:cstheme="minorHAnsi"/>
                <w:sz w:val="22"/>
                <w:szCs w:val="22"/>
                <w:lang w:val="en-US"/>
              </w:rPr>
              <w:t>STEPS survey</w:t>
            </w:r>
          </w:p>
          <w:p w14:paraId="1FC7C281" w14:textId="77777777" w:rsidR="003A41BE" w:rsidRPr="00841766" w:rsidRDefault="003A41BE" w:rsidP="00FD44CE">
            <w:pPr>
              <w:autoSpaceDE w:val="0"/>
              <w:autoSpaceDN w:val="0"/>
              <w:adjustRightInd w:val="0"/>
              <w:rPr>
                <w:rFonts w:cstheme="minorHAnsi"/>
                <w:b/>
                <w:sz w:val="22"/>
                <w:szCs w:val="22"/>
                <w:lang w:val="en-US"/>
              </w:rPr>
            </w:pPr>
          </w:p>
        </w:tc>
        <w:tc>
          <w:tcPr>
            <w:tcW w:w="4513" w:type="dxa"/>
            <w:gridSpan w:val="2"/>
            <w:vMerge/>
          </w:tcPr>
          <w:p w14:paraId="4D7D8975"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490516CA" w14:textId="77777777" w:rsidTr="53E3C463">
        <w:trPr>
          <w:trHeight w:val="361"/>
        </w:trPr>
        <w:tc>
          <w:tcPr>
            <w:tcW w:w="4535" w:type="dxa"/>
            <w:gridSpan w:val="2"/>
            <w:vMerge/>
          </w:tcPr>
          <w:p w14:paraId="34A469CC"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B8290" w14:textId="77777777" w:rsidR="003A41BE" w:rsidRPr="002A7985" w:rsidRDefault="003A41BE" w:rsidP="00FD44CE">
            <w:pPr>
              <w:autoSpaceDE w:val="0"/>
              <w:autoSpaceDN w:val="0"/>
              <w:adjustRightInd w:val="0"/>
              <w:rPr>
                <w:rFonts w:cstheme="minorHAnsi"/>
                <w:sz w:val="22"/>
                <w:szCs w:val="22"/>
                <w:lang w:val="en-US"/>
              </w:rPr>
            </w:pPr>
            <w:bookmarkStart w:id="170" w:name="_Hlk26195010"/>
            <w:r w:rsidRPr="002A7985">
              <w:rPr>
                <w:rFonts w:cstheme="minorHAnsi"/>
                <w:b/>
                <w:sz w:val="22"/>
                <w:szCs w:val="22"/>
                <w:lang w:val="en-US"/>
              </w:rPr>
              <w:t>Indicator 4.3.</w:t>
            </w:r>
            <w:r>
              <w:rPr>
                <w:rFonts w:cstheme="minorHAnsi"/>
                <w:b/>
                <w:sz w:val="22"/>
                <w:szCs w:val="22"/>
                <w:lang w:val="en-US"/>
              </w:rPr>
              <w:t>6</w:t>
            </w:r>
            <w:r w:rsidRPr="002A7985">
              <w:rPr>
                <w:rFonts w:cstheme="minorHAnsi"/>
                <w:b/>
                <w:sz w:val="22"/>
                <w:szCs w:val="22"/>
                <w:lang w:val="en-US"/>
              </w:rPr>
              <w:t xml:space="preserve">: </w:t>
            </w:r>
            <w:bookmarkEnd w:id="170"/>
            <w:r>
              <w:rPr>
                <w:rFonts w:cstheme="minorHAnsi"/>
                <w:sz w:val="22"/>
                <w:szCs w:val="22"/>
                <w:lang w:val="en-US"/>
              </w:rPr>
              <w:t>Percent</w:t>
            </w:r>
            <w:r w:rsidRPr="002A7985">
              <w:rPr>
                <w:rFonts w:cstheme="minorHAnsi"/>
                <w:sz w:val="22"/>
                <w:szCs w:val="22"/>
                <w:lang w:val="en-US"/>
              </w:rPr>
              <w:t xml:space="preserve"> of adult population (18-69 years old) who engage in the heavy episodic drinking (6 or more drinks on any occasion in the past 30 days before the survey) (Geographic disaggregation)</w:t>
            </w:r>
          </w:p>
          <w:tbl>
            <w:tblPr>
              <w:tblStyle w:val="TableGrid"/>
              <w:tblW w:w="5124" w:type="dxa"/>
              <w:tblLayout w:type="fixed"/>
              <w:tblLook w:val="04A0" w:firstRow="1" w:lastRow="0" w:firstColumn="1" w:lastColumn="0" w:noHBand="0" w:noVBand="1"/>
            </w:tblPr>
            <w:tblGrid>
              <w:gridCol w:w="932"/>
              <w:gridCol w:w="1510"/>
              <w:gridCol w:w="2682"/>
            </w:tblGrid>
            <w:tr w:rsidR="003A41BE" w:rsidRPr="002A7985" w14:paraId="65C8C31B" w14:textId="77777777" w:rsidTr="00FD44CE">
              <w:tc>
                <w:tcPr>
                  <w:tcW w:w="932" w:type="dxa"/>
                </w:tcPr>
                <w:p w14:paraId="774CA4C7" w14:textId="77777777" w:rsidR="003A41BE" w:rsidRPr="002A7985" w:rsidRDefault="003A41BE" w:rsidP="002A37E3">
                  <w:pPr>
                    <w:framePr w:hSpace="141" w:wrap="around" w:vAnchor="text" w:hAnchor="text" w:x="421" w:y="1"/>
                    <w:suppressOverlap/>
                    <w:jc w:val="center"/>
                    <w:rPr>
                      <w:sz w:val="22"/>
                      <w:szCs w:val="22"/>
                      <w:lang w:val="en-US"/>
                    </w:rPr>
                  </w:pPr>
                </w:p>
              </w:tc>
              <w:tc>
                <w:tcPr>
                  <w:tcW w:w="1510" w:type="dxa"/>
                </w:tcPr>
                <w:p w14:paraId="525A57A9"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Baseline</w:t>
                  </w:r>
                </w:p>
              </w:tc>
              <w:tc>
                <w:tcPr>
                  <w:tcW w:w="2682" w:type="dxa"/>
                </w:tcPr>
                <w:p w14:paraId="6EE1C17D"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Target</w:t>
                  </w:r>
                </w:p>
              </w:tc>
            </w:tr>
            <w:tr w:rsidR="003A41BE" w:rsidRPr="002A7985" w14:paraId="3442DEF9" w14:textId="77777777" w:rsidTr="00FD44CE">
              <w:tc>
                <w:tcPr>
                  <w:tcW w:w="932" w:type="dxa"/>
                </w:tcPr>
                <w:p w14:paraId="61F1D5D2" w14:textId="77777777" w:rsidR="003A41BE" w:rsidRPr="002A7985" w:rsidRDefault="003A41BE" w:rsidP="002A37E3">
                  <w:pPr>
                    <w:framePr w:hSpace="141" w:wrap="around" w:vAnchor="text" w:hAnchor="text" w:x="421" w:y="1"/>
                    <w:suppressOverlap/>
                    <w:jc w:val="center"/>
                    <w:rPr>
                      <w:sz w:val="22"/>
                      <w:szCs w:val="22"/>
                      <w:lang w:val="en-US"/>
                    </w:rPr>
                  </w:pPr>
                  <w:r>
                    <w:rPr>
                      <w:sz w:val="22"/>
                      <w:szCs w:val="22"/>
                      <w:lang w:val="en-US"/>
                    </w:rPr>
                    <w:t>All</w:t>
                  </w:r>
                </w:p>
              </w:tc>
              <w:tc>
                <w:tcPr>
                  <w:tcW w:w="1510" w:type="dxa"/>
                </w:tcPr>
                <w:p w14:paraId="15A4D287"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14.5%</w:t>
                  </w:r>
                </w:p>
              </w:tc>
              <w:tc>
                <w:tcPr>
                  <w:tcW w:w="2682" w:type="dxa"/>
                </w:tcPr>
                <w:p w14:paraId="6F2D3478" w14:textId="77777777" w:rsidR="003A41BE" w:rsidRPr="002A7985" w:rsidRDefault="003A41BE" w:rsidP="002A37E3">
                  <w:pPr>
                    <w:framePr w:hSpace="141" w:wrap="around" w:vAnchor="text" w:hAnchor="text" w:x="421" w:y="1"/>
                    <w:suppressOverlap/>
                    <w:jc w:val="center"/>
                    <w:rPr>
                      <w:bCs/>
                      <w:sz w:val="22"/>
                      <w:szCs w:val="22"/>
                      <w:lang w:val="en-US"/>
                    </w:rPr>
                  </w:pPr>
                  <w:r w:rsidRPr="002A7985">
                    <w:rPr>
                      <w:bCs/>
                      <w:sz w:val="22"/>
                      <w:szCs w:val="22"/>
                      <w:lang w:val="en-US"/>
                    </w:rPr>
                    <w:t>10% relative reduction</w:t>
                  </w:r>
                </w:p>
              </w:tc>
            </w:tr>
            <w:tr w:rsidR="003A41BE" w:rsidRPr="002A7985" w14:paraId="698ED742" w14:textId="77777777" w:rsidTr="00FD44CE">
              <w:tc>
                <w:tcPr>
                  <w:tcW w:w="932" w:type="dxa"/>
                </w:tcPr>
                <w:p w14:paraId="0470C835"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Male</w:t>
                  </w:r>
                </w:p>
              </w:tc>
              <w:tc>
                <w:tcPr>
                  <w:tcW w:w="1510" w:type="dxa"/>
                </w:tcPr>
                <w:p w14:paraId="75BD533F" w14:textId="77777777" w:rsidR="003A41BE" w:rsidRPr="002A7985" w:rsidRDefault="003A41BE" w:rsidP="002A37E3">
                  <w:pPr>
                    <w:framePr w:hSpace="141" w:wrap="around" w:vAnchor="text" w:hAnchor="text" w:x="421" w:y="1"/>
                    <w:suppressOverlap/>
                    <w:jc w:val="center"/>
                    <w:rPr>
                      <w:sz w:val="22"/>
                      <w:szCs w:val="22"/>
                      <w:lang w:val="en-US"/>
                    </w:rPr>
                  </w:pPr>
                  <w:r>
                    <w:rPr>
                      <w:sz w:val="22"/>
                      <w:szCs w:val="22"/>
                      <w:lang w:val="en-US"/>
                    </w:rPr>
                    <w:t>21.8%</w:t>
                  </w:r>
                </w:p>
              </w:tc>
              <w:tc>
                <w:tcPr>
                  <w:tcW w:w="2682" w:type="dxa"/>
                </w:tcPr>
                <w:p w14:paraId="7B2F885A" w14:textId="77777777" w:rsidR="003A41BE" w:rsidRPr="002A7985" w:rsidRDefault="003A41BE" w:rsidP="002A37E3">
                  <w:pPr>
                    <w:framePr w:hSpace="141" w:wrap="around" w:vAnchor="text" w:hAnchor="text" w:x="421" w:y="1"/>
                    <w:suppressOverlap/>
                    <w:jc w:val="center"/>
                    <w:rPr>
                      <w:bCs/>
                      <w:sz w:val="22"/>
                      <w:szCs w:val="22"/>
                      <w:lang w:val="en-US"/>
                    </w:rPr>
                  </w:pPr>
                  <w:r w:rsidRPr="002A7985">
                    <w:rPr>
                      <w:bCs/>
                      <w:sz w:val="22"/>
                      <w:szCs w:val="22"/>
                      <w:lang w:val="en-US"/>
                    </w:rPr>
                    <w:t>10% relative reduction</w:t>
                  </w:r>
                </w:p>
              </w:tc>
            </w:tr>
            <w:tr w:rsidR="003A41BE" w:rsidRPr="002A7985" w14:paraId="38C8EB84" w14:textId="77777777" w:rsidTr="00FD44CE">
              <w:tc>
                <w:tcPr>
                  <w:tcW w:w="932" w:type="dxa"/>
                </w:tcPr>
                <w:p w14:paraId="27E4F4D7"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Female</w:t>
                  </w:r>
                </w:p>
              </w:tc>
              <w:tc>
                <w:tcPr>
                  <w:tcW w:w="1510" w:type="dxa"/>
                </w:tcPr>
                <w:p w14:paraId="1591AB3C"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1%</w:t>
                  </w:r>
                </w:p>
              </w:tc>
              <w:tc>
                <w:tcPr>
                  <w:tcW w:w="2682" w:type="dxa"/>
                </w:tcPr>
                <w:p w14:paraId="1062C915" w14:textId="77777777" w:rsidR="003A41BE" w:rsidRPr="002A7985" w:rsidRDefault="003A41BE" w:rsidP="002A37E3">
                  <w:pPr>
                    <w:framePr w:hSpace="141" w:wrap="around" w:vAnchor="text" w:hAnchor="text" w:x="421" w:y="1"/>
                    <w:suppressOverlap/>
                    <w:jc w:val="center"/>
                    <w:rPr>
                      <w:bCs/>
                      <w:sz w:val="22"/>
                      <w:szCs w:val="22"/>
                      <w:lang w:val="en-US"/>
                    </w:rPr>
                  </w:pPr>
                  <w:r w:rsidRPr="002A7985">
                    <w:rPr>
                      <w:bCs/>
                      <w:sz w:val="22"/>
                      <w:szCs w:val="22"/>
                      <w:lang w:val="en-US"/>
                    </w:rPr>
                    <w:t>10% relative reduction</w:t>
                  </w:r>
                </w:p>
              </w:tc>
            </w:tr>
          </w:tbl>
          <w:p w14:paraId="0F000C56" w14:textId="77777777" w:rsidR="003A41BE" w:rsidRPr="002A7985" w:rsidRDefault="003A41BE" w:rsidP="00FD44CE">
            <w:pPr>
              <w:autoSpaceDE w:val="0"/>
              <w:autoSpaceDN w:val="0"/>
              <w:adjustRightInd w:val="0"/>
              <w:rPr>
                <w:rFonts w:cstheme="minorHAnsi"/>
                <w:b/>
                <w:sz w:val="22"/>
                <w:szCs w:val="22"/>
                <w:lang w:val="en-US"/>
              </w:rPr>
            </w:pPr>
            <w:r w:rsidRPr="002A7985">
              <w:rPr>
                <w:rFonts w:cstheme="minorHAnsi"/>
                <w:bCs/>
                <w:sz w:val="22"/>
                <w:szCs w:val="22"/>
                <w:lang w:val="en-US"/>
              </w:rPr>
              <w:t>Data Source: STEPS survey</w:t>
            </w:r>
          </w:p>
          <w:p w14:paraId="0FE5E981" w14:textId="77777777" w:rsidR="003A41BE" w:rsidRPr="002A7985" w:rsidRDefault="003A41BE" w:rsidP="00FD44CE">
            <w:pPr>
              <w:autoSpaceDE w:val="0"/>
              <w:autoSpaceDN w:val="0"/>
              <w:adjustRightInd w:val="0"/>
              <w:rPr>
                <w:rFonts w:cstheme="minorHAnsi"/>
                <w:sz w:val="22"/>
                <w:szCs w:val="22"/>
                <w:lang w:val="en-US"/>
              </w:rPr>
            </w:pPr>
          </w:p>
        </w:tc>
        <w:tc>
          <w:tcPr>
            <w:tcW w:w="4513" w:type="dxa"/>
            <w:gridSpan w:val="2"/>
            <w:vMerge/>
          </w:tcPr>
          <w:p w14:paraId="023BBE6D"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5535EFBE" w14:textId="77777777" w:rsidTr="53E3C463">
        <w:trPr>
          <w:trHeight w:val="256"/>
        </w:trPr>
        <w:tc>
          <w:tcPr>
            <w:tcW w:w="4535" w:type="dxa"/>
            <w:gridSpan w:val="2"/>
            <w:vMerge/>
          </w:tcPr>
          <w:p w14:paraId="63483041"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01B88" w14:textId="77777777" w:rsidR="003A41BE" w:rsidRPr="002A7985" w:rsidRDefault="003A41BE" w:rsidP="00FD44CE">
            <w:pPr>
              <w:autoSpaceDE w:val="0"/>
              <w:autoSpaceDN w:val="0"/>
              <w:adjustRightInd w:val="0"/>
              <w:rPr>
                <w:rFonts w:cstheme="minorHAnsi"/>
                <w:sz w:val="22"/>
                <w:szCs w:val="22"/>
                <w:lang w:val="en-US"/>
              </w:rPr>
            </w:pPr>
            <w:r w:rsidRPr="002A7985">
              <w:rPr>
                <w:rFonts w:cstheme="minorHAnsi"/>
                <w:b/>
                <w:sz w:val="22"/>
                <w:szCs w:val="22"/>
                <w:lang w:val="en-US"/>
              </w:rPr>
              <w:t>Indicator 4.3.</w:t>
            </w:r>
            <w:r>
              <w:rPr>
                <w:rFonts w:cstheme="minorHAnsi"/>
                <w:b/>
                <w:sz w:val="22"/>
                <w:szCs w:val="22"/>
                <w:lang w:val="en-US"/>
              </w:rPr>
              <w:t>7</w:t>
            </w:r>
            <w:r w:rsidRPr="002A7985">
              <w:rPr>
                <w:rFonts w:cstheme="minorHAnsi"/>
                <w:b/>
                <w:sz w:val="22"/>
                <w:szCs w:val="22"/>
                <w:lang w:val="en-US"/>
              </w:rPr>
              <w:t xml:space="preserve">: </w:t>
            </w:r>
            <w:r>
              <w:rPr>
                <w:rFonts w:cstheme="minorHAnsi"/>
                <w:sz w:val="22"/>
                <w:szCs w:val="22"/>
                <w:lang w:val="en-US"/>
              </w:rPr>
              <w:t>Percent</w:t>
            </w:r>
            <w:r w:rsidRPr="002A7985">
              <w:rPr>
                <w:rFonts w:cstheme="minorHAnsi"/>
                <w:sz w:val="22"/>
                <w:szCs w:val="22"/>
                <w:lang w:val="en-US"/>
              </w:rPr>
              <w:t xml:space="preserve"> of students 13-17 years old who currently drank alcohol (at least one drink of alcohol on at least one day during the 30 days before the survey) disaggregated by gender</w:t>
            </w:r>
          </w:p>
          <w:tbl>
            <w:tblPr>
              <w:tblStyle w:val="TableGrid"/>
              <w:tblW w:w="0" w:type="auto"/>
              <w:tblLayout w:type="fixed"/>
              <w:tblLook w:val="04A0" w:firstRow="1" w:lastRow="0" w:firstColumn="1" w:lastColumn="0" w:noHBand="0" w:noVBand="1"/>
            </w:tblPr>
            <w:tblGrid>
              <w:gridCol w:w="932"/>
              <w:gridCol w:w="1510"/>
              <w:gridCol w:w="2720"/>
            </w:tblGrid>
            <w:tr w:rsidR="003A41BE" w:rsidRPr="002A7985" w14:paraId="5AAB874A" w14:textId="77777777" w:rsidTr="00FD44CE">
              <w:tc>
                <w:tcPr>
                  <w:tcW w:w="932" w:type="dxa"/>
                </w:tcPr>
                <w:p w14:paraId="5EDD1C27" w14:textId="77777777" w:rsidR="003A41BE" w:rsidRPr="002A7985" w:rsidRDefault="003A41BE" w:rsidP="002A37E3">
                  <w:pPr>
                    <w:framePr w:hSpace="141" w:wrap="around" w:vAnchor="text" w:hAnchor="text" w:x="421" w:y="1"/>
                    <w:suppressOverlap/>
                    <w:jc w:val="center"/>
                    <w:rPr>
                      <w:sz w:val="22"/>
                      <w:szCs w:val="22"/>
                      <w:lang w:val="en-US"/>
                    </w:rPr>
                  </w:pPr>
                </w:p>
              </w:tc>
              <w:tc>
                <w:tcPr>
                  <w:tcW w:w="1510" w:type="dxa"/>
                </w:tcPr>
                <w:p w14:paraId="638DE5A6"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Baseline</w:t>
                  </w:r>
                </w:p>
              </w:tc>
              <w:tc>
                <w:tcPr>
                  <w:tcW w:w="2720" w:type="dxa"/>
                </w:tcPr>
                <w:p w14:paraId="55AFF735"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Target</w:t>
                  </w:r>
                </w:p>
              </w:tc>
            </w:tr>
            <w:tr w:rsidR="003A41BE" w:rsidRPr="002A7985" w14:paraId="225DF1B3" w14:textId="77777777" w:rsidTr="00FD44CE">
              <w:tc>
                <w:tcPr>
                  <w:tcW w:w="932" w:type="dxa"/>
                </w:tcPr>
                <w:p w14:paraId="01721653" w14:textId="77777777" w:rsidR="003A41BE" w:rsidRPr="002A7985" w:rsidRDefault="003A41BE" w:rsidP="002A37E3">
                  <w:pPr>
                    <w:framePr w:hSpace="141" w:wrap="around" w:vAnchor="text" w:hAnchor="text" w:x="421" w:y="1"/>
                    <w:suppressOverlap/>
                    <w:jc w:val="center"/>
                    <w:rPr>
                      <w:sz w:val="22"/>
                      <w:szCs w:val="22"/>
                      <w:lang w:val="en-US"/>
                    </w:rPr>
                  </w:pPr>
                  <w:r>
                    <w:rPr>
                      <w:sz w:val="22"/>
                      <w:szCs w:val="22"/>
                      <w:lang w:val="en-US"/>
                    </w:rPr>
                    <w:t>All</w:t>
                  </w:r>
                </w:p>
              </w:tc>
              <w:tc>
                <w:tcPr>
                  <w:tcW w:w="1510" w:type="dxa"/>
                </w:tcPr>
                <w:p w14:paraId="10CF2BF9"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15.7%</w:t>
                  </w:r>
                </w:p>
              </w:tc>
              <w:tc>
                <w:tcPr>
                  <w:tcW w:w="2720" w:type="dxa"/>
                </w:tcPr>
                <w:p w14:paraId="76D69D50" w14:textId="77777777" w:rsidR="003A41BE" w:rsidRPr="002A7985" w:rsidRDefault="003A41BE" w:rsidP="002A37E3">
                  <w:pPr>
                    <w:framePr w:hSpace="141" w:wrap="around" w:vAnchor="text" w:hAnchor="text" w:x="421" w:y="1"/>
                    <w:suppressOverlap/>
                    <w:jc w:val="center"/>
                    <w:rPr>
                      <w:bCs/>
                      <w:sz w:val="22"/>
                      <w:szCs w:val="22"/>
                      <w:lang w:val="en-US"/>
                    </w:rPr>
                  </w:pPr>
                  <w:r w:rsidRPr="002A7985">
                    <w:rPr>
                      <w:bCs/>
                      <w:sz w:val="22"/>
                      <w:szCs w:val="22"/>
                      <w:lang w:val="en-US"/>
                    </w:rPr>
                    <w:t>20% relative reduction</w:t>
                  </w:r>
                </w:p>
              </w:tc>
            </w:tr>
            <w:tr w:rsidR="003A41BE" w:rsidRPr="002A7985" w14:paraId="779851CD" w14:textId="77777777" w:rsidTr="00FD44CE">
              <w:tc>
                <w:tcPr>
                  <w:tcW w:w="932" w:type="dxa"/>
                </w:tcPr>
                <w:p w14:paraId="090E23FE" w14:textId="77777777" w:rsidR="003A41BE" w:rsidRPr="002A7985" w:rsidDel="00C4559C" w:rsidRDefault="003A41BE" w:rsidP="002A37E3">
                  <w:pPr>
                    <w:framePr w:hSpace="141" w:wrap="around" w:vAnchor="text" w:hAnchor="text" w:x="421" w:y="1"/>
                    <w:suppressOverlap/>
                    <w:jc w:val="center"/>
                    <w:rPr>
                      <w:sz w:val="22"/>
                      <w:szCs w:val="22"/>
                      <w:lang w:val="en-US"/>
                    </w:rPr>
                  </w:pPr>
                  <w:r>
                    <w:rPr>
                      <w:sz w:val="22"/>
                      <w:szCs w:val="22"/>
                      <w:lang w:val="en-US"/>
                    </w:rPr>
                    <w:t>Male</w:t>
                  </w:r>
                </w:p>
              </w:tc>
              <w:tc>
                <w:tcPr>
                  <w:tcW w:w="1510" w:type="dxa"/>
                </w:tcPr>
                <w:p w14:paraId="7E877114" w14:textId="77777777" w:rsidR="003A41BE" w:rsidRPr="002A7985" w:rsidRDefault="003A41BE" w:rsidP="002A37E3">
                  <w:pPr>
                    <w:framePr w:hSpace="141" w:wrap="around" w:vAnchor="text" w:hAnchor="text" w:x="421" w:y="1"/>
                    <w:suppressOverlap/>
                    <w:jc w:val="center"/>
                    <w:rPr>
                      <w:sz w:val="22"/>
                      <w:szCs w:val="22"/>
                      <w:lang w:val="en-US"/>
                    </w:rPr>
                  </w:pPr>
                  <w:r>
                    <w:rPr>
                      <w:sz w:val="22"/>
                      <w:szCs w:val="22"/>
                      <w:lang w:val="en-US"/>
                    </w:rPr>
                    <w:t>21.5%</w:t>
                  </w:r>
                </w:p>
              </w:tc>
              <w:tc>
                <w:tcPr>
                  <w:tcW w:w="2720" w:type="dxa"/>
                </w:tcPr>
                <w:p w14:paraId="2D0A1A1B" w14:textId="77777777" w:rsidR="003A41BE" w:rsidRPr="002A7985" w:rsidRDefault="003A41BE" w:rsidP="002A37E3">
                  <w:pPr>
                    <w:framePr w:hSpace="141" w:wrap="around" w:vAnchor="text" w:hAnchor="text" w:x="421" w:y="1"/>
                    <w:suppressOverlap/>
                    <w:jc w:val="center"/>
                    <w:rPr>
                      <w:bCs/>
                      <w:sz w:val="22"/>
                      <w:szCs w:val="22"/>
                      <w:lang w:val="en-US"/>
                    </w:rPr>
                  </w:pPr>
                  <w:r w:rsidRPr="002A7985">
                    <w:rPr>
                      <w:bCs/>
                      <w:sz w:val="22"/>
                      <w:szCs w:val="22"/>
                      <w:lang w:val="en-US"/>
                    </w:rPr>
                    <w:t>20% relative reduction</w:t>
                  </w:r>
                </w:p>
              </w:tc>
            </w:tr>
            <w:tr w:rsidR="003A41BE" w:rsidRPr="002A7985" w14:paraId="61B60870" w14:textId="77777777" w:rsidTr="00FD44CE">
              <w:tc>
                <w:tcPr>
                  <w:tcW w:w="932" w:type="dxa"/>
                </w:tcPr>
                <w:p w14:paraId="29871711" w14:textId="77777777" w:rsidR="003A41BE" w:rsidRPr="002A7985" w:rsidDel="00C4559C" w:rsidRDefault="003A41BE" w:rsidP="002A37E3">
                  <w:pPr>
                    <w:framePr w:hSpace="141" w:wrap="around" w:vAnchor="text" w:hAnchor="text" w:x="421" w:y="1"/>
                    <w:suppressOverlap/>
                    <w:jc w:val="center"/>
                    <w:rPr>
                      <w:sz w:val="22"/>
                      <w:szCs w:val="22"/>
                      <w:lang w:val="en-US"/>
                    </w:rPr>
                  </w:pPr>
                  <w:r>
                    <w:rPr>
                      <w:sz w:val="22"/>
                      <w:szCs w:val="22"/>
                      <w:lang w:val="en-US"/>
                    </w:rPr>
                    <w:t>Female</w:t>
                  </w:r>
                </w:p>
              </w:tc>
              <w:tc>
                <w:tcPr>
                  <w:tcW w:w="1510" w:type="dxa"/>
                </w:tcPr>
                <w:p w14:paraId="3E8CA8B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9.3%</w:t>
                  </w:r>
                </w:p>
              </w:tc>
              <w:tc>
                <w:tcPr>
                  <w:tcW w:w="2720" w:type="dxa"/>
                </w:tcPr>
                <w:p w14:paraId="35323207" w14:textId="77777777" w:rsidR="003A41BE" w:rsidRPr="002A7985" w:rsidRDefault="003A41BE" w:rsidP="002A37E3">
                  <w:pPr>
                    <w:framePr w:hSpace="141" w:wrap="around" w:vAnchor="text" w:hAnchor="text" w:x="421" w:y="1"/>
                    <w:suppressOverlap/>
                    <w:jc w:val="center"/>
                    <w:rPr>
                      <w:bCs/>
                      <w:sz w:val="22"/>
                      <w:szCs w:val="22"/>
                      <w:lang w:val="en-US"/>
                    </w:rPr>
                  </w:pPr>
                  <w:r w:rsidRPr="002A7985">
                    <w:rPr>
                      <w:bCs/>
                      <w:sz w:val="22"/>
                      <w:szCs w:val="22"/>
                      <w:lang w:val="en-US"/>
                    </w:rPr>
                    <w:t>20% relative reduction</w:t>
                  </w:r>
                </w:p>
              </w:tc>
            </w:tr>
          </w:tbl>
          <w:p w14:paraId="1F6E9EFC" w14:textId="77777777" w:rsidR="003A41BE" w:rsidRPr="002A7985" w:rsidRDefault="003A41BE" w:rsidP="00FD44CE">
            <w:pPr>
              <w:autoSpaceDE w:val="0"/>
              <w:autoSpaceDN w:val="0"/>
              <w:adjustRightInd w:val="0"/>
              <w:rPr>
                <w:rFonts w:cstheme="minorHAnsi"/>
                <w:b/>
                <w:sz w:val="22"/>
                <w:szCs w:val="22"/>
                <w:lang w:val="en-US"/>
              </w:rPr>
            </w:pPr>
            <w:r w:rsidRPr="002A7985">
              <w:rPr>
                <w:rFonts w:cstheme="minorHAnsi"/>
                <w:bCs/>
                <w:sz w:val="22"/>
                <w:szCs w:val="22"/>
                <w:lang w:val="en-US"/>
              </w:rPr>
              <w:t>Data Source: STEPS survey</w:t>
            </w:r>
          </w:p>
          <w:p w14:paraId="71D5EB68" w14:textId="77777777" w:rsidR="003A41BE" w:rsidRPr="002A7985" w:rsidRDefault="003A41BE" w:rsidP="00FD44CE">
            <w:pPr>
              <w:autoSpaceDE w:val="0"/>
              <w:autoSpaceDN w:val="0"/>
              <w:adjustRightInd w:val="0"/>
              <w:rPr>
                <w:rFonts w:cstheme="minorHAnsi"/>
                <w:b/>
                <w:sz w:val="22"/>
                <w:szCs w:val="22"/>
                <w:lang w:val="en-US"/>
              </w:rPr>
            </w:pPr>
          </w:p>
        </w:tc>
        <w:tc>
          <w:tcPr>
            <w:tcW w:w="4513" w:type="dxa"/>
            <w:gridSpan w:val="2"/>
            <w:tcBorders>
              <w:left w:val="single" w:sz="4" w:space="0" w:color="auto"/>
              <w:right w:val="single" w:sz="4" w:space="0" w:color="auto"/>
            </w:tcBorders>
          </w:tcPr>
          <w:p w14:paraId="36B4E806"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331CEF67" w14:textId="77777777" w:rsidTr="53E3C463">
        <w:trPr>
          <w:trHeight w:val="256"/>
        </w:trPr>
        <w:tc>
          <w:tcPr>
            <w:tcW w:w="4535" w:type="dxa"/>
            <w:gridSpan w:val="2"/>
            <w:vMerge/>
          </w:tcPr>
          <w:p w14:paraId="113B2365"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9853A" w14:textId="77777777" w:rsidR="003A41BE" w:rsidRPr="002A7985" w:rsidRDefault="003A41BE" w:rsidP="00FD44CE">
            <w:pPr>
              <w:rPr>
                <w:rFonts w:cstheme="minorHAnsi"/>
                <w:sz w:val="22"/>
                <w:szCs w:val="22"/>
                <w:lang w:val="en-US"/>
              </w:rPr>
            </w:pPr>
            <w:r w:rsidRPr="002A7985">
              <w:rPr>
                <w:rFonts w:cstheme="minorHAnsi"/>
                <w:b/>
                <w:sz w:val="22"/>
                <w:szCs w:val="22"/>
                <w:lang w:val="en-US"/>
              </w:rPr>
              <w:t>Indicator 4.3.</w:t>
            </w:r>
            <w:r>
              <w:rPr>
                <w:rFonts w:cstheme="minorHAnsi"/>
                <w:b/>
                <w:sz w:val="22"/>
                <w:szCs w:val="22"/>
                <w:lang w:val="en-US"/>
              </w:rPr>
              <w:t>8</w:t>
            </w:r>
            <w:r w:rsidRPr="002A7985">
              <w:rPr>
                <w:rFonts w:cstheme="minorHAnsi"/>
                <w:b/>
                <w:sz w:val="22"/>
                <w:szCs w:val="22"/>
                <w:lang w:val="en-US"/>
              </w:rPr>
              <w:t xml:space="preserve">: </w:t>
            </w:r>
            <w:r w:rsidRPr="002A7985">
              <w:rPr>
                <w:rFonts w:cstheme="minorHAnsi"/>
                <w:sz w:val="22"/>
                <w:szCs w:val="22"/>
                <w:lang w:val="en-US"/>
              </w:rPr>
              <w:t>Proportion of the population 15-49 years with comprehensive knowledge of HIV disaggregated by gender</w:t>
            </w:r>
          </w:p>
          <w:tbl>
            <w:tblPr>
              <w:tblStyle w:val="TableGrid"/>
              <w:tblW w:w="0" w:type="auto"/>
              <w:tblLayout w:type="fixed"/>
              <w:tblLook w:val="04A0" w:firstRow="1" w:lastRow="0" w:firstColumn="1" w:lastColumn="0" w:noHBand="0" w:noVBand="1"/>
            </w:tblPr>
            <w:tblGrid>
              <w:gridCol w:w="1510"/>
              <w:gridCol w:w="1510"/>
              <w:gridCol w:w="1620"/>
            </w:tblGrid>
            <w:tr w:rsidR="003A41BE" w:rsidRPr="002A7985" w14:paraId="44F3AEB1" w14:textId="77777777" w:rsidTr="00FD44CE">
              <w:tc>
                <w:tcPr>
                  <w:tcW w:w="1510" w:type="dxa"/>
                </w:tcPr>
                <w:p w14:paraId="6208CA00" w14:textId="77777777" w:rsidR="003A41BE" w:rsidRPr="002A7985" w:rsidRDefault="003A41BE" w:rsidP="002A37E3">
                  <w:pPr>
                    <w:framePr w:hSpace="141" w:wrap="around" w:vAnchor="text" w:hAnchor="text" w:x="421" w:y="1"/>
                    <w:suppressOverlap/>
                    <w:jc w:val="center"/>
                    <w:rPr>
                      <w:sz w:val="22"/>
                      <w:szCs w:val="22"/>
                      <w:lang w:val="en-US"/>
                    </w:rPr>
                  </w:pPr>
                </w:p>
              </w:tc>
              <w:tc>
                <w:tcPr>
                  <w:tcW w:w="1510" w:type="dxa"/>
                </w:tcPr>
                <w:p w14:paraId="063A4A3B"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Baseline</w:t>
                  </w:r>
                </w:p>
              </w:tc>
              <w:tc>
                <w:tcPr>
                  <w:tcW w:w="1620" w:type="dxa"/>
                </w:tcPr>
                <w:p w14:paraId="053E5FF3"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Target</w:t>
                  </w:r>
                </w:p>
              </w:tc>
            </w:tr>
            <w:tr w:rsidR="003A41BE" w:rsidRPr="002A7985" w14:paraId="5264ADE6" w14:textId="77777777" w:rsidTr="00FD44CE">
              <w:tc>
                <w:tcPr>
                  <w:tcW w:w="1510" w:type="dxa"/>
                </w:tcPr>
                <w:p w14:paraId="538185BB"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Male</w:t>
                  </w:r>
                </w:p>
              </w:tc>
              <w:tc>
                <w:tcPr>
                  <w:tcW w:w="1510" w:type="dxa"/>
                </w:tcPr>
                <w:p w14:paraId="2AF43113"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16%</w:t>
                  </w:r>
                </w:p>
              </w:tc>
              <w:tc>
                <w:tcPr>
                  <w:tcW w:w="1620" w:type="dxa"/>
                </w:tcPr>
                <w:p w14:paraId="750B6D15" w14:textId="77777777" w:rsidR="003A41BE" w:rsidRPr="002A7985" w:rsidRDefault="003A41BE" w:rsidP="002A37E3">
                  <w:pPr>
                    <w:framePr w:hSpace="141" w:wrap="around" w:vAnchor="text" w:hAnchor="text" w:x="421" w:y="1"/>
                    <w:suppressOverlap/>
                    <w:jc w:val="center"/>
                    <w:rPr>
                      <w:bCs/>
                      <w:sz w:val="22"/>
                      <w:szCs w:val="22"/>
                      <w:lang w:val="en-US"/>
                    </w:rPr>
                  </w:pPr>
                  <w:r>
                    <w:rPr>
                      <w:rFonts w:cstheme="minorHAnsi"/>
                      <w:bCs/>
                      <w:sz w:val="22"/>
                      <w:szCs w:val="22"/>
                      <w:lang w:val="en-US"/>
                    </w:rPr>
                    <w:t>25%</w:t>
                  </w:r>
                </w:p>
              </w:tc>
            </w:tr>
            <w:tr w:rsidR="003A41BE" w:rsidRPr="002A7985" w14:paraId="53C9FC67" w14:textId="77777777" w:rsidTr="00FD44CE">
              <w:tc>
                <w:tcPr>
                  <w:tcW w:w="1510" w:type="dxa"/>
                </w:tcPr>
                <w:p w14:paraId="7B70205A"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Female</w:t>
                  </w:r>
                </w:p>
              </w:tc>
              <w:tc>
                <w:tcPr>
                  <w:tcW w:w="1510" w:type="dxa"/>
                </w:tcPr>
                <w:p w14:paraId="179607B2"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10%</w:t>
                  </w:r>
                </w:p>
              </w:tc>
              <w:tc>
                <w:tcPr>
                  <w:tcW w:w="1620" w:type="dxa"/>
                </w:tcPr>
                <w:p w14:paraId="71B1F9D3" w14:textId="77777777" w:rsidR="003A41BE" w:rsidRPr="002A7985" w:rsidRDefault="003A41BE" w:rsidP="002A37E3">
                  <w:pPr>
                    <w:framePr w:hSpace="141" w:wrap="around" w:vAnchor="text" w:hAnchor="text" w:x="421" w:y="1"/>
                    <w:suppressOverlap/>
                    <w:jc w:val="center"/>
                    <w:rPr>
                      <w:rFonts w:cstheme="minorHAnsi"/>
                      <w:bCs/>
                      <w:sz w:val="22"/>
                      <w:szCs w:val="22"/>
                      <w:lang w:val="en-US"/>
                    </w:rPr>
                  </w:pPr>
                  <w:r>
                    <w:rPr>
                      <w:bCs/>
                      <w:sz w:val="22"/>
                      <w:szCs w:val="22"/>
                      <w:lang w:val="en-US"/>
                    </w:rPr>
                    <w:t>25%</w:t>
                  </w:r>
                </w:p>
              </w:tc>
            </w:tr>
          </w:tbl>
          <w:p w14:paraId="06E4D2DD" w14:textId="77777777" w:rsidR="003A41BE" w:rsidRPr="002A7985" w:rsidRDefault="003A41BE" w:rsidP="00FD44CE">
            <w:pPr>
              <w:autoSpaceDE w:val="0"/>
              <w:autoSpaceDN w:val="0"/>
              <w:adjustRightInd w:val="0"/>
              <w:rPr>
                <w:rFonts w:cstheme="minorHAnsi"/>
                <w:sz w:val="22"/>
                <w:szCs w:val="22"/>
                <w:lang w:val="en-US"/>
              </w:rPr>
            </w:pPr>
            <w:r w:rsidRPr="002A7985">
              <w:rPr>
                <w:rFonts w:cstheme="minorHAnsi"/>
                <w:bCs/>
                <w:sz w:val="22"/>
                <w:szCs w:val="22"/>
                <w:lang w:val="en-US"/>
              </w:rPr>
              <w:t>Data Source: DHS</w:t>
            </w:r>
          </w:p>
          <w:p w14:paraId="137A1ACA" w14:textId="77777777" w:rsidR="003A41BE" w:rsidRPr="002A7985" w:rsidRDefault="003A41BE" w:rsidP="00FD44CE">
            <w:pPr>
              <w:autoSpaceDE w:val="0"/>
              <w:autoSpaceDN w:val="0"/>
              <w:adjustRightInd w:val="0"/>
              <w:rPr>
                <w:rFonts w:cstheme="minorHAnsi"/>
                <w:b/>
                <w:sz w:val="22"/>
                <w:szCs w:val="22"/>
                <w:lang w:val="en-US"/>
              </w:rPr>
            </w:pPr>
          </w:p>
        </w:tc>
        <w:tc>
          <w:tcPr>
            <w:tcW w:w="4513" w:type="dxa"/>
            <w:gridSpan w:val="2"/>
            <w:tcBorders>
              <w:left w:val="single" w:sz="4" w:space="0" w:color="auto"/>
              <w:bottom w:val="single" w:sz="4" w:space="0" w:color="auto"/>
              <w:right w:val="single" w:sz="4" w:space="0" w:color="auto"/>
            </w:tcBorders>
          </w:tcPr>
          <w:p w14:paraId="4E627B31"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513D4E79" w14:textId="77777777" w:rsidTr="53E3C463">
        <w:trPr>
          <w:trHeight w:val="256"/>
        </w:trPr>
        <w:tc>
          <w:tcPr>
            <w:tcW w:w="4535" w:type="dxa"/>
            <w:gridSpan w:val="2"/>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8190BC5" w14:textId="77777777" w:rsidR="003A41BE" w:rsidRPr="00841766" w:rsidRDefault="003A41BE" w:rsidP="00FD44CE">
            <w:pPr>
              <w:jc w:val="both"/>
              <w:rPr>
                <w:rFonts w:cstheme="minorHAnsi"/>
                <w:sz w:val="22"/>
                <w:szCs w:val="22"/>
                <w:lang w:val="en-US"/>
              </w:rPr>
            </w:pPr>
            <w:r>
              <w:rPr>
                <w:rFonts w:cstheme="minorHAnsi"/>
                <w:b/>
                <w:color w:val="000000" w:themeColor="text1"/>
                <w:sz w:val="22"/>
                <w:szCs w:val="22"/>
                <w:lang w:val="en-US"/>
              </w:rPr>
              <w:t>Sub-o</w:t>
            </w:r>
            <w:r w:rsidRPr="00841766">
              <w:rPr>
                <w:rFonts w:cstheme="minorHAnsi"/>
                <w:b/>
                <w:color w:val="000000" w:themeColor="text1"/>
                <w:sz w:val="22"/>
                <w:szCs w:val="22"/>
                <w:lang w:val="en-US"/>
              </w:rPr>
              <w:t>utcome 4.4:</w:t>
            </w:r>
            <w:r w:rsidRPr="00841766">
              <w:rPr>
                <w:rFonts w:cstheme="minorHAnsi"/>
                <w:sz w:val="22"/>
                <w:szCs w:val="22"/>
                <w:lang w:val="en-US"/>
              </w:rPr>
              <w:t xml:space="preserve"> </w:t>
            </w:r>
          </w:p>
          <w:p w14:paraId="73E57E19" w14:textId="77777777" w:rsidR="003A41BE" w:rsidRPr="00841766" w:rsidRDefault="003A41BE" w:rsidP="00FD44CE">
            <w:pPr>
              <w:jc w:val="both"/>
              <w:rPr>
                <w:rFonts w:cstheme="minorHAnsi"/>
                <w:sz w:val="22"/>
                <w:szCs w:val="22"/>
                <w:lang w:val="en-US"/>
              </w:rPr>
            </w:pPr>
          </w:p>
          <w:p w14:paraId="462376E6" w14:textId="77777777" w:rsidR="003A41BE" w:rsidRPr="00841766" w:rsidRDefault="003A41BE" w:rsidP="00FD44CE">
            <w:pPr>
              <w:jc w:val="both"/>
              <w:rPr>
                <w:rFonts w:cstheme="minorHAnsi"/>
                <w:b/>
                <w:sz w:val="22"/>
                <w:szCs w:val="22"/>
                <w:lang w:val="en-US"/>
              </w:rPr>
            </w:pPr>
            <w:r w:rsidRPr="00841766">
              <w:rPr>
                <w:rFonts w:cstheme="minorHAnsi"/>
                <w:b/>
                <w:sz w:val="22"/>
                <w:szCs w:val="22"/>
                <w:lang w:val="en-US"/>
              </w:rPr>
              <w:t>Health financing and budgeting</w:t>
            </w:r>
          </w:p>
          <w:p w14:paraId="59952C18" w14:textId="77777777" w:rsidR="003A41BE" w:rsidRPr="00841766" w:rsidRDefault="003A41BE" w:rsidP="00FD44CE">
            <w:pPr>
              <w:jc w:val="both"/>
              <w:rPr>
                <w:rFonts w:cstheme="minorHAnsi"/>
                <w:b/>
                <w:color w:val="000000" w:themeColor="text1"/>
                <w:sz w:val="22"/>
                <w:szCs w:val="22"/>
                <w:lang w:val="en-US"/>
              </w:rPr>
            </w:pPr>
            <w:r w:rsidRPr="00841766">
              <w:rPr>
                <w:rFonts w:cstheme="minorHAnsi"/>
                <w:sz w:val="22"/>
                <w:szCs w:val="22"/>
                <w:lang w:val="en-US"/>
              </w:rPr>
              <w:t>By 2025, sustainable and gender-responsive financing and budgeting  for health is ensured to address unmet need for health services, reduce financial hardship arising from out-of-pocket payments and increase resilience to shocks especially for the poor, less educated, rural communities, women and children, persons with disabilities, TB, migrant and mobile populations and other marginalized and vulnerable population groups.</w:t>
            </w:r>
          </w:p>
          <w:p w14:paraId="4AC98D0E"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520FD" w14:textId="77777777" w:rsidR="003A41BE" w:rsidRPr="002A7985" w:rsidRDefault="003A41BE" w:rsidP="00FD44CE">
            <w:pPr>
              <w:pStyle w:val="Default"/>
              <w:rPr>
                <w:rFonts w:asciiTheme="minorHAnsi" w:eastAsia="Calibri" w:hAnsiTheme="minorHAnsi" w:cs="Calibri"/>
                <w:color w:val="auto"/>
                <w:sz w:val="22"/>
                <w:szCs w:val="22"/>
                <w:lang w:val="en-US"/>
              </w:rPr>
            </w:pPr>
            <w:r w:rsidRPr="002A7985">
              <w:rPr>
                <w:rFonts w:asciiTheme="minorHAnsi" w:hAnsiTheme="minorHAnsi" w:cstheme="minorHAnsi"/>
                <w:b/>
                <w:color w:val="auto"/>
                <w:sz w:val="22"/>
                <w:szCs w:val="22"/>
                <w:lang w:val="en-US"/>
              </w:rPr>
              <w:t xml:space="preserve">Indicator 4.4.1: </w:t>
            </w:r>
            <w:bookmarkStart w:id="171" w:name="_Hlk33013092"/>
            <w:r w:rsidRPr="002A7985">
              <w:rPr>
                <w:rFonts w:asciiTheme="minorHAnsi" w:eastAsia="Calibri" w:hAnsiTheme="minorHAnsi" w:cs="Calibri"/>
                <w:color w:val="auto"/>
                <w:sz w:val="22"/>
                <w:szCs w:val="22"/>
                <w:lang w:val="en-US"/>
              </w:rPr>
              <w:t>Proportion of population covered by social protection floors/systems by sex, distinguishing children, unemployed persons, older persons, persons with disabilities, pregnant women, newborns, work injury victims, the poor and the vulnerable (SDG indicator 1.3.1)</w:t>
            </w:r>
            <w:bookmarkEnd w:id="171"/>
          </w:p>
          <w:tbl>
            <w:tblPr>
              <w:tblStyle w:val="TableGrid"/>
              <w:tblW w:w="4705" w:type="dxa"/>
              <w:tblLayout w:type="fixed"/>
              <w:tblLook w:val="04A0" w:firstRow="1" w:lastRow="0" w:firstColumn="1" w:lastColumn="0" w:noHBand="0" w:noVBand="1"/>
            </w:tblPr>
            <w:tblGrid>
              <w:gridCol w:w="2365"/>
              <w:gridCol w:w="1260"/>
              <w:gridCol w:w="1080"/>
            </w:tblGrid>
            <w:tr w:rsidR="003A41BE" w:rsidRPr="002A7985" w14:paraId="15CEB251" w14:textId="77777777" w:rsidTr="00FD44CE">
              <w:tc>
                <w:tcPr>
                  <w:tcW w:w="2365" w:type="dxa"/>
                </w:tcPr>
                <w:p w14:paraId="5E3F47A6" w14:textId="77777777" w:rsidR="003A41BE" w:rsidRPr="002A7985" w:rsidRDefault="003A41BE" w:rsidP="002A37E3">
                  <w:pPr>
                    <w:framePr w:hSpace="141" w:wrap="around" w:vAnchor="text" w:hAnchor="text" w:x="421" w:y="1"/>
                    <w:suppressOverlap/>
                    <w:jc w:val="center"/>
                    <w:rPr>
                      <w:sz w:val="22"/>
                      <w:szCs w:val="22"/>
                      <w:lang w:val="en-US"/>
                    </w:rPr>
                  </w:pPr>
                </w:p>
              </w:tc>
              <w:tc>
                <w:tcPr>
                  <w:tcW w:w="1260" w:type="dxa"/>
                </w:tcPr>
                <w:p w14:paraId="3CAC9EEB"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Baseline</w:t>
                  </w:r>
                </w:p>
              </w:tc>
              <w:tc>
                <w:tcPr>
                  <w:tcW w:w="1080" w:type="dxa"/>
                </w:tcPr>
                <w:p w14:paraId="455981A0"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Target</w:t>
                  </w:r>
                </w:p>
              </w:tc>
            </w:tr>
            <w:tr w:rsidR="003A41BE" w:rsidRPr="002A7985" w14:paraId="50F54DFE" w14:textId="77777777" w:rsidTr="00FD44CE">
              <w:tc>
                <w:tcPr>
                  <w:tcW w:w="2365" w:type="dxa"/>
                </w:tcPr>
                <w:p w14:paraId="359B8313"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Bolsa de Mae</w:t>
                  </w:r>
                </w:p>
              </w:tc>
              <w:tc>
                <w:tcPr>
                  <w:tcW w:w="1260" w:type="dxa"/>
                </w:tcPr>
                <w:p w14:paraId="2A004BD7"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32%</w:t>
                  </w:r>
                </w:p>
              </w:tc>
              <w:tc>
                <w:tcPr>
                  <w:tcW w:w="1080" w:type="dxa"/>
                </w:tcPr>
                <w:p w14:paraId="686A4C12" w14:textId="77777777" w:rsidR="003A41BE" w:rsidRPr="002A7985" w:rsidRDefault="003A41BE" w:rsidP="002A37E3">
                  <w:pPr>
                    <w:framePr w:hSpace="141" w:wrap="around" w:vAnchor="text" w:hAnchor="text" w:x="421" w:y="1"/>
                    <w:suppressOverlap/>
                    <w:jc w:val="center"/>
                    <w:rPr>
                      <w:bCs/>
                      <w:sz w:val="22"/>
                      <w:szCs w:val="22"/>
                      <w:lang w:val="en-US"/>
                    </w:rPr>
                  </w:pPr>
                  <w:r w:rsidRPr="002A7985">
                    <w:rPr>
                      <w:rFonts w:cstheme="minorHAnsi"/>
                      <w:bCs/>
                      <w:sz w:val="22"/>
                      <w:szCs w:val="22"/>
                      <w:lang w:val="en-US"/>
                    </w:rPr>
                    <w:t>TBD</w:t>
                  </w:r>
                </w:p>
              </w:tc>
            </w:tr>
            <w:tr w:rsidR="003A41BE" w:rsidRPr="002A7985" w14:paraId="2FC27FFF" w14:textId="77777777" w:rsidTr="00FD44CE">
              <w:tc>
                <w:tcPr>
                  <w:tcW w:w="2365" w:type="dxa"/>
                </w:tcPr>
                <w:p w14:paraId="6DBDE1FC"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Elderly pension (SAII)</w:t>
                  </w:r>
                </w:p>
              </w:tc>
              <w:tc>
                <w:tcPr>
                  <w:tcW w:w="1260" w:type="dxa"/>
                </w:tcPr>
                <w:p w14:paraId="28938326"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92.8%</w:t>
                  </w:r>
                </w:p>
              </w:tc>
              <w:tc>
                <w:tcPr>
                  <w:tcW w:w="1080" w:type="dxa"/>
                </w:tcPr>
                <w:p w14:paraId="3E1B135C" w14:textId="77777777" w:rsidR="003A41BE" w:rsidRPr="002A7985" w:rsidRDefault="003A41BE" w:rsidP="002A37E3">
                  <w:pPr>
                    <w:framePr w:hSpace="141" w:wrap="around" w:vAnchor="text" w:hAnchor="text" w:x="421" w:y="1"/>
                    <w:suppressOverlap/>
                    <w:jc w:val="center"/>
                    <w:rPr>
                      <w:rFonts w:cstheme="minorHAnsi"/>
                      <w:bCs/>
                      <w:sz w:val="22"/>
                      <w:szCs w:val="22"/>
                      <w:lang w:val="en-US"/>
                    </w:rPr>
                  </w:pPr>
                  <w:r w:rsidRPr="002A7985">
                    <w:rPr>
                      <w:bCs/>
                      <w:sz w:val="22"/>
                      <w:szCs w:val="22"/>
                      <w:lang w:val="en-US"/>
                    </w:rPr>
                    <w:t>TBD</w:t>
                  </w:r>
                </w:p>
              </w:tc>
            </w:tr>
            <w:tr w:rsidR="003A41BE" w:rsidRPr="002A7985" w14:paraId="0994E2D9" w14:textId="77777777" w:rsidTr="00FD44CE">
              <w:tc>
                <w:tcPr>
                  <w:tcW w:w="2365" w:type="dxa"/>
                </w:tcPr>
                <w:p w14:paraId="53B52FBA"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Disability pension (SAII)</w:t>
                  </w:r>
                </w:p>
              </w:tc>
              <w:tc>
                <w:tcPr>
                  <w:tcW w:w="1260" w:type="dxa"/>
                </w:tcPr>
                <w:p w14:paraId="68F4E775"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20%</w:t>
                  </w:r>
                </w:p>
              </w:tc>
              <w:tc>
                <w:tcPr>
                  <w:tcW w:w="1080" w:type="dxa"/>
                </w:tcPr>
                <w:p w14:paraId="16605B22"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TBD</w:t>
                  </w:r>
                </w:p>
              </w:tc>
            </w:tr>
          </w:tbl>
          <w:p w14:paraId="2FCF5ADA" w14:textId="77777777" w:rsidR="003A41BE" w:rsidRDefault="003A41BE" w:rsidP="00FD44CE">
            <w:pPr>
              <w:autoSpaceDE w:val="0"/>
              <w:autoSpaceDN w:val="0"/>
              <w:adjustRightInd w:val="0"/>
              <w:rPr>
                <w:rFonts w:cstheme="minorHAnsi"/>
                <w:bCs/>
                <w:sz w:val="22"/>
                <w:szCs w:val="22"/>
                <w:lang w:val="en-US"/>
              </w:rPr>
            </w:pPr>
            <w:r w:rsidRPr="005C4BA3">
              <w:rPr>
                <w:rFonts w:cstheme="minorHAnsi"/>
                <w:bCs/>
                <w:sz w:val="22"/>
                <w:szCs w:val="22"/>
                <w:lang w:val="en-US"/>
              </w:rPr>
              <w:t xml:space="preserve">Note: Coverage of target group (2016 or most recent year available) </w:t>
            </w:r>
          </w:p>
          <w:p w14:paraId="40DD23A1" w14:textId="77777777" w:rsidR="003A41BE" w:rsidRPr="002A7985" w:rsidRDefault="003A41BE" w:rsidP="00FD44CE">
            <w:pPr>
              <w:autoSpaceDE w:val="0"/>
              <w:autoSpaceDN w:val="0"/>
              <w:adjustRightInd w:val="0"/>
              <w:rPr>
                <w:rFonts w:cstheme="minorHAnsi"/>
                <w:b/>
                <w:sz w:val="22"/>
                <w:szCs w:val="22"/>
                <w:lang w:val="en-US"/>
              </w:rPr>
            </w:pPr>
            <w:r w:rsidRPr="002A7985">
              <w:rPr>
                <w:rFonts w:cstheme="minorHAnsi"/>
                <w:sz w:val="22"/>
                <w:szCs w:val="22"/>
                <w:lang w:val="en-US"/>
              </w:rPr>
              <w:t>Data Source: ABND Report</w:t>
            </w:r>
          </w:p>
          <w:p w14:paraId="7EACA76F" w14:textId="77777777" w:rsidR="003A41BE" w:rsidRPr="002A7985" w:rsidRDefault="003A41BE" w:rsidP="00FD44CE">
            <w:pPr>
              <w:autoSpaceDE w:val="0"/>
              <w:autoSpaceDN w:val="0"/>
              <w:adjustRightInd w:val="0"/>
              <w:rPr>
                <w:rFonts w:cstheme="minorHAnsi"/>
                <w:b/>
                <w:sz w:val="22"/>
                <w:szCs w:val="22"/>
                <w:lang w:val="en-US"/>
              </w:rPr>
            </w:pPr>
          </w:p>
        </w:tc>
        <w:tc>
          <w:tcPr>
            <w:tcW w:w="4513" w:type="dxa"/>
            <w:gridSpan w:val="2"/>
            <w:vMerge w:val="restart"/>
            <w:tcBorders>
              <w:top w:val="single" w:sz="4" w:space="0" w:color="auto"/>
              <w:left w:val="single" w:sz="4" w:space="0" w:color="auto"/>
              <w:bottom w:val="single" w:sz="4" w:space="0" w:color="auto"/>
              <w:right w:val="single" w:sz="4" w:space="0" w:color="auto"/>
            </w:tcBorders>
          </w:tcPr>
          <w:p w14:paraId="40A04642"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Health</w:t>
            </w:r>
          </w:p>
          <w:p w14:paraId="5FB43268"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Finance</w:t>
            </w:r>
          </w:p>
          <w:p w14:paraId="1EFEB738"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Social Solidarity and Inclusion National Institute for Social Security</w:t>
            </w:r>
          </w:p>
          <w:p w14:paraId="2CC7A75A" w14:textId="77777777" w:rsidR="003A41BE" w:rsidRDefault="003A41BE" w:rsidP="00FD44CE">
            <w:pPr>
              <w:autoSpaceDE w:val="0"/>
              <w:autoSpaceDN w:val="0"/>
              <w:adjustRightInd w:val="0"/>
              <w:rPr>
                <w:rFonts w:cstheme="minorHAnsi"/>
                <w:sz w:val="22"/>
                <w:szCs w:val="22"/>
                <w:lang w:val="en-US"/>
              </w:rPr>
            </w:pPr>
          </w:p>
          <w:p w14:paraId="026BF088" w14:textId="77777777" w:rsidR="003A41BE" w:rsidRPr="00E576A1" w:rsidRDefault="003A41BE" w:rsidP="00FD44CE">
            <w:pPr>
              <w:autoSpaceDE w:val="0"/>
              <w:autoSpaceDN w:val="0"/>
              <w:adjustRightInd w:val="0"/>
              <w:rPr>
                <w:rFonts w:cstheme="minorHAnsi"/>
                <w:sz w:val="22"/>
                <w:szCs w:val="22"/>
                <w:lang w:val="en-US"/>
              </w:rPr>
            </w:pPr>
            <w:r w:rsidRPr="00E576A1">
              <w:rPr>
                <w:rFonts w:cstheme="minorHAnsi"/>
                <w:sz w:val="22"/>
                <w:szCs w:val="22"/>
                <w:lang w:val="en-US"/>
              </w:rPr>
              <w:t>ILO, IOM</w:t>
            </w:r>
            <w:r>
              <w:rPr>
                <w:rFonts w:cstheme="minorHAnsi"/>
                <w:sz w:val="22"/>
                <w:szCs w:val="22"/>
                <w:lang w:val="en-US"/>
              </w:rPr>
              <w:t xml:space="preserve">, </w:t>
            </w:r>
            <w:r w:rsidRPr="00E576A1">
              <w:rPr>
                <w:rFonts w:cstheme="minorHAnsi"/>
                <w:sz w:val="22"/>
                <w:szCs w:val="22"/>
                <w:lang w:val="en-US"/>
              </w:rPr>
              <w:t>UNDP</w:t>
            </w:r>
            <w:r>
              <w:rPr>
                <w:rFonts w:cstheme="minorHAnsi"/>
                <w:sz w:val="22"/>
                <w:szCs w:val="22"/>
                <w:lang w:val="en-US"/>
              </w:rPr>
              <w:t xml:space="preserve">, </w:t>
            </w:r>
            <w:r w:rsidRPr="00E576A1">
              <w:rPr>
                <w:rFonts w:cstheme="minorHAnsi"/>
                <w:sz w:val="22"/>
                <w:szCs w:val="22"/>
                <w:lang w:val="en-US"/>
              </w:rPr>
              <w:t>UNFPA</w:t>
            </w:r>
            <w:r>
              <w:rPr>
                <w:rFonts w:cstheme="minorHAnsi"/>
                <w:sz w:val="22"/>
                <w:szCs w:val="22"/>
                <w:lang w:val="en-US"/>
              </w:rPr>
              <w:t xml:space="preserve">, </w:t>
            </w:r>
            <w:r w:rsidRPr="00E576A1">
              <w:rPr>
                <w:rFonts w:cstheme="minorHAnsi"/>
                <w:sz w:val="22"/>
                <w:szCs w:val="22"/>
                <w:lang w:val="en-US"/>
              </w:rPr>
              <w:t xml:space="preserve">UNICEF, </w:t>
            </w:r>
            <w:r w:rsidRPr="00841766">
              <w:rPr>
                <w:rFonts w:cstheme="minorHAnsi"/>
                <w:sz w:val="22"/>
                <w:szCs w:val="22"/>
                <w:lang w:val="en-US"/>
              </w:rPr>
              <w:t>WHO</w:t>
            </w:r>
          </w:p>
          <w:p w14:paraId="01F733CD" w14:textId="77777777" w:rsidR="003A41BE" w:rsidRPr="00E576A1" w:rsidRDefault="003A41BE" w:rsidP="00FD44CE">
            <w:pPr>
              <w:autoSpaceDE w:val="0"/>
              <w:autoSpaceDN w:val="0"/>
              <w:adjustRightInd w:val="0"/>
              <w:rPr>
                <w:rFonts w:cstheme="minorHAnsi"/>
                <w:sz w:val="22"/>
                <w:szCs w:val="22"/>
                <w:lang w:val="en-US"/>
              </w:rPr>
            </w:pPr>
          </w:p>
          <w:p w14:paraId="038B0144"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World Bank, Bilateral partners</w:t>
            </w:r>
          </w:p>
          <w:p w14:paraId="06BC4440" w14:textId="77777777" w:rsidR="003A41BE" w:rsidRPr="00841766" w:rsidRDefault="003A41BE" w:rsidP="00FD44CE">
            <w:pPr>
              <w:autoSpaceDE w:val="0"/>
              <w:autoSpaceDN w:val="0"/>
              <w:adjustRightInd w:val="0"/>
              <w:rPr>
                <w:rFonts w:cstheme="minorHAnsi"/>
                <w:sz w:val="22"/>
                <w:szCs w:val="22"/>
                <w:lang w:val="en-US"/>
              </w:rPr>
            </w:pPr>
          </w:p>
          <w:p w14:paraId="7F930016"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Universities, Media establishments, Employers Representatives (CCI-TL), Workers Representatives (KS-TL)</w:t>
            </w:r>
          </w:p>
          <w:p w14:paraId="45773EE5" w14:textId="77777777" w:rsidR="003A41BE" w:rsidRPr="00841766" w:rsidRDefault="003A41BE" w:rsidP="00FD44CE">
            <w:pPr>
              <w:autoSpaceDE w:val="0"/>
              <w:autoSpaceDN w:val="0"/>
              <w:adjustRightInd w:val="0"/>
              <w:rPr>
                <w:rFonts w:cstheme="minorHAnsi"/>
                <w:sz w:val="22"/>
                <w:szCs w:val="22"/>
                <w:lang w:val="en-US"/>
              </w:rPr>
            </w:pPr>
          </w:p>
          <w:p w14:paraId="0AB4B2D5"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5B85DEDE" w14:textId="77777777" w:rsidTr="53E3C463">
        <w:trPr>
          <w:trHeight w:val="256"/>
        </w:trPr>
        <w:tc>
          <w:tcPr>
            <w:tcW w:w="4535" w:type="dxa"/>
            <w:gridSpan w:val="2"/>
            <w:vMerge/>
          </w:tcPr>
          <w:p w14:paraId="37F86188"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2759F" w14:textId="77777777" w:rsidR="003A41BE" w:rsidRPr="00EC19E1" w:rsidRDefault="003A41BE" w:rsidP="00FD44CE">
            <w:pPr>
              <w:autoSpaceDE w:val="0"/>
              <w:autoSpaceDN w:val="0"/>
              <w:adjustRightInd w:val="0"/>
              <w:rPr>
                <w:rFonts w:cstheme="minorHAnsi"/>
                <w:sz w:val="22"/>
                <w:szCs w:val="22"/>
                <w:lang w:val="en-US"/>
              </w:rPr>
            </w:pPr>
            <w:r w:rsidRPr="00EC19E1">
              <w:rPr>
                <w:rFonts w:cstheme="minorHAnsi"/>
                <w:b/>
                <w:sz w:val="22"/>
                <w:szCs w:val="22"/>
                <w:lang w:val="en-US"/>
              </w:rPr>
              <w:t xml:space="preserve">Indicator 4.4.2: </w:t>
            </w:r>
            <w:r w:rsidRPr="00EC19E1">
              <w:rPr>
                <w:rFonts w:cstheme="minorHAnsi"/>
                <w:sz w:val="22"/>
                <w:szCs w:val="22"/>
                <w:lang w:val="en-US"/>
              </w:rPr>
              <w:t>Proportion of population with large household expenditure on health as a share of total household expenditure or income (</w:t>
            </w:r>
            <w:r w:rsidRPr="00EC19E1">
              <w:rPr>
                <w:rFonts w:eastAsia="Calibri" w:cs="Calibri"/>
                <w:sz w:val="22"/>
                <w:szCs w:val="22"/>
                <w:lang w:val="en-US"/>
              </w:rPr>
              <w:t xml:space="preserve">SDG indicator </w:t>
            </w:r>
            <w:r w:rsidRPr="00EC19E1">
              <w:rPr>
                <w:rFonts w:cstheme="minorHAnsi"/>
                <w:sz w:val="22"/>
                <w:szCs w:val="22"/>
                <w:lang w:val="en-US"/>
              </w:rPr>
              <w:t>3.8.2)</w:t>
            </w:r>
          </w:p>
          <w:tbl>
            <w:tblPr>
              <w:tblStyle w:val="TableGrid"/>
              <w:tblW w:w="0" w:type="auto"/>
              <w:tblLayout w:type="fixed"/>
              <w:tblLook w:val="04A0" w:firstRow="1" w:lastRow="0" w:firstColumn="1" w:lastColumn="0" w:noHBand="0" w:noVBand="1"/>
            </w:tblPr>
            <w:tblGrid>
              <w:gridCol w:w="1510"/>
              <w:gridCol w:w="1620"/>
            </w:tblGrid>
            <w:tr w:rsidR="003A41BE" w:rsidRPr="00EC19E1" w14:paraId="6A68D5BB" w14:textId="77777777" w:rsidTr="00FD44CE">
              <w:tc>
                <w:tcPr>
                  <w:tcW w:w="1510" w:type="dxa"/>
                </w:tcPr>
                <w:p w14:paraId="15273F17" w14:textId="77777777" w:rsidR="003A41BE" w:rsidRPr="00EC19E1" w:rsidRDefault="003A41BE" w:rsidP="002A37E3">
                  <w:pPr>
                    <w:framePr w:hSpace="141" w:wrap="around" w:vAnchor="text" w:hAnchor="text" w:x="421" w:y="1"/>
                    <w:suppressOverlap/>
                    <w:jc w:val="center"/>
                    <w:rPr>
                      <w:sz w:val="22"/>
                      <w:szCs w:val="22"/>
                      <w:lang w:val="en-US"/>
                    </w:rPr>
                  </w:pPr>
                  <w:r w:rsidRPr="00EC19E1">
                    <w:rPr>
                      <w:sz w:val="22"/>
                      <w:szCs w:val="22"/>
                      <w:lang w:val="en-US"/>
                    </w:rPr>
                    <w:t>Baseline</w:t>
                  </w:r>
                </w:p>
              </w:tc>
              <w:tc>
                <w:tcPr>
                  <w:tcW w:w="1620" w:type="dxa"/>
                </w:tcPr>
                <w:p w14:paraId="1DABFF2B" w14:textId="77777777" w:rsidR="003A41BE" w:rsidRPr="00EC19E1" w:rsidRDefault="003A41BE" w:rsidP="002A37E3">
                  <w:pPr>
                    <w:framePr w:hSpace="141" w:wrap="around" w:vAnchor="text" w:hAnchor="text" w:x="421" w:y="1"/>
                    <w:suppressOverlap/>
                    <w:jc w:val="center"/>
                    <w:rPr>
                      <w:sz w:val="22"/>
                      <w:szCs w:val="22"/>
                      <w:lang w:val="en-US"/>
                    </w:rPr>
                  </w:pPr>
                  <w:r w:rsidRPr="00EC19E1">
                    <w:rPr>
                      <w:sz w:val="22"/>
                      <w:szCs w:val="22"/>
                      <w:lang w:val="en-US"/>
                    </w:rPr>
                    <w:t>Target</w:t>
                  </w:r>
                </w:p>
              </w:tc>
            </w:tr>
            <w:tr w:rsidR="003A41BE" w:rsidRPr="00EC19E1" w14:paraId="3768B0FE" w14:textId="77777777" w:rsidTr="00FD44CE">
              <w:tc>
                <w:tcPr>
                  <w:tcW w:w="1510" w:type="dxa"/>
                </w:tcPr>
                <w:p w14:paraId="52DC6137" w14:textId="77777777" w:rsidR="003A41BE" w:rsidRPr="00EC19E1" w:rsidRDefault="003A41BE" w:rsidP="002A37E3">
                  <w:pPr>
                    <w:framePr w:hSpace="141" w:wrap="around" w:vAnchor="text" w:hAnchor="text" w:x="421" w:y="1"/>
                    <w:suppressOverlap/>
                    <w:jc w:val="center"/>
                    <w:rPr>
                      <w:sz w:val="22"/>
                      <w:szCs w:val="22"/>
                      <w:lang w:val="en-US"/>
                    </w:rPr>
                  </w:pPr>
                  <w:r w:rsidRPr="00EC19E1">
                    <w:rPr>
                      <w:sz w:val="22"/>
                      <w:szCs w:val="22"/>
                      <w:lang w:val="en-US"/>
                    </w:rPr>
                    <w:t>2.9%</w:t>
                  </w:r>
                  <w:r>
                    <w:rPr>
                      <w:sz w:val="22"/>
                      <w:szCs w:val="22"/>
                      <w:lang w:val="en-US"/>
                    </w:rPr>
                    <w:t xml:space="preserve"> (2017)</w:t>
                  </w:r>
                </w:p>
              </w:tc>
              <w:tc>
                <w:tcPr>
                  <w:tcW w:w="1620" w:type="dxa"/>
                </w:tcPr>
                <w:p w14:paraId="6B8A659A" w14:textId="77777777" w:rsidR="003A41BE" w:rsidRPr="00EC19E1" w:rsidRDefault="003A41BE" w:rsidP="002A37E3">
                  <w:pPr>
                    <w:framePr w:hSpace="141" w:wrap="around" w:vAnchor="text" w:hAnchor="text" w:x="421" w:y="1"/>
                    <w:suppressOverlap/>
                    <w:jc w:val="center"/>
                    <w:rPr>
                      <w:bCs/>
                      <w:sz w:val="22"/>
                      <w:szCs w:val="22"/>
                      <w:lang w:val="en-US"/>
                    </w:rPr>
                  </w:pPr>
                  <w:r w:rsidRPr="00EC19E1">
                    <w:rPr>
                      <w:rFonts w:cstheme="minorHAnsi"/>
                      <w:sz w:val="22"/>
                      <w:szCs w:val="22"/>
                      <w:lang w:val="en-US"/>
                    </w:rPr>
                    <w:t>&lt;2</w:t>
                  </w:r>
                </w:p>
              </w:tc>
            </w:tr>
          </w:tbl>
          <w:p w14:paraId="465AD76A" w14:textId="77777777" w:rsidR="003A41BE" w:rsidRPr="00EC19E1" w:rsidRDefault="003A41BE" w:rsidP="00FD44CE">
            <w:pPr>
              <w:autoSpaceDE w:val="0"/>
              <w:autoSpaceDN w:val="0"/>
              <w:adjustRightInd w:val="0"/>
              <w:rPr>
                <w:rFonts w:cstheme="minorHAnsi"/>
                <w:b/>
                <w:sz w:val="22"/>
                <w:szCs w:val="22"/>
                <w:lang w:val="en-US"/>
              </w:rPr>
            </w:pPr>
            <w:r w:rsidRPr="00EC19E1">
              <w:rPr>
                <w:rFonts w:cstheme="minorHAnsi"/>
                <w:bCs/>
                <w:sz w:val="22"/>
                <w:szCs w:val="22"/>
                <w:lang w:val="en-US"/>
              </w:rPr>
              <w:t>Data Source: SDG Monitoring/Profile</w:t>
            </w:r>
          </w:p>
          <w:p w14:paraId="2606E0DD" w14:textId="77777777" w:rsidR="003A41BE" w:rsidRPr="002A7985" w:rsidRDefault="003A41BE" w:rsidP="00FD44CE">
            <w:pPr>
              <w:autoSpaceDE w:val="0"/>
              <w:autoSpaceDN w:val="0"/>
              <w:adjustRightInd w:val="0"/>
              <w:rPr>
                <w:rFonts w:cstheme="minorHAnsi"/>
                <w:b/>
                <w:sz w:val="22"/>
                <w:szCs w:val="22"/>
                <w:lang w:val="en-US"/>
              </w:rPr>
            </w:pPr>
          </w:p>
        </w:tc>
        <w:tc>
          <w:tcPr>
            <w:tcW w:w="4513" w:type="dxa"/>
            <w:gridSpan w:val="2"/>
            <w:vMerge/>
          </w:tcPr>
          <w:p w14:paraId="70ED5294"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754B8643" w14:textId="77777777" w:rsidTr="53E3C463">
        <w:trPr>
          <w:trHeight w:val="1178"/>
        </w:trPr>
        <w:tc>
          <w:tcPr>
            <w:tcW w:w="4535" w:type="dxa"/>
            <w:gridSpan w:val="2"/>
            <w:vMerge/>
          </w:tcPr>
          <w:p w14:paraId="39C3C217"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9C539" w14:textId="77777777" w:rsidR="003A41BE" w:rsidRPr="00EC19E1" w:rsidRDefault="003A41BE" w:rsidP="00FD44CE">
            <w:pPr>
              <w:autoSpaceDE w:val="0"/>
              <w:autoSpaceDN w:val="0"/>
              <w:adjustRightInd w:val="0"/>
              <w:rPr>
                <w:rFonts w:eastAsia="Calibri" w:cs="Calibri"/>
                <w:sz w:val="22"/>
                <w:szCs w:val="22"/>
                <w:lang w:val="en-US"/>
              </w:rPr>
            </w:pPr>
            <w:r w:rsidRPr="00EC19E1">
              <w:rPr>
                <w:rFonts w:cstheme="minorHAnsi"/>
                <w:b/>
                <w:sz w:val="22"/>
                <w:szCs w:val="22"/>
                <w:lang w:val="en-US"/>
              </w:rPr>
              <w:t xml:space="preserve">Indicator 4.4.3: </w:t>
            </w:r>
            <w:r w:rsidRPr="00EC19E1">
              <w:rPr>
                <w:rFonts w:eastAsia="Calibri" w:cs="Calibri"/>
                <w:sz w:val="22"/>
                <w:szCs w:val="22"/>
                <w:lang w:val="en-US"/>
              </w:rPr>
              <w:t>Domestic resources for health financing</w:t>
            </w:r>
          </w:p>
          <w:tbl>
            <w:tblPr>
              <w:tblStyle w:val="TableGrid"/>
              <w:tblW w:w="0" w:type="auto"/>
              <w:tblLayout w:type="fixed"/>
              <w:tblLook w:val="04A0" w:firstRow="1" w:lastRow="0" w:firstColumn="1" w:lastColumn="0" w:noHBand="0" w:noVBand="1"/>
            </w:tblPr>
            <w:tblGrid>
              <w:gridCol w:w="1510"/>
              <w:gridCol w:w="1620"/>
            </w:tblGrid>
            <w:tr w:rsidR="003A41BE" w:rsidRPr="00EC19E1" w14:paraId="3F3B17F1" w14:textId="77777777" w:rsidTr="00FD44CE">
              <w:tc>
                <w:tcPr>
                  <w:tcW w:w="1510" w:type="dxa"/>
                </w:tcPr>
                <w:p w14:paraId="7A0FDF84" w14:textId="77777777" w:rsidR="003A41BE" w:rsidRPr="00EC19E1" w:rsidRDefault="003A41BE" w:rsidP="002A37E3">
                  <w:pPr>
                    <w:framePr w:hSpace="141" w:wrap="around" w:vAnchor="text" w:hAnchor="text" w:x="421" w:y="1"/>
                    <w:suppressOverlap/>
                    <w:jc w:val="center"/>
                    <w:rPr>
                      <w:sz w:val="22"/>
                      <w:szCs w:val="22"/>
                      <w:lang w:val="en-US"/>
                    </w:rPr>
                  </w:pPr>
                  <w:r w:rsidRPr="00EC19E1">
                    <w:rPr>
                      <w:sz w:val="22"/>
                      <w:szCs w:val="22"/>
                      <w:lang w:val="en-US"/>
                    </w:rPr>
                    <w:t>Baseline</w:t>
                  </w:r>
                </w:p>
              </w:tc>
              <w:tc>
                <w:tcPr>
                  <w:tcW w:w="1620" w:type="dxa"/>
                </w:tcPr>
                <w:p w14:paraId="4DFEB38D" w14:textId="77777777" w:rsidR="003A41BE" w:rsidRPr="00EC19E1" w:rsidRDefault="003A41BE" w:rsidP="002A37E3">
                  <w:pPr>
                    <w:framePr w:hSpace="141" w:wrap="around" w:vAnchor="text" w:hAnchor="text" w:x="421" w:y="1"/>
                    <w:suppressOverlap/>
                    <w:jc w:val="center"/>
                    <w:rPr>
                      <w:sz w:val="22"/>
                      <w:szCs w:val="22"/>
                      <w:lang w:val="en-US"/>
                    </w:rPr>
                  </w:pPr>
                  <w:r w:rsidRPr="00EC19E1">
                    <w:rPr>
                      <w:sz w:val="22"/>
                      <w:szCs w:val="22"/>
                      <w:lang w:val="en-US"/>
                    </w:rPr>
                    <w:t>Target</w:t>
                  </w:r>
                </w:p>
              </w:tc>
            </w:tr>
            <w:tr w:rsidR="003A41BE" w:rsidRPr="00EC19E1" w14:paraId="622C411E" w14:textId="77777777" w:rsidTr="00FD44CE">
              <w:tc>
                <w:tcPr>
                  <w:tcW w:w="1510" w:type="dxa"/>
                </w:tcPr>
                <w:p w14:paraId="59124BB8" w14:textId="77777777" w:rsidR="003A41BE" w:rsidRPr="00EC19E1" w:rsidRDefault="003A41BE" w:rsidP="002A37E3">
                  <w:pPr>
                    <w:framePr w:hSpace="141" w:wrap="around" w:vAnchor="text" w:hAnchor="text" w:x="421" w:y="1"/>
                    <w:suppressOverlap/>
                    <w:jc w:val="center"/>
                    <w:rPr>
                      <w:sz w:val="22"/>
                      <w:szCs w:val="22"/>
                      <w:lang w:val="en-US"/>
                    </w:rPr>
                  </w:pPr>
                  <w:r w:rsidRPr="00EC19E1">
                    <w:rPr>
                      <w:sz w:val="22"/>
                      <w:szCs w:val="22"/>
                      <w:lang w:val="en-US"/>
                    </w:rPr>
                    <w:t>6.7%</w:t>
                  </w:r>
                </w:p>
              </w:tc>
              <w:tc>
                <w:tcPr>
                  <w:tcW w:w="1620" w:type="dxa"/>
                </w:tcPr>
                <w:p w14:paraId="2DEFC383" w14:textId="77777777" w:rsidR="003A41BE" w:rsidRPr="00EC19E1" w:rsidRDefault="003A41BE" w:rsidP="002A37E3">
                  <w:pPr>
                    <w:framePr w:hSpace="141" w:wrap="around" w:vAnchor="text" w:hAnchor="text" w:x="421" w:y="1"/>
                    <w:suppressOverlap/>
                    <w:jc w:val="center"/>
                    <w:rPr>
                      <w:bCs/>
                      <w:sz w:val="22"/>
                      <w:szCs w:val="22"/>
                      <w:lang w:val="en-US"/>
                    </w:rPr>
                  </w:pPr>
                  <w:r w:rsidRPr="00EC19E1">
                    <w:rPr>
                      <w:rFonts w:cstheme="minorHAnsi"/>
                      <w:b/>
                      <w:sz w:val="22"/>
                      <w:szCs w:val="22"/>
                      <w:lang w:val="en-US"/>
                    </w:rPr>
                    <w:t>&gt;</w:t>
                  </w:r>
                  <w:r w:rsidRPr="00EC19E1">
                    <w:rPr>
                      <w:rFonts w:cstheme="minorHAnsi"/>
                      <w:sz w:val="22"/>
                      <w:szCs w:val="22"/>
                      <w:lang w:val="en-US"/>
                    </w:rPr>
                    <w:t>10%</w:t>
                  </w:r>
                </w:p>
              </w:tc>
            </w:tr>
          </w:tbl>
          <w:p w14:paraId="56CB1582" w14:textId="77777777" w:rsidR="003A41BE" w:rsidRPr="00EC19E1" w:rsidRDefault="003A41BE" w:rsidP="00FD44CE">
            <w:pPr>
              <w:autoSpaceDE w:val="0"/>
              <w:autoSpaceDN w:val="0"/>
              <w:adjustRightInd w:val="0"/>
              <w:rPr>
                <w:rFonts w:cstheme="minorHAnsi"/>
                <w:b/>
                <w:sz w:val="22"/>
                <w:szCs w:val="22"/>
                <w:lang w:val="en-US"/>
              </w:rPr>
            </w:pPr>
            <w:r w:rsidRPr="00EC19E1">
              <w:rPr>
                <w:rFonts w:cstheme="minorHAnsi"/>
                <w:bCs/>
                <w:sz w:val="22"/>
                <w:szCs w:val="22"/>
                <w:lang w:val="en-US"/>
              </w:rPr>
              <w:t>National Health Accounts</w:t>
            </w:r>
            <w:r w:rsidRPr="00EC19E1">
              <w:rPr>
                <w:rFonts w:cstheme="minorHAnsi"/>
                <w:sz w:val="22"/>
                <w:szCs w:val="22"/>
                <w:lang w:val="en-US"/>
              </w:rPr>
              <w:t xml:space="preserve"> 2017</w:t>
            </w:r>
          </w:p>
          <w:p w14:paraId="4804EE7F" w14:textId="77777777" w:rsidR="003A41BE" w:rsidRPr="00EC19E1" w:rsidRDefault="003A41BE" w:rsidP="00FD44CE">
            <w:pPr>
              <w:autoSpaceDE w:val="0"/>
              <w:autoSpaceDN w:val="0"/>
              <w:adjustRightInd w:val="0"/>
              <w:rPr>
                <w:rFonts w:ascii="Calibri" w:eastAsia="Calibri" w:hAnsi="Calibri" w:cs="Calibri"/>
                <w:lang w:val="en-US"/>
              </w:rPr>
            </w:pPr>
          </w:p>
        </w:tc>
        <w:tc>
          <w:tcPr>
            <w:tcW w:w="4513" w:type="dxa"/>
            <w:gridSpan w:val="2"/>
            <w:vMerge/>
          </w:tcPr>
          <w:p w14:paraId="003E68EA"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32776E0A" w14:textId="77777777" w:rsidTr="53E3C463">
        <w:trPr>
          <w:trHeight w:val="1178"/>
        </w:trPr>
        <w:tc>
          <w:tcPr>
            <w:tcW w:w="4535" w:type="dxa"/>
            <w:gridSpan w:val="2"/>
            <w:tcBorders>
              <w:left w:val="single" w:sz="4" w:space="0" w:color="auto"/>
              <w:bottom w:val="nil"/>
              <w:right w:val="single" w:sz="4" w:space="0" w:color="auto"/>
            </w:tcBorders>
            <w:shd w:val="clear" w:color="auto" w:fill="8EAADB" w:themeFill="accent1" w:themeFillTint="99"/>
          </w:tcPr>
          <w:p w14:paraId="6D6AAD74" w14:textId="77777777" w:rsidR="003A41BE" w:rsidRPr="00841766" w:rsidRDefault="003A41BE" w:rsidP="00FD44CE">
            <w:pPr>
              <w:jc w:val="both"/>
              <w:rPr>
                <w:rFonts w:cstheme="minorHAnsi"/>
                <w:b/>
                <w:color w:val="000000" w:themeColor="text1"/>
                <w:sz w:val="22"/>
                <w:szCs w:val="22"/>
                <w:lang w:val="en-US"/>
              </w:rPr>
            </w:pPr>
          </w:p>
        </w:tc>
        <w:tc>
          <w:tcPr>
            <w:tcW w:w="5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D1FC5" w14:textId="77777777" w:rsidR="003A41BE" w:rsidRDefault="003A41BE" w:rsidP="00FD44CE">
            <w:pPr>
              <w:autoSpaceDE w:val="0"/>
              <w:autoSpaceDN w:val="0"/>
              <w:adjustRightInd w:val="0"/>
              <w:rPr>
                <w:rFonts w:cstheme="minorHAnsi"/>
                <w:sz w:val="22"/>
                <w:szCs w:val="22"/>
                <w:lang w:val="en-US"/>
              </w:rPr>
            </w:pPr>
            <w:r w:rsidRPr="00841766">
              <w:rPr>
                <w:rFonts w:cstheme="minorHAnsi"/>
                <w:b/>
                <w:sz w:val="22"/>
                <w:szCs w:val="22"/>
                <w:lang w:val="en-US"/>
              </w:rPr>
              <w:t xml:space="preserve">Indicator 4.4.4: </w:t>
            </w:r>
            <w:r w:rsidRPr="00841766">
              <w:rPr>
                <w:rFonts w:cstheme="minorHAnsi"/>
                <w:sz w:val="22"/>
                <w:szCs w:val="22"/>
                <w:lang w:val="en-US"/>
              </w:rPr>
              <w:t xml:space="preserve">Percentage of allocations and expenditure in the State Budget for programmes and/or activities related to health which are tagged [P] for principal compared to overall allocations and expenditure for health programmes </w:t>
            </w:r>
          </w:p>
          <w:tbl>
            <w:tblPr>
              <w:tblStyle w:val="TableGrid"/>
              <w:tblW w:w="0" w:type="auto"/>
              <w:tblLayout w:type="fixed"/>
              <w:tblLook w:val="04A0" w:firstRow="1" w:lastRow="0" w:firstColumn="1" w:lastColumn="0" w:noHBand="0" w:noVBand="1"/>
            </w:tblPr>
            <w:tblGrid>
              <w:gridCol w:w="2369"/>
              <w:gridCol w:w="1620"/>
            </w:tblGrid>
            <w:tr w:rsidR="003A41BE" w:rsidRPr="002A7985" w14:paraId="59674397" w14:textId="77777777" w:rsidTr="00FD44CE">
              <w:tc>
                <w:tcPr>
                  <w:tcW w:w="2369" w:type="dxa"/>
                  <w:shd w:val="clear" w:color="auto" w:fill="auto"/>
                </w:tcPr>
                <w:p w14:paraId="3108A04F"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Baseline</w:t>
                  </w:r>
                </w:p>
              </w:tc>
              <w:tc>
                <w:tcPr>
                  <w:tcW w:w="1620" w:type="dxa"/>
                  <w:shd w:val="clear" w:color="auto" w:fill="auto"/>
                </w:tcPr>
                <w:p w14:paraId="32FAC513"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Target</w:t>
                  </w:r>
                </w:p>
              </w:tc>
            </w:tr>
            <w:tr w:rsidR="003A41BE" w:rsidRPr="002A7985" w14:paraId="791F5DE7" w14:textId="77777777" w:rsidTr="00FD44CE">
              <w:tc>
                <w:tcPr>
                  <w:tcW w:w="2369" w:type="dxa"/>
                  <w:shd w:val="clear" w:color="auto" w:fill="auto"/>
                </w:tcPr>
                <w:p w14:paraId="6998E1F4"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TBD</w:t>
                  </w:r>
                </w:p>
              </w:tc>
              <w:tc>
                <w:tcPr>
                  <w:tcW w:w="1620" w:type="dxa"/>
                  <w:shd w:val="clear" w:color="auto" w:fill="auto"/>
                </w:tcPr>
                <w:p w14:paraId="29212F46" w14:textId="77777777" w:rsidR="003A41BE" w:rsidRPr="002A7985" w:rsidRDefault="003A41BE" w:rsidP="002A37E3">
                  <w:pPr>
                    <w:framePr w:hSpace="141" w:wrap="around" w:vAnchor="text" w:hAnchor="text" w:x="421" w:y="1"/>
                    <w:suppressOverlap/>
                    <w:jc w:val="center"/>
                    <w:rPr>
                      <w:bCs/>
                      <w:sz w:val="22"/>
                      <w:szCs w:val="22"/>
                      <w:lang w:val="en-US"/>
                    </w:rPr>
                  </w:pPr>
                  <w:r w:rsidRPr="002A7985">
                    <w:rPr>
                      <w:rFonts w:cstheme="minorHAnsi"/>
                      <w:bCs/>
                      <w:sz w:val="22"/>
                      <w:szCs w:val="22"/>
                      <w:lang w:val="en-US"/>
                    </w:rPr>
                    <w:t>TBD</w:t>
                  </w:r>
                </w:p>
              </w:tc>
            </w:tr>
          </w:tbl>
          <w:p w14:paraId="43626014" w14:textId="77777777" w:rsidR="003A41BE" w:rsidRPr="00841766" w:rsidRDefault="003A41BE" w:rsidP="00FD44CE">
            <w:pPr>
              <w:autoSpaceDE w:val="0"/>
              <w:autoSpaceDN w:val="0"/>
              <w:adjustRightInd w:val="0"/>
              <w:rPr>
                <w:rFonts w:cstheme="minorHAnsi"/>
                <w:b/>
                <w:sz w:val="22"/>
                <w:szCs w:val="22"/>
                <w:lang w:val="en-US"/>
              </w:rPr>
            </w:pPr>
            <w:r w:rsidRPr="002A7985">
              <w:rPr>
                <w:rFonts w:cstheme="minorHAnsi"/>
                <w:bCs/>
                <w:sz w:val="22"/>
                <w:szCs w:val="22"/>
                <w:lang w:val="en-US"/>
              </w:rPr>
              <w:t>Data Source:</w:t>
            </w:r>
            <w:r w:rsidRPr="002A7985">
              <w:rPr>
                <w:rFonts w:cstheme="minorHAnsi"/>
                <w:b/>
                <w:sz w:val="22"/>
                <w:szCs w:val="22"/>
                <w:lang w:val="en-US"/>
              </w:rPr>
              <w:t xml:space="preserve"> </w:t>
            </w:r>
            <w:r w:rsidRPr="002A7985">
              <w:rPr>
                <w:rFonts w:cstheme="minorHAnsi"/>
                <w:sz w:val="22"/>
                <w:szCs w:val="22"/>
                <w:lang w:val="en-US"/>
              </w:rPr>
              <w:t>State Budget Book</w:t>
            </w:r>
            <w:r w:rsidRPr="00841766">
              <w:rPr>
                <w:rFonts w:cstheme="minorHAnsi"/>
                <w:sz w:val="22"/>
                <w:szCs w:val="22"/>
                <w:lang w:val="en-US"/>
              </w:rPr>
              <w:t xml:space="preserve"> 2 (gender marker) and </w:t>
            </w:r>
            <w:proofErr w:type="spellStart"/>
            <w:r w:rsidRPr="00841766">
              <w:rPr>
                <w:rFonts w:cstheme="minorHAnsi"/>
                <w:sz w:val="22"/>
                <w:szCs w:val="22"/>
                <w:lang w:val="en-US"/>
              </w:rPr>
              <w:t>Dalan</w:t>
            </w:r>
            <w:proofErr w:type="spellEnd"/>
            <w:r w:rsidRPr="00841766">
              <w:rPr>
                <w:rFonts w:cstheme="minorHAnsi"/>
                <w:sz w:val="22"/>
                <w:szCs w:val="22"/>
                <w:lang w:val="en-US"/>
              </w:rPr>
              <w:t xml:space="preserve"> </w:t>
            </w:r>
            <w:proofErr w:type="spellStart"/>
            <w:r w:rsidRPr="00841766">
              <w:rPr>
                <w:rFonts w:cstheme="minorHAnsi"/>
                <w:sz w:val="22"/>
                <w:szCs w:val="22"/>
                <w:lang w:val="en-US"/>
              </w:rPr>
              <w:t>ba</w:t>
            </w:r>
            <w:proofErr w:type="spellEnd"/>
            <w:r w:rsidRPr="00841766">
              <w:rPr>
                <w:rFonts w:cstheme="minorHAnsi"/>
                <w:sz w:val="22"/>
                <w:szCs w:val="22"/>
                <w:lang w:val="en-US"/>
              </w:rPr>
              <w:t xml:space="preserve"> </w:t>
            </w:r>
            <w:proofErr w:type="spellStart"/>
            <w:r w:rsidRPr="00841766">
              <w:rPr>
                <w:rFonts w:cstheme="minorHAnsi"/>
                <w:sz w:val="22"/>
                <w:szCs w:val="22"/>
                <w:lang w:val="en-US"/>
              </w:rPr>
              <w:t>Futuru</w:t>
            </w:r>
            <w:proofErr w:type="spellEnd"/>
          </w:p>
          <w:p w14:paraId="300CAE2B" w14:textId="77777777" w:rsidR="003A41BE" w:rsidRPr="00841766" w:rsidRDefault="003A41BE" w:rsidP="00FD44CE">
            <w:pPr>
              <w:autoSpaceDE w:val="0"/>
              <w:autoSpaceDN w:val="0"/>
              <w:adjustRightInd w:val="0"/>
              <w:rPr>
                <w:rFonts w:cstheme="minorHAnsi"/>
                <w:b/>
                <w:sz w:val="22"/>
                <w:szCs w:val="22"/>
                <w:lang w:val="en-US"/>
              </w:rPr>
            </w:pPr>
          </w:p>
        </w:tc>
        <w:tc>
          <w:tcPr>
            <w:tcW w:w="4513" w:type="dxa"/>
            <w:gridSpan w:val="2"/>
            <w:tcBorders>
              <w:left w:val="single" w:sz="4" w:space="0" w:color="auto"/>
              <w:bottom w:val="nil"/>
              <w:right w:val="single" w:sz="4" w:space="0" w:color="auto"/>
            </w:tcBorders>
          </w:tcPr>
          <w:p w14:paraId="7182655C"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33F4C589" w14:textId="77777777" w:rsidTr="53E3C463">
        <w:trPr>
          <w:trHeight w:val="549"/>
        </w:trPr>
        <w:tc>
          <w:tcPr>
            <w:tcW w:w="4535" w:type="dxa"/>
            <w:gridSpan w:val="2"/>
            <w:tcBorders>
              <w:top w:val="single" w:sz="4" w:space="0" w:color="auto"/>
              <w:left w:val="single" w:sz="4" w:space="0" w:color="auto"/>
              <w:right w:val="single" w:sz="4" w:space="0" w:color="auto"/>
            </w:tcBorders>
            <w:shd w:val="clear" w:color="auto" w:fill="2F5496" w:themeFill="accent1" w:themeFillShade="BF"/>
            <w:vAlign w:val="center"/>
          </w:tcPr>
          <w:p w14:paraId="2AC5339A" w14:textId="77777777" w:rsidR="003A41BE" w:rsidRPr="00841766" w:rsidRDefault="003A41BE" w:rsidP="00FD44CE">
            <w:pPr>
              <w:tabs>
                <w:tab w:val="left" w:pos="245"/>
              </w:tabs>
              <w:autoSpaceDE w:val="0"/>
              <w:autoSpaceDN w:val="0"/>
              <w:adjustRightInd w:val="0"/>
              <w:rPr>
                <w:rFonts w:cstheme="minorHAnsi"/>
                <w:sz w:val="26"/>
                <w:szCs w:val="26"/>
                <w:lang w:val="en-US"/>
              </w:rPr>
            </w:pPr>
            <w:r w:rsidRPr="00841766">
              <w:rPr>
                <w:rFonts w:cstheme="minorHAnsi"/>
                <w:color w:val="FFFFFF" w:themeColor="background1"/>
                <w:sz w:val="26"/>
                <w:szCs w:val="26"/>
                <w:lang w:val="en-US"/>
              </w:rPr>
              <w:t>UNSDCF Strategic Priority 5</w:t>
            </w:r>
          </w:p>
        </w:tc>
        <w:tc>
          <w:tcPr>
            <w:tcW w:w="9923" w:type="dxa"/>
            <w:gridSpan w:val="4"/>
            <w:tcBorders>
              <w:top w:val="single" w:sz="4" w:space="0" w:color="auto"/>
              <w:left w:val="single" w:sz="4" w:space="0" w:color="auto"/>
              <w:right w:val="single" w:sz="4" w:space="0" w:color="auto"/>
            </w:tcBorders>
            <w:shd w:val="clear" w:color="auto" w:fill="2F5496" w:themeFill="accent1" w:themeFillShade="BF"/>
            <w:vAlign w:val="center"/>
          </w:tcPr>
          <w:p w14:paraId="6A5956BC" w14:textId="77777777" w:rsidR="003A41BE" w:rsidRPr="00841766" w:rsidRDefault="003A41BE" w:rsidP="00FD44CE">
            <w:pPr>
              <w:tabs>
                <w:tab w:val="left" w:pos="245"/>
              </w:tabs>
              <w:autoSpaceDE w:val="0"/>
              <w:autoSpaceDN w:val="0"/>
              <w:adjustRightInd w:val="0"/>
              <w:jc w:val="center"/>
              <w:rPr>
                <w:rFonts w:ascii="Calibri" w:hAnsi="Calibri" w:cs="Calibri"/>
                <w:b/>
                <w:color w:val="FFFFFF" w:themeColor="background1"/>
                <w:sz w:val="26"/>
                <w:szCs w:val="26"/>
                <w:lang w:val="en-US"/>
              </w:rPr>
            </w:pPr>
            <w:r w:rsidRPr="00841766">
              <w:rPr>
                <w:rFonts w:ascii="Calibri" w:hAnsi="Calibri" w:cs="Calibri"/>
                <w:b/>
                <w:color w:val="FFFFFF" w:themeColor="background1"/>
                <w:sz w:val="26"/>
                <w:szCs w:val="26"/>
                <w:lang w:val="en-US"/>
              </w:rPr>
              <w:t xml:space="preserve">ACCOUNTABLE, INCLUSIVE AND PARTICIPATORY GOVERNANCE AND QUALITY </w:t>
            </w:r>
          </w:p>
          <w:p w14:paraId="0061688E" w14:textId="77777777" w:rsidR="003A41BE" w:rsidRPr="00841766" w:rsidRDefault="003A41BE" w:rsidP="00FD44CE">
            <w:pPr>
              <w:tabs>
                <w:tab w:val="left" w:pos="245"/>
              </w:tabs>
              <w:autoSpaceDE w:val="0"/>
              <w:autoSpaceDN w:val="0"/>
              <w:adjustRightInd w:val="0"/>
              <w:jc w:val="center"/>
              <w:rPr>
                <w:rFonts w:cstheme="minorHAnsi"/>
                <w:color w:val="FFFFFF" w:themeColor="background1"/>
                <w:sz w:val="26"/>
                <w:szCs w:val="26"/>
                <w:lang w:val="en-US"/>
              </w:rPr>
            </w:pPr>
            <w:r w:rsidRPr="00841766">
              <w:rPr>
                <w:rFonts w:ascii="Calibri" w:hAnsi="Calibri" w:cs="Calibri"/>
                <w:b/>
                <w:color w:val="FFFFFF" w:themeColor="background1"/>
                <w:sz w:val="26"/>
                <w:szCs w:val="26"/>
                <w:lang w:val="en-US"/>
              </w:rPr>
              <w:t>PUBLIC SERVICES</w:t>
            </w:r>
            <w:r w:rsidRPr="00841766">
              <w:rPr>
                <w:rFonts w:ascii="Calibri" w:hAnsi="Calibri" w:cs="Calibri"/>
                <w:color w:val="FFFFFF" w:themeColor="background1"/>
                <w:sz w:val="26"/>
                <w:szCs w:val="26"/>
                <w:lang w:val="en-US"/>
              </w:rPr>
              <w:t xml:space="preserve"> </w:t>
            </w:r>
          </w:p>
        </w:tc>
      </w:tr>
      <w:tr w:rsidR="003A41BE" w:rsidRPr="00841766" w14:paraId="65083936" w14:textId="77777777" w:rsidTr="53E3C463">
        <w:trPr>
          <w:trHeight w:val="549"/>
        </w:trPr>
        <w:tc>
          <w:tcPr>
            <w:tcW w:w="14458" w:type="dxa"/>
            <w:gridSpan w:val="6"/>
            <w:tcBorders>
              <w:top w:val="single" w:sz="4" w:space="0" w:color="auto"/>
              <w:left w:val="single" w:sz="4" w:space="0" w:color="auto"/>
              <w:right w:val="single" w:sz="4" w:space="0" w:color="auto"/>
            </w:tcBorders>
            <w:shd w:val="clear" w:color="auto" w:fill="BFBFBF" w:themeFill="background1" w:themeFillShade="BF"/>
            <w:vAlign w:val="center"/>
          </w:tcPr>
          <w:p w14:paraId="504AEA38" w14:textId="77777777" w:rsidR="003A41BE" w:rsidRPr="00841766" w:rsidRDefault="003A41BE" w:rsidP="00FD44CE">
            <w:pPr>
              <w:tabs>
                <w:tab w:val="left" w:pos="245"/>
              </w:tabs>
              <w:autoSpaceDE w:val="0"/>
              <w:autoSpaceDN w:val="0"/>
              <w:adjustRightInd w:val="0"/>
              <w:rPr>
                <w:rFonts w:ascii="Calibri" w:hAnsi="Calibri" w:cs="Calibri"/>
                <w:b/>
                <w:color w:val="FFFFFF" w:themeColor="background1"/>
                <w:sz w:val="26"/>
                <w:szCs w:val="26"/>
                <w:lang w:val="en-US"/>
              </w:rPr>
            </w:pPr>
            <w:r w:rsidRPr="00841766">
              <w:rPr>
                <w:rFonts w:cstheme="minorHAnsi"/>
                <w:b/>
                <w:lang w:val="en-US"/>
              </w:rPr>
              <w:t>Related Global SDG Targets</w:t>
            </w:r>
          </w:p>
        </w:tc>
      </w:tr>
      <w:tr w:rsidR="003A41BE" w:rsidRPr="006444BA" w14:paraId="1D47F9AC" w14:textId="77777777" w:rsidTr="53E3C463">
        <w:trPr>
          <w:trHeight w:val="549"/>
        </w:trPr>
        <w:tc>
          <w:tcPr>
            <w:tcW w:w="14458" w:type="dxa"/>
            <w:gridSpan w:val="6"/>
            <w:tcBorders>
              <w:top w:val="single" w:sz="4" w:space="0" w:color="auto"/>
              <w:left w:val="single" w:sz="4" w:space="0" w:color="auto"/>
              <w:right w:val="single" w:sz="4" w:space="0" w:color="auto"/>
            </w:tcBorders>
            <w:shd w:val="clear" w:color="auto" w:fill="BFBFBF" w:themeFill="background1" w:themeFillShade="BF"/>
            <w:vAlign w:val="center"/>
          </w:tcPr>
          <w:p w14:paraId="0787C8C7" w14:textId="77777777" w:rsidR="003A41BE" w:rsidRPr="00841766" w:rsidRDefault="003A41BE" w:rsidP="00FD44CE">
            <w:pPr>
              <w:pStyle w:val="Default"/>
              <w:rPr>
                <w:rFonts w:asciiTheme="minorHAnsi" w:hAnsiTheme="minorHAnsi"/>
                <w:sz w:val="22"/>
                <w:szCs w:val="22"/>
                <w:lang w:val="en-US"/>
              </w:rPr>
            </w:pPr>
            <w:r w:rsidRPr="00841766">
              <w:rPr>
                <w:rFonts w:asciiTheme="minorHAnsi" w:hAnsiTheme="minorHAnsi"/>
                <w:sz w:val="22"/>
                <w:szCs w:val="22"/>
                <w:lang w:val="en-US"/>
              </w:rPr>
              <w:t>5.1 End all forms of discrimination against all women and girls everywhere</w:t>
            </w:r>
          </w:p>
          <w:p w14:paraId="7F2E2CF1" w14:textId="77777777" w:rsidR="003A41BE" w:rsidRPr="00841766" w:rsidRDefault="003A41BE" w:rsidP="00FD44CE">
            <w:pPr>
              <w:pStyle w:val="Default"/>
              <w:rPr>
                <w:rFonts w:asciiTheme="minorHAnsi" w:hAnsiTheme="minorHAnsi"/>
                <w:sz w:val="22"/>
                <w:szCs w:val="22"/>
                <w:lang w:val="en-US"/>
              </w:rPr>
            </w:pPr>
          </w:p>
          <w:p w14:paraId="297F11AA" w14:textId="77777777" w:rsidR="003A41BE" w:rsidRPr="003F4BC2" w:rsidRDefault="003A41BE" w:rsidP="00FD44CE">
            <w:pPr>
              <w:pStyle w:val="Default"/>
              <w:rPr>
                <w:rFonts w:asciiTheme="minorHAnsi" w:hAnsiTheme="minorHAnsi"/>
                <w:bCs/>
                <w:sz w:val="22"/>
                <w:szCs w:val="22"/>
                <w:lang w:val="en-US"/>
              </w:rPr>
            </w:pPr>
            <w:r w:rsidRPr="003F4BC2">
              <w:rPr>
                <w:rFonts w:asciiTheme="minorHAnsi" w:hAnsiTheme="minorHAnsi"/>
                <w:bCs/>
                <w:sz w:val="22"/>
                <w:szCs w:val="22"/>
                <w:lang w:val="en-US"/>
              </w:rPr>
              <w:t xml:space="preserve">5.2 Eliminate all forms of violence against all women and girls in the public and private spheres, including trafficking and sexual and other types of exploitation </w:t>
            </w:r>
          </w:p>
          <w:p w14:paraId="0AD560D5" w14:textId="77777777" w:rsidR="003A41BE" w:rsidRPr="00841766" w:rsidRDefault="003A41BE" w:rsidP="00FD44CE">
            <w:pPr>
              <w:pStyle w:val="Default"/>
              <w:rPr>
                <w:rFonts w:asciiTheme="minorHAnsi" w:hAnsiTheme="minorHAnsi"/>
                <w:b/>
                <w:sz w:val="22"/>
                <w:szCs w:val="22"/>
                <w:lang w:val="en-US"/>
              </w:rPr>
            </w:pPr>
          </w:p>
          <w:p w14:paraId="36F07617"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 xml:space="preserve">5.c Adopt and strengthen sound policies and enforceable legislation for the promotion of gender equality and the empowerment of all women and girls at all levels </w:t>
            </w:r>
          </w:p>
          <w:p w14:paraId="41EF185D" w14:textId="77777777" w:rsidR="003A41BE" w:rsidRPr="00841766" w:rsidRDefault="003A41BE" w:rsidP="00FD44CE">
            <w:pPr>
              <w:pStyle w:val="Default"/>
              <w:rPr>
                <w:rFonts w:asciiTheme="minorHAnsi" w:hAnsiTheme="minorHAnsi"/>
                <w:sz w:val="22"/>
                <w:szCs w:val="22"/>
                <w:lang w:val="en-US"/>
              </w:rPr>
            </w:pPr>
            <w:r w:rsidRPr="00841766">
              <w:rPr>
                <w:rFonts w:asciiTheme="minorHAnsi" w:hAnsiTheme="minorHAnsi"/>
                <w:sz w:val="22"/>
                <w:szCs w:val="22"/>
                <w:lang w:val="en-US"/>
              </w:rPr>
              <w:t>10.7 Facilitate orderly, safe, regular and responsible migration and mobility of people, including through the implementation of planned and well-managed migration policies</w:t>
            </w:r>
          </w:p>
          <w:p w14:paraId="0C86709E" w14:textId="77777777" w:rsidR="003A41BE" w:rsidRPr="00841766" w:rsidRDefault="003A41BE" w:rsidP="00FD44CE">
            <w:pPr>
              <w:pStyle w:val="Default"/>
              <w:rPr>
                <w:rFonts w:asciiTheme="minorHAnsi" w:hAnsiTheme="minorHAnsi"/>
                <w:sz w:val="22"/>
                <w:szCs w:val="22"/>
                <w:lang w:val="en-US"/>
              </w:rPr>
            </w:pPr>
          </w:p>
          <w:p w14:paraId="1C9B2628" w14:textId="77777777" w:rsidR="003A41BE" w:rsidRPr="00841766" w:rsidRDefault="003A41BE" w:rsidP="00FD44CE">
            <w:pPr>
              <w:pStyle w:val="Default"/>
              <w:rPr>
                <w:rFonts w:asciiTheme="minorHAnsi" w:eastAsia="Times New Roman" w:hAnsiTheme="minorHAnsi"/>
                <w:color w:val="auto"/>
                <w:sz w:val="22"/>
                <w:szCs w:val="22"/>
                <w:lang w:val="en-US" w:eastAsia="fr-FR"/>
              </w:rPr>
            </w:pPr>
            <w:r w:rsidRPr="00841766">
              <w:rPr>
                <w:rFonts w:asciiTheme="minorHAnsi" w:eastAsia="Times New Roman" w:hAnsiTheme="minorHAnsi"/>
                <w:color w:val="auto"/>
                <w:sz w:val="22"/>
                <w:szCs w:val="22"/>
                <w:lang w:val="en-US" w:eastAsia="fr-FR"/>
              </w:rPr>
              <w:t xml:space="preserve">16.1 Significantly reduce all forms of violence and related death rates everywhere </w:t>
            </w:r>
          </w:p>
          <w:p w14:paraId="07138E52" w14:textId="77777777" w:rsidR="003A41BE" w:rsidRPr="00841766" w:rsidRDefault="003A41BE" w:rsidP="00FD44CE">
            <w:pPr>
              <w:rPr>
                <w:sz w:val="22"/>
                <w:szCs w:val="22"/>
                <w:lang w:val="en-US"/>
              </w:rPr>
            </w:pPr>
          </w:p>
          <w:p w14:paraId="1447A5B3" w14:textId="77777777" w:rsidR="003A41BE" w:rsidRPr="00841766" w:rsidRDefault="003A41BE" w:rsidP="00FD44CE">
            <w:pPr>
              <w:pStyle w:val="Default"/>
              <w:rPr>
                <w:rFonts w:asciiTheme="minorHAnsi" w:eastAsia="Times New Roman" w:hAnsiTheme="minorHAnsi"/>
                <w:color w:val="auto"/>
                <w:sz w:val="22"/>
                <w:szCs w:val="22"/>
                <w:lang w:val="en-US" w:eastAsia="fr-FR"/>
              </w:rPr>
            </w:pPr>
            <w:r w:rsidRPr="00841766">
              <w:rPr>
                <w:rFonts w:asciiTheme="minorHAnsi" w:eastAsia="Times New Roman" w:hAnsiTheme="minorHAnsi"/>
                <w:color w:val="auto"/>
                <w:sz w:val="22"/>
                <w:szCs w:val="22"/>
                <w:lang w:val="en-US" w:eastAsia="fr-FR"/>
              </w:rPr>
              <w:t xml:space="preserve">16.2 End abuse, exploitation, trafficking and all forms of violence against and torture of children </w:t>
            </w:r>
          </w:p>
          <w:p w14:paraId="1BAC8990" w14:textId="77777777" w:rsidR="003A41BE" w:rsidRPr="00841766" w:rsidRDefault="003A41BE" w:rsidP="00FD44CE">
            <w:pPr>
              <w:rPr>
                <w:sz w:val="22"/>
                <w:szCs w:val="22"/>
                <w:lang w:val="en-US"/>
              </w:rPr>
            </w:pPr>
          </w:p>
          <w:p w14:paraId="4526225E" w14:textId="77777777" w:rsidR="003A41BE" w:rsidRPr="003F4BC2" w:rsidRDefault="003A41BE" w:rsidP="00FD44CE">
            <w:pPr>
              <w:rPr>
                <w:bCs/>
                <w:sz w:val="22"/>
                <w:szCs w:val="22"/>
                <w:lang w:val="en-US"/>
              </w:rPr>
            </w:pPr>
            <w:r w:rsidRPr="003F4BC2">
              <w:rPr>
                <w:bCs/>
                <w:sz w:val="22"/>
                <w:szCs w:val="22"/>
                <w:lang w:val="en-US"/>
              </w:rPr>
              <w:t xml:space="preserve">16.3 Promote the rule of law at the national and international levels and ensure equal access to justice for all </w:t>
            </w:r>
          </w:p>
          <w:p w14:paraId="63014DCF" w14:textId="77777777" w:rsidR="003A41BE" w:rsidRPr="00C820DE" w:rsidRDefault="003A41BE" w:rsidP="00FD44CE">
            <w:pPr>
              <w:rPr>
                <w:sz w:val="22"/>
                <w:szCs w:val="22"/>
                <w:lang w:val="en-US"/>
              </w:rPr>
            </w:pPr>
          </w:p>
          <w:p w14:paraId="4412D9FD" w14:textId="77777777" w:rsidR="003A41BE" w:rsidRPr="00883301" w:rsidRDefault="003A41BE" w:rsidP="00FD44CE">
            <w:pPr>
              <w:pStyle w:val="Default"/>
              <w:rPr>
                <w:rFonts w:asciiTheme="minorHAnsi" w:hAnsiTheme="minorHAnsi"/>
                <w:sz w:val="22"/>
                <w:szCs w:val="22"/>
                <w:lang w:val="en-US"/>
              </w:rPr>
            </w:pPr>
            <w:r w:rsidRPr="00883301">
              <w:rPr>
                <w:rFonts w:asciiTheme="minorHAnsi" w:hAnsiTheme="minorHAnsi"/>
                <w:sz w:val="22"/>
                <w:szCs w:val="22"/>
                <w:lang w:val="en-US"/>
              </w:rPr>
              <w:t xml:space="preserve">16.5 Substantially reduce corruption and bribery in all their forms </w:t>
            </w:r>
          </w:p>
          <w:p w14:paraId="224185F2" w14:textId="77777777" w:rsidR="003A41BE" w:rsidRPr="00883301" w:rsidRDefault="003A41BE" w:rsidP="00FD44CE">
            <w:pPr>
              <w:pStyle w:val="Default"/>
              <w:rPr>
                <w:rFonts w:asciiTheme="minorHAnsi" w:hAnsiTheme="minorHAnsi"/>
                <w:b/>
                <w:sz w:val="22"/>
                <w:szCs w:val="22"/>
                <w:lang w:val="en-US"/>
              </w:rPr>
            </w:pPr>
          </w:p>
          <w:p w14:paraId="46BC4FE2" w14:textId="77777777" w:rsidR="003A41BE" w:rsidRPr="003F4BC2" w:rsidRDefault="003A41BE" w:rsidP="00FD44CE">
            <w:pPr>
              <w:pStyle w:val="Default"/>
              <w:rPr>
                <w:rFonts w:asciiTheme="minorHAnsi" w:hAnsiTheme="minorHAnsi"/>
                <w:bCs/>
                <w:sz w:val="22"/>
                <w:szCs w:val="22"/>
                <w:lang w:val="en-US"/>
              </w:rPr>
            </w:pPr>
            <w:r w:rsidRPr="003F4BC2">
              <w:rPr>
                <w:rFonts w:asciiTheme="minorHAnsi" w:hAnsiTheme="minorHAnsi"/>
                <w:bCs/>
                <w:sz w:val="22"/>
                <w:szCs w:val="22"/>
                <w:lang w:val="en-US"/>
              </w:rPr>
              <w:t xml:space="preserve">16.6 Develop effective, accountable and transparent institutions at all levels </w:t>
            </w:r>
          </w:p>
          <w:p w14:paraId="41516911" w14:textId="77777777" w:rsidR="003A41BE" w:rsidRPr="00C820DE" w:rsidRDefault="003A41BE" w:rsidP="00FD44CE">
            <w:pPr>
              <w:rPr>
                <w:bCs/>
                <w:sz w:val="22"/>
                <w:szCs w:val="22"/>
                <w:lang w:val="en-US"/>
              </w:rPr>
            </w:pPr>
          </w:p>
          <w:p w14:paraId="6B389474" w14:textId="77777777" w:rsidR="003A41BE" w:rsidRPr="003F4BC2" w:rsidRDefault="003A41BE" w:rsidP="00FD44CE">
            <w:pPr>
              <w:rPr>
                <w:bCs/>
                <w:sz w:val="22"/>
                <w:szCs w:val="22"/>
                <w:lang w:val="en-US"/>
              </w:rPr>
            </w:pPr>
            <w:r w:rsidRPr="003F4BC2">
              <w:rPr>
                <w:bCs/>
                <w:sz w:val="22"/>
                <w:szCs w:val="22"/>
                <w:lang w:val="en-US"/>
              </w:rPr>
              <w:t xml:space="preserve">16.7 Ensure responsive, inclusive, participatory and representative decision-making at all levels </w:t>
            </w:r>
          </w:p>
          <w:p w14:paraId="74A419D4" w14:textId="77777777" w:rsidR="003A41BE" w:rsidRPr="00C820DE" w:rsidRDefault="003A41BE" w:rsidP="00FD44CE">
            <w:pPr>
              <w:rPr>
                <w:rFonts w:cstheme="minorHAnsi"/>
                <w:sz w:val="22"/>
                <w:szCs w:val="22"/>
                <w:lang w:val="en-US"/>
              </w:rPr>
            </w:pPr>
          </w:p>
          <w:p w14:paraId="567FC53D" w14:textId="77777777" w:rsidR="003A41BE" w:rsidRPr="00883301" w:rsidRDefault="003A41BE" w:rsidP="00FD44CE">
            <w:pPr>
              <w:pStyle w:val="Default"/>
              <w:rPr>
                <w:rFonts w:asciiTheme="minorHAnsi" w:hAnsiTheme="minorHAnsi"/>
                <w:sz w:val="22"/>
                <w:szCs w:val="22"/>
                <w:lang w:val="en-US"/>
              </w:rPr>
            </w:pPr>
            <w:r w:rsidRPr="00883301">
              <w:rPr>
                <w:rFonts w:asciiTheme="minorHAnsi" w:hAnsiTheme="minorHAnsi"/>
                <w:sz w:val="22"/>
                <w:szCs w:val="22"/>
                <w:lang w:val="en-US"/>
              </w:rPr>
              <w:t xml:space="preserve">16.10 Ensure public access to information and protect fundamental freedoms, in accordance with national legislation and international agreements </w:t>
            </w:r>
          </w:p>
          <w:p w14:paraId="7EBE8C4C" w14:textId="77777777" w:rsidR="003A41BE" w:rsidRPr="00883301" w:rsidRDefault="003A41BE" w:rsidP="00FD44CE">
            <w:pPr>
              <w:pStyle w:val="Default"/>
              <w:rPr>
                <w:rFonts w:asciiTheme="minorHAnsi" w:hAnsiTheme="minorHAnsi"/>
                <w:sz w:val="22"/>
                <w:szCs w:val="22"/>
                <w:lang w:val="en-US"/>
              </w:rPr>
            </w:pPr>
          </w:p>
          <w:p w14:paraId="6F194953" w14:textId="77777777" w:rsidR="003A41BE" w:rsidRPr="00883301" w:rsidRDefault="003A41BE" w:rsidP="00FD44CE">
            <w:pPr>
              <w:pStyle w:val="Default"/>
              <w:rPr>
                <w:rFonts w:asciiTheme="minorHAnsi" w:hAnsiTheme="minorHAnsi"/>
                <w:sz w:val="22"/>
                <w:szCs w:val="22"/>
                <w:lang w:val="en-US"/>
              </w:rPr>
            </w:pPr>
            <w:r w:rsidRPr="00883301">
              <w:rPr>
                <w:rFonts w:asciiTheme="minorHAnsi" w:hAnsiTheme="minorHAnsi"/>
                <w:sz w:val="22"/>
                <w:szCs w:val="22"/>
                <w:lang w:val="en-US"/>
              </w:rPr>
              <w:t xml:space="preserve">16.a Strengthen relevant national institutions, including through international cooperation, for building capacity at all levels, in particular in developing countries, to prevent violence and combat terrorism and crime </w:t>
            </w:r>
          </w:p>
          <w:p w14:paraId="381EEFF6" w14:textId="77777777" w:rsidR="003A41BE" w:rsidRPr="00883301" w:rsidRDefault="003A41BE" w:rsidP="00FD44CE">
            <w:pPr>
              <w:pStyle w:val="Default"/>
              <w:rPr>
                <w:rFonts w:asciiTheme="minorHAnsi" w:hAnsiTheme="minorHAnsi"/>
                <w:sz w:val="22"/>
                <w:szCs w:val="22"/>
                <w:lang w:val="en-US"/>
              </w:rPr>
            </w:pPr>
          </w:p>
          <w:p w14:paraId="15E87F1F" w14:textId="77777777" w:rsidR="003A41BE" w:rsidRPr="003F4BC2" w:rsidRDefault="003A41BE" w:rsidP="00FD44CE">
            <w:pPr>
              <w:pStyle w:val="Default"/>
              <w:rPr>
                <w:rFonts w:asciiTheme="minorHAnsi" w:hAnsiTheme="minorHAnsi"/>
                <w:bCs/>
                <w:sz w:val="22"/>
                <w:szCs w:val="22"/>
                <w:lang w:val="en-US"/>
              </w:rPr>
            </w:pPr>
            <w:r w:rsidRPr="003F4BC2">
              <w:rPr>
                <w:rFonts w:asciiTheme="minorHAnsi" w:hAnsiTheme="minorHAnsi"/>
                <w:bCs/>
                <w:sz w:val="22"/>
                <w:szCs w:val="22"/>
                <w:lang w:val="en-US"/>
              </w:rPr>
              <w:t xml:space="preserve">16.b Promote and enforce non-discriminatory laws and policies for sustainable development </w:t>
            </w:r>
          </w:p>
          <w:p w14:paraId="13617812" w14:textId="77777777" w:rsidR="003A41BE" w:rsidRPr="00841766" w:rsidRDefault="003A41BE" w:rsidP="00FD44CE">
            <w:pPr>
              <w:tabs>
                <w:tab w:val="left" w:pos="245"/>
              </w:tabs>
              <w:autoSpaceDE w:val="0"/>
              <w:autoSpaceDN w:val="0"/>
              <w:adjustRightInd w:val="0"/>
              <w:jc w:val="center"/>
              <w:rPr>
                <w:rFonts w:ascii="Calibri" w:hAnsi="Calibri" w:cs="Calibri"/>
                <w:color w:val="FFFFFF" w:themeColor="background1"/>
                <w:sz w:val="26"/>
                <w:szCs w:val="26"/>
                <w:lang w:val="en-US"/>
              </w:rPr>
            </w:pPr>
          </w:p>
        </w:tc>
      </w:tr>
      <w:tr w:rsidR="003A41BE" w:rsidRPr="006444BA" w14:paraId="16EBF45C" w14:textId="77777777" w:rsidTr="53E3C463">
        <w:trPr>
          <w:trHeight w:val="1074"/>
        </w:trPr>
        <w:tc>
          <w:tcPr>
            <w:tcW w:w="14458" w:type="dxa"/>
            <w:gridSpan w:val="6"/>
            <w:tcBorders>
              <w:top w:val="single" w:sz="4" w:space="0" w:color="auto"/>
              <w:left w:val="single" w:sz="4" w:space="0" w:color="auto"/>
              <w:right w:val="single" w:sz="4" w:space="0" w:color="auto"/>
            </w:tcBorders>
            <w:shd w:val="clear" w:color="auto" w:fill="2F5496" w:themeFill="accent1" w:themeFillShade="BF"/>
            <w:vAlign w:val="center"/>
          </w:tcPr>
          <w:p w14:paraId="6D41F8A0" w14:textId="7D5F904A" w:rsidR="003A41BE" w:rsidRPr="00841766" w:rsidRDefault="003A41BE" w:rsidP="00FD44CE">
            <w:pPr>
              <w:pStyle w:val="ListParagraph"/>
              <w:tabs>
                <w:tab w:val="left" w:pos="245"/>
              </w:tabs>
              <w:autoSpaceDE w:val="0"/>
              <w:autoSpaceDN w:val="0"/>
              <w:adjustRightInd w:val="0"/>
              <w:ind w:left="18"/>
              <w:rPr>
                <w:rFonts w:cstheme="minorHAnsi"/>
                <w:color w:val="FFFFFF" w:themeColor="background1"/>
                <w:sz w:val="26"/>
                <w:szCs w:val="26"/>
                <w:lang w:val="en-US"/>
              </w:rPr>
            </w:pPr>
            <w:r w:rsidRPr="00841766">
              <w:rPr>
                <w:rFonts w:cstheme="minorHAnsi"/>
                <w:b/>
                <w:color w:val="FFFFFF" w:themeColor="background1"/>
                <w:sz w:val="26"/>
                <w:szCs w:val="26"/>
                <w:lang w:val="en-US"/>
              </w:rPr>
              <w:lastRenderedPageBreak/>
              <w:t>UN</w:t>
            </w:r>
            <w:r w:rsidR="00080B99">
              <w:rPr>
                <w:rFonts w:cstheme="minorHAnsi"/>
                <w:b/>
                <w:color w:val="FFFFFF" w:themeColor="background1"/>
                <w:sz w:val="26"/>
                <w:szCs w:val="26"/>
                <w:lang w:val="en-US"/>
              </w:rPr>
              <w:t>SD</w:t>
            </w:r>
            <w:r w:rsidRPr="00841766">
              <w:rPr>
                <w:rFonts w:cstheme="minorHAnsi"/>
                <w:b/>
                <w:color w:val="FFFFFF" w:themeColor="background1"/>
                <w:sz w:val="26"/>
                <w:szCs w:val="26"/>
                <w:lang w:val="en-US"/>
              </w:rPr>
              <w:t>CF OUTCOME 5:</w:t>
            </w:r>
            <w:r w:rsidRPr="00841766">
              <w:rPr>
                <w:rFonts w:cstheme="minorHAnsi"/>
                <w:color w:val="FFFFFF" w:themeColor="background1"/>
                <w:sz w:val="26"/>
                <w:szCs w:val="26"/>
                <w:lang w:val="en-US"/>
              </w:rPr>
              <w:t xml:space="preserve"> </w:t>
            </w:r>
            <w:bookmarkStart w:id="172" w:name="_Hlk33013155"/>
            <w:bookmarkStart w:id="173" w:name="_Hlk32928973"/>
            <w:r w:rsidRPr="00841766">
              <w:rPr>
                <w:rFonts w:ascii="Calibri" w:hAnsi="Calibri" w:cs="Calibri"/>
                <w:color w:val="FFFFFF" w:themeColor="background1"/>
                <w:sz w:val="26"/>
                <w:szCs w:val="26"/>
                <w:lang w:val="en-US"/>
              </w:rPr>
              <w:t>By 2025, the most excluded people of Timor-Leste are empowered to claim their rights, including freedom from violence,</w:t>
            </w:r>
            <w:r w:rsidRPr="00841766">
              <w:rPr>
                <w:rFonts w:cstheme="minorHAnsi"/>
                <w:sz w:val="22"/>
                <w:lang w:val="en-US"/>
              </w:rPr>
              <w:t xml:space="preserve"> </w:t>
            </w:r>
            <w:r w:rsidRPr="00841766">
              <w:rPr>
                <w:rFonts w:ascii="Calibri" w:hAnsi="Calibri" w:cs="Calibri"/>
                <w:color w:val="FFFFFF" w:themeColor="background1"/>
                <w:sz w:val="26"/>
                <w:szCs w:val="26"/>
                <w:lang w:val="en-US"/>
              </w:rPr>
              <w:t xml:space="preserve"> through accessible, accountable and gender responsive governance systems, institutions and services at national and subnational levels</w:t>
            </w:r>
            <w:bookmarkEnd w:id="172"/>
            <w:r w:rsidRPr="00841766">
              <w:rPr>
                <w:rFonts w:ascii="Calibri" w:hAnsi="Calibri" w:cs="Calibri"/>
                <w:color w:val="FFFFFF" w:themeColor="background1"/>
                <w:sz w:val="26"/>
                <w:szCs w:val="26"/>
                <w:lang w:val="en-US"/>
              </w:rPr>
              <w:t xml:space="preserve"> </w:t>
            </w:r>
            <w:bookmarkEnd w:id="173"/>
          </w:p>
        </w:tc>
      </w:tr>
      <w:tr w:rsidR="003A41BE" w:rsidRPr="00841766" w14:paraId="34FE4AB8"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0A25FD" w14:textId="77777777" w:rsidR="003A41BE" w:rsidRPr="0017386E" w:rsidRDefault="003A41BE" w:rsidP="00FD44CE">
            <w:pPr>
              <w:spacing w:before="63"/>
              <w:rPr>
                <w:rFonts w:cs="Calibri"/>
                <w:color w:val="000000" w:themeColor="text1"/>
                <w:sz w:val="22"/>
                <w:szCs w:val="22"/>
                <w:lang w:val="en-US"/>
              </w:rPr>
            </w:pPr>
            <w:r w:rsidRPr="00DA2276">
              <w:rPr>
                <w:rFonts w:cs="Calibri"/>
                <w:color w:val="000000" w:themeColor="text1"/>
                <w:sz w:val="22"/>
                <w:szCs w:val="22"/>
                <w:lang w:val="en-US"/>
              </w:rPr>
              <w:t>5.</w:t>
            </w:r>
            <w:r>
              <w:rPr>
                <w:rFonts w:cs="Calibri"/>
                <w:color w:val="000000" w:themeColor="text1"/>
                <w:sz w:val="22"/>
                <w:szCs w:val="22"/>
                <w:lang w:val="en-US"/>
              </w:rPr>
              <w:t>a</w:t>
            </w:r>
            <w:r w:rsidRPr="00DA2276">
              <w:rPr>
                <w:rFonts w:cs="Calibri"/>
                <w:color w:val="000000" w:themeColor="text1"/>
                <w:sz w:val="22"/>
                <w:szCs w:val="22"/>
                <w:lang w:val="en-US"/>
              </w:rPr>
              <w:t xml:space="preserve"> </w:t>
            </w:r>
            <w:bookmarkStart w:id="174" w:name="_Hlk33013149"/>
            <w:r w:rsidRPr="00DA2276">
              <w:rPr>
                <w:rFonts w:cs="Calibri"/>
                <w:color w:val="000000" w:themeColor="text1"/>
                <w:sz w:val="22"/>
                <w:szCs w:val="22"/>
                <w:lang w:val="en-US"/>
              </w:rPr>
              <w:t>Proportions of positions in national and local institutions, including (a) the legislatures; (b) the public service; and (c) the judiciary, compared to national distributions, by sex, age, persons with disabilities and population groups</w:t>
            </w:r>
            <w:r w:rsidRPr="0017386E">
              <w:rPr>
                <w:rFonts w:cs="Calibri"/>
                <w:color w:val="000000" w:themeColor="text1"/>
                <w:sz w:val="22"/>
                <w:szCs w:val="22"/>
                <w:lang w:val="en-US"/>
              </w:rPr>
              <w:t xml:space="preserve"> (SDG indicator 16.7.1)</w:t>
            </w:r>
          </w:p>
          <w:bookmarkEnd w:id="174"/>
          <w:tbl>
            <w:tblPr>
              <w:tblStyle w:val="TableGrid"/>
              <w:tblW w:w="0" w:type="auto"/>
              <w:tblLayout w:type="fixed"/>
              <w:tblLook w:val="04A0" w:firstRow="1" w:lastRow="0" w:firstColumn="1" w:lastColumn="0" w:noHBand="0" w:noVBand="1"/>
            </w:tblPr>
            <w:tblGrid>
              <w:gridCol w:w="1510"/>
              <w:gridCol w:w="5388"/>
              <w:gridCol w:w="5760"/>
            </w:tblGrid>
            <w:tr w:rsidR="003A41BE" w14:paraId="7FDBBD57" w14:textId="77777777" w:rsidTr="00FD44CE">
              <w:tc>
                <w:tcPr>
                  <w:tcW w:w="1510" w:type="dxa"/>
                </w:tcPr>
                <w:p w14:paraId="2160606F" w14:textId="77777777" w:rsidR="003A41BE" w:rsidRPr="00DA2276" w:rsidRDefault="003A41BE" w:rsidP="002A37E3">
                  <w:pPr>
                    <w:framePr w:hSpace="141" w:wrap="around" w:vAnchor="text" w:hAnchor="text" w:x="421" w:y="1"/>
                    <w:suppressOverlap/>
                    <w:jc w:val="center"/>
                    <w:rPr>
                      <w:sz w:val="22"/>
                      <w:szCs w:val="22"/>
                      <w:highlight w:val="yellow"/>
                      <w:lang w:val="en-US"/>
                    </w:rPr>
                  </w:pPr>
                </w:p>
              </w:tc>
              <w:tc>
                <w:tcPr>
                  <w:tcW w:w="5388" w:type="dxa"/>
                </w:tcPr>
                <w:p w14:paraId="0960502E"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Baseline</w:t>
                  </w:r>
                </w:p>
              </w:tc>
              <w:tc>
                <w:tcPr>
                  <w:tcW w:w="5760" w:type="dxa"/>
                </w:tcPr>
                <w:p w14:paraId="4EF09D9F" w14:textId="77777777" w:rsidR="003A41BE" w:rsidRPr="00DA2276" w:rsidRDefault="003A41BE" w:rsidP="002A37E3">
                  <w:pPr>
                    <w:framePr w:hSpace="141" w:wrap="around" w:vAnchor="text" w:hAnchor="text" w:x="421" w:y="1"/>
                    <w:suppressOverlap/>
                    <w:jc w:val="center"/>
                    <w:rPr>
                      <w:sz w:val="22"/>
                      <w:szCs w:val="22"/>
                      <w:highlight w:val="yellow"/>
                      <w:lang w:val="en-US"/>
                    </w:rPr>
                  </w:pPr>
                  <w:r w:rsidRPr="007E58D6">
                    <w:rPr>
                      <w:sz w:val="22"/>
                      <w:szCs w:val="22"/>
                      <w:lang w:val="en-US"/>
                    </w:rPr>
                    <w:t>Target</w:t>
                  </w:r>
                </w:p>
              </w:tc>
            </w:tr>
            <w:tr w:rsidR="003A41BE" w:rsidRPr="00DA2276" w14:paraId="647F5EF7" w14:textId="77777777" w:rsidTr="00FD44CE">
              <w:tc>
                <w:tcPr>
                  <w:tcW w:w="1510" w:type="dxa"/>
                </w:tcPr>
                <w:p w14:paraId="2BFBB7FB" w14:textId="77777777" w:rsidR="003A41BE" w:rsidRPr="003F4BC2" w:rsidRDefault="003A41BE" w:rsidP="002A37E3">
                  <w:pPr>
                    <w:framePr w:hSpace="141" w:wrap="around" w:vAnchor="text" w:hAnchor="text" w:x="421" w:y="1"/>
                    <w:suppressOverlap/>
                    <w:jc w:val="center"/>
                    <w:rPr>
                      <w:sz w:val="22"/>
                      <w:szCs w:val="22"/>
                      <w:lang w:val="en-US"/>
                    </w:rPr>
                  </w:pPr>
                  <w:r w:rsidRPr="003F4BC2">
                    <w:rPr>
                      <w:sz w:val="22"/>
                      <w:szCs w:val="22"/>
                      <w:lang w:val="en-US"/>
                    </w:rPr>
                    <w:t>Legislatures</w:t>
                  </w:r>
                </w:p>
              </w:tc>
              <w:tc>
                <w:tcPr>
                  <w:tcW w:w="5388" w:type="dxa"/>
                </w:tcPr>
                <w:p w14:paraId="72CDD7F2"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Male: 61</w:t>
                  </w:r>
                  <w:r>
                    <w:rPr>
                      <w:sz w:val="22"/>
                      <w:szCs w:val="22"/>
                      <w:lang w:val="en-US"/>
                    </w:rPr>
                    <w:t>%</w:t>
                  </w:r>
                  <w:r w:rsidRPr="002A7985">
                    <w:rPr>
                      <w:sz w:val="22"/>
                      <w:szCs w:val="22"/>
                      <w:lang w:val="en-US"/>
                    </w:rPr>
                    <w:t xml:space="preserve"> </w:t>
                  </w:r>
                </w:p>
                <w:p w14:paraId="5DE24EDB"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Female: 39</w:t>
                  </w:r>
                  <w:r>
                    <w:rPr>
                      <w:sz w:val="22"/>
                      <w:szCs w:val="22"/>
                      <w:lang w:val="en-US"/>
                    </w:rPr>
                    <w:t>%</w:t>
                  </w:r>
                  <w:r w:rsidRPr="002A7985">
                    <w:rPr>
                      <w:sz w:val="22"/>
                      <w:szCs w:val="22"/>
                      <w:lang w:val="en-US"/>
                    </w:rPr>
                    <w:t xml:space="preserve"> </w:t>
                  </w:r>
                </w:p>
                <w:p w14:paraId="4DF80FC9"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Persons with disabilities: 0</w:t>
                  </w:r>
                  <w:r>
                    <w:rPr>
                      <w:sz w:val="22"/>
                      <w:szCs w:val="22"/>
                      <w:lang w:val="en-US"/>
                    </w:rPr>
                    <w:t>%</w:t>
                  </w:r>
                </w:p>
              </w:tc>
              <w:tc>
                <w:tcPr>
                  <w:tcW w:w="5760" w:type="dxa"/>
                </w:tcPr>
                <w:p w14:paraId="40825EE5" w14:textId="3F115A00" w:rsidR="003A41BE" w:rsidRPr="00DA2276" w:rsidRDefault="00AA3B54" w:rsidP="002A37E3">
                  <w:pPr>
                    <w:framePr w:hSpace="141" w:wrap="around" w:vAnchor="text" w:hAnchor="text" w:x="421" w:y="1"/>
                    <w:suppressOverlap/>
                    <w:jc w:val="center"/>
                    <w:rPr>
                      <w:bCs/>
                      <w:sz w:val="22"/>
                      <w:szCs w:val="22"/>
                      <w:highlight w:val="yellow"/>
                      <w:lang w:val="en-US"/>
                    </w:rPr>
                  </w:pPr>
                  <w:r>
                    <w:rPr>
                      <w:bCs/>
                      <w:sz w:val="22"/>
                      <w:szCs w:val="22"/>
                      <w:lang w:val="en-US"/>
                    </w:rPr>
                    <w:t>TBD</w:t>
                  </w:r>
                </w:p>
              </w:tc>
            </w:tr>
            <w:tr w:rsidR="003A41BE" w:rsidRPr="00DA2276" w14:paraId="30E0E28A" w14:textId="77777777" w:rsidTr="00FD44CE">
              <w:tc>
                <w:tcPr>
                  <w:tcW w:w="1510" w:type="dxa"/>
                </w:tcPr>
                <w:p w14:paraId="056B1987" w14:textId="77777777" w:rsidR="003A41BE" w:rsidRPr="003F4BC2" w:rsidRDefault="003A41BE" w:rsidP="002A37E3">
                  <w:pPr>
                    <w:framePr w:hSpace="141" w:wrap="around" w:vAnchor="text" w:hAnchor="text" w:x="421" w:y="1"/>
                    <w:suppressOverlap/>
                    <w:jc w:val="center"/>
                    <w:rPr>
                      <w:sz w:val="22"/>
                      <w:szCs w:val="22"/>
                      <w:lang w:val="en-US"/>
                    </w:rPr>
                  </w:pPr>
                  <w:r w:rsidRPr="003F4BC2">
                    <w:rPr>
                      <w:sz w:val="22"/>
                      <w:szCs w:val="22"/>
                      <w:lang w:val="en-US"/>
                    </w:rPr>
                    <w:t>Judiciary</w:t>
                  </w:r>
                </w:p>
              </w:tc>
              <w:tc>
                <w:tcPr>
                  <w:tcW w:w="5388" w:type="dxa"/>
                </w:tcPr>
                <w:p w14:paraId="78BF03D1" w14:textId="77777777" w:rsidR="003A41BE" w:rsidRPr="00813D90" w:rsidRDefault="003A41BE" w:rsidP="002A37E3">
                  <w:pPr>
                    <w:framePr w:hSpace="141" w:wrap="around" w:vAnchor="text" w:hAnchor="text" w:x="421" w:y="1"/>
                    <w:suppressOverlap/>
                    <w:jc w:val="center"/>
                    <w:rPr>
                      <w:sz w:val="22"/>
                      <w:szCs w:val="22"/>
                      <w:lang w:val="en-US"/>
                    </w:rPr>
                  </w:pPr>
                  <w:r w:rsidRPr="00813D90">
                    <w:rPr>
                      <w:sz w:val="22"/>
                      <w:szCs w:val="22"/>
                      <w:lang w:val="en-US"/>
                    </w:rPr>
                    <w:t>Male: 62%</w:t>
                  </w:r>
                </w:p>
                <w:p w14:paraId="53025678" w14:textId="77777777" w:rsidR="003A41BE" w:rsidRPr="00813D90" w:rsidRDefault="003A41BE" w:rsidP="002A37E3">
                  <w:pPr>
                    <w:framePr w:hSpace="141" w:wrap="around" w:vAnchor="text" w:hAnchor="text" w:x="421" w:y="1"/>
                    <w:suppressOverlap/>
                    <w:jc w:val="center"/>
                    <w:rPr>
                      <w:sz w:val="22"/>
                      <w:szCs w:val="22"/>
                      <w:lang w:val="en-US"/>
                    </w:rPr>
                  </w:pPr>
                  <w:r w:rsidRPr="00813D90">
                    <w:rPr>
                      <w:sz w:val="22"/>
                      <w:szCs w:val="22"/>
                      <w:lang w:val="en-US"/>
                    </w:rPr>
                    <w:t>Female: 38%</w:t>
                  </w:r>
                </w:p>
                <w:p w14:paraId="1BBC2904" w14:textId="17B6894B" w:rsidR="003A41BE" w:rsidRPr="00813D90" w:rsidRDefault="003A41BE" w:rsidP="002A37E3">
                  <w:pPr>
                    <w:framePr w:hSpace="141" w:wrap="around" w:vAnchor="text" w:hAnchor="text" w:x="421" w:y="1"/>
                    <w:suppressOverlap/>
                    <w:jc w:val="center"/>
                    <w:rPr>
                      <w:sz w:val="22"/>
                      <w:szCs w:val="22"/>
                      <w:lang w:val="en-US"/>
                    </w:rPr>
                  </w:pPr>
                  <w:r w:rsidRPr="00813D90">
                    <w:rPr>
                      <w:sz w:val="22"/>
                      <w:szCs w:val="22"/>
                      <w:lang w:val="en-US"/>
                    </w:rPr>
                    <w:t xml:space="preserve">Persons with disabilities: </w:t>
                  </w:r>
                  <w:r w:rsidR="00813D90" w:rsidRPr="00813D90">
                    <w:rPr>
                      <w:sz w:val="22"/>
                      <w:szCs w:val="22"/>
                      <w:lang w:val="en-US"/>
                    </w:rPr>
                    <w:t>2.7</w:t>
                  </w:r>
                  <w:r w:rsidRPr="00813D90">
                    <w:rPr>
                      <w:sz w:val="22"/>
                      <w:szCs w:val="22"/>
                      <w:lang w:val="en-US"/>
                    </w:rPr>
                    <w:t>%</w:t>
                  </w:r>
                </w:p>
              </w:tc>
              <w:tc>
                <w:tcPr>
                  <w:tcW w:w="5760" w:type="dxa"/>
                </w:tcPr>
                <w:p w14:paraId="354C25A6" w14:textId="77777777" w:rsidR="003A41BE" w:rsidRPr="005F4A3B" w:rsidRDefault="00813D90" w:rsidP="002A37E3">
                  <w:pPr>
                    <w:framePr w:hSpace="141" w:wrap="around" w:vAnchor="text" w:hAnchor="text" w:x="421" w:y="1"/>
                    <w:suppressOverlap/>
                    <w:jc w:val="center"/>
                    <w:rPr>
                      <w:bCs/>
                      <w:sz w:val="22"/>
                      <w:szCs w:val="22"/>
                      <w:lang w:val="en-US"/>
                    </w:rPr>
                  </w:pPr>
                  <w:r w:rsidRPr="005F4A3B">
                    <w:rPr>
                      <w:bCs/>
                      <w:sz w:val="22"/>
                      <w:szCs w:val="22"/>
                      <w:lang w:val="en-US"/>
                    </w:rPr>
                    <w:t>Male: 56%</w:t>
                  </w:r>
                </w:p>
                <w:p w14:paraId="039E8907" w14:textId="77777777" w:rsidR="00813D90" w:rsidRPr="005F4A3B" w:rsidRDefault="00813D90" w:rsidP="002A37E3">
                  <w:pPr>
                    <w:framePr w:hSpace="141" w:wrap="around" w:vAnchor="text" w:hAnchor="text" w:x="421" w:y="1"/>
                    <w:suppressOverlap/>
                    <w:jc w:val="center"/>
                    <w:rPr>
                      <w:bCs/>
                      <w:sz w:val="22"/>
                      <w:szCs w:val="22"/>
                      <w:lang w:val="en-US"/>
                    </w:rPr>
                  </w:pPr>
                  <w:r w:rsidRPr="005F4A3B">
                    <w:rPr>
                      <w:bCs/>
                      <w:sz w:val="22"/>
                      <w:szCs w:val="22"/>
                      <w:lang w:val="en-US"/>
                    </w:rPr>
                    <w:t>Female: 45%</w:t>
                  </w:r>
                </w:p>
                <w:p w14:paraId="1C7E35C1" w14:textId="6D9BD9F5" w:rsidR="00813D90" w:rsidRPr="005F4A3B" w:rsidRDefault="00813D90" w:rsidP="002A37E3">
                  <w:pPr>
                    <w:framePr w:hSpace="141" w:wrap="around" w:vAnchor="text" w:hAnchor="text" w:x="421" w:y="1"/>
                    <w:suppressOverlap/>
                    <w:jc w:val="center"/>
                    <w:rPr>
                      <w:bCs/>
                      <w:sz w:val="22"/>
                      <w:szCs w:val="22"/>
                      <w:lang w:val="en-US"/>
                    </w:rPr>
                  </w:pPr>
                  <w:r w:rsidRPr="005F4A3B">
                    <w:rPr>
                      <w:bCs/>
                      <w:sz w:val="22"/>
                      <w:szCs w:val="22"/>
                      <w:lang w:val="en-US"/>
                    </w:rPr>
                    <w:t>Persons with disabilities: 3%</w:t>
                  </w:r>
                </w:p>
              </w:tc>
            </w:tr>
          </w:tbl>
          <w:p w14:paraId="3E5F8F2A" w14:textId="5726EFD1" w:rsidR="003A41BE" w:rsidRDefault="003A41BE" w:rsidP="00FD44CE">
            <w:pPr>
              <w:rPr>
                <w:rFonts w:cs="Calibri"/>
                <w:bCs/>
                <w:color w:val="000000" w:themeColor="text1"/>
                <w:sz w:val="22"/>
                <w:szCs w:val="22"/>
                <w:lang w:val="en-US"/>
              </w:rPr>
            </w:pPr>
            <w:r>
              <w:rPr>
                <w:rFonts w:cs="Calibri"/>
                <w:bCs/>
                <w:color w:val="000000" w:themeColor="text1"/>
                <w:sz w:val="22"/>
                <w:szCs w:val="22"/>
                <w:lang w:val="en-US"/>
              </w:rPr>
              <w:t xml:space="preserve">Source: Legislatures: 40 males, 25 female MPs; 33 % female MPs by law. Judiciary: </w:t>
            </w:r>
            <w:r w:rsidRPr="003F4BC2">
              <w:rPr>
                <w:sz w:val="22"/>
                <w:szCs w:val="22"/>
                <w:lang w:val="en-US"/>
              </w:rPr>
              <w:t xml:space="preserve"> 14</w:t>
            </w:r>
            <w:r>
              <w:rPr>
                <w:sz w:val="22"/>
                <w:szCs w:val="22"/>
                <w:lang w:val="en-US"/>
              </w:rPr>
              <w:t xml:space="preserve"> females, 23 males</w:t>
            </w:r>
            <w:r w:rsidR="00813D90">
              <w:rPr>
                <w:sz w:val="22"/>
                <w:szCs w:val="22"/>
                <w:lang w:val="en-US"/>
              </w:rPr>
              <w:t>, where 1 is a person with disability</w:t>
            </w:r>
            <w:r>
              <w:rPr>
                <w:sz w:val="22"/>
                <w:szCs w:val="22"/>
                <w:lang w:val="en-US"/>
              </w:rPr>
              <w:t xml:space="preserve">. </w:t>
            </w:r>
          </w:p>
          <w:p w14:paraId="73041F96" w14:textId="77777777" w:rsidR="003A41BE" w:rsidRDefault="003A41BE" w:rsidP="00FD44CE">
            <w:pPr>
              <w:rPr>
                <w:rFonts w:cs="Calibri"/>
                <w:color w:val="000000" w:themeColor="text1"/>
                <w:sz w:val="22"/>
                <w:szCs w:val="22"/>
                <w:lang w:val="en-US"/>
              </w:rPr>
            </w:pPr>
            <w:r w:rsidRPr="00DA2276">
              <w:rPr>
                <w:rFonts w:cs="Calibri"/>
                <w:bCs/>
                <w:color w:val="000000" w:themeColor="text1"/>
                <w:sz w:val="22"/>
                <w:szCs w:val="22"/>
                <w:lang w:val="en-US"/>
              </w:rPr>
              <w:t>Data Source: CSC (civil service)</w:t>
            </w:r>
            <w:r w:rsidRPr="0017386E">
              <w:rPr>
                <w:rFonts w:cs="Calibri"/>
                <w:bCs/>
                <w:color w:val="000000" w:themeColor="text1"/>
                <w:sz w:val="22"/>
                <w:szCs w:val="22"/>
                <w:lang w:val="en-US"/>
              </w:rPr>
              <w:t xml:space="preserve"> and Ministry of State Administration, </w:t>
            </w:r>
            <w:r w:rsidRPr="00DA2276">
              <w:rPr>
                <w:rFonts w:cs="Calibri"/>
                <w:bCs/>
                <w:color w:val="000000" w:themeColor="text1"/>
                <w:sz w:val="22"/>
                <w:szCs w:val="22"/>
                <w:lang w:val="en-US"/>
              </w:rPr>
              <w:t>National Parliament (</w:t>
            </w:r>
            <w:r w:rsidRPr="0017386E">
              <w:rPr>
                <w:rFonts w:cs="Calibri"/>
                <w:bCs/>
                <w:color w:val="000000" w:themeColor="text1"/>
                <w:sz w:val="22"/>
                <w:szCs w:val="22"/>
                <w:lang w:val="en-US"/>
              </w:rPr>
              <w:t>l</w:t>
            </w:r>
            <w:r w:rsidRPr="00DA2276">
              <w:rPr>
                <w:rFonts w:cs="Calibri"/>
                <w:bCs/>
                <w:color w:val="000000" w:themeColor="text1"/>
                <w:sz w:val="22"/>
                <w:szCs w:val="22"/>
                <w:lang w:val="en-US"/>
              </w:rPr>
              <w:t>egislature)</w:t>
            </w:r>
            <w:r w:rsidRPr="0017386E">
              <w:rPr>
                <w:rFonts w:cs="Calibri"/>
                <w:bCs/>
                <w:color w:val="000000" w:themeColor="text1"/>
                <w:sz w:val="22"/>
                <w:szCs w:val="22"/>
                <w:lang w:val="en-US"/>
              </w:rPr>
              <w:t>, Court of Appeal (judiciary)</w:t>
            </w:r>
            <w:r>
              <w:rPr>
                <w:rFonts w:cs="Calibri"/>
                <w:bCs/>
                <w:color w:val="000000" w:themeColor="text1"/>
                <w:sz w:val="22"/>
                <w:szCs w:val="22"/>
                <w:lang w:val="en-US"/>
              </w:rPr>
              <w:t>, National Parliament (Legislature)</w:t>
            </w:r>
          </w:p>
          <w:p w14:paraId="003CBBD3" w14:textId="77777777" w:rsidR="003A41BE" w:rsidRPr="0017386E" w:rsidRDefault="003A41BE" w:rsidP="00FD44CE">
            <w:pPr>
              <w:rPr>
                <w:rFonts w:cs="Calibri"/>
                <w:color w:val="000000" w:themeColor="text1"/>
                <w:sz w:val="22"/>
                <w:szCs w:val="22"/>
                <w:lang w:val="en-US"/>
              </w:rPr>
            </w:pPr>
          </w:p>
        </w:tc>
      </w:tr>
      <w:tr w:rsidR="003A41BE" w:rsidRPr="00841766" w14:paraId="7B33A44F"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85501C" w14:textId="77777777" w:rsidR="003A41BE" w:rsidRDefault="003A41BE" w:rsidP="00FD44CE">
            <w:pPr>
              <w:pStyle w:val="Default"/>
              <w:spacing w:after="63"/>
              <w:rPr>
                <w:rFonts w:asciiTheme="minorHAnsi" w:hAnsiTheme="minorHAnsi" w:cstheme="minorHAnsi"/>
                <w:sz w:val="22"/>
                <w:szCs w:val="22"/>
                <w:lang w:val="en-US"/>
              </w:rPr>
            </w:pPr>
            <w:r>
              <w:rPr>
                <w:rFonts w:asciiTheme="minorHAnsi" w:hAnsiTheme="minorHAnsi" w:cstheme="minorHAnsi"/>
                <w:sz w:val="22"/>
                <w:szCs w:val="22"/>
                <w:lang w:val="en-US"/>
              </w:rPr>
              <w:t>5</w:t>
            </w:r>
            <w:r w:rsidRPr="0017386E">
              <w:rPr>
                <w:rFonts w:asciiTheme="minorHAnsi" w:hAnsiTheme="minorHAnsi" w:cstheme="minorHAnsi"/>
                <w:sz w:val="22"/>
                <w:szCs w:val="22"/>
                <w:lang w:val="en-US"/>
              </w:rPr>
              <w:t>.</w:t>
            </w:r>
            <w:r>
              <w:rPr>
                <w:rFonts w:asciiTheme="minorHAnsi" w:hAnsiTheme="minorHAnsi" w:cstheme="minorHAnsi"/>
                <w:sz w:val="22"/>
                <w:szCs w:val="22"/>
                <w:lang w:val="en-US"/>
              </w:rPr>
              <w:t>b</w:t>
            </w:r>
            <w:r w:rsidRPr="0017386E">
              <w:rPr>
                <w:rFonts w:asciiTheme="minorHAnsi" w:hAnsiTheme="minorHAnsi" w:cstheme="minorHAnsi"/>
                <w:sz w:val="22"/>
                <w:szCs w:val="22"/>
                <w:lang w:val="en-US"/>
              </w:rPr>
              <w:t xml:space="preserve"> Number o</w:t>
            </w:r>
            <w:r>
              <w:rPr>
                <w:rFonts w:asciiTheme="minorHAnsi" w:hAnsiTheme="minorHAnsi" w:cstheme="minorHAnsi"/>
                <w:sz w:val="22"/>
                <w:szCs w:val="22"/>
                <w:lang w:val="en-US"/>
              </w:rPr>
              <w:t>f new or updated migration governance related policies and strategies to facilitate orderly, regular and responsible migration (SDG indicator 10.7.2)</w:t>
            </w:r>
          </w:p>
          <w:tbl>
            <w:tblPr>
              <w:tblStyle w:val="TableGrid"/>
              <w:tblW w:w="0" w:type="auto"/>
              <w:tblLayout w:type="fixed"/>
              <w:tblLook w:val="04A0" w:firstRow="1" w:lastRow="0" w:firstColumn="1" w:lastColumn="0" w:noHBand="0" w:noVBand="1"/>
            </w:tblPr>
            <w:tblGrid>
              <w:gridCol w:w="2046"/>
              <w:gridCol w:w="1620"/>
            </w:tblGrid>
            <w:tr w:rsidR="003A41BE" w14:paraId="01F6DBE2" w14:textId="77777777" w:rsidTr="00FD44CE">
              <w:tc>
                <w:tcPr>
                  <w:tcW w:w="2046" w:type="dxa"/>
                </w:tcPr>
                <w:p w14:paraId="075F0D2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64894A5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56ED6F4F" w14:textId="77777777" w:rsidTr="00FD44CE">
              <w:tc>
                <w:tcPr>
                  <w:tcW w:w="2046" w:type="dxa"/>
                </w:tcPr>
                <w:p w14:paraId="765E1782"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0</w:t>
                  </w:r>
                </w:p>
              </w:tc>
              <w:tc>
                <w:tcPr>
                  <w:tcW w:w="1620" w:type="dxa"/>
                </w:tcPr>
                <w:p w14:paraId="12B8CF17" w14:textId="77777777" w:rsidR="003A41BE" w:rsidRPr="00DA2276" w:rsidRDefault="003A41BE" w:rsidP="002A37E3">
                  <w:pPr>
                    <w:framePr w:hSpace="141" w:wrap="around" w:vAnchor="text" w:hAnchor="text" w:x="421" w:y="1"/>
                    <w:suppressOverlap/>
                    <w:jc w:val="center"/>
                    <w:rPr>
                      <w:bCs/>
                      <w:sz w:val="22"/>
                      <w:szCs w:val="22"/>
                      <w:lang w:val="en-US"/>
                    </w:rPr>
                  </w:pPr>
                  <w:r>
                    <w:rPr>
                      <w:rFonts w:cstheme="minorHAnsi"/>
                      <w:bCs/>
                      <w:sz w:val="22"/>
                      <w:szCs w:val="22"/>
                      <w:lang w:val="en-US"/>
                    </w:rPr>
                    <w:t xml:space="preserve">4 </w:t>
                  </w:r>
                </w:p>
              </w:tc>
            </w:tr>
          </w:tbl>
          <w:p w14:paraId="6DD40E40" w14:textId="77777777" w:rsidR="003A41BE" w:rsidRPr="003F4BC2" w:rsidRDefault="003A41BE" w:rsidP="00FD44CE">
            <w:pPr>
              <w:pStyle w:val="Default"/>
              <w:spacing w:after="63"/>
              <w:rPr>
                <w:rFonts w:cstheme="minorHAnsi"/>
                <w:sz w:val="22"/>
                <w:szCs w:val="22"/>
                <w:lang w:val="en-US"/>
              </w:rPr>
            </w:pPr>
            <w:r>
              <w:rPr>
                <w:rFonts w:asciiTheme="minorHAnsi" w:hAnsiTheme="minorHAnsi" w:cstheme="minorHAnsi"/>
                <w:sz w:val="22"/>
                <w:szCs w:val="22"/>
                <w:lang w:val="en-US"/>
              </w:rPr>
              <w:t xml:space="preserve">Data: Migration Governance Indicator Report for Timor-Leste 2018 – 2021 -2023  </w:t>
            </w:r>
          </w:p>
        </w:tc>
      </w:tr>
      <w:tr w:rsidR="003A41BE" w:rsidRPr="00841766" w14:paraId="58D4C74E"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335CAB" w14:textId="77777777" w:rsidR="003A41BE" w:rsidRPr="0017386E" w:rsidRDefault="003A41BE" w:rsidP="00FD44CE">
            <w:pPr>
              <w:spacing w:before="63"/>
              <w:rPr>
                <w:rFonts w:cs="Calibri"/>
                <w:color w:val="000000" w:themeColor="text1"/>
                <w:sz w:val="22"/>
                <w:szCs w:val="22"/>
                <w:lang w:val="en-US"/>
              </w:rPr>
            </w:pPr>
            <w:r w:rsidRPr="003F4BC2">
              <w:rPr>
                <w:rFonts w:cs="Calibri"/>
                <w:color w:val="000000" w:themeColor="text1"/>
                <w:sz w:val="22"/>
                <w:szCs w:val="22"/>
                <w:lang w:val="en-US"/>
              </w:rPr>
              <w:t>5.</w:t>
            </w:r>
            <w:r>
              <w:rPr>
                <w:rFonts w:cs="Calibri"/>
                <w:color w:val="000000" w:themeColor="text1"/>
                <w:sz w:val="22"/>
                <w:szCs w:val="22"/>
                <w:lang w:val="en-US"/>
              </w:rPr>
              <w:t>c</w:t>
            </w:r>
            <w:r w:rsidRPr="003F4BC2">
              <w:rPr>
                <w:rFonts w:cs="Calibri"/>
                <w:color w:val="000000" w:themeColor="text1"/>
                <w:sz w:val="22"/>
                <w:szCs w:val="22"/>
                <w:lang w:val="en-US"/>
              </w:rPr>
              <w:t xml:space="preserve"> </w:t>
            </w:r>
            <w:bookmarkStart w:id="175" w:name="_Hlk33013198"/>
            <w:r w:rsidRPr="003F4BC2">
              <w:rPr>
                <w:rFonts w:cs="Calibri"/>
                <w:color w:val="000000" w:themeColor="text1"/>
                <w:sz w:val="22"/>
                <w:szCs w:val="22"/>
                <w:lang w:val="en-US"/>
              </w:rPr>
              <w:t xml:space="preserve">Proportion of ever-partnered women and girls aged 15 years and older subjected to physical and/or, sexual violence by a current or former intimate partner, in the previous 12 months, by form of violence and by age (SDG </w:t>
            </w:r>
            <w:r>
              <w:rPr>
                <w:rFonts w:cs="Calibri"/>
                <w:color w:val="000000" w:themeColor="text1"/>
                <w:sz w:val="22"/>
                <w:szCs w:val="22"/>
                <w:lang w:val="en-US"/>
              </w:rPr>
              <w:t>I</w:t>
            </w:r>
            <w:r w:rsidRPr="003F4BC2">
              <w:rPr>
                <w:rFonts w:cs="Calibri"/>
                <w:color w:val="000000" w:themeColor="text1"/>
                <w:sz w:val="22"/>
                <w:szCs w:val="22"/>
                <w:lang w:val="en-US"/>
              </w:rPr>
              <w:t>ndicator 5.2.1)</w:t>
            </w:r>
          </w:p>
          <w:bookmarkEnd w:id="175"/>
          <w:tbl>
            <w:tblPr>
              <w:tblStyle w:val="TableGrid"/>
              <w:tblW w:w="0" w:type="auto"/>
              <w:tblLayout w:type="fixed"/>
              <w:tblLook w:val="04A0" w:firstRow="1" w:lastRow="0" w:firstColumn="1" w:lastColumn="0" w:noHBand="0" w:noVBand="1"/>
            </w:tblPr>
            <w:tblGrid>
              <w:gridCol w:w="1510"/>
              <w:gridCol w:w="2357"/>
              <w:gridCol w:w="1510"/>
              <w:gridCol w:w="2249"/>
            </w:tblGrid>
            <w:tr w:rsidR="003A41BE" w14:paraId="6534C001" w14:textId="77777777" w:rsidTr="00FD44CE">
              <w:tc>
                <w:tcPr>
                  <w:tcW w:w="1510" w:type="dxa"/>
                </w:tcPr>
                <w:p w14:paraId="5876CA3C" w14:textId="77777777" w:rsidR="003A41BE" w:rsidRPr="003F4BC2" w:rsidRDefault="003A41BE" w:rsidP="002A37E3">
                  <w:pPr>
                    <w:framePr w:hSpace="141" w:wrap="around" w:vAnchor="text" w:hAnchor="text" w:x="421" w:y="1"/>
                    <w:suppressOverlap/>
                    <w:jc w:val="center"/>
                    <w:rPr>
                      <w:sz w:val="22"/>
                      <w:szCs w:val="22"/>
                      <w:highlight w:val="yellow"/>
                      <w:lang w:val="en-US"/>
                    </w:rPr>
                  </w:pPr>
                </w:p>
              </w:tc>
              <w:tc>
                <w:tcPr>
                  <w:tcW w:w="2357" w:type="dxa"/>
                </w:tcPr>
                <w:p w14:paraId="60394FE3" w14:textId="77777777" w:rsidR="003A41BE" w:rsidRPr="003F4BC2" w:rsidRDefault="003A41BE" w:rsidP="002A37E3">
                  <w:pPr>
                    <w:framePr w:hSpace="141" w:wrap="around" w:vAnchor="text" w:hAnchor="text" w:x="421" w:y="1"/>
                    <w:suppressOverlap/>
                    <w:jc w:val="center"/>
                    <w:rPr>
                      <w:sz w:val="22"/>
                      <w:szCs w:val="22"/>
                      <w:highlight w:val="yellow"/>
                      <w:lang w:val="en-US"/>
                    </w:rPr>
                  </w:pPr>
                </w:p>
              </w:tc>
              <w:tc>
                <w:tcPr>
                  <w:tcW w:w="1510" w:type="dxa"/>
                </w:tcPr>
                <w:p w14:paraId="11BAAD7B" w14:textId="77777777" w:rsidR="003A41BE" w:rsidRPr="003F4BC2" w:rsidRDefault="003A41BE" w:rsidP="002A37E3">
                  <w:pPr>
                    <w:framePr w:hSpace="141" w:wrap="around" w:vAnchor="text" w:hAnchor="text" w:x="421" w:y="1"/>
                    <w:suppressOverlap/>
                    <w:jc w:val="center"/>
                    <w:rPr>
                      <w:sz w:val="22"/>
                      <w:szCs w:val="22"/>
                      <w:highlight w:val="yellow"/>
                      <w:lang w:val="en-US"/>
                    </w:rPr>
                  </w:pPr>
                  <w:r w:rsidRPr="002A7985">
                    <w:rPr>
                      <w:sz w:val="22"/>
                      <w:szCs w:val="22"/>
                      <w:lang w:val="en-US"/>
                    </w:rPr>
                    <w:t>Baseline</w:t>
                  </w:r>
                </w:p>
              </w:tc>
              <w:tc>
                <w:tcPr>
                  <w:tcW w:w="2249" w:type="dxa"/>
                  <w:shd w:val="clear" w:color="auto" w:fill="auto"/>
                </w:tcPr>
                <w:p w14:paraId="419DFE62" w14:textId="77777777" w:rsidR="003A41BE" w:rsidRPr="003F4BC2" w:rsidRDefault="003A41BE" w:rsidP="002A37E3">
                  <w:pPr>
                    <w:framePr w:hSpace="141" w:wrap="around" w:vAnchor="text" w:hAnchor="text" w:x="421" w:y="1"/>
                    <w:suppressOverlap/>
                    <w:jc w:val="center"/>
                    <w:rPr>
                      <w:sz w:val="22"/>
                      <w:szCs w:val="22"/>
                      <w:highlight w:val="yellow"/>
                      <w:lang w:val="en-US"/>
                    </w:rPr>
                  </w:pPr>
                  <w:r w:rsidRPr="002A7985">
                    <w:rPr>
                      <w:sz w:val="22"/>
                      <w:szCs w:val="22"/>
                      <w:lang w:val="en-US"/>
                    </w:rPr>
                    <w:t>Target</w:t>
                  </w:r>
                </w:p>
              </w:tc>
            </w:tr>
            <w:tr w:rsidR="003A41BE" w:rsidRPr="00DA2276" w14:paraId="451B25E4" w14:textId="77777777" w:rsidTr="00FD44CE">
              <w:tc>
                <w:tcPr>
                  <w:tcW w:w="1510" w:type="dxa"/>
                </w:tcPr>
                <w:p w14:paraId="33B6CE5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Total</w:t>
                  </w:r>
                </w:p>
              </w:tc>
              <w:tc>
                <w:tcPr>
                  <w:tcW w:w="2357" w:type="dxa"/>
                </w:tcPr>
                <w:p w14:paraId="0717A420"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Total</w:t>
                  </w:r>
                </w:p>
              </w:tc>
              <w:tc>
                <w:tcPr>
                  <w:tcW w:w="1510" w:type="dxa"/>
                </w:tcPr>
                <w:p w14:paraId="3100070A"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34.6%</w:t>
                  </w:r>
                </w:p>
              </w:tc>
              <w:tc>
                <w:tcPr>
                  <w:tcW w:w="2249" w:type="dxa"/>
                  <w:vMerge w:val="restart"/>
                </w:tcPr>
                <w:p w14:paraId="691AD2F0" w14:textId="77777777" w:rsidR="003A41BE" w:rsidRPr="00DA2276" w:rsidRDefault="003A41BE" w:rsidP="002A37E3">
                  <w:pPr>
                    <w:framePr w:hSpace="141" w:wrap="around" w:vAnchor="text" w:hAnchor="text" w:x="421" w:y="1"/>
                    <w:suppressOverlap/>
                    <w:jc w:val="center"/>
                    <w:rPr>
                      <w:bCs/>
                      <w:sz w:val="22"/>
                      <w:szCs w:val="22"/>
                      <w:lang w:val="en-US"/>
                    </w:rPr>
                  </w:pPr>
                  <w:r>
                    <w:rPr>
                      <w:sz w:val="22"/>
                      <w:szCs w:val="22"/>
                      <w:lang w:val="en-US"/>
                    </w:rPr>
                    <w:t>Under discussion with relevant partners</w:t>
                  </w:r>
                </w:p>
              </w:tc>
            </w:tr>
            <w:tr w:rsidR="003A41BE" w:rsidRPr="00DA2276" w14:paraId="66FB03EB" w14:textId="77777777" w:rsidTr="00FD44CE">
              <w:tc>
                <w:tcPr>
                  <w:tcW w:w="1510" w:type="dxa"/>
                  <w:vMerge w:val="restart"/>
                </w:tcPr>
                <w:p w14:paraId="3D897A77"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lastRenderedPageBreak/>
                    <w:t>By form of violence</w:t>
                  </w:r>
                </w:p>
              </w:tc>
              <w:tc>
                <w:tcPr>
                  <w:tcW w:w="2357" w:type="dxa"/>
                </w:tcPr>
                <w:p w14:paraId="5E2BEA84"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 xml:space="preserve">Physical </w:t>
                  </w:r>
                </w:p>
              </w:tc>
              <w:tc>
                <w:tcPr>
                  <w:tcW w:w="1510" w:type="dxa"/>
                </w:tcPr>
                <w:p w14:paraId="55D0A823"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33.1%</w:t>
                  </w:r>
                </w:p>
              </w:tc>
              <w:tc>
                <w:tcPr>
                  <w:tcW w:w="2249" w:type="dxa"/>
                  <w:vMerge/>
                </w:tcPr>
                <w:p w14:paraId="40CF2CEB" w14:textId="77777777" w:rsidR="003A41BE" w:rsidRPr="00DA2276" w:rsidRDefault="003A41BE" w:rsidP="002A37E3">
                  <w:pPr>
                    <w:framePr w:hSpace="141" w:wrap="around" w:vAnchor="text" w:hAnchor="text" w:x="421" w:y="1"/>
                    <w:suppressOverlap/>
                    <w:jc w:val="center"/>
                    <w:rPr>
                      <w:bCs/>
                      <w:sz w:val="22"/>
                      <w:szCs w:val="22"/>
                      <w:lang w:val="en-US"/>
                    </w:rPr>
                  </w:pPr>
                </w:p>
              </w:tc>
            </w:tr>
            <w:tr w:rsidR="003A41BE" w:rsidRPr="00DA2276" w14:paraId="30A66F99" w14:textId="77777777" w:rsidTr="00FD44CE">
              <w:tc>
                <w:tcPr>
                  <w:tcW w:w="1510" w:type="dxa"/>
                  <w:vMerge/>
                </w:tcPr>
                <w:p w14:paraId="46D23253" w14:textId="77777777" w:rsidR="003A41BE" w:rsidRDefault="003A41BE" w:rsidP="002A37E3">
                  <w:pPr>
                    <w:framePr w:hSpace="141" w:wrap="around" w:vAnchor="text" w:hAnchor="text" w:x="421" w:y="1"/>
                    <w:suppressOverlap/>
                    <w:jc w:val="center"/>
                    <w:rPr>
                      <w:sz w:val="22"/>
                      <w:szCs w:val="22"/>
                      <w:lang w:val="en-US"/>
                    </w:rPr>
                  </w:pPr>
                </w:p>
              </w:tc>
              <w:tc>
                <w:tcPr>
                  <w:tcW w:w="2357" w:type="dxa"/>
                </w:tcPr>
                <w:p w14:paraId="08E17FD5"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 xml:space="preserve">Sexual </w:t>
                  </w:r>
                </w:p>
              </w:tc>
              <w:tc>
                <w:tcPr>
                  <w:tcW w:w="1510" w:type="dxa"/>
                </w:tcPr>
                <w:p w14:paraId="4DF1D483"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4.8%</w:t>
                  </w:r>
                </w:p>
              </w:tc>
              <w:tc>
                <w:tcPr>
                  <w:tcW w:w="2249" w:type="dxa"/>
                  <w:vMerge/>
                </w:tcPr>
                <w:p w14:paraId="51728007" w14:textId="77777777" w:rsidR="003A41BE" w:rsidRPr="00DA2276" w:rsidRDefault="003A41BE" w:rsidP="002A37E3">
                  <w:pPr>
                    <w:framePr w:hSpace="141" w:wrap="around" w:vAnchor="text" w:hAnchor="text" w:x="421" w:y="1"/>
                    <w:suppressOverlap/>
                    <w:jc w:val="center"/>
                    <w:rPr>
                      <w:bCs/>
                      <w:sz w:val="22"/>
                      <w:szCs w:val="22"/>
                      <w:lang w:val="en-US"/>
                    </w:rPr>
                  </w:pPr>
                </w:p>
              </w:tc>
            </w:tr>
            <w:tr w:rsidR="003A41BE" w:rsidRPr="00DA2276" w14:paraId="5C56DB39" w14:textId="77777777" w:rsidTr="00FD44CE">
              <w:tc>
                <w:tcPr>
                  <w:tcW w:w="1510" w:type="dxa"/>
                  <w:vMerge/>
                </w:tcPr>
                <w:p w14:paraId="7C141F5D" w14:textId="77777777" w:rsidR="003A41BE" w:rsidRDefault="003A41BE" w:rsidP="002A37E3">
                  <w:pPr>
                    <w:framePr w:hSpace="141" w:wrap="around" w:vAnchor="text" w:hAnchor="text" w:x="421" w:y="1"/>
                    <w:suppressOverlap/>
                    <w:jc w:val="center"/>
                    <w:rPr>
                      <w:sz w:val="22"/>
                      <w:szCs w:val="22"/>
                      <w:lang w:val="en-US"/>
                    </w:rPr>
                  </w:pPr>
                </w:p>
              </w:tc>
              <w:tc>
                <w:tcPr>
                  <w:tcW w:w="2357" w:type="dxa"/>
                </w:tcPr>
                <w:p w14:paraId="2B042A5F"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 xml:space="preserve">Physical and sexual </w:t>
                  </w:r>
                </w:p>
              </w:tc>
              <w:tc>
                <w:tcPr>
                  <w:tcW w:w="1510" w:type="dxa"/>
                </w:tcPr>
                <w:p w14:paraId="59DA5474"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3.3%</w:t>
                  </w:r>
                </w:p>
              </w:tc>
              <w:tc>
                <w:tcPr>
                  <w:tcW w:w="2249" w:type="dxa"/>
                  <w:vMerge/>
                </w:tcPr>
                <w:p w14:paraId="27E6CD18" w14:textId="77777777" w:rsidR="003A41BE" w:rsidRPr="00DA2276" w:rsidRDefault="003A41BE" w:rsidP="002A37E3">
                  <w:pPr>
                    <w:framePr w:hSpace="141" w:wrap="around" w:vAnchor="text" w:hAnchor="text" w:x="421" w:y="1"/>
                    <w:suppressOverlap/>
                    <w:jc w:val="center"/>
                    <w:rPr>
                      <w:bCs/>
                      <w:sz w:val="22"/>
                      <w:szCs w:val="22"/>
                      <w:lang w:val="en-US"/>
                    </w:rPr>
                  </w:pPr>
                </w:p>
              </w:tc>
            </w:tr>
            <w:tr w:rsidR="003A41BE" w:rsidRPr="00DA2276" w14:paraId="71EE12C9" w14:textId="77777777" w:rsidTr="00FD44CE">
              <w:tc>
                <w:tcPr>
                  <w:tcW w:w="1510" w:type="dxa"/>
                  <w:vMerge/>
                </w:tcPr>
                <w:p w14:paraId="0B24FAD1" w14:textId="77777777" w:rsidR="003A41BE" w:rsidRDefault="003A41BE" w:rsidP="002A37E3">
                  <w:pPr>
                    <w:framePr w:hSpace="141" w:wrap="around" w:vAnchor="text" w:hAnchor="text" w:x="421" w:y="1"/>
                    <w:suppressOverlap/>
                    <w:jc w:val="center"/>
                    <w:rPr>
                      <w:sz w:val="22"/>
                      <w:szCs w:val="22"/>
                      <w:lang w:val="en-US"/>
                    </w:rPr>
                  </w:pPr>
                </w:p>
              </w:tc>
              <w:tc>
                <w:tcPr>
                  <w:tcW w:w="2357" w:type="dxa"/>
                </w:tcPr>
                <w:p w14:paraId="24B6E6F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Physical and/or sexual</w:t>
                  </w:r>
                </w:p>
              </w:tc>
              <w:tc>
                <w:tcPr>
                  <w:tcW w:w="1510" w:type="dxa"/>
                </w:tcPr>
                <w:p w14:paraId="17C84131"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34.6</w:t>
                  </w:r>
                </w:p>
              </w:tc>
              <w:tc>
                <w:tcPr>
                  <w:tcW w:w="2249" w:type="dxa"/>
                  <w:vMerge/>
                </w:tcPr>
                <w:p w14:paraId="7879C100" w14:textId="77777777" w:rsidR="003A41BE" w:rsidRPr="00DA2276" w:rsidRDefault="003A41BE" w:rsidP="002A37E3">
                  <w:pPr>
                    <w:framePr w:hSpace="141" w:wrap="around" w:vAnchor="text" w:hAnchor="text" w:x="421" w:y="1"/>
                    <w:suppressOverlap/>
                    <w:jc w:val="center"/>
                    <w:rPr>
                      <w:bCs/>
                      <w:sz w:val="22"/>
                      <w:szCs w:val="22"/>
                      <w:lang w:val="en-US"/>
                    </w:rPr>
                  </w:pPr>
                </w:p>
              </w:tc>
            </w:tr>
            <w:tr w:rsidR="003A41BE" w:rsidRPr="00DA2276" w14:paraId="755D415A" w14:textId="77777777" w:rsidTr="00FD44CE">
              <w:tc>
                <w:tcPr>
                  <w:tcW w:w="1510" w:type="dxa"/>
                  <w:vMerge w:val="restart"/>
                </w:tcPr>
                <w:p w14:paraId="5553978A"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By age</w:t>
                  </w:r>
                </w:p>
              </w:tc>
              <w:tc>
                <w:tcPr>
                  <w:tcW w:w="2357" w:type="dxa"/>
                </w:tcPr>
                <w:p w14:paraId="02E95FFB"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15-19</w:t>
                  </w:r>
                </w:p>
              </w:tc>
              <w:tc>
                <w:tcPr>
                  <w:tcW w:w="1510" w:type="dxa"/>
                </w:tcPr>
                <w:p w14:paraId="4E13C14D"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37.7%</w:t>
                  </w:r>
                </w:p>
              </w:tc>
              <w:tc>
                <w:tcPr>
                  <w:tcW w:w="2249" w:type="dxa"/>
                  <w:vMerge/>
                </w:tcPr>
                <w:p w14:paraId="66EB8BC0" w14:textId="77777777" w:rsidR="003A41BE" w:rsidRPr="00DA2276" w:rsidRDefault="003A41BE" w:rsidP="002A37E3">
                  <w:pPr>
                    <w:framePr w:hSpace="141" w:wrap="around" w:vAnchor="text" w:hAnchor="text" w:x="421" w:y="1"/>
                    <w:suppressOverlap/>
                    <w:jc w:val="center"/>
                    <w:rPr>
                      <w:bCs/>
                      <w:sz w:val="22"/>
                      <w:szCs w:val="22"/>
                      <w:lang w:val="en-US"/>
                    </w:rPr>
                  </w:pPr>
                </w:p>
              </w:tc>
            </w:tr>
            <w:tr w:rsidR="003A41BE" w:rsidRPr="00DA2276" w14:paraId="489C0FCB" w14:textId="77777777" w:rsidTr="00FD44CE">
              <w:tc>
                <w:tcPr>
                  <w:tcW w:w="1510" w:type="dxa"/>
                  <w:vMerge/>
                </w:tcPr>
                <w:p w14:paraId="15A11C86" w14:textId="77777777" w:rsidR="003A41BE" w:rsidRDefault="003A41BE" w:rsidP="002A37E3">
                  <w:pPr>
                    <w:framePr w:hSpace="141" w:wrap="around" w:vAnchor="text" w:hAnchor="text" w:x="421" w:y="1"/>
                    <w:suppressOverlap/>
                    <w:jc w:val="center"/>
                    <w:rPr>
                      <w:sz w:val="22"/>
                      <w:szCs w:val="22"/>
                      <w:lang w:val="en-US"/>
                    </w:rPr>
                  </w:pPr>
                </w:p>
              </w:tc>
              <w:tc>
                <w:tcPr>
                  <w:tcW w:w="2357" w:type="dxa"/>
                </w:tcPr>
                <w:p w14:paraId="60CFF9D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20-24</w:t>
                  </w:r>
                </w:p>
              </w:tc>
              <w:tc>
                <w:tcPr>
                  <w:tcW w:w="1510" w:type="dxa"/>
                </w:tcPr>
                <w:p w14:paraId="25B0EA60"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32.5%</w:t>
                  </w:r>
                </w:p>
              </w:tc>
              <w:tc>
                <w:tcPr>
                  <w:tcW w:w="2249" w:type="dxa"/>
                  <w:vMerge/>
                </w:tcPr>
                <w:p w14:paraId="0F1C37F9" w14:textId="77777777" w:rsidR="003A41BE" w:rsidRPr="00DA2276" w:rsidRDefault="003A41BE" w:rsidP="002A37E3">
                  <w:pPr>
                    <w:framePr w:hSpace="141" w:wrap="around" w:vAnchor="text" w:hAnchor="text" w:x="421" w:y="1"/>
                    <w:suppressOverlap/>
                    <w:jc w:val="center"/>
                    <w:rPr>
                      <w:bCs/>
                      <w:sz w:val="22"/>
                      <w:szCs w:val="22"/>
                      <w:lang w:val="en-US"/>
                    </w:rPr>
                  </w:pPr>
                </w:p>
              </w:tc>
            </w:tr>
            <w:tr w:rsidR="003A41BE" w:rsidRPr="00DA2276" w14:paraId="3C514A37" w14:textId="77777777" w:rsidTr="00FD44CE">
              <w:tc>
                <w:tcPr>
                  <w:tcW w:w="1510" w:type="dxa"/>
                  <w:vMerge/>
                </w:tcPr>
                <w:p w14:paraId="2616AB66" w14:textId="77777777" w:rsidR="003A41BE" w:rsidRDefault="003A41BE" w:rsidP="002A37E3">
                  <w:pPr>
                    <w:framePr w:hSpace="141" w:wrap="around" w:vAnchor="text" w:hAnchor="text" w:x="421" w:y="1"/>
                    <w:suppressOverlap/>
                    <w:jc w:val="center"/>
                    <w:rPr>
                      <w:sz w:val="22"/>
                      <w:szCs w:val="22"/>
                      <w:lang w:val="en-US"/>
                    </w:rPr>
                  </w:pPr>
                </w:p>
              </w:tc>
              <w:tc>
                <w:tcPr>
                  <w:tcW w:w="2357" w:type="dxa"/>
                </w:tcPr>
                <w:p w14:paraId="4EBA3AE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25-29</w:t>
                  </w:r>
                </w:p>
              </w:tc>
              <w:tc>
                <w:tcPr>
                  <w:tcW w:w="1510" w:type="dxa"/>
                </w:tcPr>
                <w:p w14:paraId="59736BE4"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36%</w:t>
                  </w:r>
                </w:p>
              </w:tc>
              <w:tc>
                <w:tcPr>
                  <w:tcW w:w="2249" w:type="dxa"/>
                  <w:vMerge/>
                </w:tcPr>
                <w:p w14:paraId="3BFEE2D8" w14:textId="77777777" w:rsidR="003A41BE" w:rsidRPr="00DA2276" w:rsidRDefault="003A41BE" w:rsidP="002A37E3">
                  <w:pPr>
                    <w:framePr w:hSpace="141" w:wrap="around" w:vAnchor="text" w:hAnchor="text" w:x="421" w:y="1"/>
                    <w:suppressOverlap/>
                    <w:jc w:val="center"/>
                    <w:rPr>
                      <w:bCs/>
                      <w:sz w:val="22"/>
                      <w:szCs w:val="22"/>
                      <w:lang w:val="en-US"/>
                    </w:rPr>
                  </w:pPr>
                </w:p>
              </w:tc>
            </w:tr>
            <w:tr w:rsidR="003A41BE" w:rsidRPr="00DA2276" w14:paraId="62A4F23E" w14:textId="77777777" w:rsidTr="00FD44CE">
              <w:tc>
                <w:tcPr>
                  <w:tcW w:w="1510" w:type="dxa"/>
                  <w:vMerge/>
                </w:tcPr>
                <w:p w14:paraId="15990057" w14:textId="77777777" w:rsidR="003A41BE" w:rsidRDefault="003A41BE" w:rsidP="002A37E3">
                  <w:pPr>
                    <w:framePr w:hSpace="141" w:wrap="around" w:vAnchor="text" w:hAnchor="text" w:x="421" w:y="1"/>
                    <w:suppressOverlap/>
                    <w:jc w:val="center"/>
                    <w:rPr>
                      <w:sz w:val="22"/>
                      <w:szCs w:val="22"/>
                      <w:lang w:val="en-US"/>
                    </w:rPr>
                  </w:pPr>
                </w:p>
              </w:tc>
              <w:tc>
                <w:tcPr>
                  <w:tcW w:w="2357" w:type="dxa"/>
                </w:tcPr>
                <w:p w14:paraId="29AED3B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30-39</w:t>
                  </w:r>
                </w:p>
              </w:tc>
              <w:tc>
                <w:tcPr>
                  <w:tcW w:w="1510" w:type="dxa"/>
                </w:tcPr>
                <w:p w14:paraId="32FCB93F"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34.9%</w:t>
                  </w:r>
                </w:p>
              </w:tc>
              <w:tc>
                <w:tcPr>
                  <w:tcW w:w="2249" w:type="dxa"/>
                  <w:vMerge/>
                </w:tcPr>
                <w:p w14:paraId="245B6E58" w14:textId="77777777" w:rsidR="003A41BE" w:rsidRPr="00DA2276" w:rsidRDefault="003A41BE" w:rsidP="002A37E3">
                  <w:pPr>
                    <w:framePr w:hSpace="141" w:wrap="around" w:vAnchor="text" w:hAnchor="text" w:x="421" w:y="1"/>
                    <w:suppressOverlap/>
                    <w:jc w:val="center"/>
                    <w:rPr>
                      <w:bCs/>
                      <w:sz w:val="22"/>
                      <w:szCs w:val="22"/>
                      <w:lang w:val="en-US"/>
                    </w:rPr>
                  </w:pPr>
                </w:p>
              </w:tc>
            </w:tr>
            <w:tr w:rsidR="003A41BE" w:rsidRPr="00DA2276" w14:paraId="195D7D94" w14:textId="77777777" w:rsidTr="00FD44CE">
              <w:tc>
                <w:tcPr>
                  <w:tcW w:w="1510" w:type="dxa"/>
                  <w:vMerge/>
                </w:tcPr>
                <w:p w14:paraId="6CEE3147" w14:textId="77777777" w:rsidR="003A41BE" w:rsidRDefault="003A41BE" w:rsidP="002A37E3">
                  <w:pPr>
                    <w:framePr w:hSpace="141" w:wrap="around" w:vAnchor="text" w:hAnchor="text" w:x="421" w:y="1"/>
                    <w:suppressOverlap/>
                    <w:jc w:val="center"/>
                    <w:rPr>
                      <w:sz w:val="22"/>
                      <w:szCs w:val="22"/>
                      <w:lang w:val="en-US"/>
                    </w:rPr>
                  </w:pPr>
                </w:p>
              </w:tc>
              <w:tc>
                <w:tcPr>
                  <w:tcW w:w="2357" w:type="dxa"/>
                </w:tcPr>
                <w:p w14:paraId="08E55B32"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40-49</w:t>
                  </w:r>
                </w:p>
              </w:tc>
              <w:tc>
                <w:tcPr>
                  <w:tcW w:w="1510" w:type="dxa"/>
                </w:tcPr>
                <w:p w14:paraId="61E83DF1"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34%</w:t>
                  </w:r>
                </w:p>
              </w:tc>
              <w:tc>
                <w:tcPr>
                  <w:tcW w:w="2249" w:type="dxa"/>
                  <w:vMerge/>
                </w:tcPr>
                <w:p w14:paraId="259D29E8" w14:textId="77777777" w:rsidR="003A41BE" w:rsidRPr="00DA2276" w:rsidRDefault="003A41BE" w:rsidP="002A37E3">
                  <w:pPr>
                    <w:framePr w:hSpace="141" w:wrap="around" w:vAnchor="text" w:hAnchor="text" w:x="421" w:y="1"/>
                    <w:suppressOverlap/>
                    <w:jc w:val="center"/>
                    <w:rPr>
                      <w:bCs/>
                      <w:sz w:val="22"/>
                      <w:szCs w:val="22"/>
                      <w:lang w:val="en-US"/>
                    </w:rPr>
                  </w:pPr>
                </w:p>
              </w:tc>
            </w:tr>
          </w:tbl>
          <w:p w14:paraId="32A75781" w14:textId="77777777" w:rsidR="003A41BE" w:rsidRPr="003F4BC2" w:rsidRDefault="003A41BE" w:rsidP="00FD44CE">
            <w:pPr>
              <w:rPr>
                <w:rFonts w:cs="Calibri"/>
                <w:bCs/>
                <w:color w:val="000000" w:themeColor="text1"/>
                <w:sz w:val="22"/>
                <w:szCs w:val="22"/>
                <w:lang w:val="en-US"/>
              </w:rPr>
            </w:pPr>
            <w:r w:rsidRPr="003F4BC2">
              <w:rPr>
                <w:rFonts w:cs="Calibri"/>
                <w:bCs/>
                <w:color w:val="000000" w:themeColor="text1"/>
                <w:sz w:val="22"/>
                <w:szCs w:val="22"/>
                <w:lang w:val="en-US"/>
              </w:rPr>
              <w:t>Data Source</w:t>
            </w:r>
            <w:r w:rsidRPr="00B30F82">
              <w:rPr>
                <w:rFonts w:cs="Calibri"/>
                <w:bCs/>
                <w:color w:val="000000" w:themeColor="text1"/>
                <w:sz w:val="22"/>
                <w:szCs w:val="22"/>
                <w:lang w:val="en-US"/>
              </w:rPr>
              <w:t xml:space="preserve">: </w:t>
            </w:r>
            <w:r w:rsidRPr="002A7985">
              <w:rPr>
                <w:rFonts w:cs="Calibri"/>
                <w:bCs/>
                <w:color w:val="000000" w:themeColor="text1"/>
                <w:sz w:val="22"/>
                <w:szCs w:val="22"/>
                <w:lang w:val="en-US"/>
              </w:rPr>
              <w:t>DHS 2016</w:t>
            </w:r>
            <w:r>
              <w:rPr>
                <w:rFonts w:cs="Calibri"/>
                <w:bCs/>
                <w:color w:val="000000" w:themeColor="text1"/>
                <w:sz w:val="22"/>
                <w:szCs w:val="22"/>
                <w:lang w:val="en-US"/>
              </w:rPr>
              <w:t xml:space="preserve"> (table 16.12)</w:t>
            </w:r>
          </w:p>
        </w:tc>
      </w:tr>
      <w:tr w:rsidR="003A41BE" w:rsidRPr="00841766" w14:paraId="157315EF"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EED433" w14:textId="77777777" w:rsidR="003A41BE" w:rsidRDefault="003A41BE" w:rsidP="00FD44CE">
            <w:pPr>
              <w:spacing w:before="63"/>
              <w:rPr>
                <w:rFonts w:cs="Calibri"/>
                <w:sz w:val="22"/>
                <w:szCs w:val="22"/>
                <w:lang w:val="en-US"/>
              </w:rPr>
            </w:pPr>
            <w:r w:rsidRPr="003F4BC2">
              <w:rPr>
                <w:rFonts w:cs="Calibri"/>
                <w:color w:val="000000" w:themeColor="text1"/>
                <w:sz w:val="22"/>
                <w:szCs w:val="22"/>
                <w:lang w:val="en-US"/>
              </w:rPr>
              <w:lastRenderedPageBreak/>
              <w:t>5.</w:t>
            </w:r>
            <w:r>
              <w:rPr>
                <w:rFonts w:cs="Calibri"/>
                <w:color w:val="000000" w:themeColor="text1"/>
                <w:sz w:val="22"/>
                <w:szCs w:val="22"/>
                <w:lang w:val="en-US"/>
              </w:rPr>
              <w:t>d</w:t>
            </w:r>
            <w:r w:rsidRPr="003F4BC2">
              <w:rPr>
                <w:rFonts w:cs="Calibri"/>
                <w:color w:val="000000" w:themeColor="text1"/>
                <w:sz w:val="22"/>
                <w:szCs w:val="22"/>
                <w:lang w:val="en-US"/>
              </w:rPr>
              <w:t xml:space="preserve"> </w:t>
            </w:r>
            <w:r w:rsidRPr="003F4BC2">
              <w:rPr>
                <w:rFonts w:cs="Calibri"/>
                <w:sz w:val="22"/>
                <w:szCs w:val="22"/>
                <w:lang w:val="en-US"/>
              </w:rPr>
              <w:t>Proportion of population (disaggregated by sex) satisfied with their last experience of public services specifically a) health</w:t>
            </w:r>
            <w:r>
              <w:rPr>
                <w:rFonts w:cs="Calibri"/>
                <w:sz w:val="22"/>
                <w:szCs w:val="22"/>
                <w:lang w:val="en-US"/>
              </w:rPr>
              <w:t xml:space="preserve"> </w:t>
            </w:r>
            <w:r w:rsidRPr="003F4BC2">
              <w:rPr>
                <w:rFonts w:cs="Calibri"/>
                <w:sz w:val="22"/>
                <w:szCs w:val="22"/>
                <w:lang w:val="en-US"/>
              </w:rPr>
              <w:t>care services b) education services and c) government services (</w:t>
            </w:r>
            <w:r>
              <w:rPr>
                <w:rFonts w:cs="Calibri"/>
                <w:sz w:val="22"/>
                <w:szCs w:val="22"/>
                <w:lang w:val="en-US"/>
              </w:rPr>
              <w:t xml:space="preserve">SDG Indicator </w:t>
            </w:r>
            <w:r w:rsidRPr="003F4BC2">
              <w:rPr>
                <w:rFonts w:cs="Calibri"/>
                <w:sz w:val="22"/>
                <w:szCs w:val="22"/>
                <w:lang w:val="en-US"/>
              </w:rPr>
              <w:t>16.6.2)</w:t>
            </w:r>
          </w:p>
          <w:p w14:paraId="664F92B3" w14:textId="77777777" w:rsidR="003A41BE" w:rsidRDefault="003A41BE" w:rsidP="00FD44CE">
            <w:pPr>
              <w:pStyle w:val="Default"/>
              <w:rPr>
                <w:rFonts w:asciiTheme="minorHAnsi" w:hAnsiTheme="minorHAnsi" w:cs="Calibri"/>
                <w:sz w:val="22"/>
                <w:szCs w:val="22"/>
                <w:u w:val="single"/>
                <w:lang w:val="en-US"/>
              </w:rPr>
            </w:pPr>
          </w:p>
          <w:p w14:paraId="15BBC5B4" w14:textId="77777777" w:rsidR="003A41BE" w:rsidRDefault="003A41BE" w:rsidP="00FD44CE">
            <w:pPr>
              <w:pStyle w:val="Default"/>
              <w:rPr>
                <w:rFonts w:asciiTheme="minorHAnsi" w:hAnsiTheme="minorHAnsi" w:cs="Calibri"/>
                <w:sz w:val="22"/>
                <w:szCs w:val="22"/>
                <w:lang w:val="en-US"/>
              </w:rPr>
            </w:pPr>
            <w:r w:rsidRPr="00DA2276">
              <w:rPr>
                <w:rFonts w:asciiTheme="minorHAnsi" w:hAnsiTheme="minorHAnsi" w:cs="Calibri"/>
                <w:sz w:val="22"/>
                <w:szCs w:val="22"/>
                <w:u w:val="single"/>
                <w:lang w:val="en-US"/>
              </w:rPr>
              <w:t>Proxy Indicator:</w:t>
            </w:r>
            <w:r>
              <w:rPr>
                <w:rFonts w:asciiTheme="minorHAnsi" w:hAnsiTheme="minorHAnsi" w:cs="Calibri"/>
                <w:sz w:val="22"/>
                <w:szCs w:val="22"/>
                <w:lang w:val="en-US"/>
              </w:rPr>
              <w:t xml:space="preserve"> </w:t>
            </w:r>
            <w:r w:rsidRPr="007930D0">
              <w:rPr>
                <w:rFonts w:asciiTheme="minorHAnsi" w:hAnsiTheme="minorHAnsi" w:cs="Calibri"/>
                <w:sz w:val="22"/>
                <w:szCs w:val="22"/>
                <w:lang w:val="en-US"/>
              </w:rPr>
              <w:t xml:space="preserve">Of the </w:t>
            </w:r>
            <w:r>
              <w:rPr>
                <w:rFonts w:asciiTheme="minorHAnsi" w:hAnsiTheme="minorHAnsi" w:cs="Calibri"/>
                <w:sz w:val="22"/>
                <w:szCs w:val="22"/>
                <w:lang w:val="en-US"/>
              </w:rPr>
              <w:t xml:space="preserve">following </w:t>
            </w:r>
            <w:r w:rsidRPr="007930D0">
              <w:rPr>
                <w:rFonts w:asciiTheme="minorHAnsi" w:hAnsiTheme="minorHAnsi" w:cs="Calibri"/>
                <w:sz w:val="22"/>
                <w:szCs w:val="22"/>
                <w:lang w:val="en-US"/>
              </w:rPr>
              <w:t>services, the government provides</w:t>
            </w:r>
            <w:r>
              <w:rPr>
                <w:rFonts w:asciiTheme="minorHAnsi" w:hAnsiTheme="minorHAnsi" w:cs="Calibri"/>
                <w:sz w:val="22"/>
                <w:szCs w:val="22"/>
                <w:lang w:val="en-US"/>
              </w:rPr>
              <w:t xml:space="preserve"> (roads, education, access to water, health care, irrigation, electricity, access to people with disabilities, seed supply, policing services)</w:t>
            </w:r>
            <w:r w:rsidRPr="007930D0">
              <w:rPr>
                <w:rFonts w:asciiTheme="minorHAnsi" w:hAnsiTheme="minorHAnsi" w:cs="Calibri"/>
                <w:sz w:val="22"/>
                <w:szCs w:val="22"/>
                <w:lang w:val="en-US"/>
              </w:rPr>
              <w:t>, which do you think most needs to be improved in your area?</w:t>
            </w:r>
          </w:p>
          <w:tbl>
            <w:tblPr>
              <w:tblStyle w:val="TableGrid"/>
              <w:tblW w:w="4799" w:type="dxa"/>
              <w:tblLayout w:type="fixed"/>
              <w:tblLook w:val="04A0" w:firstRow="1" w:lastRow="0" w:firstColumn="1" w:lastColumn="0" w:noHBand="0" w:noVBand="1"/>
            </w:tblPr>
            <w:tblGrid>
              <w:gridCol w:w="1477"/>
              <w:gridCol w:w="1702"/>
              <w:gridCol w:w="1620"/>
            </w:tblGrid>
            <w:tr w:rsidR="003A41BE" w14:paraId="204E7F01" w14:textId="77777777" w:rsidTr="00FD44CE">
              <w:tc>
                <w:tcPr>
                  <w:tcW w:w="1477" w:type="dxa"/>
                </w:tcPr>
                <w:p w14:paraId="5F9C5AB6" w14:textId="77777777" w:rsidR="003A41BE" w:rsidRDefault="003A41BE" w:rsidP="002A37E3">
                  <w:pPr>
                    <w:framePr w:hSpace="141" w:wrap="around" w:vAnchor="text" w:hAnchor="text" w:x="421" w:y="1"/>
                    <w:suppressOverlap/>
                    <w:jc w:val="center"/>
                    <w:rPr>
                      <w:sz w:val="22"/>
                      <w:szCs w:val="22"/>
                      <w:lang w:val="en-US"/>
                    </w:rPr>
                  </w:pPr>
                </w:p>
              </w:tc>
              <w:tc>
                <w:tcPr>
                  <w:tcW w:w="1702" w:type="dxa"/>
                </w:tcPr>
                <w:p w14:paraId="0C50ED89" w14:textId="77777777" w:rsidR="003A41BE" w:rsidRPr="00F33AAA" w:rsidRDefault="003A41BE" w:rsidP="002A37E3">
                  <w:pPr>
                    <w:framePr w:hSpace="141" w:wrap="around" w:vAnchor="text" w:hAnchor="text" w:x="421" w:y="1"/>
                    <w:suppressOverlap/>
                    <w:jc w:val="center"/>
                    <w:rPr>
                      <w:sz w:val="22"/>
                      <w:szCs w:val="22"/>
                      <w:lang w:val="en-US"/>
                    </w:rPr>
                  </w:pPr>
                  <w:r w:rsidRPr="00F33AAA">
                    <w:rPr>
                      <w:sz w:val="22"/>
                      <w:szCs w:val="22"/>
                      <w:lang w:val="en-US"/>
                    </w:rPr>
                    <w:t>Baseline</w:t>
                  </w:r>
                </w:p>
              </w:tc>
              <w:tc>
                <w:tcPr>
                  <w:tcW w:w="1620" w:type="dxa"/>
                </w:tcPr>
                <w:p w14:paraId="17B5461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486EB1F5" w14:textId="77777777" w:rsidTr="00FD44CE">
              <w:tc>
                <w:tcPr>
                  <w:tcW w:w="1477" w:type="dxa"/>
                </w:tcPr>
                <w:p w14:paraId="7E6B0800"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Health care</w:t>
                  </w:r>
                </w:p>
              </w:tc>
              <w:tc>
                <w:tcPr>
                  <w:tcW w:w="1702" w:type="dxa"/>
                </w:tcPr>
                <w:p w14:paraId="6B1EE281" w14:textId="5354A30F" w:rsidR="003A41BE" w:rsidRPr="007A75A1" w:rsidRDefault="005A2554" w:rsidP="002A37E3">
                  <w:pPr>
                    <w:framePr w:hSpace="141" w:wrap="around" w:vAnchor="text" w:hAnchor="text" w:x="421" w:y="1"/>
                    <w:suppressOverlap/>
                    <w:jc w:val="center"/>
                    <w:rPr>
                      <w:sz w:val="22"/>
                      <w:szCs w:val="22"/>
                      <w:lang w:val="en-US"/>
                    </w:rPr>
                  </w:pPr>
                  <w:r>
                    <w:rPr>
                      <w:sz w:val="22"/>
                      <w:szCs w:val="22"/>
                      <w:lang w:val="en-US"/>
                    </w:rPr>
                    <w:t>TBD</w:t>
                  </w:r>
                </w:p>
              </w:tc>
              <w:tc>
                <w:tcPr>
                  <w:tcW w:w="1620" w:type="dxa"/>
                </w:tcPr>
                <w:p w14:paraId="1AE46E78" w14:textId="77777777" w:rsidR="003A41BE" w:rsidRPr="00DA2276" w:rsidRDefault="003A41BE" w:rsidP="002A37E3">
                  <w:pPr>
                    <w:framePr w:hSpace="141" w:wrap="around" w:vAnchor="text" w:hAnchor="text" w:x="421" w:y="1"/>
                    <w:suppressOverlap/>
                    <w:jc w:val="center"/>
                    <w:rPr>
                      <w:bCs/>
                      <w:sz w:val="22"/>
                      <w:szCs w:val="22"/>
                      <w:lang w:val="en-US"/>
                    </w:rPr>
                  </w:pPr>
                  <w:r>
                    <w:rPr>
                      <w:bCs/>
                      <w:sz w:val="22"/>
                      <w:szCs w:val="22"/>
                      <w:lang w:val="en-US"/>
                    </w:rPr>
                    <w:t>TBD</w:t>
                  </w:r>
                </w:p>
              </w:tc>
            </w:tr>
            <w:tr w:rsidR="003A41BE" w:rsidRPr="00DA2276" w14:paraId="166403DD" w14:textId="77777777" w:rsidTr="00FD44CE">
              <w:tc>
                <w:tcPr>
                  <w:tcW w:w="1477" w:type="dxa"/>
                </w:tcPr>
                <w:p w14:paraId="59ADDEF7"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 xml:space="preserve">Education </w:t>
                  </w:r>
                </w:p>
              </w:tc>
              <w:tc>
                <w:tcPr>
                  <w:tcW w:w="1702" w:type="dxa"/>
                </w:tcPr>
                <w:p w14:paraId="7E4F9732" w14:textId="7100627E" w:rsidR="003A41BE" w:rsidRPr="007A75A1" w:rsidRDefault="005A2554" w:rsidP="002A37E3">
                  <w:pPr>
                    <w:framePr w:hSpace="141" w:wrap="around" w:vAnchor="text" w:hAnchor="text" w:x="421" w:y="1"/>
                    <w:suppressOverlap/>
                    <w:jc w:val="center"/>
                    <w:rPr>
                      <w:sz w:val="22"/>
                      <w:szCs w:val="22"/>
                      <w:lang w:val="en-US"/>
                    </w:rPr>
                  </w:pPr>
                  <w:r>
                    <w:rPr>
                      <w:sz w:val="22"/>
                      <w:szCs w:val="22"/>
                      <w:lang w:val="en-US"/>
                    </w:rPr>
                    <w:t>TBD</w:t>
                  </w:r>
                </w:p>
              </w:tc>
              <w:tc>
                <w:tcPr>
                  <w:tcW w:w="1620" w:type="dxa"/>
                </w:tcPr>
                <w:p w14:paraId="4E6867D4" w14:textId="77777777" w:rsidR="003A41BE" w:rsidRPr="00DA2276" w:rsidRDefault="003A41BE" w:rsidP="002A37E3">
                  <w:pPr>
                    <w:framePr w:hSpace="141" w:wrap="around" w:vAnchor="text" w:hAnchor="text" w:x="421" w:y="1"/>
                    <w:suppressOverlap/>
                    <w:jc w:val="center"/>
                    <w:rPr>
                      <w:bCs/>
                      <w:sz w:val="22"/>
                      <w:szCs w:val="22"/>
                      <w:lang w:val="en-US"/>
                    </w:rPr>
                  </w:pPr>
                  <w:r>
                    <w:rPr>
                      <w:bCs/>
                      <w:sz w:val="22"/>
                      <w:szCs w:val="22"/>
                      <w:lang w:val="en-US"/>
                    </w:rPr>
                    <w:t>TBD</w:t>
                  </w:r>
                </w:p>
              </w:tc>
            </w:tr>
          </w:tbl>
          <w:p w14:paraId="15F4F294" w14:textId="77777777" w:rsidR="003A41BE" w:rsidRDefault="003A41BE" w:rsidP="00FD44CE">
            <w:pPr>
              <w:rPr>
                <w:rFonts w:cs="Calibri"/>
                <w:sz w:val="22"/>
                <w:szCs w:val="22"/>
                <w:u w:val="single"/>
                <w:lang w:val="en-US"/>
              </w:rPr>
            </w:pPr>
          </w:p>
          <w:p w14:paraId="710AE191" w14:textId="77777777" w:rsidR="003A41BE" w:rsidRPr="007930D0" w:rsidRDefault="003A41BE" w:rsidP="00FD44CE">
            <w:pPr>
              <w:rPr>
                <w:rFonts w:cs="Calibri"/>
                <w:color w:val="000000"/>
                <w:sz w:val="22"/>
                <w:szCs w:val="22"/>
                <w:lang w:val="en-US"/>
              </w:rPr>
            </w:pPr>
            <w:r w:rsidRPr="00DA2276">
              <w:rPr>
                <w:rFonts w:cs="Calibri"/>
                <w:sz w:val="22"/>
                <w:szCs w:val="22"/>
                <w:u w:val="single"/>
                <w:lang w:val="en-US"/>
              </w:rPr>
              <w:t>Proxy Indicator</w:t>
            </w:r>
            <w:r>
              <w:rPr>
                <w:rFonts w:cs="Calibri"/>
                <w:sz w:val="22"/>
                <w:szCs w:val="22"/>
                <w:lang w:val="en-US"/>
              </w:rPr>
              <w:t>:</w:t>
            </w:r>
            <w:r w:rsidRPr="007930D0">
              <w:rPr>
                <w:rFonts w:cs="Calibri"/>
                <w:color w:val="000000"/>
                <w:sz w:val="22"/>
                <w:szCs w:val="22"/>
                <w:lang w:val="en-US"/>
              </w:rPr>
              <w:t xml:space="preserve"> I would be willing to pay tax to receive better services </w:t>
            </w:r>
          </w:p>
          <w:tbl>
            <w:tblPr>
              <w:tblStyle w:val="TableGrid"/>
              <w:tblW w:w="4799" w:type="dxa"/>
              <w:tblLayout w:type="fixed"/>
              <w:tblLook w:val="04A0" w:firstRow="1" w:lastRow="0" w:firstColumn="1" w:lastColumn="0" w:noHBand="0" w:noVBand="1"/>
            </w:tblPr>
            <w:tblGrid>
              <w:gridCol w:w="1477"/>
              <w:gridCol w:w="1702"/>
              <w:gridCol w:w="1620"/>
            </w:tblGrid>
            <w:tr w:rsidR="003A41BE" w14:paraId="4FE4E246" w14:textId="77777777" w:rsidTr="00FD44CE">
              <w:tc>
                <w:tcPr>
                  <w:tcW w:w="1477" w:type="dxa"/>
                </w:tcPr>
                <w:p w14:paraId="497C74A8" w14:textId="77777777" w:rsidR="003A41BE" w:rsidRDefault="003A41BE" w:rsidP="002A37E3">
                  <w:pPr>
                    <w:framePr w:hSpace="141" w:wrap="around" w:vAnchor="text" w:hAnchor="text" w:x="421" w:y="1"/>
                    <w:suppressOverlap/>
                    <w:jc w:val="center"/>
                    <w:rPr>
                      <w:sz w:val="22"/>
                      <w:szCs w:val="22"/>
                      <w:lang w:val="en-US"/>
                    </w:rPr>
                  </w:pPr>
                </w:p>
              </w:tc>
              <w:tc>
                <w:tcPr>
                  <w:tcW w:w="1702" w:type="dxa"/>
                </w:tcPr>
                <w:p w14:paraId="469429F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3D1B003C"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2802662C" w14:textId="77777777" w:rsidTr="00FD44CE">
              <w:tc>
                <w:tcPr>
                  <w:tcW w:w="1477" w:type="dxa"/>
                </w:tcPr>
                <w:p w14:paraId="1AC9878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Government</w:t>
                  </w:r>
                </w:p>
              </w:tc>
              <w:tc>
                <w:tcPr>
                  <w:tcW w:w="1702" w:type="dxa"/>
                </w:tcPr>
                <w:p w14:paraId="4060EF54"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65%</w:t>
                  </w:r>
                </w:p>
              </w:tc>
              <w:tc>
                <w:tcPr>
                  <w:tcW w:w="1620" w:type="dxa"/>
                </w:tcPr>
                <w:p w14:paraId="61CA4693"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TBD</w:t>
                  </w:r>
                </w:p>
              </w:tc>
            </w:tr>
          </w:tbl>
          <w:p w14:paraId="7F16679E" w14:textId="77777777" w:rsidR="003A41BE" w:rsidRDefault="003A41BE" w:rsidP="00FD44CE">
            <w:pPr>
              <w:rPr>
                <w:rFonts w:cstheme="minorHAnsi"/>
                <w:bCs/>
                <w:sz w:val="22"/>
                <w:szCs w:val="22"/>
                <w:lang w:val="en-US"/>
              </w:rPr>
            </w:pPr>
            <w:r>
              <w:rPr>
                <w:rFonts w:cstheme="minorHAnsi"/>
                <w:bCs/>
                <w:sz w:val="22"/>
                <w:szCs w:val="22"/>
                <w:lang w:val="en-US"/>
              </w:rPr>
              <w:t>Data Source:</w:t>
            </w:r>
            <w:r w:rsidRPr="003F4BC2">
              <w:rPr>
                <w:rFonts w:cstheme="minorHAnsi"/>
                <w:bCs/>
                <w:sz w:val="22"/>
                <w:szCs w:val="22"/>
                <w:lang w:val="en-US"/>
              </w:rPr>
              <w:t xml:space="preserve"> </w:t>
            </w:r>
            <w:r>
              <w:rPr>
                <w:rFonts w:cstheme="minorHAnsi"/>
                <w:bCs/>
                <w:sz w:val="22"/>
                <w:szCs w:val="22"/>
                <w:lang w:val="en-US"/>
              </w:rPr>
              <w:t xml:space="preserve">The Asia Foundation, </w:t>
            </w:r>
            <w:proofErr w:type="spellStart"/>
            <w:r w:rsidRPr="003F4BC2">
              <w:rPr>
                <w:rFonts w:cstheme="minorHAnsi"/>
                <w:bCs/>
                <w:sz w:val="22"/>
                <w:szCs w:val="22"/>
                <w:lang w:val="en-US"/>
              </w:rPr>
              <w:t>Taitoli</w:t>
            </w:r>
            <w:proofErr w:type="spellEnd"/>
            <w:r>
              <w:rPr>
                <w:rFonts w:cstheme="minorHAnsi"/>
                <w:bCs/>
                <w:sz w:val="22"/>
                <w:szCs w:val="22"/>
                <w:lang w:val="en-US"/>
              </w:rPr>
              <w:t xml:space="preserve"> Survey 2013-2018</w:t>
            </w:r>
          </w:p>
          <w:p w14:paraId="19921D19" w14:textId="77777777" w:rsidR="003A41BE" w:rsidRPr="003F4BC2" w:rsidRDefault="003A41BE" w:rsidP="00FD44CE">
            <w:pPr>
              <w:rPr>
                <w:rFonts w:cs="Calibri"/>
                <w:bCs/>
                <w:color w:val="000000" w:themeColor="text1"/>
                <w:sz w:val="22"/>
                <w:szCs w:val="22"/>
                <w:lang w:val="en-US"/>
              </w:rPr>
            </w:pPr>
          </w:p>
        </w:tc>
      </w:tr>
      <w:tr w:rsidR="003A2D94" w:rsidRPr="00841766" w14:paraId="402B2067"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86EFA1" w14:textId="30BF4CBF" w:rsidR="003A2D94" w:rsidRDefault="003A2D94" w:rsidP="003A2D94">
            <w:pPr>
              <w:rPr>
                <w:rFonts w:cstheme="minorHAnsi"/>
                <w:color w:val="000000"/>
                <w:sz w:val="22"/>
                <w:szCs w:val="22"/>
                <w:lang w:val="en-US"/>
              </w:rPr>
            </w:pPr>
            <w:r>
              <w:rPr>
                <w:rFonts w:cstheme="minorHAnsi"/>
                <w:sz w:val="22"/>
                <w:szCs w:val="22"/>
                <w:lang w:val="en-US"/>
              </w:rPr>
              <w:t>5.</w:t>
            </w:r>
            <w:r>
              <w:rPr>
                <w:rFonts w:cstheme="minorHAnsi"/>
                <w:color w:val="000000"/>
                <w:sz w:val="22"/>
                <w:szCs w:val="22"/>
                <w:lang w:val="en-US"/>
              </w:rPr>
              <w:t>e</w:t>
            </w:r>
            <w:r w:rsidRPr="003F4BC2">
              <w:rPr>
                <w:rFonts w:cstheme="minorHAnsi"/>
                <w:color w:val="000000"/>
                <w:sz w:val="22"/>
                <w:szCs w:val="22"/>
                <w:lang w:val="en-US"/>
              </w:rPr>
              <w:t xml:space="preserve"> Number of victims of human trafficking per year, by sex, age and form of exploitation</w:t>
            </w:r>
            <w:r>
              <w:rPr>
                <w:rFonts w:cstheme="minorHAnsi"/>
                <w:color w:val="000000"/>
                <w:sz w:val="22"/>
                <w:szCs w:val="22"/>
                <w:lang w:val="en-US"/>
              </w:rPr>
              <w:t xml:space="preserve"> (SDG Indicator 16.2.2)</w:t>
            </w:r>
          </w:p>
          <w:tbl>
            <w:tblPr>
              <w:tblStyle w:val="TableGrid"/>
              <w:tblW w:w="0" w:type="auto"/>
              <w:tblLayout w:type="fixed"/>
              <w:tblLook w:val="04A0" w:firstRow="1" w:lastRow="0" w:firstColumn="1" w:lastColumn="0" w:noHBand="0" w:noVBand="1"/>
            </w:tblPr>
            <w:tblGrid>
              <w:gridCol w:w="1983"/>
              <w:gridCol w:w="1620"/>
            </w:tblGrid>
            <w:tr w:rsidR="003A2D94" w14:paraId="0438F790" w14:textId="77777777" w:rsidTr="003A2D94">
              <w:tc>
                <w:tcPr>
                  <w:tcW w:w="1983" w:type="dxa"/>
                </w:tcPr>
                <w:p w14:paraId="40A3C6A9" w14:textId="77777777" w:rsidR="003A2D94" w:rsidRDefault="003A2D94"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66090CB2" w14:textId="77777777" w:rsidR="003A2D94" w:rsidRDefault="003A2D94" w:rsidP="002A37E3">
                  <w:pPr>
                    <w:framePr w:hSpace="141" w:wrap="around" w:vAnchor="text" w:hAnchor="text" w:x="421" w:y="1"/>
                    <w:suppressOverlap/>
                    <w:jc w:val="center"/>
                    <w:rPr>
                      <w:sz w:val="22"/>
                      <w:szCs w:val="22"/>
                      <w:lang w:val="en-US"/>
                    </w:rPr>
                  </w:pPr>
                  <w:r>
                    <w:rPr>
                      <w:sz w:val="22"/>
                      <w:szCs w:val="22"/>
                      <w:lang w:val="en-US"/>
                    </w:rPr>
                    <w:t>Target</w:t>
                  </w:r>
                </w:p>
              </w:tc>
            </w:tr>
            <w:tr w:rsidR="003A2D94" w14:paraId="37557919" w14:textId="77777777" w:rsidTr="003A2D94">
              <w:tc>
                <w:tcPr>
                  <w:tcW w:w="1983" w:type="dxa"/>
                </w:tcPr>
                <w:p w14:paraId="187DFC33" w14:textId="77777777" w:rsidR="003A2D94" w:rsidRDefault="003A2D94" w:rsidP="002A37E3">
                  <w:pPr>
                    <w:framePr w:hSpace="141" w:wrap="around" w:vAnchor="text" w:hAnchor="text" w:x="421" w:y="1"/>
                    <w:suppressOverlap/>
                    <w:jc w:val="center"/>
                    <w:rPr>
                      <w:sz w:val="22"/>
                      <w:szCs w:val="22"/>
                      <w:lang w:val="en-US"/>
                    </w:rPr>
                  </w:pPr>
                  <w:r>
                    <w:rPr>
                      <w:sz w:val="22"/>
                      <w:szCs w:val="22"/>
                      <w:lang w:val="en-US"/>
                    </w:rPr>
                    <w:t>508 (2016-2018)</w:t>
                  </w:r>
                </w:p>
              </w:tc>
              <w:tc>
                <w:tcPr>
                  <w:tcW w:w="1620" w:type="dxa"/>
                </w:tcPr>
                <w:p w14:paraId="3440DC70" w14:textId="77777777" w:rsidR="003A2D94" w:rsidRDefault="003A2D94" w:rsidP="002A37E3">
                  <w:pPr>
                    <w:framePr w:hSpace="141" w:wrap="around" w:vAnchor="text" w:hAnchor="text" w:x="421" w:y="1"/>
                    <w:suppressOverlap/>
                    <w:jc w:val="center"/>
                    <w:rPr>
                      <w:sz w:val="22"/>
                      <w:szCs w:val="22"/>
                      <w:lang w:val="en-US"/>
                    </w:rPr>
                  </w:pPr>
                  <w:r w:rsidRPr="00A61127">
                    <w:rPr>
                      <w:sz w:val="22"/>
                      <w:szCs w:val="22"/>
                      <w:lang w:val="en-US"/>
                    </w:rPr>
                    <w:t>TBD</w:t>
                  </w:r>
                </w:p>
              </w:tc>
            </w:tr>
          </w:tbl>
          <w:p w14:paraId="651387B3" w14:textId="77777777" w:rsidR="003A2D94" w:rsidRDefault="003A2D94" w:rsidP="003A2D94">
            <w:pPr>
              <w:pStyle w:val="Default"/>
              <w:rPr>
                <w:rFonts w:asciiTheme="minorHAnsi" w:hAnsiTheme="minorHAnsi" w:cstheme="minorHAnsi"/>
                <w:sz w:val="22"/>
                <w:szCs w:val="22"/>
                <w:lang w:val="en-US"/>
              </w:rPr>
            </w:pPr>
            <w:r>
              <w:rPr>
                <w:rFonts w:asciiTheme="minorHAnsi" w:hAnsiTheme="minorHAnsi" w:cstheme="minorHAnsi"/>
                <w:sz w:val="22"/>
                <w:szCs w:val="22"/>
                <w:lang w:val="en-US"/>
              </w:rPr>
              <w:t>Source: IOM, United States Department of State, 2019 Trafficking in Persons Report – Timor-Leste</w:t>
            </w:r>
          </w:p>
          <w:p w14:paraId="033C6CEB" w14:textId="77777777" w:rsidR="003A2D94" w:rsidRPr="003F4BC2" w:rsidRDefault="003A2D94" w:rsidP="00FD44CE">
            <w:pPr>
              <w:spacing w:before="63"/>
              <w:rPr>
                <w:rFonts w:cs="Calibri"/>
                <w:color w:val="000000" w:themeColor="text1"/>
                <w:sz w:val="22"/>
                <w:szCs w:val="22"/>
                <w:lang w:val="en-US"/>
              </w:rPr>
            </w:pPr>
          </w:p>
        </w:tc>
      </w:tr>
      <w:tr w:rsidR="007C48DC" w:rsidRPr="00841766" w14:paraId="1B25F9A3"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756B7E" w14:textId="5E9DFD10" w:rsidR="007C48DC" w:rsidRDefault="007C48DC" w:rsidP="007C48DC">
            <w:pPr>
              <w:rPr>
                <w:rFonts w:cstheme="minorHAnsi"/>
                <w:sz w:val="22"/>
                <w:szCs w:val="22"/>
                <w:lang w:val="en-US"/>
              </w:rPr>
            </w:pPr>
            <w:r>
              <w:rPr>
                <w:rFonts w:cstheme="minorHAnsi"/>
                <w:sz w:val="22"/>
                <w:szCs w:val="22"/>
                <w:lang w:val="en-US"/>
              </w:rPr>
              <w:t xml:space="preserve">5f. Strengthen the domestic resource mobilization, including through international support to developing countries, to improve domestic capacity for tax and other revenue collection (SDG Indicator 17.1) </w:t>
            </w:r>
          </w:p>
          <w:tbl>
            <w:tblPr>
              <w:tblStyle w:val="TableGrid"/>
              <w:tblW w:w="0" w:type="auto"/>
              <w:tblLayout w:type="fixed"/>
              <w:tblLook w:val="04A0" w:firstRow="1" w:lastRow="0" w:firstColumn="1" w:lastColumn="0" w:noHBand="0" w:noVBand="1"/>
            </w:tblPr>
            <w:tblGrid>
              <w:gridCol w:w="6766"/>
              <w:gridCol w:w="5529"/>
            </w:tblGrid>
            <w:tr w:rsidR="007C48DC" w14:paraId="62BD35DE" w14:textId="77777777" w:rsidTr="005F4A3B">
              <w:trPr>
                <w:trHeight w:val="239"/>
              </w:trPr>
              <w:tc>
                <w:tcPr>
                  <w:tcW w:w="6766" w:type="dxa"/>
                </w:tcPr>
                <w:p w14:paraId="2DA9A674" w14:textId="77777777" w:rsidR="007C48DC" w:rsidRDefault="007C48DC" w:rsidP="002A37E3">
                  <w:pPr>
                    <w:framePr w:hSpace="141" w:wrap="around" w:vAnchor="text" w:hAnchor="text" w:x="421" w:y="1"/>
                    <w:suppressOverlap/>
                    <w:jc w:val="center"/>
                    <w:rPr>
                      <w:sz w:val="22"/>
                      <w:szCs w:val="22"/>
                      <w:lang w:val="en-US"/>
                    </w:rPr>
                  </w:pPr>
                  <w:r>
                    <w:rPr>
                      <w:sz w:val="22"/>
                      <w:szCs w:val="22"/>
                      <w:lang w:val="en-US"/>
                    </w:rPr>
                    <w:t>Baseline</w:t>
                  </w:r>
                </w:p>
              </w:tc>
              <w:tc>
                <w:tcPr>
                  <w:tcW w:w="5529" w:type="dxa"/>
                </w:tcPr>
                <w:p w14:paraId="60637646" w14:textId="77777777" w:rsidR="007C48DC" w:rsidRDefault="007C48DC" w:rsidP="002A37E3">
                  <w:pPr>
                    <w:framePr w:hSpace="141" w:wrap="around" w:vAnchor="text" w:hAnchor="text" w:x="421" w:y="1"/>
                    <w:suppressOverlap/>
                    <w:jc w:val="center"/>
                    <w:rPr>
                      <w:sz w:val="22"/>
                      <w:szCs w:val="22"/>
                      <w:lang w:val="en-US"/>
                    </w:rPr>
                  </w:pPr>
                  <w:r>
                    <w:rPr>
                      <w:sz w:val="22"/>
                      <w:szCs w:val="22"/>
                      <w:lang w:val="en-US"/>
                    </w:rPr>
                    <w:t>Target</w:t>
                  </w:r>
                </w:p>
              </w:tc>
            </w:tr>
            <w:tr w:rsidR="007C48DC" w14:paraId="53BEAF92" w14:textId="77777777" w:rsidTr="005F4A3B">
              <w:trPr>
                <w:trHeight w:val="55"/>
              </w:trPr>
              <w:tc>
                <w:tcPr>
                  <w:tcW w:w="6766" w:type="dxa"/>
                </w:tcPr>
                <w:p w14:paraId="0FC868B5" w14:textId="4E656378" w:rsidR="007C48DC" w:rsidRDefault="00C54AA2" w:rsidP="002A37E3">
                  <w:pPr>
                    <w:framePr w:hSpace="141" w:wrap="around" w:vAnchor="text" w:hAnchor="text" w:x="421" w:y="1"/>
                    <w:suppressOverlap/>
                    <w:jc w:val="center"/>
                    <w:rPr>
                      <w:sz w:val="22"/>
                      <w:szCs w:val="22"/>
                      <w:lang w:val="en-US"/>
                    </w:rPr>
                  </w:pPr>
                  <w:r>
                    <w:rPr>
                      <w:sz w:val="22"/>
                      <w:szCs w:val="22"/>
                      <w:lang w:val="en-US"/>
                    </w:rPr>
                    <w:t>No national, integrated system of financing for SDGs</w:t>
                  </w:r>
                  <w:r w:rsidR="00A211FB">
                    <w:rPr>
                      <w:sz w:val="22"/>
                      <w:szCs w:val="22"/>
                      <w:lang w:val="en-US"/>
                    </w:rPr>
                    <w:t xml:space="preserve"> exists</w:t>
                  </w:r>
                </w:p>
              </w:tc>
              <w:tc>
                <w:tcPr>
                  <w:tcW w:w="5529" w:type="dxa"/>
                </w:tcPr>
                <w:p w14:paraId="1F03DF71" w14:textId="31703B44" w:rsidR="00C54AA2" w:rsidRDefault="00C54AA2" w:rsidP="002A37E3">
                  <w:pPr>
                    <w:framePr w:hSpace="141" w:wrap="around" w:vAnchor="text" w:hAnchor="text" w:x="421" w:y="1"/>
                    <w:suppressOverlap/>
                    <w:jc w:val="center"/>
                    <w:rPr>
                      <w:sz w:val="22"/>
                      <w:szCs w:val="22"/>
                      <w:lang w:val="en-US"/>
                    </w:rPr>
                  </w:pPr>
                  <w:r>
                    <w:rPr>
                      <w:sz w:val="22"/>
                      <w:szCs w:val="22"/>
                      <w:lang w:val="en-US"/>
                    </w:rPr>
                    <w:t xml:space="preserve">1) Integrated National Financing Framework established, </w:t>
                  </w:r>
                  <w:r>
                    <w:rPr>
                      <w:sz w:val="22"/>
                      <w:szCs w:val="22"/>
                      <w:lang w:val="en-US"/>
                    </w:rPr>
                    <w:br/>
                    <w:t xml:space="preserve">2) </w:t>
                  </w:r>
                  <w:r w:rsidR="00360ACA">
                    <w:rPr>
                      <w:sz w:val="22"/>
                      <w:szCs w:val="22"/>
                      <w:lang w:val="en-US"/>
                    </w:rPr>
                    <w:t>P</w:t>
                  </w:r>
                  <w:r>
                    <w:rPr>
                      <w:sz w:val="22"/>
                      <w:szCs w:val="22"/>
                      <w:lang w:val="en-US"/>
                    </w:rPr>
                    <w:t>ro-health taxation implemented</w:t>
                  </w:r>
                </w:p>
                <w:p w14:paraId="1665A02E" w14:textId="38F280DA" w:rsidR="007C48DC" w:rsidRDefault="00C54AA2" w:rsidP="002A37E3">
                  <w:pPr>
                    <w:framePr w:hSpace="141" w:wrap="around" w:vAnchor="text" w:hAnchor="text" w:x="421" w:y="1"/>
                    <w:suppressOverlap/>
                    <w:jc w:val="center"/>
                    <w:rPr>
                      <w:sz w:val="22"/>
                      <w:szCs w:val="22"/>
                      <w:lang w:val="en-US"/>
                    </w:rPr>
                  </w:pPr>
                  <w:r>
                    <w:rPr>
                      <w:sz w:val="22"/>
                      <w:szCs w:val="22"/>
                      <w:lang w:val="en-US"/>
                    </w:rPr>
                    <w:lastRenderedPageBreak/>
                    <w:t>3) Platform for dialogues and schemes through which Timorese in the diaspora can contribute to SDG financing</w:t>
                  </w:r>
                  <w:r>
                    <w:rPr>
                      <w:sz w:val="22"/>
                      <w:szCs w:val="22"/>
                      <w:lang w:val="en-US"/>
                    </w:rPr>
                    <w:br/>
                    <w:t xml:space="preserve">3) Finance catalyzed toward green and climate resilient development.  </w:t>
                  </w:r>
                </w:p>
              </w:tc>
            </w:tr>
          </w:tbl>
          <w:p w14:paraId="7026CA26" w14:textId="1F1762A8" w:rsidR="007C48DC" w:rsidRDefault="007C48DC" w:rsidP="003A2D94">
            <w:pPr>
              <w:rPr>
                <w:rFonts w:cstheme="minorHAnsi"/>
                <w:sz w:val="22"/>
                <w:szCs w:val="22"/>
                <w:lang w:val="en-US"/>
              </w:rPr>
            </w:pPr>
            <w:r>
              <w:rPr>
                <w:rFonts w:cstheme="minorHAnsi"/>
                <w:sz w:val="22"/>
                <w:szCs w:val="22"/>
                <w:lang w:val="en-US"/>
              </w:rPr>
              <w:lastRenderedPageBreak/>
              <w:t xml:space="preserve">Source: </w:t>
            </w:r>
            <w:r w:rsidR="006F763B">
              <w:rPr>
                <w:rFonts w:cstheme="minorHAnsi"/>
                <w:sz w:val="22"/>
                <w:szCs w:val="22"/>
                <w:lang w:val="en-US"/>
              </w:rPr>
              <w:t>Joint SDG Fund</w:t>
            </w:r>
            <w:r w:rsidR="0031623C">
              <w:rPr>
                <w:rFonts w:cstheme="minorHAnsi"/>
                <w:sz w:val="22"/>
                <w:szCs w:val="22"/>
                <w:lang w:val="en-US"/>
              </w:rPr>
              <w:t xml:space="preserve"> </w:t>
            </w:r>
            <w:r w:rsidR="00C54AA2">
              <w:rPr>
                <w:rFonts w:cstheme="minorHAnsi"/>
                <w:sz w:val="22"/>
                <w:szCs w:val="22"/>
                <w:lang w:val="en-US"/>
              </w:rPr>
              <w:t>(Government, UNDP, WHO, IOM)</w:t>
            </w:r>
          </w:p>
        </w:tc>
      </w:tr>
      <w:tr w:rsidR="003A41BE" w:rsidRPr="00841766" w14:paraId="24F53934" w14:textId="77777777" w:rsidTr="53E3C463">
        <w:trPr>
          <w:trHeight w:val="339"/>
        </w:trPr>
        <w:tc>
          <w:tcPr>
            <w:tcW w:w="4529" w:type="dxa"/>
            <w:tcBorders>
              <w:left w:val="single" w:sz="4" w:space="0" w:color="auto"/>
              <w:bottom w:val="single" w:sz="4" w:space="0" w:color="auto"/>
            </w:tcBorders>
            <w:shd w:val="clear" w:color="auto" w:fill="000000" w:themeFill="text1"/>
          </w:tcPr>
          <w:p w14:paraId="7B1D4118"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lastRenderedPageBreak/>
              <w:t>UNSDCF Results</w:t>
            </w:r>
          </w:p>
        </w:tc>
        <w:tc>
          <w:tcPr>
            <w:tcW w:w="5813" w:type="dxa"/>
            <w:gridSpan w:val="4"/>
            <w:tcBorders>
              <w:bottom w:val="single" w:sz="4" w:space="0" w:color="auto"/>
            </w:tcBorders>
            <w:shd w:val="clear" w:color="auto" w:fill="000000" w:themeFill="text1"/>
          </w:tcPr>
          <w:p w14:paraId="2C573CAB"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 xml:space="preserve">Indicators </w:t>
            </w:r>
          </w:p>
        </w:tc>
        <w:tc>
          <w:tcPr>
            <w:tcW w:w="4116" w:type="dxa"/>
            <w:tcBorders>
              <w:bottom w:val="single" w:sz="4" w:space="0" w:color="auto"/>
            </w:tcBorders>
            <w:shd w:val="clear" w:color="auto" w:fill="000000" w:themeFill="text1"/>
          </w:tcPr>
          <w:p w14:paraId="29BF24D8"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Partners</w:t>
            </w:r>
          </w:p>
        </w:tc>
      </w:tr>
      <w:tr w:rsidR="003A41BE" w:rsidRPr="006444BA" w14:paraId="11BBBA1C" w14:textId="77777777" w:rsidTr="53E3C463">
        <w:trPr>
          <w:trHeight w:val="2281"/>
        </w:trPr>
        <w:tc>
          <w:tcPr>
            <w:tcW w:w="4529" w:type="dxa"/>
            <w:vMerge w:val="restart"/>
            <w:tcBorders>
              <w:top w:val="single" w:sz="4" w:space="0" w:color="auto"/>
              <w:left w:val="single" w:sz="4" w:space="0" w:color="auto"/>
              <w:right w:val="single" w:sz="4" w:space="0" w:color="auto"/>
            </w:tcBorders>
            <w:shd w:val="clear" w:color="auto" w:fill="8EAADB" w:themeFill="accent1" w:themeFillTint="99"/>
          </w:tcPr>
          <w:p w14:paraId="6EA04559" w14:textId="77777777" w:rsidR="003A41BE" w:rsidRPr="00841766" w:rsidRDefault="003A41BE" w:rsidP="00FD44CE">
            <w:pPr>
              <w:rPr>
                <w:rFonts w:cstheme="minorHAnsi"/>
                <w:sz w:val="20"/>
                <w:szCs w:val="20"/>
                <w:lang w:val="en-US"/>
              </w:rPr>
            </w:pPr>
            <w:r w:rsidRPr="00841766">
              <w:rPr>
                <w:rFonts w:cstheme="minorHAnsi"/>
                <w:b/>
                <w:color w:val="000000" w:themeColor="text1"/>
                <w:sz w:val="22"/>
                <w:szCs w:val="22"/>
                <w:lang w:val="en-US"/>
              </w:rPr>
              <w:t>Sub-Outcome 5.1:</w:t>
            </w:r>
            <w:r w:rsidRPr="00841766">
              <w:rPr>
                <w:rFonts w:cstheme="minorHAnsi"/>
                <w:sz w:val="20"/>
                <w:szCs w:val="20"/>
                <w:lang w:val="en-US"/>
              </w:rPr>
              <w:t xml:space="preserve"> </w:t>
            </w:r>
          </w:p>
          <w:p w14:paraId="15914FC9" w14:textId="77777777" w:rsidR="003A41BE" w:rsidRPr="00841766" w:rsidRDefault="003A41BE" w:rsidP="00FD44CE">
            <w:pPr>
              <w:jc w:val="both"/>
              <w:rPr>
                <w:rFonts w:ascii="Calibri" w:hAnsi="Calibri" w:cs="Calibri"/>
                <w:sz w:val="22"/>
                <w:szCs w:val="22"/>
                <w:lang w:val="en-US"/>
              </w:rPr>
            </w:pPr>
          </w:p>
          <w:p w14:paraId="02AE8D97" w14:textId="77777777" w:rsidR="003A41BE" w:rsidRPr="00841766" w:rsidRDefault="003A41BE" w:rsidP="00FD44CE">
            <w:pPr>
              <w:rPr>
                <w:rFonts w:ascii="Calibri" w:hAnsi="Calibri" w:cs="Calibri"/>
                <w:b/>
                <w:sz w:val="22"/>
                <w:szCs w:val="22"/>
                <w:lang w:val="en-US"/>
              </w:rPr>
            </w:pPr>
            <w:bookmarkStart w:id="176" w:name="_Hlk33013282"/>
            <w:r w:rsidRPr="00841766">
              <w:rPr>
                <w:rFonts w:ascii="Calibri" w:hAnsi="Calibri" w:cs="Calibri"/>
                <w:b/>
                <w:sz w:val="22"/>
                <w:szCs w:val="22"/>
                <w:lang w:val="en-US"/>
              </w:rPr>
              <w:t>Rule of law and access to justice</w:t>
            </w:r>
          </w:p>
          <w:p w14:paraId="7D7A9CD7" w14:textId="77777777" w:rsidR="003A41BE" w:rsidRPr="00841766" w:rsidRDefault="003A41BE" w:rsidP="00FD44CE">
            <w:pPr>
              <w:jc w:val="both"/>
              <w:rPr>
                <w:rFonts w:ascii="Calibri" w:hAnsi="Calibri" w:cs="Calibri"/>
                <w:sz w:val="22"/>
                <w:szCs w:val="22"/>
                <w:lang w:val="en-US"/>
              </w:rPr>
            </w:pPr>
            <w:r w:rsidRPr="00841766">
              <w:rPr>
                <w:rFonts w:ascii="Calibri" w:hAnsi="Calibri" w:cs="Calibri"/>
                <w:sz w:val="22"/>
                <w:szCs w:val="22"/>
                <w:lang w:val="en-US"/>
              </w:rPr>
              <w:t>By 2025, the most excluded groups benefit from inclusive, effective and accessible formal and customary justice, security and public oversight institutions.</w:t>
            </w:r>
          </w:p>
          <w:bookmarkEnd w:id="176"/>
          <w:p w14:paraId="63DFCCC8" w14:textId="77777777" w:rsidR="003A41BE" w:rsidRPr="00841766" w:rsidRDefault="003A41BE" w:rsidP="00FD44CE">
            <w:pPr>
              <w:jc w:val="both"/>
              <w:rPr>
                <w:rFonts w:cs="Calibri"/>
                <w:color w:val="000000"/>
                <w:sz w:val="22"/>
                <w:szCs w:val="22"/>
                <w:lang w:val="en-US"/>
              </w:rPr>
            </w:pPr>
          </w:p>
        </w:tc>
        <w:tc>
          <w:tcPr>
            <w:tcW w:w="5813" w:type="dxa"/>
            <w:gridSpan w:val="4"/>
            <w:tcBorders>
              <w:top w:val="single" w:sz="4" w:space="0" w:color="auto"/>
              <w:left w:val="single" w:sz="4" w:space="0" w:color="auto"/>
              <w:right w:val="single" w:sz="4" w:space="0" w:color="auto"/>
            </w:tcBorders>
            <w:shd w:val="clear" w:color="auto" w:fill="D9D9D9" w:themeFill="background1" w:themeFillShade="D9"/>
          </w:tcPr>
          <w:p w14:paraId="1BBFFBFC" w14:textId="77777777" w:rsidR="003A41BE" w:rsidRPr="00841766" w:rsidRDefault="003A41BE" w:rsidP="00FD44CE">
            <w:pPr>
              <w:autoSpaceDE w:val="0"/>
              <w:autoSpaceDN w:val="0"/>
              <w:adjustRightInd w:val="0"/>
              <w:spacing w:line="216" w:lineRule="atLeast"/>
              <w:rPr>
                <w:rFonts w:ascii="Times" w:hAnsi="Times" w:cs="Times"/>
                <w:color w:val="000000"/>
                <w:lang w:val="en-US"/>
              </w:rPr>
            </w:pPr>
            <w:r w:rsidRPr="002A7985">
              <w:rPr>
                <w:rFonts w:cstheme="minorHAnsi"/>
                <w:b/>
                <w:sz w:val="22"/>
                <w:szCs w:val="22"/>
                <w:lang w:val="en-US"/>
              </w:rPr>
              <w:t xml:space="preserve">Indicator 5.1.1: </w:t>
            </w:r>
            <w:bookmarkStart w:id="177" w:name="_Hlk33013237"/>
            <w:r w:rsidRPr="002A7985">
              <w:rPr>
                <w:rFonts w:cstheme="minorHAnsi"/>
                <w:sz w:val="22"/>
                <w:szCs w:val="22"/>
                <w:lang w:val="en-US"/>
              </w:rPr>
              <w:t>Pro</w:t>
            </w:r>
            <w:r w:rsidRPr="002A7985">
              <w:rPr>
                <w:rFonts w:cs="Calibri"/>
                <w:color w:val="000000"/>
                <w:sz w:val="22"/>
                <w:szCs w:val="22"/>
                <w:lang w:val="en-US"/>
              </w:rPr>
              <w:t>portion of victims of violence in the previous 12 months who reported their victimization to competent authorities or other officially recognized conflict resolution mechanisms</w:t>
            </w:r>
            <w:r w:rsidRPr="00C758CF">
              <w:rPr>
                <w:rFonts w:cs="Calibri"/>
                <w:color w:val="000000"/>
                <w:sz w:val="22"/>
                <w:szCs w:val="22"/>
                <w:lang w:val="en-US"/>
              </w:rPr>
              <w:t xml:space="preserve"> (SDG</w:t>
            </w:r>
            <w:r>
              <w:rPr>
                <w:rFonts w:cs="Calibri"/>
                <w:color w:val="000000"/>
                <w:sz w:val="22"/>
                <w:szCs w:val="22"/>
                <w:lang w:val="en-US"/>
              </w:rPr>
              <w:t xml:space="preserve"> Indicator 16.3.1)</w:t>
            </w:r>
          </w:p>
          <w:bookmarkEnd w:id="177"/>
          <w:tbl>
            <w:tblPr>
              <w:tblStyle w:val="TableGrid"/>
              <w:tblW w:w="0" w:type="auto"/>
              <w:tblLayout w:type="fixed"/>
              <w:tblLook w:val="04A0" w:firstRow="1" w:lastRow="0" w:firstColumn="1" w:lastColumn="0" w:noHBand="0" w:noVBand="1"/>
            </w:tblPr>
            <w:tblGrid>
              <w:gridCol w:w="2009"/>
              <w:gridCol w:w="1510"/>
              <w:gridCol w:w="2000"/>
            </w:tblGrid>
            <w:tr w:rsidR="003A41BE" w:rsidRPr="00DA2276" w14:paraId="21728BCE" w14:textId="77777777" w:rsidTr="00FD44CE">
              <w:tc>
                <w:tcPr>
                  <w:tcW w:w="2009" w:type="dxa"/>
                </w:tcPr>
                <w:p w14:paraId="2F32B888" w14:textId="77777777" w:rsidR="003A41BE" w:rsidRPr="00DA2276" w:rsidRDefault="003A41BE" w:rsidP="002A37E3">
                  <w:pPr>
                    <w:framePr w:hSpace="141" w:wrap="around" w:vAnchor="text" w:hAnchor="text" w:x="421" w:y="1"/>
                    <w:suppressOverlap/>
                    <w:jc w:val="center"/>
                    <w:rPr>
                      <w:sz w:val="22"/>
                      <w:szCs w:val="22"/>
                      <w:highlight w:val="yellow"/>
                      <w:lang w:val="en-US"/>
                    </w:rPr>
                  </w:pPr>
                </w:p>
              </w:tc>
              <w:tc>
                <w:tcPr>
                  <w:tcW w:w="1510" w:type="dxa"/>
                </w:tcPr>
                <w:p w14:paraId="47DE05E8" w14:textId="77777777" w:rsidR="003A41BE" w:rsidRPr="00DA2276" w:rsidRDefault="003A41BE" w:rsidP="002A37E3">
                  <w:pPr>
                    <w:framePr w:hSpace="141" w:wrap="around" w:vAnchor="text" w:hAnchor="text" w:x="421" w:y="1"/>
                    <w:suppressOverlap/>
                    <w:jc w:val="center"/>
                    <w:rPr>
                      <w:sz w:val="22"/>
                      <w:szCs w:val="22"/>
                      <w:highlight w:val="yellow"/>
                      <w:lang w:val="en-US"/>
                    </w:rPr>
                  </w:pPr>
                  <w:r w:rsidRPr="002A7985">
                    <w:rPr>
                      <w:sz w:val="22"/>
                      <w:szCs w:val="22"/>
                      <w:lang w:val="en-US"/>
                    </w:rPr>
                    <w:t>Baseline</w:t>
                  </w:r>
                </w:p>
              </w:tc>
              <w:tc>
                <w:tcPr>
                  <w:tcW w:w="2000" w:type="dxa"/>
                </w:tcPr>
                <w:p w14:paraId="2B958095" w14:textId="77777777" w:rsidR="003A41BE" w:rsidRPr="00DA2276" w:rsidRDefault="003A41BE" w:rsidP="002A37E3">
                  <w:pPr>
                    <w:framePr w:hSpace="141" w:wrap="around" w:vAnchor="text" w:hAnchor="text" w:x="421" w:y="1"/>
                    <w:suppressOverlap/>
                    <w:jc w:val="center"/>
                    <w:rPr>
                      <w:sz w:val="22"/>
                      <w:szCs w:val="22"/>
                      <w:highlight w:val="yellow"/>
                      <w:lang w:val="en-US"/>
                    </w:rPr>
                  </w:pPr>
                  <w:r w:rsidRPr="002A7985">
                    <w:rPr>
                      <w:sz w:val="22"/>
                      <w:szCs w:val="22"/>
                      <w:lang w:val="en-US"/>
                    </w:rPr>
                    <w:t>Target</w:t>
                  </w:r>
                </w:p>
              </w:tc>
            </w:tr>
            <w:tr w:rsidR="003A41BE" w:rsidRPr="00DA2276" w14:paraId="3F737DE8" w14:textId="77777777" w:rsidTr="00FD44CE">
              <w:tc>
                <w:tcPr>
                  <w:tcW w:w="2009" w:type="dxa"/>
                </w:tcPr>
                <w:p w14:paraId="426A0FBD"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 xml:space="preserve">Sought help </w:t>
                  </w:r>
                </w:p>
              </w:tc>
              <w:tc>
                <w:tcPr>
                  <w:tcW w:w="1510" w:type="dxa"/>
                </w:tcPr>
                <w:p w14:paraId="79EA9E72" w14:textId="77777777" w:rsidR="003A41BE" w:rsidRPr="00C758CF" w:rsidRDefault="003A41BE" w:rsidP="002A37E3">
                  <w:pPr>
                    <w:framePr w:hSpace="141" w:wrap="around" w:vAnchor="text" w:hAnchor="text" w:x="421" w:y="1"/>
                    <w:suppressOverlap/>
                    <w:jc w:val="center"/>
                    <w:rPr>
                      <w:sz w:val="22"/>
                      <w:szCs w:val="22"/>
                      <w:lang w:val="en-US"/>
                    </w:rPr>
                  </w:pPr>
                  <w:r w:rsidRPr="00C758CF">
                    <w:rPr>
                      <w:sz w:val="22"/>
                      <w:szCs w:val="22"/>
                      <w:lang w:val="en-US"/>
                    </w:rPr>
                    <w:t>19.5%</w:t>
                  </w:r>
                </w:p>
              </w:tc>
              <w:tc>
                <w:tcPr>
                  <w:tcW w:w="2000" w:type="dxa"/>
                  <w:vMerge w:val="restart"/>
                </w:tcPr>
                <w:p w14:paraId="38CD84FC" w14:textId="77777777" w:rsidR="003A41BE" w:rsidRPr="00DA2276" w:rsidRDefault="003A41BE" w:rsidP="002A37E3">
                  <w:pPr>
                    <w:framePr w:hSpace="141" w:wrap="around" w:vAnchor="text" w:hAnchor="text" w:x="421" w:y="1"/>
                    <w:suppressOverlap/>
                    <w:jc w:val="center"/>
                    <w:rPr>
                      <w:bCs/>
                      <w:sz w:val="22"/>
                      <w:szCs w:val="22"/>
                      <w:lang w:val="en-US"/>
                    </w:rPr>
                  </w:pPr>
                  <w:r>
                    <w:rPr>
                      <w:sz w:val="22"/>
                      <w:szCs w:val="22"/>
                      <w:lang w:val="en-US"/>
                    </w:rPr>
                    <w:t>Under discussion with relevant partners</w:t>
                  </w:r>
                </w:p>
              </w:tc>
            </w:tr>
            <w:tr w:rsidR="003A41BE" w:rsidRPr="00DA2276" w14:paraId="57B21995" w14:textId="77777777" w:rsidTr="00FD44CE">
              <w:tc>
                <w:tcPr>
                  <w:tcW w:w="2009" w:type="dxa"/>
                </w:tcPr>
                <w:p w14:paraId="4CB1F643"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Report to police</w:t>
                  </w:r>
                </w:p>
              </w:tc>
              <w:tc>
                <w:tcPr>
                  <w:tcW w:w="1510" w:type="dxa"/>
                </w:tcPr>
                <w:p w14:paraId="62413F08"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4.5%</w:t>
                  </w:r>
                </w:p>
              </w:tc>
              <w:tc>
                <w:tcPr>
                  <w:tcW w:w="2000" w:type="dxa"/>
                  <w:vMerge/>
                </w:tcPr>
                <w:p w14:paraId="7C1BF5D0" w14:textId="77777777" w:rsidR="003A41BE" w:rsidRPr="00DA2276" w:rsidRDefault="003A41BE" w:rsidP="002A37E3">
                  <w:pPr>
                    <w:framePr w:hSpace="141" w:wrap="around" w:vAnchor="text" w:hAnchor="text" w:x="421" w:y="1"/>
                    <w:suppressOverlap/>
                    <w:jc w:val="center"/>
                    <w:rPr>
                      <w:sz w:val="22"/>
                      <w:szCs w:val="22"/>
                      <w:highlight w:val="yellow"/>
                      <w:lang w:val="en-US"/>
                    </w:rPr>
                  </w:pPr>
                </w:p>
              </w:tc>
            </w:tr>
            <w:tr w:rsidR="003A41BE" w:rsidRPr="00DA2276" w14:paraId="25C2A875" w14:textId="77777777" w:rsidTr="00FD44CE">
              <w:tc>
                <w:tcPr>
                  <w:tcW w:w="2009" w:type="dxa"/>
                </w:tcPr>
                <w:p w14:paraId="668C4E0E"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Report to a lawyer</w:t>
                  </w:r>
                </w:p>
              </w:tc>
              <w:tc>
                <w:tcPr>
                  <w:tcW w:w="1510" w:type="dxa"/>
                </w:tcPr>
                <w:p w14:paraId="2F9B62A0"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0.4%</w:t>
                  </w:r>
                </w:p>
              </w:tc>
              <w:tc>
                <w:tcPr>
                  <w:tcW w:w="2000" w:type="dxa"/>
                  <w:vMerge/>
                </w:tcPr>
                <w:p w14:paraId="77237168" w14:textId="77777777" w:rsidR="003A41BE" w:rsidRPr="00DA2276" w:rsidRDefault="003A41BE" w:rsidP="002A37E3">
                  <w:pPr>
                    <w:framePr w:hSpace="141" w:wrap="around" w:vAnchor="text" w:hAnchor="text" w:x="421" w:y="1"/>
                    <w:suppressOverlap/>
                    <w:jc w:val="center"/>
                    <w:rPr>
                      <w:sz w:val="22"/>
                      <w:szCs w:val="22"/>
                      <w:highlight w:val="yellow"/>
                      <w:lang w:val="en-US"/>
                    </w:rPr>
                  </w:pPr>
                </w:p>
              </w:tc>
            </w:tr>
          </w:tbl>
          <w:p w14:paraId="37C545C7" w14:textId="77777777" w:rsidR="003A41BE" w:rsidRPr="002A7985" w:rsidRDefault="003A41BE" w:rsidP="00FD44CE">
            <w:pPr>
              <w:autoSpaceDE w:val="0"/>
              <w:autoSpaceDN w:val="0"/>
              <w:adjustRightInd w:val="0"/>
              <w:rPr>
                <w:rFonts w:cstheme="minorHAnsi"/>
                <w:bCs/>
                <w:sz w:val="22"/>
                <w:szCs w:val="22"/>
                <w:lang w:val="en-US"/>
              </w:rPr>
            </w:pPr>
            <w:r w:rsidRPr="003F4BC2">
              <w:rPr>
                <w:rFonts w:cstheme="minorHAnsi"/>
                <w:bCs/>
                <w:sz w:val="22"/>
                <w:szCs w:val="22"/>
                <w:lang w:val="en-US"/>
              </w:rPr>
              <w:t>Data Source:</w:t>
            </w:r>
            <w:r w:rsidRPr="0069608B">
              <w:rPr>
                <w:rFonts w:cstheme="minorHAnsi"/>
                <w:b/>
                <w:sz w:val="22"/>
                <w:szCs w:val="22"/>
                <w:lang w:val="en-US"/>
              </w:rPr>
              <w:t xml:space="preserve"> </w:t>
            </w:r>
            <w:r w:rsidRPr="002A7985">
              <w:rPr>
                <w:rFonts w:cstheme="minorHAnsi"/>
                <w:bCs/>
                <w:sz w:val="22"/>
                <w:szCs w:val="22"/>
                <w:lang w:val="en-US"/>
              </w:rPr>
              <w:t>DHS 2016 (table 16.17)</w:t>
            </w:r>
          </w:p>
          <w:p w14:paraId="2612C2C1" w14:textId="77777777" w:rsidR="003A41BE" w:rsidRPr="00841766" w:rsidRDefault="003A41BE" w:rsidP="00FD44CE">
            <w:pPr>
              <w:autoSpaceDE w:val="0"/>
              <w:autoSpaceDN w:val="0"/>
              <w:adjustRightInd w:val="0"/>
              <w:spacing w:line="216" w:lineRule="atLeast"/>
              <w:rPr>
                <w:rFonts w:cstheme="minorHAnsi"/>
                <w:sz w:val="22"/>
                <w:szCs w:val="22"/>
                <w:lang w:val="en-US"/>
              </w:rPr>
            </w:pPr>
          </w:p>
        </w:tc>
        <w:tc>
          <w:tcPr>
            <w:tcW w:w="4116" w:type="dxa"/>
            <w:vMerge w:val="restart"/>
            <w:tcBorders>
              <w:top w:val="single" w:sz="4" w:space="0" w:color="auto"/>
              <w:left w:val="single" w:sz="4" w:space="0" w:color="auto"/>
              <w:right w:val="single" w:sz="4" w:space="0" w:color="auto"/>
            </w:tcBorders>
          </w:tcPr>
          <w:p w14:paraId="38C62953"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Interior</w:t>
            </w:r>
          </w:p>
          <w:p w14:paraId="252C2C5F"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Justice</w:t>
            </w:r>
          </w:p>
          <w:p w14:paraId="2AAEFC79"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National Police of Timor-Leste</w:t>
            </w:r>
          </w:p>
          <w:p w14:paraId="16187E22"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 xml:space="preserve">Office of the </w:t>
            </w:r>
            <w:proofErr w:type="spellStart"/>
            <w:r w:rsidRPr="00841766">
              <w:rPr>
                <w:rFonts w:cstheme="minorHAnsi"/>
                <w:sz w:val="22"/>
                <w:szCs w:val="22"/>
                <w:lang w:val="en-US"/>
              </w:rPr>
              <w:t>Provedor</w:t>
            </w:r>
            <w:proofErr w:type="spellEnd"/>
            <w:r w:rsidRPr="00841766">
              <w:rPr>
                <w:rFonts w:cstheme="minorHAnsi"/>
                <w:sz w:val="22"/>
                <w:szCs w:val="22"/>
                <w:lang w:val="en-US"/>
              </w:rPr>
              <w:t xml:space="preserve"> for Human Rights and Justice</w:t>
            </w:r>
          </w:p>
          <w:p w14:paraId="44AB9F77"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National Parliament</w:t>
            </w:r>
          </w:p>
          <w:p w14:paraId="07116C27"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Secretary of State for Equality and Inclusion</w:t>
            </w:r>
          </w:p>
          <w:p w14:paraId="426ED86E"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Foreign Affairs</w:t>
            </w:r>
          </w:p>
          <w:p w14:paraId="3171B9A5"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State Administration</w:t>
            </w:r>
          </w:p>
          <w:p w14:paraId="72EBC5EE"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Civil service Commission</w:t>
            </w:r>
          </w:p>
          <w:p w14:paraId="5A15373E"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Anti-Corruption Commission</w:t>
            </w:r>
          </w:p>
          <w:p w14:paraId="7AF5220E" w14:textId="77777777" w:rsidR="003A41BE" w:rsidRPr="00841766" w:rsidRDefault="003A41BE" w:rsidP="00FD44CE">
            <w:pPr>
              <w:autoSpaceDE w:val="0"/>
              <w:autoSpaceDN w:val="0"/>
              <w:adjustRightInd w:val="0"/>
              <w:rPr>
                <w:rFonts w:cstheme="minorHAnsi"/>
                <w:sz w:val="22"/>
                <w:szCs w:val="22"/>
                <w:lang w:val="en-US"/>
              </w:rPr>
            </w:pPr>
          </w:p>
          <w:p w14:paraId="29287FCE" w14:textId="77777777" w:rsidR="003A41BE" w:rsidRPr="00841766" w:rsidRDefault="003A41BE" w:rsidP="00FD44CE">
            <w:pPr>
              <w:autoSpaceDE w:val="0"/>
              <w:autoSpaceDN w:val="0"/>
              <w:adjustRightInd w:val="0"/>
              <w:rPr>
                <w:rFonts w:cstheme="minorHAnsi"/>
                <w:sz w:val="22"/>
                <w:szCs w:val="22"/>
                <w:lang w:val="en-US"/>
              </w:rPr>
            </w:pPr>
            <w:r>
              <w:rPr>
                <w:rFonts w:cstheme="minorHAnsi"/>
                <w:sz w:val="22"/>
                <w:szCs w:val="22"/>
                <w:lang w:val="en-US"/>
              </w:rPr>
              <w:t xml:space="preserve">HRAU, </w:t>
            </w:r>
            <w:r w:rsidRPr="00841766">
              <w:rPr>
                <w:rFonts w:cstheme="minorHAnsi"/>
                <w:sz w:val="22"/>
                <w:szCs w:val="22"/>
                <w:lang w:val="en-US"/>
              </w:rPr>
              <w:t>ILO, IOM</w:t>
            </w:r>
            <w:r>
              <w:rPr>
                <w:rFonts w:cstheme="minorHAnsi"/>
                <w:sz w:val="22"/>
                <w:szCs w:val="22"/>
                <w:lang w:val="en-US"/>
              </w:rPr>
              <w:t xml:space="preserve">, UNDP, </w:t>
            </w:r>
            <w:r w:rsidRPr="00841766">
              <w:rPr>
                <w:rFonts w:cstheme="minorHAnsi"/>
                <w:sz w:val="22"/>
                <w:szCs w:val="22"/>
                <w:lang w:val="en-US"/>
              </w:rPr>
              <w:t>UNESCO</w:t>
            </w:r>
            <w:r>
              <w:rPr>
                <w:rFonts w:cstheme="minorHAnsi"/>
                <w:sz w:val="22"/>
                <w:szCs w:val="22"/>
                <w:lang w:val="en-US"/>
              </w:rPr>
              <w:t xml:space="preserve">, UNICEF, </w:t>
            </w:r>
            <w:r w:rsidRPr="00841766">
              <w:rPr>
                <w:rFonts w:cstheme="minorHAnsi"/>
                <w:sz w:val="22"/>
                <w:szCs w:val="22"/>
                <w:lang w:val="en-US"/>
              </w:rPr>
              <w:t xml:space="preserve">UN Women </w:t>
            </w:r>
            <w:r>
              <w:rPr>
                <w:rFonts w:cstheme="minorHAnsi"/>
                <w:sz w:val="22"/>
                <w:szCs w:val="22"/>
                <w:lang w:val="en-US"/>
              </w:rPr>
              <w:t xml:space="preserve"> </w:t>
            </w:r>
          </w:p>
        </w:tc>
      </w:tr>
      <w:tr w:rsidR="003A41BE" w:rsidRPr="00841766" w14:paraId="28280816" w14:textId="77777777" w:rsidTr="53E3C463">
        <w:trPr>
          <w:trHeight w:val="1785"/>
        </w:trPr>
        <w:tc>
          <w:tcPr>
            <w:tcW w:w="4529" w:type="dxa"/>
            <w:vMerge/>
          </w:tcPr>
          <w:p w14:paraId="69DF8775"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right w:val="single" w:sz="4" w:space="0" w:color="auto"/>
            </w:tcBorders>
            <w:shd w:val="clear" w:color="auto" w:fill="D9D9D9" w:themeFill="background1" w:themeFillShade="D9"/>
          </w:tcPr>
          <w:p w14:paraId="3F5C71B0" w14:textId="77777777" w:rsidR="003A41BE" w:rsidRDefault="003A41BE" w:rsidP="00FD44CE">
            <w:pPr>
              <w:rPr>
                <w:rFonts w:cstheme="minorHAnsi"/>
                <w:bCs/>
                <w:sz w:val="22"/>
                <w:szCs w:val="22"/>
                <w:lang w:val="en-US"/>
              </w:rPr>
            </w:pPr>
            <w:r w:rsidRPr="002A7985">
              <w:rPr>
                <w:rFonts w:cstheme="minorHAnsi"/>
                <w:b/>
                <w:sz w:val="22"/>
                <w:szCs w:val="22"/>
                <w:lang w:val="en-US"/>
              </w:rPr>
              <w:t xml:space="preserve">Indicator 5.1.2: </w:t>
            </w:r>
            <w:bookmarkStart w:id="178" w:name="_Hlk33013244"/>
            <w:r>
              <w:rPr>
                <w:rFonts w:cstheme="minorHAnsi"/>
                <w:bCs/>
                <w:sz w:val="22"/>
                <w:szCs w:val="22"/>
                <w:lang w:val="en-US"/>
              </w:rPr>
              <w:t xml:space="preserve">Proportion of population reporting having personally felt discriminated against or harassed in the previous 12 months on the basis of a ground of discrimination prohibited under international human rights law (SDG Indicator 10.3.1) </w:t>
            </w:r>
          </w:p>
          <w:tbl>
            <w:tblPr>
              <w:tblStyle w:val="TableGrid"/>
              <w:tblW w:w="0" w:type="auto"/>
              <w:tblLayout w:type="fixed"/>
              <w:tblLook w:val="04A0" w:firstRow="1" w:lastRow="0" w:firstColumn="1" w:lastColumn="0" w:noHBand="0" w:noVBand="1"/>
            </w:tblPr>
            <w:tblGrid>
              <w:gridCol w:w="3359"/>
              <w:gridCol w:w="2160"/>
            </w:tblGrid>
            <w:tr w:rsidR="003A41BE" w:rsidRPr="00DA2276" w14:paraId="473A4A14" w14:textId="77777777" w:rsidTr="00FD44CE">
              <w:tc>
                <w:tcPr>
                  <w:tcW w:w="3359" w:type="dxa"/>
                  <w:shd w:val="clear" w:color="auto" w:fill="auto"/>
                </w:tcPr>
                <w:p w14:paraId="58825323" w14:textId="77777777" w:rsidR="003A41BE" w:rsidRPr="007E58D6" w:rsidRDefault="003A41BE" w:rsidP="002A37E3">
                  <w:pPr>
                    <w:framePr w:hSpace="141" w:wrap="around" w:vAnchor="text" w:hAnchor="text" w:x="421" w:y="1"/>
                    <w:suppressOverlap/>
                    <w:rPr>
                      <w:sz w:val="22"/>
                      <w:szCs w:val="22"/>
                      <w:lang w:val="en-US"/>
                    </w:rPr>
                  </w:pPr>
                  <w:bookmarkStart w:id="179" w:name="_Hlk33013328"/>
                  <w:bookmarkEnd w:id="178"/>
                  <w:r>
                    <w:rPr>
                      <w:rFonts w:cstheme="minorHAnsi"/>
                      <w:bCs/>
                      <w:sz w:val="22"/>
                      <w:szCs w:val="22"/>
                      <w:u w:val="single"/>
                      <w:lang w:val="en-US"/>
                    </w:rPr>
                    <w:t>P</w:t>
                  </w:r>
                  <w:r w:rsidRPr="007E58D6">
                    <w:rPr>
                      <w:rFonts w:cstheme="minorHAnsi"/>
                      <w:bCs/>
                      <w:sz w:val="22"/>
                      <w:szCs w:val="22"/>
                      <w:u w:val="single"/>
                      <w:lang w:val="en-US"/>
                    </w:rPr>
                    <w:t>roxy Indicator:</w:t>
                  </w:r>
                  <w:r>
                    <w:rPr>
                      <w:rFonts w:cstheme="minorHAnsi"/>
                      <w:bCs/>
                      <w:sz w:val="22"/>
                      <w:szCs w:val="22"/>
                      <w:lang w:val="en-US"/>
                    </w:rPr>
                    <w:t xml:space="preserve"> Number of policies that are discriminatory in accordance with the prohibition of discrimination ruled out by international human rights law in the past 12 months. </w:t>
                  </w:r>
                  <w:bookmarkEnd w:id="179"/>
                </w:p>
              </w:tc>
              <w:tc>
                <w:tcPr>
                  <w:tcW w:w="2160" w:type="dxa"/>
                  <w:shd w:val="clear" w:color="auto" w:fill="auto"/>
                </w:tcPr>
                <w:p w14:paraId="1ABC5CA1" w14:textId="77777777" w:rsidR="003A41BE" w:rsidRPr="007E58D6" w:rsidRDefault="003A41BE" w:rsidP="002A37E3">
                  <w:pPr>
                    <w:framePr w:hSpace="141" w:wrap="around" w:vAnchor="text" w:hAnchor="text" w:x="421" w:y="1"/>
                    <w:suppressOverlap/>
                    <w:rPr>
                      <w:sz w:val="22"/>
                      <w:szCs w:val="22"/>
                      <w:lang w:val="en-US"/>
                    </w:rPr>
                  </w:pPr>
                  <w:r w:rsidRPr="007E58D6">
                    <w:rPr>
                      <w:sz w:val="22"/>
                      <w:szCs w:val="22"/>
                      <w:lang w:val="en-US"/>
                    </w:rPr>
                    <w:t>Target</w:t>
                  </w:r>
                </w:p>
              </w:tc>
            </w:tr>
            <w:tr w:rsidR="003A41BE" w:rsidRPr="00DA2276" w14:paraId="62FCB942" w14:textId="77777777" w:rsidTr="00FD44CE">
              <w:tc>
                <w:tcPr>
                  <w:tcW w:w="3359" w:type="dxa"/>
                </w:tcPr>
                <w:p w14:paraId="2238C6F2" w14:textId="77777777" w:rsidR="003A41BE" w:rsidRPr="00D27B55" w:rsidRDefault="003A41BE" w:rsidP="002A37E3">
                  <w:pPr>
                    <w:framePr w:hSpace="141" w:wrap="around" w:vAnchor="text" w:hAnchor="text" w:x="421" w:y="1"/>
                    <w:suppressOverlap/>
                    <w:rPr>
                      <w:sz w:val="22"/>
                      <w:szCs w:val="22"/>
                      <w:lang w:val="en-US"/>
                    </w:rPr>
                  </w:pPr>
                  <w:r w:rsidRPr="00D27B55">
                    <w:rPr>
                      <w:sz w:val="22"/>
                      <w:szCs w:val="22"/>
                      <w:lang w:val="en-US"/>
                    </w:rPr>
                    <w:t>•</w:t>
                  </w:r>
                  <w:r>
                    <w:rPr>
                      <w:sz w:val="22"/>
                      <w:szCs w:val="22"/>
                      <w:lang w:val="en-US"/>
                    </w:rPr>
                    <w:t xml:space="preserve"> </w:t>
                  </w:r>
                  <w:r w:rsidRPr="00D27B55">
                    <w:rPr>
                      <w:sz w:val="22"/>
                      <w:szCs w:val="22"/>
                      <w:lang w:val="en-US"/>
                    </w:rPr>
                    <w:t xml:space="preserve">PNTL recruitment and promotion policy (PNTL Statutes) discriminates against pregnant women. </w:t>
                  </w:r>
                </w:p>
                <w:p w14:paraId="7734F80B" w14:textId="77777777" w:rsidR="003A41BE" w:rsidRPr="00D27B55" w:rsidRDefault="003A41BE" w:rsidP="002A37E3">
                  <w:pPr>
                    <w:framePr w:hSpace="141" w:wrap="around" w:vAnchor="text" w:hAnchor="text" w:x="421" w:y="1"/>
                    <w:suppressOverlap/>
                    <w:rPr>
                      <w:sz w:val="22"/>
                      <w:szCs w:val="22"/>
                      <w:lang w:val="en-US"/>
                    </w:rPr>
                  </w:pPr>
                  <w:r w:rsidRPr="00D27B55">
                    <w:rPr>
                      <w:sz w:val="22"/>
                      <w:szCs w:val="22"/>
                      <w:lang w:val="en-US"/>
                    </w:rPr>
                    <w:t>•</w:t>
                  </w:r>
                  <w:r>
                    <w:rPr>
                      <w:sz w:val="22"/>
                      <w:szCs w:val="22"/>
                      <w:lang w:val="en-US"/>
                    </w:rPr>
                    <w:t xml:space="preserve"> </w:t>
                  </w:r>
                  <w:r w:rsidRPr="007E58D6">
                    <w:rPr>
                      <w:sz w:val="22"/>
                      <w:szCs w:val="22"/>
                      <w:u w:val="single"/>
                      <w:lang w:val="en-US"/>
                    </w:rPr>
                    <w:t>Civil Code:</w:t>
                  </w:r>
                  <w:r w:rsidRPr="00D27B55">
                    <w:rPr>
                      <w:sz w:val="22"/>
                      <w:szCs w:val="22"/>
                      <w:lang w:val="en-US"/>
                    </w:rPr>
                    <w:t xml:space="preserve"> legal accepted time for remarriage is different for women and men </w:t>
                  </w:r>
                </w:p>
                <w:p w14:paraId="461CBECC" w14:textId="77777777" w:rsidR="003A41BE" w:rsidRPr="00D27B55" w:rsidRDefault="003A41BE" w:rsidP="002A37E3">
                  <w:pPr>
                    <w:framePr w:hSpace="141" w:wrap="around" w:vAnchor="text" w:hAnchor="text" w:x="421" w:y="1"/>
                    <w:suppressOverlap/>
                    <w:rPr>
                      <w:sz w:val="22"/>
                      <w:szCs w:val="22"/>
                      <w:lang w:val="en-US"/>
                    </w:rPr>
                  </w:pPr>
                  <w:r w:rsidRPr="00D27B55">
                    <w:rPr>
                      <w:sz w:val="22"/>
                      <w:szCs w:val="22"/>
                      <w:lang w:val="en-US"/>
                    </w:rPr>
                    <w:lastRenderedPageBreak/>
                    <w:t>•</w:t>
                  </w:r>
                  <w:r>
                    <w:rPr>
                      <w:sz w:val="22"/>
                      <w:szCs w:val="22"/>
                      <w:lang w:val="en-US"/>
                    </w:rPr>
                    <w:t xml:space="preserve"> </w:t>
                  </w:r>
                  <w:r w:rsidRPr="007E58D6">
                    <w:rPr>
                      <w:sz w:val="22"/>
                      <w:szCs w:val="22"/>
                      <w:u w:val="single"/>
                      <w:lang w:val="en-US"/>
                    </w:rPr>
                    <w:t>Criminal Code:</w:t>
                  </w:r>
                  <w:r w:rsidRPr="00D27B55">
                    <w:rPr>
                      <w:sz w:val="22"/>
                      <w:szCs w:val="22"/>
                      <w:lang w:val="en-US"/>
                    </w:rPr>
                    <w:t xml:space="preserve"> definition of rape requires use of force and grave threat (and not lack of consent)</w:t>
                  </w:r>
                </w:p>
                <w:p w14:paraId="57D07B3D" w14:textId="77777777" w:rsidR="003A41BE" w:rsidRPr="00D27B55" w:rsidRDefault="003A41BE" w:rsidP="002A37E3">
                  <w:pPr>
                    <w:framePr w:hSpace="141" w:wrap="around" w:vAnchor="text" w:hAnchor="text" w:x="421" w:y="1"/>
                    <w:suppressOverlap/>
                    <w:rPr>
                      <w:sz w:val="22"/>
                      <w:szCs w:val="22"/>
                      <w:lang w:val="en-US"/>
                    </w:rPr>
                  </w:pPr>
                  <w:r w:rsidRPr="00D27B55">
                    <w:rPr>
                      <w:sz w:val="22"/>
                      <w:szCs w:val="22"/>
                      <w:lang w:val="en-US"/>
                    </w:rPr>
                    <w:t>•</w:t>
                  </w:r>
                  <w:r>
                    <w:rPr>
                      <w:sz w:val="22"/>
                      <w:szCs w:val="22"/>
                      <w:lang w:val="en-US"/>
                    </w:rPr>
                    <w:t xml:space="preserve"> </w:t>
                  </w:r>
                  <w:r w:rsidRPr="007E58D6">
                    <w:rPr>
                      <w:sz w:val="22"/>
                      <w:szCs w:val="22"/>
                      <w:u w:val="single"/>
                      <w:lang w:val="en-US"/>
                    </w:rPr>
                    <w:t>Civil Code:</w:t>
                  </w:r>
                  <w:r w:rsidRPr="00D27B55">
                    <w:rPr>
                      <w:sz w:val="22"/>
                      <w:szCs w:val="22"/>
                      <w:lang w:val="en-US"/>
                    </w:rPr>
                    <w:t xml:space="preserve"> lack of recognition of marriage by other religions</w:t>
                  </w:r>
                </w:p>
                <w:p w14:paraId="7414B8E9" w14:textId="77777777" w:rsidR="003A41BE" w:rsidRPr="00D27B55" w:rsidRDefault="003A41BE" w:rsidP="002A37E3">
                  <w:pPr>
                    <w:framePr w:hSpace="141" w:wrap="around" w:vAnchor="text" w:hAnchor="text" w:x="421" w:y="1"/>
                    <w:suppressOverlap/>
                    <w:rPr>
                      <w:sz w:val="22"/>
                      <w:szCs w:val="22"/>
                      <w:lang w:val="en-US"/>
                    </w:rPr>
                  </w:pPr>
                  <w:r w:rsidRPr="00D27B55">
                    <w:rPr>
                      <w:sz w:val="22"/>
                      <w:szCs w:val="22"/>
                      <w:lang w:val="en-US"/>
                    </w:rPr>
                    <w:t>•</w:t>
                  </w:r>
                  <w:r>
                    <w:rPr>
                      <w:sz w:val="22"/>
                      <w:szCs w:val="22"/>
                      <w:lang w:val="en-US"/>
                    </w:rPr>
                    <w:t xml:space="preserve"> </w:t>
                  </w:r>
                  <w:r w:rsidRPr="007E58D6">
                    <w:rPr>
                      <w:sz w:val="22"/>
                      <w:szCs w:val="22"/>
                      <w:u w:val="single"/>
                      <w:lang w:val="en-US"/>
                    </w:rPr>
                    <w:t>Civil Code:</w:t>
                  </w:r>
                  <w:r w:rsidRPr="00D27B55">
                    <w:rPr>
                      <w:sz w:val="22"/>
                      <w:szCs w:val="22"/>
                      <w:lang w:val="en-US"/>
                    </w:rPr>
                    <w:t xml:space="preserve"> lack of recognition of “de facto” marriage (impact more serious on women due to women’s role in the family)</w:t>
                  </w:r>
                </w:p>
                <w:p w14:paraId="5A06B61C" w14:textId="77777777" w:rsidR="003A41BE" w:rsidRPr="00D27B55" w:rsidRDefault="003A41BE" w:rsidP="002A37E3">
                  <w:pPr>
                    <w:framePr w:hSpace="141" w:wrap="around" w:vAnchor="text" w:hAnchor="text" w:x="421" w:y="1"/>
                    <w:suppressOverlap/>
                    <w:rPr>
                      <w:sz w:val="22"/>
                      <w:szCs w:val="22"/>
                      <w:lang w:val="en-US"/>
                    </w:rPr>
                  </w:pPr>
                  <w:r w:rsidRPr="00D27B55">
                    <w:rPr>
                      <w:sz w:val="22"/>
                      <w:szCs w:val="22"/>
                      <w:lang w:val="en-US"/>
                    </w:rPr>
                    <w:t>•</w:t>
                  </w:r>
                  <w:r>
                    <w:rPr>
                      <w:sz w:val="22"/>
                      <w:szCs w:val="22"/>
                      <w:lang w:val="en-US"/>
                    </w:rPr>
                    <w:t xml:space="preserve"> </w:t>
                  </w:r>
                  <w:r w:rsidRPr="007E58D6">
                    <w:rPr>
                      <w:sz w:val="22"/>
                      <w:szCs w:val="22"/>
                      <w:u w:val="single"/>
                      <w:lang w:val="en-US"/>
                    </w:rPr>
                    <w:t>Civil Code:</w:t>
                  </w:r>
                  <w:r w:rsidRPr="00D27B55">
                    <w:rPr>
                      <w:sz w:val="22"/>
                      <w:szCs w:val="22"/>
                      <w:lang w:val="en-US"/>
                    </w:rPr>
                    <w:t xml:space="preserve"> marriage is only between two people from different sex. </w:t>
                  </w:r>
                </w:p>
                <w:p w14:paraId="4E852690" w14:textId="77777777" w:rsidR="003A41BE" w:rsidRPr="00DA2276" w:rsidRDefault="003A41BE" w:rsidP="002A37E3">
                  <w:pPr>
                    <w:framePr w:hSpace="141" w:wrap="around" w:vAnchor="text" w:hAnchor="text" w:x="421" w:y="1"/>
                    <w:suppressOverlap/>
                    <w:rPr>
                      <w:sz w:val="22"/>
                      <w:szCs w:val="22"/>
                      <w:lang w:val="en-US"/>
                    </w:rPr>
                  </w:pPr>
                  <w:r w:rsidRPr="00D27B55">
                    <w:rPr>
                      <w:sz w:val="22"/>
                      <w:szCs w:val="22"/>
                      <w:lang w:val="en-US"/>
                    </w:rPr>
                    <w:t>•</w:t>
                  </w:r>
                  <w:r>
                    <w:rPr>
                      <w:sz w:val="22"/>
                      <w:szCs w:val="22"/>
                      <w:lang w:val="en-US"/>
                    </w:rPr>
                    <w:t xml:space="preserve"> </w:t>
                  </w:r>
                  <w:r w:rsidRPr="007E58D6">
                    <w:rPr>
                      <w:sz w:val="22"/>
                      <w:szCs w:val="22"/>
                      <w:u w:val="single"/>
                      <w:lang w:val="en-US"/>
                    </w:rPr>
                    <w:t>Laws relevant to formal education:</w:t>
                  </w:r>
                  <w:r w:rsidRPr="00D27B55">
                    <w:rPr>
                      <w:sz w:val="22"/>
                      <w:szCs w:val="22"/>
                      <w:lang w:val="en-US"/>
                    </w:rPr>
                    <w:t xml:space="preserve"> lack of law to answer to with the specific needs of student pregnant and mother (includes recently approved Decree Law on Court Actors formal training)</w:t>
                  </w:r>
                </w:p>
              </w:tc>
              <w:tc>
                <w:tcPr>
                  <w:tcW w:w="2160" w:type="dxa"/>
                </w:tcPr>
                <w:p w14:paraId="65254CB5" w14:textId="77777777" w:rsidR="003A41BE" w:rsidRPr="00DA2276" w:rsidRDefault="003A41BE" w:rsidP="002A37E3">
                  <w:pPr>
                    <w:framePr w:hSpace="141" w:wrap="around" w:vAnchor="text" w:hAnchor="text" w:x="421" w:y="1"/>
                    <w:suppressOverlap/>
                    <w:rPr>
                      <w:bCs/>
                      <w:sz w:val="22"/>
                      <w:szCs w:val="22"/>
                      <w:lang w:val="en-US"/>
                    </w:rPr>
                  </w:pPr>
                  <w:r w:rsidRPr="007E58D6">
                    <w:rPr>
                      <w:sz w:val="22"/>
                      <w:szCs w:val="22"/>
                      <w:lang w:val="en-US"/>
                    </w:rPr>
                    <w:lastRenderedPageBreak/>
                    <w:t>TBD</w:t>
                  </w:r>
                </w:p>
              </w:tc>
            </w:tr>
          </w:tbl>
          <w:p w14:paraId="145BFC56" w14:textId="77777777" w:rsidR="003A41BE" w:rsidRPr="00F85D84" w:rsidRDefault="003A41BE" w:rsidP="00FD44CE">
            <w:pPr>
              <w:autoSpaceDE w:val="0"/>
              <w:autoSpaceDN w:val="0"/>
              <w:adjustRightInd w:val="0"/>
              <w:rPr>
                <w:rFonts w:cstheme="minorHAnsi"/>
                <w:bCs/>
                <w:sz w:val="22"/>
                <w:szCs w:val="22"/>
                <w:lang w:val="en-US"/>
              </w:rPr>
            </w:pPr>
            <w:r>
              <w:rPr>
                <w:rFonts w:cstheme="minorHAnsi"/>
                <w:bCs/>
                <w:sz w:val="22"/>
                <w:szCs w:val="22"/>
                <w:lang w:val="en-US"/>
              </w:rPr>
              <w:t>Data Source: Civil, Criminal Code, PNTL Statues, Formal education laws and UN Women</w:t>
            </w:r>
          </w:p>
        </w:tc>
        <w:tc>
          <w:tcPr>
            <w:tcW w:w="4116" w:type="dxa"/>
            <w:vMerge/>
          </w:tcPr>
          <w:p w14:paraId="27EC1D2D"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1C59E2C8" w14:textId="77777777" w:rsidTr="53E3C463">
        <w:trPr>
          <w:trHeight w:val="1132"/>
        </w:trPr>
        <w:tc>
          <w:tcPr>
            <w:tcW w:w="4529" w:type="dxa"/>
            <w:vMerge/>
          </w:tcPr>
          <w:p w14:paraId="22CB0B70"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right w:val="single" w:sz="4" w:space="0" w:color="auto"/>
            </w:tcBorders>
            <w:shd w:val="clear" w:color="auto" w:fill="D9D9D9" w:themeFill="background1" w:themeFillShade="D9"/>
          </w:tcPr>
          <w:p w14:paraId="62827A30" w14:textId="77777777" w:rsidR="003A41BE" w:rsidRPr="00841766" w:rsidRDefault="003A41BE" w:rsidP="00FD44CE">
            <w:pPr>
              <w:rPr>
                <w:rFonts w:cs="Calibri"/>
                <w:color w:val="000000"/>
                <w:sz w:val="22"/>
                <w:szCs w:val="22"/>
                <w:lang w:val="en-US"/>
              </w:rPr>
            </w:pPr>
            <w:r w:rsidRPr="00841766">
              <w:rPr>
                <w:rFonts w:cstheme="minorHAnsi"/>
                <w:b/>
                <w:sz w:val="22"/>
                <w:szCs w:val="22"/>
                <w:lang w:val="en-US"/>
              </w:rPr>
              <w:t>Indicator 5.1.</w:t>
            </w:r>
            <w:r w:rsidRPr="00E15EF2">
              <w:rPr>
                <w:rFonts w:cstheme="minorHAnsi"/>
                <w:b/>
                <w:sz w:val="22"/>
                <w:szCs w:val="22"/>
                <w:lang w:val="en-US"/>
              </w:rPr>
              <w:t xml:space="preserve">3: </w:t>
            </w:r>
            <w:r w:rsidRPr="002A7985">
              <w:rPr>
                <w:rFonts w:cs="Calibri"/>
                <w:color w:val="000000"/>
                <w:sz w:val="22"/>
                <w:szCs w:val="22"/>
                <w:lang w:val="en-US"/>
              </w:rPr>
              <w:t xml:space="preserve">Percentage of Universal Periodic Review (UPR) recommendations implemented by the Government of Timor-Leste </w:t>
            </w:r>
          </w:p>
          <w:tbl>
            <w:tblPr>
              <w:tblStyle w:val="TableGrid"/>
              <w:tblW w:w="5249" w:type="dxa"/>
              <w:tblLayout w:type="fixed"/>
              <w:tblLook w:val="04A0" w:firstRow="1" w:lastRow="0" w:firstColumn="1" w:lastColumn="0" w:noHBand="0" w:noVBand="1"/>
            </w:tblPr>
            <w:tblGrid>
              <w:gridCol w:w="2549"/>
              <w:gridCol w:w="2700"/>
            </w:tblGrid>
            <w:tr w:rsidR="003A41BE" w:rsidRPr="00DA2276" w14:paraId="03B060CA" w14:textId="77777777" w:rsidTr="00FD44CE">
              <w:tc>
                <w:tcPr>
                  <w:tcW w:w="2549" w:type="dxa"/>
                </w:tcPr>
                <w:p w14:paraId="42966D9C"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Baseline</w:t>
                  </w:r>
                </w:p>
              </w:tc>
              <w:tc>
                <w:tcPr>
                  <w:tcW w:w="2700" w:type="dxa"/>
                </w:tcPr>
                <w:p w14:paraId="1FF7E246"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Target</w:t>
                  </w:r>
                </w:p>
              </w:tc>
            </w:tr>
            <w:tr w:rsidR="003A41BE" w:rsidRPr="00DA2276" w14:paraId="31DA75DA" w14:textId="77777777" w:rsidTr="00FD44CE">
              <w:tc>
                <w:tcPr>
                  <w:tcW w:w="2549" w:type="dxa"/>
                </w:tcPr>
                <w:p w14:paraId="207DD231"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 xml:space="preserve">UPR implemented </w:t>
                  </w:r>
                </w:p>
                <w:p w14:paraId="15F56D1B"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146 recommendations accepted and 8 noted</w:t>
                  </w:r>
                </w:p>
              </w:tc>
              <w:tc>
                <w:tcPr>
                  <w:tcW w:w="2700" w:type="dxa"/>
                </w:tcPr>
                <w:p w14:paraId="03676D58" w14:textId="77777777" w:rsidR="003A41BE" w:rsidRPr="00DA2276" w:rsidRDefault="003A41BE" w:rsidP="002A37E3">
                  <w:pPr>
                    <w:framePr w:hSpace="141" w:wrap="around" w:vAnchor="text" w:hAnchor="text" w:x="421" w:y="1"/>
                    <w:suppressOverlap/>
                    <w:jc w:val="center"/>
                    <w:rPr>
                      <w:bCs/>
                      <w:sz w:val="22"/>
                      <w:szCs w:val="22"/>
                      <w:lang w:val="en-US"/>
                    </w:rPr>
                  </w:pPr>
                  <w:r>
                    <w:rPr>
                      <w:sz w:val="22"/>
                      <w:szCs w:val="22"/>
                      <w:lang w:val="en-US"/>
                    </w:rPr>
                    <w:t>Under discussion with relevant partners</w:t>
                  </w:r>
                </w:p>
              </w:tc>
            </w:tr>
          </w:tbl>
          <w:p w14:paraId="24E7FE78" w14:textId="77777777" w:rsidR="003A41BE" w:rsidRDefault="003A41BE" w:rsidP="00FD44CE">
            <w:pPr>
              <w:autoSpaceDE w:val="0"/>
              <w:autoSpaceDN w:val="0"/>
              <w:adjustRightInd w:val="0"/>
              <w:rPr>
                <w:rFonts w:cstheme="minorHAnsi"/>
                <w:bCs/>
                <w:sz w:val="22"/>
                <w:szCs w:val="22"/>
                <w:lang w:val="en-US"/>
              </w:rPr>
            </w:pPr>
            <w:r>
              <w:rPr>
                <w:rFonts w:cstheme="minorHAnsi"/>
                <w:bCs/>
                <w:sz w:val="22"/>
                <w:szCs w:val="22"/>
                <w:lang w:val="en-US"/>
              </w:rPr>
              <w:t>Note. Baseline in percent to be updated.</w:t>
            </w:r>
          </w:p>
          <w:p w14:paraId="731A0600" w14:textId="77777777" w:rsidR="003A41BE" w:rsidRPr="00841766" w:rsidRDefault="003A41BE" w:rsidP="00FD44CE">
            <w:pPr>
              <w:autoSpaceDE w:val="0"/>
              <w:autoSpaceDN w:val="0"/>
              <w:adjustRightInd w:val="0"/>
              <w:rPr>
                <w:rFonts w:cs="Calibri"/>
                <w:color w:val="000000"/>
                <w:sz w:val="22"/>
                <w:szCs w:val="22"/>
                <w:lang w:val="en-US"/>
              </w:rPr>
            </w:pPr>
            <w:r w:rsidRPr="002A7985">
              <w:rPr>
                <w:rFonts w:cstheme="minorHAnsi"/>
                <w:bCs/>
                <w:sz w:val="22"/>
                <w:szCs w:val="22"/>
                <w:lang w:val="en-US"/>
              </w:rPr>
              <w:t>Data Source:</w:t>
            </w:r>
            <w:r>
              <w:rPr>
                <w:rFonts w:cstheme="minorHAnsi"/>
                <w:b/>
                <w:sz w:val="22"/>
                <w:szCs w:val="22"/>
                <w:lang w:val="en-US"/>
              </w:rPr>
              <w:t xml:space="preserve"> </w:t>
            </w:r>
            <w:r>
              <w:t xml:space="preserve"> </w:t>
            </w:r>
            <w:r w:rsidRPr="00914189">
              <w:rPr>
                <w:rFonts w:cstheme="minorHAnsi"/>
                <w:bCs/>
                <w:sz w:val="22"/>
                <w:szCs w:val="22"/>
                <w:lang w:val="en-US"/>
              </w:rPr>
              <w:t>Recommendations to Timor-Leste made during the second Universal Periodic Review by the UN Human Rights Council</w:t>
            </w:r>
            <w:r>
              <w:rPr>
                <w:rFonts w:cstheme="minorHAnsi"/>
                <w:bCs/>
                <w:sz w:val="22"/>
                <w:szCs w:val="22"/>
                <w:lang w:val="en-US"/>
              </w:rPr>
              <w:t>, March 2017</w:t>
            </w:r>
          </w:p>
          <w:p w14:paraId="486527FC" w14:textId="77777777" w:rsidR="003A41BE" w:rsidRPr="00841766" w:rsidRDefault="003A41BE" w:rsidP="00FD44CE">
            <w:pPr>
              <w:pStyle w:val="Default"/>
              <w:rPr>
                <w:rFonts w:asciiTheme="minorHAnsi" w:hAnsiTheme="minorHAnsi" w:cstheme="minorHAnsi"/>
                <w:b/>
                <w:sz w:val="22"/>
                <w:szCs w:val="22"/>
                <w:lang w:val="en-US"/>
              </w:rPr>
            </w:pPr>
          </w:p>
        </w:tc>
        <w:tc>
          <w:tcPr>
            <w:tcW w:w="4116" w:type="dxa"/>
            <w:vMerge/>
          </w:tcPr>
          <w:p w14:paraId="6BBBBD4B"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54014A06" w14:textId="77777777" w:rsidTr="53E3C463">
        <w:trPr>
          <w:trHeight w:val="256"/>
        </w:trPr>
        <w:tc>
          <w:tcPr>
            <w:tcW w:w="4529" w:type="dxa"/>
            <w:vMerge w:val="restart"/>
            <w:tcBorders>
              <w:top w:val="single" w:sz="4" w:space="0" w:color="auto"/>
              <w:left w:val="single" w:sz="4" w:space="0" w:color="auto"/>
              <w:right w:val="single" w:sz="4" w:space="0" w:color="auto"/>
            </w:tcBorders>
            <w:shd w:val="clear" w:color="auto" w:fill="8EAADB" w:themeFill="accent1" w:themeFillTint="99"/>
          </w:tcPr>
          <w:p w14:paraId="3F5DC1F0" w14:textId="77777777" w:rsidR="003A41BE" w:rsidRPr="00841766" w:rsidRDefault="003A41BE" w:rsidP="00FD44CE">
            <w:pPr>
              <w:jc w:val="both"/>
              <w:rPr>
                <w:rFonts w:cstheme="minorHAnsi"/>
                <w:b/>
                <w:color w:val="000000" w:themeColor="text1"/>
                <w:sz w:val="22"/>
                <w:szCs w:val="22"/>
                <w:lang w:val="en-US"/>
              </w:rPr>
            </w:pPr>
            <w:r w:rsidRPr="00841766">
              <w:rPr>
                <w:rFonts w:cstheme="minorHAnsi"/>
                <w:b/>
                <w:color w:val="000000" w:themeColor="text1"/>
                <w:sz w:val="22"/>
                <w:szCs w:val="22"/>
                <w:lang w:val="en-US"/>
              </w:rPr>
              <w:t>Sub-Outcome 5.2:</w:t>
            </w:r>
          </w:p>
          <w:p w14:paraId="0AE5DF45" w14:textId="77777777" w:rsidR="003A41BE" w:rsidRPr="00841766" w:rsidRDefault="003A41BE" w:rsidP="00FD44CE">
            <w:pPr>
              <w:rPr>
                <w:rFonts w:ascii="Calibri" w:hAnsi="Calibri" w:cs="Calibri"/>
                <w:sz w:val="22"/>
                <w:szCs w:val="22"/>
                <w:lang w:val="en-US"/>
              </w:rPr>
            </w:pPr>
          </w:p>
          <w:p w14:paraId="2FB30DB1" w14:textId="77777777" w:rsidR="003A41BE" w:rsidRPr="00841766" w:rsidRDefault="003A41BE" w:rsidP="00FD44CE">
            <w:pPr>
              <w:rPr>
                <w:lang w:val="en-US"/>
              </w:rPr>
            </w:pPr>
            <w:r w:rsidRPr="00841766">
              <w:rPr>
                <w:rFonts w:ascii="Calibri" w:hAnsi="Calibri" w:cs="Calibri"/>
                <w:b/>
                <w:bCs/>
                <w:color w:val="000000"/>
                <w:sz w:val="22"/>
                <w:szCs w:val="22"/>
                <w:lang w:val="en-US"/>
              </w:rPr>
              <w:t>Reform of public administration</w:t>
            </w:r>
          </w:p>
          <w:p w14:paraId="03211EEA" w14:textId="0347F2C2" w:rsidR="003A41BE" w:rsidRPr="00841766" w:rsidRDefault="003A41BE" w:rsidP="00FD44CE">
            <w:pPr>
              <w:rPr>
                <w:rFonts w:ascii="Calibri" w:hAnsi="Calibri" w:cs="Calibri"/>
                <w:sz w:val="22"/>
                <w:szCs w:val="22"/>
                <w:lang w:val="en-US"/>
              </w:rPr>
            </w:pPr>
            <w:r w:rsidRPr="53E3C463">
              <w:rPr>
                <w:rFonts w:ascii="Calibri" w:hAnsi="Calibri" w:cs="Calibri"/>
                <w:sz w:val="22"/>
                <w:szCs w:val="22"/>
                <w:lang w:val="en-US"/>
              </w:rPr>
              <w:lastRenderedPageBreak/>
              <w:t>By 2025, people access effective and innovative public administration facilitated by SDG-focused, evidence-based and gender-responsive planning and budgeting systems and professional and meritocratic civil service professionals at all levels.</w:t>
            </w:r>
          </w:p>
          <w:p w14:paraId="28ABA1CB" w14:textId="77777777" w:rsidR="003A41BE" w:rsidRPr="00841766" w:rsidRDefault="003A41BE" w:rsidP="00FD44CE">
            <w:pPr>
              <w:rPr>
                <w:rFonts w:ascii="Calibri" w:hAnsi="Calibri" w:cs="Calibri"/>
                <w:sz w:val="22"/>
                <w:szCs w:val="22"/>
                <w:highlight w:val="yellow"/>
                <w:lang w:val="en-US"/>
              </w:rPr>
            </w:pPr>
          </w:p>
          <w:p w14:paraId="5B6AB7B9" w14:textId="77777777" w:rsidR="003A41BE" w:rsidRPr="00841766" w:rsidRDefault="003A41BE" w:rsidP="00FD44CE">
            <w:pPr>
              <w:rPr>
                <w:rFonts w:cstheme="minorHAnsi"/>
                <w:b/>
                <w:color w:val="000000" w:themeColor="text1"/>
                <w:sz w:val="22"/>
                <w:szCs w:val="22"/>
                <w:highlight w:val="yellow"/>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70FEC" w14:textId="77777777" w:rsidR="003A41BE" w:rsidRPr="00841766" w:rsidRDefault="003A41BE" w:rsidP="00FD44CE">
            <w:pPr>
              <w:pStyle w:val="Default"/>
              <w:rPr>
                <w:rFonts w:asciiTheme="minorHAnsi" w:hAnsiTheme="minorHAnsi" w:cs="Calibri"/>
                <w:sz w:val="22"/>
                <w:szCs w:val="22"/>
                <w:lang w:val="en-US"/>
              </w:rPr>
            </w:pPr>
            <w:r w:rsidRPr="003F4BC2">
              <w:rPr>
                <w:rFonts w:asciiTheme="minorHAnsi" w:hAnsiTheme="minorHAnsi" w:cstheme="minorHAnsi"/>
                <w:b/>
                <w:sz w:val="22"/>
                <w:szCs w:val="22"/>
                <w:lang w:val="en-US"/>
              </w:rPr>
              <w:lastRenderedPageBreak/>
              <w:t xml:space="preserve">Indicator 5.2.1: </w:t>
            </w:r>
            <w:r>
              <w:rPr>
                <w:rFonts w:ascii="Arial" w:hAnsi="Arial" w:cs="Arial"/>
                <w:color w:val="666666"/>
                <w:sz w:val="20"/>
                <w:szCs w:val="20"/>
              </w:rPr>
              <w:t xml:space="preserve"> </w:t>
            </w:r>
            <w:r w:rsidRPr="003F4BC2">
              <w:rPr>
                <w:rFonts w:asciiTheme="minorHAnsi" w:hAnsiTheme="minorHAnsi" w:cs="Calibri"/>
                <w:sz w:val="22"/>
                <w:szCs w:val="22"/>
                <w:lang w:val="en-US"/>
              </w:rPr>
              <w:t>Timor-Leste has systems to track and make public allocations for gender equality and women’s empowerment</w:t>
            </w:r>
            <w:r>
              <w:rPr>
                <w:rFonts w:asciiTheme="minorHAnsi" w:hAnsiTheme="minorHAnsi" w:cs="Calibri"/>
                <w:sz w:val="22"/>
                <w:szCs w:val="22"/>
                <w:lang w:val="en-US"/>
              </w:rPr>
              <w:t xml:space="preserve"> (SDG Indicator </w:t>
            </w:r>
            <w:r w:rsidRPr="003F4BC2">
              <w:rPr>
                <w:rFonts w:asciiTheme="minorHAnsi" w:hAnsiTheme="minorHAnsi" w:cs="Calibri"/>
                <w:sz w:val="22"/>
                <w:szCs w:val="22"/>
                <w:lang w:val="en-US"/>
              </w:rPr>
              <w:t>5.c.1</w:t>
            </w:r>
            <w:r>
              <w:rPr>
                <w:rFonts w:asciiTheme="minorHAnsi" w:hAnsiTheme="minorHAnsi" w:cs="Calibri"/>
                <w:sz w:val="22"/>
                <w:szCs w:val="22"/>
                <w:lang w:val="en-US"/>
              </w:rPr>
              <w:t>)</w:t>
            </w:r>
          </w:p>
          <w:tbl>
            <w:tblPr>
              <w:tblStyle w:val="TableGrid"/>
              <w:tblW w:w="0" w:type="auto"/>
              <w:tblLayout w:type="fixed"/>
              <w:tblLook w:val="04A0" w:firstRow="1" w:lastRow="0" w:firstColumn="1" w:lastColumn="0" w:noHBand="0" w:noVBand="1"/>
            </w:tblPr>
            <w:tblGrid>
              <w:gridCol w:w="2999"/>
              <w:gridCol w:w="2430"/>
            </w:tblGrid>
            <w:tr w:rsidR="003A41BE" w:rsidRPr="00DA2276" w14:paraId="17F1B6E8" w14:textId="77777777" w:rsidTr="00FD44CE">
              <w:tc>
                <w:tcPr>
                  <w:tcW w:w="2999" w:type="dxa"/>
                </w:tcPr>
                <w:p w14:paraId="17CA90CD"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lastRenderedPageBreak/>
                    <w:t>Baseline</w:t>
                  </w:r>
                </w:p>
              </w:tc>
              <w:tc>
                <w:tcPr>
                  <w:tcW w:w="2430" w:type="dxa"/>
                </w:tcPr>
                <w:p w14:paraId="5121C790" w14:textId="77777777" w:rsidR="003A41BE" w:rsidRPr="002A7985" w:rsidRDefault="003A41BE" w:rsidP="002A37E3">
                  <w:pPr>
                    <w:framePr w:hSpace="141" w:wrap="around" w:vAnchor="text" w:hAnchor="text" w:x="421" w:y="1"/>
                    <w:suppressOverlap/>
                    <w:jc w:val="center"/>
                    <w:rPr>
                      <w:sz w:val="22"/>
                      <w:szCs w:val="22"/>
                      <w:lang w:val="en-US"/>
                    </w:rPr>
                  </w:pPr>
                  <w:r w:rsidRPr="002A7985">
                    <w:rPr>
                      <w:sz w:val="22"/>
                      <w:szCs w:val="22"/>
                      <w:lang w:val="en-US"/>
                    </w:rPr>
                    <w:t>Target</w:t>
                  </w:r>
                </w:p>
              </w:tc>
            </w:tr>
            <w:tr w:rsidR="003A41BE" w:rsidRPr="00DA2276" w14:paraId="32BFEB48" w14:textId="77777777" w:rsidTr="00FD44CE">
              <w:tc>
                <w:tcPr>
                  <w:tcW w:w="2999" w:type="dxa"/>
                </w:tcPr>
                <w:p w14:paraId="2F02A2B9" w14:textId="77777777" w:rsidR="003A41BE" w:rsidRPr="002A7985" w:rsidRDefault="003A41BE" w:rsidP="002A37E3">
                  <w:pPr>
                    <w:pStyle w:val="Default"/>
                    <w:framePr w:hSpace="141" w:wrap="around" w:vAnchor="text" w:hAnchor="text" w:x="421" w:y="1"/>
                    <w:suppressOverlap/>
                    <w:rPr>
                      <w:sz w:val="22"/>
                      <w:szCs w:val="22"/>
                    </w:rPr>
                  </w:pPr>
                  <w:r w:rsidRPr="002A7985">
                    <w:rPr>
                      <w:rFonts w:asciiTheme="minorHAnsi" w:hAnsiTheme="minorHAnsi" w:cs="Calibri"/>
                      <w:sz w:val="22"/>
                      <w:szCs w:val="22"/>
                      <w:lang w:val="en-US"/>
                    </w:rPr>
                    <w:t>Yes, Timor-Leste has a system to track and make public allocations for gender equality and women’s empowerment.</w:t>
                  </w:r>
                  <w:r>
                    <w:rPr>
                      <w:rFonts w:asciiTheme="minorHAnsi" w:hAnsiTheme="minorHAnsi" w:cs="Calibri"/>
                      <w:sz w:val="22"/>
                      <w:szCs w:val="22"/>
                      <w:lang w:val="en-US"/>
                    </w:rPr>
                    <w:t xml:space="preserve"> </w:t>
                  </w:r>
                  <w:r w:rsidRPr="00DA2276">
                    <w:rPr>
                      <w:rFonts w:asciiTheme="minorHAnsi" w:hAnsiTheme="minorHAnsi" w:cs="Calibri"/>
                      <w:sz w:val="22"/>
                      <w:szCs w:val="22"/>
                      <w:lang w:val="en-US"/>
                    </w:rPr>
                    <w:t xml:space="preserve"> Since 2018, the State Budget includes specific programmes on gender equality in their Budget Structure, as well as use a gender marker to identify how programmes are mainstreaming gender. </w:t>
                  </w:r>
                  <w:r w:rsidRPr="002A7985">
                    <w:rPr>
                      <w:rFonts w:asciiTheme="minorHAnsi" w:hAnsiTheme="minorHAnsi" w:cs="Calibri"/>
                      <w:sz w:val="22"/>
                      <w:szCs w:val="22"/>
                      <w:lang w:val="en-US"/>
                    </w:rPr>
                    <w:t xml:space="preserve"> </w:t>
                  </w:r>
                </w:p>
              </w:tc>
              <w:tc>
                <w:tcPr>
                  <w:tcW w:w="2430" w:type="dxa"/>
                </w:tcPr>
                <w:p w14:paraId="13294EC7" w14:textId="77777777" w:rsidR="003A41BE" w:rsidRPr="00BF633B" w:rsidRDefault="003A41BE" w:rsidP="002A37E3">
                  <w:pPr>
                    <w:framePr w:hSpace="141" w:wrap="around" w:vAnchor="text" w:hAnchor="text" w:x="421" w:y="1"/>
                    <w:suppressOverlap/>
                    <w:jc w:val="center"/>
                    <w:rPr>
                      <w:bCs/>
                      <w:sz w:val="22"/>
                      <w:szCs w:val="22"/>
                      <w:lang w:val="en-US"/>
                    </w:rPr>
                  </w:pPr>
                  <w:r w:rsidRPr="00BF633B">
                    <w:rPr>
                      <w:sz w:val="22"/>
                      <w:szCs w:val="22"/>
                      <w:lang w:val="en-US"/>
                    </w:rPr>
                    <w:t>Government Institutions to provide Gender Budget Statement as part of Annual Budget Plans, and Government makes publicly available annual monitoring reports on the budget expenditure for implementation of gender commitments</w:t>
                  </w:r>
                </w:p>
              </w:tc>
            </w:tr>
          </w:tbl>
          <w:p w14:paraId="07B1EB79" w14:textId="77777777" w:rsidR="003A41BE" w:rsidRDefault="003A41BE" w:rsidP="00FD44CE">
            <w:pPr>
              <w:pStyle w:val="Default"/>
              <w:rPr>
                <w:rFonts w:asciiTheme="minorHAnsi" w:hAnsiTheme="minorHAnsi" w:cstheme="minorHAnsi"/>
                <w:bCs/>
                <w:sz w:val="22"/>
                <w:szCs w:val="22"/>
                <w:lang w:val="en-US"/>
              </w:rPr>
            </w:pPr>
            <w:r w:rsidRPr="003F4BC2">
              <w:rPr>
                <w:rFonts w:asciiTheme="minorHAnsi" w:hAnsiTheme="minorHAnsi" w:cstheme="minorHAnsi"/>
                <w:bCs/>
                <w:sz w:val="22"/>
                <w:szCs w:val="22"/>
                <w:lang w:val="en-US"/>
              </w:rPr>
              <w:t>Data Source:</w:t>
            </w:r>
            <w:r w:rsidRPr="005C4BA3">
              <w:rPr>
                <w:rFonts w:asciiTheme="minorHAnsi" w:hAnsiTheme="minorHAnsi" w:cstheme="minorHAnsi"/>
                <w:bCs/>
                <w:sz w:val="22"/>
                <w:szCs w:val="22"/>
                <w:lang w:val="en-US"/>
              </w:rPr>
              <w:t xml:space="preserve"> Unit of Planning, Monitoring and Evaluation (UPMA) and UN Data base for SDG</w:t>
            </w:r>
          </w:p>
          <w:p w14:paraId="4FA32AEB" w14:textId="77777777" w:rsidR="003A41BE" w:rsidRPr="00841766" w:rsidRDefault="003A41BE" w:rsidP="00FD44CE">
            <w:pPr>
              <w:pStyle w:val="Default"/>
              <w:rPr>
                <w:rFonts w:asciiTheme="minorHAnsi" w:hAnsiTheme="minorHAnsi" w:cs="Calibri"/>
                <w:sz w:val="22"/>
                <w:szCs w:val="22"/>
                <w:lang w:val="en-US"/>
              </w:rPr>
            </w:pPr>
          </w:p>
        </w:tc>
        <w:tc>
          <w:tcPr>
            <w:tcW w:w="4116" w:type="dxa"/>
            <w:vMerge w:val="restart"/>
            <w:tcBorders>
              <w:top w:val="single" w:sz="4" w:space="0" w:color="auto"/>
              <w:left w:val="single" w:sz="4" w:space="0" w:color="auto"/>
              <w:right w:val="single" w:sz="4" w:space="0" w:color="auto"/>
            </w:tcBorders>
          </w:tcPr>
          <w:p w14:paraId="41B2486C"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lastRenderedPageBreak/>
              <w:t>Secretary of State for Equality and Inclusion</w:t>
            </w:r>
            <w:r>
              <w:rPr>
                <w:rFonts w:cstheme="minorHAnsi"/>
                <w:sz w:val="22"/>
                <w:szCs w:val="22"/>
                <w:lang w:val="en-US"/>
              </w:rPr>
              <w:t xml:space="preserve"> </w:t>
            </w:r>
          </w:p>
          <w:p w14:paraId="6F9122E9"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 xml:space="preserve">Office of </w:t>
            </w:r>
            <w:r>
              <w:rPr>
                <w:rFonts w:cstheme="minorHAnsi"/>
                <w:sz w:val="22"/>
                <w:szCs w:val="22"/>
                <w:lang w:val="en-US"/>
              </w:rPr>
              <w:t xml:space="preserve">the </w:t>
            </w:r>
            <w:r w:rsidRPr="00841766">
              <w:rPr>
                <w:rFonts w:cstheme="minorHAnsi"/>
                <w:sz w:val="22"/>
                <w:szCs w:val="22"/>
                <w:lang w:val="en-US"/>
              </w:rPr>
              <w:t>Prime Minister</w:t>
            </w:r>
          </w:p>
          <w:p w14:paraId="2DF53005"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lastRenderedPageBreak/>
              <w:t>National Parliament</w:t>
            </w:r>
          </w:p>
          <w:p w14:paraId="323FEE88"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Finance</w:t>
            </w:r>
          </w:p>
          <w:p w14:paraId="59AEB285"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Civil service Commission</w:t>
            </w:r>
            <w:r w:rsidRPr="00841766" w:rsidDel="00721AE7">
              <w:rPr>
                <w:rFonts w:cstheme="minorHAnsi"/>
                <w:sz w:val="22"/>
                <w:szCs w:val="22"/>
                <w:lang w:val="en-US"/>
              </w:rPr>
              <w:t xml:space="preserve"> </w:t>
            </w:r>
          </w:p>
          <w:p w14:paraId="1E036D5D" w14:textId="77777777" w:rsidR="003A41BE" w:rsidRDefault="003A41BE" w:rsidP="00FD44CE">
            <w:pPr>
              <w:autoSpaceDE w:val="0"/>
              <w:autoSpaceDN w:val="0"/>
              <w:adjustRightInd w:val="0"/>
              <w:rPr>
                <w:rFonts w:cstheme="minorHAnsi"/>
                <w:sz w:val="22"/>
                <w:szCs w:val="22"/>
                <w:lang w:val="en-US"/>
              </w:rPr>
            </w:pPr>
          </w:p>
          <w:p w14:paraId="0487427C" w14:textId="77777777" w:rsidR="003A41BE" w:rsidRDefault="003A41BE" w:rsidP="00FD44CE">
            <w:pPr>
              <w:autoSpaceDE w:val="0"/>
              <w:autoSpaceDN w:val="0"/>
              <w:adjustRightInd w:val="0"/>
              <w:rPr>
                <w:rFonts w:cstheme="minorHAnsi"/>
                <w:sz w:val="22"/>
                <w:szCs w:val="22"/>
                <w:lang w:val="en-US"/>
              </w:rPr>
            </w:pPr>
            <w:r>
              <w:rPr>
                <w:rFonts w:cstheme="minorHAnsi"/>
                <w:sz w:val="22"/>
                <w:szCs w:val="22"/>
                <w:lang w:val="en-US"/>
              </w:rPr>
              <w:t>UNDP,</w:t>
            </w:r>
            <w:r w:rsidDel="00592AD7">
              <w:rPr>
                <w:rFonts w:cstheme="minorHAnsi"/>
                <w:sz w:val="22"/>
                <w:szCs w:val="22"/>
                <w:lang w:val="en-US"/>
              </w:rPr>
              <w:t xml:space="preserve"> </w:t>
            </w:r>
            <w:r>
              <w:rPr>
                <w:rFonts w:cstheme="minorHAnsi"/>
                <w:sz w:val="22"/>
                <w:szCs w:val="22"/>
                <w:lang w:val="en-US"/>
              </w:rPr>
              <w:t>UNESCO, UNICEF, UN Women, WHO</w:t>
            </w:r>
          </w:p>
          <w:p w14:paraId="540E3D47" w14:textId="77777777" w:rsidR="003A41BE" w:rsidRPr="00841766" w:rsidRDefault="003A41BE" w:rsidP="00FD44CE">
            <w:pPr>
              <w:autoSpaceDE w:val="0"/>
              <w:autoSpaceDN w:val="0"/>
              <w:adjustRightInd w:val="0"/>
              <w:rPr>
                <w:rFonts w:cstheme="minorHAnsi"/>
                <w:sz w:val="22"/>
                <w:szCs w:val="22"/>
                <w:lang w:val="en-US"/>
              </w:rPr>
            </w:pPr>
          </w:p>
          <w:p w14:paraId="4151A968"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Civil society organizations</w:t>
            </w:r>
          </w:p>
          <w:p w14:paraId="74DCC1BC"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0EE17A8D" w14:textId="77777777" w:rsidTr="53E3C463">
        <w:trPr>
          <w:trHeight w:val="1417"/>
        </w:trPr>
        <w:tc>
          <w:tcPr>
            <w:tcW w:w="4529" w:type="dxa"/>
            <w:vMerge/>
          </w:tcPr>
          <w:p w14:paraId="5081A46A"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right w:val="single" w:sz="4" w:space="0" w:color="auto"/>
            </w:tcBorders>
            <w:shd w:val="clear" w:color="auto" w:fill="D9D9D9" w:themeFill="background1" w:themeFillShade="D9"/>
          </w:tcPr>
          <w:p w14:paraId="188D675A" w14:textId="77777777" w:rsidR="003A41BE" w:rsidRDefault="003A41BE" w:rsidP="00FD44CE">
            <w:pPr>
              <w:pStyle w:val="Default"/>
              <w:rPr>
                <w:rFonts w:asciiTheme="minorHAnsi" w:hAnsiTheme="minorHAnsi" w:cs="Calibri"/>
                <w:sz w:val="22"/>
                <w:szCs w:val="22"/>
                <w:lang w:val="en-US"/>
              </w:rPr>
            </w:pPr>
            <w:r w:rsidRPr="003F4BC2">
              <w:rPr>
                <w:rFonts w:asciiTheme="minorHAnsi" w:hAnsiTheme="minorHAnsi" w:cstheme="minorHAnsi"/>
                <w:b/>
                <w:sz w:val="22"/>
                <w:szCs w:val="22"/>
                <w:lang w:val="en-US"/>
              </w:rPr>
              <w:t>Indicator 5.2.2:</w:t>
            </w:r>
            <w:r w:rsidRPr="003F4BC2">
              <w:rPr>
                <w:rFonts w:asciiTheme="minorHAnsi" w:hAnsiTheme="minorHAnsi" w:cs="Calibri"/>
                <w:sz w:val="22"/>
                <w:szCs w:val="22"/>
                <w:lang w:val="en-US"/>
              </w:rPr>
              <w:t xml:space="preserve"> Proportion of population (disaggregated by sex) satisfied with their last experience of public services specifically a) health</w:t>
            </w:r>
            <w:r>
              <w:rPr>
                <w:rFonts w:asciiTheme="minorHAnsi" w:hAnsiTheme="minorHAnsi" w:cs="Calibri"/>
                <w:sz w:val="22"/>
                <w:szCs w:val="22"/>
                <w:lang w:val="en-US"/>
              </w:rPr>
              <w:t xml:space="preserve"> </w:t>
            </w:r>
            <w:r w:rsidRPr="003F4BC2">
              <w:rPr>
                <w:rFonts w:asciiTheme="minorHAnsi" w:hAnsiTheme="minorHAnsi" w:cs="Calibri"/>
                <w:sz w:val="22"/>
                <w:szCs w:val="22"/>
                <w:lang w:val="en-US"/>
              </w:rPr>
              <w:t>care services b) education services and c) government services (</w:t>
            </w:r>
            <w:r>
              <w:rPr>
                <w:rFonts w:asciiTheme="minorHAnsi" w:hAnsiTheme="minorHAnsi" w:cs="Calibri"/>
                <w:sz w:val="22"/>
                <w:szCs w:val="22"/>
                <w:lang w:val="en-US"/>
              </w:rPr>
              <w:t xml:space="preserve">SDG Indicator </w:t>
            </w:r>
            <w:r w:rsidRPr="003F4BC2">
              <w:rPr>
                <w:rFonts w:asciiTheme="minorHAnsi" w:hAnsiTheme="minorHAnsi" w:cs="Calibri"/>
                <w:sz w:val="22"/>
                <w:szCs w:val="22"/>
                <w:lang w:val="en-US"/>
              </w:rPr>
              <w:t>16.6.2)</w:t>
            </w:r>
          </w:p>
          <w:p w14:paraId="03C2B04E" w14:textId="77777777" w:rsidR="003A41BE" w:rsidRDefault="003A41BE" w:rsidP="00FD44CE">
            <w:pPr>
              <w:pStyle w:val="Default"/>
              <w:rPr>
                <w:rFonts w:asciiTheme="minorHAnsi" w:hAnsiTheme="minorHAnsi" w:cs="Calibri"/>
                <w:sz w:val="22"/>
                <w:szCs w:val="22"/>
                <w:lang w:val="en-US"/>
              </w:rPr>
            </w:pPr>
          </w:p>
          <w:p w14:paraId="5EF2542F" w14:textId="77777777" w:rsidR="003A41BE" w:rsidRDefault="003A41BE" w:rsidP="00FD44CE">
            <w:pPr>
              <w:pStyle w:val="Default"/>
              <w:rPr>
                <w:rFonts w:asciiTheme="minorHAnsi" w:hAnsiTheme="minorHAnsi" w:cs="Calibri"/>
                <w:sz w:val="22"/>
                <w:szCs w:val="22"/>
                <w:lang w:val="en-US"/>
              </w:rPr>
            </w:pPr>
            <w:r w:rsidRPr="002A7985">
              <w:rPr>
                <w:rFonts w:asciiTheme="minorHAnsi" w:hAnsiTheme="minorHAnsi" w:cs="Calibri"/>
                <w:sz w:val="22"/>
                <w:szCs w:val="22"/>
                <w:u w:val="single"/>
                <w:lang w:val="en-US"/>
              </w:rPr>
              <w:t>Proxy Indicator:</w:t>
            </w:r>
            <w:r>
              <w:rPr>
                <w:rFonts w:asciiTheme="minorHAnsi" w:hAnsiTheme="minorHAnsi" w:cs="Calibri"/>
                <w:sz w:val="22"/>
                <w:szCs w:val="22"/>
                <w:lang w:val="en-US"/>
              </w:rPr>
              <w:t xml:space="preserve"> </w:t>
            </w:r>
            <w:r w:rsidRPr="007930D0">
              <w:rPr>
                <w:rFonts w:asciiTheme="minorHAnsi" w:hAnsiTheme="minorHAnsi" w:cs="Calibri"/>
                <w:sz w:val="22"/>
                <w:szCs w:val="22"/>
                <w:lang w:val="en-US"/>
              </w:rPr>
              <w:t xml:space="preserve">Of the </w:t>
            </w:r>
            <w:r>
              <w:rPr>
                <w:rFonts w:asciiTheme="minorHAnsi" w:hAnsiTheme="minorHAnsi" w:cs="Calibri"/>
                <w:sz w:val="22"/>
                <w:szCs w:val="22"/>
                <w:lang w:val="en-US"/>
              </w:rPr>
              <w:t xml:space="preserve">following </w:t>
            </w:r>
            <w:r w:rsidRPr="007930D0">
              <w:rPr>
                <w:rFonts w:asciiTheme="minorHAnsi" w:hAnsiTheme="minorHAnsi" w:cs="Calibri"/>
                <w:sz w:val="22"/>
                <w:szCs w:val="22"/>
                <w:lang w:val="en-US"/>
              </w:rPr>
              <w:t>services, the government provides</w:t>
            </w:r>
            <w:r>
              <w:rPr>
                <w:rFonts w:asciiTheme="minorHAnsi" w:hAnsiTheme="minorHAnsi" w:cs="Calibri"/>
                <w:sz w:val="22"/>
                <w:szCs w:val="22"/>
                <w:lang w:val="en-US"/>
              </w:rPr>
              <w:t xml:space="preserve"> </w:t>
            </w:r>
            <w:bookmarkStart w:id="180" w:name="_Hlk32506379"/>
            <w:r>
              <w:rPr>
                <w:rFonts w:asciiTheme="minorHAnsi" w:hAnsiTheme="minorHAnsi" w:cs="Calibri"/>
                <w:sz w:val="22"/>
                <w:szCs w:val="22"/>
                <w:lang w:val="en-US"/>
              </w:rPr>
              <w:t>(roads, education, access to water, health care, irrigation, electricity, access to people with disabilities, seed supply, policing services)</w:t>
            </w:r>
            <w:bookmarkEnd w:id="180"/>
            <w:r w:rsidRPr="007930D0">
              <w:rPr>
                <w:rFonts w:asciiTheme="minorHAnsi" w:hAnsiTheme="minorHAnsi" w:cs="Calibri"/>
                <w:sz w:val="22"/>
                <w:szCs w:val="22"/>
                <w:lang w:val="en-US"/>
              </w:rPr>
              <w:t>, which do you think most needs to be improved in your area?</w:t>
            </w:r>
          </w:p>
          <w:tbl>
            <w:tblPr>
              <w:tblStyle w:val="TableGrid"/>
              <w:tblW w:w="4799" w:type="dxa"/>
              <w:tblLayout w:type="fixed"/>
              <w:tblLook w:val="04A0" w:firstRow="1" w:lastRow="0" w:firstColumn="1" w:lastColumn="0" w:noHBand="0" w:noVBand="1"/>
            </w:tblPr>
            <w:tblGrid>
              <w:gridCol w:w="1477"/>
              <w:gridCol w:w="1702"/>
              <w:gridCol w:w="1620"/>
            </w:tblGrid>
            <w:tr w:rsidR="005A2554" w14:paraId="6A9F9B19" w14:textId="77777777" w:rsidTr="005A2554">
              <w:tc>
                <w:tcPr>
                  <w:tcW w:w="1477" w:type="dxa"/>
                </w:tcPr>
                <w:p w14:paraId="11948397" w14:textId="77777777" w:rsidR="005A2554" w:rsidRDefault="005A2554" w:rsidP="002A37E3">
                  <w:pPr>
                    <w:framePr w:hSpace="141" w:wrap="around" w:vAnchor="text" w:hAnchor="text" w:x="421" w:y="1"/>
                    <w:suppressOverlap/>
                    <w:jc w:val="center"/>
                    <w:rPr>
                      <w:sz w:val="22"/>
                      <w:szCs w:val="22"/>
                      <w:lang w:val="en-US"/>
                    </w:rPr>
                  </w:pPr>
                </w:p>
              </w:tc>
              <w:tc>
                <w:tcPr>
                  <w:tcW w:w="1702" w:type="dxa"/>
                </w:tcPr>
                <w:p w14:paraId="6750EFAD" w14:textId="77777777" w:rsidR="005A2554" w:rsidRDefault="005A2554"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2707A05B" w14:textId="77777777" w:rsidR="005A2554" w:rsidRDefault="005A2554" w:rsidP="002A37E3">
                  <w:pPr>
                    <w:framePr w:hSpace="141" w:wrap="around" w:vAnchor="text" w:hAnchor="text" w:x="421" w:y="1"/>
                    <w:suppressOverlap/>
                    <w:jc w:val="center"/>
                    <w:rPr>
                      <w:sz w:val="22"/>
                      <w:szCs w:val="22"/>
                      <w:lang w:val="en-US"/>
                    </w:rPr>
                  </w:pPr>
                  <w:r>
                    <w:rPr>
                      <w:sz w:val="22"/>
                      <w:szCs w:val="22"/>
                      <w:lang w:val="en-US"/>
                    </w:rPr>
                    <w:t>Target</w:t>
                  </w:r>
                </w:p>
              </w:tc>
            </w:tr>
            <w:tr w:rsidR="005A2554" w:rsidRPr="00DA2276" w14:paraId="0B16D82F" w14:textId="77777777" w:rsidTr="005A2554">
              <w:tc>
                <w:tcPr>
                  <w:tcW w:w="1477" w:type="dxa"/>
                </w:tcPr>
                <w:p w14:paraId="080DF856" w14:textId="77777777" w:rsidR="005A2554" w:rsidRPr="00DA2276" w:rsidRDefault="005A2554" w:rsidP="002A37E3">
                  <w:pPr>
                    <w:framePr w:hSpace="141" w:wrap="around" w:vAnchor="text" w:hAnchor="text" w:x="421" w:y="1"/>
                    <w:suppressOverlap/>
                    <w:jc w:val="center"/>
                    <w:rPr>
                      <w:sz w:val="22"/>
                      <w:szCs w:val="22"/>
                      <w:lang w:val="en-US"/>
                    </w:rPr>
                  </w:pPr>
                  <w:r>
                    <w:rPr>
                      <w:sz w:val="22"/>
                      <w:szCs w:val="22"/>
                      <w:lang w:val="en-US"/>
                    </w:rPr>
                    <w:t>Health care</w:t>
                  </w:r>
                </w:p>
              </w:tc>
              <w:tc>
                <w:tcPr>
                  <w:tcW w:w="1702" w:type="dxa"/>
                </w:tcPr>
                <w:p w14:paraId="68497739" w14:textId="60EA3635" w:rsidR="005A2554" w:rsidRPr="00DA2276" w:rsidRDefault="005A2554" w:rsidP="002A37E3">
                  <w:pPr>
                    <w:framePr w:hSpace="141" w:wrap="around" w:vAnchor="text" w:hAnchor="text" w:x="421" w:y="1"/>
                    <w:suppressOverlap/>
                    <w:jc w:val="center"/>
                    <w:rPr>
                      <w:sz w:val="22"/>
                      <w:szCs w:val="22"/>
                      <w:lang w:val="en-US"/>
                    </w:rPr>
                  </w:pPr>
                  <w:r>
                    <w:rPr>
                      <w:sz w:val="22"/>
                      <w:szCs w:val="22"/>
                      <w:lang w:val="en-US"/>
                    </w:rPr>
                    <w:t xml:space="preserve">TBD </w:t>
                  </w:r>
                </w:p>
              </w:tc>
              <w:tc>
                <w:tcPr>
                  <w:tcW w:w="1620" w:type="dxa"/>
                </w:tcPr>
                <w:p w14:paraId="656FBF9D" w14:textId="3AA42E70" w:rsidR="005A2554" w:rsidRPr="00DA2276" w:rsidRDefault="005A2554" w:rsidP="002A37E3">
                  <w:pPr>
                    <w:framePr w:hSpace="141" w:wrap="around" w:vAnchor="text" w:hAnchor="text" w:x="421" w:y="1"/>
                    <w:suppressOverlap/>
                    <w:jc w:val="center"/>
                    <w:rPr>
                      <w:bCs/>
                      <w:sz w:val="22"/>
                      <w:szCs w:val="22"/>
                      <w:lang w:val="en-US"/>
                    </w:rPr>
                  </w:pPr>
                  <w:r>
                    <w:rPr>
                      <w:bCs/>
                      <w:sz w:val="22"/>
                      <w:szCs w:val="22"/>
                      <w:lang w:val="en-US"/>
                    </w:rPr>
                    <w:t>TBD</w:t>
                  </w:r>
                </w:p>
              </w:tc>
            </w:tr>
            <w:tr w:rsidR="005A2554" w:rsidRPr="00DA2276" w14:paraId="7FC89F06" w14:textId="77777777" w:rsidTr="005A2554">
              <w:tc>
                <w:tcPr>
                  <w:tcW w:w="1477" w:type="dxa"/>
                </w:tcPr>
                <w:p w14:paraId="06703701" w14:textId="77777777" w:rsidR="005A2554" w:rsidRPr="00DA2276" w:rsidRDefault="005A2554" w:rsidP="002A37E3">
                  <w:pPr>
                    <w:framePr w:hSpace="141" w:wrap="around" w:vAnchor="text" w:hAnchor="text" w:x="421" w:y="1"/>
                    <w:suppressOverlap/>
                    <w:jc w:val="center"/>
                    <w:rPr>
                      <w:sz w:val="22"/>
                      <w:szCs w:val="22"/>
                      <w:lang w:val="en-US"/>
                    </w:rPr>
                  </w:pPr>
                  <w:r>
                    <w:rPr>
                      <w:sz w:val="22"/>
                      <w:szCs w:val="22"/>
                      <w:lang w:val="en-US"/>
                    </w:rPr>
                    <w:t xml:space="preserve">Education </w:t>
                  </w:r>
                </w:p>
              </w:tc>
              <w:tc>
                <w:tcPr>
                  <w:tcW w:w="1702" w:type="dxa"/>
                </w:tcPr>
                <w:p w14:paraId="460EF5ED" w14:textId="142E7216" w:rsidR="005A2554" w:rsidRPr="00DA2276" w:rsidRDefault="005A2554" w:rsidP="002A37E3">
                  <w:pPr>
                    <w:framePr w:hSpace="141" w:wrap="around" w:vAnchor="text" w:hAnchor="text" w:x="421" w:y="1"/>
                    <w:suppressOverlap/>
                    <w:jc w:val="center"/>
                    <w:rPr>
                      <w:sz w:val="22"/>
                      <w:szCs w:val="22"/>
                      <w:lang w:val="en-US"/>
                    </w:rPr>
                  </w:pPr>
                  <w:r>
                    <w:rPr>
                      <w:sz w:val="22"/>
                      <w:szCs w:val="22"/>
                      <w:lang w:val="en-US"/>
                    </w:rPr>
                    <w:t>TBD</w:t>
                  </w:r>
                </w:p>
              </w:tc>
              <w:tc>
                <w:tcPr>
                  <w:tcW w:w="1620" w:type="dxa"/>
                </w:tcPr>
                <w:p w14:paraId="46FD5592" w14:textId="14F800E9" w:rsidR="005A2554" w:rsidRPr="00DA2276" w:rsidRDefault="005A2554" w:rsidP="002A37E3">
                  <w:pPr>
                    <w:framePr w:hSpace="141" w:wrap="around" w:vAnchor="text" w:hAnchor="text" w:x="421" w:y="1"/>
                    <w:suppressOverlap/>
                    <w:jc w:val="center"/>
                    <w:rPr>
                      <w:bCs/>
                      <w:sz w:val="22"/>
                      <w:szCs w:val="22"/>
                      <w:lang w:val="en-US"/>
                    </w:rPr>
                  </w:pPr>
                  <w:r>
                    <w:rPr>
                      <w:bCs/>
                      <w:sz w:val="22"/>
                      <w:szCs w:val="22"/>
                      <w:lang w:val="en-US"/>
                    </w:rPr>
                    <w:t>TBD</w:t>
                  </w:r>
                </w:p>
              </w:tc>
            </w:tr>
          </w:tbl>
          <w:p w14:paraId="4E8992FA" w14:textId="77777777" w:rsidR="003A41BE" w:rsidRDefault="003A41BE" w:rsidP="00FD44CE">
            <w:pPr>
              <w:pStyle w:val="Default"/>
              <w:rPr>
                <w:rFonts w:asciiTheme="minorHAnsi" w:hAnsiTheme="minorHAnsi" w:cs="Calibri"/>
                <w:sz w:val="22"/>
                <w:szCs w:val="22"/>
                <w:lang w:val="en-US"/>
              </w:rPr>
            </w:pPr>
          </w:p>
          <w:p w14:paraId="0ED86CF2" w14:textId="77777777" w:rsidR="003A41BE" w:rsidRPr="007930D0" w:rsidRDefault="003A41BE" w:rsidP="00FD44CE">
            <w:pPr>
              <w:rPr>
                <w:rFonts w:cs="Calibri"/>
                <w:color w:val="000000"/>
                <w:sz w:val="22"/>
                <w:szCs w:val="22"/>
                <w:lang w:val="en-US"/>
              </w:rPr>
            </w:pPr>
            <w:r w:rsidRPr="002A7985">
              <w:rPr>
                <w:rFonts w:cs="Calibri"/>
                <w:sz w:val="22"/>
                <w:szCs w:val="22"/>
                <w:u w:val="single"/>
                <w:lang w:val="en-US"/>
              </w:rPr>
              <w:t>Proxy Indicator</w:t>
            </w:r>
            <w:r>
              <w:rPr>
                <w:rFonts w:cs="Calibri"/>
                <w:sz w:val="22"/>
                <w:szCs w:val="22"/>
                <w:lang w:val="en-US"/>
              </w:rPr>
              <w:t>:</w:t>
            </w:r>
            <w:r w:rsidRPr="007930D0">
              <w:rPr>
                <w:rFonts w:cs="Calibri"/>
                <w:color w:val="000000"/>
                <w:sz w:val="22"/>
                <w:szCs w:val="22"/>
                <w:lang w:val="en-US"/>
              </w:rPr>
              <w:t xml:space="preserve"> I would be willing to pay tax to receive better services </w:t>
            </w:r>
          </w:p>
          <w:tbl>
            <w:tblPr>
              <w:tblStyle w:val="TableGrid"/>
              <w:tblW w:w="4799" w:type="dxa"/>
              <w:tblLayout w:type="fixed"/>
              <w:tblLook w:val="04A0" w:firstRow="1" w:lastRow="0" w:firstColumn="1" w:lastColumn="0" w:noHBand="0" w:noVBand="1"/>
            </w:tblPr>
            <w:tblGrid>
              <w:gridCol w:w="1477"/>
              <w:gridCol w:w="1702"/>
              <w:gridCol w:w="1620"/>
            </w:tblGrid>
            <w:tr w:rsidR="003A41BE" w14:paraId="1E5D97B5" w14:textId="77777777" w:rsidTr="00FD44CE">
              <w:tc>
                <w:tcPr>
                  <w:tcW w:w="1477" w:type="dxa"/>
                </w:tcPr>
                <w:p w14:paraId="1FD83783" w14:textId="77777777" w:rsidR="003A41BE" w:rsidRDefault="003A41BE" w:rsidP="002A37E3">
                  <w:pPr>
                    <w:framePr w:hSpace="141" w:wrap="around" w:vAnchor="text" w:hAnchor="text" w:x="421" w:y="1"/>
                    <w:suppressOverlap/>
                    <w:jc w:val="center"/>
                    <w:rPr>
                      <w:sz w:val="22"/>
                      <w:szCs w:val="22"/>
                      <w:lang w:val="en-US"/>
                    </w:rPr>
                  </w:pPr>
                </w:p>
              </w:tc>
              <w:tc>
                <w:tcPr>
                  <w:tcW w:w="1702" w:type="dxa"/>
                </w:tcPr>
                <w:p w14:paraId="44D66DE3"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1620" w:type="dxa"/>
                </w:tcPr>
                <w:p w14:paraId="71427A60"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14:paraId="0832B7A9" w14:textId="77777777" w:rsidTr="00FD44CE">
              <w:tc>
                <w:tcPr>
                  <w:tcW w:w="1477" w:type="dxa"/>
                </w:tcPr>
                <w:p w14:paraId="0791C4B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Government</w:t>
                  </w:r>
                </w:p>
              </w:tc>
              <w:tc>
                <w:tcPr>
                  <w:tcW w:w="1702" w:type="dxa"/>
                </w:tcPr>
                <w:p w14:paraId="7E34384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65%</w:t>
                  </w:r>
                </w:p>
              </w:tc>
              <w:tc>
                <w:tcPr>
                  <w:tcW w:w="1620" w:type="dxa"/>
                </w:tcPr>
                <w:p w14:paraId="3460FF66" w14:textId="77777777" w:rsidR="003A41BE" w:rsidRDefault="003A41BE" w:rsidP="002A37E3">
                  <w:pPr>
                    <w:framePr w:hSpace="141" w:wrap="around" w:vAnchor="text" w:hAnchor="text" w:x="421" w:y="1"/>
                    <w:suppressOverlap/>
                    <w:jc w:val="center"/>
                    <w:rPr>
                      <w:sz w:val="22"/>
                      <w:szCs w:val="22"/>
                      <w:lang w:val="en-US"/>
                    </w:rPr>
                  </w:pPr>
                </w:p>
              </w:tc>
            </w:tr>
          </w:tbl>
          <w:p w14:paraId="1CBC8C70" w14:textId="77777777" w:rsidR="003A41BE" w:rsidRPr="003F4BC2" w:rsidRDefault="003A41BE" w:rsidP="00FD44CE">
            <w:pPr>
              <w:autoSpaceDE w:val="0"/>
              <w:autoSpaceDN w:val="0"/>
              <w:adjustRightInd w:val="0"/>
              <w:rPr>
                <w:rFonts w:cstheme="minorHAnsi"/>
                <w:bCs/>
                <w:sz w:val="22"/>
                <w:szCs w:val="22"/>
                <w:lang w:val="en-US"/>
              </w:rPr>
            </w:pPr>
            <w:r>
              <w:rPr>
                <w:rFonts w:cstheme="minorHAnsi"/>
                <w:bCs/>
                <w:sz w:val="22"/>
                <w:szCs w:val="22"/>
                <w:lang w:val="en-US"/>
              </w:rPr>
              <w:t>D</w:t>
            </w:r>
            <w:r w:rsidRPr="003F4BC2">
              <w:rPr>
                <w:rFonts w:cstheme="minorHAnsi"/>
                <w:bCs/>
                <w:sz w:val="22"/>
                <w:szCs w:val="22"/>
                <w:lang w:val="en-US"/>
              </w:rPr>
              <w:t xml:space="preserve">ata Source: </w:t>
            </w:r>
            <w:r>
              <w:rPr>
                <w:rFonts w:cstheme="minorHAnsi"/>
                <w:bCs/>
                <w:sz w:val="22"/>
                <w:szCs w:val="22"/>
                <w:lang w:val="en-US"/>
              </w:rPr>
              <w:t xml:space="preserve">The Asia Foundation, </w:t>
            </w:r>
            <w:proofErr w:type="spellStart"/>
            <w:r w:rsidRPr="003F4BC2">
              <w:rPr>
                <w:rFonts w:cstheme="minorHAnsi"/>
                <w:bCs/>
                <w:sz w:val="22"/>
                <w:szCs w:val="22"/>
                <w:lang w:val="en-US"/>
              </w:rPr>
              <w:t>Taitoli</w:t>
            </w:r>
            <w:proofErr w:type="spellEnd"/>
            <w:r>
              <w:rPr>
                <w:rFonts w:cstheme="minorHAnsi"/>
                <w:bCs/>
                <w:sz w:val="22"/>
                <w:szCs w:val="22"/>
                <w:lang w:val="en-US"/>
              </w:rPr>
              <w:t xml:space="preserve"> Survey 2013-2018</w:t>
            </w:r>
          </w:p>
        </w:tc>
        <w:tc>
          <w:tcPr>
            <w:tcW w:w="4116" w:type="dxa"/>
            <w:vMerge/>
          </w:tcPr>
          <w:p w14:paraId="08646774" w14:textId="77777777" w:rsidR="003A41BE" w:rsidRPr="00841766" w:rsidRDefault="003A41BE" w:rsidP="00FD44CE">
            <w:pPr>
              <w:autoSpaceDE w:val="0"/>
              <w:autoSpaceDN w:val="0"/>
              <w:adjustRightInd w:val="0"/>
              <w:rPr>
                <w:rFonts w:cstheme="minorHAnsi"/>
                <w:sz w:val="22"/>
                <w:szCs w:val="22"/>
                <w:lang w:val="en-US"/>
              </w:rPr>
            </w:pPr>
          </w:p>
        </w:tc>
      </w:tr>
      <w:tr w:rsidR="000B6FF7" w:rsidRPr="00841766" w14:paraId="3E1B1C9D" w14:textId="77777777" w:rsidTr="53E3C463">
        <w:trPr>
          <w:trHeight w:val="1417"/>
        </w:trPr>
        <w:tc>
          <w:tcPr>
            <w:tcW w:w="4529" w:type="dxa"/>
            <w:tcBorders>
              <w:top w:val="single" w:sz="4" w:space="0" w:color="auto"/>
              <w:left w:val="single" w:sz="4" w:space="0" w:color="auto"/>
              <w:right w:val="single" w:sz="4" w:space="0" w:color="auto"/>
            </w:tcBorders>
            <w:shd w:val="clear" w:color="auto" w:fill="8EAADB" w:themeFill="accent1" w:themeFillTint="99"/>
          </w:tcPr>
          <w:p w14:paraId="1F6D61FE" w14:textId="77777777" w:rsidR="000B6FF7" w:rsidRPr="00841766" w:rsidRDefault="000B6FF7"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right w:val="single" w:sz="4" w:space="0" w:color="auto"/>
            </w:tcBorders>
            <w:shd w:val="clear" w:color="auto" w:fill="D9D9D9" w:themeFill="background1" w:themeFillShade="D9"/>
          </w:tcPr>
          <w:p w14:paraId="1310E7A9" w14:textId="77777777" w:rsidR="000B6FF7" w:rsidRDefault="000B6FF7" w:rsidP="00FD44CE">
            <w:pPr>
              <w:pStyle w:val="Default"/>
              <w:rPr>
                <w:rFonts w:asciiTheme="minorHAnsi" w:hAnsiTheme="minorHAnsi" w:cstheme="minorHAnsi"/>
                <w:bCs/>
                <w:sz w:val="22"/>
                <w:szCs w:val="22"/>
                <w:lang w:val="en-US"/>
              </w:rPr>
            </w:pPr>
            <w:r>
              <w:rPr>
                <w:rFonts w:asciiTheme="minorHAnsi" w:hAnsiTheme="minorHAnsi" w:cstheme="minorHAnsi"/>
                <w:b/>
                <w:sz w:val="22"/>
                <w:szCs w:val="22"/>
                <w:lang w:val="en-US"/>
              </w:rPr>
              <w:t xml:space="preserve">Indicator 5.2.3: </w:t>
            </w:r>
            <w:r w:rsidRPr="000B6FF7">
              <w:rPr>
                <w:rFonts w:asciiTheme="minorHAnsi" w:hAnsiTheme="minorHAnsi" w:cstheme="minorHAnsi"/>
                <w:bCs/>
                <w:sz w:val="22"/>
                <w:szCs w:val="22"/>
                <w:lang w:val="en-US"/>
              </w:rPr>
              <w:t>Mobilize additional financial resources for developing countries from multiple sources</w:t>
            </w:r>
            <w:r>
              <w:rPr>
                <w:rFonts w:asciiTheme="minorHAnsi" w:hAnsiTheme="minorHAnsi" w:cstheme="minorHAnsi"/>
                <w:bCs/>
                <w:sz w:val="22"/>
                <w:szCs w:val="22"/>
                <w:lang w:val="en-US"/>
              </w:rPr>
              <w:t xml:space="preserve"> (SDG Indicator 17.3)</w:t>
            </w:r>
          </w:p>
          <w:tbl>
            <w:tblPr>
              <w:tblStyle w:val="TableGrid"/>
              <w:tblW w:w="5490" w:type="dxa"/>
              <w:tblLayout w:type="fixed"/>
              <w:tblLook w:val="04A0" w:firstRow="1" w:lastRow="0" w:firstColumn="1" w:lastColumn="0" w:noHBand="0" w:noVBand="1"/>
            </w:tblPr>
            <w:tblGrid>
              <w:gridCol w:w="2813"/>
              <w:gridCol w:w="2677"/>
            </w:tblGrid>
            <w:tr w:rsidR="000B6FF7" w14:paraId="47106F9E" w14:textId="77777777" w:rsidTr="00B404AE">
              <w:trPr>
                <w:trHeight w:val="250"/>
              </w:trPr>
              <w:tc>
                <w:tcPr>
                  <w:tcW w:w="2813" w:type="dxa"/>
                </w:tcPr>
                <w:p w14:paraId="13928E40" w14:textId="77777777" w:rsidR="000B6FF7" w:rsidRDefault="000B6FF7" w:rsidP="002A37E3">
                  <w:pPr>
                    <w:framePr w:hSpace="141" w:wrap="around" w:vAnchor="text" w:hAnchor="text" w:x="421" w:y="1"/>
                    <w:suppressOverlap/>
                    <w:jc w:val="center"/>
                    <w:rPr>
                      <w:sz w:val="22"/>
                      <w:szCs w:val="22"/>
                      <w:lang w:val="en-US"/>
                    </w:rPr>
                  </w:pPr>
                  <w:r>
                    <w:rPr>
                      <w:sz w:val="22"/>
                      <w:szCs w:val="22"/>
                      <w:lang w:val="en-US"/>
                    </w:rPr>
                    <w:t>Baseline</w:t>
                  </w:r>
                </w:p>
              </w:tc>
              <w:tc>
                <w:tcPr>
                  <w:tcW w:w="2677" w:type="dxa"/>
                </w:tcPr>
                <w:p w14:paraId="7867F434" w14:textId="77777777" w:rsidR="000B6FF7" w:rsidRDefault="000B6FF7" w:rsidP="002A37E3">
                  <w:pPr>
                    <w:framePr w:hSpace="141" w:wrap="around" w:vAnchor="text" w:hAnchor="text" w:x="421" w:y="1"/>
                    <w:suppressOverlap/>
                    <w:jc w:val="center"/>
                    <w:rPr>
                      <w:sz w:val="22"/>
                      <w:szCs w:val="22"/>
                      <w:lang w:val="en-US"/>
                    </w:rPr>
                  </w:pPr>
                  <w:r>
                    <w:rPr>
                      <w:sz w:val="22"/>
                      <w:szCs w:val="22"/>
                      <w:lang w:val="en-US"/>
                    </w:rPr>
                    <w:t>Target</w:t>
                  </w:r>
                </w:p>
              </w:tc>
            </w:tr>
            <w:tr w:rsidR="000B6FF7" w14:paraId="34B52C45" w14:textId="77777777" w:rsidTr="00B404AE">
              <w:trPr>
                <w:trHeight w:val="1476"/>
              </w:trPr>
              <w:tc>
                <w:tcPr>
                  <w:tcW w:w="2813" w:type="dxa"/>
                </w:tcPr>
                <w:p w14:paraId="5C96DCA2" w14:textId="6795A4E2" w:rsidR="000B6FF7" w:rsidRDefault="00B50321" w:rsidP="002A37E3">
                  <w:pPr>
                    <w:framePr w:hSpace="141" w:wrap="around" w:vAnchor="text" w:hAnchor="text" w:x="421" w:y="1"/>
                    <w:suppressOverlap/>
                    <w:jc w:val="center"/>
                    <w:rPr>
                      <w:sz w:val="22"/>
                      <w:szCs w:val="22"/>
                      <w:lang w:val="en-US"/>
                    </w:rPr>
                  </w:pPr>
                  <w:r>
                    <w:rPr>
                      <w:sz w:val="22"/>
                      <w:szCs w:val="22"/>
                      <w:lang w:val="en-US"/>
                    </w:rPr>
                    <w:t xml:space="preserve">No Integrated National Financing Framework (INFF) established </w:t>
                  </w:r>
                </w:p>
              </w:tc>
              <w:tc>
                <w:tcPr>
                  <w:tcW w:w="2677" w:type="dxa"/>
                </w:tcPr>
                <w:p w14:paraId="7D34CE82" w14:textId="272BF7A4" w:rsidR="000B6FF7" w:rsidRDefault="000B6FF7" w:rsidP="002A37E3">
                  <w:pPr>
                    <w:framePr w:hSpace="141" w:wrap="around" w:vAnchor="text" w:hAnchor="text" w:x="421" w:y="1"/>
                    <w:suppressOverlap/>
                    <w:jc w:val="center"/>
                    <w:rPr>
                      <w:sz w:val="22"/>
                      <w:szCs w:val="22"/>
                      <w:lang w:val="en-US"/>
                    </w:rPr>
                  </w:pPr>
                  <w:r>
                    <w:rPr>
                      <w:sz w:val="22"/>
                      <w:szCs w:val="22"/>
                      <w:lang w:val="en-US"/>
                    </w:rPr>
                    <w:t>INFF established</w:t>
                  </w:r>
                  <w:r w:rsidR="006D0829">
                    <w:rPr>
                      <w:sz w:val="22"/>
                      <w:szCs w:val="22"/>
                      <w:lang w:val="en-US"/>
                    </w:rPr>
                    <w:t xml:space="preserve"> and</w:t>
                  </w:r>
                </w:p>
                <w:p w14:paraId="229B23B2" w14:textId="6654D107" w:rsidR="000B6FF7" w:rsidRDefault="006D0829" w:rsidP="002A37E3">
                  <w:pPr>
                    <w:framePr w:hSpace="141" w:wrap="around" w:vAnchor="text" w:hAnchor="text" w:x="421" w:y="1"/>
                    <w:suppressOverlap/>
                    <w:jc w:val="center"/>
                    <w:rPr>
                      <w:sz w:val="22"/>
                      <w:szCs w:val="22"/>
                      <w:lang w:val="en-US"/>
                    </w:rPr>
                  </w:pPr>
                  <w:r>
                    <w:rPr>
                      <w:sz w:val="22"/>
                      <w:szCs w:val="22"/>
                      <w:lang w:val="en-US"/>
                    </w:rPr>
                    <w:t>t</w:t>
                  </w:r>
                  <w:r w:rsidR="000B6FF7">
                    <w:rPr>
                      <w:sz w:val="22"/>
                      <w:szCs w:val="22"/>
                      <w:lang w:val="en-US"/>
                    </w:rPr>
                    <w:t>hree refor</w:t>
                  </w:r>
                  <w:r>
                    <w:rPr>
                      <w:sz w:val="22"/>
                      <w:szCs w:val="22"/>
                      <w:lang w:val="en-US"/>
                    </w:rPr>
                    <w:t>ms implemented</w:t>
                  </w:r>
                  <w:r w:rsidR="000B6FF7">
                    <w:rPr>
                      <w:sz w:val="22"/>
                      <w:szCs w:val="22"/>
                      <w:lang w:val="en-US"/>
                    </w:rPr>
                    <w:t xml:space="preserve">:  pro-health taxation, diaspora and climate financing </w:t>
                  </w:r>
                </w:p>
              </w:tc>
            </w:tr>
          </w:tbl>
          <w:p w14:paraId="425509AA" w14:textId="2637075E" w:rsidR="000B6FF7" w:rsidRPr="000B6FF7" w:rsidRDefault="000B6FF7" w:rsidP="00FD44CE">
            <w:pPr>
              <w:pStyle w:val="Default"/>
              <w:rPr>
                <w:rFonts w:asciiTheme="minorHAnsi" w:hAnsiTheme="minorHAnsi" w:cstheme="minorHAnsi"/>
                <w:bCs/>
                <w:sz w:val="22"/>
                <w:szCs w:val="22"/>
                <w:lang w:val="en-US"/>
              </w:rPr>
            </w:pPr>
            <w:r>
              <w:rPr>
                <w:rFonts w:asciiTheme="minorHAnsi" w:hAnsiTheme="minorHAnsi" w:cstheme="minorHAnsi"/>
                <w:bCs/>
                <w:sz w:val="22"/>
                <w:szCs w:val="22"/>
                <w:lang w:val="en-US"/>
              </w:rPr>
              <w:t xml:space="preserve">Data Source: IOM, UNDP, WHO and Government </w:t>
            </w:r>
          </w:p>
        </w:tc>
        <w:tc>
          <w:tcPr>
            <w:tcW w:w="4116" w:type="dxa"/>
            <w:tcBorders>
              <w:left w:val="single" w:sz="4" w:space="0" w:color="auto"/>
              <w:right w:val="single" w:sz="4" w:space="0" w:color="auto"/>
            </w:tcBorders>
          </w:tcPr>
          <w:p w14:paraId="5360A808" w14:textId="77777777" w:rsidR="000B6FF7" w:rsidRPr="00841766" w:rsidRDefault="000B6FF7" w:rsidP="00FD44CE">
            <w:pPr>
              <w:autoSpaceDE w:val="0"/>
              <w:autoSpaceDN w:val="0"/>
              <w:adjustRightInd w:val="0"/>
              <w:rPr>
                <w:rFonts w:cstheme="minorHAnsi"/>
                <w:sz w:val="22"/>
                <w:szCs w:val="22"/>
                <w:lang w:val="en-US"/>
              </w:rPr>
            </w:pPr>
          </w:p>
        </w:tc>
      </w:tr>
      <w:tr w:rsidR="003A41BE" w:rsidRPr="00841766" w14:paraId="181FFC2E" w14:textId="77777777" w:rsidTr="53E3C463">
        <w:trPr>
          <w:trHeight w:val="256"/>
        </w:trPr>
        <w:tc>
          <w:tcPr>
            <w:tcW w:w="4529" w:type="dxa"/>
            <w:vMerge w:val="restart"/>
            <w:tcBorders>
              <w:top w:val="single" w:sz="4" w:space="0" w:color="auto"/>
              <w:left w:val="single" w:sz="4" w:space="0" w:color="auto"/>
              <w:right w:val="single" w:sz="4" w:space="0" w:color="auto"/>
            </w:tcBorders>
            <w:shd w:val="clear" w:color="auto" w:fill="8EAADB" w:themeFill="accent1" w:themeFillTint="99"/>
          </w:tcPr>
          <w:p w14:paraId="7B27298B" w14:textId="77777777" w:rsidR="003A41BE" w:rsidRPr="00841766" w:rsidRDefault="003A41BE" w:rsidP="00FD44CE">
            <w:pPr>
              <w:jc w:val="both"/>
              <w:rPr>
                <w:rFonts w:cstheme="minorHAnsi"/>
                <w:b/>
                <w:color w:val="000000" w:themeColor="text1"/>
                <w:sz w:val="22"/>
                <w:szCs w:val="22"/>
                <w:lang w:val="en-US"/>
              </w:rPr>
            </w:pPr>
            <w:r w:rsidRPr="00841766">
              <w:rPr>
                <w:rFonts w:cstheme="minorHAnsi"/>
                <w:b/>
                <w:color w:val="000000" w:themeColor="text1"/>
                <w:sz w:val="22"/>
                <w:szCs w:val="22"/>
                <w:lang w:val="en-US"/>
              </w:rPr>
              <w:t>Sub-Outcome 5.3:</w:t>
            </w:r>
          </w:p>
          <w:p w14:paraId="2871ADC9" w14:textId="77777777" w:rsidR="003A41BE" w:rsidRPr="00841766" w:rsidRDefault="003A41BE" w:rsidP="00FD44CE">
            <w:pPr>
              <w:jc w:val="both"/>
              <w:rPr>
                <w:rFonts w:cstheme="minorHAnsi"/>
                <w:iCs/>
                <w:sz w:val="22"/>
                <w:szCs w:val="22"/>
                <w:lang w:val="en-US"/>
              </w:rPr>
            </w:pPr>
          </w:p>
          <w:p w14:paraId="2C24CE43" w14:textId="77777777" w:rsidR="003A41BE" w:rsidRPr="00841766" w:rsidRDefault="003A41BE" w:rsidP="00FD44CE">
            <w:pPr>
              <w:rPr>
                <w:rFonts w:cstheme="minorHAnsi"/>
                <w:sz w:val="22"/>
                <w:szCs w:val="22"/>
                <w:lang w:val="en-US"/>
              </w:rPr>
            </w:pPr>
            <w:r w:rsidRPr="00841766">
              <w:rPr>
                <w:rFonts w:cstheme="minorHAnsi"/>
                <w:b/>
                <w:bCs/>
                <w:color w:val="000000"/>
                <w:sz w:val="22"/>
                <w:szCs w:val="22"/>
                <w:lang w:val="en-US"/>
              </w:rPr>
              <w:t xml:space="preserve">Citizen’s participation and </w:t>
            </w:r>
            <w:proofErr w:type="spellStart"/>
            <w:r w:rsidRPr="00841766">
              <w:rPr>
                <w:rFonts w:cstheme="minorHAnsi"/>
                <w:b/>
                <w:bCs/>
                <w:color w:val="000000"/>
                <w:sz w:val="22"/>
                <w:szCs w:val="22"/>
                <w:lang w:val="en-US"/>
              </w:rPr>
              <w:t>decentralised</w:t>
            </w:r>
            <w:proofErr w:type="spellEnd"/>
            <w:r w:rsidRPr="00841766">
              <w:rPr>
                <w:rFonts w:cstheme="minorHAnsi"/>
                <w:b/>
                <w:bCs/>
                <w:color w:val="000000"/>
                <w:sz w:val="22"/>
                <w:szCs w:val="22"/>
                <w:lang w:val="en-US"/>
              </w:rPr>
              <w:t xml:space="preserve"> service delivery</w:t>
            </w:r>
          </w:p>
          <w:p w14:paraId="1B09BCCE" w14:textId="77777777" w:rsidR="003A41BE" w:rsidRPr="00841766" w:rsidRDefault="003A41BE" w:rsidP="00FD44CE">
            <w:pPr>
              <w:rPr>
                <w:rFonts w:cstheme="minorHAnsi"/>
                <w:iCs/>
                <w:sz w:val="22"/>
                <w:szCs w:val="22"/>
                <w:lang w:val="en-US"/>
              </w:rPr>
            </w:pPr>
            <w:r w:rsidRPr="00841766">
              <w:rPr>
                <w:sz w:val="22"/>
                <w:szCs w:val="22"/>
                <w:lang w:val="en-US"/>
              </w:rPr>
              <w:t>By 2025, groups facing multiple forms of discrimination and social exclusion, in particular youth, women and children, from rural areas and persons with disabilities, have increased participation in democratic institutions and increased access to inclusive and efficient public services at sub-national levels </w:t>
            </w:r>
          </w:p>
          <w:p w14:paraId="5F9CE3DB"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E2B2B" w14:textId="77777777" w:rsidR="003A41BE" w:rsidRDefault="003A41BE" w:rsidP="00FD44CE">
            <w:pPr>
              <w:pStyle w:val="NoSpacing"/>
            </w:pPr>
            <w:r w:rsidRPr="003F4BC2">
              <w:rPr>
                <w:rFonts w:cstheme="minorHAnsi"/>
                <w:b/>
              </w:rPr>
              <w:t xml:space="preserve">Indicator 5.3.1: </w:t>
            </w:r>
            <w:r w:rsidRPr="003F4BC2">
              <w:t>Proportion of population who believe decision-making is inclusive and responsive, by</w:t>
            </w:r>
            <w:r>
              <w:t xml:space="preserve"> </w:t>
            </w:r>
            <w:r w:rsidRPr="003F4BC2">
              <w:t>sex, age, disability and population group (</w:t>
            </w:r>
            <w:r>
              <w:t xml:space="preserve">SDG indicator </w:t>
            </w:r>
            <w:r w:rsidRPr="003F4BC2">
              <w:t>16.7.2)</w:t>
            </w:r>
          </w:p>
          <w:tbl>
            <w:tblPr>
              <w:tblStyle w:val="TableGrid"/>
              <w:tblW w:w="0" w:type="auto"/>
              <w:tblLayout w:type="fixed"/>
              <w:tblLook w:val="04A0" w:firstRow="1" w:lastRow="0" w:firstColumn="1" w:lastColumn="0" w:noHBand="0" w:noVBand="1"/>
            </w:tblPr>
            <w:tblGrid>
              <w:gridCol w:w="1919"/>
              <w:gridCol w:w="2790"/>
            </w:tblGrid>
            <w:tr w:rsidR="003A41BE" w14:paraId="29563F51" w14:textId="77777777" w:rsidTr="00FD44CE">
              <w:tc>
                <w:tcPr>
                  <w:tcW w:w="1919" w:type="dxa"/>
                </w:tcPr>
                <w:p w14:paraId="062AC59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2790" w:type="dxa"/>
                </w:tcPr>
                <w:p w14:paraId="31EB422B"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44F1165A" w14:textId="77777777" w:rsidTr="00FD44CE">
              <w:tc>
                <w:tcPr>
                  <w:tcW w:w="1919" w:type="dxa"/>
                </w:tcPr>
                <w:p w14:paraId="6CC7DC24"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66.08%</w:t>
                  </w:r>
                </w:p>
              </w:tc>
              <w:tc>
                <w:tcPr>
                  <w:tcW w:w="2790" w:type="dxa"/>
                </w:tcPr>
                <w:p w14:paraId="4A55497D" w14:textId="77777777" w:rsidR="003A41BE" w:rsidRPr="00DA2276" w:rsidRDefault="003A41BE" w:rsidP="002A37E3">
                  <w:pPr>
                    <w:framePr w:hSpace="141" w:wrap="around" w:vAnchor="text" w:hAnchor="text" w:x="421" w:y="1"/>
                    <w:suppressOverlap/>
                    <w:jc w:val="center"/>
                    <w:rPr>
                      <w:bCs/>
                      <w:sz w:val="22"/>
                      <w:szCs w:val="22"/>
                      <w:lang w:val="en-US"/>
                    </w:rPr>
                  </w:pPr>
                  <w:r>
                    <w:rPr>
                      <w:sz w:val="22"/>
                      <w:szCs w:val="22"/>
                      <w:lang w:val="en-US"/>
                    </w:rPr>
                    <w:t>Under discussion with relevant partners</w:t>
                  </w:r>
                </w:p>
              </w:tc>
            </w:tr>
          </w:tbl>
          <w:p w14:paraId="6FF361A5" w14:textId="77777777" w:rsidR="003A41BE" w:rsidRPr="001C6588" w:rsidRDefault="003A41BE" w:rsidP="00FD44CE">
            <w:pPr>
              <w:pStyle w:val="NoSpacing"/>
              <w:rPr>
                <w:rFonts w:cstheme="minorHAnsi"/>
                <w:bCs/>
              </w:rPr>
            </w:pPr>
            <w:r w:rsidRPr="003F4BC2">
              <w:rPr>
                <w:rFonts w:cstheme="minorHAnsi"/>
                <w:bCs/>
              </w:rPr>
              <w:t xml:space="preserve">Data Source: </w:t>
            </w:r>
            <w:r>
              <w:rPr>
                <w:rFonts w:cstheme="minorHAnsi"/>
                <w:bCs/>
              </w:rPr>
              <w:t xml:space="preserve">The Asia Foundation, </w:t>
            </w:r>
            <w:proofErr w:type="spellStart"/>
            <w:r w:rsidRPr="003F4BC2">
              <w:rPr>
                <w:rFonts w:cstheme="minorHAnsi"/>
                <w:bCs/>
              </w:rPr>
              <w:t>Taitoli</w:t>
            </w:r>
            <w:proofErr w:type="spellEnd"/>
            <w:r>
              <w:rPr>
                <w:rFonts w:cstheme="minorHAnsi"/>
                <w:bCs/>
              </w:rPr>
              <w:t xml:space="preserve"> Survey 2013-2018, November 2014</w:t>
            </w:r>
          </w:p>
        </w:tc>
        <w:tc>
          <w:tcPr>
            <w:tcW w:w="4116" w:type="dxa"/>
            <w:vMerge w:val="restart"/>
            <w:tcBorders>
              <w:top w:val="single" w:sz="4" w:space="0" w:color="auto"/>
              <w:left w:val="single" w:sz="4" w:space="0" w:color="auto"/>
              <w:right w:val="single" w:sz="4" w:space="0" w:color="auto"/>
            </w:tcBorders>
          </w:tcPr>
          <w:p w14:paraId="66F5E6CF" w14:textId="77777777" w:rsidR="003A41BE" w:rsidRDefault="003A41BE" w:rsidP="00FD44CE">
            <w:pPr>
              <w:autoSpaceDE w:val="0"/>
              <w:autoSpaceDN w:val="0"/>
              <w:adjustRightInd w:val="0"/>
              <w:rPr>
                <w:rFonts w:cstheme="minorHAnsi"/>
                <w:sz w:val="22"/>
                <w:szCs w:val="22"/>
                <w:lang w:val="en-US"/>
              </w:rPr>
            </w:pPr>
            <w:r>
              <w:rPr>
                <w:rFonts w:cstheme="minorHAnsi"/>
                <w:sz w:val="22"/>
                <w:szCs w:val="22"/>
                <w:lang w:val="en-US"/>
              </w:rPr>
              <w:t>Ministry of Justice</w:t>
            </w:r>
          </w:p>
          <w:p w14:paraId="02A47463"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State Administration</w:t>
            </w:r>
          </w:p>
          <w:p w14:paraId="7A119DA1"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 xml:space="preserve">Office of the </w:t>
            </w:r>
            <w:proofErr w:type="spellStart"/>
            <w:r w:rsidRPr="00841766">
              <w:rPr>
                <w:rFonts w:cstheme="minorHAnsi"/>
                <w:sz w:val="22"/>
                <w:szCs w:val="22"/>
                <w:lang w:val="en-US"/>
              </w:rPr>
              <w:t>Provedor</w:t>
            </w:r>
            <w:proofErr w:type="spellEnd"/>
            <w:r w:rsidRPr="00841766">
              <w:rPr>
                <w:rFonts w:cstheme="minorHAnsi"/>
                <w:sz w:val="22"/>
                <w:szCs w:val="22"/>
                <w:lang w:val="en-US"/>
              </w:rPr>
              <w:t xml:space="preserve"> for Human Rights and Justice</w:t>
            </w:r>
          </w:p>
          <w:p w14:paraId="10D91504"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National Parliament</w:t>
            </w:r>
          </w:p>
          <w:p w14:paraId="7307F7AB"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Secretary of State for Equality and Inclusion</w:t>
            </w:r>
          </w:p>
          <w:p w14:paraId="13B54453"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Social Solidarity</w:t>
            </w:r>
          </w:p>
          <w:p w14:paraId="2C0AD887" w14:textId="77777777" w:rsidR="003A41BE" w:rsidRPr="00841766" w:rsidRDefault="003A41BE" w:rsidP="00FD44CE">
            <w:pPr>
              <w:autoSpaceDE w:val="0"/>
              <w:autoSpaceDN w:val="0"/>
              <w:adjustRightInd w:val="0"/>
              <w:rPr>
                <w:rFonts w:cstheme="minorHAnsi"/>
                <w:sz w:val="22"/>
                <w:szCs w:val="22"/>
                <w:lang w:val="en-US"/>
              </w:rPr>
            </w:pPr>
          </w:p>
          <w:p w14:paraId="37218B9C" w14:textId="77777777" w:rsidR="003A41BE" w:rsidRPr="00841766" w:rsidRDefault="003A41BE" w:rsidP="00FD44CE">
            <w:pPr>
              <w:autoSpaceDE w:val="0"/>
              <w:autoSpaceDN w:val="0"/>
              <w:adjustRightInd w:val="0"/>
              <w:rPr>
                <w:rFonts w:cstheme="minorHAnsi"/>
                <w:sz w:val="22"/>
                <w:szCs w:val="22"/>
                <w:lang w:val="en-US"/>
              </w:rPr>
            </w:pPr>
            <w:r>
              <w:rPr>
                <w:rFonts w:cstheme="minorHAnsi"/>
                <w:sz w:val="22"/>
                <w:szCs w:val="22"/>
                <w:lang w:val="en-US"/>
              </w:rPr>
              <w:t xml:space="preserve">UNDP, </w:t>
            </w:r>
            <w:r w:rsidRPr="00841766">
              <w:rPr>
                <w:rFonts w:cstheme="minorHAnsi"/>
                <w:sz w:val="22"/>
                <w:szCs w:val="22"/>
                <w:lang w:val="en-US"/>
              </w:rPr>
              <w:t>UNICEF</w:t>
            </w:r>
            <w:r>
              <w:rPr>
                <w:rFonts w:cstheme="minorHAnsi"/>
                <w:sz w:val="22"/>
                <w:szCs w:val="22"/>
                <w:lang w:val="en-US"/>
              </w:rPr>
              <w:t xml:space="preserve">, </w:t>
            </w:r>
            <w:r w:rsidRPr="00841766">
              <w:rPr>
                <w:rFonts w:cstheme="minorHAnsi"/>
                <w:sz w:val="22"/>
                <w:szCs w:val="22"/>
                <w:lang w:val="en-US"/>
              </w:rPr>
              <w:t>UN Women, ILO</w:t>
            </w:r>
          </w:p>
          <w:p w14:paraId="1CF5ADF9"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7BD3F733" w14:textId="77777777" w:rsidTr="53E3C463">
        <w:trPr>
          <w:trHeight w:val="256"/>
        </w:trPr>
        <w:tc>
          <w:tcPr>
            <w:tcW w:w="4529" w:type="dxa"/>
            <w:vMerge/>
          </w:tcPr>
          <w:p w14:paraId="1E1A3892"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8F3EE" w14:textId="77777777" w:rsidR="003A41BE" w:rsidRPr="00485272" w:rsidRDefault="003A41BE" w:rsidP="00FD44CE">
            <w:pPr>
              <w:rPr>
                <w:rFonts w:cstheme="minorHAnsi"/>
                <w:sz w:val="22"/>
                <w:szCs w:val="22"/>
                <w:lang w:val="en-US"/>
              </w:rPr>
            </w:pPr>
            <w:r w:rsidRPr="00841766">
              <w:rPr>
                <w:rFonts w:cstheme="minorHAnsi"/>
                <w:b/>
                <w:sz w:val="22"/>
                <w:szCs w:val="22"/>
                <w:lang w:val="en-US"/>
              </w:rPr>
              <w:t>Indicator 5.3.2</w:t>
            </w:r>
            <w:r w:rsidRPr="00C818BA">
              <w:rPr>
                <w:rFonts w:cstheme="minorHAnsi"/>
                <w:b/>
                <w:sz w:val="22"/>
                <w:szCs w:val="22"/>
                <w:lang w:val="en-US"/>
              </w:rPr>
              <w:t xml:space="preserve">: </w:t>
            </w:r>
            <w:r w:rsidRPr="00DA2276">
              <w:rPr>
                <w:rFonts w:cstheme="minorHAnsi"/>
                <w:sz w:val="22"/>
                <w:szCs w:val="22"/>
                <w:lang w:val="en-US"/>
              </w:rPr>
              <w:t xml:space="preserve">Proportion of children under 5 years of age whose births have been registered with a civil authority, by age (and sex) (SDG </w:t>
            </w:r>
            <w:r>
              <w:rPr>
                <w:rFonts w:cstheme="minorHAnsi"/>
                <w:sz w:val="22"/>
                <w:szCs w:val="22"/>
                <w:lang w:val="en-US"/>
              </w:rPr>
              <w:t xml:space="preserve">indicator </w:t>
            </w:r>
            <w:r w:rsidRPr="00DA2276">
              <w:rPr>
                <w:rFonts w:cstheme="minorHAnsi"/>
                <w:sz w:val="22"/>
                <w:szCs w:val="22"/>
                <w:lang w:val="en-US"/>
              </w:rPr>
              <w:t>16.9.1)</w:t>
            </w:r>
            <w:r w:rsidRPr="00AA0E0B" w:rsidDel="00485272">
              <w:rPr>
                <w:rFonts w:cstheme="minorHAnsi"/>
                <w:bCs/>
                <w:strike/>
                <w:color w:val="FF0000"/>
                <w:sz w:val="22"/>
                <w:szCs w:val="22"/>
                <w:lang w:val="en-US"/>
              </w:rPr>
              <w:t xml:space="preserve"> </w:t>
            </w:r>
          </w:p>
          <w:tbl>
            <w:tblPr>
              <w:tblStyle w:val="TableGrid"/>
              <w:tblW w:w="0" w:type="auto"/>
              <w:tblLayout w:type="fixed"/>
              <w:tblLook w:val="04A0" w:firstRow="1" w:lastRow="0" w:firstColumn="1" w:lastColumn="0" w:noHBand="0" w:noVBand="1"/>
            </w:tblPr>
            <w:tblGrid>
              <w:gridCol w:w="1510"/>
              <w:gridCol w:w="1620"/>
            </w:tblGrid>
            <w:tr w:rsidR="003A41BE" w:rsidRPr="00DA2276" w14:paraId="6122DE1F" w14:textId="77777777" w:rsidTr="00FD44CE">
              <w:tc>
                <w:tcPr>
                  <w:tcW w:w="1510" w:type="dxa"/>
                </w:tcPr>
                <w:p w14:paraId="5FB2E8D2" w14:textId="77777777" w:rsidR="003A41BE" w:rsidRPr="003F4BC2" w:rsidRDefault="003A41BE" w:rsidP="002A37E3">
                  <w:pPr>
                    <w:framePr w:hSpace="141" w:wrap="around" w:vAnchor="text" w:hAnchor="text" w:x="421" w:y="1"/>
                    <w:suppressOverlap/>
                    <w:jc w:val="center"/>
                    <w:rPr>
                      <w:sz w:val="22"/>
                      <w:szCs w:val="22"/>
                      <w:lang w:val="en-US"/>
                    </w:rPr>
                  </w:pPr>
                  <w:r w:rsidRPr="003F4BC2">
                    <w:rPr>
                      <w:sz w:val="22"/>
                      <w:szCs w:val="22"/>
                      <w:lang w:val="en-US"/>
                    </w:rPr>
                    <w:t>Baseline</w:t>
                  </w:r>
                </w:p>
              </w:tc>
              <w:tc>
                <w:tcPr>
                  <w:tcW w:w="1620" w:type="dxa"/>
                </w:tcPr>
                <w:p w14:paraId="6D9AA7C3" w14:textId="77777777" w:rsidR="003A41BE" w:rsidRPr="003F4BC2" w:rsidRDefault="003A41BE" w:rsidP="002A37E3">
                  <w:pPr>
                    <w:framePr w:hSpace="141" w:wrap="around" w:vAnchor="text" w:hAnchor="text" w:x="421" w:y="1"/>
                    <w:suppressOverlap/>
                    <w:jc w:val="center"/>
                    <w:rPr>
                      <w:sz w:val="22"/>
                      <w:szCs w:val="22"/>
                      <w:lang w:val="en-US"/>
                    </w:rPr>
                  </w:pPr>
                  <w:r w:rsidRPr="003F4BC2">
                    <w:rPr>
                      <w:sz w:val="22"/>
                      <w:szCs w:val="22"/>
                      <w:lang w:val="en-US"/>
                    </w:rPr>
                    <w:t>Target</w:t>
                  </w:r>
                </w:p>
              </w:tc>
            </w:tr>
            <w:tr w:rsidR="003A41BE" w:rsidRPr="00DA2276" w14:paraId="728887CB" w14:textId="77777777" w:rsidTr="00FD44CE">
              <w:tc>
                <w:tcPr>
                  <w:tcW w:w="1510" w:type="dxa"/>
                </w:tcPr>
                <w:p w14:paraId="11B035E3"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60.4%</w:t>
                  </w:r>
                </w:p>
              </w:tc>
              <w:tc>
                <w:tcPr>
                  <w:tcW w:w="1620" w:type="dxa"/>
                </w:tcPr>
                <w:p w14:paraId="30100B26" w14:textId="77777777" w:rsidR="003A41BE" w:rsidRPr="00DA2276" w:rsidRDefault="003A41BE" w:rsidP="002A37E3">
                  <w:pPr>
                    <w:framePr w:hSpace="141" w:wrap="around" w:vAnchor="text" w:hAnchor="text" w:x="421" w:y="1"/>
                    <w:suppressOverlap/>
                    <w:jc w:val="center"/>
                    <w:rPr>
                      <w:bCs/>
                      <w:sz w:val="22"/>
                      <w:szCs w:val="22"/>
                      <w:lang w:val="en-US"/>
                    </w:rPr>
                  </w:pPr>
                  <w:r>
                    <w:rPr>
                      <w:sz w:val="22"/>
                      <w:szCs w:val="22"/>
                      <w:lang w:val="en-US"/>
                    </w:rPr>
                    <w:t>90 %</w:t>
                  </w:r>
                </w:p>
              </w:tc>
            </w:tr>
          </w:tbl>
          <w:p w14:paraId="7ACE7286" w14:textId="77777777" w:rsidR="003A41BE" w:rsidRDefault="003A41BE" w:rsidP="00FD44CE">
            <w:pPr>
              <w:rPr>
                <w:rFonts w:cstheme="minorHAnsi"/>
                <w:sz w:val="22"/>
                <w:szCs w:val="22"/>
                <w:lang w:val="en-US"/>
              </w:rPr>
            </w:pPr>
            <w:r>
              <w:rPr>
                <w:rFonts w:cstheme="minorHAnsi"/>
                <w:sz w:val="22"/>
                <w:szCs w:val="22"/>
                <w:lang w:val="en-US"/>
              </w:rPr>
              <w:t xml:space="preserve">Note. Children aged 0-4 with birth registered (percent) </w:t>
            </w:r>
          </w:p>
          <w:p w14:paraId="5D0C8194" w14:textId="77777777" w:rsidR="003A41BE" w:rsidRPr="00841766" w:rsidRDefault="003A41BE" w:rsidP="00FD44CE">
            <w:pPr>
              <w:rPr>
                <w:rFonts w:cstheme="minorHAnsi"/>
                <w:sz w:val="22"/>
                <w:szCs w:val="22"/>
                <w:lang w:val="en-US"/>
              </w:rPr>
            </w:pPr>
            <w:r>
              <w:rPr>
                <w:rFonts w:cstheme="minorHAnsi"/>
                <w:sz w:val="22"/>
                <w:szCs w:val="22"/>
                <w:lang w:val="en-US"/>
              </w:rPr>
              <w:t>Data Source: Census 2015</w:t>
            </w:r>
          </w:p>
          <w:p w14:paraId="43D3F131" w14:textId="77777777" w:rsidR="003A41BE" w:rsidRPr="00841766" w:rsidRDefault="003A41BE" w:rsidP="00FD44CE">
            <w:pPr>
              <w:autoSpaceDE w:val="0"/>
              <w:autoSpaceDN w:val="0"/>
              <w:adjustRightInd w:val="0"/>
              <w:rPr>
                <w:rFonts w:cstheme="minorHAnsi"/>
                <w:b/>
                <w:sz w:val="22"/>
                <w:szCs w:val="22"/>
                <w:lang w:val="en-US"/>
              </w:rPr>
            </w:pPr>
          </w:p>
        </w:tc>
        <w:tc>
          <w:tcPr>
            <w:tcW w:w="4116" w:type="dxa"/>
            <w:vMerge/>
          </w:tcPr>
          <w:p w14:paraId="34D8CA41"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72F180CD" w14:textId="77777777" w:rsidTr="53E3C463">
        <w:trPr>
          <w:trHeight w:val="256"/>
        </w:trPr>
        <w:tc>
          <w:tcPr>
            <w:tcW w:w="4529" w:type="dxa"/>
            <w:vMerge w:val="restart"/>
            <w:tcBorders>
              <w:top w:val="single" w:sz="4" w:space="0" w:color="auto"/>
              <w:left w:val="single" w:sz="4" w:space="0" w:color="auto"/>
              <w:right w:val="single" w:sz="4" w:space="0" w:color="auto"/>
            </w:tcBorders>
            <w:shd w:val="clear" w:color="auto" w:fill="8EAADB" w:themeFill="accent1" w:themeFillTint="99"/>
          </w:tcPr>
          <w:p w14:paraId="0DBF6CB2" w14:textId="77777777" w:rsidR="003A41BE" w:rsidRPr="00841766" w:rsidRDefault="003A41BE" w:rsidP="00FD44CE">
            <w:pPr>
              <w:jc w:val="both"/>
              <w:rPr>
                <w:rFonts w:cstheme="minorHAnsi"/>
                <w:b/>
                <w:color w:val="000000" w:themeColor="text1"/>
                <w:sz w:val="22"/>
                <w:szCs w:val="22"/>
                <w:lang w:val="en-US"/>
              </w:rPr>
            </w:pPr>
            <w:r>
              <w:rPr>
                <w:rFonts w:cstheme="minorHAnsi"/>
                <w:b/>
                <w:color w:val="000000" w:themeColor="text1"/>
                <w:sz w:val="22"/>
                <w:szCs w:val="22"/>
                <w:lang w:val="en-US"/>
              </w:rPr>
              <w:t>Sub-</w:t>
            </w:r>
            <w:r w:rsidRPr="00841766">
              <w:rPr>
                <w:rFonts w:cstheme="minorHAnsi"/>
                <w:b/>
                <w:color w:val="000000" w:themeColor="text1"/>
                <w:sz w:val="22"/>
                <w:szCs w:val="22"/>
                <w:lang w:val="en-US"/>
              </w:rPr>
              <w:t>Outcome 5.4:</w:t>
            </w:r>
          </w:p>
          <w:p w14:paraId="03B9A43C" w14:textId="77777777" w:rsidR="003A41BE" w:rsidRPr="00841766" w:rsidRDefault="003A41BE" w:rsidP="00FD44CE">
            <w:pPr>
              <w:jc w:val="both"/>
              <w:rPr>
                <w:rFonts w:cstheme="minorHAnsi"/>
                <w:color w:val="000000" w:themeColor="text1"/>
                <w:sz w:val="22"/>
                <w:szCs w:val="22"/>
                <w:lang w:val="en-US"/>
              </w:rPr>
            </w:pPr>
          </w:p>
          <w:p w14:paraId="03DE54C9" w14:textId="7CA91CBD" w:rsidR="003A41BE" w:rsidRPr="003F4BC2" w:rsidRDefault="003A41BE" w:rsidP="00FD44CE">
            <w:pPr>
              <w:rPr>
                <w:rFonts w:cstheme="minorHAnsi"/>
                <w:b/>
                <w:bCs/>
                <w:color w:val="000000"/>
                <w:sz w:val="22"/>
                <w:szCs w:val="22"/>
                <w:lang w:val="en-US"/>
              </w:rPr>
            </w:pPr>
            <w:r w:rsidRPr="003F4BC2">
              <w:rPr>
                <w:rFonts w:cstheme="minorHAnsi"/>
                <w:b/>
                <w:bCs/>
                <w:color w:val="000000"/>
                <w:sz w:val="22"/>
                <w:szCs w:val="22"/>
                <w:lang w:val="en-US"/>
              </w:rPr>
              <w:t xml:space="preserve">Elimination of </w:t>
            </w:r>
            <w:r w:rsidR="00B44140">
              <w:rPr>
                <w:rFonts w:cstheme="minorHAnsi"/>
                <w:b/>
                <w:bCs/>
                <w:color w:val="000000"/>
                <w:sz w:val="22"/>
                <w:szCs w:val="22"/>
                <w:lang w:val="en-US"/>
              </w:rPr>
              <w:t>g</w:t>
            </w:r>
            <w:r w:rsidR="00B44140" w:rsidRPr="003F4BC2">
              <w:rPr>
                <w:rFonts w:cstheme="minorHAnsi"/>
                <w:b/>
                <w:bCs/>
                <w:color w:val="000000"/>
                <w:sz w:val="22"/>
                <w:szCs w:val="22"/>
                <w:lang w:val="en-US"/>
              </w:rPr>
              <w:t>ender</w:t>
            </w:r>
            <w:r w:rsidRPr="003F4BC2">
              <w:rPr>
                <w:rFonts w:cstheme="minorHAnsi"/>
                <w:b/>
                <w:bCs/>
                <w:color w:val="000000"/>
                <w:sz w:val="22"/>
                <w:szCs w:val="22"/>
                <w:lang w:val="en-US"/>
              </w:rPr>
              <w:t>-</w:t>
            </w:r>
            <w:r w:rsidR="00B44140">
              <w:rPr>
                <w:rFonts w:cstheme="minorHAnsi"/>
                <w:b/>
                <w:bCs/>
                <w:color w:val="000000"/>
                <w:sz w:val="22"/>
                <w:szCs w:val="22"/>
                <w:lang w:val="en-US"/>
              </w:rPr>
              <w:t>b</w:t>
            </w:r>
            <w:r w:rsidR="00B44140" w:rsidRPr="003F4BC2">
              <w:rPr>
                <w:rFonts w:cstheme="minorHAnsi"/>
                <w:b/>
                <w:bCs/>
                <w:color w:val="000000"/>
                <w:sz w:val="22"/>
                <w:szCs w:val="22"/>
                <w:lang w:val="en-US"/>
              </w:rPr>
              <w:t xml:space="preserve">ased </w:t>
            </w:r>
            <w:r w:rsidR="00B44140">
              <w:rPr>
                <w:rFonts w:cstheme="minorHAnsi"/>
                <w:b/>
                <w:bCs/>
                <w:color w:val="000000"/>
                <w:sz w:val="22"/>
                <w:szCs w:val="22"/>
                <w:lang w:val="en-US"/>
              </w:rPr>
              <w:t>v</w:t>
            </w:r>
            <w:r w:rsidR="00B44140" w:rsidRPr="003F4BC2">
              <w:rPr>
                <w:rFonts w:cstheme="minorHAnsi"/>
                <w:b/>
                <w:bCs/>
                <w:color w:val="000000"/>
                <w:sz w:val="22"/>
                <w:szCs w:val="22"/>
                <w:lang w:val="en-US"/>
              </w:rPr>
              <w:t xml:space="preserve">iolence </w:t>
            </w:r>
            <w:r w:rsidRPr="003F4BC2">
              <w:rPr>
                <w:rFonts w:cstheme="minorHAnsi"/>
                <w:b/>
                <w:bCs/>
                <w:color w:val="000000"/>
                <w:sz w:val="22"/>
                <w:szCs w:val="22"/>
                <w:lang w:val="en-US"/>
              </w:rPr>
              <w:t>and violence against children</w:t>
            </w:r>
          </w:p>
          <w:p w14:paraId="03676556" w14:textId="77777777" w:rsidR="003A41BE" w:rsidRPr="00841766" w:rsidRDefault="003A41BE" w:rsidP="00FD44CE">
            <w:pPr>
              <w:jc w:val="both"/>
              <w:rPr>
                <w:rFonts w:cstheme="minorHAnsi"/>
                <w:color w:val="000000" w:themeColor="text1"/>
                <w:sz w:val="22"/>
                <w:szCs w:val="22"/>
                <w:lang w:val="en-US"/>
              </w:rPr>
            </w:pPr>
            <w:r w:rsidRPr="00841766">
              <w:rPr>
                <w:rFonts w:cstheme="minorHAnsi"/>
                <w:color w:val="000000" w:themeColor="text1"/>
                <w:sz w:val="22"/>
                <w:szCs w:val="22"/>
                <w:lang w:val="en-US"/>
              </w:rPr>
              <w:t>By 2025, people of Timor-Leste benefit from evidence-based and survivor-centered approaches to prevent and respond to gender-</w:t>
            </w:r>
            <w:r w:rsidRPr="00841766">
              <w:rPr>
                <w:rFonts w:cstheme="minorHAnsi"/>
                <w:color w:val="000000" w:themeColor="text1"/>
                <w:sz w:val="22"/>
                <w:szCs w:val="22"/>
                <w:lang w:val="en-US"/>
              </w:rPr>
              <w:lastRenderedPageBreak/>
              <w:t xml:space="preserve">based violence and violence against children, including in public spaces. </w:t>
            </w:r>
          </w:p>
          <w:p w14:paraId="30A73E34" w14:textId="77777777" w:rsidR="003A41BE" w:rsidRPr="00841766" w:rsidRDefault="003A41BE" w:rsidP="00FD44CE">
            <w:pPr>
              <w:jc w:val="both"/>
              <w:rPr>
                <w:rFonts w:cstheme="minorHAnsi"/>
                <w:color w:val="000000" w:themeColor="text1"/>
                <w:sz w:val="22"/>
                <w:szCs w:val="22"/>
                <w:lang w:val="en-US"/>
              </w:rPr>
            </w:pPr>
          </w:p>
          <w:p w14:paraId="1B0A1FF1" w14:textId="77777777" w:rsidR="003A41BE" w:rsidRPr="00841766" w:rsidRDefault="003A41BE" w:rsidP="00FD44CE">
            <w:pPr>
              <w:jc w:val="both"/>
              <w:rPr>
                <w:rFonts w:cstheme="minorHAnsi"/>
                <w:color w:val="000000" w:themeColor="text1"/>
                <w:sz w:val="22"/>
                <w:szCs w:val="22"/>
                <w:lang w:val="en-US"/>
              </w:rPr>
            </w:pPr>
          </w:p>
          <w:p w14:paraId="6E782C3A" w14:textId="77777777" w:rsidR="003A41BE" w:rsidRPr="00841766" w:rsidRDefault="003A41BE" w:rsidP="00FD44CE">
            <w:pPr>
              <w:jc w:val="both"/>
              <w:rPr>
                <w:rFonts w:cstheme="minorHAnsi"/>
                <w:color w:val="000000" w:themeColor="text1"/>
                <w:sz w:val="22"/>
                <w:szCs w:val="22"/>
                <w:lang w:val="en-US"/>
              </w:rPr>
            </w:pPr>
          </w:p>
          <w:p w14:paraId="13459872" w14:textId="77777777" w:rsidR="003A41BE" w:rsidRPr="00841766" w:rsidRDefault="003A41BE" w:rsidP="00FD44CE">
            <w:pPr>
              <w:jc w:val="both"/>
              <w:rPr>
                <w:rFonts w:cstheme="minorHAnsi"/>
                <w:color w:val="000000" w:themeColor="text1"/>
                <w:sz w:val="22"/>
                <w:szCs w:val="22"/>
                <w:lang w:val="en-US"/>
              </w:rPr>
            </w:pPr>
          </w:p>
          <w:p w14:paraId="6FF60C20" w14:textId="77777777" w:rsidR="003A41BE" w:rsidRPr="00841766" w:rsidRDefault="003A41BE" w:rsidP="00FD44CE">
            <w:pPr>
              <w:tabs>
                <w:tab w:val="num" w:pos="381"/>
              </w:tabs>
              <w:ind w:right="-3"/>
              <w:jc w:val="both"/>
              <w:rPr>
                <w:rFonts w:cstheme="minorHAnsi"/>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C291A" w14:textId="77777777" w:rsidR="003A41BE" w:rsidRPr="003F4BC2" w:rsidRDefault="003A41BE" w:rsidP="00FD44CE">
            <w:pPr>
              <w:rPr>
                <w:rFonts w:cstheme="minorHAnsi"/>
                <w:sz w:val="22"/>
                <w:szCs w:val="22"/>
                <w:lang w:val="en-US"/>
              </w:rPr>
            </w:pPr>
            <w:r w:rsidRPr="003F4BC2">
              <w:rPr>
                <w:rFonts w:cstheme="minorHAnsi"/>
                <w:b/>
                <w:sz w:val="22"/>
                <w:szCs w:val="22"/>
                <w:lang w:val="en-US"/>
              </w:rPr>
              <w:lastRenderedPageBreak/>
              <w:t xml:space="preserve">Indicator 5.4.1: </w:t>
            </w:r>
            <w:r w:rsidRPr="003F4BC2">
              <w:rPr>
                <w:rFonts w:cstheme="minorHAnsi"/>
                <w:sz w:val="22"/>
                <w:szCs w:val="22"/>
                <w:lang w:val="en-US"/>
              </w:rPr>
              <w:t xml:space="preserve">Percentage of </w:t>
            </w:r>
            <w:r>
              <w:rPr>
                <w:rFonts w:cstheme="minorHAnsi"/>
                <w:sz w:val="22"/>
                <w:szCs w:val="22"/>
                <w:lang w:val="en-US"/>
              </w:rPr>
              <w:t>population</w:t>
            </w:r>
            <w:r w:rsidRPr="003F4BC2">
              <w:rPr>
                <w:rFonts w:cstheme="minorHAnsi"/>
                <w:sz w:val="22"/>
                <w:szCs w:val="22"/>
                <w:lang w:val="en-US"/>
              </w:rPr>
              <w:t xml:space="preserve"> who think it is justifiable for a man to subject his wife/intimate partner to violence, by age and sex</w:t>
            </w:r>
          </w:p>
          <w:tbl>
            <w:tblPr>
              <w:tblStyle w:val="TableGrid"/>
              <w:tblW w:w="0" w:type="auto"/>
              <w:tblLayout w:type="fixed"/>
              <w:tblLook w:val="04A0" w:firstRow="1" w:lastRow="0" w:firstColumn="1" w:lastColumn="0" w:noHBand="0" w:noVBand="1"/>
            </w:tblPr>
            <w:tblGrid>
              <w:gridCol w:w="2009"/>
              <w:gridCol w:w="1510"/>
              <w:gridCol w:w="2000"/>
            </w:tblGrid>
            <w:tr w:rsidR="003A41BE" w14:paraId="17A56C0D" w14:textId="77777777" w:rsidTr="00FD44CE">
              <w:tc>
                <w:tcPr>
                  <w:tcW w:w="2009" w:type="dxa"/>
                </w:tcPr>
                <w:p w14:paraId="18019F7E" w14:textId="77777777" w:rsidR="003A41BE" w:rsidRDefault="003A41BE" w:rsidP="002A37E3">
                  <w:pPr>
                    <w:framePr w:hSpace="141" w:wrap="around" w:vAnchor="text" w:hAnchor="text" w:x="421" w:y="1"/>
                    <w:suppressOverlap/>
                    <w:jc w:val="center"/>
                    <w:rPr>
                      <w:sz w:val="22"/>
                      <w:szCs w:val="22"/>
                      <w:lang w:val="en-US"/>
                    </w:rPr>
                  </w:pPr>
                </w:p>
              </w:tc>
              <w:tc>
                <w:tcPr>
                  <w:tcW w:w="1510" w:type="dxa"/>
                </w:tcPr>
                <w:p w14:paraId="11505E79"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2000" w:type="dxa"/>
                </w:tcPr>
                <w:p w14:paraId="5344F630"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6559F350" w14:textId="77777777" w:rsidTr="00FD44CE">
              <w:tc>
                <w:tcPr>
                  <w:tcW w:w="2009" w:type="dxa"/>
                </w:tcPr>
                <w:p w14:paraId="402EF5AE"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Female</w:t>
                  </w:r>
                </w:p>
              </w:tc>
              <w:tc>
                <w:tcPr>
                  <w:tcW w:w="1510" w:type="dxa"/>
                </w:tcPr>
                <w:p w14:paraId="6493EE93"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74%</w:t>
                  </w:r>
                </w:p>
              </w:tc>
              <w:tc>
                <w:tcPr>
                  <w:tcW w:w="2000" w:type="dxa"/>
                  <w:vMerge w:val="restart"/>
                </w:tcPr>
                <w:p w14:paraId="1A34597E" w14:textId="77777777" w:rsidR="003A41BE" w:rsidRPr="003F4BC2" w:rsidRDefault="003A41BE" w:rsidP="002A37E3">
                  <w:pPr>
                    <w:framePr w:hSpace="141" w:wrap="around" w:vAnchor="text" w:hAnchor="text" w:x="421" w:y="1"/>
                    <w:suppressOverlap/>
                    <w:jc w:val="center"/>
                    <w:rPr>
                      <w:bCs/>
                      <w:sz w:val="22"/>
                      <w:szCs w:val="22"/>
                      <w:highlight w:val="yellow"/>
                      <w:lang w:val="en-US"/>
                    </w:rPr>
                  </w:pPr>
                  <w:r>
                    <w:rPr>
                      <w:sz w:val="22"/>
                      <w:szCs w:val="22"/>
                      <w:lang w:val="en-US"/>
                    </w:rPr>
                    <w:t>Under discussion with relevant partners</w:t>
                  </w:r>
                </w:p>
              </w:tc>
            </w:tr>
            <w:tr w:rsidR="003A41BE" w:rsidRPr="00DA2276" w14:paraId="160218AD" w14:textId="77777777" w:rsidTr="00FD44CE">
              <w:tc>
                <w:tcPr>
                  <w:tcW w:w="2009" w:type="dxa"/>
                </w:tcPr>
                <w:p w14:paraId="46D83B46"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Men</w:t>
                  </w:r>
                </w:p>
              </w:tc>
              <w:tc>
                <w:tcPr>
                  <w:tcW w:w="1510" w:type="dxa"/>
                </w:tcPr>
                <w:p w14:paraId="7066C5E4"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53%</w:t>
                  </w:r>
                </w:p>
              </w:tc>
              <w:tc>
                <w:tcPr>
                  <w:tcW w:w="2000" w:type="dxa"/>
                  <w:vMerge/>
                </w:tcPr>
                <w:p w14:paraId="31C2B763" w14:textId="77777777" w:rsidR="003A41BE" w:rsidRPr="003F4BC2" w:rsidRDefault="003A41BE" w:rsidP="002A37E3">
                  <w:pPr>
                    <w:framePr w:hSpace="141" w:wrap="around" w:vAnchor="text" w:hAnchor="text" w:x="421" w:y="1"/>
                    <w:suppressOverlap/>
                    <w:jc w:val="center"/>
                    <w:rPr>
                      <w:rFonts w:cstheme="minorHAnsi"/>
                      <w:bCs/>
                      <w:sz w:val="22"/>
                      <w:szCs w:val="22"/>
                      <w:highlight w:val="yellow"/>
                      <w:lang w:val="en-US"/>
                    </w:rPr>
                  </w:pPr>
                </w:p>
              </w:tc>
            </w:tr>
          </w:tbl>
          <w:p w14:paraId="697951CD" w14:textId="77777777" w:rsidR="003A41BE" w:rsidRDefault="003A41BE" w:rsidP="00FD44CE">
            <w:pPr>
              <w:autoSpaceDE w:val="0"/>
              <w:autoSpaceDN w:val="0"/>
              <w:adjustRightInd w:val="0"/>
              <w:rPr>
                <w:rFonts w:cstheme="minorHAnsi"/>
                <w:bCs/>
                <w:sz w:val="22"/>
                <w:szCs w:val="22"/>
                <w:lang w:val="en-US"/>
              </w:rPr>
            </w:pPr>
            <w:r>
              <w:rPr>
                <w:rFonts w:cstheme="minorHAnsi"/>
                <w:bCs/>
                <w:sz w:val="22"/>
                <w:szCs w:val="22"/>
                <w:lang w:val="en-US"/>
              </w:rPr>
              <w:t xml:space="preserve">Note. Age 15-49 </w:t>
            </w:r>
          </w:p>
          <w:p w14:paraId="6E442513" w14:textId="77777777" w:rsidR="003A41BE" w:rsidRPr="00841766" w:rsidRDefault="003A41BE" w:rsidP="00FD44CE">
            <w:pPr>
              <w:autoSpaceDE w:val="0"/>
              <w:autoSpaceDN w:val="0"/>
              <w:adjustRightInd w:val="0"/>
              <w:rPr>
                <w:rFonts w:cstheme="minorHAnsi"/>
                <w:b/>
                <w:sz w:val="22"/>
                <w:szCs w:val="22"/>
                <w:lang w:val="en-US"/>
              </w:rPr>
            </w:pPr>
            <w:r w:rsidRPr="003F4BC2">
              <w:rPr>
                <w:rFonts w:cstheme="minorHAnsi"/>
                <w:bCs/>
                <w:sz w:val="22"/>
                <w:szCs w:val="22"/>
                <w:lang w:val="en-US"/>
              </w:rPr>
              <w:lastRenderedPageBreak/>
              <w:t xml:space="preserve">Data Source: </w:t>
            </w:r>
            <w:r w:rsidRPr="00715FF4">
              <w:rPr>
                <w:rFonts w:cstheme="minorHAnsi"/>
                <w:bCs/>
                <w:sz w:val="22"/>
                <w:szCs w:val="22"/>
                <w:lang w:val="en-US"/>
              </w:rPr>
              <w:t>DHS 2016</w:t>
            </w:r>
          </w:p>
          <w:p w14:paraId="474F308E" w14:textId="77777777" w:rsidR="003A41BE" w:rsidRPr="00841766" w:rsidRDefault="003A41BE" w:rsidP="00FD44CE">
            <w:pPr>
              <w:autoSpaceDE w:val="0"/>
              <w:autoSpaceDN w:val="0"/>
              <w:adjustRightInd w:val="0"/>
              <w:rPr>
                <w:rFonts w:cstheme="minorHAnsi"/>
                <w:b/>
                <w:sz w:val="22"/>
                <w:szCs w:val="22"/>
                <w:highlight w:val="yellow"/>
                <w:lang w:val="en-US"/>
              </w:rPr>
            </w:pPr>
          </w:p>
        </w:tc>
        <w:tc>
          <w:tcPr>
            <w:tcW w:w="4116" w:type="dxa"/>
            <w:vMerge w:val="restart"/>
            <w:tcBorders>
              <w:top w:val="single" w:sz="4" w:space="0" w:color="auto"/>
              <w:left w:val="single" w:sz="4" w:space="0" w:color="auto"/>
              <w:right w:val="single" w:sz="4" w:space="0" w:color="auto"/>
            </w:tcBorders>
          </w:tcPr>
          <w:p w14:paraId="44068BBB"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lastRenderedPageBreak/>
              <w:t>Secretary of State for Equality and Inclusion</w:t>
            </w:r>
          </w:p>
          <w:p w14:paraId="4A2B5E19"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Secretary of State for Youth and Sports Ministry of Education</w:t>
            </w:r>
          </w:p>
          <w:p w14:paraId="7CC5C4C3"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Ministry of Social Solidarity</w:t>
            </w:r>
          </w:p>
          <w:p w14:paraId="4A1A6B52"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National Police of Timor-Leste</w:t>
            </w:r>
          </w:p>
          <w:p w14:paraId="7293F3A4"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 xml:space="preserve">Ministry of Justice </w:t>
            </w:r>
          </w:p>
          <w:p w14:paraId="30F6C607" w14:textId="77777777" w:rsidR="003A41BE" w:rsidRDefault="003A41BE" w:rsidP="00FD44CE">
            <w:pPr>
              <w:autoSpaceDE w:val="0"/>
              <w:autoSpaceDN w:val="0"/>
              <w:adjustRightInd w:val="0"/>
              <w:rPr>
                <w:rFonts w:cstheme="minorHAnsi"/>
                <w:sz w:val="22"/>
                <w:szCs w:val="22"/>
                <w:lang w:val="en-US"/>
              </w:rPr>
            </w:pPr>
          </w:p>
          <w:p w14:paraId="0617C04E" w14:textId="77777777" w:rsidR="003A41BE"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lastRenderedPageBreak/>
              <w:t>UNDP</w:t>
            </w:r>
            <w:r>
              <w:rPr>
                <w:rFonts w:cstheme="minorHAnsi"/>
                <w:sz w:val="22"/>
                <w:szCs w:val="22"/>
                <w:lang w:val="en-US"/>
              </w:rPr>
              <w:t>,</w:t>
            </w:r>
            <w:r w:rsidRPr="00841766">
              <w:rPr>
                <w:rFonts w:cstheme="minorHAnsi"/>
                <w:sz w:val="22"/>
                <w:szCs w:val="22"/>
                <w:lang w:val="en-US"/>
              </w:rPr>
              <w:t xml:space="preserve"> UNFPA</w:t>
            </w:r>
            <w:r>
              <w:rPr>
                <w:rFonts w:cstheme="minorHAnsi"/>
                <w:sz w:val="22"/>
                <w:szCs w:val="22"/>
                <w:lang w:val="en-US"/>
              </w:rPr>
              <w:t>,</w:t>
            </w:r>
            <w:r w:rsidRPr="00841766">
              <w:rPr>
                <w:rFonts w:cstheme="minorHAnsi"/>
                <w:sz w:val="22"/>
                <w:szCs w:val="22"/>
                <w:lang w:val="en-US"/>
              </w:rPr>
              <w:t xml:space="preserve"> </w:t>
            </w:r>
            <w:r>
              <w:rPr>
                <w:rFonts w:cstheme="minorHAnsi"/>
                <w:sz w:val="22"/>
                <w:szCs w:val="22"/>
                <w:lang w:val="en-US"/>
              </w:rPr>
              <w:t xml:space="preserve">UNICEF, </w:t>
            </w:r>
            <w:r w:rsidRPr="00841766">
              <w:rPr>
                <w:rFonts w:cstheme="minorHAnsi"/>
                <w:sz w:val="22"/>
                <w:szCs w:val="22"/>
                <w:lang w:val="en-US"/>
              </w:rPr>
              <w:t>UN Women</w:t>
            </w:r>
            <w:r>
              <w:rPr>
                <w:rFonts w:cstheme="minorHAnsi"/>
                <w:sz w:val="22"/>
                <w:szCs w:val="22"/>
                <w:lang w:val="en-US"/>
              </w:rPr>
              <w:t>,</w:t>
            </w:r>
            <w:r w:rsidRPr="00841766">
              <w:rPr>
                <w:rFonts w:cstheme="minorHAnsi"/>
                <w:sz w:val="22"/>
                <w:szCs w:val="22"/>
                <w:lang w:val="en-US"/>
              </w:rPr>
              <w:t xml:space="preserve"> ILO, IOM</w:t>
            </w:r>
          </w:p>
          <w:p w14:paraId="583927EE" w14:textId="77777777" w:rsidR="003A41BE" w:rsidRPr="00841766" w:rsidRDefault="003A41BE" w:rsidP="00FD44CE">
            <w:pPr>
              <w:autoSpaceDE w:val="0"/>
              <w:autoSpaceDN w:val="0"/>
              <w:adjustRightInd w:val="0"/>
              <w:rPr>
                <w:rFonts w:cstheme="minorHAnsi"/>
                <w:sz w:val="22"/>
                <w:szCs w:val="22"/>
                <w:lang w:val="en-US"/>
              </w:rPr>
            </w:pPr>
          </w:p>
          <w:p w14:paraId="23BDCD20"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sz w:val="22"/>
                <w:szCs w:val="22"/>
                <w:lang w:val="en-US"/>
              </w:rPr>
              <w:t>Civil society organizations</w:t>
            </w:r>
            <w:r>
              <w:rPr>
                <w:rFonts w:cstheme="minorHAnsi"/>
                <w:sz w:val="22"/>
                <w:szCs w:val="22"/>
                <w:lang w:val="en-US"/>
              </w:rPr>
              <w:t xml:space="preserve">, </w:t>
            </w:r>
            <w:r w:rsidRPr="00841766">
              <w:rPr>
                <w:rFonts w:cstheme="minorHAnsi"/>
                <w:sz w:val="22"/>
                <w:szCs w:val="22"/>
                <w:lang w:val="en-US"/>
              </w:rPr>
              <w:t xml:space="preserve">Rede </w:t>
            </w:r>
            <w:proofErr w:type="spellStart"/>
            <w:r w:rsidRPr="00841766">
              <w:rPr>
                <w:rFonts w:cstheme="minorHAnsi"/>
                <w:sz w:val="22"/>
                <w:szCs w:val="22"/>
                <w:lang w:val="en-US"/>
              </w:rPr>
              <w:t>Feto</w:t>
            </w:r>
            <w:proofErr w:type="spellEnd"/>
            <w:r w:rsidRPr="00841766">
              <w:rPr>
                <w:rFonts w:cstheme="minorHAnsi"/>
                <w:sz w:val="22"/>
                <w:szCs w:val="22"/>
                <w:lang w:val="en-US"/>
              </w:rPr>
              <w:t xml:space="preserve">, </w:t>
            </w:r>
            <w:proofErr w:type="spellStart"/>
            <w:r w:rsidRPr="00841766">
              <w:rPr>
                <w:rFonts w:cstheme="minorHAnsi"/>
                <w:sz w:val="22"/>
                <w:szCs w:val="22"/>
                <w:lang w:val="en-US"/>
              </w:rPr>
              <w:t>Alfela</w:t>
            </w:r>
            <w:proofErr w:type="spellEnd"/>
            <w:r w:rsidRPr="00841766">
              <w:rPr>
                <w:rFonts w:cstheme="minorHAnsi"/>
                <w:sz w:val="22"/>
                <w:szCs w:val="22"/>
                <w:lang w:val="en-US"/>
              </w:rPr>
              <w:t xml:space="preserve">, </w:t>
            </w:r>
            <w:proofErr w:type="spellStart"/>
            <w:r w:rsidRPr="00841766">
              <w:rPr>
                <w:rFonts w:cstheme="minorHAnsi"/>
                <w:sz w:val="22"/>
                <w:szCs w:val="22"/>
                <w:lang w:val="en-US"/>
              </w:rPr>
              <w:t>Alola</w:t>
            </w:r>
            <w:proofErr w:type="spellEnd"/>
            <w:r w:rsidRPr="00841766">
              <w:rPr>
                <w:rFonts w:cstheme="minorHAnsi"/>
                <w:sz w:val="22"/>
                <w:szCs w:val="22"/>
                <w:lang w:val="en-US"/>
              </w:rPr>
              <w:t xml:space="preserve"> Foundation, </w:t>
            </w:r>
            <w:proofErr w:type="spellStart"/>
            <w:r w:rsidRPr="00841766">
              <w:rPr>
                <w:rFonts w:cstheme="minorHAnsi"/>
                <w:sz w:val="22"/>
                <w:szCs w:val="22"/>
                <w:lang w:val="en-US"/>
              </w:rPr>
              <w:t>Fokupers</w:t>
            </w:r>
            <w:proofErr w:type="spellEnd"/>
            <w:r w:rsidRPr="00841766">
              <w:rPr>
                <w:rFonts w:cstheme="minorHAnsi"/>
                <w:sz w:val="22"/>
                <w:szCs w:val="22"/>
                <w:lang w:val="en-US"/>
              </w:rPr>
              <w:t xml:space="preserve">, </w:t>
            </w:r>
            <w:proofErr w:type="spellStart"/>
            <w:r w:rsidRPr="00841766">
              <w:rPr>
                <w:rFonts w:cstheme="minorHAnsi"/>
                <w:sz w:val="22"/>
                <w:szCs w:val="22"/>
                <w:lang w:val="en-US"/>
              </w:rPr>
              <w:t>Pradet</w:t>
            </w:r>
            <w:proofErr w:type="spellEnd"/>
            <w:r w:rsidRPr="00841766">
              <w:rPr>
                <w:rFonts w:cstheme="minorHAnsi"/>
                <w:sz w:val="22"/>
                <w:szCs w:val="22"/>
                <w:lang w:val="en-US"/>
              </w:rPr>
              <w:t>, Casa Vida, etc.</w:t>
            </w:r>
          </w:p>
          <w:p w14:paraId="4372FB2C" w14:textId="77777777" w:rsidR="003A41BE" w:rsidRPr="00841766" w:rsidRDefault="003A41BE" w:rsidP="00FD44CE">
            <w:pPr>
              <w:autoSpaceDE w:val="0"/>
              <w:autoSpaceDN w:val="0"/>
              <w:adjustRightInd w:val="0"/>
              <w:rPr>
                <w:rFonts w:cstheme="minorHAnsi"/>
                <w:sz w:val="22"/>
                <w:szCs w:val="22"/>
                <w:lang w:val="en-US"/>
              </w:rPr>
            </w:pPr>
          </w:p>
          <w:p w14:paraId="2D1AA9D1"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4B5FA217" w14:textId="77777777" w:rsidTr="53E3C463">
        <w:trPr>
          <w:trHeight w:val="256"/>
        </w:trPr>
        <w:tc>
          <w:tcPr>
            <w:tcW w:w="4529" w:type="dxa"/>
            <w:vMerge/>
          </w:tcPr>
          <w:p w14:paraId="35E73C6C"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5D022" w14:textId="77777777" w:rsidR="003A41BE" w:rsidRPr="003F4BC2" w:rsidRDefault="003A41BE" w:rsidP="00FD44CE">
            <w:pPr>
              <w:rPr>
                <w:rFonts w:cstheme="minorHAnsi"/>
                <w:sz w:val="22"/>
                <w:szCs w:val="22"/>
                <w:lang w:val="en-US"/>
              </w:rPr>
            </w:pPr>
            <w:r w:rsidRPr="003F4BC2">
              <w:rPr>
                <w:rFonts w:cstheme="minorHAnsi"/>
                <w:b/>
                <w:sz w:val="22"/>
                <w:szCs w:val="22"/>
                <w:lang w:val="en-US"/>
              </w:rPr>
              <w:t xml:space="preserve">Indicator 5.4.2: </w:t>
            </w:r>
            <w:r w:rsidRPr="003F4BC2">
              <w:rPr>
                <w:rFonts w:cstheme="minorHAnsi"/>
                <w:sz w:val="22"/>
                <w:szCs w:val="22"/>
                <w:lang w:val="en-US"/>
              </w:rPr>
              <w:t>Proportion of women, including those facing intersecting and multiple forms of discrimination, who report experiencing physical or sexual violence who seek help, by sector</w:t>
            </w:r>
          </w:p>
          <w:tbl>
            <w:tblPr>
              <w:tblStyle w:val="TableGrid"/>
              <w:tblW w:w="0" w:type="auto"/>
              <w:tblLayout w:type="fixed"/>
              <w:tblLook w:val="04A0" w:firstRow="1" w:lastRow="0" w:firstColumn="1" w:lastColumn="0" w:noHBand="0" w:noVBand="1"/>
            </w:tblPr>
            <w:tblGrid>
              <w:gridCol w:w="1510"/>
              <w:gridCol w:w="2299"/>
            </w:tblGrid>
            <w:tr w:rsidR="003A41BE" w14:paraId="1CBDA698" w14:textId="77777777" w:rsidTr="00FD44CE">
              <w:tc>
                <w:tcPr>
                  <w:tcW w:w="1510" w:type="dxa"/>
                </w:tcPr>
                <w:p w14:paraId="110E541D"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Baseline</w:t>
                  </w:r>
                </w:p>
              </w:tc>
              <w:tc>
                <w:tcPr>
                  <w:tcW w:w="2299" w:type="dxa"/>
                </w:tcPr>
                <w:p w14:paraId="6DBD9302" w14:textId="77777777" w:rsidR="003A41BE" w:rsidRDefault="003A41BE" w:rsidP="002A37E3">
                  <w:pPr>
                    <w:framePr w:hSpace="141" w:wrap="around" w:vAnchor="text" w:hAnchor="text" w:x="421" w:y="1"/>
                    <w:suppressOverlap/>
                    <w:jc w:val="center"/>
                    <w:rPr>
                      <w:sz w:val="22"/>
                      <w:szCs w:val="22"/>
                      <w:lang w:val="en-US"/>
                    </w:rPr>
                  </w:pPr>
                  <w:r>
                    <w:rPr>
                      <w:sz w:val="22"/>
                      <w:szCs w:val="22"/>
                      <w:lang w:val="en-US"/>
                    </w:rPr>
                    <w:t>Target</w:t>
                  </w:r>
                </w:p>
              </w:tc>
            </w:tr>
            <w:tr w:rsidR="003A41BE" w:rsidRPr="00DA2276" w14:paraId="32D4550C" w14:textId="77777777" w:rsidTr="00FD44CE">
              <w:tc>
                <w:tcPr>
                  <w:tcW w:w="1510" w:type="dxa"/>
                </w:tcPr>
                <w:p w14:paraId="32ACDA3B" w14:textId="77777777" w:rsidR="003A41BE" w:rsidRPr="00DA2276" w:rsidRDefault="003A41BE" w:rsidP="002A37E3">
                  <w:pPr>
                    <w:framePr w:hSpace="141" w:wrap="around" w:vAnchor="text" w:hAnchor="text" w:x="421" w:y="1"/>
                    <w:suppressOverlap/>
                    <w:jc w:val="center"/>
                    <w:rPr>
                      <w:sz w:val="22"/>
                      <w:szCs w:val="22"/>
                      <w:lang w:val="en-US"/>
                    </w:rPr>
                  </w:pPr>
                  <w:r>
                    <w:rPr>
                      <w:sz w:val="22"/>
                      <w:szCs w:val="22"/>
                      <w:lang w:val="en-US"/>
                    </w:rPr>
                    <w:t>19.5%</w:t>
                  </w:r>
                </w:p>
              </w:tc>
              <w:tc>
                <w:tcPr>
                  <w:tcW w:w="2299" w:type="dxa"/>
                </w:tcPr>
                <w:p w14:paraId="2C3CC813" w14:textId="77777777" w:rsidR="003A41BE" w:rsidRPr="00DA2276" w:rsidRDefault="003A41BE" w:rsidP="002A37E3">
                  <w:pPr>
                    <w:framePr w:hSpace="141" w:wrap="around" w:vAnchor="text" w:hAnchor="text" w:x="421" w:y="1"/>
                    <w:suppressOverlap/>
                    <w:jc w:val="center"/>
                    <w:rPr>
                      <w:bCs/>
                      <w:sz w:val="22"/>
                      <w:szCs w:val="22"/>
                      <w:highlight w:val="yellow"/>
                      <w:lang w:val="en-US"/>
                    </w:rPr>
                  </w:pPr>
                  <w:r>
                    <w:rPr>
                      <w:sz w:val="22"/>
                      <w:szCs w:val="22"/>
                      <w:lang w:val="en-US"/>
                    </w:rPr>
                    <w:t>Under discussion with relevant partners</w:t>
                  </w:r>
                </w:p>
              </w:tc>
            </w:tr>
          </w:tbl>
          <w:p w14:paraId="16CF8687" w14:textId="77777777" w:rsidR="003A41BE" w:rsidRPr="003F4BC2" w:rsidRDefault="003A41BE" w:rsidP="00FD44CE">
            <w:pPr>
              <w:rPr>
                <w:rFonts w:cstheme="minorHAnsi"/>
                <w:sz w:val="22"/>
                <w:szCs w:val="22"/>
                <w:lang w:val="en-US"/>
              </w:rPr>
            </w:pPr>
            <w:r w:rsidRPr="00715FF4">
              <w:rPr>
                <w:rFonts w:cstheme="minorHAnsi"/>
                <w:sz w:val="22"/>
                <w:szCs w:val="22"/>
                <w:lang w:val="en-US"/>
              </w:rPr>
              <w:t xml:space="preserve">Note: </w:t>
            </w:r>
            <w:r w:rsidRPr="003F4BC2">
              <w:rPr>
                <w:rFonts w:cstheme="minorHAnsi"/>
                <w:sz w:val="22"/>
                <w:szCs w:val="22"/>
                <w:lang w:val="en-US"/>
              </w:rPr>
              <w:t>Percent of women who have ever experienced physical or sexual violence sought help, (4.5% to police, 2.5% other; .8% lawyer</w:t>
            </w:r>
            <w:r>
              <w:rPr>
                <w:rFonts w:cstheme="minorHAnsi"/>
                <w:sz w:val="22"/>
                <w:szCs w:val="22"/>
                <w:lang w:val="en-US"/>
              </w:rPr>
              <w:t>)</w:t>
            </w:r>
          </w:p>
          <w:p w14:paraId="3268A25D" w14:textId="77777777" w:rsidR="003A41BE" w:rsidRPr="00841766" w:rsidRDefault="003A41BE" w:rsidP="00FD44CE">
            <w:pPr>
              <w:autoSpaceDE w:val="0"/>
              <w:autoSpaceDN w:val="0"/>
              <w:adjustRightInd w:val="0"/>
              <w:rPr>
                <w:rFonts w:cstheme="minorHAnsi"/>
                <w:b/>
                <w:sz w:val="22"/>
                <w:szCs w:val="22"/>
                <w:highlight w:val="yellow"/>
                <w:lang w:val="en-US"/>
              </w:rPr>
            </w:pPr>
            <w:r w:rsidRPr="003F4BC2">
              <w:rPr>
                <w:rFonts w:cstheme="minorHAnsi"/>
                <w:sz w:val="22"/>
                <w:szCs w:val="22"/>
                <w:lang w:val="en-US"/>
              </w:rPr>
              <w:t xml:space="preserve">Data Source: </w:t>
            </w:r>
            <w:r w:rsidRPr="00841766">
              <w:rPr>
                <w:rFonts w:cstheme="minorHAnsi"/>
                <w:sz w:val="22"/>
                <w:szCs w:val="22"/>
                <w:lang w:val="en-US"/>
              </w:rPr>
              <w:t>DHS</w:t>
            </w:r>
            <w:r>
              <w:rPr>
                <w:rFonts w:cstheme="minorHAnsi"/>
                <w:sz w:val="22"/>
                <w:szCs w:val="22"/>
                <w:lang w:val="en-US"/>
              </w:rPr>
              <w:t xml:space="preserve"> 2016 </w:t>
            </w:r>
            <w:r w:rsidRPr="00F04E37">
              <w:rPr>
                <w:rFonts w:cstheme="minorHAnsi"/>
                <w:sz w:val="22"/>
                <w:szCs w:val="22"/>
                <w:lang w:val="en-US"/>
              </w:rPr>
              <w:t>(</w:t>
            </w:r>
            <w:r w:rsidRPr="003F4BC2">
              <w:rPr>
                <w:rFonts w:cstheme="minorHAnsi"/>
                <w:sz w:val="22"/>
                <w:szCs w:val="22"/>
                <w:lang w:val="en-US"/>
              </w:rPr>
              <w:t>no info for health and social services from DHS, 2016)</w:t>
            </w:r>
            <w:r w:rsidRPr="00F04E37" w:rsidDel="00AE676C">
              <w:rPr>
                <w:rFonts w:cstheme="minorHAnsi"/>
                <w:sz w:val="22"/>
                <w:szCs w:val="22"/>
                <w:lang w:val="en-US"/>
              </w:rPr>
              <w:t xml:space="preserve"> </w:t>
            </w:r>
          </w:p>
          <w:p w14:paraId="7329A1E6" w14:textId="77777777" w:rsidR="003A41BE" w:rsidRPr="003F4BC2" w:rsidRDefault="003A41BE" w:rsidP="00FD44CE">
            <w:pPr>
              <w:rPr>
                <w:rFonts w:cstheme="minorHAnsi"/>
                <w:bCs/>
                <w:sz w:val="22"/>
                <w:szCs w:val="22"/>
                <w:highlight w:val="yellow"/>
                <w:lang w:val="en-US"/>
              </w:rPr>
            </w:pPr>
            <w:r w:rsidRPr="003F4BC2">
              <w:rPr>
                <w:rFonts w:cstheme="minorHAnsi"/>
                <w:bCs/>
                <w:sz w:val="22"/>
                <w:szCs w:val="22"/>
                <w:lang w:val="en-US"/>
              </w:rPr>
              <w:t xml:space="preserve"> </w:t>
            </w:r>
          </w:p>
        </w:tc>
        <w:tc>
          <w:tcPr>
            <w:tcW w:w="4116" w:type="dxa"/>
            <w:vMerge/>
          </w:tcPr>
          <w:p w14:paraId="1F34E5C6"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39B996B0" w14:textId="77777777" w:rsidTr="53E3C463">
        <w:trPr>
          <w:trHeight w:val="549"/>
        </w:trPr>
        <w:tc>
          <w:tcPr>
            <w:tcW w:w="4535" w:type="dxa"/>
            <w:gridSpan w:val="2"/>
            <w:tcBorders>
              <w:top w:val="single" w:sz="4" w:space="0" w:color="auto"/>
              <w:left w:val="single" w:sz="4" w:space="0" w:color="auto"/>
              <w:right w:val="single" w:sz="4" w:space="0" w:color="auto"/>
            </w:tcBorders>
            <w:shd w:val="clear" w:color="auto" w:fill="2F5496" w:themeFill="accent1" w:themeFillShade="BF"/>
            <w:vAlign w:val="center"/>
          </w:tcPr>
          <w:p w14:paraId="2EDA18EF" w14:textId="77777777" w:rsidR="003A41BE" w:rsidRPr="00841766" w:rsidRDefault="003A41BE" w:rsidP="00FD44CE">
            <w:pPr>
              <w:tabs>
                <w:tab w:val="left" w:pos="245"/>
              </w:tabs>
              <w:autoSpaceDE w:val="0"/>
              <w:autoSpaceDN w:val="0"/>
              <w:adjustRightInd w:val="0"/>
              <w:rPr>
                <w:rFonts w:cstheme="minorHAnsi"/>
                <w:sz w:val="26"/>
                <w:szCs w:val="26"/>
                <w:lang w:val="en-US"/>
              </w:rPr>
            </w:pPr>
            <w:r w:rsidRPr="00841766">
              <w:rPr>
                <w:rFonts w:cstheme="minorHAnsi"/>
                <w:color w:val="FFFFFF" w:themeColor="background1"/>
                <w:sz w:val="26"/>
                <w:szCs w:val="26"/>
                <w:lang w:val="en-US"/>
              </w:rPr>
              <w:t>UNSDCF Strategic Priority 6</w:t>
            </w:r>
          </w:p>
        </w:tc>
        <w:tc>
          <w:tcPr>
            <w:tcW w:w="9923" w:type="dxa"/>
            <w:gridSpan w:val="4"/>
            <w:tcBorders>
              <w:top w:val="single" w:sz="4" w:space="0" w:color="auto"/>
              <w:left w:val="single" w:sz="4" w:space="0" w:color="auto"/>
              <w:right w:val="single" w:sz="4" w:space="0" w:color="auto"/>
            </w:tcBorders>
            <w:shd w:val="clear" w:color="auto" w:fill="2F5496" w:themeFill="accent1" w:themeFillShade="BF"/>
            <w:vAlign w:val="center"/>
          </w:tcPr>
          <w:p w14:paraId="7FFB54B9" w14:textId="77777777" w:rsidR="003A41BE" w:rsidRPr="00841766" w:rsidRDefault="003A41BE" w:rsidP="00FD44CE">
            <w:pPr>
              <w:tabs>
                <w:tab w:val="left" w:pos="245"/>
              </w:tabs>
              <w:autoSpaceDE w:val="0"/>
              <w:autoSpaceDN w:val="0"/>
              <w:adjustRightInd w:val="0"/>
              <w:jc w:val="center"/>
              <w:rPr>
                <w:rFonts w:cstheme="minorHAnsi"/>
                <w:color w:val="FFFFFF" w:themeColor="background1"/>
                <w:sz w:val="26"/>
                <w:szCs w:val="26"/>
                <w:lang w:val="en-US"/>
              </w:rPr>
            </w:pPr>
            <w:r w:rsidRPr="00841766">
              <w:rPr>
                <w:rFonts w:cstheme="minorHAnsi"/>
                <w:color w:val="FFFFFF" w:themeColor="background1"/>
                <w:sz w:val="26"/>
                <w:szCs w:val="26"/>
                <w:lang w:val="en-US"/>
              </w:rPr>
              <w:t xml:space="preserve">SUSTAINABLE MANAGEMENT OF NATURAL RESOURCES AND RESILIENCE </w:t>
            </w:r>
          </w:p>
          <w:p w14:paraId="67EE3D7B" w14:textId="77777777" w:rsidR="003A41BE" w:rsidRPr="00841766" w:rsidRDefault="003A41BE" w:rsidP="00FD44CE">
            <w:pPr>
              <w:tabs>
                <w:tab w:val="left" w:pos="245"/>
              </w:tabs>
              <w:autoSpaceDE w:val="0"/>
              <w:autoSpaceDN w:val="0"/>
              <w:adjustRightInd w:val="0"/>
              <w:jc w:val="center"/>
              <w:rPr>
                <w:rFonts w:cstheme="minorHAnsi"/>
                <w:color w:val="FFFFFF" w:themeColor="background1"/>
                <w:sz w:val="26"/>
                <w:szCs w:val="26"/>
                <w:lang w:val="en-US"/>
              </w:rPr>
            </w:pPr>
            <w:r w:rsidRPr="00841766">
              <w:rPr>
                <w:rFonts w:cstheme="minorHAnsi"/>
                <w:color w:val="FFFFFF" w:themeColor="background1"/>
                <w:sz w:val="26"/>
                <w:szCs w:val="26"/>
                <w:lang w:val="en-US"/>
              </w:rPr>
              <w:t xml:space="preserve">TO CLIMATE CHANGE  </w:t>
            </w:r>
          </w:p>
        </w:tc>
      </w:tr>
      <w:tr w:rsidR="003A41BE" w:rsidRPr="00841766" w14:paraId="0AA5C6DB"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D6B335" w14:textId="77777777" w:rsidR="003A41BE" w:rsidRPr="00841766" w:rsidRDefault="003A41BE" w:rsidP="00FD44CE">
            <w:pPr>
              <w:autoSpaceDE w:val="0"/>
              <w:autoSpaceDN w:val="0"/>
              <w:adjustRightInd w:val="0"/>
              <w:rPr>
                <w:rFonts w:cstheme="minorHAnsi"/>
                <w:b/>
                <w:color w:val="000000" w:themeColor="text1"/>
                <w:lang w:val="en-US"/>
              </w:rPr>
            </w:pPr>
            <w:r w:rsidRPr="00841766">
              <w:rPr>
                <w:rFonts w:cstheme="minorHAnsi"/>
                <w:b/>
                <w:lang w:val="en-US"/>
              </w:rPr>
              <w:t>Related Global SDG Targets</w:t>
            </w:r>
          </w:p>
        </w:tc>
      </w:tr>
      <w:tr w:rsidR="003A41BE" w:rsidRPr="006444BA" w14:paraId="30DA1363"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CA87CB" w14:textId="77777777" w:rsidR="003A41BE" w:rsidRPr="00841766" w:rsidRDefault="003A41BE" w:rsidP="00FD44CE">
            <w:pPr>
              <w:pStyle w:val="Default"/>
              <w:spacing w:after="63"/>
              <w:rPr>
                <w:rFonts w:asciiTheme="minorHAnsi" w:hAnsiTheme="minorHAnsi"/>
                <w:bCs/>
                <w:sz w:val="22"/>
                <w:szCs w:val="22"/>
                <w:lang w:val="en-US"/>
              </w:rPr>
            </w:pPr>
            <w:r w:rsidRPr="00841766">
              <w:rPr>
                <w:rFonts w:asciiTheme="minorHAnsi" w:hAnsiTheme="minorHAnsi"/>
                <w:bCs/>
                <w:sz w:val="22"/>
                <w:szCs w:val="22"/>
                <w:lang w:val="en-US"/>
              </w:rPr>
              <w:t xml:space="preserve">10.7 Facilitate orderly, safe, regular and responsible migration and mobility of people, including through the implementation of planned and well-managed migration policies </w:t>
            </w:r>
          </w:p>
          <w:p w14:paraId="38C82E1E"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 xml:space="preserve">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w:t>
            </w:r>
          </w:p>
          <w:p w14:paraId="729E17A7"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 xml:space="preserve">13.1 Strengthen resilience and adaptive capacity to climate-related hazards and natural disasters in all countries </w:t>
            </w:r>
          </w:p>
          <w:p w14:paraId="35FE4AF1"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 xml:space="preserve">13.2 Integrate climate change measures into national policies, strategies and planning </w:t>
            </w:r>
          </w:p>
          <w:p w14:paraId="778DE154"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14.b Provide access for small-scale artisanal fishers to marine resources and markets</w:t>
            </w:r>
          </w:p>
          <w:p w14:paraId="190A554B"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p w14:paraId="3C76E8CD"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14.7 By 2030, increase the economic benefits to small island developing States and least developed countries from the sustainable use of marine resources, including through sustainable management of fisheries, aquaculture and tourism</w:t>
            </w:r>
          </w:p>
          <w:p w14:paraId="38CDD00C"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 xml:space="preserve">15.1 By 2020, ensure the conservation, restoration and sustainable use of terrestrial and inland freshwater ecosystems and their services, in particular forests, wetlands, mountains and drylands, in line with obligations under international agreements </w:t>
            </w:r>
          </w:p>
          <w:p w14:paraId="4AB33274"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lastRenderedPageBreak/>
              <w:t xml:space="preserve">15.2 By 2020, promote the implementation of sustainable management of all types of forests, halt deforestation, restore degraded forests and substantially increase afforestation and reforestation globally </w:t>
            </w:r>
          </w:p>
          <w:p w14:paraId="57A35AAA" w14:textId="77777777" w:rsidR="003A41BE" w:rsidRPr="00841766" w:rsidRDefault="003A41BE" w:rsidP="00FD44CE">
            <w:pPr>
              <w:pStyle w:val="Default"/>
              <w:spacing w:after="63"/>
              <w:rPr>
                <w:rFonts w:asciiTheme="minorHAnsi" w:hAnsiTheme="minorHAnsi"/>
                <w:sz w:val="22"/>
                <w:szCs w:val="22"/>
                <w:lang w:val="en-US"/>
              </w:rPr>
            </w:pPr>
            <w:r w:rsidRPr="00841766">
              <w:rPr>
                <w:rFonts w:asciiTheme="minorHAnsi" w:hAnsiTheme="minorHAnsi"/>
                <w:sz w:val="22"/>
                <w:szCs w:val="22"/>
                <w:lang w:val="en-US"/>
              </w:rPr>
              <w:t xml:space="preserve">15.3 By 2030, combat desertification, restore degraded land and soil, including land affected by desertification, drought and floods, and strive to achieve a land degradation-neutral world </w:t>
            </w:r>
          </w:p>
        </w:tc>
      </w:tr>
      <w:tr w:rsidR="003A41BE" w:rsidRPr="006444BA" w14:paraId="13E802E3" w14:textId="77777777" w:rsidTr="53E3C463">
        <w:trPr>
          <w:trHeight w:val="1074"/>
        </w:trPr>
        <w:tc>
          <w:tcPr>
            <w:tcW w:w="14458" w:type="dxa"/>
            <w:gridSpan w:val="6"/>
            <w:tcBorders>
              <w:top w:val="single" w:sz="4" w:space="0" w:color="auto"/>
              <w:left w:val="single" w:sz="4" w:space="0" w:color="auto"/>
              <w:right w:val="single" w:sz="4" w:space="0" w:color="auto"/>
            </w:tcBorders>
            <w:shd w:val="clear" w:color="auto" w:fill="2F5496" w:themeFill="accent1" w:themeFillShade="BF"/>
            <w:vAlign w:val="center"/>
          </w:tcPr>
          <w:p w14:paraId="39267875" w14:textId="77777777" w:rsidR="003A41BE" w:rsidRPr="00841766" w:rsidRDefault="003A41BE" w:rsidP="00FD44CE">
            <w:pPr>
              <w:pStyle w:val="ListParagraph"/>
              <w:tabs>
                <w:tab w:val="left" w:pos="245"/>
              </w:tabs>
              <w:autoSpaceDE w:val="0"/>
              <w:autoSpaceDN w:val="0"/>
              <w:adjustRightInd w:val="0"/>
              <w:ind w:left="0"/>
              <w:rPr>
                <w:rFonts w:cstheme="minorHAnsi"/>
                <w:color w:val="FFFFFF" w:themeColor="background1"/>
                <w:sz w:val="26"/>
                <w:szCs w:val="26"/>
                <w:lang w:val="en-US"/>
              </w:rPr>
            </w:pPr>
            <w:r w:rsidRPr="00841766">
              <w:rPr>
                <w:rFonts w:cstheme="minorHAnsi"/>
                <w:b/>
                <w:color w:val="FFFFFF" w:themeColor="background1"/>
                <w:sz w:val="26"/>
                <w:szCs w:val="26"/>
                <w:lang w:val="en-US"/>
              </w:rPr>
              <w:lastRenderedPageBreak/>
              <w:t xml:space="preserve">UNSDCF OUTCOME 6: </w:t>
            </w:r>
            <w:r w:rsidRPr="00841766">
              <w:rPr>
                <w:rFonts w:cstheme="minorHAnsi"/>
                <w:color w:val="FFFFFF" w:themeColor="background1"/>
                <w:sz w:val="26"/>
                <w:szCs w:val="26"/>
                <w:lang w:val="en-US"/>
              </w:rPr>
              <w:t>By 2025, national and sub-national institutions and communities (particularly at risk populations including women and children) in Timor-Leste are better able to manage natural resources and achieve enhanced resilience to climate change impacts, natural and human-induced hazards, and environmental degradation, inclusively and sustainably</w:t>
            </w:r>
          </w:p>
        </w:tc>
      </w:tr>
      <w:tr w:rsidR="003A41BE" w:rsidRPr="00841766" w14:paraId="55CE3B81"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C384E6" w14:textId="77777777" w:rsidR="003A41BE" w:rsidRPr="00841766" w:rsidRDefault="003A41BE" w:rsidP="00FD44CE">
            <w:pPr>
              <w:autoSpaceDE w:val="0"/>
              <w:autoSpaceDN w:val="0"/>
              <w:adjustRightInd w:val="0"/>
              <w:rPr>
                <w:rFonts w:cstheme="minorHAnsi"/>
                <w:b/>
                <w:lang w:val="en-US"/>
              </w:rPr>
            </w:pPr>
            <w:r w:rsidRPr="00841766">
              <w:rPr>
                <w:rFonts w:cstheme="minorHAnsi"/>
                <w:b/>
                <w:lang w:val="en-US"/>
              </w:rPr>
              <w:t xml:space="preserve">Outcome Indicators </w:t>
            </w:r>
          </w:p>
        </w:tc>
      </w:tr>
      <w:tr w:rsidR="003A41BE" w:rsidRPr="00841766" w14:paraId="0A9ABB75"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CD966F" w14:textId="77777777" w:rsidR="003A41BE" w:rsidRPr="00841766"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6.a Direct economic loss, damage to critical infrastructure and number of disruptions to basic services, attributed to disasters (SDG Indicator 11.5.2)</w:t>
            </w:r>
          </w:p>
          <w:tbl>
            <w:tblPr>
              <w:tblStyle w:val="TableGrid"/>
              <w:tblW w:w="0" w:type="auto"/>
              <w:tblLayout w:type="fixed"/>
              <w:tblLook w:val="04A0" w:firstRow="1" w:lastRow="0" w:firstColumn="1" w:lastColumn="0" w:noHBand="0" w:noVBand="1"/>
            </w:tblPr>
            <w:tblGrid>
              <w:gridCol w:w="1510"/>
              <w:gridCol w:w="2516"/>
            </w:tblGrid>
            <w:tr w:rsidR="003A41BE" w:rsidRPr="00DA2276" w14:paraId="17D78C73" w14:textId="77777777" w:rsidTr="00FD44CE">
              <w:tc>
                <w:tcPr>
                  <w:tcW w:w="1510" w:type="dxa"/>
                </w:tcPr>
                <w:p w14:paraId="6111009B"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Baseline</w:t>
                  </w:r>
                </w:p>
              </w:tc>
              <w:tc>
                <w:tcPr>
                  <w:tcW w:w="2516" w:type="dxa"/>
                </w:tcPr>
                <w:p w14:paraId="645123CE"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565068" w14:paraId="36B0DFD8" w14:textId="77777777" w:rsidTr="00FD44CE">
              <w:tc>
                <w:tcPr>
                  <w:tcW w:w="1510" w:type="dxa"/>
                </w:tcPr>
                <w:p w14:paraId="4333DFDC" w14:textId="77777777" w:rsidR="003A41BE" w:rsidRPr="003F4BC2" w:rsidRDefault="003A41BE" w:rsidP="002A37E3">
                  <w:pPr>
                    <w:framePr w:hSpace="141" w:wrap="around" w:vAnchor="text" w:hAnchor="text" w:x="421" w:y="1"/>
                    <w:suppressOverlap/>
                    <w:jc w:val="center"/>
                    <w:rPr>
                      <w:sz w:val="22"/>
                      <w:szCs w:val="22"/>
                      <w:lang w:val="en-US"/>
                    </w:rPr>
                  </w:pPr>
                  <w:r w:rsidRPr="003F4BC2">
                    <w:rPr>
                      <w:sz w:val="22"/>
                      <w:szCs w:val="22"/>
                      <w:lang w:val="en-US"/>
                    </w:rPr>
                    <w:t>11.5 % of GDP</w:t>
                  </w:r>
                </w:p>
              </w:tc>
              <w:tc>
                <w:tcPr>
                  <w:tcW w:w="2516" w:type="dxa"/>
                </w:tcPr>
                <w:p w14:paraId="381FCAB9" w14:textId="77777777" w:rsidR="003A41BE" w:rsidRPr="003F4BC2" w:rsidRDefault="003A41BE" w:rsidP="002A37E3">
                  <w:pPr>
                    <w:framePr w:hSpace="141" w:wrap="around" w:vAnchor="text" w:hAnchor="text" w:x="421" w:y="1"/>
                    <w:suppressOverlap/>
                    <w:jc w:val="center"/>
                    <w:rPr>
                      <w:bCs/>
                      <w:sz w:val="22"/>
                      <w:szCs w:val="22"/>
                      <w:lang w:val="en-US"/>
                    </w:rPr>
                  </w:pPr>
                  <w:r w:rsidRPr="003F4BC2">
                    <w:rPr>
                      <w:bCs/>
                      <w:sz w:val="22"/>
                      <w:szCs w:val="22"/>
                      <w:lang w:val="en-US"/>
                    </w:rPr>
                    <w:t xml:space="preserve">Reduction of 25 % in </w:t>
                  </w:r>
                  <w:r>
                    <w:rPr>
                      <w:bCs/>
                      <w:sz w:val="22"/>
                      <w:szCs w:val="22"/>
                      <w:lang w:val="en-US"/>
                    </w:rPr>
                    <w:br/>
                  </w:r>
                  <w:r w:rsidRPr="003F4BC2">
                    <w:rPr>
                      <w:bCs/>
                      <w:sz w:val="22"/>
                      <w:szCs w:val="22"/>
                      <w:lang w:val="en-US"/>
                    </w:rPr>
                    <w:t>6 target municipalities</w:t>
                  </w:r>
                </w:p>
              </w:tc>
            </w:tr>
          </w:tbl>
          <w:p w14:paraId="3A8823A2" w14:textId="77777777" w:rsidR="003A41BE" w:rsidRDefault="003A41BE" w:rsidP="00FD44CE">
            <w:pPr>
              <w:pStyle w:val="Default"/>
              <w:rPr>
                <w:rFonts w:asciiTheme="minorHAnsi" w:hAnsiTheme="minorHAnsi" w:cstheme="minorHAnsi"/>
                <w:bCs/>
                <w:sz w:val="22"/>
                <w:szCs w:val="22"/>
                <w:lang w:val="en-US"/>
              </w:rPr>
            </w:pPr>
            <w:r w:rsidRPr="003F4BC2">
              <w:rPr>
                <w:rFonts w:asciiTheme="minorHAnsi" w:hAnsiTheme="minorHAnsi" w:cstheme="minorHAnsi"/>
                <w:bCs/>
                <w:sz w:val="22"/>
                <w:szCs w:val="22"/>
                <w:lang w:val="en-US"/>
              </w:rPr>
              <w:t>Data Source:</w:t>
            </w:r>
            <w:r w:rsidRPr="00565068">
              <w:rPr>
                <w:rFonts w:asciiTheme="minorHAnsi" w:hAnsiTheme="minorHAnsi" w:cstheme="minorHAnsi"/>
                <w:bCs/>
                <w:sz w:val="22"/>
                <w:szCs w:val="22"/>
                <w:lang w:val="en-US"/>
              </w:rPr>
              <w:t xml:space="preserve"> </w:t>
            </w:r>
            <w:r w:rsidRPr="003F4BC2">
              <w:rPr>
                <w:rFonts w:asciiTheme="minorHAnsi" w:hAnsiTheme="minorHAnsi" w:cstheme="minorHAnsi"/>
                <w:bCs/>
                <w:sz w:val="22"/>
                <w:szCs w:val="22"/>
                <w:lang w:val="en-US"/>
              </w:rPr>
              <w:t>UNDP GCF Project (</w:t>
            </w:r>
            <w:r>
              <w:rPr>
                <w:rFonts w:asciiTheme="minorHAnsi" w:hAnsiTheme="minorHAnsi" w:cstheme="minorHAnsi"/>
                <w:bCs/>
                <w:sz w:val="22"/>
                <w:szCs w:val="22"/>
                <w:lang w:val="en-US"/>
              </w:rPr>
              <w:t>2020-2026)</w:t>
            </w:r>
            <w:r w:rsidRPr="003F4BC2">
              <w:rPr>
                <w:rFonts w:asciiTheme="minorHAnsi" w:hAnsiTheme="minorHAnsi" w:cstheme="minorHAnsi"/>
                <w:bCs/>
                <w:sz w:val="22"/>
                <w:szCs w:val="22"/>
                <w:lang w:val="en-US"/>
              </w:rPr>
              <w:t>)</w:t>
            </w:r>
          </w:p>
          <w:p w14:paraId="13CBC03E" w14:textId="77777777" w:rsidR="003A41BE" w:rsidRPr="00715FF4" w:rsidRDefault="003A41BE" w:rsidP="00FD44CE">
            <w:pPr>
              <w:pStyle w:val="Default"/>
              <w:rPr>
                <w:rFonts w:asciiTheme="minorHAnsi" w:hAnsiTheme="minorHAnsi"/>
                <w:bCs/>
                <w:sz w:val="22"/>
                <w:szCs w:val="22"/>
                <w:lang w:val="en-US"/>
              </w:rPr>
            </w:pPr>
          </w:p>
        </w:tc>
      </w:tr>
      <w:tr w:rsidR="003A41BE" w:rsidRPr="00841766" w14:paraId="1D4162DF"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161C11" w14:textId="77777777" w:rsidR="003A41BE" w:rsidRDefault="003A41BE" w:rsidP="00FD44CE">
            <w:pPr>
              <w:pStyle w:val="Default"/>
              <w:rPr>
                <w:rFonts w:asciiTheme="minorHAnsi" w:hAnsiTheme="minorHAnsi" w:cstheme="minorHAnsi"/>
                <w:sz w:val="22"/>
                <w:szCs w:val="22"/>
                <w:lang w:val="en-US"/>
              </w:rPr>
            </w:pPr>
            <w:r w:rsidRPr="004A7F97">
              <w:rPr>
                <w:rFonts w:asciiTheme="minorHAnsi" w:hAnsiTheme="minorHAnsi" w:cstheme="minorHAnsi"/>
                <w:sz w:val="22"/>
                <w:szCs w:val="22"/>
                <w:lang w:val="en-US"/>
              </w:rPr>
              <w:t>6</w:t>
            </w:r>
            <w:r w:rsidRPr="003F4BC2">
              <w:rPr>
                <w:rFonts w:asciiTheme="minorHAnsi" w:hAnsiTheme="minorHAnsi" w:cstheme="minorHAnsi"/>
                <w:sz w:val="22"/>
                <w:szCs w:val="22"/>
                <w:lang w:val="en-US"/>
              </w:rPr>
              <w:t>.b Number of deaths, missing persons and persons displaced and affected by disasters (SDG Indicator 13.1.1) disaggregated by sex and age</w:t>
            </w:r>
          </w:p>
          <w:tbl>
            <w:tblPr>
              <w:tblStyle w:val="TableGrid"/>
              <w:tblW w:w="0" w:type="auto"/>
              <w:tblLayout w:type="fixed"/>
              <w:tblLook w:val="04A0" w:firstRow="1" w:lastRow="0" w:firstColumn="1" w:lastColumn="0" w:noHBand="0" w:noVBand="1"/>
            </w:tblPr>
            <w:tblGrid>
              <w:gridCol w:w="2876"/>
              <w:gridCol w:w="2782"/>
            </w:tblGrid>
            <w:tr w:rsidR="003A41BE" w:rsidRPr="00DA2276" w14:paraId="69C1B205" w14:textId="77777777" w:rsidTr="00FD44CE">
              <w:tc>
                <w:tcPr>
                  <w:tcW w:w="2876" w:type="dxa"/>
                </w:tcPr>
                <w:p w14:paraId="043FAA98"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Baseline</w:t>
                  </w:r>
                </w:p>
              </w:tc>
              <w:tc>
                <w:tcPr>
                  <w:tcW w:w="2782" w:type="dxa"/>
                </w:tcPr>
                <w:p w14:paraId="19804AC9"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DA2276" w14:paraId="1E60B2AB" w14:textId="77777777" w:rsidTr="00FD44CE">
              <w:tc>
                <w:tcPr>
                  <w:tcW w:w="2876" w:type="dxa"/>
                </w:tcPr>
                <w:p w14:paraId="46D76214" w14:textId="77777777" w:rsidR="003A41BE" w:rsidRPr="003F4BC2" w:rsidRDefault="003A41BE" w:rsidP="002A37E3">
                  <w:pPr>
                    <w:framePr w:hSpace="141" w:wrap="around" w:vAnchor="text" w:hAnchor="text" w:x="421" w:y="1"/>
                    <w:suppressOverlap/>
                    <w:jc w:val="center"/>
                    <w:rPr>
                      <w:rFonts w:cstheme="minorHAnsi"/>
                      <w:sz w:val="22"/>
                      <w:szCs w:val="22"/>
                      <w:lang w:val="en-US"/>
                    </w:rPr>
                  </w:pPr>
                  <w:r w:rsidRPr="003F4BC2">
                    <w:rPr>
                      <w:rFonts w:cstheme="minorHAnsi"/>
                      <w:sz w:val="22"/>
                      <w:szCs w:val="22"/>
                      <w:lang w:val="en-US"/>
                    </w:rPr>
                    <w:t>16 deaths</w:t>
                  </w:r>
                </w:p>
                <w:p w14:paraId="4FDA6132" w14:textId="77777777" w:rsidR="003A41BE" w:rsidRPr="00DA2276" w:rsidRDefault="003A41BE" w:rsidP="002A37E3">
                  <w:pPr>
                    <w:framePr w:hSpace="141" w:wrap="around" w:vAnchor="text" w:hAnchor="text" w:x="421" w:y="1"/>
                    <w:suppressOverlap/>
                    <w:jc w:val="center"/>
                    <w:rPr>
                      <w:sz w:val="22"/>
                      <w:szCs w:val="22"/>
                      <w:highlight w:val="yellow"/>
                      <w:lang w:val="en-US"/>
                    </w:rPr>
                  </w:pPr>
                  <w:r w:rsidRPr="003F4BC2">
                    <w:rPr>
                      <w:rFonts w:cstheme="minorHAnsi"/>
                      <w:sz w:val="22"/>
                      <w:szCs w:val="22"/>
                      <w:lang w:val="en-US"/>
                    </w:rPr>
                    <w:t>f</w:t>
                  </w:r>
                  <w:r w:rsidRPr="009B6B75">
                    <w:rPr>
                      <w:rFonts w:cstheme="minorHAnsi"/>
                      <w:sz w:val="22"/>
                      <w:szCs w:val="22"/>
                      <w:lang w:val="en-US"/>
                    </w:rPr>
                    <w:t xml:space="preserve">rom </w:t>
                  </w:r>
                  <w:r w:rsidRPr="003F4BC2">
                    <w:rPr>
                      <w:rFonts w:cstheme="minorHAnsi"/>
                      <w:sz w:val="22"/>
                      <w:szCs w:val="22"/>
                      <w:lang w:val="en-US"/>
                    </w:rPr>
                    <w:t>2015-2019</w:t>
                  </w:r>
                </w:p>
              </w:tc>
              <w:tc>
                <w:tcPr>
                  <w:tcW w:w="2782" w:type="dxa"/>
                </w:tcPr>
                <w:p w14:paraId="07CFA365" w14:textId="77777777" w:rsidR="003A41BE" w:rsidRDefault="003A41BE" w:rsidP="002A37E3">
                  <w:pPr>
                    <w:framePr w:hSpace="141" w:wrap="around" w:vAnchor="text" w:hAnchor="text" w:x="421" w:y="1"/>
                    <w:suppressOverlap/>
                    <w:jc w:val="center"/>
                    <w:rPr>
                      <w:bCs/>
                      <w:sz w:val="22"/>
                      <w:szCs w:val="22"/>
                      <w:lang w:val="en-US"/>
                    </w:rPr>
                  </w:pPr>
                  <w:r>
                    <w:rPr>
                      <w:bCs/>
                      <w:sz w:val="22"/>
                      <w:szCs w:val="22"/>
                      <w:lang w:val="en-US"/>
                    </w:rPr>
                    <w:t>TBD</w:t>
                  </w:r>
                  <w:r w:rsidRPr="001C6588">
                    <w:rPr>
                      <w:bCs/>
                      <w:sz w:val="22"/>
                      <w:szCs w:val="22"/>
                      <w:lang w:val="en-US"/>
                    </w:rPr>
                    <w:t xml:space="preserve"> </w:t>
                  </w:r>
                </w:p>
                <w:p w14:paraId="43BC0034" w14:textId="77777777" w:rsidR="003A41BE" w:rsidRPr="00DA2276" w:rsidRDefault="003A41BE" w:rsidP="002A37E3">
                  <w:pPr>
                    <w:framePr w:hSpace="141" w:wrap="around" w:vAnchor="text" w:hAnchor="text" w:x="421" w:y="1"/>
                    <w:suppressOverlap/>
                    <w:jc w:val="center"/>
                    <w:rPr>
                      <w:bCs/>
                      <w:sz w:val="22"/>
                      <w:szCs w:val="22"/>
                      <w:highlight w:val="yellow"/>
                      <w:lang w:val="en-US"/>
                    </w:rPr>
                  </w:pPr>
                  <w:r w:rsidRPr="001C6588">
                    <w:rPr>
                      <w:bCs/>
                      <w:sz w:val="22"/>
                      <w:szCs w:val="22"/>
                      <w:lang w:val="en-US"/>
                    </w:rPr>
                    <w:t>with Civil Protection</w:t>
                  </w:r>
                </w:p>
              </w:tc>
            </w:tr>
          </w:tbl>
          <w:p w14:paraId="7EB3138C" w14:textId="77777777" w:rsidR="003A41BE" w:rsidRDefault="003A41BE" w:rsidP="00FD44CE">
            <w:pPr>
              <w:pStyle w:val="Default"/>
              <w:rPr>
                <w:rFonts w:asciiTheme="minorHAnsi" w:hAnsiTheme="minorHAnsi" w:cstheme="minorHAnsi"/>
                <w:sz w:val="22"/>
                <w:szCs w:val="22"/>
                <w:lang w:val="en-US"/>
              </w:rPr>
            </w:pPr>
            <w:r>
              <w:rPr>
                <w:rFonts w:asciiTheme="minorHAnsi" w:hAnsiTheme="minorHAnsi" w:cstheme="minorHAnsi"/>
                <w:sz w:val="22"/>
                <w:szCs w:val="22"/>
                <w:lang w:val="en-US"/>
              </w:rPr>
              <w:t>Note. 2012-2017, 43 deaths and 7 missing persons.</w:t>
            </w:r>
          </w:p>
          <w:p w14:paraId="3701E25D" w14:textId="77777777" w:rsidR="003A41BE" w:rsidRPr="003F4BC2" w:rsidRDefault="003A41BE" w:rsidP="00FD44CE">
            <w:pPr>
              <w:pStyle w:val="Default"/>
              <w:rPr>
                <w:rFonts w:asciiTheme="minorHAnsi" w:hAnsiTheme="minorHAnsi" w:cstheme="minorHAnsi"/>
                <w:sz w:val="22"/>
                <w:szCs w:val="22"/>
                <w:lang w:val="en-US"/>
              </w:rPr>
            </w:pPr>
            <w:r>
              <w:rPr>
                <w:rFonts w:asciiTheme="minorHAnsi" w:hAnsiTheme="minorHAnsi" w:cstheme="minorHAnsi"/>
                <w:sz w:val="22"/>
                <w:szCs w:val="22"/>
                <w:lang w:val="en-US"/>
              </w:rPr>
              <w:t xml:space="preserve">Data Source: </w:t>
            </w:r>
            <w:proofErr w:type="spellStart"/>
            <w:r>
              <w:rPr>
                <w:rFonts w:asciiTheme="minorHAnsi" w:hAnsiTheme="minorHAnsi" w:cstheme="minorHAnsi"/>
                <w:sz w:val="22"/>
                <w:szCs w:val="22"/>
                <w:lang w:val="en-US"/>
              </w:rPr>
              <w:t>Desinventar</w:t>
            </w:r>
            <w:proofErr w:type="spellEnd"/>
          </w:p>
          <w:p w14:paraId="5E55D10A" w14:textId="77777777" w:rsidR="003A41BE" w:rsidRPr="00841766" w:rsidRDefault="003A41BE" w:rsidP="00FD44CE">
            <w:pPr>
              <w:pStyle w:val="Default"/>
              <w:rPr>
                <w:rFonts w:asciiTheme="minorHAnsi" w:hAnsiTheme="minorHAnsi" w:cstheme="minorHAnsi"/>
                <w:sz w:val="22"/>
                <w:szCs w:val="22"/>
                <w:lang w:val="en-US"/>
              </w:rPr>
            </w:pPr>
          </w:p>
        </w:tc>
      </w:tr>
      <w:tr w:rsidR="003A41BE" w:rsidRPr="00841766" w14:paraId="10107CBC"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7AD09D" w14:textId="77777777" w:rsidR="003A41BE" w:rsidRPr="00841766" w:rsidDel="0053158B" w:rsidRDefault="003A41BE" w:rsidP="00FD44CE">
            <w:pPr>
              <w:autoSpaceDE w:val="0"/>
              <w:autoSpaceDN w:val="0"/>
              <w:adjustRightInd w:val="0"/>
              <w:rPr>
                <w:rFonts w:cstheme="minorHAnsi"/>
                <w:b/>
                <w:sz w:val="22"/>
                <w:szCs w:val="22"/>
                <w:highlight w:val="yellow"/>
                <w:lang w:val="en-US"/>
              </w:rPr>
            </w:pPr>
            <w:r w:rsidRPr="00841766">
              <w:rPr>
                <w:rFonts w:cstheme="minorHAnsi"/>
                <w:sz w:val="22"/>
                <w:szCs w:val="22"/>
                <w:lang w:val="en-US"/>
              </w:rPr>
              <w:t>6.c Timor-Leste has adopted and implemented national disaster risk reduction strategies in line with the Sendai Framework for Disaster Risk Reduction 2015–2030 (SDG Indicator 13.1.2)</w:t>
            </w:r>
            <w:r w:rsidRPr="00841766" w:rsidDel="0053158B">
              <w:rPr>
                <w:rFonts w:cstheme="minorHAnsi"/>
                <w:sz w:val="22"/>
                <w:szCs w:val="22"/>
                <w:lang w:val="en-US"/>
              </w:rPr>
              <w:t xml:space="preserve"> </w:t>
            </w:r>
          </w:p>
          <w:tbl>
            <w:tblPr>
              <w:tblStyle w:val="TableGrid"/>
              <w:tblW w:w="0" w:type="auto"/>
              <w:tblLayout w:type="fixed"/>
              <w:tblLook w:val="04A0" w:firstRow="1" w:lastRow="0" w:firstColumn="1" w:lastColumn="0" w:noHBand="0" w:noVBand="1"/>
            </w:tblPr>
            <w:tblGrid>
              <w:gridCol w:w="4116"/>
              <w:gridCol w:w="5850"/>
            </w:tblGrid>
            <w:tr w:rsidR="003A41BE" w:rsidRPr="00DA2276" w14:paraId="79B85F54" w14:textId="77777777" w:rsidTr="00FD44CE">
              <w:tc>
                <w:tcPr>
                  <w:tcW w:w="4116" w:type="dxa"/>
                </w:tcPr>
                <w:p w14:paraId="32A1FB71"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Baseline</w:t>
                  </w:r>
                </w:p>
              </w:tc>
              <w:tc>
                <w:tcPr>
                  <w:tcW w:w="5850" w:type="dxa"/>
                </w:tcPr>
                <w:p w14:paraId="0B37E0D1"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DA2276" w14:paraId="257C9E25" w14:textId="77777777" w:rsidTr="00FD44CE">
              <w:tc>
                <w:tcPr>
                  <w:tcW w:w="4116" w:type="dxa"/>
                </w:tcPr>
                <w:p w14:paraId="312E1C91" w14:textId="77777777" w:rsidR="003A41BE" w:rsidRDefault="003A41BE" w:rsidP="002A37E3">
                  <w:pPr>
                    <w:framePr w:hSpace="141" w:wrap="around" w:vAnchor="text" w:hAnchor="text" w:x="421" w:y="1"/>
                    <w:suppressOverlap/>
                    <w:rPr>
                      <w:rFonts w:ascii="Times New Roman" w:eastAsiaTheme="minorEastAsia" w:hAnsi="Times New Roman" w:cs="Times New Roman"/>
                      <w:lang w:val="en-US"/>
                    </w:rPr>
                  </w:pPr>
                  <w:r w:rsidRPr="00770D92">
                    <w:rPr>
                      <w:rFonts w:cstheme="minorHAnsi"/>
                      <w:sz w:val="22"/>
                      <w:szCs w:val="22"/>
                      <w:lang w:val="en-GB"/>
                    </w:rPr>
                    <w:t xml:space="preserve">Draft National DRM Strategy, Basic Civil Protection Law and National DRM Policy </w:t>
                  </w:r>
                </w:p>
                <w:p w14:paraId="510AB4AD" w14:textId="77777777" w:rsidR="003A41BE" w:rsidRPr="00DA2276" w:rsidRDefault="003A41BE" w:rsidP="002A37E3">
                  <w:pPr>
                    <w:framePr w:hSpace="141" w:wrap="around" w:vAnchor="text" w:hAnchor="text" w:x="421" w:y="1"/>
                    <w:suppressOverlap/>
                    <w:jc w:val="center"/>
                    <w:rPr>
                      <w:sz w:val="22"/>
                      <w:szCs w:val="22"/>
                      <w:highlight w:val="yellow"/>
                      <w:lang w:val="en-US"/>
                    </w:rPr>
                  </w:pPr>
                </w:p>
              </w:tc>
              <w:tc>
                <w:tcPr>
                  <w:tcW w:w="5850" w:type="dxa"/>
                </w:tcPr>
                <w:p w14:paraId="22C22E10" w14:textId="77777777" w:rsidR="003A41BE" w:rsidRDefault="003A41BE" w:rsidP="002A37E3">
                  <w:pPr>
                    <w:framePr w:hSpace="141" w:wrap="around" w:vAnchor="text" w:hAnchor="text" w:x="421" w:y="1"/>
                    <w:autoSpaceDE w:val="0"/>
                    <w:autoSpaceDN w:val="0"/>
                    <w:adjustRightInd w:val="0"/>
                    <w:suppressOverlap/>
                    <w:rPr>
                      <w:rFonts w:cstheme="minorHAnsi"/>
                      <w:sz w:val="22"/>
                      <w:szCs w:val="22"/>
                      <w:lang w:val="en-GB"/>
                    </w:rPr>
                  </w:pPr>
                  <w:r w:rsidRPr="00770D92">
                    <w:rPr>
                      <w:rFonts w:cstheme="minorHAnsi"/>
                      <w:sz w:val="22"/>
                      <w:szCs w:val="22"/>
                      <w:lang w:val="en-GB"/>
                    </w:rPr>
                    <w:t>Timor-Leste has adopted and implemented National DRM Strategy, Basic Civil Protection Law and National DRM Policy</w:t>
                  </w:r>
                  <w:r>
                    <w:rPr>
                      <w:rFonts w:cstheme="minorHAnsi"/>
                      <w:sz w:val="22"/>
                      <w:szCs w:val="22"/>
                      <w:lang w:val="en-GB"/>
                    </w:rPr>
                    <w:t xml:space="preserve"> aligned to Sendai</w:t>
                  </w:r>
                </w:p>
                <w:p w14:paraId="0E6DCDCB" w14:textId="77777777" w:rsidR="003A41BE" w:rsidRPr="003F4BC2" w:rsidRDefault="003A41BE" w:rsidP="002A37E3">
                  <w:pPr>
                    <w:framePr w:hSpace="141" w:wrap="around" w:vAnchor="text" w:hAnchor="text" w:x="421" w:y="1"/>
                    <w:suppressOverlap/>
                    <w:jc w:val="center"/>
                    <w:rPr>
                      <w:bCs/>
                      <w:sz w:val="22"/>
                      <w:szCs w:val="22"/>
                      <w:highlight w:val="yellow"/>
                      <w:lang w:val="en-GB"/>
                    </w:rPr>
                  </w:pPr>
                </w:p>
              </w:tc>
            </w:tr>
          </w:tbl>
          <w:p w14:paraId="38CBAA2A" w14:textId="77777777" w:rsidR="003A41BE" w:rsidRPr="003F4BC2" w:rsidRDefault="003A41BE" w:rsidP="00FD44CE">
            <w:pPr>
              <w:autoSpaceDE w:val="0"/>
              <w:autoSpaceDN w:val="0"/>
              <w:adjustRightInd w:val="0"/>
              <w:rPr>
                <w:rFonts w:cstheme="minorHAnsi"/>
                <w:bCs/>
                <w:sz w:val="22"/>
                <w:szCs w:val="22"/>
                <w:highlight w:val="yellow"/>
                <w:lang w:val="en-US"/>
              </w:rPr>
            </w:pPr>
            <w:r w:rsidRPr="003F4BC2">
              <w:rPr>
                <w:rFonts w:cstheme="minorHAnsi"/>
                <w:bCs/>
                <w:sz w:val="22"/>
                <w:szCs w:val="22"/>
                <w:lang w:val="en-US"/>
              </w:rPr>
              <w:t>Data Source:</w:t>
            </w:r>
            <w:r w:rsidRPr="00770D92">
              <w:rPr>
                <w:rFonts w:cstheme="minorHAnsi"/>
                <w:sz w:val="22"/>
                <w:szCs w:val="22"/>
                <w:lang w:val="en-GB"/>
              </w:rPr>
              <w:t xml:space="preserve"> Civil Protection</w:t>
            </w:r>
            <w:r>
              <w:rPr>
                <w:rFonts w:cstheme="minorHAnsi"/>
                <w:sz w:val="22"/>
                <w:szCs w:val="22"/>
                <w:lang w:val="en-GB"/>
              </w:rPr>
              <w:t xml:space="preserve">, </w:t>
            </w:r>
            <w:r w:rsidRPr="00770D92">
              <w:rPr>
                <w:rFonts w:cstheme="minorHAnsi"/>
                <w:sz w:val="22"/>
                <w:szCs w:val="22"/>
                <w:lang w:val="en-GB"/>
              </w:rPr>
              <w:t>N</w:t>
            </w:r>
            <w:r>
              <w:rPr>
                <w:rFonts w:cstheme="minorHAnsi"/>
                <w:sz w:val="22"/>
                <w:szCs w:val="22"/>
                <w:lang w:val="en-GB"/>
              </w:rPr>
              <w:t xml:space="preserve">ational </w:t>
            </w:r>
            <w:r w:rsidRPr="00770D92">
              <w:rPr>
                <w:rFonts w:cstheme="minorHAnsi"/>
                <w:sz w:val="22"/>
                <w:szCs w:val="22"/>
                <w:lang w:val="en-GB"/>
              </w:rPr>
              <w:t>D</w:t>
            </w:r>
            <w:r>
              <w:rPr>
                <w:rFonts w:cstheme="minorHAnsi"/>
                <w:sz w:val="22"/>
                <w:szCs w:val="22"/>
                <w:lang w:val="en-GB"/>
              </w:rPr>
              <w:t xml:space="preserve">isaster </w:t>
            </w:r>
            <w:r w:rsidRPr="00770D92">
              <w:rPr>
                <w:rFonts w:cstheme="minorHAnsi"/>
                <w:sz w:val="22"/>
                <w:szCs w:val="22"/>
                <w:lang w:val="en-GB"/>
              </w:rPr>
              <w:t>R</w:t>
            </w:r>
            <w:r>
              <w:rPr>
                <w:rFonts w:cstheme="minorHAnsi"/>
                <w:sz w:val="22"/>
                <w:szCs w:val="22"/>
                <w:lang w:val="en-GB"/>
              </w:rPr>
              <w:t xml:space="preserve">isk </w:t>
            </w:r>
            <w:r w:rsidRPr="00770D92">
              <w:rPr>
                <w:rFonts w:cstheme="minorHAnsi"/>
                <w:sz w:val="22"/>
                <w:szCs w:val="22"/>
                <w:lang w:val="en-GB"/>
              </w:rPr>
              <w:t>M</w:t>
            </w:r>
            <w:r>
              <w:rPr>
                <w:rFonts w:cstheme="minorHAnsi"/>
                <w:sz w:val="22"/>
                <w:szCs w:val="22"/>
                <w:lang w:val="en-GB"/>
              </w:rPr>
              <w:t xml:space="preserve">anagement </w:t>
            </w:r>
            <w:r w:rsidRPr="00770D92">
              <w:rPr>
                <w:rFonts w:cstheme="minorHAnsi"/>
                <w:sz w:val="22"/>
                <w:szCs w:val="22"/>
                <w:lang w:val="en-GB"/>
              </w:rPr>
              <w:t>D</w:t>
            </w:r>
            <w:r>
              <w:rPr>
                <w:rFonts w:cstheme="minorHAnsi"/>
                <w:sz w:val="22"/>
                <w:szCs w:val="22"/>
                <w:lang w:val="en-GB"/>
              </w:rPr>
              <w:t>irectorate (NDRMD)</w:t>
            </w:r>
          </w:p>
          <w:p w14:paraId="784BD3FD" w14:textId="77777777" w:rsidR="003A41BE" w:rsidRPr="00841766" w:rsidRDefault="003A41BE" w:rsidP="00FD44CE">
            <w:pPr>
              <w:pStyle w:val="Default"/>
              <w:rPr>
                <w:rFonts w:asciiTheme="minorHAnsi" w:hAnsiTheme="minorHAnsi" w:cstheme="minorHAnsi"/>
                <w:sz w:val="22"/>
                <w:szCs w:val="22"/>
                <w:lang w:val="en-US"/>
              </w:rPr>
            </w:pPr>
          </w:p>
        </w:tc>
      </w:tr>
      <w:tr w:rsidR="003A41BE" w:rsidRPr="00841766" w14:paraId="154B31F2"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DFA75" w14:textId="77777777" w:rsidR="003A41BE" w:rsidRPr="00841766"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t xml:space="preserve">6.d Timor-Leste has communicated the establishment or operationalization of an integrated policy/strategy/plan which increases their ability to adapt to the adverse impacts of climate change, and foster climate resilience and low greenhouse gas emissions development in a manner that does not threaten food </w:t>
            </w:r>
            <w:r w:rsidRPr="00841766">
              <w:rPr>
                <w:rFonts w:asciiTheme="minorHAnsi" w:hAnsiTheme="minorHAnsi" w:cstheme="minorHAnsi"/>
                <w:sz w:val="22"/>
                <w:szCs w:val="22"/>
                <w:lang w:val="en-US"/>
              </w:rPr>
              <w:lastRenderedPageBreak/>
              <w:t>production (including a national adaptation plan, nationally determined contribution, national communication, biennial update report or other) (SDG Indicator 13.2.1)</w:t>
            </w:r>
          </w:p>
          <w:tbl>
            <w:tblPr>
              <w:tblStyle w:val="TableGrid"/>
              <w:tblW w:w="0" w:type="auto"/>
              <w:tblLayout w:type="fixed"/>
              <w:tblLook w:val="04A0" w:firstRow="1" w:lastRow="0" w:firstColumn="1" w:lastColumn="0" w:noHBand="0" w:noVBand="1"/>
            </w:tblPr>
            <w:tblGrid>
              <w:gridCol w:w="4116"/>
              <w:gridCol w:w="5940"/>
            </w:tblGrid>
            <w:tr w:rsidR="003A41BE" w:rsidRPr="00DA2276" w14:paraId="4AC4EE36" w14:textId="77777777" w:rsidTr="00FD44CE">
              <w:tc>
                <w:tcPr>
                  <w:tcW w:w="4116" w:type="dxa"/>
                </w:tcPr>
                <w:p w14:paraId="58CE4341"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Baseline</w:t>
                  </w:r>
                </w:p>
              </w:tc>
              <w:tc>
                <w:tcPr>
                  <w:tcW w:w="5940" w:type="dxa"/>
                </w:tcPr>
                <w:p w14:paraId="7BF6EBE7"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DA2276" w14:paraId="36010D02" w14:textId="77777777" w:rsidTr="00FD44CE">
              <w:tc>
                <w:tcPr>
                  <w:tcW w:w="4116" w:type="dxa"/>
                </w:tcPr>
                <w:p w14:paraId="7FF359AA" w14:textId="77777777" w:rsidR="003A41BE" w:rsidRPr="003F4BC2" w:rsidRDefault="003A41BE" w:rsidP="002A37E3">
                  <w:pPr>
                    <w:framePr w:hSpace="141" w:wrap="around" w:vAnchor="text" w:hAnchor="text" w:x="421" w:y="1"/>
                    <w:suppressOverlap/>
                    <w:jc w:val="center"/>
                    <w:rPr>
                      <w:sz w:val="22"/>
                      <w:szCs w:val="22"/>
                      <w:lang w:val="en-US"/>
                    </w:rPr>
                  </w:pPr>
                  <w:r w:rsidRPr="003F4BC2">
                    <w:rPr>
                      <w:sz w:val="22"/>
                      <w:szCs w:val="22"/>
                      <w:lang w:val="en-US"/>
                    </w:rPr>
                    <w:t>Draft Climate Change Policy, National Adaptation Plan on Climate Change (NAP) and INDC</w:t>
                  </w:r>
                </w:p>
              </w:tc>
              <w:tc>
                <w:tcPr>
                  <w:tcW w:w="5940" w:type="dxa"/>
                </w:tcPr>
                <w:p w14:paraId="35C3DCF9" w14:textId="77777777" w:rsidR="003A41BE" w:rsidRPr="003F4BC2" w:rsidRDefault="003A41BE" w:rsidP="002A37E3">
                  <w:pPr>
                    <w:framePr w:hSpace="141" w:wrap="around" w:vAnchor="text" w:hAnchor="text" w:x="421" w:y="1"/>
                    <w:suppressOverlap/>
                    <w:jc w:val="center"/>
                    <w:rPr>
                      <w:bCs/>
                      <w:sz w:val="22"/>
                      <w:szCs w:val="22"/>
                      <w:lang w:val="en-US"/>
                    </w:rPr>
                  </w:pPr>
                  <w:r w:rsidRPr="003F4BC2">
                    <w:rPr>
                      <w:bCs/>
                      <w:sz w:val="22"/>
                      <w:szCs w:val="22"/>
                      <w:lang w:val="en-US"/>
                    </w:rPr>
                    <w:t>National Climate Change Policy, National Adaptation Plan on Climate Change and INDC is established and operationalized</w:t>
                  </w:r>
                </w:p>
              </w:tc>
            </w:tr>
          </w:tbl>
          <w:p w14:paraId="615CC351" w14:textId="77777777" w:rsidR="003A41BE" w:rsidRDefault="003A41BE" w:rsidP="00FD44CE">
            <w:pPr>
              <w:pStyle w:val="Default"/>
              <w:rPr>
                <w:rFonts w:asciiTheme="minorHAnsi" w:hAnsiTheme="minorHAnsi" w:cstheme="minorHAnsi"/>
                <w:bCs/>
                <w:sz w:val="22"/>
                <w:szCs w:val="22"/>
                <w:lang w:val="en-US"/>
              </w:rPr>
            </w:pPr>
            <w:r w:rsidRPr="003F4BC2">
              <w:rPr>
                <w:rFonts w:asciiTheme="minorHAnsi" w:hAnsiTheme="minorHAnsi" w:cstheme="minorHAnsi"/>
                <w:bCs/>
                <w:sz w:val="22"/>
                <w:szCs w:val="22"/>
                <w:lang w:val="en-US"/>
              </w:rPr>
              <w:t xml:space="preserve">Data Source: </w:t>
            </w:r>
            <w:r w:rsidRPr="00770D92">
              <w:rPr>
                <w:rFonts w:asciiTheme="minorHAnsi" w:hAnsiTheme="minorHAnsi" w:cstheme="minorHAnsi"/>
                <w:sz w:val="22"/>
                <w:szCs w:val="22"/>
                <w:lang w:val="en-GB"/>
              </w:rPr>
              <w:t xml:space="preserve"> Ministry of Environment National Directorate for Climate Change</w:t>
            </w:r>
          </w:p>
          <w:p w14:paraId="3EBDE01B" w14:textId="77777777" w:rsidR="003A41BE" w:rsidRPr="00715FF4" w:rsidRDefault="003A41BE" w:rsidP="00FD44CE">
            <w:pPr>
              <w:pStyle w:val="Default"/>
              <w:rPr>
                <w:rFonts w:asciiTheme="minorHAnsi" w:hAnsiTheme="minorHAnsi" w:cstheme="minorHAnsi"/>
                <w:bCs/>
                <w:sz w:val="22"/>
                <w:szCs w:val="22"/>
                <w:lang w:val="en-US"/>
              </w:rPr>
            </w:pPr>
          </w:p>
        </w:tc>
      </w:tr>
      <w:tr w:rsidR="003A41BE" w:rsidRPr="00841766" w14:paraId="542DD82D"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C7C4FE" w14:textId="77777777" w:rsidR="003A41BE" w:rsidRPr="00841766"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sz w:val="22"/>
                <w:szCs w:val="22"/>
                <w:lang w:val="en-US"/>
              </w:rPr>
              <w:lastRenderedPageBreak/>
              <w:t>6.e Proportion of fish stocks within biologically sustainable levels (SDG Indicator 14.4.1)</w:t>
            </w:r>
          </w:p>
          <w:tbl>
            <w:tblPr>
              <w:tblStyle w:val="TableGrid"/>
              <w:tblW w:w="0" w:type="auto"/>
              <w:tblLayout w:type="fixed"/>
              <w:tblLook w:val="04A0" w:firstRow="1" w:lastRow="0" w:firstColumn="1" w:lastColumn="0" w:noHBand="0" w:noVBand="1"/>
            </w:tblPr>
            <w:tblGrid>
              <w:gridCol w:w="2073"/>
              <w:gridCol w:w="2523"/>
              <w:gridCol w:w="1620"/>
            </w:tblGrid>
            <w:tr w:rsidR="003A41BE" w:rsidRPr="00DA2276" w14:paraId="78AFD766" w14:textId="77777777" w:rsidTr="00FD44CE">
              <w:tc>
                <w:tcPr>
                  <w:tcW w:w="2073" w:type="dxa"/>
                </w:tcPr>
                <w:p w14:paraId="0ADD00F8" w14:textId="77777777" w:rsidR="003A41BE" w:rsidRPr="00DA2276" w:rsidRDefault="003A41BE" w:rsidP="002A37E3">
                  <w:pPr>
                    <w:framePr w:hSpace="141" w:wrap="around" w:vAnchor="text" w:hAnchor="text" w:x="421" w:y="1"/>
                    <w:suppressOverlap/>
                    <w:jc w:val="center"/>
                    <w:rPr>
                      <w:sz w:val="22"/>
                      <w:szCs w:val="22"/>
                      <w:lang w:val="en-US"/>
                    </w:rPr>
                  </w:pPr>
                </w:p>
              </w:tc>
              <w:tc>
                <w:tcPr>
                  <w:tcW w:w="2523" w:type="dxa"/>
                </w:tcPr>
                <w:p w14:paraId="5B7AE284"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Baseline</w:t>
                  </w:r>
                </w:p>
              </w:tc>
              <w:tc>
                <w:tcPr>
                  <w:tcW w:w="1620" w:type="dxa"/>
                </w:tcPr>
                <w:p w14:paraId="1450BEAE"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DA2276" w14:paraId="7353F20A" w14:textId="77777777" w:rsidTr="00FD44CE">
              <w:tc>
                <w:tcPr>
                  <w:tcW w:w="2073" w:type="dxa"/>
                </w:tcPr>
                <w:p w14:paraId="0CE75B1F" w14:textId="77777777" w:rsidR="003A41BE" w:rsidRPr="003F4BC2" w:rsidRDefault="003A41BE" w:rsidP="002A37E3">
                  <w:pPr>
                    <w:framePr w:hSpace="141" w:wrap="around" w:vAnchor="text" w:hAnchor="text" w:x="421" w:y="1"/>
                    <w:suppressOverlap/>
                    <w:jc w:val="center"/>
                    <w:rPr>
                      <w:sz w:val="22"/>
                      <w:szCs w:val="22"/>
                      <w:lang w:val="en-US"/>
                    </w:rPr>
                  </w:pPr>
                  <w:r w:rsidRPr="003F4BC2">
                    <w:rPr>
                      <w:sz w:val="22"/>
                      <w:szCs w:val="22"/>
                      <w:lang w:val="en-US"/>
                    </w:rPr>
                    <w:t>Pelagic longline survey total catch</w:t>
                  </w:r>
                </w:p>
              </w:tc>
              <w:tc>
                <w:tcPr>
                  <w:tcW w:w="2523" w:type="dxa"/>
                </w:tcPr>
                <w:p w14:paraId="229F5981" w14:textId="77777777" w:rsidR="003A41BE" w:rsidRPr="003F4BC2" w:rsidRDefault="003A41BE" w:rsidP="002A37E3">
                  <w:pPr>
                    <w:framePr w:hSpace="141" w:wrap="around" w:vAnchor="text" w:hAnchor="text" w:x="421" w:y="1"/>
                    <w:suppressOverlap/>
                    <w:jc w:val="center"/>
                    <w:rPr>
                      <w:sz w:val="22"/>
                      <w:szCs w:val="22"/>
                      <w:lang w:val="en-US"/>
                    </w:rPr>
                  </w:pPr>
                  <w:r w:rsidRPr="003F4BC2">
                    <w:rPr>
                      <w:sz w:val="22"/>
                      <w:szCs w:val="22"/>
                      <w:lang w:val="en-US"/>
                    </w:rPr>
                    <w:t xml:space="preserve">30.2 kg and catch rate </w:t>
                  </w:r>
                  <w:r>
                    <w:rPr>
                      <w:sz w:val="22"/>
                      <w:szCs w:val="22"/>
                      <w:lang w:val="en-US"/>
                    </w:rPr>
                    <w:br/>
                  </w:r>
                  <w:r w:rsidRPr="003F4BC2">
                    <w:rPr>
                      <w:sz w:val="22"/>
                      <w:szCs w:val="22"/>
                      <w:lang w:val="en-US"/>
                    </w:rPr>
                    <w:t>2.8 kg/100 hooks</w:t>
                  </w:r>
                </w:p>
              </w:tc>
              <w:tc>
                <w:tcPr>
                  <w:tcW w:w="1620" w:type="dxa"/>
                </w:tcPr>
                <w:p w14:paraId="563967E7" w14:textId="77777777" w:rsidR="003A41BE" w:rsidRPr="007A75A1" w:rsidRDefault="003A41BE" w:rsidP="002A37E3">
                  <w:pPr>
                    <w:framePr w:hSpace="141" w:wrap="around" w:vAnchor="text" w:hAnchor="text" w:x="421" w:y="1"/>
                    <w:suppressOverlap/>
                    <w:jc w:val="center"/>
                    <w:rPr>
                      <w:bCs/>
                      <w:sz w:val="22"/>
                      <w:szCs w:val="22"/>
                      <w:lang w:val="en-US"/>
                    </w:rPr>
                  </w:pPr>
                  <w:r w:rsidRPr="007A75A1">
                    <w:rPr>
                      <w:bCs/>
                      <w:sz w:val="22"/>
                      <w:szCs w:val="22"/>
                      <w:lang w:val="en-US"/>
                    </w:rPr>
                    <w:t>TBD</w:t>
                  </w:r>
                </w:p>
              </w:tc>
            </w:tr>
            <w:tr w:rsidR="003A41BE" w:rsidRPr="00DA2276" w14:paraId="1607D003" w14:textId="77777777" w:rsidTr="00FD44CE">
              <w:tc>
                <w:tcPr>
                  <w:tcW w:w="2073" w:type="dxa"/>
                </w:tcPr>
                <w:p w14:paraId="767963C3" w14:textId="77777777" w:rsidR="003A41BE" w:rsidRPr="003F4BC2" w:rsidRDefault="003A41BE" w:rsidP="002A37E3">
                  <w:pPr>
                    <w:framePr w:hSpace="141" w:wrap="around" w:vAnchor="text" w:hAnchor="text" w:x="421" w:y="1"/>
                    <w:suppressOverlap/>
                    <w:jc w:val="center"/>
                    <w:rPr>
                      <w:sz w:val="22"/>
                      <w:szCs w:val="22"/>
                      <w:lang w:val="en-US"/>
                    </w:rPr>
                  </w:pPr>
                  <w:r w:rsidRPr="003F4BC2">
                    <w:rPr>
                      <w:sz w:val="22"/>
                      <w:szCs w:val="22"/>
                      <w:lang w:val="en-US"/>
                    </w:rPr>
                    <w:t xml:space="preserve">Midwater trawl survey total catch </w:t>
                  </w:r>
                </w:p>
              </w:tc>
              <w:tc>
                <w:tcPr>
                  <w:tcW w:w="2523" w:type="dxa"/>
                </w:tcPr>
                <w:p w14:paraId="29F5330A" w14:textId="77777777" w:rsidR="003A41BE" w:rsidRPr="003F4BC2" w:rsidRDefault="003A41BE" w:rsidP="002A37E3">
                  <w:pPr>
                    <w:framePr w:hSpace="141" w:wrap="around" w:vAnchor="text" w:hAnchor="text" w:x="421" w:y="1"/>
                    <w:suppressOverlap/>
                    <w:jc w:val="center"/>
                    <w:rPr>
                      <w:sz w:val="22"/>
                      <w:szCs w:val="22"/>
                      <w:lang w:val="en-US"/>
                    </w:rPr>
                  </w:pPr>
                  <w:r w:rsidRPr="003F4BC2">
                    <w:rPr>
                      <w:sz w:val="22"/>
                      <w:szCs w:val="22"/>
                      <w:lang w:val="en-US"/>
                    </w:rPr>
                    <w:t>3.1kg and catch rate 0.42kg/hour</w:t>
                  </w:r>
                </w:p>
              </w:tc>
              <w:tc>
                <w:tcPr>
                  <w:tcW w:w="1620" w:type="dxa"/>
                </w:tcPr>
                <w:p w14:paraId="3EB3E292" w14:textId="77777777" w:rsidR="003A41BE" w:rsidRPr="007A75A1" w:rsidRDefault="003A41BE" w:rsidP="002A37E3">
                  <w:pPr>
                    <w:framePr w:hSpace="141" w:wrap="around" w:vAnchor="text" w:hAnchor="text" w:x="421" w:y="1"/>
                    <w:suppressOverlap/>
                    <w:jc w:val="center"/>
                    <w:rPr>
                      <w:bCs/>
                      <w:sz w:val="22"/>
                      <w:szCs w:val="22"/>
                      <w:lang w:val="en-US"/>
                    </w:rPr>
                  </w:pPr>
                  <w:r w:rsidRPr="007A75A1">
                    <w:rPr>
                      <w:bCs/>
                      <w:sz w:val="22"/>
                      <w:szCs w:val="22"/>
                      <w:lang w:val="en-US"/>
                    </w:rPr>
                    <w:t>TBD</w:t>
                  </w:r>
                </w:p>
              </w:tc>
            </w:tr>
          </w:tbl>
          <w:p w14:paraId="44C3B5D1" w14:textId="77777777" w:rsidR="003A41BE" w:rsidRDefault="003A41BE" w:rsidP="00FD44CE">
            <w:pPr>
              <w:pStyle w:val="Default"/>
              <w:rPr>
                <w:rFonts w:asciiTheme="minorHAnsi" w:hAnsiTheme="minorHAnsi" w:cstheme="minorHAnsi"/>
                <w:bCs/>
                <w:sz w:val="22"/>
                <w:szCs w:val="22"/>
                <w:lang w:val="en-US"/>
              </w:rPr>
            </w:pPr>
            <w:r w:rsidRPr="003F4BC2">
              <w:rPr>
                <w:rFonts w:asciiTheme="minorHAnsi" w:hAnsiTheme="minorHAnsi" w:cstheme="minorHAnsi"/>
                <w:bCs/>
                <w:sz w:val="22"/>
                <w:szCs w:val="22"/>
                <w:lang w:val="en-US"/>
              </w:rPr>
              <w:t xml:space="preserve">Note: </w:t>
            </w:r>
            <w:r>
              <w:rPr>
                <w:rFonts w:asciiTheme="minorHAnsi" w:hAnsiTheme="minorHAnsi" w:cstheme="minorHAnsi"/>
                <w:bCs/>
                <w:sz w:val="22"/>
                <w:szCs w:val="22"/>
                <w:lang w:val="en-US"/>
              </w:rPr>
              <w:t xml:space="preserve">2019 fisheries resources survey results (overall total average catch rate expected to be available in final report due Feb/March 2020). </w:t>
            </w:r>
          </w:p>
          <w:p w14:paraId="2322EBA5" w14:textId="77777777" w:rsidR="003A41BE" w:rsidRDefault="003A41BE" w:rsidP="00FD44CE">
            <w:pPr>
              <w:pStyle w:val="Default"/>
              <w:rPr>
                <w:rFonts w:asciiTheme="minorHAnsi" w:hAnsiTheme="minorHAnsi" w:cstheme="minorHAnsi"/>
                <w:bCs/>
                <w:sz w:val="22"/>
                <w:szCs w:val="22"/>
                <w:lang w:val="en-US"/>
              </w:rPr>
            </w:pPr>
            <w:r>
              <w:rPr>
                <w:rFonts w:asciiTheme="minorHAnsi" w:hAnsiTheme="minorHAnsi" w:cstheme="minorHAnsi"/>
                <w:bCs/>
                <w:sz w:val="22"/>
                <w:szCs w:val="22"/>
                <w:lang w:val="en-US"/>
              </w:rPr>
              <w:t xml:space="preserve">1) </w:t>
            </w:r>
            <w:proofErr w:type="spellStart"/>
            <w:r w:rsidRPr="003F4BC2">
              <w:rPr>
                <w:rFonts w:asciiTheme="minorHAnsi" w:hAnsiTheme="minorHAnsi" w:cstheme="minorHAnsi"/>
                <w:bCs/>
                <w:sz w:val="22"/>
                <w:szCs w:val="22"/>
                <w:lang w:val="en-US"/>
              </w:rPr>
              <w:t>Pelagoic</w:t>
            </w:r>
            <w:proofErr w:type="spellEnd"/>
            <w:r w:rsidRPr="003F4BC2">
              <w:rPr>
                <w:rFonts w:asciiTheme="minorHAnsi" w:hAnsiTheme="minorHAnsi" w:cstheme="minorHAnsi"/>
                <w:bCs/>
                <w:sz w:val="22"/>
                <w:szCs w:val="22"/>
                <w:lang w:val="en-US"/>
              </w:rPr>
              <w:t xml:space="preserve"> logline composed of four species (long snouted </w:t>
            </w:r>
            <w:proofErr w:type="spellStart"/>
            <w:r w:rsidRPr="003F4BC2">
              <w:rPr>
                <w:rFonts w:asciiTheme="minorHAnsi" w:hAnsiTheme="minorHAnsi" w:cstheme="minorHAnsi"/>
                <w:bCs/>
                <w:sz w:val="22"/>
                <w:szCs w:val="22"/>
                <w:lang w:val="en-US"/>
              </w:rPr>
              <w:t>lancentfish</w:t>
            </w:r>
            <w:proofErr w:type="spellEnd"/>
            <w:r w:rsidRPr="003F4BC2">
              <w:rPr>
                <w:rFonts w:asciiTheme="minorHAnsi" w:hAnsiTheme="minorHAnsi" w:cstheme="minorHAnsi"/>
                <w:bCs/>
                <w:sz w:val="22"/>
                <w:szCs w:val="22"/>
                <w:lang w:val="en-US"/>
              </w:rPr>
              <w:t>, great barracuda black po</w:t>
            </w:r>
            <w:r>
              <w:rPr>
                <w:rFonts w:asciiTheme="minorHAnsi" w:hAnsiTheme="minorHAnsi" w:cstheme="minorHAnsi"/>
                <w:bCs/>
                <w:sz w:val="22"/>
                <w:szCs w:val="22"/>
                <w:lang w:val="en-US"/>
              </w:rPr>
              <w:t>m</w:t>
            </w:r>
            <w:r w:rsidRPr="003F4BC2">
              <w:rPr>
                <w:rFonts w:asciiTheme="minorHAnsi" w:hAnsiTheme="minorHAnsi" w:cstheme="minorHAnsi"/>
                <w:bCs/>
                <w:sz w:val="22"/>
                <w:szCs w:val="22"/>
                <w:lang w:val="en-US"/>
              </w:rPr>
              <w:t>fret, and pelagic stingray.</w:t>
            </w:r>
          </w:p>
          <w:p w14:paraId="0DB6CED1" w14:textId="77777777" w:rsidR="003A41BE" w:rsidRPr="003F4BC2" w:rsidRDefault="003A41BE" w:rsidP="00FD44CE">
            <w:pPr>
              <w:pStyle w:val="Default"/>
              <w:rPr>
                <w:rFonts w:asciiTheme="minorHAnsi" w:hAnsiTheme="minorHAnsi" w:cstheme="minorHAnsi"/>
                <w:bCs/>
                <w:sz w:val="22"/>
                <w:szCs w:val="22"/>
                <w:lang w:val="en-US"/>
              </w:rPr>
            </w:pPr>
            <w:r>
              <w:rPr>
                <w:rFonts w:asciiTheme="minorHAnsi" w:hAnsiTheme="minorHAnsi" w:cstheme="minorHAnsi"/>
                <w:bCs/>
                <w:sz w:val="22"/>
                <w:szCs w:val="22"/>
                <w:lang w:val="en-US"/>
              </w:rPr>
              <w:t>2) Midwater trawl, classified into four groups (fish, cephalopod, shrimp and other)</w:t>
            </w:r>
          </w:p>
          <w:p w14:paraId="3928F268" w14:textId="77777777" w:rsidR="003A41BE" w:rsidRPr="003F4BC2" w:rsidRDefault="003A41BE" w:rsidP="00FD44CE">
            <w:pPr>
              <w:pStyle w:val="Default"/>
              <w:rPr>
                <w:rFonts w:asciiTheme="minorHAnsi" w:hAnsiTheme="minorHAnsi" w:cstheme="minorHAnsi"/>
                <w:bCs/>
                <w:sz w:val="22"/>
                <w:szCs w:val="22"/>
                <w:lang w:val="en-US"/>
              </w:rPr>
            </w:pPr>
            <w:r w:rsidRPr="002A7985">
              <w:rPr>
                <w:rFonts w:asciiTheme="minorHAnsi" w:hAnsiTheme="minorHAnsi" w:cstheme="minorHAnsi"/>
                <w:bCs/>
                <w:sz w:val="22"/>
                <w:szCs w:val="22"/>
                <w:lang w:val="en-US"/>
              </w:rPr>
              <w:t>Data Source: Thailand and Timor-Leste Collaborative Survey on Marine Fisheries Resources and Environment in the Territorial Waters and Exclusive Economic Zone of Timor-Leste, MAC Thailand, MAF Timor-Leste and FAO 2019 (draft)</w:t>
            </w:r>
          </w:p>
          <w:p w14:paraId="72E84862" w14:textId="77777777" w:rsidR="003A41BE" w:rsidRPr="00841766" w:rsidRDefault="003A41BE" w:rsidP="00FD44CE">
            <w:pPr>
              <w:pStyle w:val="Default"/>
              <w:rPr>
                <w:rFonts w:asciiTheme="minorHAnsi" w:hAnsiTheme="minorHAnsi" w:cstheme="minorHAnsi"/>
                <w:sz w:val="22"/>
                <w:szCs w:val="22"/>
                <w:lang w:val="en-US"/>
              </w:rPr>
            </w:pPr>
          </w:p>
        </w:tc>
      </w:tr>
      <w:tr w:rsidR="003A41BE" w:rsidRPr="00841766" w14:paraId="70D7C5DA"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CB2ADC" w14:textId="77777777" w:rsidR="003A41BE" w:rsidRPr="00841766" w:rsidRDefault="003A41BE" w:rsidP="00FD44CE">
            <w:pPr>
              <w:pStyle w:val="Default"/>
              <w:rPr>
                <w:rFonts w:asciiTheme="minorHAnsi" w:hAnsiTheme="minorHAnsi"/>
                <w:sz w:val="22"/>
                <w:szCs w:val="22"/>
                <w:lang w:val="en-US"/>
              </w:rPr>
            </w:pPr>
            <w:r w:rsidRPr="00841766">
              <w:rPr>
                <w:rFonts w:asciiTheme="minorHAnsi" w:hAnsiTheme="minorHAnsi"/>
                <w:sz w:val="22"/>
                <w:szCs w:val="22"/>
                <w:lang w:val="en-US"/>
              </w:rPr>
              <w:t>6.f Forest area as a proportion of total land area (SDG Indicator 15.1.1)</w:t>
            </w:r>
          </w:p>
          <w:tbl>
            <w:tblPr>
              <w:tblStyle w:val="TableGrid"/>
              <w:tblW w:w="0" w:type="auto"/>
              <w:tblLayout w:type="fixed"/>
              <w:tblLook w:val="04A0" w:firstRow="1" w:lastRow="0" w:firstColumn="1" w:lastColumn="0" w:noHBand="0" w:noVBand="1"/>
            </w:tblPr>
            <w:tblGrid>
              <w:gridCol w:w="3936"/>
              <w:gridCol w:w="3870"/>
            </w:tblGrid>
            <w:tr w:rsidR="003A41BE" w:rsidRPr="00DA2276" w14:paraId="1D7F548B" w14:textId="77777777" w:rsidTr="00FD44CE">
              <w:tc>
                <w:tcPr>
                  <w:tcW w:w="3936" w:type="dxa"/>
                </w:tcPr>
                <w:p w14:paraId="76382511"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Baseline</w:t>
                  </w:r>
                </w:p>
              </w:tc>
              <w:tc>
                <w:tcPr>
                  <w:tcW w:w="3870" w:type="dxa"/>
                </w:tcPr>
                <w:p w14:paraId="62F2F3C9"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DA2276" w14:paraId="5427D2DC" w14:textId="77777777" w:rsidTr="00FD44CE">
              <w:tc>
                <w:tcPr>
                  <w:tcW w:w="3936" w:type="dxa"/>
                </w:tcPr>
                <w:p w14:paraId="38DB08E7" w14:textId="77777777" w:rsidR="003A41BE" w:rsidRPr="002C03EB" w:rsidRDefault="003A41BE" w:rsidP="002A37E3">
                  <w:pPr>
                    <w:framePr w:hSpace="141" w:wrap="around" w:vAnchor="text" w:hAnchor="text" w:x="421" w:y="1"/>
                    <w:suppressOverlap/>
                    <w:jc w:val="center"/>
                    <w:rPr>
                      <w:sz w:val="22"/>
                      <w:szCs w:val="22"/>
                      <w:highlight w:val="yellow"/>
                      <w:lang w:val="sv-SE"/>
                    </w:rPr>
                  </w:pPr>
                  <w:r w:rsidRPr="002C03EB">
                    <w:rPr>
                      <w:rFonts w:cstheme="minorHAnsi"/>
                      <w:bCs/>
                      <w:sz w:val="22"/>
                      <w:szCs w:val="22"/>
                      <w:lang w:val="sv-SE"/>
                    </w:rPr>
                    <w:t>869,000 ha (61.6%) in 2012 (313,000 ha (21%) dense forest; 556,000 ha (37% sparse forest)</w:t>
                  </w:r>
                </w:p>
              </w:tc>
              <w:tc>
                <w:tcPr>
                  <w:tcW w:w="3870" w:type="dxa"/>
                </w:tcPr>
                <w:p w14:paraId="45F1466E" w14:textId="77777777" w:rsidR="003A41BE" w:rsidRPr="002C03EB" w:rsidRDefault="003A41BE" w:rsidP="002A37E3">
                  <w:pPr>
                    <w:framePr w:hSpace="141" w:wrap="around" w:vAnchor="text" w:hAnchor="text" w:x="421" w:y="1"/>
                    <w:suppressOverlap/>
                    <w:jc w:val="center"/>
                    <w:rPr>
                      <w:bCs/>
                      <w:sz w:val="22"/>
                      <w:szCs w:val="22"/>
                      <w:highlight w:val="yellow"/>
                      <w:lang w:val="sv-SE"/>
                    </w:rPr>
                  </w:pPr>
                  <w:r w:rsidRPr="002C03EB">
                    <w:rPr>
                      <w:rFonts w:cstheme="minorHAnsi"/>
                      <w:sz w:val="22"/>
                      <w:szCs w:val="22"/>
                      <w:lang w:val="sv-SE"/>
                    </w:rPr>
                    <w:t>By 2023: 745,682.31 ha (228,174.57 ha dense forest; 278,999.19 ha sparse forest; 238,508.55 ha non-forest area)</w:t>
                  </w:r>
                </w:p>
              </w:tc>
            </w:tr>
          </w:tbl>
          <w:p w14:paraId="16D12727" w14:textId="77777777" w:rsidR="003A41BE" w:rsidRPr="002A7985" w:rsidRDefault="003A41BE" w:rsidP="00FD44CE">
            <w:pPr>
              <w:pStyle w:val="Default"/>
              <w:rPr>
                <w:rFonts w:asciiTheme="minorHAnsi" w:hAnsiTheme="minorHAnsi" w:cstheme="minorHAnsi"/>
                <w:bCs/>
                <w:sz w:val="22"/>
                <w:szCs w:val="22"/>
                <w:lang w:val="en-US"/>
              </w:rPr>
            </w:pPr>
            <w:r w:rsidRPr="003F4BC2">
              <w:rPr>
                <w:rFonts w:asciiTheme="minorHAnsi" w:hAnsiTheme="minorHAnsi" w:cstheme="minorHAnsi"/>
                <w:bCs/>
                <w:sz w:val="22"/>
                <w:szCs w:val="22"/>
                <w:lang w:val="en-US"/>
              </w:rPr>
              <w:t xml:space="preserve">Data Source: </w:t>
            </w:r>
            <w:r w:rsidRPr="002A7985">
              <w:rPr>
                <w:rFonts w:asciiTheme="minorHAnsi" w:hAnsiTheme="minorHAnsi" w:cstheme="minorHAnsi"/>
                <w:bCs/>
                <w:sz w:val="22"/>
                <w:szCs w:val="22"/>
                <w:lang w:val="en-US"/>
              </w:rPr>
              <w:t xml:space="preserve"> MAF, JICA: MAF National Directorate of Forestry: Draft National Forest Conservation Plan, 2013</w:t>
            </w:r>
          </w:p>
        </w:tc>
      </w:tr>
      <w:tr w:rsidR="003A41BE" w:rsidRPr="00841766" w14:paraId="2EBA03EA" w14:textId="77777777" w:rsidTr="53E3C463">
        <w:trPr>
          <w:trHeight w:val="258"/>
        </w:trPr>
        <w:tc>
          <w:tcPr>
            <w:tcW w:w="1445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CE2F5D" w14:textId="77777777" w:rsidR="003A41BE" w:rsidRDefault="003A41BE" w:rsidP="00FD44CE">
            <w:pPr>
              <w:pStyle w:val="Default"/>
              <w:rPr>
                <w:rFonts w:asciiTheme="minorHAnsi" w:hAnsiTheme="minorHAnsi"/>
                <w:sz w:val="22"/>
                <w:szCs w:val="22"/>
                <w:lang w:val="en-US"/>
              </w:rPr>
            </w:pPr>
            <w:r>
              <w:rPr>
                <w:rFonts w:asciiTheme="minorHAnsi" w:hAnsiTheme="minorHAnsi"/>
                <w:sz w:val="22"/>
                <w:szCs w:val="22"/>
                <w:lang w:val="en-US"/>
              </w:rPr>
              <w:t>6.g Proportion of households utilizing drinking water from an improved source within a roundtrip collection time not more than 30 minutes (basic service level) (SDG 1.4.1)</w:t>
            </w:r>
          </w:p>
          <w:tbl>
            <w:tblPr>
              <w:tblStyle w:val="TableGrid"/>
              <w:tblW w:w="0" w:type="auto"/>
              <w:tblLayout w:type="fixed"/>
              <w:tblLook w:val="04A0" w:firstRow="1" w:lastRow="0" w:firstColumn="1" w:lastColumn="0" w:noHBand="0" w:noVBand="1"/>
            </w:tblPr>
            <w:tblGrid>
              <w:gridCol w:w="1510"/>
              <w:gridCol w:w="2693"/>
            </w:tblGrid>
            <w:tr w:rsidR="003A41BE" w:rsidRPr="00DA2276" w14:paraId="59DE0033" w14:textId="77777777" w:rsidTr="00FD44CE">
              <w:tc>
                <w:tcPr>
                  <w:tcW w:w="1510" w:type="dxa"/>
                </w:tcPr>
                <w:p w14:paraId="20FBBD4E"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Baseline</w:t>
                  </w:r>
                </w:p>
              </w:tc>
              <w:tc>
                <w:tcPr>
                  <w:tcW w:w="2693" w:type="dxa"/>
                </w:tcPr>
                <w:p w14:paraId="749A2DDA"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476494" w14:paraId="2899E021" w14:textId="77777777" w:rsidTr="00FD44CE">
              <w:tc>
                <w:tcPr>
                  <w:tcW w:w="1510" w:type="dxa"/>
                </w:tcPr>
                <w:p w14:paraId="34BA960B" w14:textId="77777777" w:rsidR="003A41BE" w:rsidRPr="00DA2276" w:rsidRDefault="003A41BE" w:rsidP="002A37E3">
                  <w:pPr>
                    <w:framePr w:hSpace="141" w:wrap="around" w:vAnchor="text" w:hAnchor="text" w:x="421" w:y="1"/>
                    <w:suppressOverlap/>
                    <w:jc w:val="center"/>
                    <w:rPr>
                      <w:sz w:val="22"/>
                      <w:szCs w:val="22"/>
                      <w:highlight w:val="yellow"/>
                      <w:lang w:val="en-US"/>
                    </w:rPr>
                  </w:pPr>
                  <w:r>
                    <w:rPr>
                      <w:sz w:val="22"/>
                      <w:szCs w:val="22"/>
                      <w:lang w:val="en-US"/>
                    </w:rPr>
                    <w:t>78 %</w:t>
                  </w:r>
                </w:p>
              </w:tc>
              <w:tc>
                <w:tcPr>
                  <w:tcW w:w="2693" w:type="dxa"/>
                </w:tcPr>
                <w:p w14:paraId="751B04F3" w14:textId="77777777" w:rsidR="003A41BE" w:rsidRPr="002A7985" w:rsidRDefault="003A41BE" w:rsidP="002A37E3">
                  <w:pPr>
                    <w:framePr w:hSpace="141" w:wrap="around" w:vAnchor="text" w:hAnchor="text" w:x="421" w:y="1"/>
                    <w:suppressOverlap/>
                    <w:jc w:val="center"/>
                    <w:rPr>
                      <w:bCs/>
                      <w:sz w:val="22"/>
                      <w:szCs w:val="22"/>
                      <w:lang w:val="en-US"/>
                    </w:rPr>
                  </w:pPr>
                  <w:r w:rsidRPr="002A7985">
                    <w:rPr>
                      <w:bCs/>
                      <w:sz w:val="22"/>
                      <w:szCs w:val="22"/>
                      <w:lang w:val="en-US"/>
                    </w:rPr>
                    <w:t>Under discussion with relevant partners</w:t>
                  </w:r>
                </w:p>
              </w:tc>
            </w:tr>
          </w:tbl>
          <w:p w14:paraId="32382396" w14:textId="77777777" w:rsidR="003A41BE" w:rsidRPr="00841766" w:rsidRDefault="003A41BE" w:rsidP="00FD44CE">
            <w:pPr>
              <w:pStyle w:val="Default"/>
              <w:rPr>
                <w:rFonts w:asciiTheme="minorHAnsi" w:hAnsiTheme="minorHAnsi"/>
                <w:sz w:val="22"/>
                <w:szCs w:val="22"/>
                <w:lang w:val="en-US"/>
              </w:rPr>
            </w:pPr>
            <w:r>
              <w:rPr>
                <w:rFonts w:asciiTheme="minorHAnsi" w:hAnsiTheme="minorHAnsi"/>
                <w:sz w:val="22"/>
                <w:szCs w:val="22"/>
                <w:lang w:val="en-US"/>
              </w:rPr>
              <w:t>Data Source: JMP 2019</w:t>
            </w:r>
          </w:p>
        </w:tc>
      </w:tr>
      <w:tr w:rsidR="003A41BE" w:rsidRPr="00841766" w14:paraId="1DB37890" w14:textId="77777777" w:rsidTr="53E3C463">
        <w:trPr>
          <w:trHeight w:val="339"/>
        </w:trPr>
        <w:tc>
          <w:tcPr>
            <w:tcW w:w="4529" w:type="dxa"/>
            <w:tcBorders>
              <w:top w:val="single" w:sz="4" w:space="0" w:color="auto"/>
              <w:left w:val="single" w:sz="4" w:space="0" w:color="auto"/>
              <w:bottom w:val="single" w:sz="4" w:space="0" w:color="auto"/>
              <w:right w:val="single" w:sz="4" w:space="0" w:color="auto"/>
            </w:tcBorders>
            <w:shd w:val="clear" w:color="auto" w:fill="000000" w:themeFill="text1"/>
          </w:tcPr>
          <w:p w14:paraId="3134FA5B"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UNSDCF Results</w:t>
            </w:r>
          </w:p>
        </w:tc>
        <w:tc>
          <w:tcPr>
            <w:tcW w:w="5813"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5875406F"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Indicators</w:t>
            </w:r>
          </w:p>
        </w:tc>
        <w:tc>
          <w:tcPr>
            <w:tcW w:w="4116" w:type="dxa"/>
            <w:tcBorders>
              <w:top w:val="single" w:sz="4" w:space="0" w:color="auto"/>
              <w:left w:val="single" w:sz="4" w:space="0" w:color="auto"/>
              <w:bottom w:val="single" w:sz="4" w:space="0" w:color="auto"/>
              <w:right w:val="single" w:sz="4" w:space="0" w:color="auto"/>
            </w:tcBorders>
            <w:shd w:val="clear" w:color="auto" w:fill="000000" w:themeFill="text1"/>
          </w:tcPr>
          <w:p w14:paraId="2535D830" w14:textId="77777777" w:rsidR="003A41BE" w:rsidRPr="00841766" w:rsidRDefault="003A41BE" w:rsidP="00FD44CE">
            <w:pPr>
              <w:rPr>
                <w:rFonts w:cstheme="minorHAnsi"/>
                <w:b/>
                <w:color w:val="FFFFFF" w:themeColor="background1"/>
                <w:sz w:val="26"/>
                <w:szCs w:val="26"/>
                <w:lang w:val="en-US"/>
              </w:rPr>
            </w:pPr>
            <w:r w:rsidRPr="00841766">
              <w:rPr>
                <w:rFonts w:cstheme="minorHAnsi"/>
                <w:b/>
                <w:color w:val="FFFFFF" w:themeColor="background1"/>
                <w:sz w:val="26"/>
                <w:szCs w:val="26"/>
                <w:lang w:val="en-US"/>
              </w:rPr>
              <w:t>Partners</w:t>
            </w:r>
          </w:p>
        </w:tc>
      </w:tr>
      <w:tr w:rsidR="003A41BE" w:rsidRPr="006444BA" w14:paraId="78A05B01" w14:textId="77777777" w:rsidTr="53E3C463">
        <w:trPr>
          <w:trHeight w:val="258"/>
        </w:trPr>
        <w:tc>
          <w:tcPr>
            <w:tcW w:w="4529" w:type="dxa"/>
            <w:vMerge w:val="restart"/>
            <w:tcBorders>
              <w:top w:val="single" w:sz="4" w:space="0" w:color="auto"/>
              <w:left w:val="single" w:sz="4" w:space="0" w:color="auto"/>
              <w:right w:val="single" w:sz="4" w:space="0" w:color="auto"/>
            </w:tcBorders>
            <w:shd w:val="clear" w:color="auto" w:fill="8EAADB" w:themeFill="accent1" w:themeFillTint="99"/>
          </w:tcPr>
          <w:p w14:paraId="0924FEF6" w14:textId="77777777" w:rsidR="003A41BE" w:rsidRPr="00841766" w:rsidRDefault="003A41BE" w:rsidP="00FD44CE">
            <w:pPr>
              <w:rPr>
                <w:rFonts w:cstheme="minorHAnsi"/>
                <w:sz w:val="22"/>
                <w:szCs w:val="22"/>
                <w:lang w:val="en-US"/>
              </w:rPr>
            </w:pPr>
            <w:r w:rsidRPr="00841766">
              <w:rPr>
                <w:rFonts w:cstheme="minorHAnsi"/>
                <w:b/>
                <w:color w:val="000000" w:themeColor="text1"/>
                <w:sz w:val="22"/>
                <w:szCs w:val="22"/>
                <w:lang w:val="en-US"/>
              </w:rPr>
              <w:lastRenderedPageBreak/>
              <w:t>Sub-Outcome 6.1:</w:t>
            </w:r>
            <w:r w:rsidRPr="00841766">
              <w:rPr>
                <w:rFonts w:cstheme="minorHAnsi"/>
                <w:sz w:val="20"/>
                <w:szCs w:val="20"/>
                <w:lang w:val="en-US"/>
              </w:rPr>
              <w:t xml:space="preserve"> </w:t>
            </w:r>
            <w:r w:rsidRPr="00841766">
              <w:rPr>
                <w:rFonts w:cstheme="minorHAnsi"/>
                <w:sz w:val="22"/>
                <w:szCs w:val="22"/>
                <w:lang w:val="en-US"/>
              </w:rPr>
              <w:t xml:space="preserve"> </w:t>
            </w:r>
          </w:p>
          <w:p w14:paraId="6B55E441" w14:textId="77777777" w:rsidR="003A41BE" w:rsidRPr="00841766" w:rsidRDefault="003A41BE" w:rsidP="00FD44CE">
            <w:pPr>
              <w:rPr>
                <w:rFonts w:cstheme="minorHAnsi"/>
                <w:sz w:val="22"/>
                <w:szCs w:val="22"/>
                <w:lang w:val="en-US"/>
              </w:rPr>
            </w:pPr>
          </w:p>
          <w:p w14:paraId="592276FD" w14:textId="77777777" w:rsidR="003A41BE" w:rsidRPr="00841766" w:rsidRDefault="003A41BE" w:rsidP="00FD44CE">
            <w:pPr>
              <w:rPr>
                <w:rFonts w:cstheme="minorHAnsi"/>
                <w:sz w:val="22"/>
                <w:szCs w:val="22"/>
                <w:lang w:val="en-US"/>
              </w:rPr>
            </w:pPr>
            <w:r w:rsidRPr="00841766">
              <w:rPr>
                <w:rFonts w:cstheme="minorHAnsi"/>
                <w:b/>
                <w:sz w:val="22"/>
                <w:szCs w:val="22"/>
                <w:lang w:val="en-US"/>
              </w:rPr>
              <w:t>Disasters Risk Management and Climate Change Adaptation</w:t>
            </w:r>
          </w:p>
          <w:p w14:paraId="1A3BBEF9" w14:textId="77777777" w:rsidR="003A41BE" w:rsidRPr="00841766" w:rsidRDefault="003A41BE" w:rsidP="00FD44CE">
            <w:pPr>
              <w:rPr>
                <w:rFonts w:cstheme="minorHAnsi"/>
                <w:sz w:val="20"/>
                <w:szCs w:val="20"/>
                <w:lang w:val="en-US"/>
              </w:rPr>
            </w:pPr>
            <w:r w:rsidRPr="00841766">
              <w:rPr>
                <w:rFonts w:cstheme="minorHAnsi"/>
                <w:bCs/>
                <w:sz w:val="22"/>
                <w:szCs w:val="22"/>
                <w:lang w:val="en-US"/>
              </w:rPr>
              <w:t>Gender-responsive and equitable disaster risk management and climate change adaptation/management policies and programmes (including social protection) are developed, implemented and awareness is raised at national and sub-national Government levels, in communities and civil society organizations.</w:t>
            </w:r>
          </w:p>
          <w:p w14:paraId="011A21FD" w14:textId="77777777" w:rsidR="003A41BE" w:rsidRPr="00841766" w:rsidRDefault="003A41BE" w:rsidP="00FD44CE">
            <w:pPr>
              <w:jc w:val="both"/>
              <w:rPr>
                <w:rFonts w:cstheme="minorHAnsi"/>
                <w:i/>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69DFB" w14:textId="77777777" w:rsidR="003A41BE" w:rsidRPr="00841766" w:rsidRDefault="003A41BE" w:rsidP="00FD44CE">
            <w:pPr>
              <w:autoSpaceDE w:val="0"/>
              <w:autoSpaceDN w:val="0"/>
              <w:adjustRightInd w:val="0"/>
              <w:rPr>
                <w:rFonts w:cstheme="minorHAnsi"/>
                <w:sz w:val="22"/>
                <w:szCs w:val="22"/>
                <w:lang w:val="en-US"/>
              </w:rPr>
            </w:pPr>
            <w:r w:rsidRPr="00841766">
              <w:rPr>
                <w:rFonts w:cstheme="minorHAnsi"/>
                <w:b/>
                <w:sz w:val="22"/>
                <w:szCs w:val="22"/>
                <w:lang w:val="en-US"/>
              </w:rPr>
              <w:t xml:space="preserve">Indicator 6.1.1: </w:t>
            </w:r>
            <w:r w:rsidRPr="00841766">
              <w:rPr>
                <w:rFonts w:cstheme="minorHAnsi"/>
                <w:sz w:val="22"/>
                <w:szCs w:val="22"/>
                <w:lang w:val="en-US"/>
              </w:rPr>
              <w:t xml:space="preserve">Sectoral disaster risk management and climate change policies, plans and strategies developed and </w:t>
            </w:r>
            <w:proofErr w:type="spellStart"/>
            <w:r w:rsidRPr="00841766">
              <w:rPr>
                <w:rFonts w:cstheme="minorHAnsi"/>
                <w:sz w:val="22"/>
                <w:szCs w:val="22"/>
                <w:lang w:val="en-US"/>
              </w:rPr>
              <w:t>operationalised</w:t>
            </w:r>
            <w:proofErr w:type="spellEnd"/>
            <w:r w:rsidRPr="00841766">
              <w:rPr>
                <w:rFonts w:cstheme="minorHAnsi"/>
                <w:sz w:val="22"/>
                <w:szCs w:val="22"/>
                <w:lang w:val="en-US"/>
              </w:rPr>
              <w:t xml:space="preserve"> (SDG Indicators 13.1.2 and 13.2.1, 13.3,2) </w:t>
            </w:r>
          </w:p>
          <w:tbl>
            <w:tblPr>
              <w:tblStyle w:val="TableGrid"/>
              <w:tblW w:w="0" w:type="auto"/>
              <w:tblLayout w:type="fixed"/>
              <w:tblLook w:val="04A0" w:firstRow="1" w:lastRow="0" w:firstColumn="1" w:lastColumn="0" w:noHBand="0" w:noVBand="1"/>
            </w:tblPr>
            <w:tblGrid>
              <w:gridCol w:w="2639"/>
              <w:gridCol w:w="2520"/>
            </w:tblGrid>
            <w:tr w:rsidR="003A41BE" w:rsidRPr="00DA2276" w14:paraId="6F5B6D7A" w14:textId="77777777" w:rsidTr="00FD44CE">
              <w:tc>
                <w:tcPr>
                  <w:tcW w:w="2639" w:type="dxa"/>
                </w:tcPr>
                <w:p w14:paraId="4737936E"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Baseline</w:t>
                  </w:r>
                </w:p>
              </w:tc>
              <w:tc>
                <w:tcPr>
                  <w:tcW w:w="2520" w:type="dxa"/>
                </w:tcPr>
                <w:p w14:paraId="3A1FC1D2"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DA2276" w14:paraId="4A682F12" w14:textId="77777777" w:rsidTr="00FD44CE">
              <w:tc>
                <w:tcPr>
                  <w:tcW w:w="2639" w:type="dxa"/>
                </w:tcPr>
                <w:p w14:paraId="2183D982" w14:textId="77777777" w:rsidR="003A41BE" w:rsidRPr="00DA2276" w:rsidRDefault="003A41BE" w:rsidP="002A37E3">
                  <w:pPr>
                    <w:framePr w:hSpace="141" w:wrap="around" w:vAnchor="text" w:hAnchor="text" w:x="421" w:y="1"/>
                    <w:suppressOverlap/>
                    <w:rPr>
                      <w:sz w:val="22"/>
                      <w:szCs w:val="22"/>
                      <w:highlight w:val="yellow"/>
                      <w:lang w:val="en-US"/>
                    </w:rPr>
                  </w:pPr>
                  <w:r>
                    <w:rPr>
                      <w:rFonts w:cstheme="minorHAnsi"/>
                      <w:bCs/>
                      <w:sz w:val="22"/>
                      <w:szCs w:val="22"/>
                      <w:lang w:val="en-US"/>
                    </w:rPr>
                    <w:t xml:space="preserve">- Draft </w:t>
                  </w:r>
                  <w:r w:rsidRPr="00841766">
                    <w:rPr>
                      <w:rFonts w:cstheme="minorHAnsi"/>
                      <w:bCs/>
                      <w:sz w:val="22"/>
                      <w:szCs w:val="22"/>
                      <w:lang w:val="en-US"/>
                    </w:rPr>
                    <w:t xml:space="preserve">Agriculture drought risk management plan/strategy </w:t>
                  </w:r>
                </w:p>
              </w:tc>
              <w:tc>
                <w:tcPr>
                  <w:tcW w:w="2520" w:type="dxa"/>
                </w:tcPr>
                <w:p w14:paraId="5A3C1130" w14:textId="77777777" w:rsidR="003A41BE" w:rsidRPr="002A7985" w:rsidRDefault="003A41BE" w:rsidP="002A37E3">
                  <w:pPr>
                    <w:framePr w:hSpace="141" w:wrap="around" w:vAnchor="text" w:hAnchor="text" w:x="421" w:y="1"/>
                    <w:autoSpaceDE w:val="0"/>
                    <w:autoSpaceDN w:val="0"/>
                    <w:adjustRightInd w:val="0"/>
                    <w:suppressOverlap/>
                    <w:rPr>
                      <w:rFonts w:cstheme="minorHAnsi"/>
                      <w:bCs/>
                      <w:sz w:val="22"/>
                      <w:szCs w:val="22"/>
                      <w:lang w:val="en-GB"/>
                    </w:rPr>
                  </w:pPr>
                  <w:r>
                    <w:rPr>
                      <w:rFonts w:cstheme="minorHAnsi"/>
                      <w:bCs/>
                      <w:sz w:val="22"/>
                      <w:szCs w:val="22"/>
                      <w:lang w:val="en-GB"/>
                    </w:rPr>
                    <w:t xml:space="preserve">- </w:t>
                  </w:r>
                  <w:r w:rsidRPr="002A7985">
                    <w:rPr>
                      <w:rFonts w:cstheme="minorHAnsi"/>
                      <w:bCs/>
                      <w:sz w:val="22"/>
                      <w:szCs w:val="22"/>
                      <w:lang w:val="en-GB"/>
                    </w:rPr>
                    <w:t>Agriculture multi-hazard risk management plan/strategy adopted</w:t>
                  </w:r>
                </w:p>
                <w:p w14:paraId="4D6C4AC9" w14:textId="77777777" w:rsidR="003A41BE" w:rsidRPr="002A7985" w:rsidRDefault="003A41BE" w:rsidP="002A37E3">
                  <w:pPr>
                    <w:framePr w:hSpace="141" w:wrap="around" w:vAnchor="text" w:hAnchor="text" w:x="421" w:y="1"/>
                    <w:autoSpaceDE w:val="0"/>
                    <w:autoSpaceDN w:val="0"/>
                    <w:adjustRightInd w:val="0"/>
                    <w:suppressOverlap/>
                    <w:rPr>
                      <w:rFonts w:cstheme="minorHAnsi"/>
                      <w:bCs/>
                      <w:sz w:val="22"/>
                      <w:szCs w:val="22"/>
                      <w:lang w:val="en-GB"/>
                    </w:rPr>
                  </w:pPr>
                  <w:r>
                    <w:rPr>
                      <w:rFonts w:cstheme="minorHAnsi"/>
                      <w:bCs/>
                      <w:sz w:val="22"/>
                      <w:szCs w:val="22"/>
                      <w:lang w:val="en-GB"/>
                    </w:rPr>
                    <w:t xml:space="preserve">- </w:t>
                  </w:r>
                  <w:r w:rsidRPr="002A7985">
                    <w:rPr>
                      <w:rFonts w:cstheme="minorHAnsi"/>
                      <w:bCs/>
                      <w:sz w:val="22"/>
                      <w:szCs w:val="22"/>
                      <w:lang w:val="en-GB"/>
                    </w:rPr>
                    <w:t xml:space="preserve">Civil Protection strategy </w:t>
                  </w:r>
                </w:p>
                <w:p w14:paraId="4E7DCD85" w14:textId="77777777" w:rsidR="003A41BE" w:rsidRPr="002A7985" w:rsidRDefault="003A41BE" w:rsidP="002A37E3">
                  <w:pPr>
                    <w:framePr w:hSpace="141" w:wrap="around" w:vAnchor="text" w:hAnchor="text" w:x="421" w:y="1"/>
                    <w:autoSpaceDE w:val="0"/>
                    <w:autoSpaceDN w:val="0"/>
                    <w:adjustRightInd w:val="0"/>
                    <w:suppressOverlap/>
                    <w:jc w:val="both"/>
                    <w:rPr>
                      <w:rFonts w:cstheme="minorHAnsi"/>
                      <w:bCs/>
                      <w:sz w:val="22"/>
                      <w:szCs w:val="22"/>
                      <w:lang w:val="en-GB"/>
                    </w:rPr>
                  </w:pPr>
                  <w:r>
                    <w:rPr>
                      <w:rFonts w:cstheme="minorHAnsi"/>
                      <w:bCs/>
                      <w:sz w:val="22"/>
                      <w:szCs w:val="22"/>
                      <w:lang w:val="en-GB"/>
                    </w:rPr>
                    <w:t xml:space="preserve">- </w:t>
                  </w:r>
                  <w:r w:rsidRPr="002A7985">
                    <w:rPr>
                      <w:rFonts w:cstheme="minorHAnsi"/>
                      <w:bCs/>
                      <w:sz w:val="22"/>
                      <w:szCs w:val="22"/>
                      <w:lang w:val="en-GB"/>
                    </w:rPr>
                    <w:t xml:space="preserve">NDRMD strategy </w:t>
                  </w:r>
                </w:p>
                <w:p w14:paraId="4B42529D" w14:textId="77777777" w:rsidR="003A41BE" w:rsidRPr="00DA2276" w:rsidRDefault="003A41BE" w:rsidP="002A37E3">
                  <w:pPr>
                    <w:framePr w:hSpace="141" w:wrap="around" w:vAnchor="text" w:hAnchor="text" w:x="421" w:y="1"/>
                    <w:suppressOverlap/>
                    <w:jc w:val="center"/>
                    <w:rPr>
                      <w:bCs/>
                      <w:sz w:val="22"/>
                      <w:szCs w:val="22"/>
                      <w:highlight w:val="yellow"/>
                      <w:lang w:val="en-US"/>
                    </w:rPr>
                  </w:pPr>
                </w:p>
              </w:tc>
            </w:tr>
          </w:tbl>
          <w:p w14:paraId="19E29DCF" w14:textId="77777777" w:rsidR="003A41BE" w:rsidRDefault="003A41BE" w:rsidP="00FD44CE">
            <w:pPr>
              <w:autoSpaceDE w:val="0"/>
              <w:autoSpaceDN w:val="0"/>
              <w:adjustRightInd w:val="0"/>
              <w:rPr>
                <w:rFonts w:cstheme="minorHAnsi"/>
                <w:bCs/>
                <w:sz w:val="22"/>
                <w:szCs w:val="22"/>
                <w:lang w:val="en-US"/>
              </w:rPr>
            </w:pPr>
            <w:r w:rsidRPr="003F4BC2">
              <w:rPr>
                <w:rFonts w:cstheme="minorHAnsi"/>
                <w:bCs/>
                <w:sz w:val="22"/>
                <w:szCs w:val="22"/>
                <w:lang w:val="en-US"/>
              </w:rPr>
              <w:t>Data Source:</w:t>
            </w:r>
            <w:r w:rsidRPr="00841766">
              <w:rPr>
                <w:rFonts w:cstheme="minorHAnsi"/>
                <w:b/>
                <w:sz w:val="22"/>
                <w:szCs w:val="22"/>
                <w:lang w:val="en-US"/>
              </w:rPr>
              <w:t xml:space="preserve"> </w:t>
            </w:r>
            <w:r w:rsidRPr="00841766">
              <w:rPr>
                <w:rFonts w:cstheme="minorHAnsi"/>
                <w:bCs/>
                <w:sz w:val="22"/>
                <w:szCs w:val="22"/>
                <w:lang w:val="en-US"/>
              </w:rPr>
              <w:t>NDRMD; MAF</w:t>
            </w:r>
          </w:p>
          <w:p w14:paraId="25CCC0A1" w14:textId="77777777" w:rsidR="003A41BE" w:rsidRPr="00841766" w:rsidRDefault="003A41BE" w:rsidP="00FD44CE">
            <w:pPr>
              <w:autoSpaceDE w:val="0"/>
              <w:autoSpaceDN w:val="0"/>
              <w:adjustRightInd w:val="0"/>
              <w:rPr>
                <w:rFonts w:cstheme="minorHAnsi"/>
                <w:sz w:val="22"/>
                <w:szCs w:val="22"/>
                <w:lang w:val="en-US"/>
              </w:rPr>
            </w:pPr>
          </w:p>
        </w:tc>
        <w:tc>
          <w:tcPr>
            <w:tcW w:w="4116" w:type="dxa"/>
            <w:vMerge w:val="restart"/>
            <w:tcBorders>
              <w:top w:val="single" w:sz="4" w:space="0" w:color="auto"/>
              <w:left w:val="single" w:sz="4" w:space="0" w:color="auto"/>
              <w:right w:val="single" w:sz="4" w:space="0" w:color="auto"/>
            </w:tcBorders>
          </w:tcPr>
          <w:p w14:paraId="3B069D55"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Ministry of Social Solidarity and Inclusion</w:t>
            </w:r>
          </w:p>
          <w:p w14:paraId="07CE8C3E"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Ministry of Interior (Civil Protection Directorate, NDRMD and NDOC)</w:t>
            </w:r>
          </w:p>
          <w:p w14:paraId="19E6C925"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Ministry of Public Works (National Directorate for Hydrology)</w:t>
            </w:r>
          </w:p>
          <w:p w14:paraId="45BF40C5"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National Directorate for Meteorology</w:t>
            </w:r>
          </w:p>
          <w:p w14:paraId="5524A579"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Ministry of Agriculture and Fisheries</w:t>
            </w:r>
          </w:p>
          <w:p w14:paraId="79ECFFF9"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 xml:space="preserve">Ministry of Finance </w:t>
            </w:r>
          </w:p>
          <w:p w14:paraId="1424FEAD"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 xml:space="preserve">Ministry of State Administration </w:t>
            </w:r>
          </w:p>
          <w:p w14:paraId="6A4AF934"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 xml:space="preserve">Ministry of Education </w:t>
            </w:r>
          </w:p>
          <w:p w14:paraId="59472F3C" w14:textId="77777777" w:rsidR="003A41BE" w:rsidRDefault="003A41BE" w:rsidP="00FD44CE">
            <w:pPr>
              <w:autoSpaceDE w:val="0"/>
              <w:autoSpaceDN w:val="0"/>
              <w:adjustRightInd w:val="0"/>
              <w:rPr>
                <w:rFonts w:cstheme="minorHAnsi"/>
                <w:sz w:val="22"/>
                <w:szCs w:val="22"/>
                <w:lang w:val="en-US"/>
              </w:rPr>
            </w:pPr>
          </w:p>
          <w:p w14:paraId="1AEBE77E" w14:textId="15530785" w:rsidR="003A41BE" w:rsidRDefault="00BE17F0" w:rsidP="00FD44CE">
            <w:pPr>
              <w:autoSpaceDE w:val="0"/>
              <w:autoSpaceDN w:val="0"/>
              <w:adjustRightInd w:val="0"/>
              <w:rPr>
                <w:rFonts w:cstheme="minorHAnsi"/>
                <w:sz w:val="22"/>
                <w:szCs w:val="22"/>
                <w:lang w:val="en-US"/>
              </w:rPr>
            </w:pPr>
            <w:r>
              <w:rPr>
                <w:rFonts w:cstheme="minorHAnsi"/>
                <w:sz w:val="22"/>
                <w:szCs w:val="22"/>
                <w:lang w:val="en-US"/>
              </w:rPr>
              <w:t xml:space="preserve">IOM, </w:t>
            </w:r>
            <w:r w:rsidR="003A41BE">
              <w:rPr>
                <w:rFonts w:cstheme="minorHAnsi"/>
                <w:sz w:val="22"/>
                <w:szCs w:val="22"/>
                <w:lang w:val="en-US"/>
              </w:rPr>
              <w:t>FAO,</w:t>
            </w:r>
            <w:r w:rsidR="003A41BE" w:rsidRPr="002A7985">
              <w:rPr>
                <w:rFonts w:cstheme="minorHAnsi"/>
                <w:sz w:val="22"/>
                <w:szCs w:val="22"/>
                <w:lang w:val="en-US"/>
              </w:rPr>
              <w:t xml:space="preserve"> UNDP</w:t>
            </w:r>
            <w:r w:rsidR="003A41BE">
              <w:rPr>
                <w:rFonts w:cstheme="minorHAnsi"/>
                <w:sz w:val="22"/>
                <w:szCs w:val="22"/>
                <w:lang w:val="en-US"/>
              </w:rPr>
              <w:t xml:space="preserve">, </w:t>
            </w:r>
            <w:r w:rsidR="003A41BE" w:rsidRPr="002A7985">
              <w:rPr>
                <w:rFonts w:cstheme="minorHAnsi"/>
                <w:sz w:val="22"/>
                <w:szCs w:val="22"/>
                <w:lang w:val="en-US"/>
              </w:rPr>
              <w:t xml:space="preserve">UNESCO </w:t>
            </w:r>
          </w:p>
          <w:p w14:paraId="671C8651" w14:textId="77777777" w:rsidR="003A41BE" w:rsidRDefault="003A41BE" w:rsidP="00FD44CE">
            <w:pPr>
              <w:autoSpaceDE w:val="0"/>
              <w:autoSpaceDN w:val="0"/>
              <w:adjustRightInd w:val="0"/>
              <w:rPr>
                <w:rFonts w:cstheme="minorHAnsi"/>
                <w:sz w:val="22"/>
                <w:szCs w:val="22"/>
                <w:lang w:val="en-US"/>
              </w:rPr>
            </w:pPr>
          </w:p>
          <w:p w14:paraId="4C59BE72"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 xml:space="preserve">Municipal Disaster Management Committee </w:t>
            </w:r>
          </w:p>
          <w:p w14:paraId="29EC0045" w14:textId="77777777" w:rsidR="003A41BE" w:rsidRDefault="003A41BE" w:rsidP="00FD44CE">
            <w:pPr>
              <w:autoSpaceDE w:val="0"/>
              <w:autoSpaceDN w:val="0"/>
              <w:adjustRightInd w:val="0"/>
              <w:rPr>
                <w:rFonts w:cstheme="minorHAnsi"/>
                <w:sz w:val="22"/>
                <w:szCs w:val="22"/>
                <w:lang w:val="en-US"/>
              </w:rPr>
            </w:pPr>
          </w:p>
          <w:p w14:paraId="5DD31D46" w14:textId="77777777" w:rsidR="003A41BE" w:rsidRPr="003F4BC2" w:rsidRDefault="003A41BE" w:rsidP="00FD44CE">
            <w:pPr>
              <w:autoSpaceDE w:val="0"/>
              <w:autoSpaceDN w:val="0"/>
              <w:adjustRightInd w:val="0"/>
              <w:rPr>
                <w:rFonts w:cstheme="minorHAnsi"/>
                <w:sz w:val="22"/>
                <w:szCs w:val="22"/>
                <w:lang w:val="en-US"/>
              </w:rPr>
            </w:pPr>
            <w:proofErr w:type="spellStart"/>
            <w:r w:rsidRPr="003F4BC2">
              <w:rPr>
                <w:rFonts w:cstheme="minorHAnsi"/>
                <w:sz w:val="22"/>
                <w:szCs w:val="22"/>
                <w:lang w:val="en-US"/>
              </w:rPr>
              <w:t>Suco</w:t>
            </w:r>
            <w:proofErr w:type="spellEnd"/>
            <w:r w:rsidRPr="003F4BC2">
              <w:rPr>
                <w:rFonts w:cstheme="minorHAnsi"/>
                <w:sz w:val="22"/>
                <w:szCs w:val="22"/>
                <w:lang w:val="en-US"/>
              </w:rPr>
              <w:t xml:space="preserve"> Disaster Management Committee</w:t>
            </w:r>
          </w:p>
          <w:p w14:paraId="0716E7D7" w14:textId="77777777" w:rsidR="003A41BE" w:rsidRDefault="003A41BE" w:rsidP="00FD44CE">
            <w:pPr>
              <w:autoSpaceDE w:val="0"/>
              <w:autoSpaceDN w:val="0"/>
              <w:adjustRightInd w:val="0"/>
              <w:rPr>
                <w:rFonts w:cstheme="minorHAnsi"/>
                <w:sz w:val="22"/>
                <w:szCs w:val="22"/>
                <w:lang w:val="en-US"/>
              </w:rPr>
            </w:pPr>
          </w:p>
          <w:p w14:paraId="14C8DBAE"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Local Partners (includes civil society)</w:t>
            </w:r>
          </w:p>
        </w:tc>
      </w:tr>
      <w:tr w:rsidR="003A41BE" w:rsidRPr="006444BA" w14:paraId="2E97C0F7" w14:textId="77777777" w:rsidTr="53E3C463">
        <w:trPr>
          <w:trHeight w:val="256"/>
        </w:trPr>
        <w:tc>
          <w:tcPr>
            <w:tcW w:w="4529" w:type="dxa"/>
            <w:vMerge/>
          </w:tcPr>
          <w:p w14:paraId="3AD0296E"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2225F" w14:textId="77777777" w:rsidR="003A41BE" w:rsidRDefault="003A41BE" w:rsidP="00FD44CE">
            <w:pPr>
              <w:autoSpaceDE w:val="0"/>
              <w:autoSpaceDN w:val="0"/>
              <w:adjustRightInd w:val="0"/>
              <w:rPr>
                <w:rFonts w:cstheme="minorHAnsi"/>
                <w:sz w:val="22"/>
                <w:szCs w:val="22"/>
                <w:lang w:val="en-US"/>
              </w:rPr>
            </w:pPr>
            <w:r w:rsidRPr="00841766">
              <w:rPr>
                <w:rFonts w:cstheme="minorHAnsi"/>
                <w:b/>
                <w:sz w:val="22"/>
                <w:szCs w:val="22"/>
                <w:lang w:val="en-US"/>
              </w:rPr>
              <w:t xml:space="preserve">Indicator 6.1.2: </w:t>
            </w:r>
            <w:r w:rsidRPr="00841766">
              <w:rPr>
                <w:rFonts w:cstheme="minorHAnsi"/>
                <w:sz w:val="22"/>
                <w:szCs w:val="22"/>
                <w:lang w:val="en-US"/>
              </w:rPr>
              <w:t>Proportion of local governments that adopt and implement local disaster risk management strategies in line with national disaster risk management strategies (SDG Indicator 13.1.3)</w:t>
            </w:r>
          </w:p>
          <w:tbl>
            <w:tblPr>
              <w:tblStyle w:val="TableGrid"/>
              <w:tblW w:w="5609" w:type="dxa"/>
              <w:tblLayout w:type="fixed"/>
              <w:tblLook w:val="04A0" w:firstRow="1" w:lastRow="0" w:firstColumn="1" w:lastColumn="0" w:noHBand="0" w:noVBand="1"/>
            </w:tblPr>
            <w:tblGrid>
              <w:gridCol w:w="3449"/>
              <w:gridCol w:w="2160"/>
            </w:tblGrid>
            <w:tr w:rsidR="003A41BE" w:rsidRPr="00DA2276" w14:paraId="4E016780" w14:textId="77777777" w:rsidTr="00FD44CE">
              <w:tc>
                <w:tcPr>
                  <w:tcW w:w="3449" w:type="dxa"/>
                </w:tcPr>
                <w:p w14:paraId="3E7D864E"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Baseline</w:t>
                  </w:r>
                </w:p>
              </w:tc>
              <w:tc>
                <w:tcPr>
                  <w:tcW w:w="2160" w:type="dxa"/>
                </w:tcPr>
                <w:p w14:paraId="70963879"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DA2276" w14:paraId="7A23E599" w14:textId="77777777" w:rsidTr="00FD44CE">
              <w:tc>
                <w:tcPr>
                  <w:tcW w:w="3449" w:type="dxa"/>
                </w:tcPr>
                <w:p w14:paraId="26EC88EC" w14:textId="77777777" w:rsidR="003A41BE" w:rsidRPr="002A7985" w:rsidRDefault="003A41BE" w:rsidP="002A37E3">
                  <w:pPr>
                    <w:framePr w:hSpace="141" w:wrap="around" w:vAnchor="text" w:hAnchor="text" w:x="421" w:y="1"/>
                    <w:autoSpaceDE w:val="0"/>
                    <w:autoSpaceDN w:val="0"/>
                    <w:adjustRightInd w:val="0"/>
                    <w:suppressOverlap/>
                    <w:rPr>
                      <w:rFonts w:cstheme="minorHAnsi"/>
                      <w:bCs/>
                      <w:sz w:val="22"/>
                      <w:szCs w:val="22"/>
                      <w:lang w:val="en-GB"/>
                    </w:rPr>
                  </w:pPr>
                  <w:r>
                    <w:rPr>
                      <w:rFonts w:cstheme="minorHAnsi"/>
                      <w:bCs/>
                      <w:sz w:val="22"/>
                      <w:szCs w:val="22"/>
                      <w:lang w:val="en-GB"/>
                    </w:rPr>
                    <w:t>-</w:t>
                  </w:r>
                  <w:r w:rsidRPr="002A7985">
                    <w:rPr>
                      <w:rFonts w:cstheme="minorHAnsi"/>
                      <w:bCs/>
                      <w:sz w:val="22"/>
                      <w:szCs w:val="22"/>
                      <w:lang w:val="en-GB"/>
                    </w:rPr>
                    <w:t>21 Hazard, Livelihood &amp; Vulnerability assessments &amp; community-based DRM (CBDRM) plans prepared/approved by local authorities, councils &amp; target communities.</w:t>
                  </w:r>
                </w:p>
                <w:p w14:paraId="5B4D7D08" w14:textId="77777777" w:rsidR="003A41BE" w:rsidRPr="002A7985" w:rsidRDefault="003A41BE" w:rsidP="002A37E3">
                  <w:pPr>
                    <w:framePr w:hSpace="141" w:wrap="around" w:vAnchor="text" w:hAnchor="text" w:x="421" w:y="1"/>
                    <w:autoSpaceDE w:val="0"/>
                    <w:autoSpaceDN w:val="0"/>
                    <w:adjustRightInd w:val="0"/>
                    <w:suppressOverlap/>
                    <w:rPr>
                      <w:rFonts w:cstheme="minorHAnsi"/>
                      <w:bCs/>
                      <w:sz w:val="22"/>
                      <w:szCs w:val="22"/>
                      <w:lang w:val="en-GB"/>
                    </w:rPr>
                  </w:pPr>
                  <w:r>
                    <w:rPr>
                      <w:rFonts w:cstheme="minorHAnsi"/>
                      <w:bCs/>
                      <w:sz w:val="22"/>
                      <w:szCs w:val="22"/>
                      <w:lang w:val="en-GB"/>
                    </w:rPr>
                    <w:t xml:space="preserve">- </w:t>
                  </w:r>
                  <w:r w:rsidRPr="002A7985">
                    <w:rPr>
                      <w:rFonts w:cstheme="minorHAnsi"/>
                      <w:bCs/>
                      <w:sz w:val="22"/>
                      <w:szCs w:val="22"/>
                      <w:lang w:val="en-GB"/>
                    </w:rPr>
                    <w:t>8 Vulnerability and Capacity Assessments &amp; Municipal Profiles developed</w:t>
                  </w:r>
                </w:p>
                <w:p w14:paraId="46C277B1" w14:textId="77777777" w:rsidR="003A41BE" w:rsidRPr="003F4BC2" w:rsidRDefault="003A41BE" w:rsidP="002A37E3">
                  <w:pPr>
                    <w:framePr w:hSpace="141" w:wrap="around" w:vAnchor="text" w:hAnchor="text" w:x="421" w:y="1"/>
                    <w:suppressOverlap/>
                    <w:jc w:val="center"/>
                    <w:rPr>
                      <w:sz w:val="22"/>
                      <w:szCs w:val="22"/>
                      <w:lang w:val="en-US"/>
                    </w:rPr>
                  </w:pPr>
                </w:p>
              </w:tc>
              <w:tc>
                <w:tcPr>
                  <w:tcW w:w="2160" w:type="dxa"/>
                </w:tcPr>
                <w:p w14:paraId="2D76AEB3" w14:textId="77777777" w:rsidR="003A41BE" w:rsidRPr="002A7985" w:rsidRDefault="003A41BE" w:rsidP="002A37E3">
                  <w:pPr>
                    <w:framePr w:hSpace="141" w:wrap="around" w:vAnchor="text" w:hAnchor="text" w:x="421" w:y="1"/>
                    <w:autoSpaceDE w:val="0"/>
                    <w:autoSpaceDN w:val="0"/>
                    <w:adjustRightInd w:val="0"/>
                    <w:suppressOverlap/>
                    <w:rPr>
                      <w:rFonts w:cstheme="minorHAnsi"/>
                      <w:bCs/>
                      <w:sz w:val="22"/>
                      <w:szCs w:val="22"/>
                      <w:lang w:val="en-GB"/>
                    </w:rPr>
                  </w:pPr>
                  <w:r>
                    <w:rPr>
                      <w:rFonts w:cstheme="minorHAnsi"/>
                      <w:bCs/>
                      <w:sz w:val="22"/>
                      <w:szCs w:val="22"/>
                      <w:lang w:val="en-GB"/>
                    </w:rPr>
                    <w:t>-</w:t>
                  </w:r>
                  <w:r w:rsidRPr="002A7985">
                    <w:rPr>
                      <w:rFonts w:cstheme="minorHAnsi"/>
                      <w:bCs/>
                      <w:sz w:val="22"/>
                      <w:szCs w:val="22"/>
                      <w:lang w:val="en-GB"/>
                    </w:rPr>
                    <w:t xml:space="preserve">9 CBDRM plans prepared &amp; adopted; priority interventions for 30 CBDRMs identified &amp; implemented </w:t>
                  </w:r>
                </w:p>
                <w:p w14:paraId="3D18C3FF" w14:textId="77777777" w:rsidR="003A41BE" w:rsidRPr="003F4BC2" w:rsidRDefault="003A41BE" w:rsidP="002A37E3">
                  <w:pPr>
                    <w:framePr w:hSpace="141" w:wrap="around" w:vAnchor="text" w:hAnchor="text" w:x="421" w:y="1"/>
                    <w:autoSpaceDE w:val="0"/>
                    <w:autoSpaceDN w:val="0"/>
                    <w:adjustRightInd w:val="0"/>
                    <w:suppressOverlap/>
                    <w:rPr>
                      <w:bCs/>
                      <w:sz w:val="22"/>
                      <w:szCs w:val="22"/>
                      <w:lang w:val="en-US"/>
                    </w:rPr>
                  </w:pPr>
                  <w:r>
                    <w:rPr>
                      <w:rFonts w:cstheme="minorHAnsi"/>
                      <w:bCs/>
                      <w:sz w:val="22"/>
                      <w:szCs w:val="22"/>
                      <w:lang w:val="en-GB"/>
                    </w:rPr>
                    <w:t>-</w:t>
                  </w:r>
                  <w:r w:rsidRPr="002A7985">
                    <w:rPr>
                      <w:rFonts w:cstheme="minorHAnsi"/>
                      <w:bCs/>
                      <w:sz w:val="22"/>
                      <w:szCs w:val="22"/>
                      <w:lang w:val="en-GB"/>
                    </w:rPr>
                    <w:t xml:space="preserve">13 Vulnerability and Capacity Assessments &amp; Municipal Profiles developed </w:t>
                  </w:r>
                </w:p>
              </w:tc>
            </w:tr>
          </w:tbl>
          <w:p w14:paraId="4E2C283A" w14:textId="77777777" w:rsidR="003A41BE" w:rsidRPr="00841766" w:rsidRDefault="003A41BE" w:rsidP="00FD44CE">
            <w:pPr>
              <w:autoSpaceDE w:val="0"/>
              <w:autoSpaceDN w:val="0"/>
              <w:adjustRightInd w:val="0"/>
              <w:rPr>
                <w:rFonts w:cstheme="minorHAnsi"/>
                <w:bCs/>
                <w:sz w:val="22"/>
                <w:szCs w:val="22"/>
                <w:lang w:val="en-US"/>
              </w:rPr>
            </w:pPr>
            <w:r w:rsidRPr="003F4BC2">
              <w:rPr>
                <w:rFonts w:cstheme="minorHAnsi"/>
                <w:bCs/>
                <w:sz w:val="22"/>
                <w:szCs w:val="22"/>
                <w:lang w:val="en-US"/>
              </w:rPr>
              <w:t>Data Source:</w:t>
            </w:r>
            <w:r w:rsidRPr="00361E81">
              <w:rPr>
                <w:rFonts w:cstheme="minorHAnsi"/>
                <w:bCs/>
                <w:sz w:val="22"/>
                <w:szCs w:val="22"/>
                <w:lang w:val="en-US"/>
              </w:rPr>
              <w:t xml:space="preserve"> </w:t>
            </w:r>
            <w:r>
              <w:rPr>
                <w:rFonts w:cstheme="minorHAnsi"/>
                <w:bCs/>
                <w:sz w:val="22"/>
                <w:szCs w:val="22"/>
                <w:lang w:val="en-GB"/>
              </w:rPr>
              <w:t xml:space="preserve"> FAO </w:t>
            </w:r>
            <w:r w:rsidRPr="00DF7588">
              <w:rPr>
                <w:rFonts w:cstheme="minorHAnsi"/>
                <w:bCs/>
                <w:sz w:val="22"/>
                <w:szCs w:val="22"/>
                <w:lang w:val="en-GB"/>
              </w:rPr>
              <w:t>reports</w:t>
            </w:r>
            <w:r>
              <w:rPr>
                <w:rFonts w:cstheme="minorHAnsi"/>
                <w:bCs/>
                <w:sz w:val="22"/>
                <w:szCs w:val="22"/>
                <w:lang w:val="en-GB"/>
              </w:rPr>
              <w:t xml:space="preserve">; </w:t>
            </w:r>
            <w:r w:rsidRPr="00DF7588">
              <w:rPr>
                <w:rFonts w:cstheme="minorHAnsi"/>
                <w:bCs/>
                <w:sz w:val="22"/>
                <w:szCs w:val="22"/>
                <w:lang w:val="en-GB"/>
              </w:rPr>
              <w:t>Council of Ministers’ minute</w:t>
            </w:r>
            <w:r>
              <w:rPr>
                <w:rFonts w:cstheme="minorHAnsi"/>
                <w:bCs/>
                <w:sz w:val="22"/>
                <w:szCs w:val="22"/>
                <w:lang w:val="en-GB"/>
              </w:rPr>
              <w:t xml:space="preserve">s; </w:t>
            </w:r>
            <w:r w:rsidRPr="00DF7588">
              <w:rPr>
                <w:rFonts w:cstheme="minorHAnsi"/>
                <w:bCs/>
                <w:sz w:val="22"/>
                <w:szCs w:val="22"/>
                <w:lang w:val="en-GB"/>
              </w:rPr>
              <w:t>HLV</w:t>
            </w:r>
            <w:r>
              <w:rPr>
                <w:rFonts w:cstheme="minorHAnsi"/>
                <w:bCs/>
                <w:sz w:val="22"/>
                <w:szCs w:val="22"/>
                <w:lang w:val="en-GB"/>
              </w:rPr>
              <w:t xml:space="preserve">/ </w:t>
            </w:r>
            <w:r w:rsidRPr="00DF7588">
              <w:rPr>
                <w:rFonts w:cstheme="minorHAnsi"/>
                <w:bCs/>
                <w:sz w:val="22"/>
                <w:szCs w:val="22"/>
                <w:lang w:val="en-GB"/>
              </w:rPr>
              <w:t>CBDRM plans</w:t>
            </w:r>
            <w:r>
              <w:rPr>
                <w:rFonts w:cstheme="minorHAnsi"/>
                <w:bCs/>
                <w:sz w:val="22"/>
                <w:szCs w:val="22"/>
                <w:lang w:val="en-GB"/>
              </w:rPr>
              <w:t>/</w:t>
            </w:r>
            <w:r w:rsidRPr="00DF7588">
              <w:rPr>
                <w:rFonts w:cstheme="minorHAnsi"/>
                <w:bCs/>
                <w:sz w:val="22"/>
                <w:szCs w:val="22"/>
                <w:lang w:val="en-GB"/>
              </w:rPr>
              <w:t>reports</w:t>
            </w:r>
            <w:r>
              <w:rPr>
                <w:rFonts w:cstheme="minorHAnsi"/>
                <w:bCs/>
                <w:sz w:val="22"/>
                <w:szCs w:val="22"/>
                <w:lang w:val="en-GB"/>
              </w:rPr>
              <w:t>; l</w:t>
            </w:r>
            <w:r w:rsidRPr="00DF7588">
              <w:rPr>
                <w:rFonts w:cstheme="minorHAnsi"/>
                <w:bCs/>
                <w:sz w:val="22"/>
                <w:szCs w:val="22"/>
                <w:lang w:val="en-GB"/>
              </w:rPr>
              <w:t xml:space="preserve">ocal authority &amp; </w:t>
            </w:r>
            <w:proofErr w:type="spellStart"/>
            <w:r w:rsidRPr="00DF7588">
              <w:rPr>
                <w:rFonts w:cstheme="minorHAnsi"/>
                <w:bCs/>
                <w:sz w:val="22"/>
                <w:szCs w:val="22"/>
                <w:lang w:val="en-GB"/>
              </w:rPr>
              <w:t>suco</w:t>
            </w:r>
            <w:proofErr w:type="spellEnd"/>
            <w:r w:rsidRPr="00DF7588">
              <w:rPr>
                <w:rFonts w:cstheme="minorHAnsi"/>
                <w:bCs/>
                <w:sz w:val="22"/>
                <w:szCs w:val="22"/>
                <w:lang w:val="en-GB"/>
              </w:rPr>
              <w:t xml:space="preserve"> council records</w:t>
            </w:r>
            <w:r>
              <w:rPr>
                <w:rFonts w:cstheme="minorHAnsi"/>
                <w:bCs/>
                <w:sz w:val="22"/>
                <w:szCs w:val="22"/>
                <w:lang w:val="en-GB"/>
              </w:rPr>
              <w:t>, IOM reports</w:t>
            </w:r>
          </w:p>
          <w:p w14:paraId="0F100679" w14:textId="77777777" w:rsidR="003A41BE" w:rsidRPr="00841766" w:rsidRDefault="003A41BE" w:rsidP="00FD44CE">
            <w:pPr>
              <w:autoSpaceDE w:val="0"/>
              <w:autoSpaceDN w:val="0"/>
              <w:adjustRightInd w:val="0"/>
              <w:rPr>
                <w:rFonts w:cstheme="minorHAnsi"/>
                <w:bCs/>
                <w:sz w:val="22"/>
                <w:szCs w:val="22"/>
                <w:lang w:val="en-US"/>
              </w:rPr>
            </w:pPr>
          </w:p>
        </w:tc>
        <w:tc>
          <w:tcPr>
            <w:tcW w:w="4116" w:type="dxa"/>
            <w:vMerge/>
          </w:tcPr>
          <w:p w14:paraId="74D51BC8"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4366413F" w14:textId="77777777" w:rsidTr="53E3C463">
        <w:trPr>
          <w:trHeight w:val="256"/>
        </w:trPr>
        <w:tc>
          <w:tcPr>
            <w:tcW w:w="4529" w:type="dxa"/>
            <w:vMerge w:val="restart"/>
            <w:tcBorders>
              <w:top w:val="single" w:sz="4" w:space="0" w:color="auto"/>
              <w:left w:val="single" w:sz="4" w:space="0" w:color="auto"/>
              <w:right w:val="single" w:sz="4" w:space="0" w:color="auto"/>
            </w:tcBorders>
            <w:shd w:val="clear" w:color="auto" w:fill="8EAADB" w:themeFill="accent1" w:themeFillTint="99"/>
          </w:tcPr>
          <w:p w14:paraId="0ED2A092" w14:textId="77777777" w:rsidR="003A41BE" w:rsidRPr="00841766" w:rsidRDefault="003A41BE" w:rsidP="00FD44CE">
            <w:pPr>
              <w:jc w:val="both"/>
              <w:rPr>
                <w:rFonts w:cstheme="minorHAnsi"/>
                <w:b/>
                <w:color w:val="000000" w:themeColor="text1"/>
                <w:sz w:val="22"/>
                <w:szCs w:val="22"/>
                <w:lang w:val="en-US"/>
              </w:rPr>
            </w:pPr>
            <w:r w:rsidRPr="00841766">
              <w:rPr>
                <w:rFonts w:cstheme="minorHAnsi"/>
                <w:b/>
                <w:color w:val="000000" w:themeColor="text1"/>
                <w:sz w:val="22"/>
                <w:szCs w:val="22"/>
                <w:lang w:val="en-US"/>
              </w:rPr>
              <w:t>Sub-Outcome 6.2:</w:t>
            </w:r>
          </w:p>
          <w:p w14:paraId="4166B68A" w14:textId="77777777" w:rsidR="003A41BE" w:rsidRPr="00841766" w:rsidRDefault="003A41BE" w:rsidP="00FD44CE">
            <w:pPr>
              <w:jc w:val="both"/>
              <w:rPr>
                <w:rFonts w:cstheme="minorHAnsi"/>
                <w:b/>
                <w:color w:val="000000" w:themeColor="text1"/>
                <w:sz w:val="22"/>
                <w:szCs w:val="22"/>
                <w:lang w:val="en-US"/>
              </w:rPr>
            </w:pPr>
          </w:p>
          <w:p w14:paraId="1C759A23" w14:textId="77777777" w:rsidR="003A41BE" w:rsidRPr="00841766" w:rsidRDefault="003A41BE" w:rsidP="00FD44CE">
            <w:pPr>
              <w:jc w:val="both"/>
              <w:rPr>
                <w:rFonts w:cstheme="minorHAnsi"/>
                <w:b/>
                <w:color w:val="000000" w:themeColor="text1"/>
                <w:sz w:val="22"/>
                <w:szCs w:val="22"/>
                <w:lang w:val="en-US"/>
              </w:rPr>
            </w:pPr>
            <w:r w:rsidRPr="00841766">
              <w:rPr>
                <w:rFonts w:cstheme="minorHAnsi"/>
                <w:b/>
                <w:color w:val="000000" w:themeColor="text1"/>
                <w:sz w:val="22"/>
                <w:szCs w:val="22"/>
                <w:lang w:val="en-US"/>
              </w:rPr>
              <w:t>Resilient Infrastructures</w:t>
            </w:r>
          </w:p>
          <w:p w14:paraId="66A6E78F" w14:textId="77777777" w:rsidR="003A41BE" w:rsidRPr="00841766" w:rsidRDefault="003A41BE" w:rsidP="00FD44CE">
            <w:pPr>
              <w:rPr>
                <w:rFonts w:cstheme="minorHAnsi"/>
                <w:bCs/>
                <w:sz w:val="22"/>
                <w:szCs w:val="22"/>
                <w:lang w:val="en-US"/>
              </w:rPr>
            </w:pPr>
            <w:r w:rsidRPr="00841766">
              <w:rPr>
                <w:rFonts w:cstheme="minorHAnsi"/>
                <w:bCs/>
                <w:sz w:val="22"/>
                <w:szCs w:val="22"/>
                <w:lang w:val="en-US"/>
              </w:rPr>
              <w:lastRenderedPageBreak/>
              <w:t>Safe, gender-responsive and climate resilient infrastructure, systems and human settlements for targeted communities are established and delivered.</w:t>
            </w:r>
          </w:p>
          <w:p w14:paraId="2C0E57A8" w14:textId="77777777" w:rsidR="003A41BE" w:rsidRPr="00841766" w:rsidRDefault="003A41BE" w:rsidP="00FD44CE">
            <w:pPr>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5816D" w14:textId="77777777" w:rsidR="003A41BE"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b/>
                <w:sz w:val="22"/>
                <w:szCs w:val="22"/>
                <w:lang w:val="en-US"/>
              </w:rPr>
              <w:lastRenderedPageBreak/>
              <w:t xml:space="preserve">Indicator 6.2.1: </w:t>
            </w:r>
            <w:r w:rsidRPr="00841766">
              <w:rPr>
                <w:rFonts w:asciiTheme="minorHAnsi" w:hAnsiTheme="minorHAnsi" w:cstheme="minorHAnsi"/>
                <w:sz w:val="22"/>
                <w:szCs w:val="22"/>
                <w:lang w:val="en-US"/>
              </w:rPr>
              <w:t>Proportion of urban and rural population living in informal settlements or inadequate housing (SDG Indicator 11.1.1)</w:t>
            </w:r>
          </w:p>
          <w:tbl>
            <w:tblPr>
              <w:tblStyle w:val="TableGrid"/>
              <w:tblW w:w="0" w:type="auto"/>
              <w:tblLayout w:type="fixed"/>
              <w:tblLook w:val="04A0" w:firstRow="1" w:lastRow="0" w:firstColumn="1" w:lastColumn="0" w:noHBand="0" w:noVBand="1"/>
            </w:tblPr>
            <w:tblGrid>
              <w:gridCol w:w="2557"/>
              <w:gridCol w:w="1620"/>
            </w:tblGrid>
            <w:tr w:rsidR="003A41BE" w:rsidRPr="00DA2276" w14:paraId="39B8F529" w14:textId="77777777" w:rsidTr="00FD44CE">
              <w:tc>
                <w:tcPr>
                  <w:tcW w:w="2557" w:type="dxa"/>
                </w:tcPr>
                <w:p w14:paraId="2E8311AF"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lastRenderedPageBreak/>
                    <w:t>Baseline</w:t>
                  </w:r>
                </w:p>
              </w:tc>
              <w:tc>
                <w:tcPr>
                  <w:tcW w:w="1620" w:type="dxa"/>
                </w:tcPr>
                <w:p w14:paraId="754A2D4E"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DA2276" w14:paraId="482D6E09" w14:textId="77777777" w:rsidTr="00FD44CE">
              <w:tc>
                <w:tcPr>
                  <w:tcW w:w="2557" w:type="dxa"/>
                  <w:shd w:val="clear" w:color="auto" w:fill="auto"/>
                </w:tcPr>
                <w:p w14:paraId="07A1E80F" w14:textId="77777777" w:rsidR="003A41BE" w:rsidRPr="002A7985" w:rsidRDefault="003A41BE" w:rsidP="002A37E3">
                  <w:pPr>
                    <w:framePr w:hSpace="141" w:wrap="around" w:vAnchor="text" w:hAnchor="text" w:x="421" w:y="1"/>
                    <w:suppressOverlap/>
                    <w:jc w:val="center"/>
                    <w:rPr>
                      <w:sz w:val="22"/>
                      <w:szCs w:val="22"/>
                      <w:lang w:val="en-US"/>
                    </w:rPr>
                  </w:pPr>
                  <w:r w:rsidRPr="002A7985">
                    <w:rPr>
                      <w:rFonts w:cstheme="minorHAnsi"/>
                      <w:bCs/>
                      <w:sz w:val="22"/>
                      <w:szCs w:val="22"/>
                      <w:lang w:val="en-US"/>
                    </w:rPr>
                    <w:t xml:space="preserve">IOM Baseline </w:t>
                  </w:r>
                  <w:r w:rsidRPr="002A7985">
                    <w:rPr>
                      <w:rFonts w:cstheme="minorHAnsi"/>
                      <w:bCs/>
                      <w:sz w:val="22"/>
                      <w:szCs w:val="22"/>
                      <w:lang w:val="en-US"/>
                    </w:rPr>
                    <w:br/>
                    <w:t>to be conducted 2020</w:t>
                  </w:r>
                </w:p>
              </w:tc>
              <w:tc>
                <w:tcPr>
                  <w:tcW w:w="1620" w:type="dxa"/>
                  <w:shd w:val="clear" w:color="auto" w:fill="auto"/>
                </w:tcPr>
                <w:p w14:paraId="695049D5" w14:textId="77777777" w:rsidR="003A41BE" w:rsidRPr="002A7985" w:rsidRDefault="003A41BE" w:rsidP="002A37E3">
                  <w:pPr>
                    <w:framePr w:hSpace="141" w:wrap="around" w:vAnchor="text" w:hAnchor="text" w:x="421" w:y="1"/>
                    <w:suppressOverlap/>
                    <w:jc w:val="center"/>
                    <w:rPr>
                      <w:bCs/>
                      <w:sz w:val="22"/>
                      <w:szCs w:val="22"/>
                      <w:lang w:val="en-US"/>
                    </w:rPr>
                  </w:pPr>
                </w:p>
              </w:tc>
            </w:tr>
          </w:tbl>
          <w:p w14:paraId="11E31A33" w14:textId="77777777" w:rsidR="003A41BE" w:rsidRPr="002A7985" w:rsidRDefault="003A41BE" w:rsidP="00FD44CE">
            <w:pPr>
              <w:pStyle w:val="Default"/>
              <w:rPr>
                <w:rFonts w:cstheme="minorHAnsi"/>
                <w:sz w:val="22"/>
                <w:szCs w:val="22"/>
                <w:lang w:val="en-US"/>
              </w:rPr>
            </w:pPr>
            <w:r w:rsidRPr="002A7985">
              <w:rPr>
                <w:rFonts w:asciiTheme="minorHAnsi" w:hAnsiTheme="minorHAnsi" w:cstheme="minorHAnsi"/>
                <w:sz w:val="22"/>
                <w:szCs w:val="22"/>
                <w:lang w:val="en-US"/>
              </w:rPr>
              <w:t>Data Source: IOM Shelter Assessment 2020</w:t>
            </w:r>
          </w:p>
          <w:p w14:paraId="5070E294" w14:textId="77777777" w:rsidR="003A41BE" w:rsidRPr="00841766" w:rsidRDefault="003A41BE" w:rsidP="00FD44CE">
            <w:pPr>
              <w:autoSpaceDE w:val="0"/>
              <w:autoSpaceDN w:val="0"/>
              <w:adjustRightInd w:val="0"/>
              <w:rPr>
                <w:rFonts w:cstheme="minorHAnsi"/>
                <w:sz w:val="22"/>
                <w:szCs w:val="22"/>
                <w:lang w:val="en-US"/>
              </w:rPr>
            </w:pPr>
          </w:p>
        </w:tc>
        <w:tc>
          <w:tcPr>
            <w:tcW w:w="4116" w:type="dxa"/>
            <w:vMerge w:val="restart"/>
            <w:tcBorders>
              <w:top w:val="single" w:sz="4" w:space="0" w:color="auto"/>
              <w:left w:val="single" w:sz="4" w:space="0" w:color="auto"/>
              <w:right w:val="single" w:sz="4" w:space="0" w:color="auto"/>
            </w:tcBorders>
          </w:tcPr>
          <w:p w14:paraId="15B12F9F" w14:textId="77777777" w:rsidR="003A41BE"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lastRenderedPageBreak/>
              <w:t>Ministry of Public Works (National Directorate for Hydrology)</w:t>
            </w:r>
          </w:p>
          <w:p w14:paraId="497C90CC" w14:textId="77777777" w:rsidR="003A41BE" w:rsidRPr="003F4BC2" w:rsidRDefault="003A41BE" w:rsidP="00FD44CE">
            <w:pPr>
              <w:autoSpaceDE w:val="0"/>
              <w:autoSpaceDN w:val="0"/>
              <w:adjustRightInd w:val="0"/>
              <w:rPr>
                <w:rFonts w:cstheme="minorHAnsi"/>
                <w:sz w:val="22"/>
                <w:szCs w:val="22"/>
                <w:lang w:val="en-US"/>
              </w:rPr>
            </w:pPr>
            <w:r w:rsidRPr="00DA2276">
              <w:rPr>
                <w:rFonts w:cstheme="minorHAnsi"/>
                <w:sz w:val="22"/>
                <w:szCs w:val="22"/>
                <w:lang w:val="en-US"/>
              </w:rPr>
              <w:lastRenderedPageBreak/>
              <w:t>Ministry of Health</w:t>
            </w:r>
            <w:r>
              <w:rPr>
                <w:rFonts w:cstheme="minorHAnsi"/>
                <w:sz w:val="22"/>
                <w:szCs w:val="22"/>
                <w:lang w:val="en-US"/>
              </w:rPr>
              <w:br/>
            </w:r>
            <w:r w:rsidRPr="00DA2276">
              <w:rPr>
                <w:rFonts w:cstheme="minorHAnsi"/>
                <w:sz w:val="22"/>
                <w:szCs w:val="22"/>
                <w:lang w:val="en-US"/>
              </w:rPr>
              <w:t>Ministry of Interior (Civil Protection Directorate, NDRMD and NDOC)</w:t>
            </w:r>
            <w:r w:rsidRPr="003F4BC2">
              <w:rPr>
                <w:rFonts w:cstheme="minorHAnsi"/>
                <w:sz w:val="22"/>
                <w:szCs w:val="22"/>
                <w:lang w:val="en-US"/>
              </w:rPr>
              <w:t xml:space="preserve"> </w:t>
            </w:r>
          </w:p>
          <w:p w14:paraId="4ACBB820" w14:textId="77777777" w:rsidR="003A41BE" w:rsidRPr="00DA2276" w:rsidRDefault="003A41BE" w:rsidP="00FD44CE">
            <w:pPr>
              <w:autoSpaceDE w:val="0"/>
              <w:autoSpaceDN w:val="0"/>
              <w:adjustRightInd w:val="0"/>
              <w:rPr>
                <w:rFonts w:cstheme="minorHAnsi"/>
                <w:sz w:val="22"/>
                <w:szCs w:val="22"/>
                <w:lang w:val="en-US"/>
              </w:rPr>
            </w:pPr>
            <w:r w:rsidRPr="00DA2276">
              <w:rPr>
                <w:rFonts w:cstheme="minorHAnsi"/>
                <w:sz w:val="22"/>
                <w:szCs w:val="22"/>
                <w:lang w:val="en-US"/>
              </w:rPr>
              <w:t>National Directorate for Meteorology</w:t>
            </w:r>
          </w:p>
          <w:p w14:paraId="0463918C" w14:textId="77777777" w:rsidR="003A41BE" w:rsidRPr="00DA2276" w:rsidRDefault="003A41BE" w:rsidP="00FD44CE">
            <w:pPr>
              <w:autoSpaceDE w:val="0"/>
              <w:autoSpaceDN w:val="0"/>
              <w:adjustRightInd w:val="0"/>
              <w:rPr>
                <w:rFonts w:cstheme="minorHAnsi"/>
                <w:sz w:val="22"/>
                <w:szCs w:val="22"/>
                <w:lang w:val="en-US"/>
              </w:rPr>
            </w:pPr>
            <w:r w:rsidRPr="00DA2276">
              <w:rPr>
                <w:rFonts w:cstheme="minorHAnsi"/>
                <w:sz w:val="22"/>
                <w:szCs w:val="22"/>
                <w:lang w:val="en-US"/>
              </w:rPr>
              <w:t xml:space="preserve">Ministry of Finance </w:t>
            </w:r>
          </w:p>
          <w:p w14:paraId="7AD36D3D" w14:textId="77777777" w:rsidR="003A41BE" w:rsidRPr="003F4BC2" w:rsidRDefault="003A41BE" w:rsidP="00FD44CE">
            <w:pPr>
              <w:autoSpaceDE w:val="0"/>
              <w:autoSpaceDN w:val="0"/>
              <w:adjustRightInd w:val="0"/>
              <w:rPr>
                <w:rFonts w:cstheme="minorHAnsi"/>
                <w:sz w:val="22"/>
                <w:szCs w:val="22"/>
                <w:lang w:val="en-US"/>
              </w:rPr>
            </w:pPr>
            <w:r w:rsidRPr="00DA2276">
              <w:rPr>
                <w:rFonts w:cstheme="minorHAnsi"/>
                <w:sz w:val="22"/>
                <w:szCs w:val="22"/>
                <w:lang w:val="en-US"/>
              </w:rPr>
              <w:t xml:space="preserve">Ministry of State Administration </w:t>
            </w:r>
          </w:p>
          <w:p w14:paraId="1C12C502" w14:textId="77777777" w:rsidR="003A41BE" w:rsidRDefault="003A41BE" w:rsidP="00FD44CE">
            <w:pPr>
              <w:autoSpaceDE w:val="0"/>
              <w:autoSpaceDN w:val="0"/>
              <w:adjustRightInd w:val="0"/>
              <w:rPr>
                <w:rFonts w:cstheme="minorHAnsi"/>
                <w:sz w:val="22"/>
                <w:szCs w:val="22"/>
                <w:lang w:val="en-US"/>
              </w:rPr>
            </w:pPr>
          </w:p>
          <w:p w14:paraId="171C9D58" w14:textId="77777777" w:rsidR="003A41BE" w:rsidRDefault="003A41BE" w:rsidP="00FD44CE">
            <w:pPr>
              <w:autoSpaceDE w:val="0"/>
              <w:autoSpaceDN w:val="0"/>
              <w:adjustRightInd w:val="0"/>
              <w:rPr>
                <w:rFonts w:cstheme="minorHAnsi"/>
                <w:sz w:val="22"/>
                <w:szCs w:val="22"/>
                <w:lang w:val="en-US"/>
              </w:rPr>
            </w:pPr>
            <w:r>
              <w:rPr>
                <w:rFonts w:cstheme="minorHAnsi"/>
                <w:sz w:val="22"/>
                <w:szCs w:val="22"/>
                <w:lang w:val="en-US"/>
              </w:rPr>
              <w:t xml:space="preserve">UNDP, </w:t>
            </w:r>
            <w:r w:rsidRPr="002A7985">
              <w:rPr>
                <w:rFonts w:cstheme="minorHAnsi"/>
                <w:sz w:val="22"/>
                <w:szCs w:val="22"/>
                <w:lang w:val="en-US"/>
              </w:rPr>
              <w:t>UNESCO</w:t>
            </w:r>
            <w:r w:rsidRPr="00596489">
              <w:rPr>
                <w:rFonts w:cstheme="minorHAnsi"/>
                <w:sz w:val="22"/>
                <w:szCs w:val="22"/>
                <w:lang w:val="en-US"/>
              </w:rPr>
              <w:t>, UN</w:t>
            </w:r>
            <w:r>
              <w:rPr>
                <w:rFonts w:cstheme="minorHAnsi"/>
                <w:sz w:val="22"/>
                <w:szCs w:val="22"/>
                <w:lang w:val="en-US"/>
              </w:rPr>
              <w:t xml:space="preserve"> Women, IOM</w:t>
            </w:r>
          </w:p>
          <w:p w14:paraId="3FCCF49D" w14:textId="77777777" w:rsidR="003A41BE" w:rsidRDefault="003A41BE" w:rsidP="00FD44CE">
            <w:pPr>
              <w:autoSpaceDE w:val="0"/>
              <w:autoSpaceDN w:val="0"/>
              <w:adjustRightInd w:val="0"/>
              <w:rPr>
                <w:rFonts w:cstheme="minorHAnsi"/>
                <w:sz w:val="22"/>
                <w:szCs w:val="22"/>
                <w:lang w:val="en-US"/>
              </w:rPr>
            </w:pPr>
          </w:p>
          <w:p w14:paraId="34D0F4FE" w14:textId="77777777" w:rsidR="003A41BE"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Local partners</w:t>
            </w:r>
          </w:p>
          <w:p w14:paraId="4F537277"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 xml:space="preserve"> </w:t>
            </w:r>
          </w:p>
          <w:p w14:paraId="4F5B0FED"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Private sector</w:t>
            </w:r>
          </w:p>
          <w:p w14:paraId="737EE8FC" w14:textId="77777777" w:rsidR="003A41BE" w:rsidRDefault="003A41BE" w:rsidP="00FD44CE">
            <w:pPr>
              <w:autoSpaceDE w:val="0"/>
              <w:autoSpaceDN w:val="0"/>
              <w:adjustRightInd w:val="0"/>
              <w:rPr>
                <w:rFonts w:cstheme="minorHAnsi"/>
                <w:sz w:val="22"/>
                <w:szCs w:val="22"/>
                <w:lang w:val="en-US"/>
              </w:rPr>
            </w:pPr>
          </w:p>
          <w:p w14:paraId="66BD0F58"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 xml:space="preserve">Civil society </w:t>
            </w:r>
            <w:proofErr w:type="spellStart"/>
            <w:r w:rsidRPr="003F4BC2">
              <w:rPr>
                <w:rFonts w:cstheme="minorHAnsi"/>
                <w:sz w:val="22"/>
                <w:szCs w:val="22"/>
                <w:lang w:val="en-US"/>
              </w:rPr>
              <w:t>organisations</w:t>
            </w:r>
            <w:proofErr w:type="spellEnd"/>
          </w:p>
          <w:p w14:paraId="7E029049" w14:textId="77777777" w:rsidR="003A41BE" w:rsidRPr="00841766" w:rsidRDefault="003A41BE" w:rsidP="00FD44CE">
            <w:pPr>
              <w:pStyle w:val="ListParagraph"/>
              <w:autoSpaceDE w:val="0"/>
              <w:autoSpaceDN w:val="0"/>
              <w:adjustRightInd w:val="0"/>
              <w:ind w:left="381"/>
              <w:rPr>
                <w:rFonts w:cstheme="minorHAnsi"/>
                <w:sz w:val="22"/>
                <w:szCs w:val="22"/>
                <w:lang w:val="en-US"/>
              </w:rPr>
            </w:pPr>
          </w:p>
        </w:tc>
      </w:tr>
      <w:tr w:rsidR="003A41BE" w:rsidRPr="00841766" w14:paraId="2514FF5E" w14:textId="77777777" w:rsidTr="53E3C463">
        <w:trPr>
          <w:trHeight w:val="346"/>
        </w:trPr>
        <w:tc>
          <w:tcPr>
            <w:tcW w:w="4529" w:type="dxa"/>
            <w:vMerge/>
          </w:tcPr>
          <w:p w14:paraId="44E1EA20"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F981B" w14:textId="77777777" w:rsidR="003A41BE" w:rsidRPr="00841766"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b/>
                <w:sz w:val="22"/>
                <w:szCs w:val="22"/>
                <w:lang w:val="en-US"/>
              </w:rPr>
              <w:t>Indicator 6.2.2:</w:t>
            </w:r>
            <w:r w:rsidRPr="00841766">
              <w:rPr>
                <w:rFonts w:asciiTheme="minorHAnsi" w:hAnsiTheme="minorHAnsi" w:cstheme="minorHAnsi"/>
                <w:sz w:val="22"/>
                <w:szCs w:val="22"/>
                <w:lang w:val="en-US"/>
              </w:rPr>
              <w:t xml:space="preserve"> Damage to critical infrastructure and number of disruptions to basic services, attributed to disasters (SDG Indicator 11.5.2)</w:t>
            </w:r>
          </w:p>
          <w:tbl>
            <w:tblPr>
              <w:tblStyle w:val="TableGrid"/>
              <w:tblW w:w="5339" w:type="dxa"/>
              <w:tblLayout w:type="fixed"/>
              <w:tblLook w:val="04A0" w:firstRow="1" w:lastRow="0" w:firstColumn="1" w:lastColumn="0" w:noHBand="0" w:noVBand="1"/>
            </w:tblPr>
            <w:tblGrid>
              <w:gridCol w:w="2639"/>
              <w:gridCol w:w="2700"/>
            </w:tblGrid>
            <w:tr w:rsidR="003A41BE" w:rsidRPr="00DA2276" w14:paraId="59593F5C" w14:textId="77777777" w:rsidTr="00FD44CE">
              <w:tc>
                <w:tcPr>
                  <w:tcW w:w="2639" w:type="dxa"/>
                </w:tcPr>
                <w:p w14:paraId="01DB0C6B" w14:textId="77777777" w:rsidR="003A41BE" w:rsidRPr="00F41F35" w:rsidRDefault="003A41BE" w:rsidP="002A37E3">
                  <w:pPr>
                    <w:framePr w:hSpace="141" w:wrap="around" w:vAnchor="text" w:hAnchor="text" w:x="421" w:y="1"/>
                    <w:suppressOverlap/>
                    <w:jc w:val="center"/>
                    <w:rPr>
                      <w:sz w:val="22"/>
                      <w:szCs w:val="22"/>
                      <w:lang w:val="en-US"/>
                    </w:rPr>
                  </w:pPr>
                  <w:r w:rsidRPr="00F41F35">
                    <w:rPr>
                      <w:sz w:val="22"/>
                      <w:szCs w:val="22"/>
                      <w:lang w:val="en-US"/>
                    </w:rPr>
                    <w:t>Baseline</w:t>
                  </w:r>
                </w:p>
              </w:tc>
              <w:tc>
                <w:tcPr>
                  <w:tcW w:w="2700" w:type="dxa"/>
                </w:tcPr>
                <w:p w14:paraId="4B7818B9" w14:textId="77777777" w:rsidR="003A41BE" w:rsidRPr="00F41F35" w:rsidRDefault="003A41BE" w:rsidP="002A37E3">
                  <w:pPr>
                    <w:framePr w:hSpace="141" w:wrap="around" w:vAnchor="text" w:hAnchor="text" w:x="421" w:y="1"/>
                    <w:suppressOverlap/>
                    <w:jc w:val="center"/>
                    <w:rPr>
                      <w:sz w:val="22"/>
                      <w:szCs w:val="22"/>
                      <w:lang w:val="en-US"/>
                    </w:rPr>
                  </w:pPr>
                  <w:r w:rsidRPr="00F41F35">
                    <w:rPr>
                      <w:sz w:val="22"/>
                      <w:szCs w:val="22"/>
                      <w:lang w:val="en-US"/>
                    </w:rPr>
                    <w:t>Target</w:t>
                  </w:r>
                </w:p>
              </w:tc>
            </w:tr>
            <w:tr w:rsidR="003A41BE" w:rsidRPr="00DA2276" w14:paraId="7E612FA2" w14:textId="77777777" w:rsidTr="00FD44CE">
              <w:tc>
                <w:tcPr>
                  <w:tcW w:w="2639" w:type="dxa"/>
                </w:tcPr>
                <w:p w14:paraId="4FE08835" w14:textId="77777777" w:rsidR="003A41BE" w:rsidRPr="002A7985" w:rsidRDefault="003A41BE" w:rsidP="002A37E3">
                  <w:pPr>
                    <w:framePr w:hSpace="141" w:wrap="around" w:vAnchor="text" w:hAnchor="text" w:x="421" w:y="1"/>
                    <w:suppressOverlap/>
                    <w:jc w:val="center"/>
                    <w:rPr>
                      <w:sz w:val="22"/>
                      <w:szCs w:val="22"/>
                      <w:lang w:val="en-US"/>
                    </w:rPr>
                  </w:pPr>
                  <w:r w:rsidRPr="00CC32FE">
                    <w:rPr>
                      <w:rFonts w:cstheme="minorHAnsi"/>
                      <w:sz w:val="22"/>
                      <w:szCs w:val="22"/>
                      <w:lang w:val="en-GB"/>
                    </w:rPr>
                    <w:t xml:space="preserve">13 units per year non-climate infrastructure in </w:t>
                  </w:r>
                  <w:r w:rsidRPr="00CC32FE">
                    <w:rPr>
                      <w:rFonts w:cstheme="minorHAnsi"/>
                      <w:sz w:val="22"/>
                      <w:szCs w:val="22"/>
                      <w:lang w:val="en-GB"/>
                    </w:rPr>
                    <w:br/>
                    <w:t>6 target municipalities</w:t>
                  </w:r>
                </w:p>
              </w:tc>
              <w:tc>
                <w:tcPr>
                  <w:tcW w:w="2700" w:type="dxa"/>
                </w:tcPr>
                <w:p w14:paraId="73D646A5" w14:textId="77777777" w:rsidR="003A41BE" w:rsidRPr="002A7985" w:rsidRDefault="003A41BE" w:rsidP="002A37E3">
                  <w:pPr>
                    <w:framePr w:hSpace="141" w:wrap="around" w:vAnchor="text" w:hAnchor="text" w:x="421" w:y="1"/>
                    <w:suppressOverlap/>
                    <w:jc w:val="center"/>
                    <w:rPr>
                      <w:bCs/>
                      <w:sz w:val="22"/>
                      <w:szCs w:val="22"/>
                      <w:lang w:val="en-US"/>
                    </w:rPr>
                  </w:pPr>
                  <w:r w:rsidRPr="00E720B6">
                    <w:rPr>
                      <w:rFonts w:cstheme="minorHAnsi"/>
                      <w:sz w:val="22"/>
                      <w:szCs w:val="22"/>
                      <w:lang w:val="en-GB"/>
                    </w:rPr>
                    <w:t xml:space="preserve">30-50 climate resilient infrastructure units in </w:t>
                  </w:r>
                  <w:r>
                    <w:rPr>
                      <w:rFonts w:cstheme="minorHAnsi"/>
                      <w:sz w:val="22"/>
                      <w:szCs w:val="22"/>
                      <w:lang w:val="en-GB"/>
                    </w:rPr>
                    <w:br/>
                  </w:r>
                  <w:r w:rsidRPr="00E720B6">
                    <w:rPr>
                      <w:rFonts w:cstheme="minorHAnsi"/>
                      <w:sz w:val="22"/>
                      <w:szCs w:val="22"/>
                      <w:lang w:val="en-GB"/>
                    </w:rPr>
                    <w:t>6 target municipalities</w:t>
                  </w:r>
                </w:p>
              </w:tc>
            </w:tr>
          </w:tbl>
          <w:p w14:paraId="716D5841" w14:textId="77777777" w:rsidR="003A41BE" w:rsidRPr="003F4BC2" w:rsidRDefault="003A41BE" w:rsidP="00FD44CE">
            <w:pPr>
              <w:autoSpaceDE w:val="0"/>
              <w:autoSpaceDN w:val="0"/>
              <w:adjustRightInd w:val="0"/>
              <w:rPr>
                <w:rFonts w:cstheme="minorHAnsi"/>
                <w:bCs/>
                <w:sz w:val="22"/>
                <w:szCs w:val="22"/>
                <w:lang w:val="en-US"/>
              </w:rPr>
            </w:pPr>
            <w:r>
              <w:rPr>
                <w:rFonts w:cstheme="minorHAnsi"/>
                <w:b/>
                <w:sz w:val="22"/>
                <w:szCs w:val="22"/>
                <w:lang w:val="en-US"/>
              </w:rPr>
              <w:t xml:space="preserve">Note. </w:t>
            </w:r>
            <w:r w:rsidRPr="003F4BC2">
              <w:rPr>
                <w:rFonts w:cstheme="minorHAnsi"/>
                <w:bCs/>
                <w:sz w:val="22"/>
                <w:szCs w:val="22"/>
                <w:lang w:val="en-US"/>
              </w:rPr>
              <w:t>Target by 2025, 130 units non-climate infrastructure in 6 target municipalities</w:t>
            </w:r>
            <w:r>
              <w:rPr>
                <w:rFonts w:cstheme="minorHAnsi"/>
                <w:bCs/>
                <w:sz w:val="22"/>
                <w:szCs w:val="22"/>
                <w:lang w:val="en-US"/>
              </w:rPr>
              <w:t>.</w:t>
            </w:r>
          </w:p>
          <w:p w14:paraId="0ADF9FF1" w14:textId="77777777" w:rsidR="003A41BE" w:rsidRPr="003F4BC2" w:rsidRDefault="003A41BE" w:rsidP="00FD44CE">
            <w:pPr>
              <w:autoSpaceDE w:val="0"/>
              <w:autoSpaceDN w:val="0"/>
              <w:adjustRightInd w:val="0"/>
              <w:rPr>
                <w:rFonts w:cstheme="minorHAnsi"/>
                <w:bCs/>
                <w:sz w:val="22"/>
                <w:szCs w:val="22"/>
                <w:lang w:val="en-US"/>
              </w:rPr>
            </w:pPr>
            <w:r w:rsidRPr="003F4BC2">
              <w:rPr>
                <w:rFonts w:cstheme="minorHAnsi"/>
                <w:bCs/>
                <w:sz w:val="22"/>
                <w:szCs w:val="22"/>
                <w:lang w:val="en-US"/>
              </w:rPr>
              <w:t xml:space="preserve">Data Source: UNDP GCF Project Document </w:t>
            </w:r>
            <w:r>
              <w:rPr>
                <w:rFonts w:cstheme="minorHAnsi"/>
                <w:bCs/>
                <w:sz w:val="22"/>
                <w:szCs w:val="22"/>
                <w:lang w:val="en-US"/>
              </w:rPr>
              <w:t>(2020-2026)</w:t>
            </w:r>
          </w:p>
          <w:p w14:paraId="40078A70" w14:textId="77777777" w:rsidR="003A41BE" w:rsidRPr="00841766" w:rsidRDefault="003A41BE" w:rsidP="00FD44CE">
            <w:pPr>
              <w:autoSpaceDE w:val="0"/>
              <w:autoSpaceDN w:val="0"/>
              <w:adjustRightInd w:val="0"/>
              <w:rPr>
                <w:rFonts w:cstheme="minorHAnsi"/>
                <w:b/>
                <w:sz w:val="22"/>
                <w:szCs w:val="22"/>
                <w:lang w:val="en-US"/>
              </w:rPr>
            </w:pPr>
          </w:p>
        </w:tc>
        <w:tc>
          <w:tcPr>
            <w:tcW w:w="4116" w:type="dxa"/>
            <w:vMerge/>
          </w:tcPr>
          <w:p w14:paraId="7C56B2C4"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1C9234AD" w14:textId="77777777" w:rsidTr="53E3C463">
        <w:trPr>
          <w:trHeight w:val="1112"/>
        </w:trPr>
        <w:tc>
          <w:tcPr>
            <w:tcW w:w="4529" w:type="dxa"/>
            <w:vMerge/>
          </w:tcPr>
          <w:p w14:paraId="31957DDC"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A2A0D" w14:textId="77777777" w:rsidR="003A41BE" w:rsidRPr="00841766" w:rsidRDefault="003A41BE" w:rsidP="00FD44CE">
            <w:pPr>
              <w:pStyle w:val="Default"/>
              <w:rPr>
                <w:rFonts w:asciiTheme="minorHAnsi" w:hAnsiTheme="minorHAnsi" w:cstheme="minorHAnsi"/>
                <w:sz w:val="22"/>
                <w:szCs w:val="22"/>
                <w:lang w:val="en-US"/>
              </w:rPr>
            </w:pPr>
            <w:r w:rsidRPr="00841766">
              <w:rPr>
                <w:rFonts w:asciiTheme="minorHAnsi" w:hAnsiTheme="minorHAnsi" w:cstheme="minorHAnsi"/>
                <w:b/>
                <w:sz w:val="22"/>
                <w:szCs w:val="22"/>
                <w:lang w:val="en-US"/>
              </w:rPr>
              <w:t xml:space="preserve">Indicator 6.2.3 </w:t>
            </w:r>
            <w:r>
              <w:rPr>
                <w:rFonts w:asciiTheme="minorHAnsi" w:hAnsiTheme="minorHAnsi" w:cstheme="minorHAnsi"/>
                <w:sz w:val="22"/>
                <w:szCs w:val="22"/>
                <w:lang w:val="en-US"/>
              </w:rPr>
              <w:t>Number of people that benefit from the construction and retrofitting of sustainable, resilient and resource-efficient infrastructure utilizing local materials</w:t>
            </w:r>
            <w:r w:rsidRPr="00841766">
              <w:rPr>
                <w:rFonts w:asciiTheme="minorHAnsi" w:hAnsiTheme="minorHAnsi" w:cstheme="minorHAnsi"/>
                <w:sz w:val="22"/>
                <w:szCs w:val="22"/>
                <w:lang w:val="en-US"/>
              </w:rPr>
              <w:t xml:space="preserve"> (SDG Indicator 11.c.1)</w:t>
            </w:r>
            <w:r w:rsidRPr="00841766">
              <w:rPr>
                <w:rFonts w:asciiTheme="minorHAnsi" w:hAnsiTheme="minorHAnsi" w:cstheme="minorHAnsi"/>
                <w:b/>
                <w:sz w:val="22"/>
                <w:szCs w:val="22"/>
                <w:lang w:val="en-US"/>
              </w:rPr>
              <w:t xml:space="preserve"> </w:t>
            </w:r>
          </w:p>
          <w:tbl>
            <w:tblPr>
              <w:tblStyle w:val="TableGrid"/>
              <w:tblW w:w="0" w:type="auto"/>
              <w:tblLayout w:type="fixed"/>
              <w:tblLook w:val="04A0" w:firstRow="1" w:lastRow="0" w:firstColumn="1" w:lastColumn="0" w:noHBand="0" w:noVBand="1"/>
            </w:tblPr>
            <w:tblGrid>
              <w:gridCol w:w="2639"/>
              <w:gridCol w:w="2700"/>
            </w:tblGrid>
            <w:tr w:rsidR="003A41BE" w:rsidRPr="00DA2276" w14:paraId="1287DC32" w14:textId="77777777" w:rsidTr="00FD44CE">
              <w:tc>
                <w:tcPr>
                  <w:tcW w:w="2639" w:type="dxa"/>
                </w:tcPr>
                <w:p w14:paraId="53FC195A"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Baseline</w:t>
                  </w:r>
                </w:p>
              </w:tc>
              <w:tc>
                <w:tcPr>
                  <w:tcW w:w="2700" w:type="dxa"/>
                </w:tcPr>
                <w:p w14:paraId="0965695D"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DA2276" w14:paraId="67CCD2D8" w14:textId="77777777" w:rsidTr="00FD44CE">
              <w:tc>
                <w:tcPr>
                  <w:tcW w:w="2639" w:type="dxa"/>
                  <w:shd w:val="clear" w:color="auto" w:fill="auto"/>
                </w:tcPr>
                <w:p w14:paraId="0117219D" w14:textId="77777777" w:rsidR="003A41BE" w:rsidRPr="003F4BC2" w:rsidRDefault="003A41BE" w:rsidP="002A37E3">
                  <w:pPr>
                    <w:framePr w:hSpace="141" w:wrap="around" w:vAnchor="text" w:hAnchor="text" w:x="421" w:y="1"/>
                    <w:suppressOverlap/>
                    <w:jc w:val="center"/>
                    <w:rPr>
                      <w:sz w:val="22"/>
                      <w:szCs w:val="22"/>
                      <w:lang w:val="en-US"/>
                    </w:rPr>
                  </w:pPr>
                  <w:r w:rsidRPr="003F4BC2">
                    <w:rPr>
                      <w:rFonts w:cstheme="minorHAnsi"/>
                      <w:bCs/>
                      <w:sz w:val="22"/>
                      <w:szCs w:val="22"/>
                      <w:lang w:val="en-US"/>
                    </w:rPr>
                    <w:t>33,000 beneficiaries in 3 target municipalities</w:t>
                  </w:r>
                </w:p>
              </w:tc>
              <w:tc>
                <w:tcPr>
                  <w:tcW w:w="2700" w:type="dxa"/>
                  <w:shd w:val="clear" w:color="auto" w:fill="auto"/>
                </w:tcPr>
                <w:p w14:paraId="6F714765" w14:textId="77777777" w:rsidR="003A41BE" w:rsidRPr="003F4BC2" w:rsidRDefault="003A41BE" w:rsidP="002A37E3">
                  <w:pPr>
                    <w:framePr w:hSpace="141" w:wrap="around" w:vAnchor="text" w:hAnchor="text" w:x="421" w:y="1"/>
                    <w:suppressOverlap/>
                    <w:jc w:val="center"/>
                    <w:rPr>
                      <w:bCs/>
                      <w:sz w:val="22"/>
                      <w:szCs w:val="22"/>
                      <w:lang w:val="en-US"/>
                    </w:rPr>
                  </w:pPr>
                  <w:r w:rsidRPr="003F4BC2">
                    <w:rPr>
                      <w:rFonts w:cstheme="minorHAnsi"/>
                      <w:bCs/>
                      <w:sz w:val="22"/>
                      <w:szCs w:val="22"/>
                      <w:lang w:val="en-US"/>
                    </w:rPr>
                    <w:t>75,000-175,840 direct beneficiaries in 3 target municipalities (51 % male, 49 % female)</w:t>
                  </w:r>
                </w:p>
              </w:tc>
            </w:tr>
          </w:tbl>
          <w:p w14:paraId="37C19617" w14:textId="77777777" w:rsidR="003A41BE" w:rsidRDefault="003A41BE" w:rsidP="00FD44CE">
            <w:pPr>
              <w:pStyle w:val="Default"/>
              <w:rPr>
                <w:rFonts w:asciiTheme="minorHAnsi" w:hAnsiTheme="minorHAnsi" w:cstheme="minorHAnsi"/>
                <w:bCs/>
                <w:sz w:val="22"/>
                <w:szCs w:val="22"/>
                <w:lang w:val="en-US"/>
              </w:rPr>
            </w:pPr>
            <w:r w:rsidRPr="002A7985">
              <w:rPr>
                <w:rFonts w:asciiTheme="minorHAnsi" w:hAnsiTheme="minorHAnsi" w:cstheme="minorHAnsi"/>
                <w:bCs/>
                <w:color w:val="auto"/>
                <w:sz w:val="22"/>
                <w:szCs w:val="22"/>
                <w:lang w:val="en-US"/>
              </w:rPr>
              <w:t>Data Source: UNDP</w:t>
            </w:r>
            <w:r w:rsidRPr="003F4BC2">
              <w:rPr>
                <w:rFonts w:asciiTheme="minorHAnsi" w:hAnsiTheme="minorHAnsi" w:cstheme="minorHAnsi"/>
                <w:bCs/>
                <w:sz w:val="22"/>
                <w:szCs w:val="22"/>
                <w:lang w:val="en-US"/>
              </w:rPr>
              <w:t xml:space="preserve"> GCF Project Document</w:t>
            </w:r>
          </w:p>
          <w:p w14:paraId="18A7C03B" w14:textId="77777777" w:rsidR="003A41BE" w:rsidRPr="00841766" w:rsidRDefault="003A41BE" w:rsidP="00FD44CE">
            <w:pPr>
              <w:pStyle w:val="Default"/>
              <w:rPr>
                <w:rFonts w:asciiTheme="minorHAnsi" w:hAnsiTheme="minorHAnsi" w:cstheme="minorHAnsi"/>
                <w:b/>
                <w:sz w:val="22"/>
                <w:szCs w:val="22"/>
                <w:lang w:val="en-US"/>
              </w:rPr>
            </w:pPr>
          </w:p>
        </w:tc>
        <w:tc>
          <w:tcPr>
            <w:tcW w:w="4116" w:type="dxa"/>
            <w:vMerge/>
          </w:tcPr>
          <w:p w14:paraId="76866309" w14:textId="77777777" w:rsidR="003A41BE" w:rsidRPr="00841766" w:rsidRDefault="003A41BE" w:rsidP="00FD44CE">
            <w:pPr>
              <w:autoSpaceDE w:val="0"/>
              <w:autoSpaceDN w:val="0"/>
              <w:adjustRightInd w:val="0"/>
              <w:rPr>
                <w:rFonts w:cstheme="minorHAnsi"/>
                <w:sz w:val="22"/>
                <w:szCs w:val="22"/>
                <w:lang w:val="en-US"/>
              </w:rPr>
            </w:pPr>
          </w:p>
        </w:tc>
      </w:tr>
      <w:tr w:rsidR="003A41BE" w:rsidRPr="00841766" w14:paraId="75A7B924" w14:textId="77777777" w:rsidTr="53E3C463">
        <w:trPr>
          <w:trHeight w:val="256"/>
        </w:trPr>
        <w:tc>
          <w:tcPr>
            <w:tcW w:w="4529" w:type="dxa"/>
            <w:vMerge/>
          </w:tcPr>
          <w:p w14:paraId="2FFB939C"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A9B71" w14:textId="77777777" w:rsidR="003A41BE" w:rsidRDefault="003A41BE" w:rsidP="00FD44CE">
            <w:pPr>
              <w:autoSpaceDE w:val="0"/>
              <w:autoSpaceDN w:val="0"/>
              <w:adjustRightInd w:val="0"/>
              <w:rPr>
                <w:rFonts w:cstheme="minorHAnsi"/>
                <w:bCs/>
                <w:sz w:val="22"/>
                <w:szCs w:val="22"/>
                <w:lang w:val="en-US"/>
              </w:rPr>
            </w:pPr>
            <w:r>
              <w:rPr>
                <w:rFonts w:cstheme="minorHAnsi"/>
                <w:b/>
                <w:sz w:val="22"/>
                <w:szCs w:val="22"/>
                <w:lang w:val="en-US"/>
              </w:rPr>
              <w:t xml:space="preserve">Indicator 6.2.4 </w:t>
            </w:r>
            <w:r>
              <w:rPr>
                <w:rFonts w:cstheme="minorHAnsi"/>
                <w:bCs/>
                <w:sz w:val="22"/>
                <w:szCs w:val="22"/>
                <w:lang w:val="en-US"/>
              </w:rPr>
              <w:t>Proportion of population that has convenient access to public transport, by sex, age and persons with disabilities (SDG Indicator 11.2)</w:t>
            </w:r>
          </w:p>
          <w:tbl>
            <w:tblPr>
              <w:tblStyle w:val="TableGrid"/>
              <w:tblW w:w="0" w:type="auto"/>
              <w:tblLayout w:type="fixed"/>
              <w:tblLook w:val="04A0" w:firstRow="1" w:lastRow="0" w:firstColumn="1" w:lastColumn="0" w:noHBand="0" w:noVBand="1"/>
            </w:tblPr>
            <w:tblGrid>
              <w:gridCol w:w="2917"/>
              <w:gridCol w:w="1890"/>
            </w:tblGrid>
            <w:tr w:rsidR="003A41BE" w:rsidRPr="00DA2276" w14:paraId="42F45ABC" w14:textId="77777777" w:rsidTr="00FD44CE">
              <w:tc>
                <w:tcPr>
                  <w:tcW w:w="2917" w:type="dxa"/>
                </w:tcPr>
                <w:p w14:paraId="6C0A1ABC"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Baseline</w:t>
                  </w:r>
                </w:p>
              </w:tc>
              <w:tc>
                <w:tcPr>
                  <w:tcW w:w="1890" w:type="dxa"/>
                </w:tcPr>
                <w:p w14:paraId="5AB09296"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DA2276" w14:paraId="4AC12361" w14:textId="77777777" w:rsidTr="00FD44CE">
              <w:tc>
                <w:tcPr>
                  <w:tcW w:w="2917" w:type="dxa"/>
                </w:tcPr>
                <w:p w14:paraId="3349BAC2" w14:textId="77777777" w:rsidR="003A41BE" w:rsidRPr="003E251F" w:rsidRDefault="003A41BE" w:rsidP="002A37E3">
                  <w:pPr>
                    <w:framePr w:hSpace="141" w:wrap="around" w:vAnchor="text" w:hAnchor="text" w:x="421" w:y="1"/>
                    <w:autoSpaceDE w:val="0"/>
                    <w:autoSpaceDN w:val="0"/>
                    <w:adjustRightInd w:val="0"/>
                    <w:suppressOverlap/>
                    <w:rPr>
                      <w:rFonts w:cstheme="minorHAnsi"/>
                      <w:sz w:val="22"/>
                      <w:szCs w:val="22"/>
                      <w:lang w:val="en-GB"/>
                    </w:rPr>
                  </w:pPr>
                  <w:r w:rsidRPr="003E251F">
                    <w:rPr>
                      <w:rFonts w:cstheme="minorHAnsi"/>
                      <w:color w:val="000000"/>
                      <w:sz w:val="22"/>
                      <w:szCs w:val="22"/>
                      <w:lang w:val="en-GB"/>
                    </w:rPr>
                    <w:t>Tier 2 SDG Indicator: Currently not able to be produced</w:t>
                  </w:r>
                </w:p>
                <w:p w14:paraId="2E8E83DD" w14:textId="77777777" w:rsidR="003A41BE" w:rsidRPr="003E251F" w:rsidRDefault="003A41BE" w:rsidP="002A37E3">
                  <w:pPr>
                    <w:framePr w:hSpace="141" w:wrap="around" w:vAnchor="text" w:hAnchor="text" w:x="421" w:y="1"/>
                    <w:suppressOverlap/>
                    <w:jc w:val="center"/>
                    <w:rPr>
                      <w:sz w:val="22"/>
                      <w:szCs w:val="22"/>
                      <w:lang w:val="en-US"/>
                    </w:rPr>
                  </w:pPr>
                </w:p>
              </w:tc>
              <w:tc>
                <w:tcPr>
                  <w:tcW w:w="1890" w:type="dxa"/>
                </w:tcPr>
                <w:p w14:paraId="2C657187" w14:textId="77777777" w:rsidR="003A41BE" w:rsidRPr="003E251F" w:rsidRDefault="003A41BE" w:rsidP="002A37E3">
                  <w:pPr>
                    <w:framePr w:hSpace="141" w:wrap="around" w:vAnchor="text" w:hAnchor="text" w:x="421" w:y="1"/>
                    <w:suppressOverlap/>
                    <w:jc w:val="center"/>
                    <w:rPr>
                      <w:bCs/>
                      <w:sz w:val="22"/>
                      <w:szCs w:val="22"/>
                      <w:lang w:val="en-US"/>
                    </w:rPr>
                  </w:pPr>
                  <w:r w:rsidRPr="003E251F">
                    <w:rPr>
                      <w:rFonts w:cstheme="minorHAnsi"/>
                      <w:bCs/>
                      <w:sz w:val="22"/>
                      <w:szCs w:val="22"/>
                      <w:lang w:val="en-US"/>
                    </w:rPr>
                    <w:t>TBD</w:t>
                  </w:r>
                </w:p>
              </w:tc>
            </w:tr>
          </w:tbl>
          <w:p w14:paraId="6E772A2F" w14:textId="77777777" w:rsidR="003A41BE" w:rsidRPr="003F4BC2" w:rsidRDefault="003A41BE" w:rsidP="00FD44CE">
            <w:pPr>
              <w:autoSpaceDE w:val="0"/>
              <w:autoSpaceDN w:val="0"/>
              <w:adjustRightInd w:val="0"/>
              <w:rPr>
                <w:rFonts w:cstheme="minorHAnsi"/>
                <w:bCs/>
                <w:sz w:val="22"/>
                <w:szCs w:val="22"/>
                <w:lang w:val="en-US"/>
              </w:rPr>
            </w:pPr>
            <w:r w:rsidRPr="002A7985">
              <w:rPr>
                <w:rFonts w:cstheme="minorHAnsi"/>
                <w:bCs/>
                <w:sz w:val="22"/>
                <w:szCs w:val="22"/>
                <w:lang w:val="en-US"/>
              </w:rPr>
              <w:lastRenderedPageBreak/>
              <w:t>Data Source:</w:t>
            </w:r>
            <w:r w:rsidRPr="0044062F">
              <w:rPr>
                <w:rFonts w:cstheme="minorHAnsi"/>
                <w:bCs/>
                <w:sz w:val="22"/>
                <w:szCs w:val="22"/>
                <w:lang w:val="en-US"/>
              </w:rPr>
              <w:t xml:space="preserve"> </w:t>
            </w:r>
            <w:r w:rsidRPr="0044062F">
              <w:rPr>
                <w:rFonts w:cstheme="minorHAnsi"/>
                <w:sz w:val="22"/>
                <w:szCs w:val="22"/>
                <w:lang w:val="en-GB"/>
              </w:rPr>
              <w:t xml:space="preserve"> UN Women, UNFPA, SEM, and DGS. 2018. “Gender and Sustainable Development: Key to Leaving No One Behind”</w:t>
            </w:r>
          </w:p>
        </w:tc>
        <w:tc>
          <w:tcPr>
            <w:tcW w:w="4116" w:type="dxa"/>
            <w:vMerge/>
          </w:tcPr>
          <w:p w14:paraId="6C9A4721" w14:textId="77777777" w:rsidR="003A41BE" w:rsidRPr="00E172AF" w:rsidDel="00316129" w:rsidRDefault="003A41BE" w:rsidP="00FD44CE">
            <w:pPr>
              <w:autoSpaceDE w:val="0"/>
              <w:autoSpaceDN w:val="0"/>
              <w:adjustRightInd w:val="0"/>
              <w:rPr>
                <w:rFonts w:cstheme="minorHAnsi"/>
                <w:sz w:val="22"/>
                <w:szCs w:val="22"/>
                <w:lang w:val="en-US"/>
              </w:rPr>
            </w:pPr>
          </w:p>
        </w:tc>
      </w:tr>
      <w:tr w:rsidR="003A41BE" w:rsidRPr="00841766" w14:paraId="661C20E7" w14:textId="77777777" w:rsidTr="53E3C463">
        <w:trPr>
          <w:trHeight w:val="256"/>
        </w:trPr>
        <w:tc>
          <w:tcPr>
            <w:tcW w:w="4529" w:type="dxa"/>
            <w:vMerge/>
          </w:tcPr>
          <w:p w14:paraId="3E769988"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ECCF32" w14:textId="77777777" w:rsidR="003A41BE" w:rsidRDefault="003A41BE" w:rsidP="00FD44CE">
            <w:pPr>
              <w:autoSpaceDE w:val="0"/>
              <w:autoSpaceDN w:val="0"/>
              <w:adjustRightInd w:val="0"/>
              <w:rPr>
                <w:rFonts w:cstheme="minorHAnsi"/>
                <w:bCs/>
                <w:sz w:val="22"/>
                <w:szCs w:val="22"/>
                <w:lang w:val="en-US"/>
              </w:rPr>
            </w:pPr>
            <w:r>
              <w:rPr>
                <w:rFonts w:cstheme="minorHAnsi"/>
                <w:b/>
                <w:sz w:val="22"/>
                <w:szCs w:val="22"/>
                <w:lang w:val="en-US"/>
              </w:rPr>
              <w:t xml:space="preserve">Indicator 6.2.5 </w:t>
            </w:r>
            <w:r>
              <w:rPr>
                <w:rFonts w:cstheme="minorHAnsi"/>
                <w:bCs/>
                <w:sz w:val="22"/>
                <w:szCs w:val="22"/>
                <w:lang w:val="en-US"/>
              </w:rPr>
              <w:t xml:space="preserve">Proportion of population that feel safe walking alone around the area they live </w:t>
            </w:r>
          </w:p>
          <w:tbl>
            <w:tblPr>
              <w:tblStyle w:val="TableGrid"/>
              <w:tblW w:w="0" w:type="auto"/>
              <w:tblLayout w:type="fixed"/>
              <w:tblLook w:val="04A0" w:firstRow="1" w:lastRow="0" w:firstColumn="1" w:lastColumn="0" w:noHBand="0" w:noVBand="1"/>
            </w:tblPr>
            <w:tblGrid>
              <w:gridCol w:w="2917"/>
              <w:gridCol w:w="1620"/>
            </w:tblGrid>
            <w:tr w:rsidR="003A41BE" w:rsidRPr="00B7729E" w14:paraId="453F21FE" w14:textId="77777777" w:rsidTr="00FD44CE">
              <w:tc>
                <w:tcPr>
                  <w:tcW w:w="2917" w:type="dxa"/>
                </w:tcPr>
                <w:p w14:paraId="25D5945F" w14:textId="77777777" w:rsidR="003A41BE" w:rsidRPr="003F4BC2" w:rsidRDefault="003A41BE" w:rsidP="002A37E3">
                  <w:pPr>
                    <w:framePr w:hSpace="141" w:wrap="around" w:vAnchor="text" w:hAnchor="text" w:x="421" w:y="1"/>
                    <w:suppressOverlap/>
                    <w:jc w:val="center"/>
                    <w:rPr>
                      <w:sz w:val="22"/>
                      <w:szCs w:val="22"/>
                      <w:lang w:val="en-US"/>
                    </w:rPr>
                  </w:pPr>
                  <w:r w:rsidRPr="003F4BC2">
                    <w:rPr>
                      <w:sz w:val="22"/>
                      <w:szCs w:val="22"/>
                      <w:lang w:val="en-US"/>
                    </w:rPr>
                    <w:t>Baseline</w:t>
                  </w:r>
                </w:p>
              </w:tc>
              <w:tc>
                <w:tcPr>
                  <w:tcW w:w="1620" w:type="dxa"/>
                </w:tcPr>
                <w:p w14:paraId="0DA9C6DF" w14:textId="77777777" w:rsidR="003A41BE" w:rsidRPr="003F4BC2" w:rsidRDefault="003A41BE" w:rsidP="002A37E3">
                  <w:pPr>
                    <w:framePr w:hSpace="141" w:wrap="around" w:vAnchor="text" w:hAnchor="text" w:x="421" w:y="1"/>
                    <w:suppressOverlap/>
                    <w:jc w:val="center"/>
                    <w:rPr>
                      <w:sz w:val="22"/>
                      <w:szCs w:val="22"/>
                      <w:lang w:val="en-US"/>
                    </w:rPr>
                  </w:pPr>
                  <w:r w:rsidRPr="003F4BC2">
                    <w:rPr>
                      <w:sz w:val="22"/>
                      <w:szCs w:val="22"/>
                      <w:lang w:val="en-US"/>
                    </w:rPr>
                    <w:t>Target</w:t>
                  </w:r>
                </w:p>
              </w:tc>
            </w:tr>
            <w:tr w:rsidR="003A41BE" w:rsidRPr="00B7729E" w14:paraId="4BBF0C3C" w14:textId="77777777" w:rsidTr="00FD44CE">
              <w:tc>
                <w:tcPr>
                  <w:tcW w:w="2917" w:type="dxa"/>
                  <w:shd w:val="clear" w:color="auto" w:fill="auto"/>
                </w:tcPr>
                <w:p w14:paraId="2207E3F8" w14:textId="77777777" w:rsidR="003A41BE" w:rsidRPr="003F4BC2" w:rsidRDefault="003A41BE" w:rsidP="002A37E3">
                  <w:pPr>
                    <w:framePr w:hSpace="141" w:wrap="around" w:vAnchor="text" w:hAnchor="text" w:x="421" w:y="1"/>
                    <w:suppressOverlap/>
                    <w:jc w:val="center"/>
                    <w:rPr>
                      <w:sz w:val="22"/>
                      <w:szCs w:val="22"/>
                      <w:highlight w:val="yellow"/>
                      <w:lang w:val="en-US"/>
                    </w:rPr>
                  </w:pPr>
                  <w:r w:rsidRPr="002A7985">
                    <w:rPr>
                      <w:rFonts w:cstheme="minorHAnsi"/>
                      <w:bCs/>
                      <w:sz w:val="22"/>
                      <w:szCs w:val="22"/>
                      <w:lang w:val="en-US"/>
                    </w:rPr>
                    <w:t xml:space="preserve">UN Women baseline study to be conducted 2020 </w:t>
                  </w:r>
                </w:p>
              </w:tc>
              <w:tc>
                <w:tcPr>
                  <w:tcW w:w="1620" w:type="dxa"/>
                </w:tcPr>
                <w:p w14:paraId="23C15AA4" w14:textId="77777777" w:rsidR="003A41BE" w:rsidRPr="003F4BC2" w:rsidRDefault="003A41BE" w:rsidP="002A37E3">
                  <w:pPr>
                    <w:framePr w:hSpace="141" w:wrap="around" w:vAnchor="text" w:hAnchor="text" w:x="421" w:y="1"/>
                    <w:suppressOverlap/>
                    <w:jc w:val="center"/>
                    <w:rPr>
                      <w:bCs/>
                      <w:sz w:val="22"/>
                      <w:szCs w:val="22"/>
                      <w:highlight w:val="yellow"/>
                      <w:lang w:val="en-US"/>
                    </w:rPr>
                  </w:pPr>
                  <w:r w:rsidRPr="002A7985">
                    <w:rPr>
                      <w:rFonts w:cstheme="minorHAnsi"/>
                      <w:bCs/>
                      <w:sz w:val="22"/>
                      <w:szCs w:val="22"/>
                      <w:lang w:val="en-US"/>
                    </w:rPr>
                    <w:t>TBD</w:t>
                  </w:r>
                </w:p>
              </w:tc>
            </w:tr>
          </w:tbl>
          <w:p w14:paraId="7B453EA6" w14:textId="77777777" w:rsidR="003A41BE" w:rsidRDefault="003A41BE" w:rsidP="00FD44CE">
            <w:pPr>
              <w:autoSpaceDE w:val="0"/>
              <w:autoSpaceDN w:val="0"/>
              <w:adjustRightInd w:val="0"/>
              <w:rPr>
                <w:rFonts w:cstheme="minorHAnsi"/>
                <w:bCs/>
                <w:sz w:val="22"/>
                <w:szCs w:val="22"/>
                <w:lang w:val="en-US"/>
              </w:rPr>
            </w:pPr>
            <w:r>
              <w:rPr>
                <w:rFonts w:cstheme="minorHAnsi"/>
                <w:bCs/>
                <w:sz w:val="22"/>
                <w:szCs w:val="22"/>
                <w:lang w:val="en-US"/>
              </w:rPr>
              <w:t>Note. Tier 2 SDG Indicator not yet produced.</w:t>
            </w:r>
          </w:p>
          <w:p w14:paraId="2A8152E1" w14:textId="77777777" w:rsidR="003A41BE" w:rsidRDefault="003A41BE" w:rsidP="00FD44CE">
            <w:pPr>
              <w:autoSpaceDE w:val="0"/>
              <w:autoSpaceDN w:val="0"/>
              <w:adjustRightInd w:val="0"/>
              <w:rPr>
                <w:rFonts w:cstheme="minorHAnsi"/>
                <w:sz w:val="22"/>
                <w:szCs w:val="22"/>
                <w:lang w:val="en-GB"/>
              </w:rPr>
            </w:pPr>
            <w:r w:rsidRPr="003F4BC2">
              <w:rPr>
                <w:rFonts w:cstheme="minorHAnsi"/>
                <w:bCs/>
                <w:sz w:val="22"/>
                <w:szCs w:val="22"/>
                <w:lang w:val="en-US"/>
              </w:rPr>
              <w:t xml:space="preserve">Data Source: </w:t>
            </w:r>
            <w:r w:rsidRPr="00A35EFE">
              <w:rPr>
                <w:rFonts w:cstheme="minorHAnsi"/>
                <w:sz w:val="22"/>
                <w:szCs w:val="22"/>
                <w:lang w:val="en-GB"/>
              </w:rPr>
              <w:t xml:space="preserve"> UN Women, UNFPA, SEM, and DGS. 2018. “Gender and Sustainable Development: Key to Leaving No One Behind”</w:t>
            </w:r>
          </w:p>
          <w:p w14:paraId="3E553CDB" w14:textId="77777777" w:rsidR="003A41BE" w:rsidRPr="003F4BC2" w:rsidRDefault="003A41BE" w:rsidP="00FD44CE">
            <w:pPr>
              <w:autoSpaceDE w:val="0"/>
              <w:autoSpaceDN w:val="0"/>
              <w:adjustRightInd w:val="0"/>
              <w:rPr>
                <w:rFonts w:cstheme="minorHAnsi"/>
                <w:bCs/>
                <w:sz w:val="22"/>
                <w:szCs w:val="22"/>
                <w:lang w:val="en-US"/>
              </w:rPr>
            </w:pPr>
          </w:p>
        </w:tc>
        <w:tc>
          <w:tcPr>
            <w:tcW w:w="4116" w:type="dxa"/>
            <w:vMerge/>
          </w:tcPr>
          <w:p w14:paraId="670C8376" w14:textId="77777777" w:rsidR="003A41BE" w:rsidRPr="00316129" w:rsidDel="00316129" w:rsidRDefault="003A41BE" w:rsidP="00FD44CE">
            <w:pPr>
              <w:autoSpaceDE w:val="0"/>
              <w:autoSpaceDN w:val="0"/>
              <w:adjustRightInd w:val="0"/>
              <w:rPr>
                <w:rFonts w:cstheme="minorHAnsi"/>
                <w:sz w:val="22"/>
                <w:szCs w:val="22"/>
                <w:lang w:val="en-US"/>
              </w:rPr>
            </w:pPr>
          </w:p>
        </w:tc>
      </w:tr>
      <w:tr w:rsidR="003A41BE" w:rsidRPr="00841766" w14:paraId="232A9F63" w14:textId="77777777" w:rsidTr="53E3C463">
        <w:trPr>
          <w:trHeight w:val="256"/>
        </w:trPr>
        <w:tc>
          <w:tcPr>
            <w:tcW w:w="4529" w:type="dxa"/>
            <w:vMerge w:val="restart"/>
            <w:tcBorders>
              <w:top w:val="single" w:sz="4" w:space="0" w:color="auto"/>
              <w:left w:val="single" w:sz="4" w:space="0" w:color="auto"/>
              <w:right w:val="single" w:sz="4" w:space="0" w:color="auto"/>
            </w:tcBorders>
            <w:shd w:val="clear" w:color="auto" w:fill="8EAADB" w:themeFill="accent1" w:themeFillTint="99"/>
          </w:tcPr>
          <w:p w14:paraId="6027325B" w14:textId="77777777" w:rsidR="003A41BE" w:rsidRPr="00841766" w:rsidRDefault="003A41BE" w:rsidP="00FD44CE">
            <w:pPr>
              <w:jc w:val="both"/>
              <w:rPr>
                <w:rFonts w:cstheme="minorHAnsi"/>
                <w:b/>
                <w:color w:val="000000" w:themeColor="text1"/>
                <w:sz w:val="22"/>
                <w:szCs w:val="22"/>
                <w:lang w:val="en-US"/>
              </w:rPr>
            </w:pPr>
            <w:r w:rsidRPr="00841766">
              <w:rPr>
                <w:rFonts w:cstheme="minorHAnsi"/>
                <w:b/>
                <w:color w:val="000000" w:themeColor="text1"/>
                <w:sz w:val="22"/>
                <w:szCs w:val="22"/>
                <w:lang w:val="en-US"/>
              </w:rPr>
              <w:t>Sub-Outcome 6.3:</w:t>
            </w:r>
          </w:p>
          <w:p w14:paraId="5AC3B13D" w14:textId="77777777" w:rsidR="003A41BE" w:rsidRPr="00841766" w:rsidRDefault="003A41BE" w:rsidP="00FD44CE">
            <w:pPr>
              <w:jc w:val="both"/>
              <w:rPr>
                <w:rFonts w:cstheme="minorHAnsi"/>
                <w:bCs/>
                <w:sz w:val="22"/>
                <w:szCs w:val="22"/>
                <w:lang w:val="en-US"/>
              </w:rPr>
            </w:pPr>
          </w:p>
          <w:p w14:paraId="20734562" w14:textId="77777777" w:rsidR="003A41BE" w:rsidRPr="00841766" w:rsidRDefault="003A41BE" w:rsidP="00FD44CE">
            <w:pPr>
              <w:rPr>
                <w:rFonts w:cstheme="minorHAnsi"/>
                <w:b/>
                <w:bCs/>
                <w:sz w:val="22"/>
                <w:szCs w:val="22"/>
                <w:lang w:val="en-US"/>
              </w:rPr>
            </w:pPr>
            <w:r w:rsidRPr="00841766">
              <w:rPr>
                <w:rFonts w:cstheme="minorHAnsi"/>
                <w:b/>
                <w:bCs/>
                <w:sz w:val="22"/>
                <w:szCs w:val="22"/>
                <w:lang w:val="en-US"/>
              </w:rPr>
              <w:t xml:space="preserve">Terrestrial and Ocean Resources Sustainable Management </w:t>
            </w:r>
          </w:p>
          <w:p w14:paraId="01397A60" w14:textId="77777777" w:rsidR="003A41BE" w:rsidRPr="00841766" w:rsidRDefault="003A41BE" w:rsidP="00FD44CE">
            <w:pPr>
              <w:rPr>
                <w:rFonts w:cstheme="minorHAnsi"/>
                <w:b/>
                <w:color w:val="000000" w:themeColor="text1"/>
                <w:sz w:val="22"/>
                <w:szCs w:val="22"/>
                <w:lang w:val="en-US"/>
              </w:rPr>
            </w:pPr>
            <w:r w:rsidRPr="00841766">
              <w:rPr>
                <w:rFonts w:cstheme="minorHAnsi"/>
                <w:bCs/>
                <w:sz w:val="22"/>
                <w:szCs w:val="22"/>
                <w:lang w:val="en-US"/>
              </w:rPr>
              <w:t>Effective and gender-equitable strategies and systems are in place for sustainably managed land, forest, coastal and marine resources</w:t>
            </w:r>
          </w:p>
          <w:p w14:paraId="15186A14"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A3364" w14:textId="77777777" w:rsidR="003A41BE" w:rsidRDefault="003A41BE" w:rsidP="00FD44CE">
            <w:pPr>
              <w:autoSpaceDE w:val="0"/>
              <w:autoSpaceDN w:val="0"/>
              <w:adjustRightInd w:val="0"/>
              <w:rPr>
                <w:sz w:val="22"/>
                <w:szCs w:val="22"/>
                <w:lang w:val="en-US"/>
              </w:rPr>
            </w:pPr>
            <w:r w:rsidRPr="00841766">
              <w:rPr>
                <w:rFonts w:cstheme="minorHAnsi"/>
                <w:b/>
                <w:sz w:val="22"/>
                <w:szCs w:val="22"/>
                <w:lang w:val="en-US"/>
              </w:rPr>
              <w:t xml:space="preserve">Indicator 6.3.1: </w:t>
            </w:r>
            <w:r w:rsidRPr="00841766">
              <w:rPr>
                <w:sz w:val="22"/>
                <w:szCs w:val="22"/>
                <w:lang w:val="en-US"/>
              </w:rPr>
              <w:t>Progress by countries in the degree of application of a legal/regulatory/policy/institutional framework which recognizes and protects access rights for small-scale fisheries (</w:t>
            </w:r>
            <w:r w:rsidRPr="00841766">
              <w:rPr>
                <w:rFonts w:cstheme="minorHAnsi"/>
                <w:sz w:val="22"/>
                <w:szCs w:val="22"/>
                <w:lang w:val="en-US"/>
              </w:rPr>
              <w:t>SDG Indicator</w:t>
            </w:r>
            <w:r w:rsidRPr="00841766">
              <w:rPr>
                <w:sz w:val="22"/>
                <w:szCs w:val="22"/>
                <w:lang w:val="en-US"/>
              </w:rPr>
              <w:t xml:space="preserve"> 14.b.1)</w:t>
            </w:r>
          </w:p>
          <w:tbl>
            <w:tblPr>
              <w:tblStyle w:val="TableGrid"/>
              <w:tblW w:w="0" w:type="auto"/>
              <w:tblLayout w:type="fixed"/>
              <w:tblLook w:val="04A0" w:firstRow="1" w:lastRow="0" w:firstColumn="1" w:lastColumn="0" w:noHBand="0" w:noVBand="1"/>
            </w:tblPr>
            <w:tblGrid>
              <w:gridCol w:w="2999"/>
              <w:gridCol w:w="2528"/>
            </w:tblGrid>
            <w:tr w:rsidR="003A41BE" w:rsidRPr="00DA2276" w14:paraId="0B281E19" w14:textId="77777777" w:rsidTr="00FD44CE">
              <w:tc>
                <w:tcPr>
                  <w:tcW w:w="2999" w:type="dxa"/>
                </w:tcPr>
                <w:p w14:paraId="70827C86"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Baseline</w:t>
                  </w:r>
                </w:p>
              </w:tc>
              <w:tc>
                <w:tcPr>
                  <w:tcW w:w="2528" w:type="dxa"/>
                </w:tcPr>
                <w:p w14:paraId="58F00622"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DA2276" w14:paraId="5F265EE1" w14:textId="77777777" w:rsidTr="00FD44CE">
              <w:tc>
                <w:tcPr>
                  <w:tcW w:w="2999" w:type="dxa"/>
                  <w:shd w:val="clear" w:color="auto" w:fill="auto"/>
                </w:tcPr>
                <w:p w14:paraId="1D174D19" w14:textId="77777777" w:rsidR="003A41BE" w:rsidRPr="00DA2276" w:rsidRDefault="003A41BE" w:rsidP="002A37E3">
                  <w:pPr>
                    <w:framePr w:hSpace="141" w:wrap="around" w:vAnchor="text" w:hAnchor="text" w:x="421" w:y="1"/>
                    <w:suppressOverlap/>
                    <w:rPr>
                      <w:sz w:val="22"/>
                      <w:szCs w:val="22"/>
                      <w:highlight w:val="yellow"/>
                      <w:lang w:val="en-US"/>
                    </w:rPr>
                  </w:pPr>
                  <w:r w:rsidRPr="002A7985">
                    <w:rPr>
                      <w:rFonts w:cstheme="minorHAnsi"/>
                      <w:bCs/>
                      <w:sz w:val="22"/>
                      <w:szCs w:val="22"/>
                      <w:lang w:val="en-US"/>
                    </w:rPr>
                    <w:t>Access and participation rights recognized in fisheries legislation Timor-Leste Constitution</w:t>
                  </w:r>
                </w:p>
              </w:tc>
              <w:tc>
                <w:tcPr>
                  <w:tcW w:w="2528" w:type="dxa"/>
                </w:tcPr>
                <w:p w14:paraId="21F56B69" w14:textId="77777777" w:rsidR="003A41BE" w:rsidRPr="00DA2276" w:rsidRDefault="003A41BE" w:rsidP="002A37E3">
                  <w:pPr>
                    <w:framePr w:hSpace="141" w:wrap="around" w:vAnchor="text" w:hAnchor="text" w:x="421" w:y="1"/>
                    <w:suppressOverlap/>
                    <w:rPr>
                      <w:bCs/>
                      <w:sz w:val="22"/>
                      <w:szCs w:val="22"/>
                      <w:highlight w:val="yellow"/>
                      <w:lang w:val="en-US"/>
                    </w:rPr>
                  </w:pPr>
                  <w:r w:rsidRPr="009B3A1E">
                    <w:rPr>
                      <w:rFonts w:cstheme="minorHAnsi"/>
                      <w:sz w:val="22"/>
                      <w:szCs w:val="22"/>
                      <w:lang w:val="en-GB"/>
                    </w:rPr>
                    <w:t>U</w:t>
                  </w:r>
                  <w:r>
                    <w:rPr>
                      <w:rFonts w:cstheme="minorHAnsi"/>
                      <w:sz w:val="22"/>
                      <w:szCs w:val="22"/>
                      <w:lang w:val="en-GB"/>
                    </w:rPr>
                    <w:t>pdated fisheries law</w:t>
                  </w:r>
                  <w:r w:rsidRPr="009B3A1E">
                    <w:rPr>
                      <w:rFonts w:cstheme="minorHAnsi"/>
                      <w:sz w:val="22"/>
                      <w:szCs w:val="22"/>
                      <w:lang w:val="en-GB"/>
                    </w:rPr>
                    <w:t xml:space="preserve"> provides more access rights and access for small-scale fisheries</w:t>
                  </w:r>
                  <w:r>
                    <w:rPr>
                      <w:rFonts w:cstheme="minorHAnsi"/>
                      <w:sz w:val="22"/>
                      <w:szCs w:val="22"/>
                      <w:lang w:val="en-GB"/>
                    </w:rPr>
                    <w:t xml:space="preserve"> – to be discussed further with relevant partners</w:t>
                  </w:r>
                </w:p>
              </w:tc>
            </w:tr>
          </w:tbl>
          <w:p w14:paraId="5E12BF5E" w14:textId="77777777" w:rsidR="003A41BE" w:rsidRPr="00715FF4" w:rsidRDefault="003A41BE" w:rsidP="00FD44CE">
            <w:pPr>
              <w:autoSpaceDE w:val="0"/>
              <w:autoSpaceDN w:val="0"/>
              <w:adjustRightInd w:val="0"/>
              <w:rPr>
                <w:rFonts w:cstheme="minorHAnsi"/>
                <w:bCs/>
                <w:sz w:val="22"/>
                <w:szCs w:val="22"/>
                <w:lang w:val="en-US"/>
              </w:rPr>
            </w:pPr>
            <w:r>
              <w:rPr>
                <w:rFonts w:cstheme="minorHAnsi"/>
                <w:bCs/>
                <w:sz w:val="22"/>
                <w:szCs w:val="22"/>
                <w:lang w:val="en-US"/>
              </w:rPr>
              <w:t xml:space="preserve">Note: Decree-Law 6/2004 and Government Decree No. 5/2004 provisions for allowing full participation of communities and other stakeholders in resource management, on supporting the development of small-scale fisheries and provides for the creation of co-management committees (Article 8; 114). Tara </w:t>
            </w:r>
            <w:proofErr w:type="spellStart"/>
            <w:r>
              <w:rPr>
                <w:rFonts w:cstheme="minorHAnsi"/>
                <w:bCs/>
                <w:sz w:val="22"/>
                <w:szCs w:val="22"/>
                <w:lang w:val="en-US"/>
              </w:rPr>
              <w:t>bandu</w:t>
            </w:r>
            <w:proofErr w:type="spellEnd"/>
            <w:r>
              <w:rPr>
                <w:rFonts w:cstheme="minorHAnsi"/>
                <w:bCs/>
                <w:sz w:val="22"/>
                <w:szCs w:val="22"/>
                <w:lang w:val="en-US"/>
              </w:rPr>
              <w:t xml:space="preserve"> is recognized by the state-based Environmental Framework Law (Article 8). </w:t>
            </w:r>
          </w:p>
          <w:p w14:paraId="10446CFE" w14:textId="77777777" w:rsidR="003A41BE" w:rsidRPr="00841766" w:rsidRDefault="003A41BE" w:rsidP="00FD44CE">
            <w:pPr>
              <w:autoSpaceDE w:val="0"/>
              <w:autoSpaceDN w:val="0"/>
              <w:adjustRightInd w:val="0"/>
              <w:rPr>
                <w:sz w:val="22"/>
                <w:szCs w:val="22"/>
                <w:lang w:val="en-US"/>
              </w:rPr>
            </w:pPr>
            <w:r w:rsidRPr="00DA2276">
              <w:rPr>
                <w:rFonts w:cstheme="minorHAnsi"/>
                <w:bCs/>
                <w:sz w:val="22"/>
                <w:szCs w:val="22"/>
                <w:lang w:val="en-US"/>
              </w:rPr>
              <w:t>Data Source:</w:t>
            </w:r>
            <w:r>
              <w:rPr>
                <w:rFonts w:cstheme="minorHAnsi"/>
                <w:bCs/>
                <w:sz w:val="22"/>
                <w:szCs w:val="22"/>
                <w:lang w:val="en-US"/>
              </w:rPr>
              <w:t xml:space="preserve"> MAF, Constitution of the DRTL </w:t>
            </w:r>
          </w:p>
          <w:p w14:paraId="2C15F8B5" w14:textId="77777777" w:rsidR="003A41BE" w:rsidRPr="00841766" w:rsidRDefault="003A41BE" w:rsidP="00FD44CE">
            <w:pPr>
              <w:autoSpaceDE w:val="0"/>
              <w:autoSpaceDN w:val="0"/>
              <w:adjustRightInd w:val="0"/>
              <w:rPr>
                <w:rFonts w:cstheme="minorHAnsi"/>
                <w:b/>
                <w:sz w:val="22"/>
                <w:szCs w:val="22"/>
                <w:lang w:val="en-US"/>
              </w:rPr>
            </w:pPr>
          </w:p>
        </w:tc>
        <w:tc>
          <w:tcPr>
            <w:tcW w:w="4116" w:type="dxa"/>
            <w:vMerge w:val="restart"/>
            <w:tcBorders>
              <w:top w:val="single" w:sz="4" w:space="0" w:color="auto"/>
              <w:left w:val="single" w:sz="4" w:space="0" w:color="auto"/>
              <w:right w:val="single" w:sz="4" w:space="0" w:color="auto"/>
            </w:tcBorders>
          </w:tcPr>
          <w:p w14:paraId="61F30694" w14:textId="77777777" w:rsidR="003A41BE" w:rsidRDefault="003A41BE" w:rsidP="00FD44CE">
            <w:pPr>
              <w:autoSpaceDE w:val="0"/>
              <w:autoSpaceDN w:val="0"/>
              <w:adjustRightInd w:val="0"/>
              <w:rPr>
                <w:rFonts w:cstheme="minorHAnsi"/>
                <w:sz w:val="22"/>
                <w:szCs w:val="22"/>
                <w:lang w:val="en-US"/>
              </w:rPr>
            </w:pPr>
            <w:r>
              <w:rPr>
                <w:rFonts w:cstheme="minorHAnsi"/>
                <w:sz w:val="22"/>
                <w:szCs w:val="22"/>
                <w:lang w:val="en-US"/>
              </w:rPr>
              <w:t>Ministry of Public Works</w:t>
            </w:r>
          </w:p>
          <w:p w14:paraId="435038E7" w14:textId="77777777" w:rsidR="003A41BE" w:rsidRPr="003F4BC2" w:rsidRDefault="003A41BE" w:rsidP="00FD44CE">
            <w:pPr>
              <w:autoSpaceDE w:val="0"/>
              <w:autoSpaceDN w:val="0"/>
              <w:adjustRightInd w:val="0"/>
              <w:rPr>
                <w:rFonts w:cstheme="minorHAnsi"/>
                <w:sz w:val="22"/>
                <w:szCs w:val="22"/>
                <w:lang w:val="en-US"/>
              </w:rPr>
            </w:pPr>
            <w:r>
              <w:rPr>
                <w:rFonts w:cstheme="minorHAnsi"/>
                <w:sz w:val="22"/>
                <w:szCs w:val="22"/>
                <w:lang w:val="en-US"/>
              </w:rPr>
              <w:t>Secretary of State for Environment</w:t>
            </w:r>
          </w:p>
          <w:p w14:paraId="77A3C749"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Ministry of Agriculture and Fisheries</w:t>
            </w:r>
          </w:p>
          <w:p w14:paraId="612145C3"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Ministry of Justice</w:t>
            </w:r>
          </w:p>
          <w:p w14:paraId="547E28A0"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Ministry of State Administration</w:t>
            </w:r>
          </w:p>
          <w:p w14:paraId="06E9535A" w14:textId="77777777" w:rsidR="003A41BE" w:rsidRDefault="003A41BE" w:rsidP="00FD44CE">
            <w:pPr>
              <w:autoSpaceDE w:val="0"/>
              <w:autoSpaceDN w:val="0"/>
              <w:adjustRightInd w:val="0"/>
              <w:rPr>
                <w:rFonts w:cstheme="minorHAnsi"/>
                <w:sz w:val="22"/>
                <w:szCs w:val="22"/>
                <w:lang w:val="en-US"/>
              </w:rPr>
            </w:pPr>
          </w:p>
          <w:p w14:paraId="402F5346" w14:textId="77777777" w:rsidR="003A41BE" w:rsidRDefault="003A41BE" w:rsidP="00FD44CE">
            <w:pPr>
              <w:autoSpaceDE w:val="0"/>
              <w:autoSpaceDN w:val="0"/>
              <w:adjustRightInd w:val="0"/>
              <w:rPr>
                <w:rFonts w:cstheme="minorHAnsi"/>
                <w:sz w:val="22"/>
                <w:szCs w:val="22"/>
                <w:lang w:val="en-US"/>
              </w:rPr>
            </w:pPr>
            <w:r>
              <w:t xml:space="preserve">UNEP, UNDP, </w:t>
            </w:r>
            <w:r w:rsidRPr="00DA2276">
              <w:rPr>
                <w:rFonts w:cstheme="minorHAnsi"/>
                <w:sz w:val="22"/>
                <w:szCs w:val="22"/>
                <w:lang w:val="en-US"/>
              </w:rPr>
              <w:t>UNESCO</w:t>
            </w:r>
            <w:r>
              <w:rPr>
                <w:rFonts w:cstheme="minorHAnsi"/>
                <w:sz w:val="22"/>
                <w:szCs w:val="22"/>
                <w:lang w:val="en-US"/>
              </w:rPr>
              <w:t>, UNICEF</w:t>
            </w:r>
          </w:p>
          <w:p w14:paraId="729A8B61" w14:textId="77777777" w:rsidR="003A41BE" w:rsidRDefault="003A41BE" w:rsidP="00FD44CE">
            <w:pPr>
              <w:autoSpaceDE w:val="0"/>
              <w:autoSpaceDN w:val="0"/>
              <w:adjustRightInd w:val="0"/>
              <w:rPr>
                <w:rFonts w:cstheme="minorHAnsi"/>
                <w:sz w:val="22"/>
                <w:szCs w:val="22"/>
                <w:lang w:val="en-US"/>
              </w:rPr>
            </w:pPr>
          </w:p>
          <w:p w14:paraId="2DE1F81C"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Government at sub-national levels</w:t>
            </w:r>
          </w:p>
          <w:p w14:paraId="50F804FD"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 xml:space="preserve">Local partners </w:t>
            </w:r>
          </w:p>
          <w:p w14:paraId="55E44E4D" w14:textId="77777777" w:rsidR="003A41BE" w:rsidRDefault="003A41BE" w:rsidP="00FD44CE">
            <w:pPr>
              <w:autoSpaceDE w:val="0"/>
              <w:autoSpaceDN w:val="0"/>
              <w:adjustRightInd w:val="0"/>
              <w:rPr>
                <w:rFonts w:cstheme="minorHAnsi"/>
                <w:sz w:val="22"/>
                <w:szCs w:val="22"/>
                <w:lang w:val="en-US"/>
              </w:rPr>
            </w:pPr>
          </w:p>
          <w:p w14:paraId="329CCB7F"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Private sector</w:t>
            </w:r>
          </w:p>
          <w:p w14:paraId="443793B7" w14:textId="77777777" w:rsidR="003A41BE" w:rsidRPr="003F4BC2" w:rsidRDefault="003A41BE" w:rsidP="00FD44CE">
            <w:pPr>
              <w:autoSpaceDE w:val="0"/>
              <w:autoSpaceDN w:val="0"/>
              <w:adjustRightInd w:val="0"/>
              <w:rPr>
                <w:rFonts w:cstheme="minorHAnsi"/>
                <w:sz w:val="22"/>
                <w:szCs w:val="22"/>
                <w:lang w:val="en-US"/>
              </w:rPr>
            </w:pPr>
            <w:r w:rsidRPr="003F4BC2">
              <w:rPr>
                <w:rFonts w:cstheme="minorHAnsi"/>
                <w:sz w:val="22"/>
                <w:szCs w:val="22"/>
                <w:lang w:val="en-US"/>
              </w:rPr>
              <w:t xml:space="preserve">Civil Society </w:t>
            </w:r>
            <w:proofErr w:type="spellStart"/>
            <w:r w:rsidRPr="003F4BC2">
              <w:rPr>
                <w:rFonts w:cstheme="minorHAnsi"/>
                <w:sz w:val="22"/>
                <w:szCs w:val="22"/>
                <w:lang w:val="en-US"/>
              </w:rPr>
              <w:t>Organisations</w:t>
            </w:r>
            <w:proofErr w:type="spellEnd"/>
          </w:p>
        </w:tc>
      </w:tr>
      <w:tr w:rsidR="003A41BE" w:rsidRPr="006444BA" w14:paraId="4CEFC400" w14:textId="77777777" w:rsidTr="53E3C463">
        <w:trPr>
          <w:trHeight w:val="256"/>
        </w:trPr>
        <w:tc>
          <w:tcPr>
            <w:tcW w:w="4529" w:type="dxa"/>
            <w:vMerge/>
          </w:tcPr>
          <w:p w14:paraId="35314C84"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13C98" w14:textId="77777777" w:rsidR="003A41BE" w:rsidRDefault="003A41BE" w:rsidP="00FD44CE">
            <w:pPr>
              <w:pStyle w:val="Default"/>
              <w:rPr>
                <w:rFonts w:asciiTheme="minorHAnsi" w:hAnsiTheme="minorHAnsi"/>
                <w:sz w:val="22"/>
                <w:szCs w:val="22"/>
                <w:lang w:val="en-US"/>
              </w:rPr>
            </w:pPr>
            <w:r w:rsidRPr="00841766">
              <w:rPr>
                <w:rFonts w:asciiTheme="minorHAnsi" w:hAnsiTheme="minorHAnsi" w:cstheme="minorHAnsi"/>
                <w:b/>
                <w:sz w:val="22"/>
                <w:szCs w:val="22"/>
                <w:lang w:val="en-US"/>
              </w:rPr>
              <w:t xml:space="preserve">Indicator 6.3.2: </w:t>
            </w:r>
            <w:r w:rsidRPr="00841766">
              <w:rPr>
                <w:rFonts w:asciiTheme="minorHAnsi" w:hAnsiTheme="minorHAnsi" w:cstheme="minorHAnsi"/>
                <w:sz w:val="22"/>
                <w:szCs w:val="22"/>
                <w:lang w:val="en-US"/>
              </w:rPr>
              <w:t>Progress towards sustainable forest management</w:t>
            </w:r>
            <w:r w:rsidRPr="00841766">
              <w:rPr>
                <w:rFonts w:asciiTheme="minorHAnsi" w:hAnsiTheme="minorHAnsi" w:cstheme="minorHAnsi"/>
                <w:b/>
                <w:sz w:val="22"/>
                <w:szCs w:val="22"/>
                <w:lang w:val="en-US"/>
              </w:rPr>
              <w:t xml:space="preserve"> </w:t>
            </w:r>
            <w:r w:rsidRPr="00841766">
              <w:rPr>
                <w:rFonts w:asciiTheme="minorHAnsi" w:hAnsiTheme="minorHAnsi"/>
                <w:sz w:val="22"/>
                <w:szCs w:val="22"/>
                <w:lang w:val="en-US"/>
              </w:rPr>
              <w:t>(</w:t>
            </w:r>
            <w:r w:rsidRPr="00841766">
              <w:rPr>
                <w:rFonts w:asciiTheme="minorHAnsi" w:hAnsiTheme="minorHAnsi" w:cstheme="minorHAnsi"/>
                <w:sz w:val="22"/>
                <w:szCs w:val="22"/>
                <w:lang w:val="en-US"/>
              </w:rPr>
              <w:t>SDG Indicator</w:t>
            </w:r>
            <w:r w:rsidRPr="00841766">
              <w:rPr>
                <w:rFonts w:asciiTheme="minorHAnsi" w:hAnsiTheme="minorHAnsi"/>
                <w:sz w:val="22"/>
                <w:szCs w:val="22"/>
                <w:lang w:val="en-US"/>
              </w:rPr>
              <w:t xml:space="preserve"> 15.2.1) </w:t>
            </w:r>
          </w:p>
          <w:tbl>
            <w:tblPr>
              <w:tblStyle w:val="TableGrid"/>
              <w:tblW w:w="0" w:type="auto"/>
              <w:tblLayout w:type="fixed"/>
              <w:tblLook w:val="04A0" w:firstRow="1" w:lastRow="0" w:firstColumn="1" w:lastColumn="0" w:noHBand="0" w:noVBand="1"/>
            </w:tblPr>
            <w:tblGrid>
              <w:gridCol w:w="2729"/>
              <w:gridCol w:w="2790"/>
            </w:tblGrid>
            <w:tr w:rsidR="003A41BE" w:rsidRPr="00DA2276" w14:paraId="48960552" w14:textId="77777777" w:rsidTr="00FD44CE">
              <w:tc>
                <w:tcPr>
                  <w:tcW w:w="2729" w:type="dxa"/>
                </w:tcPr>
                <w:p w14:paraId="2A8E687D"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lastRenderedPageBreak/>
                    <w:t>Baseline</w:t>
                  </w:r>
                </w:p>
              </w:tc>
              <w:tc>
                <w:tcPr>
                  <w:tcW w:w="2790" w:type="dxa"/>
                </w:tcPr>
                <w:p w14:paraId="344B5203"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DA2276" w14:paraId="0A21FE9A" w14:textId="77777777" w:rsidTr="00FD44CE">
              <w:tc>
                <w:tcPr>
                  <w:tcW w:w="2729" w:type="dxa"/>
                </w:tcPr>
                <w:p w14:paraId="3E56F886" w14:textId="77777777" w:rsidR="003A41BE" w:rsidRPr="00715FF4" w:rsidRDefault="003A41BE" w:rsidP="002A37E3">
                  <w:pPr>
                    <w:framePr w:hSpace="141" w:wrap="around" w:vAnchor="text" w:hAnchor="text" w:x="421" w:y="1"/>
                    <w:suppressOverlap/>
                    <w:jc w:val="center"/>
                    <w:rPr>
                      <w:rFonts w:cstheme="minorHAnsi"/>
                      <w:bCs/>
                      <w:sz w:val="22"/>
                      <w:szCs w:val="22"/>
                      <w:highlight w:val="yellow"/>
                      <w:lang w:val="en-US"/>
                    </w:rPr>
                  </w:pPr>
                  <w:r w:rsidRPr="003F4BC2">
                    <w:rPr>
                      <w:rFonts w:cstheme="minorHAnsi"/>
                      <w:bCs/>
                      <w:sz w:val="22"/>
                      <w:szCs w:val="22"/>
                      <w:lang w:val="en-US"/>
                    </w:rPr>
                    <w:t>44 sites identified for terrestrial protected areas (including 2 national parks)</w:t>
                  </w:r>
                </w:p>
              </w:tc>
              <w:tc>
                <w:tcPr>
                  <w:tcW w:w="2790" w:type="dxa"/>
                </w:tcPr>
                <w:p w14:paraId="29890F70" w14:textId="77777777" w:rsidR="003A41BE" w:rsidRPr="00DA2276" w:rsidRDefault="003A41BE" w:rsidP="002A37E3">
                  <w:pPr>
                    <w:framePr w:hSpace="141" w:wrap="around" w:vAnchor="text" w:hAnchor="text" w:x="421" w:y="1"/>
                    <w:suppressOverlap/>
                    <w:jc w:val="center"/>
                    <w:rPr>
                      <w:bCs/>
                      <w:sz w:val="22"/>
                      <w:szCs w:val="22"/>
                      <w:highlight w:val="yellow"/>
                      <w:lang w:val="en-US"/>
                    </w:rPr>
                  </w:pPr>
                  <w:r w:rsidRPr="003F4BC2">
                    <w:rPr>
                      <w:bCs/>
                      <w:sz w:val="22"/>
                      <w:szCs w:val="22"/>
                      <w:lang w:val="en-US"/>
                    </w:rPr>
                    <w:t>1 protected area demarcated each year with management plan developed</w:t>
                  </w:r>
                </w:p>
              </w:tc>
            </w:tr>
          </w:tbl>
          <w:p w14:paraId="5531154A" w14:textId="77777777" w:rsidR="003A41BE" w:rsidRDefault="003A41BE" w:rsidP="00FD44CE">
            <w:pPr>
              <w:pStyle w:val="Default"/>
              <w:rPr>
                <w:rFonts w:asciiTheme="minorHAnsi" w:hAnsiTheme="minorHAnsi" w:cstheme="minorHAnsi"/>
                <w:bCs/>
                <w:sz w:val="22"/>
                <w:szCs w:val="22"/>
                <w:lang w:val="en-US"/>
              </w:rPr>
            </w:pPr>
            <w:r w:rsidRPr="00DA2276">
              <w:rPr>
                <w:rFonts w:asciiTheme="minorHAnsi" w:hAnsiTheme="minorHAnsi" w:cstheme="minorHAnsi"/>
                <w:bCs/>
                <w:sz w:val="22"/>
                <w:szCs w:val="22"/>
                <w:lang w:val="en-US"/>
              </w:rPr>
              <w:t>Data Source:</w:t>
            </w:r>
            <w:r>
              <w:rPr>
                <w:rFonts w:asciiTheme="minorHAnsi" w:hAnsiTheme="minorHAnsi" w:cstheme="minorHAnsi"/>
                <w:bCs/>
                <w:sz w:val="22"/>
                <w:szCs w:val="22"/>
                <w:lang w:val="en-US"/>
              </w:rPr>
              <w:t xml:space="preserve"> </w:t>
            </w:r>
            <w:r w:rsidRPr="002A7985">
              <w:rPr>
                <w:rFonts w:asciiTheme="minorHAnsi" w:hAnsiTheme="minorHAnsi" w:cstheme="minorHAnsi"/>
                <w:bCs/>
                <w:sz w:val="22"/>
                <w:szCs w:val="22"/>
                <w:lang w:val="en-US"/>
              </w:rPr>
              <w:t xml:space="preserve"> MAF</w:t>
            </w:r>
          </w:p>
          <w:p w14:paraId="570A8C53" w14:textId="77777777" w:rsidR="003A41BE" w:rsidRPr="00841766" w:rsidRDefault="003A41BE" w:rsidP="00FD44CE">
            <w:pPr>
              <w:autoSpaceDE w:val="0"/>
              <w:autoSpaceDN w:val="0"/>
              <w:adjustRightInd w:val="0"/>
              <w:rPr>
                <w:rFonts w:cstheme="minorHAnsi"/>
                <w:bCs/>
                <w:sz w:val="22"/>
                <w:szCs w:val="22"/>
                <w:lang w:val="en-US"/>
              </w:rPr>
            </w:pPr>
          </w:p>
        </w:tc>
        <w:tc>
          <w:tcPr>
            <w:tcW w:w="4116" w:type="dxa"/>
            <w:vMerge/>
          </w:tcPr>
          <w:p w14:paraId="4AB64131"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634D26AD" w14:textId="77777777" w:rsidTr="53E3C463">
        <w:trPr>
          <w:trHeight w:val="256"/>
        </w:trPr>
        <w:tc>
          <w:tcPr>
            <w:tcW w:w="4529" w:type="dxa"/>
            <w:vMerge/>
          </w:tcPr>
          <w:p w14:paraId="253F0D9E"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A2329" w14:textId="77777777" w:rsidR="003A41BE" w:rsidRDefault="003A41BE" w:rsidP="00FD44CE">
            <w:pPr>
              <w:pStyle w:val="Default"/>
              <w:rPr>
                <w:rFonts w:asciiTheme="minorHAnsi" w:hAnsiTheme="minorHAnsi"/>
                <w:sz w:val="22"/>
                <w:szCs w:val="22"/>
                <w:lang w:val="en-US"/>
              </w:rPr>
            </w:pPr>
            <w:r w:rsidRPr="00841766">
              <w:rPr>
                <w:rFonts w:asciiTheme="minorHAnsi" w:hAnsiTheme="minorHAnsi" w:cstheme="minorHAnsi"/>
                <w:b/>
                <w:sz w:val="22"/>
                <w:szCs w:val="22"/>
                <w:lang w:val="en-US"/>
              </w:rPr>
              <w:t>Indicator 6.3.3:</w:t>
            </w:r>
            <w:r w:rsidRPr="00841766">
              <w:rPr>
                <w:rFonts w:asciiTheme="minorHAnsi" w:hAnsiTheme="minorHAnsi"/>
                <w:sz w:val="22"/>
                <w:szCs w:val="22"/>
                <w:lang w:val="en-US"/>
              </w:rPr>
              <w:t xml:space="preserve"> Proportion of land that is degraded over total land area (</w:t>
            </w:r>
            <w:r w:rsidRPr="00841766">
              <w:rPr>
                <w:rFonts w:asciiTheme="minorHAnsi" w:hAnsiTheme="minorHAnsi" w:cstheme="minorHAnsi"/>
                <w:sz w:val="22"/>
                <w:szCs w:val="22"/>
                <w:lang w:val="en-US"/>
              </w:rPr>
              <w:t>SDG Indicator</w:t>
            </w:r>
            <w:r w:rsidRPr="00841766">
              <w:rPr>
                <w:rFonts w:asciiTheme="minorHAnsi" w:hAnsiTheme="minorHAnsi"/>
                <w:sz w:val="22"/>
                <w:szCs w:val="22"/>
                <w:lang w:val="en-US"/>
              </w:rPr>
              <w:t xml:space="preserve"> 15.3.1)</w:t>
            </w:r>
          </w:p>
          <w:tbl>
            <w:tblPr>
              <w:tblStyle w:val="TableGrid"/>
              <w:tblW w:w="0" w:type="auto"/>
              <w:tblLayout w:type="fixed"/>
              <w:tblLook w:val="04A0" w:firstRow="1" w:lastRow="0" w:firstColumn="1" w:lastColumn="0" w:noHBand="0" w:noVBand="1"/>
            </w:tblPr>
            <w:tblGrid>
              <w:gridCol w:w="3449"/>
              <w:gridCol w:w="1620"/>
            </w:tblGrid>
            <w:tr w:rsidR="003A41BE" w:rsidRPr="00DA2276" w14:paraId="21E355DD" w14:textId="77777777" w:rsidTr="00FD44CE">
              <w:tc>
                <w:tcPr>
                  <w:tcW w:w="3449" w:type="dxa"/>
                </w:tcPr>
                <w:p w14:paraId="5D23E802" w14:textId="77777777" w:rsidR="003A41BE" w:rsidRPr="002D6389" w:rsidRDefault="003A41BE" w:rsidP="002A37E3">
                  <w:pPr>
                    <w:framePr w:hSpace="141" w:wrap="around" w:vAnchor="text" w:hAnchor="text" w:x="421" w:y="1"/>
                    <w:suppressOverlap/>
                    <w:jc w:val="center"/>
                    <w:rPr>
                      <w:sz w:val="22"/>
                      <w:szCs w:val="22"/>
                      <w:lang w:val="en-US"/>
                    </w:rPr>
                  </w:pPr>
                  <w:r w:rsidRPr="002D6389">
                    <w:rPr>
                      <w:sz w:val="22"/>
                      <w:szCs w:val="22"/>
                      <w:lang w:val="en-US"/>
                    </w:rPr>
                    <w:t>Baseline</w:t>
                  </w:r>
                </w:p>
              </w:tc>
              <w:tc>
                <w:tcPr>
                  <w:tcW w:w="1620" w:type="dxa"/>
                </w:tcPr>
                <w:p w14:paraId="45888857" w14:textId="77777777" w:rsidR="003A41BE" w:rsidRPr="002D6389" w:rsidRDefault="003A41BE" w:rsidP="002A37E3">
                  <w:pPr>
                    <w:framePr w:hSpace="141" w:wrap="around" w:vAnchor="text" w:hAnchor="text" w:x="421" w:y="1"/>
                    <w:suppressOverlap/>
                    <w:jc w:val="center"/>
                    <w:rPr>
                      <w:sz w:val="22"/>
                      <w:szCs w:val="22"/>
                      <w:lang w:val="en-US"/>
                    </w:rPr>
                  </w:pPr>
                  <w:r w:rsidRPr="002D6389">
                    <w:rPr>
                      <w:sz w:val="22"/>
                      <w:szCs w:val="22"/>
                      <w:lang w:val="en-US"/>
                    </w:rPr>
                    <w:t>Target</w:t>
                  </w:r>
                </w:p>
              </w:tc>
            </w:tr>
            <w:tr w:rsidR="003A41BE" w:rsidRPr="00DA2276" w14:paraId="02607013" w14:textId="77777777" w:rsidTr="00FD44CE">
              <w:tc>
                <w:tcPr>
                  <w:tcW w:w="3449" w:type="dxa"/>
                </w:tcPr>
                <w:p w14:paraId="2961B41C" w14:textId="77777777" w:rsidR="003A41BE" w:rsidRDefault="003A41BE" w:rsidP="002A37E3">
                  <w:pPr>
                    <w:framePr w:hSpace="141" w:wrap="around" w:vAnchor="text" w:hAnchor="text" w:x="421" w:y="1"/>
                    <w:suppressOverlap/>
                    <w:jc w:val="center"/>
                    <w:rPr>
                      <w:rFonts w:cstheme="minorHAnsi"/>
                      <w:bCs/>
                      <w:sz w:val="22"/>
                      <w:szCs w:val="22"/>
                      <w:lang w:val="en-US"/>
                    </w:rPr>
                  </w:pPr>
                  <w:r>
                    <w:rPr>
                      <w:rFonts w:cstheme="minorHAnsi"/>
                      <w:bCs/>
                      <w:sz w:val="22"/>
                      <w:szCs w:val="22"/>
                      <w:lang w:val="en-US"/>
                    </w:rPr>
                    <w:t xml:space="preserve">GCF REDD + project (2020) to </w:t>
                  </w:r>
                </w:p>
                <w:p w14:paraId="24477230" w14:textId="77777777" w:rsidR="003A41BE" w:rsidRDefault="003A41BE" w:rsidP="002A37E3">
                  <w:pPr>
                    <w:framePr w:hSpace="141" w:wrap="around" w:vAnchor="text" w:hAnchor="text" w:x="421" w:y="1"/>
                    <w:suppressOverlap/>
                    <w:jc w:val="center"/>
                    <w:rPr>
                      <w:rFonts w:cstheme="minorHAnsi"/>
                      <w:bCs/>
                      <w:sz w:val="22"/>
                      <w:szCs w:val="22"/>
                      <w:lang w:val="en-US"/>
                    </w:rPr>
                  </w:pPr>
                  <w:r>
                    <w:rPr>
                      <w:rFonts w:cstheme="minorHAnsi"/>
                      <w:bCs/>
                      <w:sz w:val="22"/>
                      <w:szCs w:val="22"/>
                      <w:lang w:val="en-US"/>
                    </w:rPr>
                    <w:t>provide baseline</w:t>
                  </w:r>
                </w:p>
                <w:p w14:paraId="63F45102" w14:textId="77777777" w:rsidR="003A41BE" w:rsidRDefault="003A41BE" w:rsidP="002A37E3">
                  <w:pPr>
                    <w:framePr w:hSpace="141" w:wrap="around" w:vAnchor="text" w:hAnchor="text" w:x="421" w:y="1"/>
                    <w:suppressOverlap/>
                    <w:jc w:val="center"/>
                    <w:rPr>
                      <w:rFonts w:cstheme="minorHAnsi"/>
                      <w:bCs/>
                      <w:sz w:val="22"/>
                      <w:szCs w:val="22"/>
                      <w:lang w:val="en-US"/>
                    </w:rPr>
                  </w:pPr>
                </w:p>
                <w:p w14:paraId="2ED4B50F" w14:textId="77777777" w:rsidR="003A41BE" w:rsidRPr="003F4BC2" w:rsidRDefault="003A41BE" w:rsidP="002A37E3">
                  <w:pPr>
                    <w:framePr w:hSpace="141" w:wrap="around" w:vAnchor="text" w:hAnchor="text" w:x="421" w:y="1"/>
                    <w:suppressOverlap/>
                    <w:jc w:val="center"/>
                    <w:rPr>
                      <w:rFonts w:cstheme="minorHAnsi"/>
                      <w:bCs/>
                      <w:sz w:val="22"/>
                      <w:szCs w:val="22"/>
                      <w:lang w:val="en-US"/>
                    </w:rPr>
                  </w:pPr>
                  <w:r w:rsidRPr="003F4BC2">
                    <w:rPr>
                      <w:rFonts w:cstheme="minorHAnsi"/>
                      <w:bCs/>
                      <w:sz w:val="22"/>
                      <w:szCs w:val="22"/>
                      <w:lang w:val="en-US"/>
                    </w:rPr>
                    <w:t>87,000 ha of forestland</w:t>
                  </w:r>
                </w:p>
                <w:p w14:paraId="3132D98A" w14:textId="77777777" w:rsidR="003A41BE" w:rsidRPr="003F4BC2" w:rsidRDefault="003A41BE" w:rsidP="002A37E3">
                  <w:pPr>
                    <w:framePr w:hSpace="141" w:wrap="around" w:vAnchor="text" w:hAnchor="text" w:x="421" w:y="1"/>
                    <w:suppressOverlap/>
                    <w:jc w:val="center"/>
                    <w:rPr>
                      <w:sz w:val="22"/>
                      <w:szCs w:val="22"/>
                      <w:lang w:val="en-US"/>
                    </w:rPr>
                  </w:pPr>
                  <w:r w:rsidRPr="003F4BC2">
                    <w:rPr>
                      <w:rFonts w:cstheme="minorHAnsi"/>
                      <w:bCs/>
                      <w:sz w:val="22"/>
                      <w:szCs w:val="22"/>
                      <w:lang w:val="en-US"/>
                    </w:rPr>
                    <w:t>(64% degraded) “sparse forest”</w:t>
                  </w:r>
                </w:p>
              </w:tc>
              <w:tc>
                <w:tcPr>
                  <w:tcW w:w="1620" w:type="dxa"/>
                </w:tcPr>
                <w:p w14:paraId="06D05BDA" w14:textId="77777777" w:rsidR="003A41BE" w:rsidRPr="003F4BC2" w:rsidRDefault="003A41BE" w:rsidP="002A37E3">
                  <w:pPr>
                    <w:framePr w:hSpace="141" w:wrap="around" w:vAnchor="text" w:hAnchor="text" w:x="421" w:y="1"/>
                    <w:suppressOverlap/>
                    <w:jc w:val="center"/>
                    <w:rPr>
                      <w:bCs/>
                      <w:sz w:val="22"/>
                      <w:szCs w:val="22"/>
                      <w:lang w:val="en-US"/>
                    </w:rPr>
                  </w:pPr>
                </w:p>
              </w:tc>
            </w:tr>
          </w:tbl>
          <w:p w14:paraId="48B82D05" w14:textId="77777777" w:rsidR="003A41BE" w:rsidRPr="002A7985" w:rsidRDefault="003A41BE" w:rsidP="00FD44CE">
            <w:pPr>
              <w:pStyle w:val="Default"/>
              <w:rPr>
                <w:rFonts w:asciiTheme="minorHAnsi" w:hAnsiTheme="minorHAnsi" w:cstheme="minorHAnsi"/>
                <w:bCs/>
                <w:color w:val="auto"/>
                <w:sz w:val="22"/>
                <w:szCs w:val="22"/>
                <w:lang w:val="en-US"/>
              </w:rPr>
            </w:pPr>
            <w:r w:rsidRPr="003F4BC2">
              <w:rPr>
                <w:rFonts w:asciiTheme="minorHAnsi" w:hAnsiTheme="minorHAnsi" w:cstheme="minorHAnsi"/>
                <w:bCs/>
                <w:sz w:val="22"/>
                <w:szCs w:val="22"/>
                <w:lang w:val="en-US"/>
              </w:rPr>
              <w:t xml:space="preserve">Note: Land cover data </w:t>
            </w:r>
            <w:r>
              <w:rPr>
                <w:rFonts w:asciiTheme="minorHAnsi" w:hAnsiTheme="minorHAnsi" w:cstheme="minorHAnsi"/>
                <w:bCs/>
                <w:sz w:val="22"/>
                <w:szCs w:val="22"/>
                <w:lang w:val="en-US"/>
              </w:rPr>
              <w:t>(FAO/MAF to obtain through GCF REDD+ project, TBC in 2020. Data would be available in 2021-2022.</w:t>
            </w:r>
          </w:p>
          <w:p w14:paraId="5CA3E16C" w14:textId="77777777" w:rsidR="003A41BE" w:rsidRPr="00715FF4" w:rsidRDefault="003A41BE" w:rsidP="00FD44CE">
            <w:pPr>
              <w:pStyle w:val="Default"/>
              <w:rPr>
                <w:rFonts w:asciiTheme="minorHAnsi" w:hAnsiTheme="minorHAnsi" w:cstheme="minorHAnsi"/>
                <w:bCs/>
                <w:sz w:val="22"/>
                <w:szCs w:val="22"/>
                <w:lang w:val="en-US"/>
              </w:rPr>
            </w:pPr>
            <w:r w:rsidRPr="003F4BC2">
              <w:rPr>
                <w:rFonts w:asciiTheme="minorHAnsi" w:hAnsiTheme="minorHAnsi" w:cstheme="minorHAnsi"/>
                <w:bCs/>
                <w:sz w:val="22"/>
                <w:szCs w:val="22"/>
                <w:lang w:val="en-US"/>
              </w:rPr>
              <w:t>Data Source:</w:t>
            </w:r>
            <w:r>
              <w:rPr>
                <w:rFonts w:asciiTheme="minorHAnsi" w:hAnsiTheme="minorHAnsi" w:cstheme="minorHAnsi"/>
                <w:bCs/>
                <w:sz w:val="22"/>
                <w:szCs w:val="22"/>
                <w:lang w:val="en-US"/>
              </w:rPr>
              <w:t xml:space="preserve"> JICA supported Forest Cover Inventory (2013),</w:t>
            </w:r>
            <w:r w:rsidRPr="00841766">
              <w:rPr>
                <w:rFonts w:asciiTheme="minorHAnsi" w:hAnsiTheme="minorHAnsi" w:cstheme="minorHAnsi"/>
                <w:bCs/>
                <w:sz w:val="22"/>
                <w:szCs w:val="22"/>
                <w:lang w:val="en-US"/>
              </w:rPr>
              <w:t xml:space="preserve"> FAO, MAF</w:t>
            </w:r>
            <w:r>
              <w:rPr>
                <w:rFonts w:asciiTheme="minorHAnsi" w:hAnsiTheme="minorHAnsi" w:cstheme="minorHAnsi"/>
                <w:bCs/>
                <w:sz w:val="22"/>
                <w:szCs w:val="22"/>
                <w:lang w:val="en-US"/>
              </w:rPr>
              <w:t xml:space="preserve"> </w:t>
            </w:r>
          </w:p>
          <w:p w14:paraId="160BDD74" w14:textId="77777777" w:rsidR="003A41BE" w:rsidRPr="00841766" w:rsidRDefault="003A41BE" w:rsidP="00FD44CE">
            <w:pPr>
              <w:pStyle w:val="Default"/>
              <w:rPr>
                <w:rFonts w:asciiTheme="minorHAnsi" w:hAnsiTheme="minorHAnsi" w:cstheme="minorHAnsi"/>
                <w:b/>
                <w:sz w:val="22"/>
                <w:szCs w:val="22"/>
                <w:lang w:val="en-US"/>
              </w:rPr>
            </w:pPr>
          </w:p>
        </w:tc>
        <w:tc>
          <w:tcPr>
            <w:tcW w:w="4116" w:type="dxa"/>
            <w:tcBorders>
              <w:left w:val="single" w:sz="4" w:space="0" w:color="auto"/>
              <w:right w:val="single" w:sz="4" w:space="0" w:color="auto"/>
            </w:tcBorders>
          </w:tcPr>
          <w:p w14:paraId="603B7039"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09EE3842" w14:textId="77777777" w:rsidTr="53E3C463">
        <w:trPr>
          <w:trHeight w:val="256"/>
        </w:trPr>
        <w:tc>
          <w:tcPr>
            <w:tcW w:w="4529" w:type="dxa"/>
            <w:tcBorders>
              <w:left w:val="single" w:sz="4" w:space="0" w:color="auto"/>
              <w:right w:val="single" w:sz="4" w:space="0" w:color="auto"/>
            </w:tcBorders>
            <w:shd w:val="clear" w:color="auto" w:fill="8EAADB" w:themeFill="accent1" w:themeFillTint="99"/>
          </w:tcPr>
          <w:p w14:paraId="21D1B13D"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92457" w14:textId="77777777" w:rsidR="003A41BE" w:rsidRPr="004F40B8" w:rsidRDefault="003A41BE" w:rsidP="00FD44CE">
            <w:pPr>
              <w:pStyle w:val="Default"/>
              <w:rPr>
                <w:rFonts w:asciiTheme="minorHAnsi" w:hAnsiTheme="minorHAnsi" w:cstheme="minorHAnsi"/>
                <w:bCs/>
                <w:sz w:val="22"/>
                <w:szCs w:val="22"/>
                <w:lang w:val="en-US"/>
              </w:rPr>
            </w:pPr>
            <w:r>
              <w:rPr>
                <w:rFonts w:asciiTheme="minorHAnsi" w:hAnsiTheme="minorHAnsi" w:cstheme="minorHAnsi"/>
                <w:b/>
                <w:sz w:val="22"/>
                <w:szCs w:val="22"/>
                <w:lang w:val="en-US"/>
              </w:rPr>
              <w:t xml:space="preserve">Indicator 6.3.4: </w:t>
            </w:r>
            <w:r w:rsidRPr="004F40B8">
              <w:rPr>
                <w:rFonts w:asciiTheme="minorHAnsi" w:hAnsiTheme="minorHAnsi" w:cstheme="minorHAnsi"/>
                <w:bCs/>
                <w:sz w:val="22"/>
                <w:szCs w:val="22"/>
                <w:lang w:val="en-US"/>
              </w:rPr>
              <w:t>Proportion of wastewater safely treated</w:t>
            </w:r>
            <w:r>
              <w:rPr>
                <w:rFonts w:asciiTheme="minorHAnsi" w:hAnsiTheme="minorHAnsi" w:cstheme="minorHAnsi"/>
                <w:bCs/>
                <w:sz w:val="22"/>
                <w:szCs w:val="22"/>
                <w:lang w:val="en-US"/>
              </w:rPr>
              <w:t xml:space="preserve"> (SDG 6.3.1)</w:t>
            </w:r>
          </w:p>
          <w:tbl>
            <w:tblPr>
              <w:tblStyle w:val="TableGrid"/>
              <w:tblW w:w="0" w:type="auto"/>
              <w:tblLayout w:type="fixed"/>
              <w:tblLook w:val="04A0" w:firstRow="1" w:lastRow="0" w:firstColumn="1" w:lastColumn="0" w:noHBand="0" w:noVBand="1"/>
            </w:tblPr>
            <w:tblGrid>
              <w:gridCol w:w="2827"/>
              <w:gridCol w:w="2430"/>
            </w:tblGrid>
            <w:tr w:rsidR="003A41BE" w:rsidRPr="004F40B8" w14:paraId="5AA209F9" w14:textId="77777777" w:rsidTr="00FD44CE">
              <w:tc>
                <w:tcPr>
                  <w:tcW w:w="2827" w:type="dxa"/>
                </w:tcPr>
                <w:p w14:paraId="1C43D368" w14:textId="77777777" w:rsidR="003A41BE" w:rsidRPr="004F40B8" w:rsidRDefault="003A41BE" w:rsidP="002A37E3">
                  <w:pPr>
                    <w:framePr w:hSpace="141" w:wrap="around" w:vAnchor="text" w:hAnchor="text" w:x="421" w:y="1"/>
                    <w:suppressOverlap/>
                    <w:jc w:val="center"/>
                    <w:rPr>
                      <w:sz w:val="22"/>
                      <w:szCs w:val="22"/>
                      <w:lang w:val="en-US"/>
                    </w:rPr>
                  </w:pPr>
                  <w:r w:rsidRPr="004F40B8">
                    <w:rPr>
                      <w:sz w:val="22"/>
                      <w:szCs w:val="22"/>
                      <w:lang w:val="en-US"/>
                    </w:rPr>
                    <w:t>Baseline</w:t>
                  </w:r>
                </w:p>
              </w:tc>
              <w:tc>
                <w:tcPr>
                  <w:tcW w:w="2430" w:type="dxa"/>
                </w:tcPr>
                <w:p w14:paraId="7112004A" w14:textId="77777777" w:rsidR="003A41BE" w:rsidRPr="004F40B8" w:rsidRDefault="003A41BE" w:rsidP="002A37E3">
                  <w:pPr>
                    <w:framePr w:hSpace="141" w:wrap="around" w:vAnchor="text" w:hAnchor="text" w:x="421" w:y="1"/>
                    <w:suppressOverlap/>
                    <w:jc w:val="center"/>
                    <w:rPr>
                      <w:sz w:val="22"/>
                      <w:szCs w:val="22"/>
                      <w:lang w:val="en-US"/>
                    </w:rPr>
                  </w:pPr>
                  <w:r w:rsidRPr="004F40B8">
                    <w:rPr>
                      <w:sz w:val="22"/>
                      <w:szCs w:val="22"/>
                      <w:lang w:val="en-US"/>
                    </w:rPr>
                    <w:t>Target</w:t>
                  </w:r>
                </w:p>
              </w:tc>
            </w:tr>
            <w:tr w:rsidR="003A41BE" w:rsidRPr="004F40B8" w14:paraId="0B580B8D" w14:textId="77777777" w:rsidTr="00FD44CE">
              <w:tc>
                <w:tcPr>
                  <w:tcW w:w="2827" w:type="dxa"/>
                </w:tcPr>
                <w:p w14:paraId="15656F4D" w14:textId="77777777" w:rsidR="003A41BE" w:rsidRPr="002A7985" w:rsidRDefault="003A41BE" w:rsidP="002A37E3">
                  <w:pPr>
                    <w:framePr w:hSpace="141" w:wrap="around" w:vAnchor="text" w:hAnchor="text" w:x="421" w:y="1"/>
                    <w:suppressOverlap/>
                    <w:jc w:val="center"/>
                    <w:rPr>
                      <w:sz w:val="22"/>
                      <w:szCs w:val="22"/>
                      <w:lang w:val="en-US"/>
                    </w:rPr>
                  </w:pPr>
                  <w:r w:rsidRPr="002A7985">
                    <w:rPr>
                      <w:rFonts w:cstheme="minorHAnsi"/>
                      <w:bCs/>
                      <w:sz w:val="22"/>
                      <w:szCs w:val="22"/>
                      <w:lang w:val="en-US"/>
                    </w:rPr>
                    <w:t>Under discussion with relevant partners</w:t>
                  </w:r>
                </w:p>
              </w:tc>
              <w:tc>
                <w:tcPr>
                  <w:tcW w:w="2430" w:type="dxa"/>
                </w:tcPr>
                <w:p w14:paraId="6F6B8847" w14:textId="77777777" w:rsidR="003A41BE" w:rsidRPr="002A7985" w:rsidRDefault="003A41BE" w:rsidP="002A37E3">
                  <w:pPr>
                    <w:framePr w:hSpace="141" w:wrap="around" w:vAnchor="text" w:hAnchor="text" w:x="421" w:y="1"/>
                    <w:suppressOverlap/>
                    <w:jc w:val="center"/>
                    <w:rPr>
                      <w:bCs/>
                      <w:sz w:val="22"/>
                      <w:szCs w:val="22"/>
                      <w:lang w:val="en-US"/>
                    </w:rPr>
                  </w:pPr>
                  <w:r w:rsidRPr="002A7985">
                    <w:rPr>
                      <w:rFonts w:cstheme="minorHAnsi"/>
                      <w:bCs/>
                      <w:sz w:val="22"/>
                      <w:szCs w:val="22"/>
                      <w:lang w:val="en-US"/>
                    </w:rPr>
                    <w:t>Under discussion with relevant partners</w:t>
                  </w:r>
                </w:p>
              </w:tc>
            </w:tr>
          </w:tbl>
          <w:p w14:paraId="4BBFC829" w14:textId="77777777" w:rsidR="003A41BE" w:rsidRPr="003F4BC2" w:rsidRDefault="003A41BE" w:rsidP="00FD44CE">
            <w:pPr>
              <w:pStyle w:val="Default"/>
              <w:rPr>
                <w:rFonts w:asciiTheme="minorHAnsi" w:hAnsiTheme="minorHAnsi" w:cstheme="minorHAnsi"/>
                <w:bCs/>
                <w:sz w:val="22"/>
                <w:szCs w:val="22"/>
                <w:lang w:val="en-US"/>
              </w:rPr>
            </w:pPr>
            <w:r w:rsidRPr="003F4BC2">
              <w:rPr>
                <w:rFonts w:asciiTheme="minorHAnsi" w:hAnsiTheme="minorHAnsi" w:cstheme="minorHAnsi"/>
                <w:bCs/>
                <w:sz w:val="22"/>
                <w:szCs w:val="22"/>
                <w:lang w:val="en-US"/>
              </w:rPr>
              <w:t xml:space="preserve">Data Source: </w:t>
            </w:r>
          </w:p>
        </w:tc>
        <w:tc>
          <w:tcPr>
            <w:tcW w:w="4116" w:type="dxa"/>
            <w:tcBorders>
              <w:left w:val="single" w:sz="4" w:space="0" w:color="auto"/>
              <w:right w:val="single" w:sz="4" w:space="0" w:color="auto"/>
            </w:tcBorders>
          </w:tcPr>
          <w:p w14:paraId="176E9F9E"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021539CF" w14:textId="77777777" w:rsidTr="53E3C463">
        <w:trPr>
          <w:trHeight w:val="256"/>
        </w:trPr>
        <w:tc>
          <w:tcPr>
            <w:tcW w:w="4529" w:type="dxa"/>
            <w:tcBorders>
              <w:left w:val="single" w:sz="4" w:space="0" w:color="auto"/>
              <w:right w:val="single" w:sz="4" w:space="0" w:color="auto"/>
            </w:tcBorders>
            <w:shd w:val="clear" w:color="auto" w:fill="8EAADB" w:themeFill="accent1" w:themeFillTint="99"/>
          </w:tcPr>
          <w:p w14:paraId="12F0F6E0"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B9A02" w14:textId="77777777" w:rsidR="003A41BE" w:rsidRDefault="003A41BE" w:rsidP="00FD44CE">
            <w:pPr>
              <w:pStyle w:val="Default"/>
              <w:rPr>
                <w:rFonts w:asciiTheme="minorHAnsi" w:hAnsiTheme="minorHAnsi" w:cstheme="minorHAnsi"/>
                <w:bCs/>
                <w:sz w:val="22"/>
                <w:szCs w:val="22"/>
                <w:lang w:val="en-US"/>
              </w:rPr>
            </w:pPr>
            <w:r>
              <w:rPr>
                <w:rFonts w:asciiTheme="minorHAnsi" w:hAnsiTheme="minorHAnsi" w:cstheme="minorHAnsi"/>
                <w:b/>
                <w:sz w:val="22"/>
                <w:szCs w:val="22"/>
                <w:lang w:val="en-US"/>
              </w:rPr>
              <w:t xml:space="preserve">Indicator 6.3.5: </w:t>
            </w:r>
            <w:r w:rsidRPr="003F4BC2">
              <w:rPr>
                <w:rFonts w:asciiTheme="minorHAnsi" w:hAnsiTheme="minorHAnsi" w:cstheme="minorHAnsi"/>
                <w:bCs/>
                <w:sz w:val="22"/>
                <w:szCs w:val="22"/>
                <w:lang w:val="en-US"/>
              </w:rPr>
              <w:t>Change in water-use efficiency over time</w:t>
            </w:r>
            <w:r>
              <w:rPr>
                <w:rFonts w:asciiTheme="minorHAnsi" w:hAnsiTheme="minorHAnsi" w:cstheme="minorHAnsi"/>
                <w:bCs/>
                <w:sz w:val="22"/>
                <w:szCs w:val="22"/>
                <w:lang w:val="en-US"/>
              </w:rPr>
              <w:t xml:space="preserve"> (SDG 6.4.1)</w:t>
            </w:r>
          </w:p>
          <w:tbl>
            <w:tblPr>
              <w:tblStyle w:val="TableGrid"/>
              <w:tblW w:w="0" w:type="auto"/>
              <w:tblLayout w:type="fixed"/>
              <w:tblLook w:val="04A0" w:firstRow="1" w:lastRow="0" w:firstColumn="1" w:lastColumn="0" w:noHBand="0" w:noVBand="1"/>
            </w:tblPr>
            <w:tblGrid>
              <w:gridCol w:w="2819"/>
              <w:gridCol w:w="2610"/>
            </w:tblGrid>
            <w:tr w:rsidR="003A41BE" w:rsidRPr="00DA2276" w14:paraId="2012C1EF" w14:textId="77777777" w:rsidTr="00FD44CE">
              <w:tc>
                <w:tcPr>
                  <w:tcW w:w="2819" w:type="dxa"/>
                </w:tcPr>
                <w:p w14:paraId="26902621"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Baseline</w:t>
                  </w:r>
                </w:p>
              </w:tc>
              <w:tc>
                <w:tcPr>
                  <w:tcW w:w="2610" w:type="dxa"/>
                </w:tcPr>
                <w:p w14:paraId="03138CF2" w14:textId="77777777" w:rsidR="003A41BE" w:rsidRPr="00DA2276" w:rsidRDefault="003A41BE" w:rsidP="002A37E3">
                  <w:pPr>
                    <w:framePr w:hSpace="141" w:wrap="around" w:vAnchor="text" w:hAnchor="text" w:x="421" w:y="1"/>
                    <w:suppressOverlap/>
                    <w:jc w:val="center"/>
                    <w:rPr>
                      <w:sz w:val="22"/>
                      <w:szCs w:val="22"/>
                      <w:lang w:val="en-US"/>
                    </w:rPr>
                  </w:pPr>
                  <w:r w:rsidRPr="00DA2276">
                    <w:rPr>
                      <w:sz w:val="22"/>
                      <w:szCs w:val="22"/>
                      <w:lang w:val="en-US"/>
                    </w:rPr>
                    <w:t>Target</w:t>
                  </w:r>
                </w:p>
              </w:tc>
            </w:tr>
            <w:tr w:rsidR="003A41BE" w:rsidRPr="00DA2276" w14:paraId="1A1AF59C" w14:textId="77777777" w:rsidTr="00FD44CE">
              <w:tc>
                <w:tcPr>
                  <w:tcW w:w="2819" w:type="dxa"/>
                </w:tcPr>
                <w:p w14:paraId="0AA6B324" w14:textId="77777777" w:rsidR="003A41BE" w:rsidRPr="00DA2276" w:rsidRDefault="003A41BE" w:rsidP="002A37E3">
                  <w:pPr>
                    <w:framePr w:hSpace="141" w:wrap="around" w:vAnchor="text" w:hAnchor="text" w:x="421" w:y="1"/>
                    <w:suppressOverlap/>
                    <w:jc w:val="center"/>
                    <w:rPr>
                      <w:sz w:val="22"/>
                      <w:szCs w:val="22"/>
                      <w:highlight w:val="yellow"/>
                      <w:lang w:val="en-US"/>
                    </w:rPr>
                  </w:pPr>
                  <w:r w:rsidRPr="008673E3">
                    <w:rPr>
                      <w:rFonts w:cstheme="minorHAnsi"/>
                      <w:sz w:val="22"/>
                      <w:szCs w:val="22"/>
                      <w:lang w:val="en-GB"/>
                    </w:rPr>
                    <w:t>1,172 Mm3/</w:t>
                  </w:r>
                  <w:proofErr w:type="spellStart"/>
                  <w:r w:rsidRPr="008673E3">
                    <w:rPr>
                      <w:rFonts w:cstheme="minorHAnsi"/>
                      <w:sz w:val="22"/>
                      <w:szCs w:val="22"/>
                      <w:lang w:val="en-GB"/>
                    </w:rPr>
                    <w:t>yr</w:t>
                  </w:r>
                  <w:proofErr w:type="spellEnd"/>
                  <w:r w:rsidRPr="008673E3">
                    <w:rPr>
                      <w:rFonts w:cstheme="minorHAnsi"/>
                      <w:sz w:val="22"/>
                      <w:szCs w:val="22"/>
                      <w:lang w:val="en-GB"/>
                    </w:rPr>
                    <w:t xml:space="preserve"> or 14 percent of the actual renewable water resources. Of this, 1,071 Mm3/</w:t>
                  </w:r>
                  <w:proofErr w:type="spellStart"/>
                  <w:r w:rsidRPr="008673E3">
                    <w:rPr>
                      <w:rFonts w:cstheme="minorHAnsi"/>
                      <w:sz w:val="22"/>
                      <w:szCs w:val="22"/>
                      <w:lang w:val="en-GB"/>
                    </w:rPr>
                    <w:t>yr</w:t>
                  </w:r>
                  <w:proofErr w:type="spellEnd"/>
                  <w:r w:rsidRPr="008673E3">
                    <w:rPr>
                      <w:rFonts w:cstheme="minorHAnsi"/>
                      <w:sz w:val="22"/>
                      <w:szCs w:val="22"/>
                      <w:lang w:val="en-GB"/>
                    </w:rPr>
                    <w:t xml:space="preserve"> (91 percent) was used for irrigation and livestock, 99 Mm3/</w:t>
                  </w:r>
                  <w:proofErr w:type="spellStart"/>
                  <w:r w:rsidRPr="008673E3">
                    <w:rPr>
                      <w:rFonts w:cstheme="minorHAnsi"/>
                      <w:sz w:val="22"/>
                      <w:szCs w:val="22"/>
                      <w:lang w:val="en-GB"/>
                    </w:rPr>
                    <w:t>yr</w:t>
                  </w:r>
                  <w:proofErr w:type="spellEnd"/>
                  <w:r w:rsidRPr="008673E3">
                    <w:rPr>
                      <w:rFonts w:cstheme="minorHAnsi"/>
                      <w:sz w:val="22"/>
                      <w:szCs w:val="22"/>
                      <w:lang w:val="en-GB"/>
                    </w:rPr>
                    <w:t xml:space="preserve"> for domestic use (9 percent), and only 2 Mm3/</w:t>
                  </w:r>
                  <w:proofErr w:type="spellStart"/>
                  <w:r w:rsidRPr="008673E3">
                    <w:rPr>
                      <w:rFonts w:cstheme="minorHAnsi"/>
                      <w:sz w:val="22"/>
                      <w:szCs w:val="22"/>
                      <w:lang w:val="en-GB"/>
                    </w:rPr>
                    <w:t>yr</w:t>
                  </w:r>
                  <w:proofErr w:type="spellEnd"/>
                  <w:r w:rsidRPr="008673E3">
                    <w:rPr>
                      <w:rFonts w:cstheme="minorHAnsi"/>
                      <w:sz w:val="22"/>
                      <w:szCs w:val="22"/>
                      <w:lang w:val="en-GB"/>
                    </w:rPr>
                    <w:t xml:space="preserve"> for industrial use</w:t>
                  </w:r>
                  <w:r>
                    <w:rPr>
                      <w:rFonts w:cstheme="minorHAnsi"/>
                      <w:sz w:val="22"/>
                      <w:szCs w:val="22"/>
                      <w:lang w:val="en-GB"/>
                    </w:rPr>
                    <w:t xml:space="preserve"> (ADB 2004)</w:t>
                  </w:r>
                </w:p>
              </w:tc>
              <w:tc>
                <w:tcPr>
                  <w:tcW w:w="2610" w:type="dxa"/>
                </w:tcPr>
                <w:p w14:paraId="383310DE" w14:textId="77777777" w:rsidR="003A41BE" w:rsidRPr="00DA2276" w:rsidRDefault="003A41BE" w:rsidP="002A37E3">
                  <w:pPr>
                    <w:framePr w:hSpace="141" w:wrap="around" w:vAnchor="text" w:hAnchor="text" w:x="421" w:y="1"/>
                    <w:suppressOverlap/>
                    <w:jc w:val="center"/>
                    <w:rPr>
                      <w:bCs/>
                      <w:sz w:val="22"/>
                      <w:szCs w:val="22"/>
                      <w:highlight w:val="yellow"/>
                      <w:lang w:val="en-US"/>
                    </w:rPr>
                  </w:pPr>
                  <w:r w:rsidRPr="007A75A1">
                    <w:rPr>
                      <w:rFonts w:cstheme="minorHAnsi"/>
                      <w:bCs/>
                      <w:sz w:val="22"/>
                      <w:szCs w:val="22"/>
                      <w:lang w:val="en-US"/>
                    </w:rPr>
                    <w:t>10 % improvement in efficiency per year for households with access to reliable water supply – under discussion with relevant partners</w:t>
                  </w:r>
                </w:p>
              </w:tc>
            </w:tr>
          </w:tbl>
          <w:p w14:paraId="174D16CD" w14:textId="77777777" w:rsidR="003A41BE" w:rsidRDefault="003A41BE" w:rsidP="00FD44CE">
            <w:pPr>
              <w:pStyle w:val="Default"/>
              <w:rPr>
                <w:rFonts w:asciiTheme="minorHAnsi" w:hAnsiTheme="minorHAnsi" w:cstheme="minorHAnsi"/>
                <w:bCs/>
                <w:sz w:val="22"/>
                <w:szCs w:val="22"/>
                <w:lang w:val="en-US"/>
              </w:rPr>
            </w:pPr>
            <w:r>
              <w:rPr>
                <w:rFonts w:asciiTheme="minorHAnsi" w:hAnsiTheme="minorHAnsi" w:cstheme="minorHAnsi"/>
                <w:bCs/>
                <w:sz w:val="22"/>
                <w:szCs w:val="22"/>
                <w:lang w:val="en-US"/>
              </w:rPr>
              <w:t xml:space="preserve">Data Source: </w:t>
            </w:r>
            <w:r w:rsidRPr="002A7985">
              <w:rPr>
                <w:rFonts w:asciiTheme="minorHAnsi" w:hAnsiTheme="minorHAnsi" w:cstheme="minorHAnsi"/>
                <w:bCs/>
                <w:sz w:val="22"/>
                <w:szCs w:val="22"/>
                <w:lang w:val="en-US"/>
              </w:rPr>
              <w:t xml:space="preserve"> Timor-Leste Water Sector Assessment and Roadmap, World Bank (2018), UNDP GCF project (2020 – 2026) and Coastal Resilience Project</w:t>
            </w:r>
          </w:p>
          <w:p w14:paraId="037061A3" w14:textId="77777777" w:rsidR="003A41BE" w:rsidRPr="003F4BC2" w:rsidRDefault="003A41BE" w:rsidP="00FD44CE">
            <w:pPr>
              <w:pStyle w:val="Default"/>
              <w:rPr>
                <w:rFonts w:asciiTheme="minorHAnsi" w:hAnsiTheme="minorHAnsi" w:cstheme="minorHAnsi"/>
                <w:bCs/>
                <w:sz w:val="22"/>
                <w:szCs w:val="22"/>
                <w:lang w:val="en-US"/>
              </w:rPr>
            </w:pPr>
          </w:p>
        </w:tc>
        <w:tc>
          <w:tcPr>
            <w:tcW w:w="4116" w:type="dxa"/>
            <w:tcBorders>
              <w:left w:val="single" w:sz="4" w:space="0" w:color="auto"/>
              <w:right w:val="single" w:sz="4" w:space="0" w:color="auto"/>
            </w:tcBorders>
          </w:tcPr>
          <w:p w14:paraId="095E4F4F" w14:textId="77777777" w:rsidR="003A41BE" w:rsidRPr="00841766" w:rsidRDefault="003A41BE" w:rsidP="00FD44CE">
            <w:pPr>
              <w:autoSpaceDE w:val="0"/>
              <w:autoSpaceDN w:val="0"/>
              <w:adjustRightInd w:val="0"/>
              <w:rPr>
                <w:rFonts w:cstheme="minorHAnsi"/>
                <w:sz w:val="22"/>
                <w:szCs w:val="22"/>
                <w:lang w:val="en-US"/>
              </w:rPr>
            </w:pPr>
          </w:p>
        </w:tc>
      </w:tr>
      <w:tr w:rsidR="003A41BE" w:rsidRPr="006444BA" w14:paraId="264CCEC4" w14:textId="77777777" w:rsidTr="53E3C463">
        <w:trPr>
          <w:trHeight w:val="256"/>
        </w:trPr>
        <w:tc>
          <w:tcPr>
            <w:tcW w:w="4529" w:type="dxa"/>
            <w:tcBorders>
              <w:left w:val="single" w:sz="4" w:space="0" w:color="auto"/>
              <w:right w:val="single" w:sz="4" w:space="0" w:color="auto"/>
            </w:tcBorders>
            <w:shd w:val="clear" w:color="auto" w:fill="8EAADB" w:themeFill="accent1" w:themeFillTint="99"/>
          </w:tcPr>
          <w:p w14:paraId="03575ED8" w14:textId="77777777" w:rsidR="003A41BE" w:rsidRPr="00841766" w:rsidRDefault="003A41BE" w:rsidP="00FD44CE">
            <w:pPr>
              <w:jc w:val="both"/>
              <w:rPr>
                <w:rFonts w:cstheme="minorHAnsi"/>
                <w:b/>
                <w:color w:val="000000" w:themeColor="text1"/>
                <w:sz w:val="22"/>
                <w:szCs w:val="22"/>
                <w:lang w:val="en-US"/>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E3121" w14:textId="77777777" w:rsidR="003A41BE" w:rsidRDefault="003A41BE" w:rsidP="00FD44CE">
            <w:pPr>
              <w:pStyle w:val="Default"/>
              <w:rPr>
                <w:rFonts w:asciiTheme="minorHAnsi" w:hAnsiTheme="minorHAnsi" w:cstheme="minorHAnsi"/>
                <w:bCs/>
                <w:sz w:val="22"/>
                <w:szCs w:val="22"/>
                <w:lang w:val="en-US"/>
              </w:rPr>
            </w:pPr>
            <w:r>
              <w:rPr>
                <w:rFonts w:asciiTheme="minorHAnsi" w:hAnsiTheme="minorHAnsi" w:cstheme="minorHAnsi"/>
                <w:b/>
                <w:sz w:val="22"/>
                <w:szCs w:val="22"/>
                <w:lang w:val="en-US"/>
              </w:rPr>
              <w:t xml:space="preserve">Indicator 6.3.6 </w:t>
            </w:r>
            <w:r>
              <w:rPr>
                <w:rFonts w:asciiTheme="minorHAnsi" w:hAnsiTheme="minorHAnsi" w:cstheme="minorHAnsi"/>
                <w:bCs/>
                <w:sz w:val="22"/>
                <w:szCs w:val="22"/>
                <w:lang w:val="en-US"/>
              </w:rPr>
              <w:t>Proportion of households utilizing drinking water from an improved source within a roundtrip collection time of not more than 30 minutes (basic service level)</w:t>
            </w:r>
          </w:p>
          <w:tbl>
            <w:tblPr>
              <w:tblStyle w:val="TableGrid"/>
              <w:tblW w:w="0" w:type="auto"/>
              <w:tblLayout w:type="fixed"/>
              <w:tblLook w:val="04A0" w:firstRow="1" w:lastRow="0" w:firstColumn="1" w:lastColumn="0" w:noHBand="0" w:noVBand="1"/>
            </w:tblPr>
            <w:tblGrid>
              <w:gridCol w:w="1747"/>
              <w:gridCol w:w="3600"/>
            </w:tblGrid>
            <w:tr w:rsidR="003A41BE" w:rsidRPr="004F40B8" w14:paraId="5C35FC32" w14:textId="77777777" w:rsidTr="00FD44CE">
              <w:tc>
                <w:tcPr>
                  <w:tcW w:w="1747" w:type="dxa"/>
                </w:tcPr>
                <w:p w14:paraId="6C0F9359" w14:textId="77777777" w:rsidR="003A41BE" w:rsidRPr="004F40B8" w:rsidRDefault="003A41BE" w:rsidP="002A37E3">
                  <w:pPr>
                    <w:framePr w:hSpace="141" w:wrap="around" w:vAnchor="text" w:hAnchor="text" w:x="421" w:y="1"/>
                    <w:suppressOverlap/>
                    <w:jc w:val="center"/>
                    <w:rPr>
                      <w:sz w:val="22"/>
                      <w:szCs w:val="22"/>
                      <w:lang w:val="en-US"/>
                    </w:rPr>
                  </w:pPr>
                  <w:r w:rsidRPr="004F40B8">
                    <w:rPr>
                      <w:sz w:val="22"/>
                      <w:szCs w:val="22"/>
                      <w:lang w:val="en-US"/>
                    </w:rPr>
                    <w:t>Baseline</w:t>
                  </w:r>
                </w:p>
              </w:tc>
              <w:tc>
                <w:tcPr>
                  <w:tcW w:w="3600" w:type="dxa"/>
                </w:tcPr>
                <w:p w14:paraId="2C949C1E" w14:textId="77777777" w:rsidR="003A41BE" w:rsidRPr="004F40B8" w:rsidRDefault="003A41BE" w:rsidP="002A37E3">
                  <w:pPr>
                    <w:framePr w:hSpace="141" w:wrap="around" w:vAnchor="text" w:hAnchor="text" w:x="421" w:y="1"/>
                    <w:suppressOverlap/>
                    <w:jc w:val="center"/>
                    <w:rPr>
                      <w:sz w:val="22"/>
                      <w:szCs w:val="22"/>
                      <w:lang w:val="en-US"/>
                    </w:rPr>
                  </w:pPr>
                  <w:r w:rsidRPr="004F40B8">
                    <w:rPr>
                      <w:sz w:val="22"/>
                      <w:szCs w:val="22"/>
                      <w:lang w:val="en-US"/>
                    </w:rPr>
                    <w:t>Target</w:t>
                  </w:r>
                </w:p>
              </w:tc>
            </w:tr>
            <w:tr w:rsidR="003A41BE" w:rsidRPr="004F40B8" w14:paraId="5EC558A4" w14:textId="77777777" w:rsidTr="00FD44CE">
              <w:tc>
                <w:tcPr>
                  <w:tcW w:w="1747" w:type="dxa"/>
                </w:tcPr>
                <w:p w14:paraId="1E18E714" w14:textId="77777777" w:rsidR="003A41BE" w:rsidRPr="004F40B8" w:rsidRDefault="003A41BE" w:rsidP="002A37E3">
                  <w:pPr>
                    <w:framePr w:hSpace="141" w:wrap="around" w:vAnchor="text" w:hAnchor="text" w:x="421" w:y="1"/>
                    <w:suppressOverlap/>
                    <w:jc w:val="center"/>
                    <w:rPr>
                      <w:sz w:val="22"/>
                      <w:szCs w:val="22"/>
                      <w:highlight w:val="yellow"/>
                      <w:lang w:val="en-US"/>
                    </w:rPr>
                  </w:pPr>
                  <w:r>
                    <w:t>78 %</w:t>
                  </w:r>
                </w:p>
              </w:tc>
              <w:tc>
                <w:tcPr>
                  <w:tcW w:w="3600" w:type="dxa"/>
                </w:tcPr>
                <w:p w14:paraId="3C65A6BC" w14:textId="77777777" w:rsidR="003A41BE" w:rsidRDefault="003A41BE" w:rsidP="002A37E3">
                  <w:pPr>
                    <w:framePr w:hSpace="141" w:wrap="around" w:vAnchor="text" w:hAnchor="text" w:x="421" w:y="1"/>
                    <w:suppressOverlap/>
                    <w:jc w:val="center"/>
                    <w:rPr>
                      <w:rFonts w:cstheme="minorHAnsi"/>
                      <w:sz w:val="22"/>
                      <w:szCs w:val="22"/>
                      <w:lang w:val="en-GB"/>
                    </w:rPr>
                  </w:pPr>
                  <w:r w:rsidRPr="00FD7BB0">
                    <w:rPr>
                      <w:rFonts w:cstheme="minorHAnsi"/>
                      <w:sz w:val="22"/>
                      <w:szCs w:val="22"/>
                      <w:lang w:val="en-GB"/>
                    </w:rPr>
                    <w:t>By 2025, 38 climate resilient water supply systems installed in 6 target municipalities directly benefitting at least 21,496 people.</w:t>
                  </w:r>
                </w:p>
                <w:p w14:paraId="22BA442E" w14:textId="77777777" w:rsidR="003A41BE" w:rsidRDefault="003A41BE" w:rsidP="002A37E3">
                  <w:pPr>
                    <w:framePr w:hSpace="141" w:wrap="around" w:vAnchor="text" w:hAnchor="text" w:x="421" w:y="1"/>
                    <w:suppressOverlap/>
                    <w:jc w:val="center"/>
                    <w:rPr>
                      <w:rFonts w:cstheme="minorHAnsi"/>
                      <w:sz w:val="22"/>
                      <w:szCs w:val="22"/>
                      <w:lang w:val="en-GB"/>
                    </w:rPr>
                  </w:pPr>
                </w:p>
                <w:p w14:paraId="5ED64FEE" w14:textId="77777777" w:rsidR="003A41BE" w:rsidRPr="004F40B8" w:rsidRDefault="003A41BE" w:rsidP="002A37E3">
                  <w:pPr>
                    <w:framePr w:hSpace="141" w:wrap="around" w:vAnchor="text" w:hAnchor="text" w:x="421" w:y="1"/>
                    <w:suppressOverlap/>
                    <w:jc w:val="center"/>
                    <w:rPr>
                      <w:bCs/>
                      <w:sz w:val="22"/>
                      <w:szCs w:val="22"/>
                      <w:highlight w:val="yellow"/>
                      <w:lang w:val="en-US"/>
                    </w:rPr>
                  </w:pPr>
                  <w:r>
                    <w:rPr>
                      <w:rFonts w:cstheme="minorHAnsi"/>
                      <w:sz w:val="22"/>
                      <w:szCs w:val="22"/>
                      <w:lang w:val="en-GB"/>
                    </w:rPr>
                    <w:t>Plans and guidelines developed for climate resilient rural water supply</w:t>
                  </w:r>
                </w:p>
              </w:tc>
            </w:tr>
          </w:tbl>
          <w:p w14:paraId="53E67D18" w14:textId="77777777" w:rsidR="003A41BE" w:rsidRDefault="003A41BE" w:rsidP="00FD44CE">
            <w:pPr>
              <w:pStyle w:val="Default"/>
              <w:rPr>
                <w:rFonts w:asciiTheme="minorHAnsi" w:hAnsiTheme="minorHAnsi" w:cstheme="minorHAnsi"/>
                <w:bCs/>
                <w:sz w:val="22"/>
                <w:szCs w:val="22"/>
                <w:lang w:val="en-US"/>
              </w:rPr>
            </w:pPr>
            <w:r w:rsidRPr="002A7985">
              <w:rPr>
                <w:rFonts w:asciiTheme="minorHAnsi" w:hAnsiTheme="minorHAnsi" w:cstheme="minorHAnsi"/>
                <w:bCs/>
                <w:sz w:val="22"/>
                <w:szCs w:val="22"/>
                <w:lang w:val="en-US"/>
              </w:rPr>
              <w:t xml:space="preserve">Data Source: </w:t>
            </w:r>
            <w:r>
              <w:rPr>
                <w:rFonts w:asciiTheme="minorHAnsi" w:hAnsiTheme="minorHAnsi" w:cstheme="minorHAnsi"/>
                <w:bCs/>
                <w:sz w:val="22"/>
                <w:szCs w:val="22"/>
                <w:lang w:val="en-US"/>
              </w:rPr>
              <w:t>JMP 2019</w:t>
            </w:r>
          </w:p>
          <w:p w14:paraId="4C59E2AD" w14:textId="77777777" w:rsidR="003A41BE" w:rsidRPr="003F4BC2" w:rsidRDefault="003A41BE" w:rsidP="00FD44CE">
            <w:pPr>
              <w:pStyle w:val="Default"/>
              <w:rPr>
                <w:rFonts w:asciiTheme="minorHAnsi" w:hAnsiTheme="minorHAnsi" w:cstheme="minorHAnsi"/>
                <w:bCs/>
                <w:sz w:val="22"/>
                <w:szCs w:val="22"/>
                <w:lang w:val="en-US"/>
              </w:rPr>
            </w:pPr>
          </w:p>
        </w:tc>
        <w:tc>
          <w:tcPr>
            <w:tcW w:w="4116" w:type="dxa"/>
            <w:tcBorders>
              <w:left w:val="single" w:sz="4" w:space="0" w:color="auto"/>
              <w:right w:val="single" w:sz="4" w:space="0" w:color="auto"/>
            </w:tcBorders>
          </w:tcPr>
          <w:p w14:paraId="2F59E256" w14:textId="77777777" w:rsidR="003A41BE" w:rsidRPr="00841766" w:rsidRDefault="003A41BE" w:rsidP="00FD44CE">
            <w:pPr>
              <w:autoSpaceDE w:val="0"/>
              <w:autoSpaceDN w:val="0"/>
              <w:adjustRightInd w:val="0"/>
              <w:rPr>
                <w:rFonts w:cstheme="minorHAnsi"/>
                <w:sz w:val="22"/>
                <w:szCs w:val="22"/>
                <w:lang w:val="en-US"/>
              </w:rPr>
            </w:pPr>
          </w:p>
        </w:tc>
      </w:tr>
    </w:tbl>
    <w:p w14:paraId="6BA500A7" w14:textId="3D35B7EB" w:rsidR="003A41BE" w:rsidRPr="00841766" w:rsidRDefault="003A41BE" w:rsidP="003A41BE">
      <w:pPr>
        <w:rPr>
          <w:b/>
          <w:highlight w:val="yellow"/>
          <w:lang w:val="en-US"/>
        </w:rPr>
        <w:sectPr w:rsidR="003A41BE" w:rsidRPr="00841766" w:rsidSect="007A7ECF">
          <w:pgSz w:w="16838" w:h="11906" w:orient="landscape"/>
          <w:pgMar w:top="720" w:right="1121" w:bottom="720" w:left="720" w:header="708" w:footer="708" w:gutter="0"/>
          <w:cols w:space="708"/>
          <w:docGrid w:linePitch="360"/>
        </w:sectPr>
      </w:pPr>
    </w:p>
    <w:p w14:paraId="375E1194" w14:textId="07CDAD7A" w:rsidR="0006085C" w:rsidRPr="00841766" w:rsidRDefault="008A0E68" w:rsidP="007A7ECF">
      <w:pPr>
        <w:pStyle w:val="Heading2"/>
        <w:rPr>
          <w:rFonts w:asciiTheme="minorHAnsi" w:hAnsiTheme="minorHAnsi"/>
          <w:sz w:val="28"/>
          <w:lang w:val="en-US"/>
        </w:rPr>
      </w:pPr>
      <w:bookmarkStart w:id="181" w:name="_Toc29550756"/>
      <w:bookmarkStart w:id="182" w:name="_Toc40265814"/>
      <w:r w:rsidRPr="00841766">
        <w:rPr>
          <w:rFonts w:asciiTheme="minorHAnsi" w:hAnsiTheme="minorHAnsi"/>
          <w:sz w:val="28"/>
          <w:lang w:val="en-US"/>
        </w:rPr>
        <w:t>A</w:t>
      </w:r>
      <w:r w:rsidR="00DD0819">
        <w:rPr>
          <w:rFonts w:asciiTheme="minorHAnsi" w:hAnsiTheme="minorHAnsi"/>
          <w:sz w:val="28"/>
          <w:lang w:val="en-US"/>
        </w:rPr>
        <w:t>nnex</w:t>
      </w:r>
      <w:r w:rsidR="0006085C" w:rsidRPr="00841766">
        <w:rPr>
          <w:rFonts w:asciiTheme="minorHAnsi" w:hAnsiTheme="minorHAnsi"/>
          <w:sz w:val="28"/>
          <w:lang w:val="en-US"/>
        </w:rPr>
        <w:t xml:space="preserve"> 2</w:t>
      </w:r>
      <w:r w:rsidR="007A7ECF" w:rsidRPr="00841766">
        <w:rPr>
          <w:rFonts w:asciiTheme="minorHAnsi" w:hAnsiTheme="minorHAnsi"/>
          <w:sz w:val="28"/>
          <w:lang w:val="en-US"/>
        </w:rPr>
        <w:t>: LEGAL CLAUSES</w:t>
      </w:r>
      <w:bookmarkEnd w:id="181"/>
      <w:bookmarkEnd w:id="182"/>
    </w:p>
    <w:p w14:paraId="4130D3EF" w14:textId="77777777" w:rsidR="0006085C" w:rsidRPr="00841766" w:rsidRDefault="0006085C" w:rsidP="00EB47DA">
      <w:pPr>
        <w:autoSpaceDE w:val="0"/>
        <w:autoSpaceDN w:val="0"/>
        <w:adjustRightInd w:val="0"/>
        <w:rPr>
          <w:rFonts w:ascii="Calibri" w:hAnsi="Calibri" w:cs="Calibri"/>
          <w:color w:val="2E74B6"/>
          <w:sz w:val="22"/>
          <w:szCs w:val="22"/>
          <w:lang w:val="en-US"/>
        </w:rPr>
      </w:pPr>
    </w:p>
    <w:p w14:paraId="062548C6" w14:textId="4A2CEDB4" w:rsidR="0006085C" w:rsidRPr="00841766" w:rsidRDefault="0006085C" w:rsidP="00EB47DA">
      <w:pPr>
        <w:autoSpaceDE w:val="0"/>
        <w:autoSpaceDN w:val="0"/>
        <w:adjustRightInd w:val="0"/>
        <w:jc w:val="both"/>
        <w:rPr>
          <w:rFonts w:ascii="Calibri" w:hAnsi="Calibri" w:cs="Calibri"/>
          <w:color w:val="000000"/>
          <w:sz w:val="22"/>
          <w:szCs w:val="22"/>
          <w:lang w:val="en-US"/>
        </w:rPr>
      </w:pPr>
      <w:r w:rsidRPr="00841766">
        <w:rPr>
          <w:rFonts w:ascii="Calibri" w:hAnsi="Calibri" w:cs="Calibri"/>
          <w:color w:val="000000"/>
          <w:sz w:val="22"/>
          <w:szCs w:val="22"/>
          <w:lang w:val="en-US"/>
        </w:rPr>
        <w:t>This Legal Annex refers to the cooperation or assistance agreements or other agreements that are the already existing legal basis for the relationship between the Government of Timor-Leste and each UN organization supporting the country to deliver on the United Nations Sustainable Development Cooperation Framework (2021 to 2025).</w:t>
      </w:r>
    </w:p>
    <w:p w14:paraId="6A310F73" w14:textId="77777777" w:rsidR="0006085C" w:rsidRPr="00841766" w:rsidRDefault="0006085C" w:rsidP="00EB47DA">
      <w:pPr>
        <w:autoSpaceDE w:val="0"/>
        <w:autoSpaceDN w:val="0"/>
        <w:adjustRightInd w:val="0"/>
        <w:jc w:val="both"/>
        <w:rPr>
          <w:rFonts w:ascii="Calibri" w:hAnsi="Calibri" w:cs="Calibri"/>
          <w:color w:val="000000"/>
          <w:sz w:val="22"/>
          <w:szCs w:val="22"/>
          <w:lang w:val="en-US"/>
        </w:rPr>
      </w:pPr>
    </w:p>
    <w:p w14:paraId="053A3704" w14:textId="11A900E8" w:rsidR="0006085C" w:rsidRPr="00841766" w:rsidRDefault="0006085C" w:rsidP="00EB47DA">
      <w:pPr>
        <w:autoSpaceDE w:val="0"/>
        <w:autoSpaceDN w:val="0"/>
        <w:adjustRightInd w:val="0"/>
        <w:jc w:val="both"/>
        <w:rPr>
          <w:rFonts w:ascii="Calibri" w:hAnsi="Calibri" w:cs="Calibri"/>
          <w:color w:val="000000"/>
          <w:sz w:val="22"/>
          <w:szCs w:val="22"/>
          <w:lang w:val="en-US"/>
        </w:rPr>
      </w:pPr>
      <w:r w:rsidRPr="00841766">
        <w:rPr>
          <w:rFonts w:ascii="Calibri" w:hAnsi="Calibri" w:cs="Calibri"/>
          <w:color w:val="000000"/>
          <w:sz w:val="22"/>
          <w:szCs w:val="22"/>
          <w:lang w:val="en-US"/>
        </w:rPr>
        <w:t>Whereas the Government of Timor-Leste (hereinafter referred to as “the Government”) has entered into the following relationships:</w:t>
      </w:r>
    </w:p>
    <w:p w14:paraId="793A1E0C" w14:textId="77777777" w:rsidR="00B567AC" w:rsidRPr="00841766" w:rsidRDefault="00B567AC" w:rsidP="00AA78BD">
      <w:pPr>
        <w:pStyle w:val="ListParagraph"/>
        <w:numPr>
          <w:ilvl w:val="0"/>
          <w:numId w:val="28"/>
        </w:numPr>
        <w:rPr>
          <w:rFonts w:ascii="Times New Roman" w:eastAsia="Times New Roman" w:hAnsi="Times New Roman" w:cs="Times New Roman"/>
          <w:lang w:val="en-US" w:eastAsia="fr-FR"/>
        </w:rPr>
      </w:pPr>
      <w:r w:rsidRPr="00841766">
        <w:rPr>
          <w:rFonts w:ascii="Calibri" w:eastAsia="Times New Roman" w:hAnsi="Calibri" w:cs="Calibri"/>
          <w:i/>
          <w:iCs/>
          <w:color w:val="000000"/>
          <w:sz w:val="22"/>
          <w:szCs w:val="22"/>
          <w:lang w:val="en-US" w:eastAsia="fr-FR"/>
        </w:rPr>
        <w:t>FAO established a representation in Timor-Leste as a response to the Government request to focus more on developmental activities for furthering food security interventions on the </w:t>
      </w:r>
      <w:r w:rsidRPr="00841766">
        <w:rPr>
          <w:rFonts w:ascii="Calibri" w:eastAsia="Times New Roman" w:hAnsi="Calibri" w:cs="Calibri"/>
          <w:b/>
          <w:bCs/>
          <w:i/>
          <w:iCs/>
          <w:color w:val="000000"/>
          <w:sz w:val="22"/>
          <w:szCs w:val="22"/>
          <w:u w:val="single"/>
          <w:lang w:val="en-US" w:eastAsia="fr-FR"/>
        </w:rPr>
        <w:t>20</w:t>
      </w:r>
      <w:r w:rsidRPr="00841766">
        <w:rPr>
          <w:rFonts w:ascii="Calibri" w:eastAsia="Times New Roman" w:hAnsi="Calibri" w:cs="Calibri"/>
          <w:b/>
          <w:bCs/>
          <w:i/>
          <w:iCs/>
          <w:color w:val="000000"/>
          <w:sz w:val="22"/>
          <w:szCs w:val="22"/>
          <w:u w:val="single"/>
          <w:vertAlign w:val="superscript"/>
          <w:lang w:val="en-US" w:eastAsia="fr-FR"/>
        </w:rPr>
        <w:t>th</w:t>
      </w:r>
      <w:r w:rsidRPr="00841766">
        <w:rPr>
          <w:rFonts w:ascii="Calibri" w:eastAsia="Times New Roman" w:hAnsi="Calibri" w:cs="Calibri"/>
          <w:b/>
          <w:bCs/>
          <w:i/>
          <w:iCs/>
          <w:color w:val="000000"/>
          <w:sz w:val="22"/>
          <w:szCs w:val="22"/>
          <w:u w:val="single"/>
          <w:lang w:val="en-US" w:eastAsia="fr-FR"/>
        </w:rPr>
        <w:t> October 2011</w:t>
      </w:r>
    </w:p>
    <w:p w14:paraId="459FADC4" w14:textId="7FF8C9FF" w:rsidR="00B567AC" w:rsidRPr="00841766" w:rsidRDefault="00B567AC" w:rsidP="00AA78BD">
      <w:pPr>
        <w:pStyle w:val="ListParagraph"/>
        <w:numPr>
          <w:ilvl w:val="0"/>
          <w:numId w:val="28"/>
        </w:numPr>
        <w:autoSpaceDE w:val="0"/>
        <w:autoSpaceDN w:val="0"/>
        <w:adjustRightInd w:val="0"/>
        <w:spacing w:after="120"/>
        <w:jc w:val="both"/>
        <w:rPr>
          <w:rFonts w:ascii="Calibri" w:hAnsi="Calibri" w:cs="Calibri"/>
          <w:color w:val="000000"/>
          <w:sz w:val="22"/>
          <w:szCs w:val="22"/>
          <w:lang w:val="en-US"/>
        </w:rPr>
      </w:pPr>
      <w:r w:rsidRPr="00841766">
        <w:rPr>
          <w:rFonts w:ascii="Calibri" w:hAnsi="Calibri" w:cs="Calibri"/>
          <w:color w:val="000000"/>
          <w:sz w:val="22"/>
          <w:szCs w:val="22"/>
          <w:lang w:val="en-US"/>
        </w:rPr>
        <w:t>With United Nations Development Programme (hereinafter referred to as UNDP) have entered into a basic agreement to govern UNDP’s assistance to the country (Standard Basic Assistance Agreement (SBAA)</w:t>
      </w:r>
      <w:r w:rsidR="00981EE9">
        <w:rPr>
          <w:rFonts w:ascii="Calibri" w:hAnsi="Calibri" w:cs="Calibri"/>
          <w:color w:val="000000"/>
          <w:sz w:val="22"/>
          <w:szCs w:val="22"/>
          <w:lang w:val="en-US"/>
        </w:rPr>
        <w:t>,</w:t>
      </w:r>
      <w:r w:rsidRPr="00841766">
        <w:rPr>
          <w:rFonts w:ascii="Calibri" w:hAnsi="Calibri" w:cs="Calibri"/>
          <w:color w:val="000000"/>
          <w:sz w:val="22"/>
          <w:szCs w:val="22"/>
          <w:lang w:val="en-US"/>
        </w:rPr>
        <w:t xml:space="preserve"> which was signed by both parties on </w:t>
      </w:r>
      <w:r w:rsidR="006E022A">
        <w:rPr>
          <w:rFonts w:ascii="Calibri" w:hAnsi="Calibri" w:cs="Calibri"/>
          <w:color w:val="000000"/>
          <w:sz w:val="22"/>
          <w:szCs w:val="22"/>
          <w:lang w:val="en-US"/>
        </w:rPr>
        <w:t>20 May 2002</w:t>
      </w:r>
      <w:r w:rsidRPr="00841766">
        <w:rPr>
          <w:rFonts w:ascii="Calibri" w:hAnsi="Calibri" w:cs="Calibri"/>
          <w:color w:val="000000"/>
          <w:sz w:val="22"/>
          <w:szCs w:val="22"/>
          <w:lang w:val="en-US"/>
        </w:rPr>
        <w:t xml:space="preserve">. Based on Article I, paragraph 2 of the SBAA, UNDP’s assistance to the Government shall be made available to the Government and shall be furnished and received in accordance with the relevant and applicable resolutions and decisions of the competent UNDP organs, and subject to the availability of the necessary funds to the UNDP. In particular, decision 2005/1 of 28 January 2005 of UNDP’s Executive Board approved the new Financial Regulations and Rules and along with them the new definitions of ‘execution’ and ‘implementation’ enabling UNDP to fully implement the new Common Country Programming Procedures resulting from the UNDG simplification and harmonization initiative. In light of this decision this </w:t>
      </w:r>
      <w:r w:rsidR="00C36DFD">
        <w:rPr>
          <w:rFonts w:ascii="Calibri" w:hAnsi="Calibri" w:cs="Calibri"/>
          <w:color w:val="000000"/>
          <w:sz w:val="22"/>
          <w:szCs w:val="22"/>
          <w:lang w:val="en-US"/>
        </w:rPr>
        <w:t xml:space="preserve">UNSDCF </w:t>
      </w:r>
      <w:r w:rsidRPr="00841766">
        <w:rPr>
          <w:rFonts w:ascii="Calibri" w:hAnsi="Calibri" w:cs="Calibri"/>
          <w:color w:val="000000"/>
          <w:sz w:val="22"/>
          <w:szCs w:val="22"/>
          <w:lang w:val="en-US"/>
        </w:rPr>
        <w:t>together with a work plan (which shall form part of this UN</w:t>
      </w:r>
      <w:r w:rsidR="00C36DFD">
        <w:rPr>
          <w:rFonts w:ascii="Calibri" w:hAnsi="Calibri" w:cs="Calibri"/>
          <w:color w:val="000000"/>
          <w:sz w:val="22"/>
          <w:szCs w:val="22"/>
          <w:lang w:val="en-US"/>
        </w:rPr>
        <w:t>SDCF</w:t>
      </w:r>
      <w:r w:rsidRPr="00841766">
        <w:rPr>
          <w:rFonts w:ascii="Calibri" w:hAnsi="Calibri" w:cs="Calibri"/>
          <w:color w:val="000000"/>
          <w:sz w:val="22"/>
          <w:szCs w:val="22"/>
          <w:lang w:val="en-US"/>
        </w:rPr>
        <w:t xml:space="preserve"> and is incorporated herein by reference) concluded hereunder constitute together a project document as referred to in the SBAA [or other appropriate governing agreement</w:t>
      </w:r>
      <w:r w:rsidRPr="00841766">
        <w:rPr>
          <w:rStyle w:val="FootnoteReference"/>
          <w:rFonts w:ascii="Calibri" w:hAnsi="Calibri" w:cs="Calibri"/>
          <w:color w:val="000000"/>
          <w:sz w:val="22"/>
          <w:szCs w:val="22"/>
          <w:lang w:val="en-US"/>
        </w:rPr>
        <w:footnoteReference w:id="77"/>
      </w:r>
      <w:r w:rsidRPr="00841766">
        <w:rPr>
          <w:rFonts w:ascii="Calibri" w:hAnsi="Calibri" w:cs="Calibri"/>
          <w:color w:val="000000"/>
          <w:sz w:val="22"/>
          <w:szCs w:val="22"/>
          <w:lang w:val="en-US"/>
        </w:rPr>
        <w:t>].</w:t>
      </w:r>
    </w:p>
    <w:p w14:paraId="5EE476CE" w14:textId="77777777" w:rsidR="00B567AC" w:rsidRPr="00841766" w:rsidRDefault="00B567AC" w:rsidP="00AA78BD">
      <w:pPr>
        <w:pStyle w:val="ListParagraph"/>
        <w:numPr>
          <w:ilvl w:val="0"/>
          <w:numId w:val="28"/>
        </w:numPr>
        <w:autoSpaceDE w:val="0"/>
        <w:autoSpaceDN w:val="0"/>
        <w:adjustRightInd w:val="0"/>
        <w:spacing w:after="120"/>
        <w:jc w:val="both"/>
        <w:rPr>
          <w:rFonts w:ascii="Calibri" w:hAnsi="Calibri" w:cs="Calibri"/>
          <w:color w:val="000000"/>
          <w:sz w:val="22"/>
          <w:szCs w:val="22"/>
          <w:lang w:val="en-US"/>
        </w:rPr>
      </w:pPr>
      <w:r w:rsidRPr="00841766">
        <w:rPr>
          <w:rFonts w:ascii="Calibri" w:hAnsi="Calibri" w:cs="Calibri"/>
          <w:color w:val="000000"/>
          <w:sz w:val="22"/>
          <w:szCs w:val="22"/>
          <w:lang w:val="en-US"/>
        </w:rPr>
        <w:t xml:space="preserve">With the United Nations Children’s Fund (UNICEF) a Basic Cooperation Agreement (BCA) concluded between the Government and UNICEF on </w:t>
      </w:r>
      <w:r w:rsidRPr="00841766">
        <w:rPr>
          <w:rFonts w:ascii="Calibri" w:hAnsi="Calibri" w:cs="Calibri"/>
          <w:color w:val="000000"/>
          <w:sz w:val="22"/>
          <w:szCs w:val="22"/>
          <w:highlight w:val="yellow"/>
          <w:lang w:val="en-US"/>
        </w:rPr>
        <w:t>___</w:t>
      </w:r>
      <w:r w:rsidRPr="00841766">
        <w:rPr>
          <w:rFonts w:ascii="Calibri" w:hAnsi="Calibri" w:cs="Calibri"/>
          <w:color w:val="000000"/>
          <w:sz w:val="22"/>
          <w:szCs w:val="22"/>
          <w:lang w:val="en-US"/>
        </w:rPr>
        <w:t xml:space="preserve"> and revised on</w:t>
      </w:r>
      <w:r w:rsidRPr="00841766">
        <w:rPr>
          <w:rFonts w:ascii="Calibri" w:hAnsi="Calibri" w:cs="Calibri"/>
          <w:color w:val="000000"/>
          <w:sz w:val="22"/>
          <w:szCs w:val="22"/>
          <w:highlight w:val="yellow"/>
          <w:lang w:val="en-US"/>
        </w:rPr>
        <w:t>___.</w:t>
      </w:r>
    </w:p>
    <w:p w14:paraId="2DA37ED9" w14:textId="77777777" w:rsidR="00B567AC" w:rsidRPr="00841766" w:rsidRDefault="00B567AC" w:rsidP="00AA78BD">
      <w:pPr>
        <w:pStyle w:val="ListParagraph"/>
        <w:numPr>
          <w:ilvl w:val="0"/>
          <w:numId w:val="28"/>
        </w:numPr>
        <w:autoSpaceDE w:val="0"/>
        <w:autoSpaceDN w:val="0"/>
        <w:adjustRightInd w:val="0"/>
        <w:spacing w:after="120"/>
        <w:jc w:val="both"/>
        <w:rPr>
          <w:rFonts w:ascii="Calibri" w:hAnsi="Calibri" w:cs="Calibri"/>
          <w:color w:val="000000"/>
          <w:sz w:val="22"/>
          <w:szCs w:val="22"/>
          <w:lang w:val="en-US"/>
        </w:rPr>
      </w:pPr>
      <w:r w:rsidRPr="00841766">
        <w:rPr>
          <w:rFonts w:ascii="Calibri" w:hAnsi="Calibri" w:cs="Calibri"/>
          <w:color w:val="000000"/>
          <w:sz w:val="22"/>
          <w:szCs w:val="22"/>
          <w:lang w:val="en-US"/>
        </w:rPr>
        <w:t xml:space="preserve">With regard to the United Nations Population Fund (UNFPA), the text to be used in this section of the UNSDCF depends on the specific legal circumstances prevailing. A menu of options for the appropriate text is available on the UNFPA Policies and Procedures Manual (PPM), Programme, at the following link: </w:t>
      </w:r>
      <w:r w:rsidRPr="00841766">
        <w:rPr>
          <w:rFonts w:ascii="Calibri" w:hAnsi="Calibri" w:cs="Calibri"/>
          <w:color w:val="0000FF"/>
          <w:sz w:val="22"/>
          <w:szCs w:val="22"/>
          <w:lang w:val="en-US"/>
        </w:rPr>
        <w:t xml:space="preserve">http://www.unfpa.org/sites/default/files/adminresource/ Legal%20basis%20of%20cooperation%20UNDAF.pdf </w:t>
      </w:r>
      <w:r w:rsidRPr="00841766">
        <w:rPr>
          <w:rFonts w:ascii="Calibri" w:hAnsi="Calibri" w:cs="Calibri"/>
          <w:color w:val="000000"/>
          <w:sz w:val="22"/>
          <w:szCs w:val="22"/>
          <w:highlight w:val="yellow"/>
          <w:lang w:val="en-US"/>
        </w:rPr>
        <w:t>Country Offices are requested to select the appropriate text from this menu of options. Alternatively, they may contact UNFPA's Legal Unit, OED, for the correct text to be used</w:t>
      </w:r>
      <w:r w:rsidRPr="00841766">
        <w:rPr>
          <w:rFonts w:ascii="Calibri" w:hAnsi="Calibri" w:cs="Calibri"/>
          <w:color w:val="000000"/>
          <w:sz w:val="22"/>
          <w:szCs w:val="22"/>
          <w:lang w:val="en-US"/>
        </w:rPr>
        <w:t>.</w:t>
      </w:r>
    </w:p>
    <w:p w14:paraId="744621AC" w14:textId="77777777" w:rsidR="00B567AC" w:rsidRPr="00841766" w:rsidRDefault="00B567AC" w:rsidP="00AA78BD">
      <w:pPr>
        <w:pStyle w:val="ListParagraph"/>
        <w:numPr>
          <w:ilvl w:val="0"/>
          <w:numId w:val="28"/>
        </w:numPr>
        <w:rPr>
          <w:rFonts w:ascii="Times New Roman" w:eastAsia="Times New Roman" w:hAnsi="Times New Roman" w:cs="Times New Roman"/>
          <w:lang w:val="en-US" w:eastAsia="fr-FR"/>
        </w:rPr>
      </w:pPr>
      <w:r w:rsidRPr="00841766">
        <w:rPr>
          <w:rFonts w:ascii="Calibri" w:eastAsia="Times New Roman" w:hAnsi="Calibri" w:cs="Calibri"/>
          <w:i/>
          <w:iCs/>
          <w:color w:val="000000"/>
          <w:sz w:val="22"/>
          <w:szCs w:val="22"/>
          <w:lang w:val="en-US" w:eastAsia="fr-FR"/>
        </w:rPr>
        <w:t>A Basic Agreement concerning assistance from the World Food Programme was signed between the Government and the WFP on the </w:t>
      </w:r>
      <w:r w:rsidRPr="00841766">
        <w:rPr>
          <w:rFonts w:ascii="Calibri" w:eastAsia="Times New Roman" w:hAnsi="Calibri" w:cs="Calibri"/>
          <w:b/>
          <w:bCs/>
          <w:i/>
          <w:iCs/>
          <w:color w:val="000000"/>
          <w:sz w:val="22"/>
          <w:szCs w:val="22"/>
          <w:u w:val="single"/>
          <w:lang w:val="en-US" w:eastAsia="fr-FR"/>
        </w:rPr>
        <w:t>7</w:t>
      </w:r>
      <w:r w:rsidRPr="00841766">
        <w:rPr>
          <w:rFonts w:ascii="Calibri" w:eastAsia="Times New Roman" w:hAnsi="Calibri" w:cs="Calibri"/>
          <w:b/>
          <w:bCs/>
          <w:i/>
          <w:iCs/>
          <w:color w:val="000000"/>
          <w:sz w:val="22"/>
          <w:szCs w:val="22"/>
          <w:u w:val="single"/>
          <w:vertAlign w:val="superscript"/>
          <w:lang w:val="en-US" w:eastAsia="fr-FR"/>
        </w:rPr>
        <w:t>th</w:t>
      </w:r>
      <w:r w:rsidRPr="00841766">
        <w:rPr>
          <w:rFonts w:ascii="Calibri" w:eastAsia="Times New Roman" w:hAnsi="Calibri" w:cs="Calibri"/>
          <w:b/>
          <w:bCs/>
          <w:i/>
          <w:iCs/>
          <w:color w:val="000000"/>
          <w:sz w:val="22"/>
          <w:szCs w:val="22"/>
          <w:u w:val="single"/>
          <w:lang w:val="en-US" w:eastAsia="fr-FR"/>
        </w:rPr>
        <w:t> August 2006</w:t>
      </w:r>
    </w:p>
    <w:p w14:paraId="4186B154" w14:textId="77777777" w:rsidR="00B567AC" w:rsidRPr="00841766" w:rsidRDefault="00B567AC" w:rsidP="00AA78BD">
      <w:pPr>
        <w:pStyle w:val="ListParagraph"/>
        <w:numPr>
          <w:ilvl w:val="0"/>
          <w:numId w:val="28"/>
        </w:numPr>
        <w:autoSpaceDE w:val="0"/>
        <w:autoSpaceDN w:val="0"/>
        <w:adjustRightInd w:val="0"/>
        <w:spacing w:after="120"/>
        <w:jc w:val="both"/>
        <w:rPr>
          <w:rFonts w:ascii="Calibri" w:hAnsi="Calibri" w:cs="Calibri"/>
          <w:color w:val="000000"/>
          <w:sz w:val="22"/>
          <w:szCs w:val="22"/>
          <w:lang w:val="en-US"/>
        </w:rPr>
      </w:pPr>
      <w:r w:rsidRPr="00841766">
        <w:rPr>
          <w:rFonts w:ascii="Calibri" w:hAnsi="Calibri" w:cs="Calibri"/>
          <w:color w:val="000000"/>
          <w:sz w:val="22"/>
          <w:szCs w:val="22"/>
          <w:lang w:val="en-US"/>
        </w:rPr>
        <w:t>With the World Health Organization (WHO) a Basic Agreement with the Government for the establishment of technical advisory cooperation relations signed in May 2002.</w:t>
      </w:r>
    </w:p>
    <w:p w14:paraId="674DC871" w14:textId="77777777" w:rsidR="00B567AC" w:rsidRPr="00841766" w:rsidRDefault="00B567AC" w:rsidP="00AA78BD">
      <w:pPr>
        <w:pStyle w:val="ListParagraph"/>
        <w:numPr>
          <w:ilvl w:val="0"/>
          <w:numId w:val="28"/>
        </w:numPr>
        <w:autoSpaceDE w:val="0"/>
        <w:autoSpaceDN w:val="0"/>
        <w:adjustRightInd w:val="0"/>
        <w:spacing w:after="120"/>
        <w:jc w:val="both"/>
        <w:rPr>
          <w:rFonts w:ascii="Calibri" w:hAnsi="Calibri" w:cs="Calibri"/>
          <w:color w:val="000000"/>
          <w:sz w:val="22"/>
          <w:szCs w:val="22"/>
          <w:lang w:val="en-US"/>
        </w:rPr>
      </w:pPr>
      <w:r w:rsidRPr="00841766">
        <w:rPr>
          <w:rFonts w:ascii="Calibri" w:hAnsi="Calibri" w:cs="Calibri"/>
          <w:color w:val="000000"/>
          <w:sz w:val="22"/>
          <w:szCs w:val="22"/>
          <w:lang w:val="en-US"/>
        </w:rPr>
        <w:t xml:space="preserve">With Agency </w:t>
      </w:r>
      <w:r w:rsidRPr="00841766">
        <w:rPr>
          <w:rFonts w:ascii="Calibri" w:hAnsi="Calibri" w:cs="Calibri"/>
          <w:color w:val="FF0000"/>
          <w:sz w:val="22"/>
          <w:szCs w:val="22"/>
          <w:highlight w:val="yellow"/>
          <w:lang w:val="en-US"/>
        </w:rPr>
        <w:t>_____________________</w:t>
      </w:r>
      <w:r w:rsidRPr="00841766">
        <w:rPr>
          <w:rFonts w:ascii="Calibri" w:hAnsi="Calibri" w:cs="Calibri"/>
          <w:color w:val="000000"/>
          <w:sz w:val="22"/>
          <w:szCs w:val="22"/>
          <w:highlight w:val="yellow"/>
          <w:lang w:val="en-US"/>
        </w:rPr>
        <w:t>(text to be provided by their respective headquarter legal departments).</w:t>
      </w:r>
    </w:p>
    <w:p w14:paraId="5637F96E" w14:textId="77777777" w:rsidR="0059474B" w:rsidRPr="00841766" w:rsidRDefault="0006085C" w:rsidP="000135BE">
      <w:pPr>
        <w:autoSpaceDE w:val="0"/>
        <w:autoSpaceDN w:val="0"/>
        <w:adjustRightInd w:val="0"/>
        <w:spacing w:after="240"/>
        <w:jc w:val="both"/>
        <w:rPr>
          <w:rFonts w:ascii="Calibri" w:hAnsi="Calibri" w:cs="Calibri"/>
          <w:color w:val="000000"/>
          <w:sz w:val="22"/>
          <w:szCs w:val="22"/>
          <w:lang w:val="en-US"/>
        </w:rPr>
      </w:pPr>
      <w:r w:rsidRPr="00841766">
        <w:rPr>
          <w:rFonts w:ascii="Calibri" w:hAnsi="Calibri" w:cs="Calibri"/>
          <w:color w:val="000000"/>
          <w:sz w:val="22"/>
          <w:szCs w:val="22"/>
          <w:lang w:val="en-US"/>
        </w:rPr>
        <w:t>For all agencies: Assistance to the Government shall be made avail</w:t>
      </w:r>
      <w:r w:rsidR="0059402E" w:rsidRPr="00841766">
        <w:rPr>
          <w:rFonts w:ascii="Calibri" w:hAnsi="Calibri" w:cs="Calibri"/>
          <w:color w:val="000000"/>
          <w:sz w:val="22"/>
          <w:szCs w:val="22"/>
          <w:lang w:val="en-US"/>
        </w:rPr>
        <w:t xml:space="preserve">able and shall be furnished and </w:t>
      </w:r>
      <w:r w:rsidRPr="00841766">
        <w:rPr>
          <w:rFonts w:ascii="Calibri" w:hAnsi="Calibri" w:cs="Calibri"/>
          <w:color w:val="000000"/>
          <w:sz w:val="22"/>
          <w:szCs w:val="22"/>
          <w:lang w:val="en-US"/>
        </w:rPr>
        <w:t>received in accordance with the relevant and applicable resolutions an</w:t>
      </w:r>
      <w:r w:rsidR="0059402E" w:rsidRPr="00841766">
        <w:rPr>
          <w:rFonts w:ascii="Calibri" w:hAnsi="Calibri" w:cs="Calibri"/>
          <w:color w:val="000000"/>
          <w:sz w:val="22"/>
          <w:szCs w:val="22"/>
          <w:lang w:val="en-US"/>
        </w:rPr>
        <w:t xml:space="preserve">d decisions of the competent UN </w:t>
      </w:r>
      <w:r w:rsidRPr="00841766">
        <w:rPr>
          <w:rFonts w:ascii="Calibri" w:hAnsi="Calibri" w:cs="Calibri"/>
          <w:color w:val="000000"/>
          <w:sz w:val="22"/>
          <w:szCs w:val="22"/>
          <w:lang w:val="en-US"/>
        </w:rPr>
        <w:t>system agency’s governing structures [Add in references to other UN system agencies as appropriate].</w:t>
      </w:r>
      <w:r w:rsidR="0059474B" w:rsidRPr="00841766">
        <w:rPr>
          <w:rFonts w:ascii="Calibri" w:hAnsi="Calibri" w:cs="Calibri"/>
          <w:color w:val="000000"/>
          <w:sz w:val="22"/>
          <w:szCs w:val="22"/>
          <w:lang w:val="en-US"/>
        </w:rPr>
        <w:t xml:space="preserve"> </w:t>
      </w:r>
    </w:p>
    <w:p w14:paraId="21BF8379" w14:textId="3C68E51A" w:rsidR="0006085C" w:rsidRPr="00841766" w:rsidRDefault="0006085C" w:rsidP="00EB47DA">
      <w:pPr>
        <w:autoSpaceDE w:val="0"/>
        <w:autoSpaceDN w:val="0"/>
        <w:adjustRightInd w:val="0"/>
        <w:spacing w:after="240"/>
        <w:jc w:val="both"/>
        <w:rPr>
          <w:rFonts w:ascii="Calibri" w:hAnsi="Calibri" w:cs="Calibri"/>
          <w:color w:val="000000"/>
          <w:sz w:val="22"/>
          <w:szCs w:val="22"/>
          <w:lang w:val="en-US"/>
        </w:rPr>
      </w:pPr>
      <w:r w:rsidRPr="00841766">
        <w:rPr>
          <w:rFonts w:ascii="Calibri" w:hAnsi="Calibri" w:cs="Calibri"/>
          <w:color w:val="000000"/>
          <w:sz w:val="22"/>
          <w:szCs w:val="22"/>
          <w:lang w:val="en-US"/>
        </w:rPr>
        <w:t>The COOPERATION FRAMEWORK will, in respect of each of the United N</w:t>
      </w:r>
      <w:r w:rsidR="0059474B" w:rsidRPr="00841766">
        <w:rPr>
          <w:rFonts w:ascii="Calibri" w:hAnsi="Calibri" w:cs="Calibri"/>
          <w:color w:val="000000"/>
          <w:sz w:val="22"/>
          <w:szCs w:val="22"/>
          <w:lang w:val="en-US"/>
        </w:rPr>
        <w:t xml:space="preserve">ations system agencies signing, </w:t>
      </w:r>
      <w:r w:rsidRPr="00841766">
        <w:rPr>
          <w:rFonts w:ascii="Calibri" w:hAnsi="Calibri" w:cs="Calibri"/>
          <w:color w:val="000000"/>
          <w:sz w:val="22"/>
          <w:szCs w:val="22"/>
          <w:lang w:val="en-US"/>
        </w:rPr>
        <w:t>be read, interpreted, and implemented in accordance with and in a manner, that is consistent with the</w:t>
      </w:r>
      <w:r w:rsidR="0059474B" w:rsidRPr="00841766">
        <w:rPr>
          <w:rFonts w:ascii="Calibri" w:hAnsi="Calibri" w:cs="Calibri"/>
          <w:color w:val="000000"/>
          <w:sz w:val="22"/>
          <w:szCs w:val="22"/>
          <w:lang w:val="en-US"/>
        </w:rPr>
        <w:t xml:space="preserve"> </w:t>
      </w:r>
      <w:r w:rsidRPr="00841766">
        <w:rPr>
          <w:rFonts w:ascii="Calibri" w:hAnsi="Calibri" w:cs="Calibri"/>
          <w:color w:val="000000"/>
          <w:sz w:val="22"/>
          <w:szCs w:val="22"/>
          <w:lang w:val="en-US"/>
        </w:rPr>
        <w:t>basic agreement between such United Nations system agency and the Host Government.</w:t>
      </w:r>
    </w:p>
    <w:p w14:paraId="2A654017" w14:textId="479D4106" w:rsidR="0006085C" w:rsidRPr="000135BE" w:rsidRDefault="0006085C" w:rsidP="003B5E3F">
      <w:pPr>
        <w:autoSpaceDE w:val="0"/>
        <w:autoSpaceDN w:val="0"/>
        <w:adjustRightInd w:val="0"/>
        <w:spacing w:after="240"/>
        <w:jc w:val="both"/>
        <w:rPr>
          <w:rFonts w:ascii="Calibri" w:hAnsi="Calibri" w:cs="Calibri"/>
          <w:color w:val="000000"/>
          <w:sz w:val="22"/>
          <w:szCs w:val="22"/>
          <w:lang w:val="en-US"/>
        </w:rPr>
      </w:pPr>
      <w:bookmarkStart w:id="183" w:name="_Toc29540822"/>
      <w:bookmarkStart w:id="184" w:name="_Toc29550757"/>
      <w:bookmarkStart w:id="185" w:name="_Toc29900387"/>
      <w:bookmarkStart w:id="186" w:name="_Toc30407970"/>
      <w:bookmarkStart w:id="187" w:name="_Toc31376376"/>
      <w:r w:rsidRPr="000135BE">
        <w:rPr>
          <w:rFonts w:ascii="Calibri" w:hAnsi="Calibri" w:cs="Calibri"/>
          <w:color w:val="000000"/>
          <w:sz w:val="22"/>
          <w:szCs w:val="22"/>
          <w:lang w:val="en-US"/>
        </w:rPr>
        <w:t xml:space="preserve">The Government will </w:t>
      </w:r>
      <w:proofErr w:type="spellStart"/>
      <w:r w:rsidRPr="000135BE">
        <w:rPr>
          <w:rFonts w:ascii="Calibri" w:hAnsi="Calibri" w:cs="Calibri"/>
          <w:color w:val="000000"/>
          <w:sz w:val="22"/>
          <w:szCs w:val="22"/>
          <w:lang w:val="en-US"/>
        </w:rPr>
        <w:t>honour</w:t>
      </w:r>
      <w:proofErr w:type="spellEnd"/>
      <w:r w:rsidRPr="000135BE">
        <w:rPr>
          <w:rFonts w:ascii="Calibri" w:hAnsi="Calibri" w:cs="Calibri"/>
          <w:color w:val="000000"/>
          <w:sz w:val="22"/>
          <w:szCs w:val="22"/>
          <w:lang w:val="en-US"/>
        </w:rPr>
        <w:t xml:space="preserve"> its commitments in accordance with the provisions of the cooperation and</w:t>
      </w:r>
      <w:bookmarkEnd w:id="183"/>
      <w:bookmarkEnd w:id="184"/>
      <w:bookmarkEnd w:id="185"/>
      <w:bookmarkEnd w:id="186"/>
      <w:bookmarkEnd w:id="187"/>
      <w:r w:rsidR="00A3138B">
        <w:rPr>
          <w:rFonts w:ascii="Calibri" w:hAnsi="Calibri" w:cs="Calibri"/>
          <w:color w:val="000000"/>
          <w:sz w:val="22"/>
          <w:szCs w:val="22"/>
          <w:lang w:val="en-US"/>
        </w:rPr>
        <w:t xml:space="preserve"> </w:t>
      </w:r>
      <w:r w:rsidRPr="000135BE">
        <w:rPr>
          <w:rFonts w:ascii="Calibri" w:hAnsi="Calibri" w:cs="Calibri"/>
          <w:color w:val="000000"/>
          <w:sz w:val="22"/>
          <w:szCs w:val="22"/>
          <w:lang w:val="en-US"/>
        </w:rPr>
        <w:t>assistance agreements outlined in paragraph on the Basis of the Relationship.</w:t>
      </w:r>
    </w:p>
    <w:p w14:paraId="1C5D0143" w14:textId="059F6DA5" w:rsidR="0006085C" w:rsidRPr="00841766" w:rsidRDefault="0006085C" w:rsidP="000135BE">
      <w:pPr>
        <w:autoSpaceDE w:val="0"/>
        <w:autoSpaceDN w:val="0"/>
        <w:adjustRightInd w:val="0"/>
        <w:spacing w:after="240"/>
        <w:jc w:val="both"/>
        <w:rPr>
          <w:rFonts w:ascii="Calibri" w:hAnsi="Calibri" w:cs="Calibri"/>
          <w:color w:val="000000"/>
          <w:sz w:val="22"/>
          <w:szCs w:val="22"/>
          <w:lang w:val="en-US"/>
        </w:rPr>
      </w:pPr>
      <w:r w:rsidRPr="00841766">
        <w:rPr>
          <w:rFonts w:ascii="Calibri" w:hAnsi="Calibri" w:cs="Calibri"/>
          <w:color w:val="000000"/>
          <w:sz w:val="22"/>
          <w:szCs w:val="22"/>
          <w:lang w:val="en-US"/>
        </w:rPr>
        <w:t>Without prejudice to these agreements, the Government shall apply t</w:t>
      </w:r>
      <w:r w:rsidR="0059474B" w:rsidRPr="00841766">
        <w:rPr>
          <w:rFonts w:ascii="Calibri" w:hAnsi="Calibri" w:cs="Calibri"/>
          <w:color w:val="000000"/>
          <w:sz w:val="22"/>
          <w:szCs w:val="22"/>
          <w:lang w:val="en-US"/>
        </w:rPr>
        <w:t xml:space="preserve">he respective provisions of the </w:t>
      </w:r>
      <w:r w:rsidRPr="00841766">
        <w:rPr>
          <w:rFonts w:ascii="Calibri" w:hAnsi="Calibri" w:cs="Calibri"/>
          <w:color w:val="000000"/>
          <w:sz w:val="22"/>
          <w:szCs w:val="22"/>
          <w:lang w:val="en-US"/>
        </w:rPr>
        <w:t>Convention on the Privileges and Immunities of the United Nations (t</w:t>
      </w:r>
      <w:r w:rsidR="0059474B" w:rsidRPr="00841766">
        <w:rPr>
          <w:rFonts w:ascii="Calibri" w:hAnsi="Calibri" w:cs="Calibri"/>
          <w:color w:val="000000"/>
          <w:sz w:val="22"/>
          <w:szCs w:val="22"/>
          <w:lang w:val="en-US"/>
        </w:rPr>
        <w:t xml:space="preserve">he “General Convention”) or the </w:t>
      </w:r>
      <w:r w:rsidRPr="00841766">
        <w:rPr>
          <w:rFonts w:ascii="Calibri" w:hAnsi="Calibri" w:cs="Calibri"/>
          <w:color w:val="000000"/>
          <w:sz w:val="22"/>
          <w:szCs w:val="22"/>
          <w:lang w:val="en-US"/>
        </w:rPr>
        <w:t>Convention on the Privileges and Immunities of the Specialized Agen</w:t>
      </w:r>
      <w:r w:rsidR="0059474B" w:rsidRPr="00841766">
        <w:rPr>
          <w:rFonts w:ascii="Calibri" w:hAnsi="Calibri" w:cs="Calibri"/>
          <w:color w:val="000000"/>
          <w:sz w:val="22"/>
          <w:szCs w:val="22"/>
          <w:lang w:val="en-US"/>
        </w:rPr>
        <w:t xml:space="preserve">cies (the “Specialized Agencies </w:t>
      </w:r>
      <w:r w:rsidRPr="00841766">
        <w:rPr>
          <w:rFonts w:ascii="Calibri" w:hAnsi="Calibri" w:cs="Calibri"/>
          <w:color w:val="000000"/>
          <w:sz w:val="22"/>
          <w:szCs w:val="22"/>
          <w:lang w:val="en-US"/>
        </w:rPr>
        <w:t>Convention”) to the Agencies’ property, funds, and assets and to their officials and experts on mission.</w:t>
      </w:r>
    </w:p>
    <w:p w14:paraId="6DB75E59" w14:textId="226FF634" w:rsidR="0006085C" w:rsidRPr="00841766" w:rsidRDefault="0006085C" w:rsidP="00EB47DA">
      <w:pPr>
        <w:autoSpaceDE w:val="0"/>
        <w:autoSpaceDN w:val="0"/>
        <w:adjustRightInd w:val="0"/>
        <w:spacing w:after="240"/>
        <w:jc w:val="both"/>
        <w:rPr>
          <w:rFonts w:ascii="Calibri" w:hAnsi="Calibri" w:cs="Calibri"/>
          <w:color w:val="000000"/>
          <w:sz w:val="22"/>
          <w:szCs w:val="22"/>
          <w:lang w:val="en-US"/>
        </w:rPr>
      </w:pPr>
      <w:r w:rsidRPr="00841766">
        <w:rPr>
          <w:rFonts w:ascii="Calibri" w:hAnsi="Calibri" w:cs="Calibri"/>
          <w:color w:val="000000"/>
          <w:sz w:val="22"/>
          <w:szCs w:val="22"/>
          <w:lang w:val="en-US"/>
        </w:rPr>
        <w:t>The Government shall also accord to the Agencies and their officials and to o</w:t>
      </w:r>
      <w:r w:rsidR="0059474B" w:rsidRPr="00841766">
        <w:rPr>
          <w:rFonts w:ascii="Calibri" w:hAnsi="Calibri" w:cs="Calibri"/>
          <w:color w:val="000000"/>
          <w:sz w:val="22"/>
          <w:szCs w:val="22"/>
          <w:lang w:val="en-US"/>
        </w:rPr>
        <w:t xml:space="preserve">ther persons performing </w:t>
      </w:r>
      <w:r w:rsidRPr="00841766">
        <w:rPr>
          <w:rFonts w:ascii="Calibri" w:hAnsi="Calibri" w:cs="Calibri"/>
          <w:color w:val="000000"/>
          <w:sz w:val="22"/>
          <w:szCs w:val="22"/>
          <w:lang w:val="en-US"/>
        </w:rPr>
        <w:t>services on behalf of the Agencies, the privileges, immunities and facilitie</w:t>
      </w:r>
      <w:r w:rsidR="0059474B" w:rsidRPr="00841766">
        <w:rPr>
          <w:rFonts w:ascii="Calibri" w:hAnsi="Calibri" w:cs="Calibri"/>
          <w:color w:val="000000"/>
          <w:sz w:val="22"/>
          <w:szCs w:val="22"/>
          <w:lang w:val="en-US"/>
        </w:rPr>
        <w:t xml:space="preserve">s as set out in the cooperation </w:t>
      </w:r>
      <w:r w:rsidRPr="00841766">
        <w:rPr>
          <w:rFonts w:ascii="Calibri" w:hAnsi="Calibri" w:cs="Calibri"/>
          <w:color w:val="000000"/>
          <w:sz w:val="22"/>
          <w:szCs w:val="22"/>
          <w:lang w:val="en-US"/>
        </w:rPr>
        <w:t xml:space="preserve">and assistance agreements between the Agencies and the Government. In </w:t>
      </w:r>
      <w:r w:rsidR="0059474B" w:rsidRPr="00841766">
        <w:rPr>
          <w:rFonts w:ascii="Calibri" w:hAnsi="Calibri" w:cs="Calibri"/>
          <w:color w:val="000000"/>
          <w:sz w:val="22"/>
          <w:szCs w:val="22"/>
          <w:lang w:val="en-US"/>
        </w:rPr>
        <w:t xml:space="preserve">addition, it is understood that </w:t>
      </w:r>
      <w:r w:rsidRPr="00841766">
        <w:rPr>
          <w:rFonts w:ascii="Calibri" w:hAnsi="Calibri" w:cs="Calibri"/>
          <w:color w:val="000000"/>
          <w:sz w:val="22"/>
          <w:szCs w:val="22"/>
          <w:lang w:val="en-US"/>
        </w:rPr>
        <w:t>all United Nations Volunteers shall be assimilated to officials of the Agenc</w:t>
      </w:r>
      <w:r w:rsidR="0059474B" w:rsidRPr="00841766">
        <w:rPr>
          <w:rFonts w:ascii="Calibri" w:hAnsi="Calibri" w:cs="Calibri"/>
          <w:color w:val="000000"/>
          <w:sz w:val="22"/>
          <w:szCs w:val="22"/>
          <w:lang w:val="en-US"/>
        </w:rPr>
        <w:t xml:space="preserve">ies, entitled to the privileges </w:t>
      </w:r>
      <w:r w:rsidRPr="00841766">
        <w:rPr>
          <w:rFonts w:ascii="Calibri" w:hAnsi="Calibri" w:cs="Calibri"/>
          <w:color w:val="000000"/>
          <w:sz w:val="22"/>
          <w:szCs w:val="22"/>
          <w:lang w:val="en-US"/>
        </w:rPr>
        <w:t>and immunities accorded to such officials under the General Convent</w:t>
      </w:r>
      <w:r w:rsidR="0059474B" w:rsidRPr="00841766">
        <w:rPr>
          <w:rFonts w:ascii="Calibri" w:hAnsi="Calibri" w:cs="Calibri"/>
          <w:color w:val="000000"/>
          <w:sz w:val="22"/>
          <w:szCs w:val="22"/>
          <w:lang w:val="en-US"/>
        </w:rPr>
        <w:t xml:space="preserve">ion or the Specialized Agencies </w:t>
      </w:r>
      <w:r w:rsidRPr="00841766">
        <w:rPr>
          <w:rFonts w:ascii="Calibri" w:hAnsi="Calibri" w:cs="Calibri"/>
          <w:color w:val="000000"/>
          <w:sz w:val="22"/>
          <w:szCs w:val="22"/>
          <w:lang w:val="en-US"/>
        </w:rPr>
        <w:t>Convention. The Government will be responsible for dealing with any cla</w:t>
      </w:r>
      <w:r w:rsidR="0059474B" w:rsidRPr="00841766">
        <w:rPr>
          <w:rFonts w:ascii="Calibri" w:hAnsi="Calibri" w:cs="Calibri"/>
          <w:color w:val="000000"/>
          <w:sz w:val="22"/>
          <w:szCs w:val="22"/>
          <w:lang w:val="en-US"/>
        </w:rPr>
        <w:t xml:space="preserve">ims, which may be brought by </w:t>
      </w:r>
      <w:r w:rsidRPr="00841766">
        <w:rPr>
          <w:rFonts w:ascii="Calibri" w:hAnsi="Calibri" w:cs="Calibri"/>
          <w:color w:val="000000"/>
          <w:sz w:val="22"/>
          <w:szCs w:val="22"/>
          <w:lang w:val="en-US"/>
        </w:rPr>
        <w:t>third parties against any of the Agencies and their officials, expe</w:t>
      </w:r>
      <w:r w:rsidR="0059474B" w:rsidRPr="00841766">
        <w:rPr>
          <w:rFonts w:ascii="Calibri" w:hAnsi="Calibri" w:cs="Calibri"/>
          <w:color w:val="000000"/>
          <w:sz w:val="22"/>
          <w:szCs w:val="22"/>
          <w:lang w:val="en-US"/>
        </w:rPr>
        <w:t xml:space="preserve">rts on mission or other persons </w:t>
      </w:r>
      <w:r w:rsidRPr="00841766">
        <w:rPr>
          <w:rFonts w:ascii="Calibri" w:hAnsi="Calibri" w:cs="Calibri"/>
          <w:color w:val="000000"/>
          <w:sz w:val="22"/>
          <w:szCs w:val="22"/>
          <w:lang w:val="en-US"/>
        </w:rPr>
        <w:t>performing services on their behalf and shall hold them harmless in respec</w:t>
      </w:r>
      <w:r w:rsidR="0059474B" w:rsidRPr="00841766">
        <w:rPr>
          <w:rFonts w:ascii="Calibri" w:hAnsi="Calibri" w:cs="Calibri"/>
          <w:color w:val="000000"/>
          <w:sz w:val="22"/>
          <w:szCs w:val="22"/>
          <w:lang w:val="en-US"/>
        </w:rPr>
        <w:t xml:space="preserve">t of any claims and liabilities </w:t>
      </w:r>
      <w:r w:rsidRPr="00841766">
        <w:rPr>
          <w:rFonts w:ascii="Calibri" w:hAnsi="Calibri" w:cs="Calibri"/>
          <w:color w:val="000000"/>
          <w:sz w:val="22"/>
          <w:szCs w:val="22"/>
          <w:lang w:val="en-US"/>
        </w:rPr>
        <w:t>resulting from operations under the cooperation and assistance agr</w:t>
      </w:r>
      <w:r w:rsidR="0059474B" w:rsidRPr="00841766">
        <w:rPr>
          <w:rFonts w:ascii="Calibri" w:hAnsi="Calibri" w:cs="Calibri"/>
          <w:color w:val="000000"/>
          <w:sz w:val="22"/>
          <w:szCs w:val="22"/>
          <w:lang w:val="en-US"/>
        </w:rPr>
        <w:t xml:space="preserve">eements, except where it is any </w:t>
      </w:r>
      <w:r w:rsidRPr="00841766">
        <w:rPr>
          <w:rFonts w:ascii="Calibri" w:hAnsi="Calibri" w:cs="Calibri"/>
          <w:color w:val="000000"/>
          <w:sz w:val="22"/>
          <w:szCs w:val="22"/>
          <w:lang w:val="en-US"/>
        </w:rPr>
        <w:t>claims and liabilities resulting from operations under the cooperation an</w:t>
      </w:r>
      <w:r w:rsidR="0059474B" w:rsidRPr="00841766">
        <w:rPr>
          <w:rFonts w:ascii="Calibri" w:hAnsi="Calibri" w:cs="Calibri"/>
          <w:color w:val="000000"/>
          <w:sz w:val="22"/>
          <w:szCs w:val="22"/>
          <w:lang w:val="en-US"/>
        </w:rPr>
        <w:t xml:space="preserve">d assistance agreements, except </w:t>
      </w:r>
      <w:r w:rsidRPr="00841766">
        <w:rPr>
          <w:rFonts w:ascii="Calibri" w:hAnsi="Calibri" w:cs="Calibri"/>
          <w:color w:val="000000"/>
          <w:sz w:val="22"/>
          <w:szCs w:val="22"/>
          <w:lang w:val="en-US"/>
        </w:rPr>
        <w:t>where it is mutually agreed by Government and a particular Agency that such</w:t>
      </w:r>
      <w:r w:rsidR="0059474B" w:rsidRPr="00841766">
        <w:rPr>
          <w:rFonts w:ascii="Calibri" w:hAnsi="Calibri" w:cs="Calibri"/>
          <w:color w:val="000000"/>
          <w:sz w:val="22"/>
          <w:szCs w:val="22"/>
          <w:lang w:val="en-US"/>
        </w:rPr>
        <w:t xml:space="preserve"> claims and liabilities arise </w:t>
      </w:r>
      <w:r w:rsidRPr="00841766">
        <w:rPr>
          <w:rFonts w:ascii="Calibri" w:hAnsi="Calibri" w:cs="Calibri"/>
          <w:color w:val="000000"/>
          <w:sz w:val="22"/>
          <w:szCs w:val="22"/>
          <w:lang w:val="en-US"/>
        </w:rPr>
        <w:t>from gross negligence or misconduct of that Agency, or its officials,</w:t>
      </w:r>
      <w:r w:rsidR="0059474B" w:rsidRPr="00841766">
        <w:rPr>
          <w:rFonts w:ascii="Calibri" w:hAnsi="Calibri" w:cs="Calibri"/>
          <w:color w:val="000000"/>
          <w:sz w:val="22"/>
          <w:szCs w:val="22"/>
          <w:lang w:val="en-US"/>
        </w:rPr>
        <w:t xml:space="preserve"> advisors or persons performing </w:t>
      </w:r>
      <w:r w:rsidRPr="00841766">
        <w:rPr>
          <w:rFonts w:ascii="Calibri" w:hAnsi="Calibri" w:cs="Calibri"/>
          <w:color w:val="000000"/>
          <w:sz w:val="22"/>
          <w:szCs w:val="22"/>
          <w:lang w:val="en-US"/>
        </w:rPr>
        <w:t>services.</w:t>
      </w:r>
    </w:p>
    <w:p w14:paraId="2343E1F9" w14:textId="276AC1E3" w:rsidR="0006085C" w:rsidRPr="00841766" w:rsidRDefault="0006085C" w:rsidP="00EB47DA">
      <w:pPr>
        <w:autoSpaceDE w:val="0"/>
        <w:autoSpaceDN w:val="0"/>
        <w:adjustRightInd w:val="0"/>
        <w:spacing w:after="240"/>
        <w:jc w:val="both"/>
        <w:rPr>
          <w:rFonts w:ascii="Calibri" w:hAnsi="Calibri" w:cs="Calibri"/>
          <w:color w:val="000000"/>
          <w:sz w:val="22"/>
          <w:szCs w:val="22"/>
          <w:lang w:val="en-US"/>
        </w:rPr>
      </w:pPr>
      <w:r w:rsidRPr="00841766">
        <w:rPr>
          <w:rFonts w:ascii="Calibri" w:hAnsi="Calibri" w:cs="Calibri"/>
          <w:color w:val="000000"/>
          <w:sz w:val="22"/>
          <w:szCs w:val="22"/>
          <w:lang w:val="en-US"/>
        </w:rPr>
        <w:t>Without prejudice to the generality of the foregoing, the Governmen</w:t>
      </w:r>
      <w:r w:rsidR="0059474B" w:rsidRPr="00841766">
        <w:rPr>
          <w:rFonts w:ascii="Calibri" w:hAnsi="Calibri" w:cs="Calibri"/>
          <w:color w:val="000000"/>
          <w:sz w:val="22"/>
          <w:szCs w:val="22"/>
          <w:lang w:val="en-US"/>
        </w:rPr>
        <w:t xml:space="preserve">t shall insure or indemnify the </w:t>
      </w:r>
      <w:r w:rsidRPr="00841766">
        <w:rPr>
          <w:rFonts w:ascii="Calibri" w:hAnsi="Calibri" w:cs="Calibri"/>
          <w:color w:val="000000"/>
          <w:sz w:val="22"/>
          <w:szCs w:val="22"/>
          <w:lang w:val="en-US"/>
        </w:rPr>
        <w:t>Agencies from civil liability under the law of the country in respect of ve</w:t>
      </w:r>
      <w:r w:rsidR="0059474B" w:rsidRPr="00841766">
        <w:rPr>
          <w:rFonts w:ascii="Calibri" w:hAnsi="Calibri" w:cs="Calibri"/>
          <w:color w:val="000000"/>
          <w:sz w:val="22"/>
          <w:szCs w:val="22"/>
          <w:lang w:val="en-US"/>
        </w:rPr>
        <w:t xml:space="preserve">hicles provided by the Agencies </w:t>
      </w:r>
      <w:r w:rsidRPr="00841766">
        <w:rPr>
          <w:rFonts w:ascii="Calibri" w:hAnsi="Calibri" w:cs="Calibri"/>
          <w:color w:val="000000"/>
          <w:sz w:val="22"/>
          <w:szCs w:val="22"/>
          <w:lang w:val="en-US"/>
        </w:rPr>
        <w:t>but under the control of or use by the Government.</w:t>
      </w:r>
    </w:p>
    <w:p w14:paraId="01F42C5A" w14:textId="77777777" w:rsidR="00E515C6" w:rsidRPr="00841766" w:rsidRDefault="0006085C" w:rsidP="00AA78BD">
      <w:pPr>
        <w:pStyle w:val="ListParagraph"/>
        <w:numPr>
          <w:ilvl w:val="0"/>
          <w:numId w:val="22"/>
        </w:numPr>
        <w:autoSpaceDE w:val="0"/>
        <w:autoSpaceDN w:val="0"/>
        <w:adjustRightInd w:val="0"/>
        <w:ind w:left="0"/>
        <w:jc w:val="both"/>
        <w:rPr>
          <w:rFonts w:ascii="Calibri" w:hAnsi="Calibri" w:cs="Calibri"/>
          <w:color w:val="000000"/>
          <w:sz w:val="22"/>
          <w:szCs w:val="22"/>
          <w:lang w:val="en-US"/>
        </w:rPr>
      </w:pPr>
      <w:r w:rsidRPr="00841766">
        <w:rPr>
          <w:rFonts w:ascii="Calibri" w:hAnsi="Calibri" w:cs="Calibri"/>
          <w:color w:val="000000"/>
          <w:sz w:val="22"/>
          <w:szCs w:val="22"/>
          <w:lang w:val="en-US"/>
        </w:rPr>
        <w:t>“Nothing in this Agreement shall imply a waiver by the UN or any of i</w:t>
      </w:r>
      <w:r w:rsidR="0059474B" w:rsidRPr="00841766">
        <w:rPr>
          <w:rFonts w:ascii="Calibri" w:hAnsi="Calibri" w:cs="Calibri"/>
          <w:color w:val="000000"/>
          <w:sz w:val="22"/>
          <w:szCs w:val="22"/>
          <w:lang w:val="en-US"/>
        </w:rPr>
        <w:t xml:space="preserve">ts Agencies or Organizations of </w:t>
      </w:r>
      <w:r w:rsidRPr="00841766">
        <w:rPr>
          <w:rFonts w:ascii="Calibri" w:hAnsi="Calibri" w:cs="Calibri"/>
          <w:color w:val="000000"/>
          <w:sz w:val="22"/>
          <w:szCs w:val="22"/>
          <w:lang w:val="en-US"/>
        </w:rPr>
        <w:t>any privileges or immunities enjoyed by them or their acceptance of th</w:t>
      </w:r>
      <w:r w:rsidR="00E515C6" w:rsidRPr="00841766">
        <w:rPr>
          <w:rFonts w:ascii="Calibri" w:hAnsi="Calibri" w:cs="Calibri"/>
          <w:color w:val="000000"/>
          <w:sz w:val="22"/>
          <w:szCs w:val="22"/>
          <w:lang w:val="en-US"/>
        </w:rPr>
        <w:t xml:space="preserve">e jurisdiction of the courts of </w:t>
      </w:r>
      <w:r w:rsidRPr="00841766">
        <w:rPr>
          <w:rFonts w:ascii="Calibri" w:hAnsi="Calibri" w:cs="Calibri"/>
          <w:color w:val="000000"/>
          <w:sz w:val="22"/>
          <w:szCs w:val="22"/>
          <w:lang w:val="en-US"/>
        </w:rPr>
        <w:t>any country over disputes arising of this Agreement”</w:t>
      </w:r>
      <w:r w:rsidR="00E515C6" w:rsidRPr="00841766">
        <w:rPr>
          <w:rFonts w:ascii="Calibri" w:hAnsi="Calibri" w:cs="Calibri"/>
          <w:color w:val="000000"/>
          <w:sz w:val="22"/>
          <w:szCs w:val="22"/>
          <w:lang w:val="en-US"/>
        </w:rPr>
        <w:t>.</w:t>
      </w:r>
    </w:p>
    <w:p w14:paraId="5ABF4B4E" w14:textId="17933410" w:rsidR="00037515" w:rsidRPr="00D55404" w:rsidRDefault="00E515C6" w:rsidP="006C70F3">
      <w:pPr>
        <w:pStyle w:val="ListParagraph"/>
        <w:numPr>
          <w:ilvl w:val="0"/>
          <w:numId w:val="22"/>
        </w:numPr>
        <w:autoSpaceDE w:val="0"/>
        <w:autoSpaceDN w:val="0"/>
        <w:adjustRightInd w:val="0"/>
        <w:ind w:left="0"/>
        <w:jc w:val="both"/>
        <w:rPr>
          <w:rFonts w:ascii="Calibri" w:hAnsi="Calibri" w:cs="Calibri"/>
          <w:color w:val="000000"/>
          <w:sz w:val="22"/>
          <w:szCs w:val="22"/>
          <w:lang w:val="en-US"/>
        </w:rPr>
      </w:pPr>
      <w:r w:rsidRPr="00D55404">
        <w:rPr>
          <w:rFonts w:ascii="Calibri" w:hAnsi="Calibri" w:cs="Calibri"/>
          <w:color w:val="000000"/>
          <w:sz w:val="22"/>
          <w:szCs w:val="22"/>
          <w:lang w:val="en-US"/>
        </w:rPr>
        <w:t>Nothing in or relating to this document will be deemed a waiver, expressed or implied, of the privileges and immunities of the United Nations and its subsidiary organs, including WFP, whether under the Convention on the Privileges and Immunities of the United Nations of 13th February 1946, the Convention on the Privileges and Immunities of the Specialized Agencies of 21st November 1947, as applicable, and no provisions of this document or any Institutional Contract or any Undertaking will be interpreted or applied in a manner, or to an extent, inconsistent with such privileges and immunities.</w:t>
      </w:r>
    </w:p>
    <w:sectPr w:rsidR="00037515" w:rsidRPr="00D55404" w:rsidSect="007A7ECF">
      <w:pgSz w:w="11906" w:h="16838"/>
      <w:pgMar w:top="720" w:right="1121" w:bottom="720" w:left="114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24F22" w14:textId="77777777" w:rsidR="00727998" w:rsidRDefault="00727998" w:rsidP="00500B49">
      <w:r>
        <w:separator/>
      </w:r>
    </w:p>
  </w:endnote>
  <w:endnote w:type="continuationSeparator" w:id="0">
    <w:p w14:paraId="3D0D2C40" w14:textId="77777777" w:rsidR="00727998" w:rsidRDefault="00727998" w:rsidP="0050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Light">
    <w:altName w:val="Times New Roman"/>
    <w:charset w:val="00"/>
    <w:family w:val="auto"/>
    <w:pitch w:val="variable"/>
    <w:sig w:usb0="A00002EF" w:usb1="4000207B" w:usb2="00000000" w:usb3="00000000" w:csb0="0000019F" w:csb1="00000000"/>
  </w:font>
  <w:font w:name="Calibri-LightItalic">
    <w:altName w:val="Times New Roman"/>
    <w:charset w:val="00"/>
    <w:family w:val="auto"/>
    <w:pitch w:val="variable"/>
    <w:sig w:usb0="A00002EF" w:usb1="4000207B" w:usb2="00000000" w:usb3="00000000" w:csb0="0000019F" w:csb1="00000000"/>
  </w:font>
  <w:font w:name="Myriad Pro Light">
    <w:altName w:val="Calibri"/>
    <w:panose1 w:val="00000000000000000000"/>
    <w:charset w:val="00"/>
    <w:family w:val="swiss"/>
    <w:notTrueType/>
    <w:pitch w:val="variable"/>
    <w:sig w:usb0="20000287" w:usb1="00000001"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Sofia Pro Regular">
    <w:altName w:val="Sofia Pro Regular"/>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Montserrat-Regul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981322"/>
      <w:docPartObj>
        <w:docPartGallery w:val="Page Numbers (Bottom of Page)"/>
        <w:docPartUnique/>
      </w:docPartObj>
    </w:sdtPr>
    <w:sdtEndPr>
      <w:rPr>
        <w:rStyle w:val="PageNumber"/>
      </w:rPr>
    </w:sdtEndPr>
    <w:sdtContent>
      <w:p w14:paraId="42DECC9D" w14:textId="0CC8591D" w:rsidR="006C70F3" w:rsidRDefault="006C70F3" w:rsidP="002A0E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70D8B" w14:textId="77777777" w:rsidR="006C70F3" w:rsidRDefault="006C7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9685893"/>
      <w:docPartObj>
        <w:docPartGallery w:val="Page Numbers (Bottom of Page)"/>
        <w:docPartUnique/>
      </w:docPartObj>
    </w:sdtPr>
    <w:sdtEndPr>
      <w:rPr>
        <w:rStyle w:val="PageNumber"/>
      </w:rPr>
    </w:sdtEndPr>
    <w:sdtContent>
      <w:p w14:paraId="0B787B78" w14:textId="53BC29CD" w:rsidR="006C70F3" w:rsidRDefault="006C70F3" w:rsidP="002A0E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4905E0" w14:textId="77777777" w:rsidR="006C70F3" w:rsidRDefault="006C7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6398526"/>
      <w:docPartObj>
        <w:docPartGallery w:val="Page Numbers (Bottom of Page)"/>
        <w:docPartUnique/>
      </w:docPartObj>
    </w:sdtPr>
    <w:sdtEndPr>
      <w:rPr>
        <w:rStyle w:val="PageNumber"/>
      </w:rPr>
    </w:sdtEndPr>
    <w:sdtContent>
      <w:p w14:paraId="5EF2E85E" w14:textId="77777777" w:rsidR="006C70F3" w:rsidRDefault="006C70F3" w:rsidP="002A0E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95463" w14:textId="77777777" w:rsidR="006C70F3" w:rsidRDefault="006C70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9829711"/>
      <w:docPartObj>
        <w:docPartGallery w:val="Page Numbers (Bottom of Page)"/>
        <w:docPartUnique/>
      </w:docPartObj>
    </w:sdtPr>
    <w:sdtEndPr>
      <w:rPr>
        <w:rStyle w:val="PageNumber"/>
      </w:rPr>
    </w:sdtEndPr>
    <w:sdtContent>
      <w:p w14:paraId="1A291015" w14:textId="77777777" w:rsidR="006C70F3" w:rsidRDefault="006C70F3" w:rsidP="002A0E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5AB864" w14:textId="77777777" w:rsidR="006C70F3" w:rsidRDefault="006C7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5D7E6" w14:textId="77777777" w:rsidR="00727998" w:rsidRDefault="00727998" w:rsidP="00500B49">
      <w:r>
        <w:separator/>
      </w:r>
    </w:p>
  </w:footnote>
  <w:footnote w:type="continuationSeparator" w:id="0">
    <w:p w14:paraId="4076D93B" w14:textId="77777777" w:rsidR="00727998" w:rsidRDefault="00727998" w:rsidP="00500B49">
      <w:r>
        <w:continuationSeparator/>
      </w:r>
    </w:p>
  </w:footnote>
  <w:footnote w:id="1">
    <w:p w14:paraId="21824DF9" w14:textId="5D4FDD8A" w:rsidR="006C70F3" w:rsidRDefault="006C70F3" w:rsidP="004F7195">
      <w:pPr>
        <w:pStyle w:val="FootnoteText"/>
        <w:jc w:val="both"/>
        <w:rPr>
          <w:rFonts w:cs="Arial"/>
          <w:color w:val="000000" w:themeColor="text1"/>
          <w:sz w:val="16"/>
          <w:szCs w:val="16"/>
          <w:shd w:val="clear" w:color="auto" w:fill="FFFFFF"/>
        </w:rPr>
      </w:pPr>
      <w:r w:rsidRPr="0059474B">
        <w:rPr>
          <w:rStyle w:val="FootnoteReference"/>
          <w:rFonts w:cs="Arial"/>
          <w:color w:val="000000" w:themeColor="text1"/>
          <w:sz w:val="16"/>
          <w:szCs w:val="16"/>
        </w:rPr>
        <w:footnoteRef/>
      </w:r>
      <w:r w:rsidRPr="0059474B">
        <w:rPr>
          <w:rFonts w:cs="Arial"/>
          <w:color w:val="000000" w:themeColor="text1"/>
          <w:sz w:val="16"/>
          <w:szCs w:val="16"/>
        </w:rPr>
        <w:t xml:space="preserve"> </w:t>
      </w:r>
      <w:r w:rsidRPr="0059474B">
        <w:rPr>
          <w:rFonts w:cs="Arial"/>
          <w:color w:val="000000" w:themeColor="text1"/>
          <w:sz w:val="16"/>
          <w:szCs w:val="16"/>
          <w:shd w:val="clear" w:color="auto" w:fill="FFFFFF"/>
        </w:rPr>
        <w:t>The Economist Intelligence Unit</w:t>
      </w:r>
      <w:r>
        <w:rPr>
          <w:rFonts w:cs="Arial"/>
          <w:color w:val="000000" w:themeColor="text1"/>
          <w:sz w:val="16"/>
          <w:szCs w:val="16"/>
          <w:shd w:val="clear" w:color="auto" w:fill="FFFFFF"/>
        </w:rPr>
        <w:t>,</w:t>
      </w:r>
      <w:r w:rsidRPr="0059474B" w:rsidDel="00DC7664">
        <w:rPr>
          <w:rFonts w:cs="Arial"/>
          <w:color w:val="000000" w:themeColor="text1"/>
          <w:sz w:val="16"/>
          <w:szCs w:val="16"/>
          <w:shd w:val="clear" w:color="auto" w:fill="FFFFFF"/>
        </w:rPr>
        <w:t xml:space="preserve"> </w:t>
      </w:r>
      <w:r>
        <w:rPr>
          <w:rFonts w:cs="Arial"/>
          <w:color w:val="000000" w:themeColor="text1"/>
          <w:sz w:val="16"/>
          <w:szCs w:val="16"/>
          <w:shd w:val="clear" w:color="auto" w:fill="FFFFFF"/>
        </w:rPr>
        <w:t>“</w:t>
      </w:r>
      <w:r w:rsidRPr="005F4A3B">
        <w:rPr>
          <w:rFonts w:cs="Arial"/>
          <w:color w:val="000000" w:themeColor="text1"/>
          <w:sz w:val="16"/>
          <w:szCs w:val="16"/>
        </w:rPr>
        <w:t>EIU Democracy Index 2018 - World Democracy Report</w:t>
      </w:r>
      <w:r>
        <w:rPr>
          <w:rFonts w:cs="Arial"/>
          <w:color w:val="000000" w:themeColor="text1"/>
          <w:sz w:val="16"/>
          <w:szCs w:val="16"/>
        </w:rPr>
        <w:t>.”</w:t>
      </w:r>
    </w:p>
    <w:p w14:paraId="0F796780" w14:textId="112A4563" w:rsidR="006C70F3" w:rsidRPr="005F4A3B" w:rsidRDefault="006C70F3" w:rsidP="004F7195">
      <w:pPr>
        <w:pStyle w:val="FootnoteText"/>
        <w:jc w:val="both"/>
        <w:rPr>
          <w:rFonts w:cs="Arial"/>
          <w:color w:val="000000" w:themeColor="text1"/>
          <w:sz w:val="16"/>
          <w:szCs w:val="16"/>
          <w:shd w:val="clear" w:color="auto" w:fill="FFFFFF"/>
        </w:rPr>
      </w:pPr>
      <w:r>
        <w:rPr>
          <w:rFonts w:cs="Arial"/>
          <w:color w:val="000000" w:themeColor="text1"/>
          <w:sz w:val="16"/>
          <w:szCs w:val="16"/>
          <w:shd w:val="clear" w:color="auto" w:fill="FFFFFF"/>
        </w:rPr>
        <w:t>available</w:t>
      </w:r>
      <w:r w:rsidRPr="0059474B">
        <w:rPr>
          <w:rFonts w:cs="Arial"/>
          <w:color w:val="000000" w:themeColor="text1"/>
          <w:sz w:val="16"/>
          <w:szCs w:val="16"/>
          <w:shd w:val="clear" w:color="auto" w:fill="FFFFFF"/>
        </w:rPr>
        <w:t xml:space="preserve"> </w:t>
      </w:r>
      <w:hyperlink r:id="rId1" w:history="1">
        <w:r w:rsidRPr="00C427ED">
          <w:rPr>
            <w:rStyle w:val="Hyperlink"/>
            <w:rFonts w:cs="Arial"/>
            <w:sz w:val="16"/>
            <w:szCs w:val="16"/>
            <w:shd w:val="clear" w:color="auto" w:fill="FFFFFF"/>
          </w:rPr>
          <w:t>https://www.eiu.com/topic/democracy-index</w:t>
        </w:r>
      </w:hyperlink>
      <w:r>
        <w:rPr>
          <w:rFonts w:cs="Arial"/>
          <w:color w:val="000000" w:themeColor="text1"/>
          <w:sz w:val="16"/>
          <w:szCs w:val="16"/>
          <w:shd w:val="clear" w:color="auto" w:fill="FFFFFF"/>
        </w:rPr>
        <w:t xml:space="preserve"> </w:t>
      </w:r>
    </w:p>
  </w:footnote>
  <w:footnote w:id="2">
    <w:p w14:paraId="5397ECD3" w14:textId="1DB4938D" w:rsidR="006C70F3" w:rsidRPr="0059474B" w:rsidRDefault="006C70F3" w:rsidP="004F719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w:t>
      </w:r>
      <w:r w:rsidRPr="00032741">
        <w:rPr>
          <w:rFonts w:cs="Arial"/>
          <w:sz w:val="16"/>
          <w:szCs w:val="16"/>
        </w:rPr>
        <w:t>Ministry of Finance (</w:t>
      </w:r>
      <w:r w:rsidRPr="00032741">
        <w:rPr>
          <w:rFonts w:cs="Arial"/>
          <w:sz w:val="16"/>
          <w:szCs w:val="16"/>
        </w:rPr>
        <w:t>MoF), General Directorate of Statistics (GDS) (2019b). Timor-Leste’s National Accounts 2000 – 2018</w:t>
      </w:r>
      <w:r>
        <w:rPr>
          <w:rFonts w:cs="Arial"/>
          <w:sz w:val="16"/>
          <w:szCs w:val="16"/>
        </w:rPr>
        <w:t>, 2019.</w:t>
      </w:r>
      <w:r w:rsidRPr="00032741">
        <w:rPr>
          <w:rFonts w:cs="Arial"/>
          <w:sz w:val="16"/>
          <w:szCs w:val="16"/>
        </w:rPr>
        <w:t xml:space="preserve"> </w:t>
      </w:r>
    </w:p>
  </w:footnote>
  <w:footnote w:id="3">
    <w:p w14:paraId="1D720132" w14:textId="7C5143F6" w:rsidR="006C70F3" w:rsidRDefault="006C70F3" w:rsidP="004F7195">
      <w:pPr>
        <w:jc w:val="both"/>
        <w:rPr>
          <w:rFonts w:ascii="Arial" w:eastAsia="Times New Roman" w:hAnsi="Arial" w:cs="Arial"/>
          <w:sz w:val="16"/>
          <w:lang w:val="en-US" w:eastAsia="fr-FR"/>
        </w:rPr>
      </w:pPr>
      <w:r w:rsidRPr="001F362D">
        <w:rPr>
          <w:rStyle w:val="FootnoteReference"/>
          <w:rFonts w:ascii="Arial" w:hAnsi="Arial" w:cs="Arial"/>
          <w:sz w:val="16"/>
        </w:rPr>
        <w:footnoteRef/>
      </w:r>
      <w:r w:rsidRPr="001F362D">
        <w:rPr>
          <w:rFonts w:ascii="Arial" w:hAnsi="Arial" w:cs="Arial"/>
          <w:sz w:val="16"/>
          <w:lang w:val="en-US"/>
        </w:rPr>
        <w:t xml:space="preserve"> </w:t>
      </w:r>
      <w:r w:rsidRPr="001F362D">
        <w:rPr>
          <w:rFonts w:ascii="Arial" w:eastAsia="Times New Roman" w:hAnsi="Arial" w:cs="Arial"/>
          <w:sz w:val="16"/>
          <w:lang w:val="en-US" w:eastAsia="fr-FR"/>
        </w:rPr>
        <w:t xml:space="preserve">The Petroleum Fund was established </w:t>
      </w:r>
      <w:r>
        <w:rPr>
          <w:rFonts w:ascii="Arial" w:eastAsia="Times New Roman" w:hAnsi="Arial" w:cs="Arial"/>
          <w:sz w:val="16"/>
          <w:lang w:val="en-US" w:eastAsia="fr-FR"/>
        </w:rPr>
        <w:t>in 2005 (Law No.9/2005</w:t>
      </w:r>
      <w:r w:rsidRPr="001F362D">
        <w:rPr>
          <w:rFonts w:ascii="Arial" w:eastAsia="Times New Roman" w:hAnsi="Arial" w:cs="Arial"/>
          <w:sz w:val="16"/>
          <w:lang w:val="en-US" w:eastAsia="fr-FR"/>
        </w:rPr>
        <w:t>t</w:t>
      </w:r>
      <w:r>
        <w:rPr>
          <w:rFonts w:ascii="Arial" w:eastAsia="Times New Roman" w:hAnsi="Arial" w:cs="Arial"/>
          <w:sz w:val="16"/>
          <w:lang w:val="en-US" w:eastAsia="fr-FR"/>
        </w:rPr>
        <w:t>) t</w:t>
      </w:r>
      <w:r w:rsidRPr="001F362D">
        <w:rPr>
          <w:rFonts w:ascii="Arial" w:eastAsia="Times New Roman" w:hAnsi="Arial" w:cs="Arial"/>
          <w:sz w:val="16"/>
          <w:lang w:val="en-US" w:eastAsia="fr-FR"/>
        </w:rPr>
        <w:t>o fulfil the constitutional requirement set by Article 139 of the Constitution of the Republic that mandates a fair and equitable use of the natural resources in accordance with national interests, and that the income derived from the exploitation of these resources should lead to the establishment of a mandatory financial reserve. All transfers from the Fund to the State Budget are guided by the Estimated Sustainable Income (ESI), set at 3% of total Petroleum Wealth.</w:t>
      </w:r>
      <w:r>
        <w:rPr>
          <w:rFonts w:ascii="Arial" w:eastAsia="Times New Roman" w:hAnsi="Arial" w:cs="Arial"/>
          <w:sz w:val="16"/>
          <w:lang w:val="en-US" w:eastAsia="fr-FR"/>
        </w:rPr>
        <w:t xml:space="preserve"> Source: </w:t>
      </w:r>
      <w:r w:rsidRPr="00894704">
        <w:rPr>
          <w:rFonts w:ascii="Arial" w:eastAsia="Times New Roman" w:hAnsi="Arial" w:cs="Arial"/>
          <w:sz w:val="16"/>
          <w:lang w:val="en-US" w:eastAsia="fr-FR"/>
        </w:rPr>
        <w:t xml:space="preserve">Petroleum Fund Law, Law No. 9/2005, n.d., </w:t>
      </w:r>
      <w:r>
        <w:rPr>
          <w:rFonts w:ascii="Arial" w:eastAsia="Times New Roman" w:hAnsi="Arial" w:cs="Arial"/>
          <w:sz w:val="16"/>
          <w:lang w:val="en-US" w:eastAsia="fr-FR"/>
        </w:rPr>
        <w:t>accessed March 2, 2020, available</w:t>
      </w:r>
    </w:p>
    <w:p w14:paraId="2840BBD8" w14:textId="605C840C" w:rsidR="006C70F3" w:rsidRPr="005F4A3B" w:rsidRDefault="002A37E3" w:rsidP="004F7195">
      <w:pPr>
        <w:jc w:val="both"/>
        <w:rPr>
          <w:rFonts w:ascii="Arial" w:eastAsia="Times New Roman" w:hAnsi="Arial" w:cs="Arial"/>
          <w:sz w:val="16"/>
          <w:lang w:eastAsia="fr-FR"/>
        </w:rPr>
      </w:pPr>
      <w:hyperlink r:id="rId2" w:history="1">
        <w:r w:rsidR="006C70F3" w:rsidRPr="00C427ED">
          <w:rPr>
            <w:rStyle w:val="Hyperlink"/>
            <w:rFonts w:ascii="Arial" w:eastAsia="Times New Roman" w:hAnsi="Arial" w:cs="Arial"/>
            <w:sz w:val="16"/>
            <w:lang w:val="en-US" w:eastAsia="fr-FR"/>
          </w:rPr>
          <w:t>http://www.laohamutuk.org/Oil/PetFund/PFLaw9-2005En.pdf</w:t>
        </w:r>
      </w:hyperlink>
      <w:r w:rsidR="006C70F3">
        <w:rPr>
          <w:rFonts w:ascii="Arial" w:eastAsia="Times New Roman" w:hAnsi="Arial" w:cs="Arial"/>
          <w:sz w:val="16"/>
          <w:lang w:val="en-US" w:eastAsia="fr-FR"/>
        </w:rPr>
        <w:t xml:space="preserve"> </w:t>
      </w:r>
    </w:p>
  </w:footnote>
  <w:footnote w:id="4">
    <w:p w14:paraId="5B31760A" w14:textId="2407E04D" w:rsidR="006C70F3" w:rsidRPr="00991F24" w:rsidRDefault="006C70F3" w:rsidP="004F7195">
      <w:pPr>
        <w:pStyle w:val="NormalWeb"/>
        <w:shd w:val="clear" w:color="auto" w:fill="FFFFFF" w:themeFill="background1"/>
        <w:spacing w:before="0" w:beforeAutospacing="0" w:after="0" w:afterAutospacing="0"/>
        <w:jc w:val="both"/>
        <w:rPr>
          <w:rFonts w:ascii="Arial" w:hAnsi="Arial" w:cs="Arial"/>
          <w:color w:val="000000" w:themeColor="text1"/>
          <w:sz w:val="16"/>
          <w:szCs w:val="16"/>
          <w:lang w:eastAsia="en-GB"/>
        </w:rPr>
      </w:pPr>
      <w:r w:rsidRPr="00991F24">
        <w:rPr>
          <w:rStyle w:val="FootnoteReference"/>
          <w:rFonts w:ascii="Arial" w:hAnsi="Arial" w:cs="Arial"/>
          <w:color w:val="000000" w:themeColor="text1"/>
          <w:sz w:val="16"/>
          <w:szCs w:val="16"/>
        </w:rPr>
        <w:footnoteRef/>
      </w:r>
      <w:r w:rsidRPr="00991F24">
        <w:rPr>
          <w:rFonts w:ascii="Arial" w:hAnsi="Arial" w:cs="Arial"/>
          <w:color w:val="000000" w:themeColor="text1"/>
          <w:sz w:val="16"/>
          <w:szCs w:val="16"/>
        </w:rPr>
        <w:t xml:space="preserve"> </w:t>
      </w:r>
      <w:r w:rsidRPr="00991F24">
        <w:rPr>
          <w:rFonts w:ascii="Arial" w:hAnsi="Arial" w:cs="Arial"/>
          <w:color w:val="000000" w:themeColor="text1"/>
          <w:sz w:val="16"/>
          <w:szCs w:val="16"/>
          <w:lang w:eastAsia="en-GB"/>
        </w:rPr>
        <w:t>The Human Development Index (HDI) is a summary measure of average achievement in key dimensions of human development: a long and healthy life, being knowledgeable and have a decent standard of living. The HDI is the geometric mean of normalized indices for each of the three dimensions. The health dimension is assessed by life expectancy at birth, the education dimension is measured by mean of years of schooling for adults aged 25 years and more and expected years of schooling for children of school entering age. The standard of living dimension is measured by gross national income per capita.</w:t>
      </w:r>
      <w:r>
        <w:rPr>
          <w:rFonts w:ascii="Arial" w:hAnsi="Arial" w:cs="Arial"/>
          <w:color w:val="000000" w:themeColor="text1"/>
          <w:sz w:val="16"/>
          <w:szCs w:val="16"/>
          <w:lang w:eastAsia="en-GB"/>
        </w:rPr>
        <w:t xml:space="preserve"> Source: </w:t>
      </w:r>
      <w:r w:rsidRPr="00C863FF">
        <w:rPr>
          <w:rFonts w:ascii="Arial" w:hAnsi="Arial" w:cs="Arial"/>
          <w:color w:val="000000" w:themeColor="text1"/>
          <w:sz w:val="16"/>
          <w:szCs w:val="16"/>
          <w:lang w:eastAsia="en-GB"/>
        </w:rPr>
        <w:t xml:space="preserve">United Nations Development Programme (UNDP), Human Development Index (HDI), accessed December 17, 2019, available </w:t>
      </w:r>
      <w:hyperlink r:id="rId3" w:history="1">
        <w:r w:rsidRPr="00C427ED">
          <w:rPr>
            <w:rStyle w:val="Hyperlink"/>
            <w:rFonts w:ascii="Arial" w:hAnsi="Arial" w:cs="Arial"/>
            <w:sz w:val="16"/>
            <w:szCs w:val="16"/>
            <w:lang w:eastAsia="en-GB"/>
          </w:rPr>
          <w:t>http://hdr.undp.org/en/content/human-development-index-hdi</w:t>
        </w:r>
      </w:hyperlink>
      <w:r>
        <w:rPr>
          <w:rFonts w:ascii="Arial" w:hAnsi="Arial" w:cs="Arial"/>
          <w:color w:val="000000" w:themeColor="text1"/>
          <w:sz w:val="16"/>
          <w:szCs w:val="16"/>
          <w:lang w:eastAsia="en-GB"/>
        </w:rPr>
        <w:t xml:space="preserve"> </w:t>
      </w:r>
      <w:r w:rsidRPr="00C863FF">
        <w:rPr>
          <w:rFonts w:ascii="Arial" w:hAnsi="Arial" w:cs="Arial"/>
          <w:color w:val="000000" w:themeColor="text1"/>
          <w:sz w:val="16"/>
          <w:szCs w:val="16"/>
          <w:lang w:eastAsia="en-GB"/>
        </w:rPr>
        <w:t xml:space="preserve"> </w:t>
      </w:r>
      <w:r>
        <w:rPr>
          <w:rFonts w:ascii="Arial" w:hAnsi="Arial" w:cs="Arial"/>
          <w:color w:val="000000" w:themeColor="text1"/>
          <w:sz w:val="16"/>
          <w:szCs w:val="16"/>
          <w:lang w:eastAsia="en-GB"/>
        </w:rPr>
        <w:t xml:space="preserve"> </w:t>
      </w:r>
    </w:p>
  </w:footnote>
  <w:footnote w:id="5">
    <w:p w14:paraId="0B1B312D" w14:textId="77777777" w:rsidR="006C70F3" w:rsidRPr="00991F24" w:rsidRDefault="006C70F3" w:rsidP="004F7195">
      <w:pPr>
        <w:pStyle w:val="FootnoteText"/>
        <w:jc w:val="both"/>
        <w:rPr>
          <w:rFonts w:cs="Arial"/>
          <w:color w:val="000000" w:themeColor="text1"/>
          <w:sz w:val="16"/>
          <w:szCs w:val="16"/>
        </w:rPr>
      </w:pPr>
      <w:r w:rsidRPr="00991F24">
        <w:rPr>
          <w:rStyle w:val="FootnoteReference"/>
          <w:rFonts w:cs="Arial"/>
          <w:color w:val="000000" w:themeColor="text1"/>
          <w:sz w:val="16"/>
          <w:szCs w:val="16"/>
        </w:rPr>
        <w:footnoteRef/>
      </w:r>
      <w:r w:rsidRPr="00991F24">
        <w:rPr>
          <w:rFonts w:cs="Arial"/>
          <w:color w:val="000000" w:themeColor="text1"/>
          <w:sz w:val="16"/>
          <w:szCs w:val="16"/>
        </w:rPr>
        <w:t xml:space="preserve"> Ibid.</w:t>
      </w:r>
    </w:p>
  </w:footnote>
  <w:footnote w:id="6">
    <w:p w14:paraId="2D3A4AD0" w14:textId="5D34BEF1" w:rsidR="006C70F3" w:rsidRPr="00991F24" w:rsidRDefault="006C70F3" w:rsidP="004F7195">
      <w:pPr>
        <w:pStyle w:val="FootnoteText"/>
        <w:jc w:val="both"/>
        <w:rPr>
          <w:rFonts w:cs="Arial"/>
          <w:color w:val="000000" w:themeColor="text1"/>
          <w:sz w:val="16"/>
          <w:szCs w:val="16"/>
        </w:rPr>
      </w:pPr>
      <w:r w:rsidRPr="00991F24">
        <w:rPr>
          <w:rStyle w:val="FootnoteReference"/>
          <w:rFonts w:cs="Arial"/>
          <w:color w:val="000000" w:themeColor="text1"/>
          <w:sz w:val="16"/>
          <w:szCs w:val="16"/>
        </w:rPr>
        <w:footnoteRef/>
      </w:r>
      <w:r w:rsidRPr="00991F24">
        <w:rPr>
          <w:rFonts w:cs="Arial"/>
          <w:color w:val="000000" w:themeColor="text1"/>
          <w:sz w:val="16"/>
          <w:szCs w:val="16"/>
        </w:rPr>
        <w:t xml:space="preserve"> </w:t>
      </w:r>
      <w:r w:rsidRPr="005F4A3B">
        <w:rPr>
          <w:rFonts w:eastAsia="Times New Roman" w:cs="Arial"/>
          <w:color w:val="000000" w:themeColor="text1"/>
          <w:sz w:val="16"/>
          <w:szCs w:val="16"/>
          <w:lang w:eastAsia="en-GB"/>
        </w:rPr>
        <w:t>United Nations Development Programme (UNDP), “Beyond Income, Beyond Averages, Beyond Today: Inequalities in Human Development in the 21st Century</w:t>
      </w:r>
      <w:r>
        <w:rPr>
          <w:rFonts w:eastAsia="Times New Roman" w:cs="Arial"/>
          <w:color w:val="000000" w:themeColor="text1"/>
          <w:sz w:val="16"/>
          <w:szCs w:val="16"/>
          <w:lang w:eastAsia="en-GB"/>
        </w:rPr>
        <w:t>.</w:t>
      </w:r>
      <w:r w:rsidRPr="005F4A3B">
        <w:rPr>
          <w:rFonts w:eastAsia="Times New Roman" w:cs="Arial"/>
          <w:color w:val="000000" w:themeColor="text1"/>
          <w:sz w:val="16"/>
          <w:szCs w:val="16"/>
          <w:lang w:eastAsia="en-GB"/>
        </w:rPr>
        <w:t>” Timor-Leste National Human Development Report, New York, 2019</w:t>
      </w:r>
      <w:r>
        <w:rPr>
          <w:rFonts w:eastAsia="Times New Roman" w:cs="Arial"/>
          <w:color w:val="000000" w:themeColor="text1"/>
          <w:sz w:val="16"/>
          <w:szCs w:val="16"/>
          <w:lang w:eastAsia="en-GB"/>
        </w:rPr>
        <w:t>.</w:t>
      </w:r>
      <w:r w:rsidRPr="00D94A06">
        <w:rPr>
          <w:rFonts w:asciiTheme="minorHAnsi" w:hAnsiTheme="minorHAnsi" w:cstheme="minorHAnsi"/>
          <w:color w:val="000000" w:themeColor="text1"/>
          <w:sz w:val="22"/>
          <w:szCs w:val="22"/>
          <w:shd w:val="clear" w:color="auto" w:fill="FFFFFF"/>
          <w:lang w:val="fr-FR"/>
        </w:rPr>
        <w:t xml:space="preserve"> </w:t>
      </w:r>
    </w:p>
  </w:footnote>
  <w:footnote w:id="7">
    <w:p w14:paraId="3ABDD4C4" w14:textId="77777777" w:rsidR="006C70F3" w:rsidRDefault="006C70F3" w:rsidP="004F7195">
      <w:pPr>
        <w:pStyle w:val="FootnoteText"/>
        <w:jc w:val="both"/>
        <w:rPr>
          <w:rFonts w:cs="Arial"/>
          <w:color w:val="000000" w:themeColor="text1"/>
          <w:sz w:val="16"/>
          <w:szCs w:val="16"/>
        </w:rPr>
      </w:pPr>
      <w:r w:rsidRPr="00A97435">
        <w:rPr>
          <w:rStyle w:val="FootnoteReference"/>
          <w:rFonts w:cs="Arial"/>
          <w:lang w:val="fr-FR"/>
        </w:rPr>
        <w:footnoteRef/>
      </w:r>
      <w:r w:rsidRPr="00A97435">
        <w:rPr>
          <w:rStyle w:val="FootnoteReference"/>
          <w:rFonts w:cs="Arial"/>
        </w:rPr>
        <w:t xml:space="preserve"> </w:t>
      </w:r>
      <w:r w:rsidRPr="00A97435">
        <w:rPr>
          <w:rFonts w:cs="Arial"/>
          <w:color w:val="000000" w:themeColor="text1"/>
          <w:sz w:val="16"/>
          <w:szCs w:val="16"/>
        </w:rPr>
        <w:t>Half of all children aged 0-14 years living below the national poverty line, with those living in rural areas being the most affected</w:t>
      </w:r>
      <w:r>
        <w:rPr>
          <w:rFonts w:cs="Arial"/>
          <w:color w:val="000000" w:themeColor="text1"/>
          <w:sz w:val="16"/>
          <w:szCs w:val="16"/>
        </w:rPr>
        <w:t xml:space="preserve">. </w:t>
      </w:r>
    </w:p>
    <w:p w14:paraId="7230714F" w14:textId="33A9F632" w:rsidR="006C70F3" w:rsidRPr="005F4A3B" w:rsidRDefault="006C70F3" w:rsidP="004F7195">
      <w:pPr>
        <w:pStyle w:val="FootnoteText"/>
        <w:jc w:val="both"/>
        <w:rPr>
          <w:rFonts w:cs="Arial"/>
          <w:color w:val="000000" w:themeColor="text1"/>
          <w:sz w:val="16"/>
          <w:szCs w:val="16"/>
        </w:rPr>
      </w:pPr>
      <w:r>
        <w:rPr>
          <w:rFonts w:cs="Arial"/>
          <w:color w:val="000000" w:themeColor="text1"/>
          <w:sz w:val="16"/>
          <w:szCs w:val="16"/>
        </w:rPr>
        <w:t xml:space="preserve">Source: </w:t>
      </w:r>
      <w:r w:rsidRPr="00E81387">
        <w:rPr>
          <w:rFonts w:cs="Arial"/>
          <w:color w:val="000000" w:themeColor="text1"/>
          <w:sz w:val="16"/>
          <w:szCs w:val="16"/>
        </w:rPr>
        <w:t>United Nations International Children’s Education Fund (UNICEF) Timor-Leste, “Sustainable Development Goals, Child Data Book 2018 Timor-Leste</w:t>
      </w:r>
      <w:r>
        <w:rPr>
          <w:rFonts w:cs="Arial"/>
          <w:color w:val="000000" w:themeColor="text1"/>
          <w:sz w:val="16"/>
          <w:szCs w:val="16"/>
        </w:rPr>
        <w:t>.</w:t>
      </w:r>
      <w:r w:rsidRPr="00E81387">
        <w:rPr>
          <w:rFonts w:cs="Arial"/>
          <w:color w:val="000000" w:themeColor="text1"/>
          <w:sz w:val="16"/>
          <w:szCs w:val="16"/>
        </w:rPr>
        <w:t>” 2019.</w:t>
      </w:r>
    </w:p>
  </w:footnote>
  <w:footnote w:id="8">
    <w:p w14:paraId="6F4FF47E" w14:textId="5FDE5D84" w:rsidR="006C70F3" w:rsidRPr="0059474B" w:rsidRDefault="006C70F3" w:rsidP="004F7195">
      <w:pPr>
        <w:jc w:val="both"/>
        <w:rPr>
          <w:rFonts w:ascii="Arial" w:hAnsi="Arial" w:cs="Arial"/>
          <w:sz w:val="16"/>
          <w:szCs w:val="16"/>
          <w:lang w:val="en-US"/>
        </w:rPr>
      </w:pPr>
      <w:r w:rsidRPr="00A97435">
        <w:rPr>
          <w:rStyle w:val="FootnoteReference"/>
          <w:rFonts w:ascii="Arial" w:hAnsi="Arial" w:cs="Arial"/>
          <w:sz w:val="16"/>
          <w:szCs w:val="16"/>
        </w:rPr>
        <w:footnoteRef/>
      </w:r>
      <w:r w:rsidRPr="00A97435">
        <w:rPr>
          <w:rFonts w:ascii="Arial" w:hAnsi="Arial" w:cs="Arial"/>
          <w:sz w:val="16"/>
          <w:szCs w:val="16"/>
          <w:lang w:val="en-US"/>
        </w:rPr>
        <w:t xml:space="preserve"> </w:t>
      </w:r>
      <w:r w:rsidRPr="0093490D">
        <w:rPr>
          <w:rFonts w:ascii="Arial" w:hAnsi="Arial" w:cs="Arial"/>
          <w:sz w:val="16"/>
          <w:szCs w:val="16"/>
          <w:lang w:val="en-US"/>
        </w:rPr>
        <w:t>World Bank, Ministry of Finance (</w:t>
      </w:r>
      <w:r w:rsidRPr="0093490D">
        <w:rPr>
          <w:rFonts w:ascii="Arial" w:hAnsi="Arial" w:cs="Arial"/>
          <w:sz w:val="16"/>
          <w:szCs w:val="16"/>
          <w:lang w:val="en-US"/>
        </w:rPr>
        <w:t xml:space="preserve">MoF) General Directorate of Statistics (GDS), “Poverty in Timor-Leste 2014”. Washington, D.C.: World Bank Group, 2016, available </w:t>
      </w:r>
      <w:hyperlink r:id="rId4" w:history="1">
        <w:r w:rsidRPr="00C427ED">
          <w:rPr>
            <w:rStyle w:val="Hyperlink"/>
            <w:rFonts w:ascii="Arial" w:hAnsi="Arial" w:cs="Arial"/>
            <w:sz w:val="16"/>
            <w:szCs w:val="16"/>
            <w:lang w:val="en-US"/>
          </w:rPr>
          <w:t>http://documents.worldbank.org/curated/en/577521475573958572/Poverty-in-Timor-Leste-2014</w:t>
        </w:r>
      </w:hyperlink>
      <w:r>
        <w:rPr>
          <w:rFonts w:ascii="Arial" w:hAnsi="Arial" w:cs="Arial"/>
          <w:sz w:val="16"/>
          <w:szCs w:val="16"/>
          <w:lang w:val="en-US"/>
        </w:rPr>
        <w:t xml:space="preserve">  </w:t>
      </w:r>
    </w:p>
  </w:footnote>
  <w:footnote w:id="9">
    <w:p w14:paraId="2E61AC56" w14:textId="73C3FE81" w:rsidR="006C70F3" w:rsidRPr="00A97435" w:rsidRDefault="006C70F3" w:rsidP="004F7195">
      <w:pPr>
        <w:pStyle w:val="FootnoteText"/>
        <w:jc w:val="both"/>
        <w:rPr>
          <w:rFonts w:cs="Arial"/>
          <w:color w:val="000000" w:themeColor="text1"/>
          <w:sz w:val="16"/>
          <w:szCs w:val="16"/>
        </w:rPr>
      </w:pPr>
      <w:r w:rsidRPr="00A97435">
        <w:rPr>
          <w:rStyle w:val="FootnoteReference"/>
          <w:rFonts w:cs="Arial"/>
          <w:color w:val="000000" w:themeColor="text1"/>
          <w:sz w:val="16"/>
          <w:szCs w:val="16"/>
        </w:rPr>
        <w:footnoteRef/>
      </w:r>
      <w:r w:rsidRPr="00A97435">
        <w:rPr>
          <w:rFonts w:cs="Arial"/>
          <w:color w:val="000000" w:themeColor="text1"/>
          <w:sz w:val="16"/>
          <w:szCs w:val="16"/>
        </w:rPr>
        <w:t xml:space="preserve"> </w:t>
      </w:r>
      <w:bookmarkStart w:id="5" w:name="_Hlk34053637"/>
      <w:bookmarkStart w:id="6" w:name="_Hlk34053477"/>
      <w:r w:rsidRPr="00A97435">
        <w:rPr>
          <w:rFonts w:cs="Arial"/>
          <w:color w:val="000000" w:themeColor="text1"/>
          <w:sz w:val="16"/>
          <w:szCs w:val="16"/>
        </w:rPr>
        <w:t>Pawelz, J.</w:t>
      </w:r>
      <w:r>
        <w:rPr>
          <w:rFonts w:cs="Arial"/>
          <w:color w:val="000000" w:themeColor="text1"/>
          <w:sz w:val="16"/>
          <w:szCs w:val="16"/>
        </w:rPr>
        <w:t>,</w:t>
      </w:r>
      <w:r w:rsidRPr="00A97435">
        <w:rPr>
          <w:rFonts w:cs="Arial"/>
          <w:color w:val="000000" w:themeColor="text1"/>
          <w:sz w:val="16"/>
          <w:szCs w:val="16"/>
        </w:rPr>
        <w:t xml:space="preserve"> </w:t>
      </w:r>
      <w:r>
        <w:rPr>
          <w:rFonts w:cs="Arial"/>
          <w:color w:val="000000" w:themeColor="text1"/>
          <w:sz w:val="16"/>
          <w:szCs w:val="16"/>
        </w:rPr>
        <w:t>“</w:t>
      </w:r>
      <w:r w:rsidRPr="00A97435">
        <w:rPr>
          <w:rFonts w:cs="Arial"/>
          <w:color w:val="000000" w:themeColor="text1"/>
          <w:sz w:val="16"/>
          <w:szCs w:val="16"/>
        </w:rPr>
        <w:t>Security, Violence, and Outlawed Martial Arts Groups in Timor-Leste</w:t>
      </w:r>
      <w:r>
        <w:rPr>
          <w:rFonts w:cs="Arial"/>
          <w:color w:val="000000" w:themeColor="text1"/>
          <w:sz w:val="16"/>
          <w:szCs w:val="16"/>
        </w:rPr>
        <w:t>.”</w:t>
      </w:r>
      <w:r w:rsidRPr="00A97435">
        <w:rPr>
          <w:rFonts w:cs="Arial"/>
          <w:color w:val="000000" w:themeColor="text1"/>
          <w:sz w:val="16"/>
          <w:szCs w:val="16"/>
        </w:rPr>
        <w:t xml:space="preserve"> </w:t>
      </w:r>
      <w:r w:rsidRPr="005F4A3B">
        <w:rPr>
          <w:rFonts w:cs="Arial"/>
          <w:i/>
          <w:iCs/>
          <w:color w:val="000000" w:themeColor="text1"/>
          <w:sz w:val="16"/>
          <w:szCs w:val="16"/>
        </w:rPr>
        <w:t>Asian Journal of Peacebuilding</w:t>
      </w:r>
      <w:r w:rsidRPr="00A97435">
        <w:rPr>
          <w:rFonts w:cs="Arial"/>
          <w:color w:val="000000" w:themeColor="text1"/>
          <w:sz w:val="16"/>
          <w:szCs w:val="16"/>
        </w:rPr>
        <w:t>, 3(1), pp. 121-136</w:t>
      </w:r>
      <w:r>
        <w:rPr>
          <w:rFonts w:cs="Arial"/>
          <w:color w:val="000000" w:themeColor="text1"/>
          <w:sz w:val="16"/>
          <w:szCs w:val="16"/>
        </w:rPr>
        <w:t xml:space="preserve">, 2015. </w:t>
      </w:r>
      <w:bookmarkEnd w:id="5"/>
    </w:p>
    <w:bookmarkEnd w:id="6"/>
  </w:footnote>
  <w:footnote w:id="10">
    <w:p w14:paraId="488E74FA" w14:textId="03A0855B" w:rsidR="006C70F3" w:rsidRPr="00991F24" w:rsidRDefault="006C70F3" w:rsidP="004F7195">
      <w:pPr>
        <w:pStyle w:val="FootnoteText"/>
        <w:jc w:val="both"/>
        <w:rPr>
          <w:rFonts w:cs="Arial"/>
          <w:color w:val="000000" w:themeColor="text1"/>
          <w:sz w:val="16"/>
          <w:szCs w:val="16"/>
        </w:rPr>
      </w:pPr>
      <w:r w:rsidRPr="00991F24">
        <w:rPr>
          <w:rStyle w:val="FootnoteReference"/>
          <w:rFonts w:cs="Arial"/>
          <w:color w:val="000000" w:themeColor="text1"/>
          <w:sz w:val="16"/>
          <w:szCs w:val="16"/>
        </w:rPr>
        <w:footnoteRef/>
      </w:r>
      <w:r w:rsidRPr="00991F24">
        <w:rPr>
          <w:rFonts w:cs="Arial"/>
          <w:color w:val="000000" w:themeColor="text1"/>
          <w:sz w:val="16"/>
          <w:szCs w:val="16"/>
        </w:rPr>
        <w:t xml:space="preserve"> </w:t>
      </w:r>
      <w:r>
        <w:rPr>
          <w:rFonts w:cs="Arial"/>
          <w:color w:val="000000" w:themeColor="text1"/>
          <w:sz w:val="16"/>
          <w:szCs w:val="16"/>
        </w:rPr>
        <w:t>The</w:t>
      </w:r>
      <w:r w:rsidRPr="00991F24">
        <w:rPr>
          <w:rFonts w:cs="Arial"/>
          <w:color w:val="000000" w:themeColor="text1"/>
          <w:sz w:val="16"/>
          <w:szCs w:val="16"/>
        </w:rPr>
        <w:t xml:space="preserve"> exposure, vulnerability and risk assessment for floods, cyclones, droughts, forest fires and earthquakes</w:t>
      </w:r>
      <w:r>
        <w:rPr>
          <w:rFonts w:cs="Arial"/>
          <w:color w:val="000000" w:themeColor="text1"/>
          <w:sz w:val="16"/>
          <w:szCs w:val="16"/>
        </w:rPr>
        <w:t xml:space="preserve"> is highlighted in</w:t>
      </w:r>
      <w:r w:rsidRPr="00991F24">
        <w:rPr>
          <w:rFonts w:cs="Arial"/>
          <w:color w:val="000000" w:themeColor="text1"/>
          <w:sz w:val="16"/>
          <w:szCs w:val="16"/>
        </w:rPr>
        <w:t xml:space="preserve">. Source: </w:t>
      </w:r>
      <w:r w:rsidRPr="00492262">
        <w:rPr>
          <w:rFonts w:cs="Arial"/>
          <w:color w:val="000000" w:themeColor="text1"/>
          <w:sz w:val="16"/>
          <w:szCs w:val="16"/>
        </w:rPr>
        <w:t>Government of Timor-Leste (</w:t>
      </w:r>
      <w:r w:rsidRPr="00492262">
        <w:rPr>
          <w:rFonts w:cs="Arial"/>
          <w:color w:val="000000" w:themeColor="text1"/>
          <w:sz w:val="16"/>
          <w:szCs w:val="16"/>
        </w:rPr>
        <w:t xml:space="preserve">GoTL) and United Nations Development Programme (UNDP), National Risk Assessment and Mapping, 2013. </w:t>
      </w:r>
    </w:p>
  </w:footnote>
  <w:footnote w:id="11">
    <w:p w14:paraId="6628FCDD" w14:textId="40289D7F" w:rsidR="006C70F3" w:rsidRPr="00977A50" w:rsidRDefault="006C70F3" w:rsidP="004F7195">
      <w:pPr>
        <w:pStyle w:val="FootnoteText"/>
        <w:jc w:val="both"/>
        <w:rPr>
          <w:rFonts w:asciiTheme="minorHAnsi" w:hAnsiTheme="minorHAnsi" w:cstheme="minorHAnsi"/>
          <w:sz w:val="16"/>
          <w:szCs w:val="16"/>
        </w:rPr>
      </w:pPr>
      <w:r w:rsidRPr="00977A50">
        <w:rPr>
          <w:rStyle w:val="FootnoteReference"/>
          <w:rFonts w:asciiTheme="minorHAnsi" w:hAnsiTheme="minorHAnsi" w:cstheme="minorHAnsi"/>
          <w:sz w:val="16"/>
          <w:szCs w:val="16"/>
        </w:rPr>
        <w:footnoteRef/>
      </w:r>
      <w:r w:rsidRPr="00977A50">
        <w:rPr>
          <w:rFonts w:asciiTheme="minorHAnsi" w:hAnsiTheme="minorHAnsi" w:cstheme="minorHAnsi"/>
          <w:sz w:val="16"/>
          <w:szCs w:val="16"/>
        </w:rPr>
        <w:t xml:space="preserve"> </w:t>
      </w:r>
      <w:r w:rsidRPr="005F4A3B">
        <w:rPr>
          <w:rFonts w:cs="Arial"/>
          <w:color w:val="000000" w:themeColor="text1"/>
          <w:sz w:val="16"/>
          <w:szCs w:val="16"/>
        </w:rPr>
        <w:t>Government of Timor-Leste (</w:t>
      </w:r>
      <w:r w:rsidRPr="005F4A3B">
        <w:rPr>
          <w:rFonts w:cs="Arial"/>
          <w:color w:val="000000" w:themeColor="text1"/>
          <w:sz w:val="16"/>
          <w:szCs w:val="16"/>
        </w:rPr>
        <w:t>GoTL) (2010a), “Strategic Development Plan, 2011–2030</w:t>
      </w:r>
      <w:r>
        <w:rPr>
          <w:rFonts w:cs="Arial"/>
          <w:color w:val="000000" w:themeColor="text1"/>
          <w:sz w:val="16"/>
          <w:szCs w:val="16"/>
        </w:rPr>
        <w:t>.</w:t>
      </w:r>
      <w:r w:rsidRPr="005F4A3B">
        <w:rPr>
          <w:rFonts w:cs="Arial"/>
          <w:color w:val="000000" w:themeColor="text1"/>
          <w:sz w:val="16"/>
          <w:szCs w:val="16"/>
        </w:rPr>
        <w:t>“</w:t>
      </w:r>
      <w:r>
        <w:rPr>
          <w:rFonts w:cs="Arial"/>
          <w:color w:val="000000" w:themeColor="text1"/>
          <w:sz w:val="16"/>
          <w:szCs w:val="16"/>
        </w:rPr>
        <w:t xml:space="preserve"> </w:t>
      </w:r>
      <w:r w:rsidRPr="005F4A3B">
        <w:rPr>
          <w:rFonts w:cs="Arial"/>
          <w:color w:val="000000" w:themeColor="text1"/>
          <w:sz w:val="16"/>
          <w:szCs w:val="16"/>
        </w:rPr>
        <w:t>Dili, Office of the Prime Minister, 2010.</w:t>
      </w:r>
    </w:p>
  </w:footnote>
  <w:footnote w:id="12">
    <w:p w14:paraId="4D799B80" w14:textId="2CCBCF18" w:rsidR="006C70F3" w:rsidRPr="005F4A3B" w:rsidRDefault="006C70F3" w:rsidP="004F7195">
      <w:pPr>
        <w:pStyle w:val="Default"/>
        <w:jc w:val="both"/>
        <w:rPr>
          <w:rFonts w:asciiTheme="minorHAnsi" w:hAnsiTheme="minorHAnsi" w:cstheme="minorHAnsi"/>
          <w:color w:val="auto"/>
          <w:sz w:val="16"/>
          <w:szCs w:val="16"/>
          <w:lang w:val="en-US"/>
        </w:rPr>
      </w:pPr>
      <w:r w:rsidRPr="0059474B">
        <w:rPr>
          <w:rStyle w:val="FootnoteReference"/>
          <w:rFonts w:ascii="Arial" w:hAnsi="Arial" w:cs="Arial"/>
          <w:sz w:val="16"/>
          <w:szCs w:val="16"/>
        </w:rPr>
        <w:footnoteRef/>
      </w:r>
      <w:r w:rsidRPr="0059474B">
        <w:rPr>
          <w:rFonts w:ascii="Arial" w:hAnsi="Arial" w:cs="Arial"/>
          <w:sz w:val="16"/>
          <w:szCs w:val="16"/>
          <w:lang w:val="en-US"/>
        </w:rPr>
        <w:t xml:space="preserve"> </w:t>
      </w:r>
      <w:r w:rsidRPr="005F4A3B">
        <w:rPr>
          <w:rFonts w:ascii="Arial" w:hAnsi="Arial" w:cs="Arial"/>
          <w:color w:val="auto"/>
          <w:sz w:val="16"/>
          <w:szCs w:val="16"/>
          <w:lang w:val="en-US"/>
        </w:rPr>
        <w:t>Government of Timor-Leste</w:t>
      </w:r>
      <w:r>
        <w:rPr>
          <w:rFonts w:ascii="Arial" w:hAnsi="Arial" w:cs="Arial"/>
          <w:color w:val="auto"/>
          <w:sz w:val="16"/>
          <w:szCs w:val="16"/>
          <w:lang w:val="en-US"/>
        </w:rPr>
        <w:t xml:space="preserve"> (</w:t>
      </w:r>
      <w:r>
        <w:rPr>
          <w:rFonts w:ascii="Arial" w:hAnsi="Arial" w:cs="Arial"/>
          <w:color w:val="auto"/>
          <w:sz w:val="16"/>
          <w:szCs w:val="16"/>
          <w:lang w:val="en-US"/>
        </w:rPr>
        <w:t xml:space="preserve">GoTL), </w:t>
      </w:r>
      <w:r w:rsidRPr="005F4A3B">
        <w:rPr>
          <w:rFonts w:ascii="Arial" w:hAnsi="Arial" w:cs="Arial"/>
          <w:color w:val="auto"/>
          <w:sz w:val="16"/>
          <w:szCs w:val="16"/>
          <w:lang w:val="en-US"/>
        </w:rPr>
        <w:t>Review of Strategic Plan</w:t>
      </w:r>
      <w:r>
        <w:rPr>
          <w:rFonts w:ascii="Arial" w:hAnsi="Arial" w:cs="Arial"/>
          <w:color w:val="auto"/>
          <w:sz w:val="16"/>
          <w:szCs w:val="16"/>
          <w:lang w:val="en-US"/>
        </w:rPr>
        <w:t>, 2017.</w:t>
      </w:r>
    </w:p>
  </w:footnote>
  <w:footnote w:id="13">
    <w:p w14:paraId="4D4F68F2" w14:textId="175CBD58" w:rsidR="006C70F3" w:rsidRPr="0059474B" w:rsidRDefault="006C70F3" w:rsidP="00F6353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w:t>
      </w:r>
      <w:bookmarkStart w:id="11" w:name="_Hlk34054273"/>
      <w:r w:rsidRPr="001716A3">
        <w:rPr>
          <w:rFonts w:cs="Arial"/>
          <w:sz w:val="16"/>
          <w:szCs w:val="16"/>
        </w:rPr>
        <w:t>Government of Timor-Leste (</w:t>
      </w:r>
      <w:r w:rsidRPr="001716A3">
        <w:rPr>
          <w:rFonts w:cs="Arial"/>
          <w:sz w:val="16"/>
          <w:szCs w:val="16"/>
        </w:rPr>
        <w:t>GoTL), “Report on the Implementation of the Sustainable Development Goals: From ashes to reconciliation, reconstruction and sustainable development, Voluntary National Review of Timor-Leste 2019”, Dili, Timor-Leste, 2019.</w:t>
      </w:r>
      <w:bookmarkEnd w:id="11"/>
    </w:p>
  </w:footnote>
  <w:footnote w:id="14">
    <w:p w14:paraId="0984D173" w14:textId="77777777" w:rsidR="006C70F3" w:rsidRPr="004F7195" w:rsidRDefault="006C70F3" w:rsidP="004F7195">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World Bank, 2016</w:t>
      </w:r>
    </w:p>
  </w:footnote>
  <w:footnote w:id="15">
    <w:p w14:paraId="4763D3F0" w14:textId="5BD89F53" w:rsidR="006C70F3" w:rsidRPr="004F7195" w:rsidRDefault="006C70F3" w:rsidP="004F7195">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w:t>
      </w:r>
      <w:r w:rsidRPr="004F7195">
        <w:rPr>
          <w:rFonts w:cs="Arial"/>
          <w:color w:val="000000" w:themeColor="text1"/>
          <w:sz w:val="16"/>
          <w:szCs w:val="16"/>
        </w:rPr>
        <w:t>UNDP HDR</w:t>
      </w:r>
      <w:r>
        <w:rPr>
          <w:rFonts w:cs="Arial"/>
          <w:color w:val="000000" w:themeColor="text1"/>
          <w:sz w:val="16"/>
          <w:szCs w:val="16"/>
        </w:rPr>
        <w:t>, 2019</w:t>
      </w:r>
    </w:p>
  </w:footnote>
  <w:footnote w:id="16">
    <w:p w14:paraId="1B659691" w14:textId="2065227F" w:rsidR="006C70F3" w:rsidRPr="005F4A3B" w:rsidRDefault="006C70F3" w:rsidP="005F4A3B">
      <w:pPr>
        <w:rPr>
          <w:rFonts w:cs="Arial"/>
          <w:sz w:val="20"/>
          <w:szCs w:val="20"/>
        </w:rPr>
      </w:pPr>
      <w:r w:rsidRPr="004F7195">
        <w:rPr>
          <w:rStyle w:val="FootnoteReference"/>
          <w:rFonts w:cs="Arial"/>
          <w:sz w:val="16"/>
          <w:szCs w:val="16"/>
        </w:rPr>
        <w:footnoteRef/>
      </w:r>
      <w:r w:rsidRPr="004F7195">
        <w:rPr>
          <w:rFonts w:cs="Arial"/>
          <w:sz w:val="16"/>
          <w:szCs w:val="16"/>
        </w:rPr>
        <w:t xml:space="preserve"> </w:t>
      </w:r>
      <w:r w:rsidRPr="005F4A3B">
        <w:rPr>
          <w:rFonts w:ascii="Arial" w:hAnsi="Arial" w:cs="Arial"/>
          <w:color w:val="000000" w:themeColor="text1"/>
          <w:sz w:val="16"/>
          <w:szCs w:val="16"/>
          <w:lang w:val="en-US"/>
        </w:rPr>
        <w:t>World Bank. “Timor-Leste Economic Report 2018: Regaining Momentum? ” Washington, D.C.: World Bank Group, 2018a.</w:t>
      </w:r>
    </w:p>
  </w:footnote>
  <w:footnote w:id="17">
    <w:p w14:paraId="19621B39" w14:textId="62E938D4" w:rsidR="006C70F3" w:rsidRPr="00BE17F0" w:rsidRDefault="006C70F3" w:rsidP="005F4A3B">
      <w:pPr>
        <w:pStyle w:val="NormalWeb"/>
        <w:shd w:val="clear" w:color="auto" w:fill="FFFFFF" w:themeFill="background1"/>
        <w:spacing w:before="0" w:beforeAutospacing="0" w:after="0" w:afterAutospacing="0"/>
        <w:jc w:val="both"/>
        <w:rPr>
          <w:rFonts w:cs="Arial"/>
          <w:sz w:val="16"/>
          <w:szCs w:val="16"/>
        </w:rPr>
      </w:pPr>
      <w:r w:rsidRPr="004F7195">
        <w:rPr>
          <w:rStyle w:val="FootnoteReference"/>
          <w:sz w:val="16"/>
          <w:szCs w:val="16"/>
        </w:rPr>
        <w:footnoteRef/>
      </w:r>
      <w:r w:rsidRPr="004F7195">
        <w:rPr>
          <w:sz w:val="16"/>
          <w:szCs w:val="16"/>
        </w:rPr>
        <w:t xml:space="preserve"> </w:t>
      </w:r>
      <w:r w:rsidRPr="005F4A3B">
        <w:rPr>
          <w:rFonts w:ascii="Arial" w:hAnsi="Arial" w:cs="Arial"/>
          <w:sz w:val="16"/>
          <w:szCs w:val="16"/>
        </w:rPr>
        <w:t>Ministry of Agriculture and Fisheries (MAF), “The Integrated Food Security Phase Classification (IPC)</w:t>
      </w:r>
      <w:r>
        <w:rPr>
          <w:rFonts w:ascii="Arial" w:hAnsi="Arial" w:cs="Arial"/>
          <w:sz w:val="16"/>
          <w:szCs w:val="16"/>
        </w:rPr>
        <w:t>.</w:t>
      </w:r>
      <w:r w:rsidRPr="005F4A3B">
        <w:rPr>
          <w:rFonts w:ascii="Arial" w:hAnsi="Arial" w:cs="Arial"/>
          <w:sz w:val="16"/>
          <w:szCs w:val="16"/>
        </w:rPr>
        <w:t xml:space="preserve">” accessed January 22, 2019, available </w:t>
      </w:r>
      <w:hyperlink r:id="rId5" w:history="1">
        <w:r w:rsidRPr="005F4A3B">
          <w:rPr>
            <w:rStyle w:val="Hyperlink"/>
            <w:rFonts w:ascii="Arial" w:hAnsi="Arial" w:cs="Arial"/>
            <w:sz w:val="16"/>
            <w:szCs w:val="16"/>
          </w:rPr>
          <w:t>http://www.ipcinfo.org/fileadmin/user_upload/ipcinfo/docs/3_IPC_Timor%20Leste_CFI_20182023_English.pdf</w:t>
        </w:r>
      </w:hyperlink>
      <w:r w:rsidRPr="005F4A3B">
        <w:rPr>
          <w:rFonts w:ascii="Arial" w:hAnsi="Arial" w:cs="Arial"/>
          <w:sz w:val="16"/>
          <w:szCs w:val="16"/>
        </w:rPr>
        <w:t xml:space="preserve"> </w:t>
      </w:r>
    </w:p>
  </w:footnote>
  <w:footnote w:id="18">
    <w:p w14:paraId="12C9E8EF" w14:textId="0351B091" w:rsidR="006C70F3" w:rsidRDefault="006C70F3" w:rsidP="004F7195">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w:t>
      </w:r>
      <w:r w:rsidRPr="003B461A">
        <w:rPr>
          <w:rFonts w:cs="Arial"/>
          <w:sz w:val="16"/>
          <w:szCs w:val="16"/>
        </w:rPr>
        <w:t>Ministry of Health (</w:t>
      </w:r>
      <w:r w:rsidRPr="003B461A">
        <w:rPr>
          <w:rFonts w:cs="Arial"/>
          <w:sz w:val="16"/>
          <w:szCs w:val="16"/>
        </w:rPr>
        <w:t>MoH), Timor-Leste Food and Nutrition Survey (TLFNS), 2013</w:t>
      </w:r>
      <w:r>
        <w:rPr>
          <w:rFonts w:cs="Arial"/>
          <w:sz w:val="16"/>
          <w:szCs w:val="16"/>
        </w:rPr>
        <w:t xml:space="preserve"> and </w:t>
      </w:r>
      <w:r w:rsidRPr="00192F15">
        <w:rPr>
          <w:rFonts w:cs="Arial"/>
          <w:sz w:val="16"/>
          <w:szCs w:val="16"/>
        </w:rPr>
        <w:t>United Nations Children’s Fund (UNICEF), “Summary of Key Findings and Recommendations</w:t>
      </w:r>
      <w:r>
        <w:rPr>
          <w:rFonts w:cs="Arial"/>
          <w:sz w:val="16"/>
          <w:szCs w:val="16"/>
        </w:rPr>
        <w:t>.</w:t>
      </w:r>
      <w:r w:rsidRPr="00192F15">
        <w:rPr>
          <w:rFonts w:cs="Arial"/>
          <w:sz w:val="16"/>
          <w:szCs w:val="16"/>
        </w:rPr>
        <w:t>” 2015, available:</w:t>
      </w:r>
    </w:p>
    <w:p w14:paraId="234E0987" w14:textId="181F8EF8" w:rsidR="006C70F3" w:rsidRPr="004F7195" w:rsidRDefault="002A37E3" w:rsidP="004F7195">
      <w:pPr>
        <w:pStyle w:val="FootnoteText"/>
        <w:jc w:val="both"/>
        <w:rPr>
          <w:rFonts w:cs="Arial"/>
          <w:sz w:val="16"/>
          <w:szCs w:val="16"/>
        </w:rPr>
      </w:pPr>
      <w:hyperlink r:id="rId6" w:history="1">
        <w:r w:rsidR="006C70F3" w:rsidRPr="00C427ED">
          <w:rPr>
            <w:rStyle w:val="Hyperlink"/>
            <w:rFonts w:cs="Arial"/>
            <w:sz w:val="16"/>
            <w:szCs w:val="16"/>
          </w:rPr>
          <w:t>https://www.unicef.org/timorleste/media/2676/file/Summary_of_Key_Findings_eng.pdf.pdf</w:t>
        </w:r>
      </w:hyperlink>
      <w:r w:rsidR="006C70F3">
        <w:rPr>
          <w:rFonts w:cs="Arial"/>
          <w:sz w:val="16"/>
          <w:szCs w:val="16"/>
        </w:rPr>
        <w:t xml:space="preserve"> </w:t>
      </w:r>
      <w:r w:rsidR="006C70F3" w:rsidRPr="00192F15">
        <w:rPr>
          <w:rFonts w:cs="Arial"/>
          <w:sz w:val="16"/>
          <w:szCs w:val="16"/>
        </w:rPr>
        <w:t xml:space="preserve"> </w:t>
      </w:r>
    </w:p>
  </w:footnote>
  <w:footnote w:id="19">
    <w:p w14:paraId="4CBC5F0F" w14:textId="77777777" w:rsidR="006C70F3" w:rsidRPr="004F7195" w:rsidRDefault="006C70F3" w:rsidP="004F7195">
      <w:pPr>
        <w:pStyle w:val="FootnoteText"/>
        <w:jc w:val="both"/>
        <w:rPr>
          <w:sz w:val="16"/>
          <w:szCs w:val="16"/>
        </w:rPr>
      </w:pPr>
      <w:r w:rsidRPr="004F7195">
        <w:rPr>
          <w:rStyle w:val="FootnoteReference"/>
          <w:sz w:val="16"/>
          <w:szCs w:val="16"/>
        </w:rPr>
        <w:footnoteRef/>
      </w:r>
      <w:r w:rsidRPr="004F7195">
        <w:rPr>
          <w:sz w:val="16"/>
          <w:szCs w:val="16"/>
        </w:rPr>
        <w:t xml:space="preserve"> Ibid</w:t>
      </w:r>
    </w:p>
  </w:footnote>
  <w:footnote w:id="20">
    <w:p w14:paraId="467D5DF7" w14:textId="14791962" w:rsidR="006C70F3" w:rsidRPr="004F7195" w:rsidRDefault="006C70F3" w:rsidP="005F4A3B">
      <w:pPr>
        <w:rPr>
          <w:sz w:val="16"/>
          <w:szCs w:val="16"/>
        </w:rPr>
      </w:pPr>
      <w:r w:rsidRPr="004F7195">
        <w:rPr>
          <w:rStyle w:val="FootnoteReference"/>
          <w:sz w:val="16"/>
          <w:szCs w:val="16"/>
        </w:rPr>
        <w:footnoteRef/>
      </w:r>
      <w:r w:rsidRPr="004F7195">
        <w:rPr>
          <w:sz w:val="16"/>
          <w:szCs w:val="16"/>
        </w:rPr>
        <w:t xml:space="preserve"> </w:t>
      </w:r>
      <w:r w:rsidRPr="005F4A3B">
        <w:rPr>
          <w:rFonts w:ascii="Arial" w:hAnsi="Arial" w:cs="Arial"/>
          <w:sz w:val="16"/>
          <w:szCs w:val="16"/>
        </w:rPr>
        <w:t>Ministry of Finance (</w:t>
      </w:r>
      <w:r w:rsidRPr="005F4A3B">
        <w:rPr>
          <w:rFonts w:ascii="Arial" w:hAnsi="Arial" w:cs="Arial"/>
          <w:sz w:val="16"/>
          <w:szCs w:val="16"/>
        </w:rPr>
        <w:t>MoF), General Directorate of Statistics (GDS) and Ministry of Health (MoH), Demographic and Health Survey (DHS), 2016.</w:t>
      </w:r>
      <w:r w:rsidRPr="00DE2D9B">
        <w:rPr>
          <w:sz w:val="16"/>
          <w:szCs w:val="16"/>
        </w:rPr>
        <w:t xml:space="preserve"> </w:t>
      </w:r>
    </w:p>
  </w:footnote>
  <w:footnote w:id="21">
    <w:p w14:paraId="48BFEE4F" w14:textId="2701E025" w:rsidR="006C70F3" w:rsidRPr="004F7195" w:rsidRDefault="006C70F3" w:rsidP="004F7195">
      <w:pPr>
        <w:pStyle w:val="FootnoteText"/>
        <w:jc w:val="both"/>
        <w:rPr>
          <w:sz w:val="16"/>
          <w:szCs w:val="16"/>
          <w:lang w:val="fr-FR"/>
        </w:rPr>
      </w:pPr>
      <w:r w:rsidRPr="004F7195">
        <w:rPr>
          <w:rStyle w:val="FootnoteReference"/>
          <w:sz w:val="16"/>
          <w:szCs w:val="16"/>
        </w:rPr>
        <w:footnoteRef/>
      </w:r>
      <w:r w:rsidRPr="004F7195">
        <w:rPr>
          <w:sz w:val="16"/>
          <w:szCs w:val="16"/>
          <w:lang w:val="fr-FR"/>
        </w:rPr>
        <w:t xml:space="preserve"> </w:t>
      </w:r>
      <w:r w:rsidRPr="004A0BA5">
        <w:rPr>
          <w:rFonts w:cs="Arial"/>
          <w:sz w:val="16"/>
          <w:szCs w:val="16"/>
          <w:lang w:val="fr-FR"/>
        </w:rPr>
        <w:t>Ministry of Finance (</w:t>
      </w:r>
      <w:r w:rsidRPr="004A0BA5">
        <w:rPr>
          <w:rFonts w:cs="Arial"/>
          <w:sz w:val="16"/>
          <w:szCs w:val="16"/>
          <w:lang w:val="fr-FR"/>
        </w:rPr>
        <w:t>MoF), General Directorate of Statistics (GDS), Census, 2015.</w:t>
      </w:r>
    </w:p>
  </w:footnote>
  <w:footnote w:id="22">
    <w:p w14:paraId="4AB9F8D4" w14:textId="6F8BECDD" w:rsidR="006C70F3" w:rsidRPr="004F7195" w:rsidRDefault="006C70F3" w:rsidP="004F7195">
      <w:pPr>
        <w:pStyle w:val="FootnoteText"/>
        <w:jc w:val="both"/>
        <w:rPr>
          <w:rFonts w:cs="Arial"/>
          <w:sz w:val="16"/>
          <w:szCs w:val="16"/>
          <w:lang w:val="fr-FR"/>
        </w:rPr>
      </w:pPr>
      <w:r w:rsidRPr="004F7195">
        <w:rPr>
          <w:rStyle w:val="FootnoteReference"/>
          <w:rFonts w:cs="Arial"/>
          <w:sz w:val="16"/>
          <w:szCs w:val="16"/>
        </w:rPr>
        <w:footnoteRef/>
      </w:r>
      <w:r w:rsidRPr="004F7195">
        <w:rPr>
          <w:rFonts w:cs="Arial"/>
          <w:sz w:val="16"/>
          <w:szCs w:val="16"/>
          <w:lang w:val="fr-FR"/>
        </w:rPr>
        <w:t xml:space="preserve"> National </w:t>
      </w:r>
      <w:r w:rsidRPr="004F7195">
        <w:rPr>
          <w:rFonts w:cs="Arial"/>
          <w:sz w:val="16"/>
          <w:szCs w:val="16"/>
          <w:lang w:val="fr-FR"/>
        </w:rPr>
        <w:t>Accounts</w:t>
      </w:r>
      <w:r>
        <w:rPr>
          <w:rFonts w:cs="Arial"/>
          <w:sz w:val="16"/>
          <w:szCs w:val="16"/>
          <w:lang w:val="fr-FR"/>
        </w:rPr>
        <w:t>, 2000-2018</w:t>
      </w:r>
    </w:p>
  </w:footnote>
  <w:footnote w:id="23">
    <w:p w14:paraId="77A788E3" w14:textId="6FEF5F59" w:rsidR="006C70F3" w:rsidRDefault="006C70F3" w:rsidP="006042C1">
      <w:pPr>
        <w:pStyle w:val="FootnoteText"/>
        <w:jc w:val="both"/>
        <w:rPr>
          <w:rFonts w:cs="Arial"/>
          <w:bCs/>
          <w:sz w:val="16"/>
          <w:szCs w:val="16"/>
        </w:rPr>
      </w:pPr>
      <w:r w:rsidRPr="004F7195">
        <w:rPr>
          <w:rStyle w:val="FootnoteReference"/>
          <w:sz w:val="16"/>
          <w:szCs w:val="16"/>
        </w:rPr>
        <w:footnoteRef/>
      </w:r>
      <w:r w:rsidRPr="004F7195">
        <w:rPr>
          <w:sz w:val="16"/>
          <w:szCs w:val="16"/>
        </w:rPr>
        <w:t xml:space="preserve"> </w:t>
      </w:r>
      <w:bookmarkStart w:id="16" w:name="_Hlk34056328"/>
      <w:r w:rsidRPr="00E816D0">
        <w:rPr>
          <w:sz w:val="16"/>
          <w:szCs w:val="16"/>
        </w:rPr>
        <w:t>Perova, E.; Caminha, S., “Women Farmers in Timor-Leste: Bridging the Gender Gap in Agricultural Productivity</w:t>
      </w:r>
      <w:r>
        <w:rPr>
          <w:sz w:val="16"/>
          <w:szCs w:val="16"/>
        </w:rPr>
        <w:t>.</w:t>
      </w:r>
      <w:r w:rsidRPr="00E816D0">
        <w:rPr>
          <w:sz w:val="16"/>
          <w:szCs w:val="16"/>
        </w:rPr>
        <w:t>” (Tetum), EAPGIL Policy Briefs; no. 4. Washington, D.C.: World Bank Group and UN Women, 2019, available</w:t>
      </w:r>
    </w:p>
    <w:p w14:paraId="36FF76DE" w14:textId="2EE86DB5" w:rsidR="006C70F3" w:rsidRPr="00BE17F0" w:rsidRDefault="002A37E3">
      <w:pPr>
        <w:pStyle w:val="FootnoteText"/>
        <w:jc w:val="both"/>
        <w:rPr>
          <w:rFonts w:cs="Arial"/>
          <w:bCs/>
          <w:sz w:val="16"/>
          <w:szCs w:val="16"/>
        </w:rPr>
      </w:pPr>
      <w:hyperlink r:id="rId7" w:history="1">
        <w:r w:rsidR="006C70F3" w:rsidRPr="005F4A3B">
          <w:rPr>
            <w:rStyle w:val="Hyperlink"/>
            <w:rFonts w:cs="Arial"/>
            <w:bCs/>
            <w:sz w:val="16"/>
            <w:szCs w:val="16"/>
          </w:rPr>
          <w:t>http://documents.worldbank.org/curated/en/276321544729561229/Women-Farmers-in-Timor-Leste-Bridging-the-Gender-Gap-in-Agricultural-Productivity</w:t>
        </w:r>
      </w:hyperlink>
      <w:r w:rsidR="006C70F3">
        <w:rPr>
          <w:rFonts w:cs="Arial"/>
          <w:bCs/>
          <w:sz w:val="16"/>
          <w:szCs w:val="16"/>
        </w:rPr>
        <w:t xml:space="preserve"> </w:t>
      </w:r>
      <w:bookmarkEnd w:id="16"/>
    </w:p>
  </w:footnote>
  <w:footnote w:id="24">
    <w:p w14:paraId="2646A62A" w14:textId="25C58A94" w:rsidR="006C70F3" w:rsidRPr="004F7195" w:rsidRDefault="006C70F3" w:rsidP="004F7195">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w:t>
      </w:r>
      <w:r w:rsidRPr="004F7195">
        <w:rPr>
          <w:rFonts w:cs="Arial"/>
          <w:bCs/>
          <w:sz w:val="16"/>
          <w:szCs w:val="16"/>
        </w:rPr>
        <w:t xml:space="preserve">Timor-Leste’s Total Fertility Rate has decreased from 6.4 in 2010 to 5.2 children per woman in 2019, </w:t>
      </w:r>
      <w:r>
        <w:rPr>
          <w:rFonts w:cs="Arial"/>
          <w:bCs/>
          <w:sz w:val="16"/>
          <w:szCs w:val="16"/>
        </w:rPr>
        <w:t>however</w:t>
      </w:r>
      <w:r w:rsidRPr="004F7195">
        <w:rPr>
          <w:rFonts w:cs="Arial"/>
          <w:bCs/>
          <w:sz w:val="16"/>
          <w:szCs w:val="16"/>
        </w:rPr>
        <w:t xml:space="preserve"> it is still 2.7 births higher than the global average and almost three times higher than the Asia-Pacific average of 2.1.</w:t>
      </w:r>
      <w:r w:rsidRPr="004F7195">
        <w:rPr>
          <w:rStyle w:val="FootnoteReference"/>
          <w:rFonts w:cs="Arial"/>
          <w:bCs/>
          <w:sz w:val="16"/>
          <w:szCs w:val="16"/>
        </w:rPr>
        <w:footnoteRef/>
      </w:r>
    </w:p>
  </w:footnote>
  <w:footnote w:id="25">
    <w:p w14:paraId="7F616B73" w14:textId="77777777" w:rsidR="006C70F3" w:rsidRPr="004F7195" w:rsidRDefault="006C70F3" w:rsidP="004F7195">
      <w:pPr>
        <w:autoSpaceDE w:val="0"/>
        <w:autoSpaceDN w:val="0"/>
        <w:adjustRightInd w:val="0"/>
        <w:jc w:val="both"/>
        <w:rPr>
          <w:rFonts w:ascii="Arial" w:hAnsi="Arial" w:cs="Arial"/>
          <w:sz w:val="16"/>
          <w:szCs w:val="16"/>
          <w:lang w:val="en-US"/>
        </w:rPr>
      </w:pPr>
      <w:r w:rsidRPr="004F7195">
        <w:rPr>
          <w:rStyle w:val="FootnoteReference"/>
          <w:rFonts w:ascii="Arial" w:hAnsi="Arial" w:cs="Arial"/>
          <w:sz w:val="16"/>
          <w:szCs w:val="16"/>
        </w:rPr>
        <w:footnoteRef/>
      </w:r>
      <w:r w:rsidRPr="004F7195">
        <w:rPr>
          <w:rFonts w:ascii="Arial" w:hAnsi="Arial" w:cs="Arial"/>
          <w:sz w:val="16"/>
          <w:szCs w:val="16"/>
          <w:lang w:val="en-US"/>
        </w:rPr>
        <w:t xml:space="preserve"> In community vitality, the results indicate a 90% deprivation. This outcome reflects eroded community relations among youth, alongside low levels of perceived security and limited social support</w:t>
      </w:r>
    </w:p>
  </w:footnote>
  <w:footnote w:id="26">
    <w:p w14:paraId="576424F2" w14:textId="116E4039" w:rsidR="006C70F3" w:rsidRPr="004F7195" w:rsidRDefault="006C70F3" w:rsidP="004F7195">
      <w:pPr>
        <w:jc w:val="both"/>
        <w:rPr>
          <w:rFonts w:ascii="Arial" w:hAnsi="Arial" w:cs="Arial"/>
          <w:sz w:val="16"/>
          <w:szCs w:val="16"/>
          <w:lang w:val="en-US"/>
        </w:rPr>
      </w:pPr>
      <w:r w:rsidRPr="004F7195">
        <w:rPr>
          <w:rStyle w:val="FootnoteReference"/>
          <w:rFonts w:ascii="Arial" w:hAnsi="Arial" w:cs="Arial"/>
          <w:sz w:val="16"/>
          <w:szCs w:val="16"/>
        </w:rPr>
        <w:footnoteRef/>
      </w:r>
      <w:r w:rsidRPr="004F7195">
        <w:rPr>
          <w:rFonts w:ascii="Arial" w:hAnsi="Arial" w:cs="Arial"/>
          <w:sz w:val="16"/>
          <w:szCs w:val="16"/>
          <w:lang w:val="en-US"/>
        </w:rPr>
        <w:t xml:space="preserve"> </w:t>
      </w:r>
      <w:r>
        <w:rPr>
          <w:rFonts w:ascii="Arial" w:hAnsi="Arial" w:cs="Arial"/>
          <w:bCs/>
          <w:sz w:val="16"/>
          <w:szCs w:val="16"/>
          <w:lang w:val="en-US"/>
        </w:rPr>
        <w:t>UNDP HDR 2018</w:t>
      </w:r>
    </w:p>
  </w:footnote>
  <w:footnote w:id="27">
    <w:p w14:paraId="37EA2FA8" w14:textId="77777777" w:rsidR="006C70F3" w:rsidRPr="004F7195" w:rsidRDefault="006C70F3" w:rsidP="004F7195">
      <w:pPr>
        <w:autoSpaceDE w:val="0"/>
        <w:autoSpaceDN w:val="0"/>
        <w:adjustRightInd w:val="0"/>
        <w:jc w:val="both"/>
        <w:rPr>
          <w:rFonts w:ascii="Arial" w:hAnsi="Arial" w:cs="Arial"/>
          <w:sz w:val="16"/>
          <w:szCs w:val="16"/>
          <w:lang w:val="en-US"/>
        </w:rPr>
      </w:pPr>
      <w:r w:rsidRPr="004F7195">
        <w:rPr>
          <w:rStyle w:val="FootnoteReference"/>
          <w:rFonts w:ascii="Arial" w:hAnsi="Arial" w:cs="Arial"/>
          <w:sz w:val="16"/>
          <w:szCs w:val="16"/>
        </w:rPr>
        <w:footnoteRef/>
      </w:r>
      <w:r w:rsidRPr="004F7195">
        <w:rPr>
          <w:rFonts w:ascii="Arial" w:hAnsi="Arial" w:cs="Arial"/>
          <w:sz w:val="16"/>
          <w:szCs w:val="16"/>
          <w:lang w:val="en-US"/>
        </w:rPr>
        <w:t xml:space="preserve"> Measuring unemployment in low-income countries can be challenging due to an often large informal sector, seasonal employment and subsistence agriculture. Another measure of how well a </w:t>
      </w:r>
      <w:r w:rsidRPr="004F7195">
        <w:rPr>
          <w:rFonts w:ascii="Arial" w:hAnsi="Arial" w:cs="Arial"/>
          <w:sz w:val="16"/>
          <w:szCs w:val="16"/>
          <w:lang w:val="en-US"/>
        </w:rPr>
        <w:t>labour market is able to absorb the working age population is the labour force participation rate, which measures the extent to which the working-age population is economically active. It is defined as the ratio of the labour force to the working age population expressed in % terms employment-to-population ratio, an expression of the %age of the working age population that is employed.</w:t>
      </w:r>
    </w:p>
  </w:footnote>
  <w:footnote w:id="28">
    <w:p w14:paraId="2E330E68" w14:textId="3A858890" w:rsidR="006C70F3" w:rsidRPr="004F7195" w:rsidRDefault="006C70F3" w:rsidP="004F7195">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General Directorate of Statistics</w:t>
      </w:r>
      <w:r>
        <w:rPr>
          <w:rFonts w:cs="Arial"/>
          <w:sz w:val="16"/>
          <w:szCs w:val="16"/>
        </w:rPr>
        <w:t xml:space="preserve">, </w:t>
      </w:r>
      <w:r w:rsidRPr="004F7195">
        <w:rPr>
          <w:rFonts w:cs="Arial"/>
          <w:sz w:val="16"/>
          <w:szCs w:val="16"/>
        </w:rPr>
        <w:t xml:space="preserve">Timor-Leste </w:t>
      </w:r>
      <w:r w:rsidRPr="004F7195">
        <w:rPr>
          <w:rFonts w:cs="Arial"/>
          <w:sz w:val="16"/>
          <w:szCs w:val="16"/>
        </w:rPr>
        <w:t>Labour Force Surveys 2010, 2013 &amp; 2016. Main Trends Based on Harmonized Data</w:t>
      </w:r>
    </w:p>
  </w:footnote>
  <w:footnote w:id="29">
    <w:p w14:paraId="77BC8578" w14:textId="130029A7" w:rsidR="006C70F3" w:rsidRPr="004F7195" w:rsidRDefault="006C70F3" w:rsidP="004F7195">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w:t>
      </w:r>
      <w:r>
        <w:rPr>
          <w:rFonts w:cs="Arial"/>
          <w:sz w:val="16"/>
          <w:szCs w:val="16"/>
        </w:rPr>
        <w:t>MOF GDS, LFS,</w:t>
      </w:r>
      <w:r w:rsidRPr="004F7195">
        <w:rPr>
          <w:rFonts w:cs="Arial"/>
          <w:sz w:val="16"/>
          <w:szCs w:val="16"/>
        </w:rPr>
        <w:t xml:space="preserve"> 2013</w:t>
      </w:r>
    </w:p>
  </w:footnote>
  <w:footnote w:id="30">
    <w:p w14:paraId="165936B2" w14:textId="77777777" w:rsidR="006C70F3" w:rsidRPr="004F7195" w:rsidRDefault="006C70F3" w:rsidP="004F7195">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Ibid.</w:t>
      </w:r>
    </w:p>
  </w:footnote>
  <w:footnote w:id="31">
    <w:p w14:paraId="3273B7CA" w14:textId="4B1E92AE" w:rsidR="006C70F3" w:rsidRPr="004F7195" w:rsidRDefault="006C70F3" w:rsidP="004F7195">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DHS</w:t>
      </w:r>
      <w:r>
        <w:rPr>
          <w:rFonts w:cs="Arial"/>
          <w:sz w:val="16"/>
          <w:szCs w:val="16"/>
        </w:rPr>
        <w:t>,</w:t>
      </w:r>
      <w:r w:rsidRPr="004F7195">
        <w:rPr>
          <w:rFonts w:cs="Arial"/>
          <w:sz w:val="16"/>
          <w:szCs w:val="16"/>
        </w:rPr>
        <w:t xml:space="preserve"> 2016</w:t>
      </w:r>
    </w:p>
  </w:footnote>
  <w:footnote w:id="32">
    <w:p w14:paraId="50E79D1E" w14:textId="7295326B" w:rsidR="006C70F3" w:rsidRPr="004F7195" w:rsidRDefault="006C70F3" w:rsidP="004F7195">
      <w:pPr>
        <w:jc w:val="both"/>
        <w:rPr>
          <w:rFonts w:ascii="Arial" w:eastAsia="Times New Roman" w:hAnsi="Arial" w:cs="Arial"/>
          <w:sz w:val="16"/>
          <w:szCs w:val="16"/>
          <w:lang w:val="en-US" w:eastAsia="fr-FR"/>
        </w:rPr>
      </w:pPr>
      <w:r w:rsidRPr="004F7195">
        <w:rPr>
          <w:rStyle w:val="FootnoteReference"/>
          <w:rFonts w:ascii="Arial" w:hAnsi="Arial" w:cs="Arial"/>
          <w:sz w:val="16"/>
          <w:szCs w:val="16"/>
        </w:rPr>
        <w:footnoteRef/>
      </w:r>
      <w:r w:rsidRPr="004F7195">
        <w:rPr>
          <w:rFonts w:ascii="Arial" w:hAnsi="Arial" w:cs="Arial"/>
          <w:sz w:val="16"/>
          <w:szCs w:val="16"/>
          <w:lang w:val="en-US"/>
        </w:rPr>
        <w:t xml:space="preserve"> </w:t>
      </w:r>
      <w:r w:rsidRPr="00883666">
        <w:rPr>
          <w:rFonts w:ascii="Arial" w:hAnsi="Arial" w:cs="Arial"/>
          <w:sz w:val="16"/>
          <w:szCs w:val="16"/>
        </w:rPr>
        <w:t xml:space="preserve">United Nations </w:t>
      </w:r>
      <w:r w:rsidRPr="00883666">
        <w:rPr>
          <w:rFonts w:ascii="Arial" w:hAnsi="Arial" w:cs="Arial"/>
          <w:sz w:val="16"/>
          <w:szCs w:val="16"/>
        </w:rPr>
        <w:t>Children’s Fund (UNICEF) and World Health Organization (WHO), Joint Monitoring Programme (JMP), “Progress on Household Drinking Water, Sanitation and Hygiene 2000-2017, Special Focus on Inequalities</w:t>
      </w:r>
      <w:r>
        <w:rPr>
          <w:rFonts w:ascii="Arial" w:hAnsi="Arial" w:cs="Arial"/>
          <w:sz w:val="16"/>
          <w:szCs w:val="16"/>
        </w:rPr>
        <w:t>.</w:t>
      </w:r>
      <w:r w:rsidRPr="00883666">
        <w:rPr>
          <w:rFonts w:ascii="Arial" w:hAnsi="Arial" w:cs="Arial"/>
          <w:sz w:val="16"/>
          <w:szCs w:val="16"/>
        </w:rPr>
        <w:t>” 2019.</w:t>
      </w:r>
    </w:p>
  </w:footnote>
  <w:footnote w:id="33">
    <w:p w14:paraId="60835A78" w14:textId="77777777" w:rsidR="006C70F3" w:rsidRPr="004F7195" w:rsidRDefault="006C70F3" w:rsidP="004F7195">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Ibid.</w:t>
      </w:r>
    </w:p>
  </w:footnote>
  <w:footnote w:id="34">
    <w:p w14:paraId="2A328DE1" w14:textId="77777777" w:rsidR="006C70F3" w:rsidRPr="004F7195" w:rsidRDefault="006C70F3" w:rsidP="004F7195">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DHS, 2016</w:t>
      </w:r>
    </w:p>
  </w:footnote>
  <w:footnote w:id="35">
    <w:p w14:paraId="4B24F1CE" w14:textId="3B2360E8" w:rsidR="006C70F3" w:rsidRPr="004F7195" w:rsidRDefault="006C70F3" w:rsidP="004F7195">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Infrastructure Fund finances large-scale infrastructure projects.  The funds are allocated annually from the national budget.</w:t>
      </w:r>
    </w:p>
  </w:footnote>
  <w:footnote w:id="36">
    <w:p w14:paraId="7079B3DF" w14:textId="2C2052C2" w:rsidR="006C70F3" w:rsidRPr="004F7195" w:rsidRDefault="006C70F3" w:rsidP="004F7195">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w:t>
      </w:r>
      <w:r w:rsidRPr="003044E1">
        <w:rPr>
          <w:rFonts w:cs="Arial"/>
          <w:sz w:val="16"/>
          <w:szCs w:val="16"/>
        </w:rPr>
        <w:t>GoTL</w:t>
      </w:r>
      <w:r>
        <w:rPr>
          <w:rFonts w:cs="Arial"/>
          <w:sz w:val="16"/>
          <w:szCs w:val="16"/>
        </w:rPr>
        <w:t xml:space="preserve"> </w:t>
      </w:r>
      <w:r w:rsidRPr="003044E1">
        <w:rPr>
          <w:rFonts w:cs="Arial"/>
          <w:sz w:val="16"/>
          <w:szCs w:val="16"/>
        </w:rPr>
        <w:t>Strategic Development Plan</w:t>
      </w:r>
      <w:r>
        <w:rPr>
          <w:rFonts w:cs="Arial"/>
          <w:sz w:val="16"/>
          <w:szCs w:val="16"/>
        </w:rPr>
        <w:t>, 2010</w:t>
      </w:r>
    </w:p>
  </w:footnote>
  <w:footnote w:id="37">
    <w:p w14:paraId="67928800" w14:textId="68DB9806" w:rsidR="006C70F3" w:rsidRDefault="006C70F3" w:rsidP="004F7195">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w:t>
      </w:r>
      <w:bookmarkStart w:id="17" w:name="_Hlk34057561"/>
      <w:r w:rsidRPr="004F7195">
        <w:rPr>
          <w:rFonts w:cs="Arial"/>
          <w:sz w:val="16"/>
          <w:szCs w:val="16"/>
        </w:rPr>
        <w:t xml:space="preserve">United Nations Office on Drugs and Crime (UNDOC). Timor-Leste </w:t>
      </w:r>
      <w:r>
        <w:rPr>
          <w:rFonts w:cs="Arial"/>
          <w:sz w:val="16"/>
          <w:szCs w:val="16"/>
        </w:rPr>
        <w:t>C</w:t>
      </w:r>
      <w:r w:rsidRPr="004F7195">
        <w:rPr>
          <w:rFonts w:cs="Arial"/>
          <w:sz w:val="16"/>
          <w:szCs w:val="16"/>
        </w:rPr>
        <w:t xml:space="preserve">ountry </w:t>
      </w:r>
      <w:r>
        <w:rPr>
          <w:rFonts w:cs="Arial"/>
          <w:sz w:val="16"/>
          <w:szCs w:val="16"/>
        </w:rPr>
        <w:t>P</w:t>
      </w:r>
      <w:r w:rsidRPr="004F7195">
        <w:rPr>
          <w:rFonts w:cs="Arial"/>
          <w:sz w:val="16"/>
          <w:szCs w:val="16"/>
        </w:rPr>
        <w:t>rofile</w:t>
      </w:r>
      <w:r>
        <w:rPr>
          <w:rFonts w:cs="Arial"/>
          <w:sz w:val="16"/>
          <w:szCs w:val="16"/>
        </w:rPr>
        <w:t>, 2019, n.d. , available</w:t>
      </w:r>
    </w:p>
    <w:p w14:paraId="171B015D" w14:textId="022ED1B1" w:rsidR="006C70F3" w:rsidRPr="004F7195" w:rsidRDefault="006C70F3" w:rsidP="004F7195">
      <w:pPr>
        <w:pStyle w:val="FootnoteText"/>
        <w:jc w:val="both"/>
        <w:rPr>
          <w:rFonts w:cs="Arial"/>
          <w:sz w:val="16"/>
          <w:szCs w:val="16"/>
        </w:rPr>
      </w:pPr>
      <w:r>
        <w:rPr>
          <w:rFonts w:cs="Arial"/>
          <w:sz w:val="16"/>
          <w:szCs w:val="16"/>
        </w:rPr>
        <w:t xml:space="preserve"> </w:t>
      </w:r>
      <w:hyperlink r:id="rId8" w:history="1">
        <w:r w:rsidRPr="004F7195">
          <w:rPr>
            <w:rStyle w:val="Hyperlink"/>
            <w:rFonts w:cs="Arial"/>
            <w:sz w:val="16"/>
            <w:szCs w:val="16"/>
          </w:rPr>
          <w:t>https://www.unodc.org/unodc/treaties/CAC/country-profile/CountryProfile.html?code=TLS</w:t>
        </w:r>
      </w:hyperlink>
      <w:bookmarkEnd w:id="17"/>
    </w:p>
  </w:footnote>
  <w:footnote w:id="38">
    <w:p w14:paraId="02100E80" w14:textId="592F22CE" w:rsidR="006C70F3" w:rsidRPr="004F7195" w:rsidRDefault="006C70F3" w:rsidP="002E4CB0">
      <w:pPr>
        <w:pStyle w:val="FootnoteText"/>
        <w:jc w:val="both"/>
        <w:rPr>
          <w:rFonts w:cs="Arial"/>
          <w:sz w:val="16"/>
          <w:szCs w:val="16"/>
        </w:rPr>
      </w:pPr>
      <w:r w:rsidRPr="004F7195">
        <w:rPr>
          <w:rStyle w:val="FootnoteReference"/>
          <w:rFonts w:cs="Arial"/>
          <w:sz w:val="16"/>
          <w:szCs w:val="16"/>
        </w:rPr>
        <w:footnoteRef/>
      </w:r>
      <w:r w:rsidRPr="004F7195">
        <w:rPr>
          <w:rFonts w:cs="Arial"/>
          <w:sz w:val="16"/>
          <w:szCs w:val="16"/>
        </w:rPr>
        <w:t xml:space="preserve"> </w:t>
      </w:r>
      <w:r w:rsidRPr="002E4CB0">
        <w:rPr>
          <w:rFonts w:cs="Arial"/>
          <w:sz w:val="16"/>
          <w:szCs w:val="16"/>
        </w:rPr>
        <w:t xml:space="preserve">World Bank, Enterprise Survey 2015, 2017, available </w:t>
      </w:r>
      <w:hyperlink r:id="rId9" w:history="1">
        <w:r w:rsidRPr="00C427ED">
          <w:rPr>
            <w:rStyle w:val="Hyperlink"/>
            <w:rFonts w:cs="Arial"/>
            <w:sz w:val="16"/>
            <w:szCs w:val="16"/>
          </w:rPr>
          <w:t>https://microdata.worldbank.org/index.php/catalog/2806</w:t>
        </w:r>
      </w:hyperlink>
      <w:r>
        <w:rPr>
          <w:rFonts w:cs="Arial"/>
          <w:sz w:val="16"/>
          <w:szCs w:val="16"/>
        </w:rPr>
        <w:t xml:space="preserve"> </w:t>
      </w:r>
      <w:r w:rsidRPr="002E4CB0">
        <w:rPr>
          <w:rFonts w:cs="Arial"/>
          <w:sz w:val="16"/>
          <w:szCs w:val="16"/>
        </w:rPr>
        <w:t xml:space="preserve"> </w:t>
      </w:r>
      <w:r>
        <w:rPr>
          <w:rFonts w:cs="Arial"/>
          <w:sz w:val="16"/>
          <w:szCs w:val="16"/>
        </w:rPr>
        <w:t xml:space="preserve"> </w:t>
      </w:r>
    </w:p>
  </w:footnote>
  <w:footnote w:id="39">
    <w:p w14:paraId="0CFFBC71" w14:textId="305DAF70" w:rsidR="006C70F3" w:rsidRPr="004F7195" w:rsidRDefault="006C70F3" w:rsidP="004F7195">
      <w:pPr>
        <w:jc w:val="both"/>
        <w:rPr>
          <w:rFonts w:ascii="Arial" w:hAnsi="Arial" w:cs="Arial"/>
          <w:sz w:val="16"/>
          <w:szCs w:val="16"/>
          <w:lang w:val="en-US"/>
        </w:rPr>
      </w:pPr>
      <w:r w:rsidRPr="004F7195">
        <w:rPr>
          <w:rStyle w:val="FootnoteReference"/>
          <w:rFonts w:ascii="Arial" w:hAnsi="Arial" w:cs="Arial"/>
          <w:color w:val="000000" w:themeColor="text1"/>
          <w:sz w:val="16"/>
          <w:szCs w:val="16"/>
        </w:rPr>
        <w:footnoteRef/>
      </w:r>
      <w:r w:rsidRPr="004F7195">
        <w:rPr>
          <w:rFonts w:ascii="Arial" w:hAnsi="Arial" w:cs="Arial"/>
          <w:color w:val="000000" w:themeColor="text1"/>
          <w:sz w:val="16"/>
          <w:szCs w:val="16"/>
          <w:lang w:val="en-US"/>
        </w:rPr>
        <w:t xml:space="preserve"> </w:t>
      </w:r>
      <w:r w:rsidRPr="004F7195">
        <w:rPr>
          <w:rFonts w:ascii="Arial" w:hAnsi="Arial" w:cs="Arial"/>
          <w:sz w:val="16"/>
          <w:szCs w:val="16"/>
          <w:lang w:val="en-US"/>
        </w:rPr>
        <w:t>Timor-Leste is party to seven out of nine core UN human rights treaties and four optional protocols</w:t>
      </w:r>
      <w:r>
        <w:rPr>
          <w:rFonts w:ascii="Arial" w:hAnsi="Arial" w:cs="Arial"/>
          <w:sz w:val="16"/>
          <w:szCs w:val="16"/>
          <w:lang w:val="en-US"/>
        </w:rPr>
        <w:t>.</w:t>
      </w:r>
    </w:p>
  </w:footnote>
  <w:footnote w:id="40">
    <w:p w14:paraId="49ED060E" w14:textId="77777777" w:rsidR="006C70F3" w:rsidRPr="004F7195" w:rsidRDefault="006C70F3" w:rsidP="004F7195">
      <w:pPr>
        <w:jc w:val="both"/>
        <w:rPr>
          <w:rFonts w:ascii="Arial" w:hAnsi="Arial" w:cs="Arial"/>
          <w:color w:val="000000" w:themeColor="text1"/>
          <w:sz w:val="16"/>
          <w:szCs w:val="16"/>
          <w:lang w:val="en-US"/>
        </w:rPr>
      </w:pPr>
      <w:r w:rsidRPr="004F7195">
        <w:rPr>
          <w:rStyle w:val="FootnoteReference"/>
          <w:rFonts w:ascii="Arial" w:hAnsi="Arial" w:cs="Arial"/>
          <w:color w:val="000000" w:themeColor="text1"/>
          <w:sz w:val="16"/>
          <w:szCs w:val="16"/>
        </w:rPr>
        <w:footnoteRef/>
      </w:r>
      <w:r w:rsidRPr="004F7195">
        <w:rPr>
          <w:rFonts w:ascii="Arial" w:hAnsi="Arial" w:cs="Arial"/>
          <w:sz w:val="16"/>
          <w:szCs w:val="16"/>
          <w:lang w:val="en-US"/>
        </w:rPr>
        <w:t xml:space="preserve"> </w:t>
      </w:r>
      <w:r w:rsidRPr="004F7195">
        <w:rPr>
          <w:rFonts w:ascii="Arial" w:hAnsi="Arial" w:cs="Arial"/>
          <w:color w:val="000000" w:themeColor="text1"/>
          <w:sz w:val="16"/>
          <w:szCs w:val="16"/>
          <w:lang w:val="en-US"/>
        </w:rPr>
        <w:t>Among others, the country is party to the Refugee Convention, the Rome Statute and the protocol related to human trafficking. Timor-Leste has stated its commitment to ratify the Convention on the Rights of Persons with Disabilities and has already ratified six fundamental ILO Conventions. Although Timor-Leste is party to other-related conventions to Rights of the Child, among other countries, it has not acceded yet to the ILO Convention concerning the Minimum Age for Admission to Employment.</w:t>
      </w:r>
    </w:p>
    <w:p w14:paraId="56E2FFF9" w14:textId="005718D3" w:rsidR="006C70F3" w:rsidRDefault="006C70F3" w:rsidP="00DC7FCD">
      <w:pPr>
        <w:pStyle w:val="FootnoteText"/>
        <w:jc w:val="both"/>
        <w:rPr>
          <w:rFonts w:cs="Arial"/>
          <w:color w:val="000000" w:themeColor="text1"/>
          <w:sz w:val="16"/>
          <w:szCs w:val="16"/>
        </w:rPr>
      </w:pPr>
      <w:r w:rsidRPr="004F7195">
        <w:rPr>
          <w:rFonts w:cs="Arial"/>
          <w:sz w:val="16"/>
          <w:szCs w:val="16"/>
        </w:rPr>
        <w:footnoteRef/>
      </w:r>
      <w:r w:rsidRPr="004F7195">
        <w:rPr>
          <w:rFonts w:cs="Arial"/>
          <w:color w:val="000000" w:themeColor="text1"/>
          <w:sz w:val="16"/>
          <w:szCs w:val="16"/>
        </w:rPr>
        <w:t>Timor-Leste has signed the International Covenant on Economic, Social and Cultural Rights, the International Covenant on Civil and Political Rights, Convention on the Elimination of Discrimination against Women, Convention against Torture and Convention on the Rights of the Child.</w:t>
      </w:r>
      <w:r>
        <w:rPr>
          <w:rFonts w:cs="Arial"/>
          <w:color w:val="000000" w:themeColor="text1"/>
          <w:sz w:val="16"/>
          <w:szCs w:val="16"/>
        </w:rPr>
        <w:t xml:space="preserve"> </w:t>
      </w:r>
    </w:p>
    <w:p w14:paraId="290C618A" w14:textId="608B30FB" w:rsidR="006C70F3" w:rsidRPr="004F7195" w:rsidRDefault="006C70F3" w:rsidP="005F4A3B">
      <w:pPr>
        <w:pStyle w:val="FootnoteText"/>
        <w:jc w:val="both"/>
        <w:rPr>
          <w:rFonts w:cs="Arial"/>
          <w:color w:val="000000" w:themeColor="text1"/>
          <w:sz w:val="16"/>
          <w:szCs w:val="16"/>
        </w:rPr>
      </w:pPr>
      <w:r w:rsidRPr="004F7195">
        <w:rPr>
          <w:rFonts w:cs="Arial"/>
          <w:color w:val="000000" w:themeColor="text1"/>
          <w:sz w:val="16"/>
          <w:szCs w:val="16"/>
        </w:rPr>
        <w:t xml:space="preserve">The Penal Code (2009), covers some forms of violence against women, the Law against Domestic Violence (2010), Draft Law on Child Protection, National Action Plan for Children (2016-2020), Child and Family Welfare Policy (2015) among other policies </w:t>
      </w:r>
    </w:p>
    <w:p w14:paraId="5B06BBE7" w14:textId="77777777" w:rsidR="006C70F3" w:rsidRPr="004F7195" w:rsidRDefault="006C70F3" w:rsidP="004F7195">
      <w:pPr>
        <w:jc w:val="both"/>
        <w:rPr>
          <w:rFonts w:ascii="Arial" w:hAnsi="Arial" w:cs="Arial"/>
          <w:color w:val="000000" w:themeColor="text1"/>
          <w:sz w:val="16"/>
          <w:szCs w:val="16"/>
          <w:lang w:val="en-US"/>
        </w:rPr>
      </w:pPr>
      <w:r w:rsidRPr="004F7195">
        <w:rPr>
          <w:rFonts w:ascii="Arial" w:hAnsi="Arial" w:cs="Arial"/>
          <w:color w:val="000000" w:themeColor="text1"/>
          <w:sz w:val="16"/>
          <w:szCs w:val="16"/>
          <w:lang w:val="en-US"/>
        </w:rPr>
        <w:t xml:space="preserve">On gender-based violence, Timor </w:t>
      </w:r>
      <w:r w:rsidRPr="004F7195">
        <w:rPr>
          <w:rFonts w:ascii="Arial" w:hAnsi="Arial" w:cs="Arial"/>
          <w:color w:val="000000" w:themeColor="text1"/>
          <w:sz w:val="16"/>
          <w:szCs w:val="16"/>
          <w:lang w:val="en-US"/>
        </w:rPr>
        <w:t xml:space="preserve">Leste has developed a National Action Plans on Gender-Based Violence (2012-2016 and 2017-2021), a National Action Plan on the Women, Peace and Security Agenda (2016-2020), Guidelines to address Sexual Harassment in the Civil Service (2017), the National Police 2018 has a dedicated Gender Strategy, Maubisse Declaration, 2015), National Action Plan for Women in the Private Sector (2014) and attention to address gender inequality in the National Employment Strategy (2017)  </w:t>
      </w:r>
    </w:p>
    <w:p w14:paraId="2C6385C7" w14:textId="77777777" w:rsidR="006C70F3" w:rsidRPr="004F7195" w:rsidRDefault="006C70F3" w:rsidP="004F7195">
      <w:pPr>
        <w:jc w:val="both"/>
        <w:rPr>
          <w:rFonts w:ascii="Arial" w:hAnsi="Arial" w:cs="Arial"/>
          <w:color w:val="000000" w:themeColor="text1"/>
          <w:sz w:val="16"/>
          <w:szCs w:val="16"/>
          <w:lang w:val="en-US"/>
        </w:rPr>
      </w:pPr>
      <w:r w:rsidRPr="004F7195">
        <w:rPr>
          <w:rFonts w:ascii="Arial" w:hAnsi="Arial" w:cs="Arial"/>
          <w:color w:val="000000" w:themeColor="text1"/>
          <w:sz w:val="16"/>
          <w:szCs w:val="16"/>
          <w:lang w:val="en-US"/>
        </w:rPr>
        <w:t>The country has been a signatory to the UN Convention against Corruption (UNCAC) since 2003 and has ratified the Convention 2009, the legal framework includes the Criminal Procedure Code, the Penal Code, the Witness Protection Law, the Anti-Corruption Commission Law, the Public Service Law, the International Judicial Cooperation in Criminal Matters Law, and the Anti-Money-Laundering Law.</w:t>
      </w:r>
    </w:p>
  </w:footnote>
  <w:footnote w:id="41">
    <w:p w14:paraId="010FFC9D" w14:textId="77777777" w:rsidR="006C70F3" w:rsidRPr="004F7195" w:rsidRDefault="006C70F3" w:rsidP="004F7195">
      <w:pPr>
        <w:jc w:val="both"/>
        <w:rPr>
          <w:rFonts w:ascii="Arial" w:hAnsi="Arial" w:cs="Arial"/>
          <w:color w:val="000000" w:themeColor="text1"/>
          <w:sz w:val="16"/>
          <w:szCs w:val="16"/>
          <w:lang w:val="en-US"/>
        </w:rPr>
      </w:pPr>
      <w:r w:rsidRPr="004F7195">
        <w:rPr>
          <w:rStyle w:val="FootnoteReference"/>
          <w:rFonts w:ascii="Arial" w:hAnsi="Arial" w:cs="Arial"/>
          <w:sz w:val="16"/>
          <w:szCs w:val="16"/>
        </w:rPr>
        <w:footnoteRef/>
      </w:r>
      <w:r w:rsidRPr="004F7195">
        <w:rPr>
          <w:rFonts w:ascii="Arial" w:hAnsi="Arial" w:cs="Arial"/>
          <w:sz w:val="16"/>
          <w:szCs w:val="16"/>
          <w:lang w:val="en-US"/>
        </w:rPr>
        <w:t xml:space="preserve"> With the support of the UN, under the leadership of National Human Rights Institution, several training </w:t>
      </w:r>
      <w:r w:rsidRPr="004F7195">
        <w:rPr>
          <w:rFonts w:ascii="Arial" w:hAnsi="Arial" w:cs="Arial"/>
          <w:sz w:val="16"/>
          <w:szCs w:val="16"/>
          <w:lang w:val="en-US"/>
        </w:rPr>
        <w:t xml:space="preserve">programmes on human rights </w:t>
      </w:r>
      <w:r w:rsidRPr="004F7195">
        <w:rPr>
          <w:rFonts w:ascii="Arial" w:hAnsi="Arial" w:cs="Arial"/>
          <w:color w:val="000000" w:themeColor="text1"/>
          <w:sz w:val="16"/>
          <w:szCs w:val="16"/>
          <w:lang w:val="en-US"/>
        </w:rPr>
        <w:t>have been carried out among the security sector, in particular</w:t>
      </w:r>
    </w:p>
  </w:footnote>
  <w:footnote w:id="42">
    <w:p w14:paraId="283DC495" w14:textId="286014EB" w:rsidR="006C70F3" w:rsidRPr="0059474B" w:rsidRDefault="006C70F3" w:rsidP="004F7195">
      <w:pPr>
        <w:jc w:val="both"/>
        <w:rPr>
          <w:rFonts w:ascii="Arial" w:hAnsi="Arial" w:cs="Arial"/>
          <w:sz w:val="16"/>
          <w:szCs w:val="16"/>
          <w:lang w:val="en-US"/>
        </w:rPr>
      </w:pPr>
      <w:r w:rsidRPr="0059474B">
        <w:rPr>
          <w:rStyle w:val="FootnoteReference"/>
          <w:rFonts w:ascii="Arial" w:hAnsi="Arial" w:cs="Arial"/>
          <w:sz w:val="16"/>
          <w:szCs w:val="16"/>
        </w:rPr>
        <w:footnoteRef/>
      </w:r>
      <w:r w:rsidRPr="0059474B">
        <w:rPr>
          <w:rFonts w:ascii="Arial" w:hAnsi="Arial" w:cs="Arial"/>
          <w:sz w:val="16"/>
          <w:szCs w:val="16"/>
          <w:lang w:val="en-US"/>
        </w:rPr>
        <w:t xml:space="preserve"> </w:t>
      </w:r>
      <w:r w:rsidRPr="00953840">
        <w:rPr>
          <w:rFonts w:ascii="Arial" w:hAnsi="Arial" w:cs="Arial"/>
          <w:sz w:val="16"/>
          <w:szCs w:val="16"/>
          <w:lang w:val="en-US"/>
        </w:rPr>
        <w:t xml:space="preserve">The Asia Foundation, “Understanding Violence against Women and Children in Timor-Leste: Findings from the </w:t>
      </w:r>
      <w:r w:rsidRPr="00953840">
        <w:rPr>
          <w:rFonts w:ascii="Arial" w:hAnsi="Arial" w:cs="Arial"/>
          <w:sz w:val="16"/>
          <w:szCs w:val="16"/>
          <w:lang w:val="en-US"/>
        </w:rPr>
        <w:t>Nabilan Baseline Study</w:t>
      </w:r>
      <w:r>
        <w:rPr>
          <w:rFonts w:ascii="Arial" w:hAnsi="Arial" w:cs="Arial"/>
          <w:sz w:val="16"/>
          <w:szCs w:val="16"/>
          <w:lang w:val="en-US"/>
        </w:rPr>
        <w:t>.</w:t>
      </w:r>
      <w:r w:rsidRPr="00953840">
        <w:rPr>
          <w:rFonts w:ascii="Arial" w:hAnsi="Arial" w:cs="Arial"/>
          <w:sz w:val="16"/>
          <w:szCs w:val="16"/>
          <w:lang w:val="en-US"/>
        </w:rPr>
        <w:t>” Dili, 2016.</w:t>
      </w:r>
    </w:p>
  </w:footnote>
  <w:footnote w:id="43">
    <w:p w14:paraId="64AB3E73" w14:textId="2BF17C6D" w:rsidR="006C70F3" w:rsidRPr="0059474B" w:rsidRDefault="006C70F3" w:rsidP="004F7195">
      <w:pPr>
        <w:pStyle w:val="FootnoteText"/>
        <w:jc w:val="both"/>
        <w:rPr>
          <w:sz w:val="16"/>
          <w:szCs w:val="16"/>
        </w:rPr>
      </w:pPr>
      <w:r w:rsidRPr="0059474B">
        <w:rPr>
          <w:rStyle w:val="FootnoteReference"/>
          <w:sz w:val="16"/>
          <w:szCs w:val="16"/>
        </w:rPr>
        <w:footnoteRef/>
      </w:r>
      <w:r w:rsidRPr="0059474B">
        <w:rPr>
          <w:sz w:val="16"/>
          <w:szCs w:val="16"/>
        </w:rPr>
        <w:t xml:space="preserve"> </w:t>
      </w:r>
      <w:r w:rsidRPr="00FA5911">
        <w:rPr>
          <w:sz w:val="16"/>
          <w:szCs w:val="16"/>
        </w:rPr>
        <w:t>United Nations International Children’s Education Fund (UNICEF) Timor-Leste (2016a). “Study on violence against children in and around educational settings</w:t>
      </w:r>
      <w:r>
        <w:rPr>
          <w:sz w:val="16"/>
          <w:szCs w:val="16"/>
        </w:rPr>
        <w:t>.</w:t>
      </w:r>
      <w:r w:rsidRPr="00FA5911">
        <w:rPr>
          <w:sz w:val="16"/>
          <w:szCs w:val="16"/>
        </w:rPr>
        <w:t xml:space="preserve">” Dili, 2016. </w:t>
      </w:r>
    </w:p>
  </w:footnote>
  <w:footnote w:id="44">
    <w:p w14:paraId="1887B612" w14:textId="16B86AC9" w:rsidR="006C70F3" w:rsidRPr="0059474B" w:rsidRDefault="006C70F3" w:rsidP="004F7195">
      <w:pPr>
        <w:pStyle w:val="FootnoteText"/>
        <w:jc w:val="both"/>
        <w:rPr>
          <w:sz w:val="16"/>
          <w:szCs w:val="16"/>
        </w:rPr>
      </w:pPr>
      <w:r w:rsidRPr="0059474B">
        <w:rPr>
          <w:rStyle w:val="FootnoteReference"/>
          <w:sz w:val="16"/>
          <w:szCs w:val="16"/>
        </w:rPr>
        <w:footnoteRef/>
      </w:r>
      <w:r w:rsidRPr="007D576B">
        <w:rPr>
          <w:sz w:val="16"/>
          <w:szCs w:val="16"/>
        </w:rPr>
        <w:t>United Nations International Children’s Education Fund (UNICEF) Timor-Leste</w:t>
      </w:r>
      <w:r>
        <w:rPr>
          <w:sz w:val="16"/>
          <w:szCs w:val="16"/>
        </w:rPr>
        <w:t>,</w:t>
      </w:r>
      <w:r w:rsidRPr="007D576B">
        <w:rPr>
          <w:sz w:val="16"/>
          <w:szCs w:val="16"/>
        </w:rPr>
        <w:t xml:space="preserve"> “Baseline Study of Knowledge, Attitudes and Practices towards Ten Key Focus Areas of Parenting in Timor-Leste</w:t>
      </w:r>
      <w:r>
        <w:rPr>
          <w:sz w:val="16"/>
          <w:szCs w:val="16"/>
        </w:rPr>
        <w:t>.</w:t>
      </w:r>
      <w:r w:rsidRPr="007D576B">
        <w:rPr>
          <w:sz w:val="16"/>
          <w:szCs w:val="16"/>
        </w:rPr>
        <w:t>” Dili, 2017.</w:t>
      </w:r>
      <w:r>
        <w:rPr>
          <w:sz w:val="16"/>
          <w:szCs w:val="16"/>
        </w:rPr>
        <w:t xml:space="preserve"> </w:t>
      </w:r>
      <w:r w:rsidRPr="0059474B">
        <w:rPr>
          <w:sz w:val="16"/>
          <w:szCs w:val="16"/>
        </w:rPr>
        <w:t>This  small-scale UNICEF study</w:t>
      </w:r>
      <w:r>
        <w:rPr>
          <w:sz w:val="16"/>
          <w:szCs w:val="16"/>
        </w:rPr>
        <w:t>,</w:t>
      </w:r>
      <w:r w:rsidRPr="0059474B">
        <w:rPr>
          <w:sz w:val="16"/>
          <w:szCs w:val="16"/>
        </w:rPr>
        <w:t xml:space="preserve"> found that 83% of parents believed that it was sometimes necessary to frighten or threaten their children in order to make them behave, and 46% believed that in order to bring up, raise, or educate a child properly, the child needed to be physically punished.</w:t>
      </w:r>
    </w:p>
  </w:footnote>
  <w:footnote w:id="45">
    <w:p w14:paraId="169C4EBD" w14:textId="3BE55B04" w:rsidR="006C70F3" w:rsidRPr="0059474B" w:rsidRDefault="006C70F3" w:rsidP="004F719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w:t>
      </w:r>
      <w:r w:rsidRPr="004B00F0">
        <w:rPr>
          <w:rFonts w:cs="Arial"/>
          <w:sz w:val="16"/>
          <w:szCs w:val="16"/>
        </w:rPr>
        <w:t>Bündnis Entwicklung Hilft (BEH) and Institute for International Law of Peace and Armed Conflict (IFHV), “The World Risk Report</w:t>
      </w:r>
      <w:r>
        <w:rPr>
          <w:rFonts w:cs="Arial"/>
          <w:sz w:val="16"/>
          <w:szCs w:val="16"/>
        </w:rPr>
        <w:t>.</w:t>
      </w:r>
      <w:r w:rsidRPr="004B00F0">
        <w:rPr>
          <w:rFonts w:cs="Arial"/>
          <w:sz w:val="16"/>
          <w:szCs w:val="16"/>
        </w:rPr>
        <w:t>” 201</w:t>
      </w:r>
      <w:r>
        <w:rPr>
          <w:rFonts w:cs="Arial"/>
          <w:sz w:val="16"/>
          <w:szCs w:val="16"/>
        </w:rPr>
        <w:t>9</w:t>
      </w:r>
      <w:r w:rsidRPr="004B00F0">
        <w:rPr>
          <w:rFonts w:cs="Arial"/>
          <w:sz w:val="16"/>
          <w:szCs w:val="16"/>
        </w:rPr>
        <w:t xml:space="preserve">, </w:t>
      </w:r>
      <w:hyperlink r:id="rId10" w:history="1">
        <w:r w:rsidRPr="00C427ED">
          <w:rPr>
            <w:rStyle w:val="Hyperlink"/>
            <w:rFonts w:cs="Arial"/>
            <w:sz w:val="16"/>
            <w:szCs w:val="16"/>
          </w:rPr>
          <w:t>https://weltrisikobericht.de/english-2/</w:t>
        </w:r>
      </w:hyperlink>
      <w:r>
        <w:rPr>
          <w:rFonts w:cs="Arial"/>
          <w:sz w:val="16"/>
          <w:szCs w:val="16"/>
        </w:rPr>
        <w:t xml:space="preserve"> </w:t>
      </w:r>
    </w:p>
  </w:footnote>
  <w:footnote w:id="46">
    <w:p w14:paraId="1AE29252" w14:textId="68E1728E" w:rsidR="006C70F3" w:rsidRPr="0059474B" w:rsidRDefault="006C70F3" w:rsidP="004F719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w:t>
      </w:r>
      <w:r w:rsidRPr="00AE4107">
        <w:rPr>
          <w:rFonts w:cs="Arial"/>
          <w:sz w:val="16"/>
          <w:szCs w:val="16"/>
        </w:rPr>
        <w:t>Mongabay, Deforestation statistics for Timor-Leste,</w:t>
      </w:r>
      <w:r>
        <w:rPr>
          <w:rFonts w:cs="Arial"/>
          <w:sz w:val="16"/>
          <w:szCs w:val="16"/>
        </w:rPr>
        <w:t xml:space="preserve"> 2018, available </w:t>
      </w:r>
      <w:hyperlink r:id="rId11" w:history="1">
        <w:r w:rsidRPr="00C427ED">
          <w:rPr>
            <w:rStyle w:val="Hyperlink"/>
            <w:rFonts w:cs="Arial"/>
            <w:sz w:val="16"/>
            <w:szCs w:val="16"/>
          </w:rPr>
          <w:t>https://rainforests.mongabay.com/deforestation/archive/Timor-Leste.htm</w:t>
        </w:r>
      </w:hyperlink>
      <w:r w:rsidRPr="00AE4107">
        <w:rPr>
          <w:rFonts w:cs="Arial"/>
          <w:sz w:val="16"/>
          <w:szCs w:val="16"/>
        </w:rPr>
        <w:t xml:space="preserve">. </w:t>
      </w:r>
    </w:p>
  </w:footnote>
  <w:footnote w:id="47">
    <w:p w14:paraId="1080BD74" w14:textId="4FF1E0A3" w:rsidR="006C70F3" w:rsidRPr="0059474B" w:rsidRDefault="006C70F3" w:rsidP="004F719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World Bank</w:t>
      </w:r>
      <w:r>
        <w:rPr>
          <w:rFonts w:cs="Arial"/>
          <w:sz w:val="16"/>
          <w:szCs w:val="16"/>
        </w:rPr>
        <w:t>,</w:t>
      </w:r>
      <w:r w:rsidRPr="0059474B">
        <w:rPr>
          <w:rFonts w:cs="Arial"/>
          <w:sz w:val="16"/>
          <w:szCs w:val="16"/>
        </w:rPr>
        <w:t xml:space="preserve"> 2018</w:t>
      </w:r>
    </w:p>
  </w:footnote>
  <w:footnote w:id="48">
    <w:p w14:paraId="35F0B926" w14:textId="2BF4A414" w:rsidR="006C70F3" w:rsidRPr="0059474B" w:rsidRDefault="006C70F3" w:rsidP="004F719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Census</w:t>
      </w:r>
      <w:r>
        <w:rPr>
          <w:rFonts w:cs="Arial"/>
          <w:sz w:val="16"/>
          <w:szCs w:val="16"/>
        </w:rPr>
        <w:t xml:space="preserve">, </w:t>
      </w:r>
      <w:r w:rsidRPr="0059474B">
        <w:rPr>
          <w:rFonts w:cs="Arial"/>
          <w:sz w:val="16"/>
          <w:szCs w:val="16"/>
        </w:rPr>
        <w:t>2015</w:t>
      </w:r>
    </w:p>
  </w:footnote>
  <w:footnote w:id="49">
    <w:p w14:paraId="6EFBAE82" w14:textId="4396947C" w:rsidR="006C70F3" w:rsidRPr="0059474B" w:rsidRDefault="006C70F3" w:rsidP="004F719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w:t>
      </w:r>
      <w:r>
        <w:rPr>
          <w:rFonts w:cs="Arial"/>
          <w:sz w:val="16"/>
          <w:szCs w:val="16"/>
        </w:rPr>
        <w:t xml:space="preserve">GDS, </w:t>
      </w:r>
      <w:r w:rsidRPr="0059474B">
        <w:rPr>
          <w:rFonts w:cs="Arial"/>
          <w:sz w:val="16"/>
          <w:szCs w:val="16"/>
        </w:rPr>
        <w:t xml:space="preserve">Timor-Leste </w:t>
      </w:r>
      <w:r w:rsidRPr="0059474B">
        <w:rPr>
          <w:rFonts w:cs="Arial"/>
          <w:sz w:val="16"/>
          <w:szCs w:val="16"/>
        </w:rPr>
        <w:t>Labour Force Surveys 2010, 2013 &amp; 2016. Main Trends Based on Harmonized Data</w:t>
      </w:r>
    </w:p>
  </w:footnote>
  <w:footnote w:id="50">
    <w:p w14:paraId="4862AAE9" w14:textId="02CB2F71" w:rsidR="006C70F3" w:rsidRPr="0059474B" w:rsidRDefault="006C70F3" w:rsidP="004F719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Census</w:t>
      </w:r>
      <w:r>
        <w:rPr>
          <w:rFonts w:cs="Arial"/>
          <w:sz w:val="16"/>
          <w:szCs w:val="16"/>
        </w:rPr>
        <w:t xml:space="preserve">, </w:t>
      </w:r>
      <w:r w:rsidRPr="0059474B">
        <w:rPr>
          <w:rFonts w:cs="Arial"/>
          <w:sz w:val="16"/>
          <w:szCs w:val="16"/>
        </w:rPr>
        <w:t>2015</w:t>
      </w:r>
    </w:p>
  </w:footnote>
  <w:footnote w:id="51">
    <w:p w14:paraId="0C4385E3" w14:textId="21A71123" w:rsidR="006C70F3" w:rsidRPr="0059474B" w:rsidRDefault="006C70F3" w:rsidP="004F7195">
      <w:pPr>
        <w:pStyle w:val="FootnoteText"/>
        <w:jc w:val="both"/>
        <w:rPr>
          <w:rFonts w:cs="Arial"/>
          <w:sz w:val="16"/>
          <w:szCs w:val="16"/>
        </w:rPr>
      </w:pPr>
      <w:r w:rsidRPr="0059474B">
        <w:rPr>
          <w:rStyle w:val="FootnoteReference"/>
          <w:rFonts w:cs="Arial"/>
          <w:sz w:val="16"/>
          <w:szCs w:val="16"/>
        </w:rPr>
        <w:footnoteRef/>
      </w:r>
      <w:r>
        <w:rPr>
          <w:rFonts w:cs="Arial"/>
          <w:sz w:val="16"/>
          <w:szCs w:val="16"/>
        </w:rPr>
        <w:t xml:space="preserve"> GDS,</w:t>
      </w:r>
      <w:r w:rsidRPr="0059474B">
        <w:rPr>
          <w:rFonts w:cs="Arial"/>
          <w:sz w:val="16"/>
          <w:szCs w:val="16"/>
        </w:rPr>
        <w:t xml:space="preserve"> National Accounts</w:t>
      </w:r>
      <w:r>
        <w:rPr>
          <w:rFonts w:cs="Arial"/>
          <w:sz w:val="16"/>
          <w:szCs w:val="16"/>
        </w:rPr>
        <w:t xml:space="preserve">, </w:t>
      </w:r>
      <w:r w:rsidRPr="0059474B">
        <w:rPr>
          <w:rFonts w:cs="Arial"/>
          <w:sz w:val="16"/>
          <w:szCs w:val="16"/>
        </w:rPr>
        <w:t>2000-2017</w:t>
      </w:r>
    </w:p>
  </w:footnote>
  <w:footnote w:id="52">
    <w:p w14:paraId="555299AE" w14:textId="77777777" w:rsidR="006C70F3" w:rsidRDefault="006C70F3" w:rsidP="004F719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w:t>
      </w:r>
      <w:r w:rsidRPr="00DF5A8A">
        <w:rPr>
          <w:rFonts w:cs="Arial"/>
          <w:sz w:val="16"/>
          <w:szCs w:val="16"/>
        </w:rPr>
        <w:t>International Monetary Fund (IMF), Democratic Republic of Timor-Leste, Staff report for the 2019 Article IV consultation, 2019, available</w:t>
      </w:r>
    </w:p>
    <w:p w14:paraId="157415C2" w14:textId="121DF459" w:rsidR="006C70F3" w:rsidRPr="0059474B" w:rsidRDefault="002A37E3" w:rsidP="004F7195">
      <w:pPr>
        <w:pStyle w:val="FootnoteText"/>
        <w:jc w:val="both"/>
        <w:rPr>
          <w:rFonts w:cs="Arial"/>
          <w:sz w:val="16"/>
          <w:szCs w:val="16"/>
        </w:rPr>
      </w:pPr>
      <w:hyperlink r:id="rId12" w:history="1">
        <w:r w:rsidR="006C70F3" w:rsidRPr="00C427ED">
          <w:rPr>
            <w:rStyle w:val="Hyperlink"/>
            <w:rFonts w:cs="Arial"/>
            <w:sz w:val="16"/>
            <w:szCs w:val="16"/>
          </w:rPr>
          <w:t>https://www.imf.org/en/Publications/CR/Issues/2019/05/07/Democratic-Republic-of-Timor-Leste-2019-Article-IV-Consultation-Press-Release-Staff-Report-46874</w:t>
        </w:r>
      </w:hyperlink>
      <w:r w:rsidR="006C70F3">
        <w:rPr>
          <w:rFonts w:cs="Arial"/>
          <w:sz w:val="16"/>
          <w:szCs w:val="16"/>
        </w:rPr>
        <w:t xml:space="preserve"> </w:t>
      </w:r>
    </w:p>
  </w:footnote>
  <w:footnote w:id="53">
    <w:p w14:paraId="2173611C" w14:textId="77777777" w:rsidR="006C70F3" w:rsidRPr="0059474B" w:rsidRDefault="006C70F3" w:rsidP="004F719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Ibid.</w:t>
      </w:r>
    </w:p>
  </w:footnote>
  <w:footnote w:id="54">
    <w:p w14:paraId="62613A66" w14:textId="2233BBE5" w:rsidR="006C70F3" w:rsidRPr="0059474B" w:rsidRDefault="006C70F3" w:rsidP="004F719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w:t>
      </w:r>
      <w:r>
        <w:rPr>
          <w:rFonts w:cs="Arial"/>
          <w:sz w:val="16"/>
          <w:szCs w:val="16"/>
        </w:rPr>
        <w:t>Census 2015</w:t>
      </w:r>
    </w:p>
  </w:footnote>
  <w:footnote w:id="55">
    <w:p w14:paraId="1175E91F" w14:textId="0BE09AD9" w:rsidR="006C70F3" w:rsidRPr="0059474B" w:rsidRDefault="006C70F3" w:rsidP="004F719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w:t>
      </w:r>
      <w:r>
        <w:rPr>
          <w:rFonts w:cs="Arial"/>
          <w:sz w:val="16"/>
          <w:szCs w:val="16"/>
        </w:rPr>
        <w:t>MoF GDS, LFS 2013</w:t>
      </w:r>
    </w:p>
  </w:footnote>
  <w:footnote w:id="56">
    <w:p w14:paraId="62EE144F" w14:textId="17360D5F" w:rsidR="006C70F3" w:rsidRPr="0059474B" w:rsidRDefault="006C70F3" w:rsidP="004F719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Ibid</w:t>
      </w:r>
    </w:p>
  </w:footnote>
  <w:footnote w:id="57">
    <w:p w14:paraId="3AE37413" w14:textId="42A13EC3" w:rsidR="006C70F3" w:rsidRPr="0059474B" w:rsidRDefault="006C70F3" w:rsidP="004F7195">
      <w:pPr>
        <w:pStyle w:val="FootnoteText"/>
        <w:jc w:val="both"/>
        <w:rPr>
          <w:rFonts w:cs="Arial"/>
          <w:sz w:val="16"/>
          <w:szCs w:val="16"/>
        </w:rPr>
      </w:pPr>
      <w:r w:rsidRPr="0059474B">
        <w:rPr>
          <w:rStyle w:val="FootnoteReference"/>
          <w:rFonts w:cs="Arial"/>
          <w:sz w:val="16"/>
          <w:szCs w:val="16"/>
        </w:rPr>
        <w:footnoteRef/>
      </w:r>
      <w:r w:rsidRPr="0059474B">
        <w:rPr>
          <w:rFonts w:cs="Arial"/>
          <w:sz w:val="16"/>
          <w:szCs w:val="16"/>
        </w:rPr>
        <w:t xml:space="preserve"> Census</w:t>
      </w:r>
      <w:r>
        <w:rPr>
          <w:rFonts w:cs="Arial"/>
          <w:sz w:val="16"/>
          <w:szCs w:val="16"/>
        </w:rPr>
        <w:t xml:space="preserve">, </w:t>
      </w:r>
      <w:r w:rsidRPr="0059474B">
        <w:rPr>
          <w:rFonts w:cs="Arial"/>
          <w:sz w:val="16"/>
          <w:szCs w:val="16"/>
        </w:rPr>
        <w:t>2015</w:t>
      </w:r>
    </w:p>
  </w:footnote>
  <w:footnote w:id="58">
    <w:p w14:paraId="2C913B1A" w14:textId="3EF1A711" w:rsidR="006C70F3" w:rsidRPr="004F7195" w:rsidRDefault="006C70F3">
      <w:pPr>
        <w:pStyle w:val="FootnoteText"/>
        <w:rPr>
          <w:rFonts w:cs="Arial"/>
          <w:sz w:val="16"/>
          <w:szCs w:val="16"/>
        </w:rPr>
      </w:pPr>
      <w:r w:rsidRPr="004F7195">
        <w:rPr>
          <w:rStyle w:val="FootnoteReference"/>
          <w:rFonts w:cs="Arial"/>
          <w:sz w:val="16"/>
          <w:szCs w:val="16"/>
        </w:rPr>
        <w:footnoteRef/>
      </w:r>
      <w:r w:rsidRPr="004F7195">
        <w:rPr>
          <w:rFonts w:cs="Arial"/>
          <w:sz w:val="16"/>
          <w:szCs w:val="16"/>
        </w:rPr>
        <w:t xml:space="preserve"> MAF IPC</w:t>
      </w:r>
      <w:r>
        <w:rPr>
          <w:rFonts w:cs="Arial"/>
          <w:sz w:val="16"/>
          <w:szCs w:val="16"/>
        </w:rPr>
        <w:t xml:space="preserve">, </w:t>
      </w:r>
      <w:r w:rsidRPr="004F7195">
        <w:rPr>
          <w:rFonts w:cs="Arial"/>
          <w:sz w:val="16"/>
          <w:szCs w:val="16"/>
        </w:rPr>
        <w:t>201</w:t>
      </w:r>
      <w:r>
        <w:rPr>
          <w:rFonts w:cs="Arial"/>
          <w:sz w:val="16"/>
          <w:szCs w:val="16"/>
        </w:rPr>
        <w:t>9</w:t>
      </w:r>
    </w:p>
  </w:footnote>
  <w:footnote w:id="59">
    <w:p w14:paraId="69D7B3D7" w14:textId="48D34DEE" w:rsidR="006C70F3" w:rsidRPr="004F7195" w:rsidRDefault="006C70F3">
      <w:pPr>
        <w:pStyle w:val="FootnoteText"/>
        <w:rPr>
          <w:rFonts w:cs="Arial"/>
          <w:sz w:val="16"/>
          <w:szCs w:val="16"/>
        </w:rPr>
      </w:pPr>
      <w:r w:rsidRPr="004F7195">
        <w:rPr>
          <w:rStyle w:val="FootnoteReference"/>
          <w:rFonts w:cs="Arial"/>
          <w:sz w:val="16"/>
          <w:szCs w:val="16"/>
        </w:rPr>
        <w:footnoteRef/>
      </w:r>
      <w:r>
        <w:rPr>
          <w:rFonts w:cs="Arial"/>
          <w:sz w:val="16"/>
          <w:szCs w:val="16"/>
        </w:rPr>
        <w:t xml:space="preserve">MoH, </w:t>
      </w:r>
      <w:r w:rsidRPr="004F7195">
        <w:rPr>
          <w:rFonts w:cs="Arial"/>
          <w:sz w:val="16"/>
          <w:szCs w:val="16"/>
        </w:rPr>
        <w:t>Timor-Leste Food and Nutrition Survey</w:t>
      </w:r>
      <w:r>
        <w:rPr>
          <w:rFonts w:cs="Arial"/>
          <w:sz w:val="16"/>
          <w:szCs w:val="16"/>
        </w:rPr>
        <w:t xml:space="preserve">, </w:t>
      </w:r>
      <w:r w:rsidRPr="004F7195">
        <w:rPr>
          <w:rFonts w:cs="Arial"/>
          <w:sz w:val="16"/>
          <w:szCs w:val="16"/>
        </w:rPr>
        <w:t>2013</w:t>
      </w:r>
    </w:p>
  </w:footnote>
  <w:footnote w:id="60">
    <w:p w14:paraId="2032A9E6" w14:textId="676E6F0B" w:rsidR="006C70F3" w:rsidRPr="004F7195" w:rsidRDefault="006C70F3" w:rsidP="00B254D7">
      <w:pPr>
        <w:pStyle w:val="FootnoteText"/>
        <w:rPr>
          <w:rFonts w:cs="Arial"/>
          <w:sz w:val="16"/>
          <w:szCs w:val="16"/>
        </w:rPr>
      </w:pPr>
      <w:r w:rsidRPr="004F7195">
        <w:rPr>
          <w:rStyle w:val="FootnoteReference"/>
          <w:rFonts w:cs="Arial"/>
          <w:sz w:val="16"/>
          <w:szCs w:val="16"/>
        </w:rPr>
        <w:footnoteRef/>
      </w:r>
      <w:r w:rsidRPr="004F7195">
        <w:rPr>
          <w:rFonts w:cs="Arial"/>
          <w:sz w:val="16"/>
          <w:szCs w:val="16"/>
        </w:rPr>
        <w:t xml:space="preserve"> Basic water is improved water that is located within 30 minutes collection time. Basic sanitation </w:t>
      </w:r>
      <w:r w:rsidRPr="004F7195">
        <w:rPr>
          <w:rFonts w:eastAsia="Times New Roman" w:cs="Arial"/>
          <w:sz w:val="16"/>
          <w:szCs w:val="16"/>
          <w:lang w:eastAsia="fr-FR"/>
        </w:rPr>
        <w:t xml:space="preserve">services are improved </w:t>
      </w:r>
      <w:r w:rsidRPr="004F7195">
        <w:rPr>
          <w:rFonts w:eastAsia="Times New Roman" w:cs="Arial"/>
          <w:iCs/>
          <w:sz w:val="16"/>
          <w:szCs w:val="16"/>
          <w:lang w:eastAsia="fr-FR"/>
        </w:rPr>
        <w:t>sanitation</w:t>
      </w:r>
      <w:r w:rsidRPr="004F7195">
        <w:rPr>
          <w:rFonts w:eastAsia="Times New Roman" w:cs="Arial"/>
          <w:sz w:val="16"/>
          <w:szCs w:val="16"/>
          <w:lang w:eastAsia="fr-FR"/>
        </w:rPr>
        <w:t xml:space="preserve"> facilities that are not shared with other households.</w:t>
      </w:r>
      <w:r>
        <w:rPr>
          <w:rFonts w:eastAsia="Times New Roman" w:cs="Arial"/>
          <w:sz w:val="16"/>
          <w:szCs w:val="16"/>
          <w:lang w:eastAsia="fr-FR"/>
        </w:rPr>
        <w:t xml:space="preserve"> Source: UNICEF and WHO, JMP, 2019</w:t>
      </w:r>
    </w:p>
  </w:footnote>
  <w:footnote w:id="61">
    <w:p w14:paraId="52ACA54F" w14:textId="7C1D44CA" w:rsidR="006C70F3" w:rsidRPr="004F7195" w:rsidRDefault="006C70F3" w:rsidP="00B254D7">
      <w:pPr>
        <w:pStyle w:val="FootnoteText"/>
        <w:rPr>
          <w:rFonts w:cs="Arial"/>
          <w:sz w:val="16"/>
          <w:szCs w:val="16"/>
        </w:rPr>
      </w:pPr>
      <w:r w:rsidRPr="004F7195">
        <w:rPr>
          <w:rStyle w:val="FootnoteReference"/>
          <w:rFonts w:cs="Arial"/>
          <w:sz w:val="16"/>
          <w:szCs w:val="16"/>
        </w:rPr>
        <w:footnoteRef/>
      </w:r>
      <w:r w:rsidRPr="004F7195">
        <w:rPr>
          <w:rFonts w:cs="Arial"/>
          <w:sz w:val="16"/>
          <w:szCs w:val="16"/>
        </w:rPr>
        <w:t xml:space="preserve"> </w:t>
      </w:r>
      <w:r w:rsidRPr="006F04B0">
        <w:rPr>
          <w:rFonts w:cs="Arial"/>
          <w:sz w:val="16"/>
          <w:szCs w:val="16"/>
        </w:rPr>
        <w:t>Government of Timor-Leste</w:t>
      </w:r>
      <w:r w:rsidRPr="005F4A3B">
        <w:rPr>
          <w:rFonts w:cs="Arial"/>
          <w:sz w:val="16"/>
          <w:szCs w:val="16"/>
        </w:rPr>
        <w:t xml:space="preserve"> (</w:t>
      </w:r>
      <w:r w:rsidRPr="005F4A3B">
        <w:rPr>
          <w:rFonts w:cs="Arial"/>
          <w:sz w:val="16"/>
          <w:szCs w:val="16"/>
        </w:rPr>
        <w:t>GoTL),</w:t>
      </w:r>
      <w:r w:rsidRPr="006F04B0">
        <w:rPr>
          <w:rFonts w:cs="Arial"/>
          <w:sz w:val="16"/>
          <w:szCs w:val="16"/>
        </w:rPr>
        <w:t xml:space="preserve"> Report on Education</w:t>
      </w:r>
      <w:r w:rsidRPr="005F4A3B">
        <w:rPr>
          <w:rFonts w:cs="Arial"/>
          <w:sz w:val="16"/>
          <w:szCs w:val="16"/>
        </w:rPr>
        <w:t>,</w:t>
      </w:r>
      <w:r w:rsidRPr="006F04B0">
        <w:rPr>
          <w:rFonts w:cs="Arial"/>
          <w:sz w:val="16"/>
          <w:szCs w:val="16"/>
        </w:rPr>
        <w:t xml:space="preserve"> 2018</w:t>
      </w:r>
    </w:p>
  </w:footnote>
  <w:footnote w:id="62">
    <w:p w14:paraId="03534559" w14:textId="2585C6D2" w:rsidR="006C70F3" w:rsidRPr="004F7195" w:rsidRDefault="006C70F3" w:rsidP="00B254D7">
      <w:pPr>
        <w:pStyle w:val="FootnoteText"/>
        <w:rPr>
          <w:rFonts w:cs="Arial"/>
          <w:sz w:val="16"/>
          <w:szCs w:val="16"/>
        </w:rPr>
      </w:pPr>
      <w:r w:rsidRPr="004F7195">
        <w:rPr>
          <w:rStyle w:val="FootnoteReference"/>
          <w:rFonts w:cs="Arial"/>
          <w:sz w:val="16"/>
          <w:szCs w:val="16"/>
        </w:rPr>
        <w:footnoteRef/>
      </w:r>
      <w:r w:rsidRPr="004F7195">
        <w:rPr>
          <w:rFonts w:cs="Arial"/>
          <w:sz w:val="16"/>
          <w:szCs w:val="16"/>
        </w:rPr>
        <w:t xml:space="preserve"> </w:t>
      </w:r>
      <w:r w:rsidRPr="00581EE9">
        <w:rPr>
          <w:rFonts w:cs="Arial"/>
          <w:sz w:val="16"/>
          <w:szCs w:val="16"/>
        </w:rPr>
        <w:t xml:space="preserve">Ministry of Agriculture and </w:t>
      </w:r>
      <w:r>
        <w:rPr>
          <w:rFonts w:cs="Arial"/>
          <w:sz w:val="16"/>
          <w:szCs w:val="16"/>
        </w:rPr>
        <w:t>Fisheries</w:t>
      </w:r>
      <w:r w:rsidRPr="00581EE9">
        <w:rPr>
          <w:rFonts w:cs="Arial"/>
          <w:sz w:val="16"/>
          <w:szCs w:val="16"/>
        </w:rPr>
        <w:t xml:space="preserve"> (MAF), General Directorate of Forest, Coffee and Industrial Crops, “Draft National Action Programme to Combat Land Degradation</w:t>
      </w:r>
      <w:r>
        <w:rPr>
          <w:rFonts w:cs="Arial"/>
          <w:sz w:val="16"/>
          <w:szCs w:val="16"/>
        </w:rPr>
        <w:t>.</w:t>
      </w:r>
      <w:r w:rsidRPr="00581EE9">
        <w:rPr>
          <w:rFonts w:cs="Arial"/>
          <w:sz w:val="16"/>
          <w:szCs w:val="16"/>
        </w:rPr>
        <w:t xml:space="preserve">” 2017. </w:t>
      </w:r>
    </w:p>
  </w:footnote>
  <w:footnote w:id="63">
    <w:p w14:paraId="3874F1FB" w14:textId="77777777" w:rsidR="006C70F3" w:rsidRPr="00811EFE" w:rsidRDefault="006C70F3" w:rsidP="002E0A73">
      <w:pPr>
        <w:pStyle w:val="FootnoteText"/>
        <w:rPr>
          <w:sz w:val="16"/>
          <w:szCs w:val="16"/>
        </w:rPr>
      </w:pPr>
      <w:r w:rsidRPr="00811EFE">
        <w:rPr>
          <w:rStyle w:val="FootnoteReference"/>
          <w:sz w:val="16"/>
          <w:szCs w:val="16"/>
        </w:rPr>
        <w:footnoteRef/>
      </w:r>
      <w:r w:rsidRPr="00811EFE">
        <w:rPr>
          <w:sz w:val="16"/>
          <w:szCs w:val="16"/>
        </w:rPr>
        <w:t xml:space="preserve"> </w:t>
      </w:r>
      <w:r w:rsidRPr="00811EFE">
        <w:rPr>
          <w:rFonts w:cs="Times New Roman"/>
          <w:sz w:val="16"/>
          <w:szCs w:val="16"/>
        </w:rPr>
        <w:t>Such as conservation agriculture, permaculture, sustainable co-fisheries, and improved post-harvest and supply chain.</w:t>
      </w:r>
    </w:p>
  </w:footnote>
  <w:footnote w:id="64">
    <w:p w14:paraId="5A5D47EF" w14:textId="1FC186C4" w:rsidR="006C70F3" w:rsidRDefault="006C70F3" w:rsidP="00C95212">
      <w:pPr>
        <w:pStyle w:val="FootnoteText"/>
      </w:pPr>
      <w:r>
        <w:rPr>
          <w:rStyle w:val="FootnoteReference"/>
        </w:rPr>
        <w:footnoteRef/>
      </w:r>
      <w:r>
        <w:t xml:space="preserve"> </w:t>
      </w:r>
      <w:r w:rsidRPr="00100949">
        <w:rPr>
          <w:sz w:val="16"/>
          <w:szCs w:val="16"/>
        </w:rPr>
        <w:t xml:space="preserve">The recent 3rd edition of the World Bank Disease Control Priorities (DCP3) confirms the crucial importance of investing in the first 1,000 days, but also highlights the neglect of investment during the next 7,000 days (or up to age 21). - </w:t>
      </w:r>
      <w:bookmarkStart w:id="31" w:name="_Hlk34060337"/>
      <w:r w:rsidRPr="00100949">
        <w:rPr>
          <w:sz w:val="16"/>
          <w:szCs w:val="16"/>
        </w:rPr>
        <w:t>Bundy, D.A.P., N. de Silva, S. Horton, D. T. Jamison, and G. C. Patton</w:t>
      </w:r>
      <w:r>
        <w:rPr>
          <w:sz w:val="16"/>
          <w:szCs w:val="16"/>
        </w:rPr>
        <w:t>,</w:t>
      </w:r>
      <w:r w:rsidRPr="00100949">
        <w:rPr>
          <w:sz w:val="16"/>
          <w:szCs w:val="16"/>
        </w:rPr>
        <w:t xml:space="preserve"> </w:t>
      </w:r>
      <w:r>
        <w:rPr>
          <w:sz w:val="16"/>
          <w:szCs w:val="16"/>
        </w:rPr>
        <w:t>“</w:t>
      </w:r>
      <w:r w:rsidRPr="00100949">
        <w:rPr>
          <w:sz w:val="16"/>
          <w:szCs w:val="16"/>
        </w:rPr>
        <w:t>Optimizing Education Outcomes: High-Return Investments in School Health for Increased Participation and Learning</w:t>
      </w:r>
      <w:r>
        <w:rPr>
          <w:sz w:val="16"/>
          <w:szCs w:val="16"/>
        </w:rPr>
        <w:t>”,</w:t>
      </w:r>
      <w:r w:rsidRPr="00100949">
        <w:rPr>
          <w:sz w:val="16"/>
          <w:szCs w:val="16"/>
        </w:rPr>
        <w:t xml:space="preserve"> </w:t>
      </w:r>
      <w:r w:rsidRPr="00E55FF3">
        <w:rPr>
          <w:sz w:val="16"/>
          <w:szCs w:val="16"/>
        </w:rPr>
        <w:t>Disease Control Priorities</w:t>
      </w:r>
      <w:r>
        <w:rPr>
          <w:sz w:val="16"/>
          <w:szCs w:val="16"/>
        </w:rPr>
        <w:t>.</w:t>
      </w:r>
      <w:r w:rsidRPr="005F4A3B">
        <w:rPr>
          <w:sz w:val="16"/>
          <w:szCs w:val="16"/>
        </w:rPr>
        <w:t>”</w:t>
      </w:r>
      <w:r w:rsidRPr="005F4A3B">
        <w:rPr>
          <w:i/>
          <w:iCs/>
          <w:sz w:val="16"/>
          <w:szCs w:val="16"/>
        </w:rPr>
        <w:t xml:space="preserve"> </w:t>
      </w:r>
      <w:r w:rsidRPr="00100949">
        <w:rPr>
          <w:sz w:val="16"/>
          <w:szCs w:val="16"/>
        </w:rPr>
        <w:t>(</w:t>
      </w:r>
      <w:r>
        <w:rPr>
          <w:sz w:val="16"/>
          <w:szCs w:val="16"/>
        </w:rPr>
        <w:t>T</w:t>
      </w:r>
      <w:r w:rsidRPr="00100949">
        <w:rPr>
          <w:sz w:val="16"/>
          <w:szCs w:val="16"/>
        </w:rPr>
        <w:t>hird edition)</w:t>
      </w:r>
      <w:r>
        <w:rPr>
          <w:sz w:val="16"/>
          <w:szCs w:val="16"/>
        </w:rPr>
        <w:t>, 2018</w:t>
      </w:r>
      <w:r w:rsidRPr="00100949">
        <w:rPr>
          <w:sz w:val="16"/>
          <w:szCs w:val="16"/>
        </w:rPr>
        <w:t xml:space="preserve">: edited by Jamison D T, R Nugent, H </w:t>
      </w:r>
      <w:r w:rsidRPr="00100949">
        <w:rPr>
          <w:sz w:val="16"/>
          <w:szCs w:val="16"/>
        </w:rPr>
        <w:t>Gelband, S Horton, P Jha, R Laxminarayan, C Mock. Washington, DC: The World Bank</w:t>
      </w:r>
    </w:p>
    <w:bookmarkEnd w:id="31"/>
  </w:footnote>
  <w:footnote w:id="65">
    <w:p w14:paraId="2C980A06" w14:textId="5E5BC9D2" w:rsidR="006C70F3" w:rsidRPr="0059474B" w:rsidRDefault="006C70F3" w:rsidP="004F7195">
      <w:pPr>
        <w:pStyle w:val="FootnoteText"/>
        <w:jc w:val="both"/>
        <w:rPr>
          <w:sz w:val="16"/>
          <w:szCs w:val="16"/>
        </w:rPr>
      </w:pPr>
      <w:r w:rsidRPr="0059474B">
        <w:rPr>
          <w:rStyle w:val="FootnoteReference"/>
          <w:sz w:val="16"/>
          <w:szCs w:val="16"/>
        </w:rPr>
        <w:footnoteRef/>
      </w:r>
      <w:r w:rsidRPr="0059474B">
        <w:rPr>
          <w:sz w:val="16"/>
          <w:szCs w:val="16"/>
          <w:lang w:val="en-GB"/>
        </w:rPr>
        <w:t xml:space="preserve"> </w:t>
      </w:r>
      <w:r w:rsidRPr="00554EBA">
        <w:rPr>
          <w:sz w:val="16"/>
          <w:szCs w:val="16"/>
          <w:lang w:val="en-GB"/>
        </w:rPr>
        <w:t>Secretary of State for Vocational Training and Employment (SEPFOPE), 2014b, “Tracer Study Technical Training Graduates 2014: A tracer study to evaluate the satisfaction and employment prospects for graduates of accredited technical training courses in Timor-Leste</w:t>
      </w:r>
      <w:r>
        <w:rPr>
          <w:sz w:val="16"/>
          <w:szCs w:val="16"/>
          <w:lang w:val="en-GB"/>
        </w:rPr>
        <w:t>.</w:t>
      </w:r>
      <w:r w:rsidRPr="00554EBA">
        <w:rPr>
          <w:sz w:val="16"/>
          <w:szCs w:val="16"/>
          <w:lang w:val="en-GB"/>
        </w:rPr>
        <w:t>” Dili, 2014</w:t>
      </w:r>
    </w:p>
  </w:footnote>
  <w:footnote w:id="66">
    <w:p w14:paraId="3B94A4E4" w14:textId="792958C5" w:rsidR="006C70F3" w:rsidRDefault="006C70F3" w:rsidP="004F7195">
      <w:pPr>
        <w:pStyle w:val="FootnoteText"/>
        <w:jc w:val="both"/>
        <w:rPr>
          <w:sz w:val="16"/>
          <w:szCs w:val="16"/>
        </w:rPr>
      </w:pPr>
      <w:r>
        <w:rPr>
          <w:rStyle w:val="FootnoteReference"/>
          <w:sz w:val="16"/>
          <w:szCs w:val="16"/>
        </w:rPr>
        <w:footnoteRef/>
      </w:r>
      <w:r>
        <w:rPr>
          <w:sz w:val="16"/>
          <w:szCs w:val="16"/>
        </w:rPr>
        <w:t xml:space="preserve"> </w:t>
      </w:r>
      <w:r>
        <w:rPr>
          <w:rFonts w:cs="Arial"/>
          <w:sz w:val="16"/>
          <w:szCs w:val="16"/>
        </w:rPr>
        <w:t>UNDOC, 2009</w:t>
      </w:r>
    </w:p>
  </w:footnote>
  <w:footnote w:id="67">
    <w:p w14:paraId="15CE97E0" w14:textId="423F78F9" w:rsidR="006C70F3" w:rsidRPr="004F7195" w:rsidRDefault="006C70F3" w:rsidP="004F7195">
      <w:pPr>
        <w:pStyle w:val="FootnoteText"/>
        <w:jc w:val="both"/>
        <w:rPr>
          <w:sz w:val="16"/>
          <w:szCs w:val="16"/>
        </w:rPr>
      </w:pPr>
      <w:r w:rsidRPr="004F7195">
        <w:rPr>
          <w:rStyle w:val="FootnoteReference"/>
          <w:sz w:val="16"/>
          <w:szCs w:val="16"/>
        </w:rPr>
        <w:footnoteRef/>
      </w:r>
      <w:r w:rsidRPr="004F7195">
        <w:rPr>
          <w:sz w:val="16"/>
          <w:szCs w:val="16"/>
        </w:rPr>
        <w:t xml:space="preserve"> </w:t>
      </w:r>
      <w:r w:rsidRPr="009D5473">
        <w:rPr>
          <w:sz w:val="16"/>
          <w:szCs w:val="16"/>
        </w:rPr>
        <w:t>Ministry of Finance (</w:t>
      </w:r>
      <w:r w:rsidRPr="009D5473">
        <w:rPr>
          <w:sz w:val="16"/>
          <w:szCs w:val="16"/>
        </w:rPr>
        <w:t>MoF), State Budget 2019 Book 5 – Development Partners, Timor-Leste, 2019</w:t>
      </w:r>
      <w:r>
        <w:rPr>
          <w:sz w:val="16"/>
          <w:szCs w:val="16"/>
        </w:rPr>
        <w:t>.</w:t>
      </w:r>
      <w:r w:rsidRPr="009D5473">
        <w:rPr>
          <w:sz w:val="16"/>
          <w:szCs w:val="16"/>
        </w:rPr>
        <w:t xml:space="preserve"> </w:t>
      </w:r>
    </w:p>
  </w:footnote>
  <w:footnote w:id="68">
    <w:p w14:paraId="4686B2DC" w14:textId="54FD55DB" w:rsidR="006C70F3" w:rsidRPr="0059474B" w:rsidRDefault="006C70F3">
      <w:pPr>
        <w:pStyle w:val="FootnoteText"/>
        <w:rPr>
          <w:sz w:val="16"/>
          <w:szCs w:val="16"/>
        </w:rPr>
      </w:pPr>
      <w:r w:rsidRPr="0059474B">
        <w:rPr>
          <w:rStyle w:val="FootnoteReference"/>
          <w:sz w:val="16"/>
          <w:szCs w:val="16"/>
          <w:lang w:val="fr-FR"/>
        </w:rPr>
        <w:footnoteRef/>
      </w:r>
      <w:r w:rsidRPr="0059474B">
        <w:rPr>
          <w:rStyle w:val="FootnoteReference"/>
          <w:sz w:val="16"/>
          <w:szCs w:val="16"/>
        </w:rPr>
        <w:t xml:space="preserve"> </w:t>
      </w:r>
      <w:r w:rsidRPr="0059474B">
        <w:rPr>
          <w:rFonts w:eastAsia="Times New Roman" w:cs="Arial"/>
          <w:sz w:val="16"/>
          <w:szCs w:val="16"/>
          <w:lang w:eastAsia="fr-FR"/>
        </w:rPr>
        <w:t>A</w:t>
      </w:r>
      <w:r w:rsidRPr="0059474B">
        <w:rPr>
          <w:rStyle w:val="FootnoteReference"/>
          <w:sz w:val="16"/>
          <w:szCs w:val="16"/>
        </w:rPr>
        <w:t xml:space="preserve"> </w:t>
      </w:r>
      <w:r w:rsidRPr="0059474B">
        <w:rPr>
          <w:rFonts w:eastAsia="Times New Roman" w:cs="Arial"/>
          <w:sz w:val="16"/>
          <w:szCs w:val="16"/>
          <w:lang w:eastAsia="fr-FR"/>
        </w:rPr>
        <w:t>mapping of the sector coordination mechanisms has been undertaken and will be the basis for assessing coordination needs</w:t>
      </w:r>
    </w:p>
  </w:footnote>
  <w:footnote w:id="69">
    <w:p w14:paraId="02707AE9" w14:textId="3C3DF55D" w:rsidR="006C70F3" w:rsidRDefault="006C70F3">
      <w:pPr>
        <w:pStyle w:val="FootnoteText"/>
      </w:pPr>
      <w:r>
        <w:rPr>
          <w:rStyle w:val="FootnoteReference"/>
        </w:rPr>
        <w:footnoteRef/>
      </w:r>
      <w:r w:rsidRPr="005F4A3B">
        <w:rPr>
          <w:rFonts w:cs="Arial"/>
          <w:color w:val="000000"/>
          <w:sz w:val="16"/>
          <w:szCs w:val="16"/>
        </w:rPr>
        <w:t xml:space="preserve">United Nations Development Group (UNDG) and International </w:t>
      </w:r>
      <w:r w:rsidRPr="005F4A3B">
        <w:rPr>
          <w:rFonts w:cs="Arial"/>
          <w:color w:val="000000"/>
          <w:sz w:val="16"/>
          <w:szCs w:val="16"/>
        </w:rPr>
        <w:t>Labour Organization (ILO), “UNDG Social Protection Coordination Toolkit: Coordinating the Design and Implementation of Nationally Defined Social Protection Floors.” Geneva, 2016.</w:t>
      </w:r>
    </w:p>
  </w:footnote>
  <w:footnote w:id="70">
    <w:p w14:paraId="1E9E57AA" w14:textId="10C59982" w:rsidR="006C70F3" w:rsidRPr="0059474B" w:rsidRDefault="006C70F3" w:rsidP="004F7184">
      <w:pPr>
        <w:pStyle w:val="Default"/>
        <w:rPr>
          <w:rFonts w:ascii="Arial" w:hAnsi="Arial" w:cs="Arial"/>
          <w:sz w:val="16"/>
          <w:szCs w:val="16"/>
          <w:lang w:val="en-US"/>
        </w:rPr>
      </w:pPr>
      <w:r w:rsidRPr="0059474B">
        <w:rPr>
          <w:rStyle w:val="FootnoteReference"/>
          <w:rFonts w:ascii="Arial" w:hAnsi="Arial" w:cs="Arial"/>
          <w:sz w:val="16"/>
          <w:szCs w:val="16"/>
        </w:rPr>
        <w:footnoteRef/>
      </w:r>
      <w:r w:rsidRPr="0059474B">
        <w:rPr>
          <w:rFonts w:ascii="Arial" w:hAnsi="Arial" w:cs="Arial"/>
          <w:sz w:val="16"/>
          <w:szCs w:val="16"/>
          <w:lang w:val="en-US"/>
        </w:rPr>
        <w:t xml:space="preserve"> A joint </w:t>
      </w:r>
      <w:r w:rsidRPr="0059474B">
        <w:rPr>
          <w:rFonts w:ascii="Arial" w:hAnsi="Arial" w:cs="Arial"/>
          <w:sz w:val="16"/>
          <w:szCs w:val="16"/>
          <w:lang w:val="en-US"/>
        </w:rPr>
        <w:t xml:space="preserve">programme is a set of activities contained in a joint workplan and related Funding Framework, involving two or more UN entities contributing to the same </w:t>
      </w:r>
      <w:r>
        <w:rPr>
          <w:rFonts w:ascii="Arial" w:hAnsi="Arial" w:cs="Arial"/>
          <w:sz w:val="16"/>
          <w:szCs w:val="16"/>
          <w:lang w:val="en-US"/>
        </w:rPr>
        <w:t>UNSDCF</w:t>
      </w:r>
      <w:r w:rsidRPr="0059474B">
        <w:rPr>
          <w:rFonts w:ascii="Arial" w:hAnsi="Arial" w:cs="Arial"/>
          <w:sz w:val="16"/>
          <w:szCs w:val="16"/>
          <w:lang w:val="en-US"/>
        </w:rPr>
        <w:t xml:space="preserve"> outputs. Pooled funding or other funding mechanisms can fund joint programmes. Other stakeholders can be engaged as implementing partners.</w:t>
      </w:r>
      <w:r>
        <w:rPr>
          <w:rFonts w:ascii="Arial" w:hAnsi="Arial" w:cs="Arial"/>
          <w:sz w:val="16"/>
          <w:szCs w:val="16"/>
          <w:lang w:val="en-US"/>
        </w:rPr>
        <w:t xml:space="preserve"> </w:t>
      </w:r>
      <w:r w:rsidRPr="002849E8">
        <w:rPr>
          <w:rFonts w:ascii="Arial" w:hAnsi="Arial" w:cs="Arial"/>
          <w:sz w:val="16"/>
          <w:szCs w:val="16"/>
          <w:lang w:val="en-US"/>
        </w:rPr>
        <w:t>United Nations Sustainable Development Group</w:t>
      </w:r>
      <w:r>
        <w:rPr>
          <w:rFonts w:ascii="Arial" w:hAnsi="Arial" w:cs="Arial"/>
          <w:sz w:val="16"/>
          <w:szCs w:val="16"/>
          <w:lang w:val="en-US"/>
        </w:rPr>
        <w:t xml:space="preserve"> (UNDG)</w:t>
      </w:r>
      <w:r w:rsidRPr="002849E8">
        <w:rPr>
          <w:rFonts w:ascii="Arial" w:hAnsi="Arial" w:cs="Arial"/>
          <w:sz w:val="16"/>
          <w:szCs w:val="16"/>
          <w:lang w:val="en-US"/>
        </w:rPr>
        <w:t>, “United Nations Sustainable Development Cooperation Framework Guidance</w:t>
      </w:r>
      <w:r>
        <w:rPr>
          <w:rFonts w:ascii="Arial" w:hAnsi="Arial" w:cs="Arial"/>
          <w:sz w:val="16"/>
          <w:szCs w:val="16"/>
          <w:lang w:val="en-US"/>
        </w:rPr>
        <w:t>.</w:t>
      </w:r>
      <w:r w:rsidRPr="002849E8">
        <w:rPr>
          <w:rFonts w:ascii="Arial" w:hAnsi="Arial" w:cs="Arial"/>
          <w:sz w:val="16"/>
          <w:szCs w:val="16"/>
          <w:lang w:val="en-US"/>
        </w:rPr>
        <w:t>” 2019.</w:t>
      </w:r>
    </w:p>
  </w:footnote>
  <w:footnote w:id="71">
    <w:p w14:paraId="46D28F4D" w14:textId="4B5047DC" w:rsidR="006C70F3" w:rsidRDefault="006C70F3" w:rsidP="00C246E4">
      <w:pPr>
        <w:pStyle w:val="FootnoteText"/>
        <w:jc w:val="both"/>
      </w:pPr>
      <w:r w:rsidRPr="00C246E4">
        <w:rPr>
          <w:rStyle w:val="FootnoteReference"/>
          <w:sz w:val="16"/>
          <w:szCs w:val="16"/>
        </w:rPr>
        <w:footnoteRef/>
      </w:r>
      <w:r w:rsidRPr="00C246E4">
        <w:rPr>
          <w:sz w:val="16"/>
          <w:szCs w:val="16"/>
        </w:rPr>
        <w:t xml:space="preserve"> </w:t>
      </w:r>
      <w:r>
        <w:rPr>
          <w:sz w:val="16"/>
          <w:szCs w:val="16"/>
          <w:shd w:val="clear" w:color="auto" w:fill="FFFFFF"/>
          <w:lang w:val="en-AU"/>
        </w:rPr>
        <w:t>This can be done through e</w:t>
      </w:r>
      <w:r w:rsidRPr="00C246E4">
        <w:rPr>
          <w:sz w:val="16"/>
          <w:szCs w:val="16"/>
          <w:shd w:val="clear" w:color="auto" w:fill="FFFFFF"/>
          <w:lang w:val="en-AU"/>
        </w:rPr>
        <w:t>nabling the Government to harness the benefits of diaspora engagement and reintegration including the circulation of remittances, experiences, competencies, employment opportunities and innovation to support economic activities such as entrepreneurship, investment, trade amongst others at local and national levels.</w:t>
      </w:r>
    </w:p>
  </w:footnote>
  <w:footnote w:id="72">
    <w:p w14:paraId="5501B7A0" w14:textId="49035CDD" w:rsidR="006C70F3" w:rsidRDefault="006C70F3" w:rsidP="003A41BE">
      <w:pPr>
        <w:pStyle w:val="FootnoteText"/>
      </w:pPr>
      <w:r>
        <w:rPr>
          <w:rStyle w:val="FootnoteReference"/>
        </w:rPr>
        <w:footnoteRef/>
      </w:r>
      <w:r>
        <w:t xml:space="preserve"> The UNSDCF Results Framework is a living document that will be updated regularly, particularly as new baseline data becomes available (ex. Census, DHS, </w:t>
      </w:r>
      <w:r>
        <w:t xml:space="preserve">Labour Force Survey 2020/2021). Targets will therefore also be reviewed and updated as appropriate during the first year(s) of the UNSDCF.   </w:t>
      </w:r>
    </w:p>
  </w:footnote>
  <w:footnote w:id="73">
    <w:p w14:paraId="623425E8" w14:textId="7AB82374" w:rsidR="006C70F3" w:rsidRDefault="006C70F3">
      <w:pPr>
        <w:pStyle w:val="FootnoteText"/>
      </w:pPr>
      <w:r>
        <w:rPr>
          <w:rStyle w:val="FootnoteReference"/>
        </w:rPr>
        <w:footnoteRef/>
      </w:r>
      <w:r>
        <w:t xml:space="preserve"> Timor-Leste Strategic Development Plan (SDP), 2011-2030</w:t>
      </w:r>
    </w:p>
  </w:footnote>
  <w:footnote w:id="74">
    <w:p w14:paraId="3DEE50C3" w14:textId="77777777" w:rsidR="006C70F3" w:rsidRDefault="006C70F3" w:rsidP="003A41BE">
      <w:pPr>
        <w:pStyle w:val="FootnoteText"/>
      </w:pPr>
      <w:r>
        <w:rPr>
          <w:rStyle w:val="FootnoteReference"/>
        </w:rPr>
        <w:footnoteRef/>
      </w:r>
      <w:r>
        <w:t xml:space="preserve"> Targets for Strategic Priority 2 are currently under discussion with relevant Government partners.</w:t>
      </w:r>
    </w:p>
  </w:footnote>
  <w:footnote w:id="75">
    <w:p w14:paraId="7A9D284C" w14:textId="77777777" w:rsidR="006C70F3" w:rsidRPr="00A84B8B" w:rsidRDefault="006C70F3" w:rsidP="003A41BE">
      <w:pPr>
        <w:pStyle w:val="FootnoteText"/>
      </w:pPr>
      <w:r>
        <w:rPr>
          <w:rStyle w:val="FootnoteReference"/>
        </w:rPr>
        <w:footnoteRef/>
      </w:r>
      <w:r>
        <w:t xml:space="preserve"> Low pay = Monthly wages and salaries less than 181 USD (2/3 of median, median = 272 USD)</w:t>
      </w:r>
    </w:p>
  </w:footnote>
  <w:footnote w:id="76">
    <w:p w14:paraId="7A1FD52E" w14:textId="77777777" w:rsidR="006C70F3" w:rsidRDefault="006C70F3" w:rsidP="003A41BE">
      <w:pPr>
        <w:pStyle w:val="FootnoteText"/>
      </w:pPr>
      <w:r>
        <w:rPr>
          <w:rStyle w:val="FootnoteReference"/>
        </w:rPr>
        <w:footnoteRef/>
      </w:r>
      <w:r>
        <w:t xml:space="preserve"> Proxy Indicator: Percentage of health facilities reporting stockouts of essential drugs, Baseline 23.13 (2018), Target: </w:t>
      </w:r>
      <w:r w:rsidRPr="007E58D6">
        <w:t>&lt;5%. Data Source: HMIS, MOH</w:t>
      </w:r>
    </w:p>
  </w:footnote>
  <w:footnote w:id="77">
    <w:p w14:paraId="2E0F8A97" w14:textId="77777777" w:rsidR="006C70F3" w:rsidRPr="0059474B" w:rsidRDefault="006C70F3" w:rsidP="00B567AC">
      <w:pPr>
        <w:pStyle w:val="FootnoteText"/>
        <w:rPr>
          <w:sz w:val="16"/>
          <w:szCs w:val="16"/>
        </w:rPr>
      </w:pPr>
      <w:r w:rsidRPr="0059474B">
        <w:rPr>
          <w:rStyle w:val="FootnoteReference"/>
          <w:sz w:val="16"/>
          <w:szCs w:val="16"/>
        </w:rPr>
        <w:footnoteRef/>
      </w:r>
      <w:r w:rsidRPr="0059474B">
        <w:rPr>
          <w:sz w:val="16"/>
          <w:szCs w:val="16"/>
        </w:rPr>
        <w:t xml:space="preserve"> </w:t>
      </w:r>
      <w:r w:rsidRPr="0059474B">
        <w:rPr>
          <w:rFonts w:ascii="Calibri" w:hAnsi="Calibri" w:cs="Calibri"/>
          <w:color w:val="000000"/>
          <w:sz w:val="16"/>
          <w:szCs w:val="16"/>
        </w:rPr>
        <w:t>In the countries where SBAA [or other agreement depending on country] have not been signed, the standard annex to project documents for use in countries which are not parties to the SBAA should be attached to the Cooperation Framework. These documents together with the workplan constitute the "project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3E78" w14:textId="1828CAB6" w:rsidR="006C70F3" w:rsidRPr="00E15D14" w:rsidRDefault="006C70F3" w:rsidP="00910DAF">
    <w:pPr>
      <w:jc w:val="both"/>
      <w:rPr>
        <w:b/>
        <w:lang w:val="en-US"/>
      </w:rPr>
    </w:pPr>
    <w:r w:rsidRPr="00E15D14">
      <w:rPr>
        <w:b/>
        <w:lang w:val="en-US"/>
      </w:rPr>
      <w:t xml:space="preserve">UNSDCF </w:t>
    </w:r>
    <w:r>
      <w:rPr>
        <w:b/>
        <w:lang w:val="en-US"/>
      </w:rPr>
      <w:t xml:space="preserve">Timor-Leste (2021-2025) </w:t>
    </w:r>
  </w:p>
  <w:p w14:paraId="305C49C1" w14:textId="77777777" w:rsidR="006C70F3" w:rsidRPr="00735636" w:rsidRDefault="006C70F3" w:rsidP="00910DAF">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03E66" w14:textId="428B1947" w:rsidR="006C70F3" w:rsidRPr="00E15D14" w:rsidRDefault="006C70F3" w:rsidP="00910DAF">
    <w:pPr>
      <w:jc w:val="both"/>
      <w:rPr>
        <w:b/>
        <w:lang w:val="en-US"/>
      </w:rPr>
    </w:pPr>
    <w:r w:rsidRPr="00E15D14">
      <w:rPr>
        <w:b/>
        <w:lang w:val="en-US"/>
      </w:rPr>
      <w:t xml:space="preserve">UNSDCF </w:t>
    </w:r>
    <w:r>
      <w:rPr>
        <w:b/>
        <w:lang w:val="en-US"/>
      </w:rPr>
      <w:t>Timor-Leste</w:t>
    </w:r>
    <w:r w:rsidR="00C36DFD">
      <w:rPr>
        <w:b/>
        <w:lang w:val="en-US"/>
      </w:rPr>
      <w:t xml:space="preserve"> (2021-2025)</w:t>
    </w:r>
  </w:p>
  <w:p w14:paraId="68267B2F" w14:textId="77777777" w:rsidR="006C70F3" w:rsidRPr="00735636" w:rsidRDefault="006C70F3" w:rsidP="00910DA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88A"/>
    <w:multiLevelType w:val="hybridMultilevel"/>
    <w:tmpl w:val="2814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58B6"/>
    <w:multiLevelType w:val="hybridMultilevel"/>
    <w:tmpl w:val="B778F0A4"/>
    <w:lvl w:ilvl="0" w:tplc="A396302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519DA"/>
    <w:multiLevelType w:val="hybridMultilevel"/>
    <w:tmpl w:val="EF0E868A"/>
    <w:lvl w:ilvl="0" w:tplc="62ACC312">
      <w:start w:val="15"/>
      <w:numFmt w:val="bullet"/>
      <w:lvlText w:val="-"/>
      <w:lvlJc w:val="left"/>
      <w:pPr>
        <w:ind w:left="720" w:hanging="360"/>
      </w:pPr>
      <w:rPr>
        <w:rFonts w:ascii="Calibri" w:eastAsia="Times New Roman" w:hAnsi="Calibri" w:cs="Calibri" w:hint="default"/>
        <w:b/>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0CA8"/>
    <w:multiLevelType w:val="hybridMultilevel"/>
    <w:tmpl w:val="7E3C5C0C"/>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F2DC9"/>
    <w:multiLevelType w:val="hybridMultilevel"/>
    <w:tmpl w:val="0DD0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E5296"/>
    <w:multiLevelType w:val="hybridMultilevel"/>
    <w:tmpl w:val="26EA55F6"/>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F01D37"/>
    <w:multiLevelType w:val="hybridMultilevel"/>
    <w:tmpl w:val="C2AC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6378"/>
    <w:multiLevelType w:val="hybridMultilevel"/>
    <w:tmpl w:val="91EC9F34"/>
    <w:lvl w:ilvl="0" w:tplc="FD9CD78C">
      <w:start w:val="1"/>
      <w:numFmt w:val="bullet"/>
      <w:lvlText w:val="•"/>
      <w:lvlJc w:val="left"/>
      <w:pPr>
        <w:tabs>
          <w:tab w:val="num" w:pos="720"/>
        </w:tabs>
        <w:ind w:left="720" w:hanging="360"/>
      </w:pPr>
      <w:rPr>
        <w:rFonts w:ascii="Arial" w:hAnsi="Arial" w:hint="default"/>
      </w:rPr>
    </w:lvl>
    <w:lvl w:ilvl="1" w:tplc="CC4AB90A" w:tentative="1">
      <w:start w:val="1"/>
      <w:numFmt w:val="bullet"/>
      <w:lvlText w:val="•"/>
      <w:lvlJc w:val="left"/>
      <w:pPr>
        <w:tabs>
          <w:tab w:val="num" w:pos="1440"/>
        </w:tabs>
        <w:ind w:left="1440" w:hanging="360"/>
      </w:pPr>
      <w:rPr>
        <w:rFonts w:ascii="Arial" w:hAnsi="Arial" w:hint="default"/>
      </w:rPr>
    </w:lvl>
    <w:lvl w:ilvl="2" w:tplc="667C2A14" w:tentative="1">
      <w:start w:val="1"/>
      <w:numFmt w:val="bullet"/>
      <w:lvlText w:val="•"/>
      <w:lvlJc w:val="left"/>
      <w:pPr>
        <w:tabs>
          <w:tab w:val="num" w:pos="2160"/>
        </w:tabs>
        <w:ind w:left="2160" w:hanging="360"/>
      </w:pPr>
      <w:rPr>
        <w:rFonts w:ascii="Arial" w:hAnsi="Arial" w:hint="default"/>
      </w:rPr>
    </w:lvl>
    <w:lvl w:ilvl="3" w:tplc="CFB278C0" w:tentative="1">
      <w:start w:val="1"/>
      <w:numFmt w:val="bullet"/>
      <w:lvlText w:val="•"/>
      <w:lvlJc w:val="left"/>
      <w:pPr>
        <w:tabs>
          <w:tab w:val="num" w:pos="2880"/>
        </w:tabs>
        <w:ind w:left="2880" w:hanging="360"/>
      </w:pPr>
      <w:rPr>
        <w:rFonts w:ascii="Arial" w:hAnsi="Arial" w:hint="default"/>
      </w:rPr>
    </w:lvl>
    <w:lvl w:ilvl="4" w:tplc="ECB0B238" w:tentative="1">
      <w:start w:val="1"/>
      <w:numFmt w:val="bullet"/>
      <w:lvlText w:val="•"/>
      <w:lvlJc w:val="left"/>
      <w:pPr>
        <w:tabs>
          <w:tab w:val="num" w:pos="3600"/>
        </w:tabs>
        <w:ind w:left="3600" w:hanging="360"/>
      </w:pPr>
      <w:rPr>
        <w:rFonts w:ascii="Arial" w:hAnsi="Arial" w:hint="default"/>
      </w:rPr>
    </w:lvl>
    <w:lvl w:ilvl="5" w:tplc="8064151A" w:tentative="1">
      <w:start w:val="1"/>
      <w:numFmt w:val="bullet"/>
      <w:lvlText w:val="•"/>
      <w:lvlJc w:val="left"/>
      <w:pPr>
        <w:tabs>
          <w:tab w:val="num" w:pos="4320"/>
        </w:tabs>
        <w:ind w:left="4320" w:hanging="360"/>
      </w:pPr>
      <w:rPr>
        <w:rFonts w:ascii="Arial" w:hAnsi="Arial" w:hint="default"/>
      </w:rPr>
    </w:lvl>
    <w:lvl w:ilvl="6" w:tplc="0F7C5542" w:tentative="1">
      <w:start w:val="1"/>
      <w:numFmt w:val="bullet"/>
      <w:lvlText w:val="•"/>
      <w:lvlJc w:val="left"/>
      <w:pPr>
        <w:tabs>
          <w:tab w:val="num" w:pos="5040"/>
        </w:tabs>
        <w:ind w:left="5040" w:hanging="360"/>
      </w:pPr>
      <w:rPr>
        <w:rFonts w:ascii="Arial" w:hAnsi="Arial" w:hint="default"/>
      </w:rPr>
    </w:lvl>
    <w:lvl w:ilvl="7" w:tplc="422AD328" w:tentative="1">
      <w:start w:val="1"/>
      <w:numFmt w:val="bullet"/>
      <w:lvlText w:val="•"/>
      <w:lvlJc w:val="left"/>
      <w:pPr>
        <w:tabs>
          <w:tab w:val="num" w:pos="5760"/>
        </w:tabs>
        <w:ind w:left="5760" w:hanging="360"/>
      </w:pPr>
      <w:rPr>
        <w:rFonts w:ascii="Arial" w:hAnsi="Arial" w:hint="default"/>
      </w:rPr>
    </w:lvl>
    <w:lvl w:ilvl="8" w:tplc="5308BB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2B399F"/>
    <w:multiLevelType w:val="hybridMultilevel"/>
    <w:tmpl w:val="80F83FC0"/>
    <w:lvl w:ilvl="0" w:tplc="F4889996">
      <w:start w:val="1"/>
      <w:numFmt w:val="bullet"/>
      <w:lvlText w:val=""/>
      <w:lvlJc w:val="left"/>
      <w:pPr>
        <w:ind w:left="720" w:hanging="360"/>
      </w:pPr>
      <w:rPr>
        <w:rFonts w:ascii="Symbol" w:hAnsi="Symbol" w:hint="default"/>
      </w:rPr>
    </w:lvl>
    <w:lvl w:ilvl="1" w:tplc="A44A57AE">
      <w:start w:val="1"/>
      <w:numFmt w:val="bullet"/>
      <w:lvlText w:val="o"/>
      <w:lvlJc w:val="left"/>
      <w:pPr>
        <w:ind w:left="1440" w:hanging="360"/>
      </w:pPr>
      <w:rPr>
        <w:rFonts w:ascii="Courier New" w:hAnsi="Courier New" w:hint="default"/>
      </w:rPr>
    </w:lvl>
    <w:lvl w:ilvl="2" w:tplc="3CCCF04C">
      <w:start w:val="1"/>
      <w:numFmt w:val="bullet"/>
      <w:lvlText w:val=""/>
      <w:lvlJc w:val="left"/>
      <w:pPr>
        <w:ind w:left="2160" w:hanging="360"/>
      </w:pPr>
      <w:rPr>
        <w:rFonts w:ascii="Wingdings" w:hAnsi="Wingdings" w:hint="default"/>
      </w:rPr>
    </w:lvl>
    <w:lvl w:ilvl="3" w:tplc="49B2A548">
      <w:start w:val="1"/>
      <w:numFmt w:val="bullet"/>
      <w:lvlText w:val=""/>
      <w:lvlJc w:val="left"/>
      <w:pPr>
        <w:ind w:left="2880" w:hanging="360"/>
      </w:pPr>
      <w:rPr>
        <w:rFonts w:ascii="Symbol" w:hAnsi="Symbol" w:hint="default"/>
      </w:rPr>
    </w:lvl>
    <w:lvl w:ilvl="4" w:tplc="6256DFFC">
      <w:start w:val="1"/>
      <w:numFmt w:val="bullet"/>
      <w:lvlText w:val="o"/>
      <w:lvlJc w:val="left"/>
      <w:pPr>
        <w:ind w:left="3600" w:hanging="360"/>
      </w:pPr>
      <w:rPr>
        <w:rFonts w:ascii="Courier New" w:hAnsi="Courier New" w:hint="default"/>
      </w:rPr>
    </w:lvl>
    <w:lvl w:ilvl="5" w:tplc="56F8EA6E">
      <w:start w:val="1"/>
      <w:numFmt w:val="bullet"/>
      <w:lvlText w:val=""/>
      <w:lvlJc w:val="left"/>
      <w:pPr>
        <w:ind w:left="4320" w:hanging="360"/>
      </w:pPr>
      <w:rPr>
        <w:rFonts w:ascii="Wingdings" w:hAnsi="Wingdings" w:hint="default"/>
      </w:rPr>
    </w:lvl>
    <w:lvl w:ilvl="6" w:tplc="03EEFBB0">
      <w:start w:val="1"/>
      <w:numFmt w:val="bullet"/>
      <w:lvlText w:val=""/>
      <w:lvlJc w:val="left"/>
      <w:pPr>
        <w:ind w:left="5040" w:hanging="360"/>
      </w:pPr>
      <w:rPr>
        <w:rFonts w:ascii="Symbol" w:hAnsi="Symbol" w:hint="default"/>
      </w:rPr>
    </w:lvl>
    <w:lvl w:ilvl="7" w:tplc="4EC6933C">
      <w:start w:val="1"/>
      <w:numFmt w:val="bullet"/>
      <w:lvlText w:val="o"/>
      <w:lvlJc w:val="left"/>
      <w:pPr>
        <w:ind w:left="5760" w:hanging="360"/>
      </w:pPr>
      <w:rPr>
        <w:rFonts w:ascii="Courier New" w:hAnsi="Courier New" w:hint="default"/>
      </w:rPr>
    </w:lvl>
    <w:lvl w:ilvl="8" w:tplc="E5FEBCBC">
      <w:start w:val="1"/>
      <w:numFmt w:val="bullet"/>
      <w:lvlText w:val=""/>
      <w:lvlJc w:val="left"/>
      <w:pPr>
        <w:ind w:left="6480" w:hanging="360"/>
      </w:pPr>
      <w:rPr>
        <w:rFonts w:ascii="Wingdings" w:hAnsi="Wingdings" w:hint="default"/>
      </w:rPr>
    </w:lvl>
  </w:abstractNum>
  <w:abstractNum w:abstractNumId="9" w15:restartNumberingAfterBreak="0">
    <w:nsid w:val="1A3475E8"/>
    <w:multiLevelType w:val="hybridMultilevel"/>
    <w:tmpl w:val="30B4EA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8720D"/>
    <w:multiLevelType w:val="hybridMultilevel"/>
    <w:tmpl w:val="3C98F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7653E5"/>
    <w:multiLevelType w:val="hybridMultilevel"/>
    <w:tmpl w:val="90CC4F0C"/>
    <w:lvl w:ilvl="0" w:tplc="B2F0130A">
      <w:numFmt w:val="bullet"/>
      <w:lvlText w:val="-"/>
      <w:lvlJc w:val="left"/>
      <w:pPr>
        <w:ind w:left="720" w:hanging="360"/>
      </w:pPr>
      <w:rPr>
        <w:rFonts w:ascii="Calibri" w:eastAsiaTheme="minorHAnsi" w:hAnsi="Calibri" w:cs="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B47549"/>
    <w:multiLevelType w:val="hybridMultilevel"/>
    <w:tmpl w:val="11EE1EDC"/>
    <w:lvl w:ilvl="0" w:tplc="137CFF32">
      <w:start w:val="1"/>
      <w:numFmt w:val="bullet"/>
      <w:lvlText w:val=""/>
      <w:lvlJc w:val="left"/>
      <w:pPr>
        <w:ind w:left="1313"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957CCE"/>
    <w:multiLevelType w:val="hybridMultilevel"/>
    <w:tmpl w:val="8BF0DD1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320C68"/>
    <w:multiLevelType w:val="hybridMultilevel"/>
    <w:tmpl w:val="3CF60E68"/>
    <w:lvl w:ilvl="0" w:tplc="B2F0130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915DFF"/>
    <w:multiLevelType w:val="hybridMultilevel"/>
    <w:tmpl w:val="A7BEB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833C3"/>
    <w:multiLevelType w:val="hybridMultilevel"/>
    <w:tmpl w:val="E85EFA7E"/>
    <w:lvl w:ilvl="0" w:tplc="137CFF32">
      <w:start w:val="1"/>
      <w:numFmt w:val="bullet"/>
      <w:lvlText w:val=""/>
      <w:lvlJc w:val="left"/>
      <w:pPr>
        <w:ind w:left="1313"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5B57AB"/>
    <w:multiLevelType w:val="hybridMultilevel"/>
    <w:tmpl w:val="06A2EC2A"/>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825816"/>
    <w:multiLevelType w:val="multilevel"/>
    <w:tmpl w:val="A7982344"/>
    <w:lvl w:ilvl="0">
      <w:start w:val="1"/>
      <w:numFmt w:val="decimal"/>
      <w:lvlText w:val="%1."/>
      <w:lvlJc w:val="left"/>
      <w:pPr>
        <w:ind w:left="1080" w:hanging="360"/>
      </w:pPr>
      <w:rPr>
        <w:rFonts w:hint="default"/>
        <w:b/>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315833BB"/>
    <w:multiLevelType w:val="hybridMultilevel"/>
    <w:tmpl w:val="B0E6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F344C"/>
    <w:multiLevelType w:val="hybridMultilevel"/>
    <w:tmpl w:val="EEA0F596"/>
    <w:lvl w:ilvl="0" w:tplc="BA4C658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8B32AF"/>
    <w:multiLevelType w:val="hybridMultilevel"/>
    <w:tmpl w:val="BB8E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E6471"/>
    <w:multiLevelType w:val="hybridMultilevel"/>
    <w:tmpl w:val="3A289750"/>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7C0352"/>
    <w:multiLevelType w:val="hybridMultilevel"/>
    <w:tmpl w:val="17847582"/>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643BB1"/>
    <w:multiLevelType w:val="hybridMultilevel"/>
    <w:tmpl w:val="96BE8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64AC6"/>
    <w:multiLevelType w:val="hybridMultilevel"/>
    <w:tmpl w:val="140A2B08"/>
    <w:lvl w:ilvl="0" w:tplc="0908C4A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C315EEC"/>
    <w:multiLevelType w:val="hybridMultilevel"/>
    <w:tmpl w:val="C36EED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AC56D3"/>
    <w:multiLevelType w:val="hybridMultilevel"/>
    <w:tmpl w:val="30DCB9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41EC336B"/>
    <w:multiLevelType w:val="hybridMultilevel"/>
    <w:tmpl w:val="201069D2"/>
    <w:lvl w:ilvl="0" w:tplc="2E98FFF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C664BD"/>
    <w:multiLevelType w:val="hybridMultilevel"/>
    <w:tmpl w:val="F4920B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CA2B06"/>
    <w:multiLevelType w:val="multilevel"/>
    <w:tmpl w:val="6C207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CE44E9"/>
    <w:multiLevelType w:val="hybridMultilevel"/>
    <w:tmpl w:val="284402DE"/>
    <w:lvl w:ilvl="0" w:tplc="D2049596">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9505045"/>
    <w:multiLevelType w:val="hybridMultilevel"/>
    <w:tmpl w:val="3510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17CDF"/>
    <w:multiLevelType w:val="hybridMultilevel"/>
    <w:tmpl w:val="A2E481CE"/>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D7716B3"/>
    <w:multiLevelType w:val="hybridMultilevel"/>
    <w:tmpl w:val="252A342E"/>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C22113"/>
    <w:multiLevelType w:val="hybridMultilevel"/>
    <w:tmpl w:val="40E27B90"/>
    <w:lvl w:ilvl="0" w:tplc="62ACC312">
      <w:start w:val="15"/>
      <w:numFmt w:val="bullet"/>
      <w:lvlText w:val="-"/>
      <w:lvlJc w:val="left"/>
      <w:pPr>
        <w:ind w:left="720" w:hanging="360"/>
      </w:pPr>
      <w:rPr>
        <w:rFonts w:ascii="Calibri" w:eastAsia="Times New Roman" w:hAnsi="Calibri" w:cs="Calibri" w:hint="default"/>
        <w:b/>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216894"/>
    <w:multiLevelType w:val="hybridMultilevel"/>
    <w:tmpl w:val="BBFC5C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F6A6448"/>
    <w:multiLevelType w:val="hybridMultilevel"/>
    <w:tmpl w:val="B754B678"/>
    <w:lvl w:ilvl="0" w:tplc="E18E816E">
      <w:start w:val="1"/>
      <w:numFmt w:val="decimal"/>
      <w:lvlText w:val="%1."/>
      <w:lvlJc w:val="left"/>
      <w:pPr>
        <w:ind w:left="720" w:hanging="360"/>
      </w:pPr>
      <w:rPr>
        <w:rFonts w:cs="Times New Roman" w:hint="default"/>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0C319BB"/>
    <w:multiLevelType w:val="hybridMultilevel"/>
    <w:tmpl w:val="C768700E"/>
    <w:lvl w:ilvl="0" w:tplc="B2F013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B13FAE"/>
    <w:multiLevelType w:val="hybridMultilevel"/>
    <w:tmpl w:val="8F761440"/>
    <w:lvl w:ilvl="0" w:tplc="137CFF32">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5C11A96"/>
    <w:multiLevelType w:val="hybridMultilevel"/>
    <w:tmpl w:val="3B1A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6FB20DE"/>
    <w:multiLevelType w:val="hybridMultilevel"/>
    <w:tmpl w:val="200E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9B1AA9"/>
    <w:multiLevelType w:val="hybridMultilevel"/>
    <w:tmpl w:val="D230F34E"/>
    <w:lvl w:ilvl="0" w:tplc="B2F013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97F36D0"/>
    <w:multiLevelType w:val="hybridMultilevel"/>
    <w:tmpl w:val="2F1C9172"/>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E8B4C4B"/>
    <w:multiLevelType w:val="hybridMultilevel"/>
    <w:tmpl w:val="31586EAC"/>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ED016DA"/>
    <w:multiLevelType w:val="hybridMultilevel"/>
    <w:tmpl w:val="A9DCD060"/>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1B77CA9"/>
    <w:multiLevelType w:val="hybridMultilevel"/>
    <w:tmpl w:val="400EC670"/>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298338C"/>
    <w:multiLevelType w:val="hybridMultilevel"/>
    <w:tmpl w:val="4A04DB44"/>
    <w:lvl w:ilvl="0" w:tplc="B2F013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5874BA3"/>
    <w:multiLevelType w:val="hybridMultilevel"/>
    <w:tmpl w:val="2650434C"/>
    <w:lvl w:ilvl="0" w:tplc="FEC6B772">
      <w:start w:val="3"/>
      <w:numFmt w:val="bullet"/>
      <w:lvlText w:val="-"/>
      <w:lvlJc w:val="left"/>
      <w:pPr>
        <w:ind w:left="720" w:hanging="360"/>
      </w:pPr>
      <w:rPr>
        <w:rFonts w:ascii="Arial" w:eastAsiaTheme="minorHAnsi" w:hAnsi="Arial" w:cs="Arial"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84E4190"/>
    <w:multiLevelType w:val="hybridMultilevel"/>
    <w:tmpl w:val="19C2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A01601"/>
    <w:multiLevelType w:val="hybridMultilevel"/>
    <w:tmpl w:val="9934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115787"/>
    <w:multiLevelType w:val="hybridMultilevel"/>
    <w:tmpl w:val="4F0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4B5AE0"/>
    <w:multiLevelType w:val="hybridMultilevel"/>
    <w:tmpl w:val="F6FA663A"/>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C33333E"/>
    <w:multiLevelType w:val="hybridMultilevel"/>
    <w:tmpl w:val="2E504086"/>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DE94EC7"/>
    <w:multiLevelType w:val="hybridMultilevel"/>
    <w:tmpl w:val="CF3CD67E"/>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E3C3687"/>
    <w:multiLevelType w:val="hybridMultilevel"/>
    <w:tmpl w:val="4FA02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EC41E20"/>
    <w:multiLevelType w:val="hybridMultilevel"/>
    <w:tmpl w:val="75188D6C"/>
    <w:lvl w:ilvl="0" w:tplc="137CFF32">
      <w:start w:val="1"/>
      <w:numFmt w:val="bullet"/>
      <w:lvlText w:val=""/>
      <w:lvlJc w:val="left"/>
      <w:pPr>
        <w:ind w:left="1313" w:hanging="360"/>
      </w:pPr>
      <w:rPr>
        <w:rFonts w:ascii="Wingdings" w:hAnsi="Wingdings" w:hint="default"/>
        <w:sz w:val="24"/>
      </w:rPr>
    </w:lvl>
    <w:lvl w:ilvl="1" w:tplc="040C0003" w:tentative="1">
      <w:start w:val="1"/>
      <w:numFmt w:val="bullet"/>
      <w:lvlText w:val="o"/>
      <w:lvlJc w:val="left"/>
      <w:pPr>
        <w:ind w:left="2033" w:hanging="360"/>
      </w:pPr>
      <w:rPr>
        <w:rFonts w:ascii="Courier New" w:hAnsi="Courier New" w:cs="Courier New" w:hint="default"/>
      </w:rPr>
    </w:lvl>
    <w:lvl w:ilvl="2" w:tplc="040C0005" w:tentative="1">
      <w:start w:val="1"/>
      <w:numFmt w:val="bullet"/>
      <w:lvlText w:val=""/>
      <w:lvlJc w:val="left"/>
      <w:pPr>
        <w:ind w:left="2753" w:hanging="360"/>
      </w:pPr>
      <w:rPr>
        <w:rFonts w:ascii="Wingdings" w:hAnsi="Wingdings" w:hint="default"/>
      </w:rPr>
    </w:lvl>
    <w:lvl w:ilvl="3" w:tplc="040C0001" w:tentative="1">
      <w:start w:val="1"/>
      <w:numFmt w:val="bullet"/>
      <w:lvlText w:val=""/>
      <w:lvlJc w:val="left"/>
      <w:pPr>
        <w:ind w:left="3473" w:hanging="360"/>
      </w:pPr>
      <w:rPr>
        <w:rFonts w:ascii="Symbol" w:hAnsi="Symbol" w:hint="default"/>
      </w:rPr>
    </w:lvl>
    <w:lvl w:ilvl="4" w:tplc="040C0003" w:tentative="1">
      <w:start w:val="1"/>
      <w:numFmt w:val="bullet"/>
      <w:lvlText w:val="o"/>
      <w:lvlJc w:val="left"/>
      <w:pPr>
        <w:ind w:left="4193" w:hanging="360"/>
      </w:pPr>
      <w:rPr>
        <w:rFonts w:ascii="Courier New" w:hAnsi="Courier New" w:cs="Courier New" w:hint="default"/>
      </w:rPr>
    </w:lvl>
    <w:lvl w:ilvl="5" w:tplc="040C0005" w:tentative="1">
      <w:start w:val="1"/>
      <w:numFmt w:val="bullet"/>
      <w:lvlText w:val=""/>
      <w:lvlJc w:val="left"/>
      <w:pPr>
        <w:ind w:left="4913" w:hanging="360"/>
      </w:pPr>
      <w:rPr>
        <w:rFonts w:ascii="Wingdings" w:hAnsi="Wingdings" w:hint="default"/>
      </w:rPr>
    </w:lvl>
    <w:lvl w:ilvl="6" w:tplc="040C0001" w:tentative="1">
      <w:start w:val="1"/>
      <w:numFmt w:val="bullet"/>
      <w:lvlText w:val=""/>
      <w:lvlJc w:val="left"/>
      <w:pPr>
        <w:ind w:left="5633" w:hanging="360"/>
      </w:pPr>
      <w:rPr>
        <w:rFonts w:ascii="Symbol" w:hAnsi="Symbol" w:hint="default"/>
      </w:rPr>
    </w:lvl>
    <w:lvl w:ilvl="7" w:tplc="040C0003" w:tentative="1">
      <w:start w:val="1"/>
      <w:numFmt w:val="bullet"/>
      <w:lvlText w:val="o"/>
      <w:lvlJc w:val="left"/>
      <w:pPr>
        <w:ind w:left="6353" w:hanging="360"/>
      </w:pPr>
      <w:rPr>
        <w:rFonts w:ascii="Courier New" w:hAnsi="Courier New" w:cs="Courier New" w:hint="default"/>
      </w:rPr>
    </w:lvl>
    <w:lvl w:ilvl="8" w:tplc="040C0005" w:tentative="1">
      <w:start w:val="1"/>
      <w:numFmt w:val="bullet"/>
      <w:lvlText w:val=""/>
      <w:lvlJc w:val="left"/>
      <w:pPr>
        <w:ind w:left="7073" w:hanging="360"/>
      </w:pPr>
      <w:rPr>
        <w:rFonts w:ascii="Wingdings" w:hAnsi="Wingdings" w:hint="default"/>
      </w:rPr>
    </w:lvl>
  </w:abstractNum>
  <w:abstractNum w:abstractNumId="57" w15:restartNumberingAfterBreak="0">
    <w:nsid w:val="6FC93647"/>
    <w:multiLevelType w:val="hybridMultilevel"/>
    <w:tmpl w:val="CEE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33685B"/>
    <w:multiLevelType w:val="multilevel"/>
    <w:tmpl w:val="4EB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25750BD"/>
    <w:multiLevelType w:val="hybridMultilevel"/>
    <w:tmpl w:val="5884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6A2B73"/>
    <w:multiLevelType w:val="hybridMultilevel"/>
    <w:tmpl w:val="9E62B308"/>
    <w:lvl w:ilvl="0" w:tplc="B2F0130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6602050"/>
    <w:multiLevelType w:val="hybridMultilevel"/>
    <w:tmpl w:val="8B3E565C"/>
    <w:lvl w:ilvl="0" w:tplc="62ACC312">
      <w:start w:val="15"/>
      <w:numFmt w:val="bullet"/>
      <w:lvlText w:val="-"/>
      <w:lvlJc w:val="left"/>
      <w:pPr>
        <w:ind w:left="720" w:hanging="360"/>
      </w:pPr>
      <w:rPr>
        <w:rFonts w:ascii="Calibri" w:eastAsia="Times New Roman" w:hAnsi="Calibri" w:cs="Calibri" w:hint="default"/>
        <w:b/>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AC7A9F"/>
    <w:multiLevelType w:val="hybridMultilevel"/>
    <w:tmpl w:val="B32C0AD2"/>
    <w:lvl w:ilvl="0" w:tplc="5BECDCDE">
      <w:start w:val="1"/>
      <w:numFmt w:val="decimal"/>
      <w:lvlText w:val="%1."/>
      <w:lvlJc w:val="left"/>
      <w:pPr>
        <w:ind w:left="720" w:hanging="360"/>
      </w:pPr>
      <w:rPr>
        <w:rFonts w:cs="Calibr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6F7455C"/>
    <w:multiLevelType w:val="hybridMultilevel"/>
    <w:tmpl w:val="8B94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640621"/>
    <w:multiLevelType w:val="hybridMultilevel"/>
    <w:tmpl w:val="066E0B96"/>
    <w:lvl w:ilvl="0" w:tplc="5A48DAA8">
      <w:start w:val="6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5" w15:restartNumberingAfterBreak="0">
    <w:nsid w:val="77E42B25"/>
    <w:multiLevelType w:val="hybridMultilevel"/>
    <w:tmpl w:val="E37A4A0C"/>
    <w:lvl w:ilvl="0" w:tplc="1346BD50">
      <w:start w:val="1"/>
      <w:numFmt w:val="bullet"/>
      <w:lvlText w:val="•"/>
      <w:lvlJc w:val="left"/>
      <w:pPr>
        <w:tabs>
          <w:tab w:val="num" w:pos="720"/>
        </w:tabs>
        <w:ind w:left="720" w:hanging="360"/>
      </w:pPr>
      <w:rPr>
        <w:rFonts w:ascii="Arial" w:hAnsi="Arial" w:hint="default"/>
      </w:rPr>
    </w:lvl>
    <w:lvl w:ilvl="1" w:tplc="5C000088">
      <w:start w:val="1"/>
      <w:numFmt w:val="bullet"/>
      <w:lvlText w:val="•"/>
      <w:lvlJc w:val="left"/>
      <w:pPr>
        <w:tabs>
          <w:tab w:val="num" w:pos="1440"/>
        </w:tabs>
        <w:ind w:left="1440" w:hanging="360"/>
      </w:pPr>
      <w:rPr>
        <w:rFonts w:ascii="Arial" w:hAnsi="Arial" w:hint="default"/>
      </w:rPr>
    </w:lvl>
    <w:lvl w:ilvl="2" w:tplc="D3201EF8" w:tentative="1">
      <w:start w:val="1"/>
      <w:numFmt w:val="bullet"/>
      <w:lvlText w:val="•"/>
      <w:lvlJc w:val="left"/>
      <w:pPr>
        <w:tabs>
          <w:tab w:val="num" w:pos="2160"/>
        </w:tabs>
        <w:ind w:left="2160" w:hanging="360"/>
      </w:pPr>
      <w:rPr>
        <w:rFonts w:ascii="Arial" w:hAnsi="Arial" w:hint="default"/>
      </w:rPr>
    </w:lvl>
    <w:lvl w:ilvl="3" w:tplc="638C839A" w:tentative="1">
      <w:start w:val="1"/>
      <w:numFmt w:val="bullet"/>
      <w:lvlText w:val="•"/>
      <w:lvlJc w:val="left"/>
      <w:pPr>
        <w:tabs>
          <w:tab w:val="num" w:pos="2880"/>
        </w:tabs>
        <w:ind w:left="2880" w:hanging="360"/>
      </w:pPr>
      <w:rPr>
        <w:rFonts w:ascii="Arial" w:hAnsi="Arial" w:hint="default"/>
      </w:rPr>
    </w:lvl>
    <w:lvl w:ilvl="4" w:tplc="3FF03122" w:tentative="1">
      <w:start w:val="1"/>
      <w:numFmt w:val="bullet"/>
      <w:lvlText w:val="•"/>
      <w:lvlJc w:val="left"/>
      <w:pPr>
        <w:tabs>
          <w:tab w:val="num" w:pos="3600"/>
        </w:tabs>
        <w:ind w:left="3600" w:hanging="360"/>
      </w:pPr>
      <w:rPr>
        <w:rFonts w:ascii="Arial" w:hAnsi="Arial" w:hint="default"/>
      </w:rPr>
    </w:lvl>
    <w:lvl w:ilvl="5" w:tplc="632CEE84" w:tentative="1">
      <w:start w:val="1"/>
      <w:numFmt w:val="bullet"/>
      <w:lvlText w:val="•"/>
      <w:lvlJc w:val="left"/>
      <w:pPr>
        <w:tabs>
          <w:tab w:val="num" w:pos="4320"/>
        </w:tabs>
        <w:ind w:left="4320" w:hanging="360"/>
      </w:pPr>
      <w:rPr>
        <w:rFonts w:ascii="Arial" w:hAnsi="Arial" w:hint="default"/>
      </w:rPr>
    </w:lvl>
    <w:lvl w:ilvl="6" w:tplc="FDA8E0E4" w:tentative="1">
      <w:start w:val="1"/>
      <w:numFmt w:val="bullet"/>
      <w:lvlText w:val="•"/>
      <w:lvlJc w:val="left"/>
      <w:pPr>
        <w:tabs>
          <w:tab w:val="num" w:pos="5040"/>
        </w:tabs>
        <w:ind w:left="5040" w:hanging="360"/>
      </w:pPr>
      <w:rPr>
        <w:rFonts w:ascii="Arial" w:hAnsi="Arial" w:hint="default"/>
      </w:rPr>
    </w:lvl>
    <w:lvl w:ilvl="7" w:tplc="4BE044AA" w:tentative="1">
      <w:start w:val="1"/>
      <w:numFmt w:val="bullet"/>
      <w:lvlText w:val="•"/>
      <w:lvlJc w:val="left"/>
      <w:pPr>
        <w:tabs>
          <w:tab w:val="num" w:pos="5760"/>
        </w:tabs>
        <w:ind w:left="5760" w:hanging="360"/>
      </w:pPr>
      <w:rPr>
        <w:rFonts w:ascii="Arial" w:hAnsi="Arial" w:hint="default"/>
      </w:rPr>
    </w:lvl>
    <w:lvl w:ilvl="8" w:tplc="A7F0312C"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AD353EE"/>
    <w:multiLevelType w:val="hybridMultilevel"/>
    <w:tmpl w:val="3AAA0F98"/>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BF9459C"/>
    <w:multiLevelType w:val="hybridMultilevel"/>
    <w:tmpl w:val="65A4E576"/>
    <w:lvl w:ilvl="0" w:tplc="B2F01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D7555EE"/>
    <w:multiLevelType w:val="hybridMultilevel"/>
    <w:tmpl w:val="A29244F6"/>
    <w:lvl w:ilvl="0" w:tplc="B2F013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F1258C"/>
    <w:multiLevelType w:val="hybridMultilevel"/>
    <w:tmpl w:val="90AA6ABA"/>
    <w:lvl w:ilvl="0" w:tplc="EA74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37"/>
  </w:num>
  <w:num w:numId="4">
    <w:abstractNumId w:val="34"/>
  </w:num>
  <w:num w:numId="5">
    <w:abstractNumId w:val="11"/>
  </w:num>
  <w:num w:numId="6">
    <w:abstractNumId w:val="33"/>
  </w:num>
  <w:num w:numId="7">
    <w:abstractNumId w:val="52"/>
  </w:num>
  <w:num w:numId="8">
    <w:abstractNumId w:val="22"/>
  </w:num>
  <w:num w:numId="9">
    <w:abstractNumId w:val="44"/>
  </w:num>
  <w:num w:numId="10">
    <w:abstractNumId w:val="67"/>
  </w:num>
  <w:num w:numId="11">
    <w:abstractNumId w:val="66"/>
  </w:num>
  <w:num w:numId="12">
    <w:abstractNumId w:val="23"/>
  </w:num>
  <w:num w:numId="13">
    <w:abstractNumId w:val="5"/>
  </w:num>
  <w:num w:numId="14">
    <w:abstractNumId w:val="54"/>
  </w:num>
  <w:num w:numId="15">
    <w:abstractNumId w:val="45"/>
  </w:num>
  <w:num w:numId="16">
    <w:abstractNumId w:val="43"/>
  </w:num>
  <w:num w:numId="17">
    <w:abstractNumId w:val="27"/>
  </w:num>
  <w:num w:numId="18">
    <w:abstractNumId w:val="9"/>
  </w:num>
  <w:num w:numId="19">
    <w:abstractNumId w:val="15"/>
  </w:num>
  <w:num w:numId="20">
    <w:abstractNumId w:val="65"/>
  </w:num>
  <w:num w:numId="21">
    <w:abstractNumId w:val="14"/>
  </w:num>
  <w:num w:numId="22">
    <w:abstractNumId w:val="25"/>
  </w:num>
  <w:num w:numId="23">
    <w:abstractNumId w:val="47"/>
  </w:num>
  <w:num w:numId="24">
    <w:abstractNumId w:val="42"/>
  </w:num>
  <w:num w:numId="25">
    <w:abstractNumId w:val="38"/>
  </w:num>
  <w:num w:numId="26">
    <w:abstractNumId w:val="46"/>
  </w:num>
  <w:num w:numId="27">
    <w:abstractNumId w:val="53"/>
  </w:num>
  <w:num w:numId="28">
    <w:abstractNumId w:val="36"/>
  </w:num>
  <w:num w:numId="29">
    <w:abstractNumId w:val="28"/>
  </w:num>
  <w:num w:numId="30">
    <w:abstractNumId w:val="17"/>
  </w:num>
  <w:num w:numId="31">
    <w:abstractNumId w:val="62"/>
  </w:num>
  <w:num w:numId="32">
    <w:abstractNumId w:val="49"/>
  </w:num>
  <w:num w:numId="33">
    <w:abstractNumId w:val="3"/>
  </w:num>
  <w:num w:numId="34">
    <w:abstractNumId w:val="30"/>
  </w:num>
  <w:num w:numId="35">
    <w:abstractNumId w:val="58"/>
  </w:num>
  <w:num w:numId="36">
    <w:abstractNumId w:val="1"/>
  </w:num>
  <w:num w:numId="37">
    <w:abstractNumId w:val="69"/>
  </w:num>
  <w:num w:numId="38">
    <w:abstractNumId w:val="61"/>
  </w:num>
  <w:num w:numId="39">
    <w:abstractNumId w:val="0"/>
  </w:num>
  <w:num w:numId="40">
    <w:abstractNumId w:val="26"/>
  </w:num>
  <w:num w:numId="41">
    <w:abstractNumId w:val="21"/>
  </w:num>
  <w:num w:numId="42">
    <w:abstractNumId w:val="6"/>
  </w:num>
  <w:num w:numId="43">
    <w:abstractNumId w:val="12"/>
  </w:num>
  <w:num w:numId="44">
    <w:abstractNumId w:val="31"/>
  </w:num>
  <w:num w:numId="45">
    <w:abstractNumId w:val="18"/>
  </w:num>
  <w:num w:numId="46">
    <w:abstractNumId w:val="20"/>
  </w:num>
  <w:num w:numId="47">
    <w:abstractNumId w:val="56"/>
  </w:num>
  <w:num w:numId="48">
    <w:abstractNumId w:val="16"/>
  </w:num>
  <w:num w:numId="49">
    <w:abstractNumId w:val="48"/>
  </w:num>
  <w:num w:numId="50">
    <w:abstractNumId w:val="39"/>
  </w:num>
  <w:num w:numId="51">
    <w:abstractNumId w:val="19"/>
  </w:num>
  <w:num w:numId="52">
    <w:abstractNumId w:val="32"/>
  </w:num>
  <w:num w:numId="53">
    <w:abstractNumId w:val="51"/>
  </w:num>
  <w:num w:numId="54">
    <w:abstractNumId w:val="35"/>
  </w:num>
  <w:num w:numId="55">
    <w:abstractNumId w:val="7"/>
  </w:num>
  <w:num w:numId="56">
    <w:abstractNumId w:val="68"/>
  </w:num>
  <w:num w:numId="57">
    <w:abstractNumId w:val="60"/>
  </w:num>
  <w:num w:numId="58">
    <w:abstractNumId w:val="40"/>
  </w:num>
  <w:num w:numId="59">
    <w:abstractNumId w:val="55"/>
  </w:num>
  <w:num w:numId="60">
    <w:abstractNumId w:val="10"/>
  </w:num>
  <w:num w:numId="61">
    <w:abstractNumId w:val="29"/>
  </w:num>
  <w:num w:numId="62">
    <w:abstractNumId w:val="64"/>
  </w:num>
  <w:num w:numId="63">
    <w:abstractNumId w:val="4"/>
  </w:num>
  <w:num w:numId="64">
    <w:abstractNumId w:val="24"/>
  </w:num>
  <w:num w:numId="65">
    <w:abstractNumId w:val="57"/>
  </w:num>
  <w:num w:numId="66">
    <w:abstractNumId w:val="59"/>
  </w:num>
  <w:num w:numId="67">
    <w:abstractNumId w:val="63"/>
  </w:num>
  <w:num w:numId="68">
    <w:abstractNumId w:val="50"/>
  </w:num>
  <w:num w:numId="69">
    <w:abstractNumId w:val="41"/>
  </w:num>
  <w:num w:numId="70">
    <w:abstractNumId w:val="2"/>
  </w:num>
  <w:num w:numId="71">
    <w:abstractNumId w:val="23"/>
  </w:num>
  <w:num w:numId="72">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CA"/>
    <w:rsid w:val="00001576"/>
    <w:rsid w:val="00001637"/>
    <w:rsid w:val="00003285"/>
    <w:rsid w:val="00005917"/>
    <w:rsid w:val="0000780B"/>
    <w:rsid w:val="000128C4"/>
    <w:rsid w:val="000135BE"/>
    <w:rsid w:val="00015870"/>
    <w:rsid w:val="000168AC"/>
    <w:rsid w:val="00022847"/>
    <w:rsid w:val="000231A7"/>
    <w:rsid w:val="00023EDF"/>
    <w:rsid w:val="0002460A"/>
    <w:rsid w:val="000246B7"/>
    <w:rsid w:val="00024FF9"/>
    <w:rsid w:val="00025F93"/>
    <w:rsid w:val="000265D9"/>
    <w:rsid w:val="00030089"/>
    <w:rsid w:val="00032398"/>
    <w:rsid w:val="00032741"/>
    <w:rsid w:val="00034910"/>
    <w:rsid w:val="000354C1"/>
    <w:rsid w:val="00037515"/>
    <w:rsid w:val="000376ED"/>
    <w:rsid w:val="00041512"/>
    <w:rsid w:val="0004305A"/>
    <w:rsid w:val="00043809"/>
    <w:rsid w:val="0004396E"/>
    <w:rsid w:val="00044248"/>
    <w:rsid w:val="000505A1"/>
    <w:rsid w:val="00051CB5"/>
    <w:rsid w:val="00052D73"/>
    <w:rsid w:val="00053791"/>
    <w:rsid w:val="0005536B"/>
    <w:rsid w:val="0005689D"/>
    <w:rsid w:val="00057FE2"/>
    <w:rsid w:val="000606C8"/>
    <w:rsid w:val="0006085C"/>
    <w:rsid w:val="00060C26"/>
    <w:rsid w:val="00062690"/>
    <w:rsid w:val="00062945"/>
    <w:rsid w:val="0006378C"/>
    <w:rsid w:val="00065C5F"/>
    <w:rsid w:val="00067D38"/>
    <w:rsid w:val="0007184A"/>
    <w:rsid w:val="000720BD"/>
    <w:rsid w:val="000749C2"/>
    <w:rsid w:val="000754FD"/>
    <w:rsid w:val="00075574"/>
    <w:rsid w:val="000760B9"/>
    <w:rsid w:val="00076950"/>
    <w:rsid w:val="00076C86"/>
    <w:rsid w:val="00080B99"/>
    <w:rsid w:val="00081A55"/>
    <w:rsid w:val="00081C20"/>
    <w:rsid w:val="00085839"/>
    <w:rsid w:val="00085F23"/>
    <w:rsid w:val="0008696F"/>
    <w:rsid w:val="00090282"/>
    <w:rsid w:val="00090C08"/>
    <w:rsid w:val="00091E06"/>
    <w:rsid w:val="000935FF"/>
    <w:rsid w:val="00094B4C"/>
    <w:rsid w:val="00096E64"/>
    <w:rsid w:val="000A11C5"/>
    <w:rsid w:val="000A3020"/>
    <w:rsid w:val="000A626C"/>
    <w:rsid w:val="000A7F17"/>
    <w:rsid w:val="000B196D"/>
    <w:rsid w:val="000B3B53"/>
    <w:rsid w:val="000B435D"/>
    <w:rsid w:val="000B65D8"/>
    <w:rsid w:val="000B6FF7"/>
    <w:rsid w:val="000C0A89"/>
    <w:rsid w:val="000C35FB"/>
    <w:rsid w:val="000C38C2"/>
    <w:rsid w:val="000C3A28"/>
    <w:rsid w:val="000C3B6C"/>
    <w:rsid w:val="000C566D"/>
    <w:rsid w:val="000C6718"/>
    <w:rsid w:val="000D1F80"/>
    <w:rsid w:val="000D4A85"/>
    <w:rsid w:val="000D51D8"/>
    <w:rsid w:val="000D54F9"/>
    <w:rsid w:val="000D71E5"/>
    <w:rsid w:val="000D7C45"/>
    <w:rsid w:val="000E0A8A"/>
    <w:rsid w:val="000E26B5"/>
    <w:rsid w:val="000E26E9"/>
    <w:rsid w:val="000E64DF"/>
    <w:rsid w:val="000E793D"/>
    <w:rsid w:val="000F0A71"/>
    <w:rsid w:val="000F0CA7"/>
    <w:rsid w:val="000F180C"/>
    <w:rsid w:val="000F3144"/>
    <w:rsid w:val="0010090D"/>
    <w:rsid w:val="00100997"/>
    <w:rsid w:val="00101950"/>
    <w:rsid w:val="00102189"/>
    <w:rsid w:val="00102F1F"/>
    <w:rsid w:val="00103BD6"/>
    <w:rsid w:val="001105C0"/>
    <w:rsid w:val="0011096C"/>
    <w:rsid w:val="00113FBD"/>
    <w:rsid w:val="00116460"/>
    <w:rsid w:val="00117E62"/>
    <w:rsid w:val="00120BBA"/>
    <w:rsid w:val="00121745"/>
    <w:rsid w:val="00123070"/>
    <w:rsid w:val="00123460"/>
    <w:rsid w:val="001243D6"/>
    <w:rsid w:val="0012784F"/>
    <w:rsid w:val="0012798F"/>
    <w:rsid w:val="001279DC"/>
    <w:rsid w:val="00130690"/>
    <w:rsid w:val="001320DE"/>
    <w:rsid w:val="00134D27"/>
    <w:rsid w:val="00136CF4"/>
    <w:rsid w:val="0014037B"/>
    <w:rsid w:val="00143FF0"/>
    <w:rsid w:val="00144365"/>
    <w:rsid w:val="001449FE"/>
    <w:rsid w:val="001450C3"/>
    <w:rsid w:val="0014584F"/>
    <w:rsid w:val="00146AA8"/>
    <w:rsid w:val="00147D56"/>
    <w:rsid w:val="00151EE5"/>
    <w:rsid w:val="00153947"/>
    <w:rsid w:val="00153A16"/>
    <w:rsid w:val="00153C05"/>
    <w:rsid w:val="00154A73"/>
    <w:rsid w:val="00154B58"/>
    <w:rsid w:val="00154D7D"/>
    <w:rsid w:val="0015752D"/>
    <w:rsid w:val="0016310F"/>
    <w:rsid w:val="00163D39"/>
    <w:rsid w:val="00163D6B"/>
    <w:rsid w:val="00164D51"/>
    <w:rsid w:val="00166B44"/>
    <w:rsid w:val="00166F10"/>
    <w:rsid w:val="001716A3"/>
    <w:rsid w:val="00171894"/>
    <w:rsid w:val="001719B2"/>
    <w:rsid w:val="0017210F"/>
    <w:rsid w:val="00174F3B"/>
    <w:rsid w:val="00175294"/>
    <w:rsid w:val="0017765C"/>
    <w:rsid w:val="00177C69"/>
    <w:rsid w:val="00180AED"/>
    <w:rsid w:val="001822D4"/>
    <w:rsid w:val="001826CE"/>
    <w:rsid w:val="001838F7"/>
    <w:rsid w:val="00184089"/>
    <w:rsid w:val="0018480C"/>
    <w:rsid w:val="00184C19"/>
    <w:rsid w:val="00186F43"/>
    <w:rsid w:val="001906F1"/>
    <w:rsid w:val="001925C5"/>
    <w:rsid w:val="00192BE6"/>
    <w:rsid w:val="00192F15"/>
    <w:rsid w:val="00193BD5"/>
    <w:rsid w:val="00193BDD"/>
    <w:rsid w:val="00193F13"/>
    <w:rsid w:val="00193FD8"/>
    <w:rsid w:val="00195618"/>
    <w:rsid w:val="001968DF"/>
    <w:rsid w:val="00196D73"/>
    <w:rsid w:val="00197594"/>
    <w:rsid w:val="00197E94"/>
    <w:rsid w:val="001A17B6"/>
    <w:rsid w:val="001A3D50"/>
    <w:rsid w:val="001B149E"/>
    <w:rsid w:val="001B3768"/>
    <w:rsid w:val="001B61D4"/>
    <w:rsid w:val="001B6204"/>
    <w:rsid w:val="001B6490"/>
    <w:rsid w:val="001C0DB1"/>
    <w:rsid w:val="001C1934"/>
    <w:rsid w:val="001C2408"/>
    <w:rsid w:val="001C35A2"/>
    <w:rsid w:val="001C4C5E"/>
    <w:rsid w:val="001D1D62"/>
    <w:rsid w:val="001D1FDE"/>
    <w:rsid w:val="001D3E0F"/>
    <w:rsid w:val="001D6344"/>
    <w:rsid w:val="001E0E7C"/>
    <w:rsid w:val="001E3FEE"/>
    <w:rsid w:val="001E6908"/>
    <w:rsid w:val="001E747C"/>
    <w:rsid w:val="001F078E"/>
    <w:rsid w:val="001F212C"/>
    <w:rsid w:val="001F362D"/>
    <w:rsid w:val="001F3F1E"/>
    <w:rsid w:val="001F4288"/>
    <w:rsid w:val="001F6490"/>
    <w:rsid w:val="00203BE0"/>
    <w:rsid w:val="00203D6A"/>
    <w:rsid w:val="00206DFA"/>
    <w:rsid w:val="00206FC0"/>
    <w:rsid w:val="002073DE"/>
    <w:rsid w:val="002115C4"/>
    <w:rsid w:val="002165DE"/>
    <w:rsid w:val="002167A2"/>
    <w:rsid w:val="002171D6"/>
    <w:rsid w:val="0022226F"/>
    <w:rsid w:val="00222B63"/>
    <w:rsid w:val="00222DE8"/>
    <w:rsid w:val="002230FA"/>
    <w:rsid w:val="0022434F"/>
    <w:rsid w:val="00225C4D"/>
    <w:rsid w:val="00227E6F"/>
    <w:rsid w:val="00227F1A"/>
    <w:rsid w:val="002312B3"/>
    <w:rsid w:val="00231645"/>
    <w:rsid w:val="00231F81"/>
    <w:rsid w:val="00232D36"/>
    <w:rsid w:val="00232F4C"/>
    <w:rsid w:val="00235464"/>
    <w:rsid w:val="00236F69"/>
    <w:rsid w:val="00237CC3"/>
    <w:rsid w:val="00240009"/>
    <w:rsid w:val="00241C75"/>
    <w:rsid w:val="00242171"/>
    <w:rsid w:val="00242BE5"/>
    <w:rsid w:val="00245FDB"/>
    <w:rsid w:val="00246CE3"/>
    <w:rsid w:val="00251C1D"/>
    <w:rsid w:val="00252CEA"/>
    <w:rsid w:val="00253178"/>
    <w:rsid w:val="002534B3"/>
    <w:rsid w:val="00254CBC"/>
    <w:rsid w:val="00255834"/>
    <w:rsid w:val="00255D72"/>
    <w:rsid w:val="00257985"/>
    <w:rsid w:val="002579D3"/>
    <w:rsid w:val="002611FF"/>
    <w:rsid w:val="00262BDF"/>
    <w:rsid w:val="002634B1"/>
    <w:rsid w:val="00264440"/>
    <w:rsid w:val="0026453B"/>
    <w:rsid w:val="00266F47"/>
    <w:rsid w:val="00267D71"/>
    <w:rsid w:val="00270B01"/>
    <w:rsid w:val="002711A4"/>
    <w:rsid w:val="00273B6D"/>
    <w:rsid w:val="00276BE6"/>
    <w:rsid w:val="00280637"/>
    <w:rsid w:val="00282077"/>
    <w:rsid w:val="00283DE7"/>
    <w:rsid w:val="002849E8"/>
    <w:rsid w:val="00285322"/>
    <w:rsid w:val="0028573E"/>
    <w:rsid w:val="002859B0"/>
    <w:rsid w:val="002862E1"/>
    <w:rsid w:val="00287D17"/>
    <w:rsid w:val="00291ECF"/>
    <w:rsid w:val="002921F5"/>
    <w:rsid w:val="00292208"/>
    <w:rsid w:val="002922F0"/>
    <w:rsid w:val="00292749"/>
    <w:rsid w:val="00292E24"/>
    <w:rsid w:val="00294AFF"/>
    <w:rsid w:val="0029578D"/>
    <w:rsid w:val="00296166"/>
    <w:rsid w:val="002A05CC"/>
    <w:rsid w:val="002A0E88"/>
    <w:rsid w:val="002A145C"/>
    <w:rsid w:val="002A179A"/>
    <w:rsid w:val="002A18BF"/>
    <w:rsid w:val="002A37E3"/>
    <w:rsid w:val="002A38A1"/>
    <w:rsid w:val="002A5201"/>
    <w:rsid w:val="002A7759"/>
    <w:rsid w:val="002B097F"/>
    <w:rsid w:val="002B3603"/>
    <w:rsid w:val="002B502C"/>
    <w:rsid w:val="002B6C6A"/>
    <w:rsid w:val="002C1534"/>
    <w:rsid w:val="002C16D5"/>
    <w:rsid w:val="002C3E9F"/>
    <w:rsid w:val="002C592F"/>
    <w:rsid w:val="002E05D2"/>
    <w:rsid w:val="002E0A73"/>
    <w:rsid w:val="002E0EEA"/>
    <w:rsid w:val="002E1255"/>
    <w:rsid w:val="002E293D"/>
    <w:rsid w:val="002E2FAA"/>
    <w:rsid w:val="002E3435"/>
    <w:rsid w:val="002E3AFC"/>
    <w:rsid w:val="002E3D02"/>
    <w:rsid w:val="002E3DE5"/>
    <w:rsid w:val="002E4CB0"/>
    <w:rsid w:val="002E508C"/>
    <w:rsid w:val="002E5BE2"/>
    <w:rsid w:val="002E612E"/>
    <w:rsid w:val="002E626E"/>
    <w:rsid w:val="002E726E"/>
    <w:rsid w:val="002E785C"/>
    <w:rsid w:val="002F0D59"/>
    <w:rsid w:val="002F4B07"/>
    <w:rsid w:val="002F4FCC"/>
    <w:rsid w:val="00300847"/>
    <w:rsid w:val="003010C6"/>
    <w:rsid w:val="00302E09"/>
    <w:rsid w:val="003044E1"/>
    <w:rsid w:val="003055C9"/>
    <w:rsid w:val="003102E4"/>
    <w:rsid w:val="0031125A"/>
    <w:rsid w:val="00312AC6"/>
    <w:rsid w:val="00313834"/>
    <w:rsid w:val="00315E4B"/>
    <w:rsid w:val="0031623C"/>
    <w:rsid w:val="00317A7F"/>
    <w:rsid w:val="00320958"/>
    <w:rsid w:val="00320E93"/>
    <w:rsid w:val="00321A1C"/>
    <w:rsid w:val="00322843"/>
    <w:rsid w:val="003233DA"/>
    <w:rsid w:val="00324205"/>
    <w:rsid w:val="00325AE0"/>
    <w:rsid w:val="00326153"/>
    <w:rsid w:val="00327AB1"/>
    <w:rsid w:val="00327B0D"/>
    <w:rsid w:val="0033270B"/>
    <w:rsid w:val="0033297E"/>
    <w:rsid w:val="00333DC1"/>
    <w:rsid w:val="0033443A"/>
    <w:rsid w:val="00336C1B"/>
    <w:rsid w:val="00343D0E"/>
    <w:rsid w:val="00344B48"/>
    <w:rsid w:val="00346E95"/>
    <w:rsid w:val="0034766E"/>
    <w:rsid w:val="003510CA"/>
    <w:rsid w:val="00351346"/>
    <w:rsid w:val="003514CF"/>
    <w:rsid w:val="003517D3"/>
    <w:rsid w:val="00354CB3"/>
    <w:rsid w:val="00355AFA"/>
    <w:rsid w:val="00357213"/>
    <w:rsid w:val="00360ACA"/>
    <w:rsid w:val="00363ED7"/>
    <w:rsid w:val="003653C0"/>
    <w:rsid w:val="00365965"/>
    <w:rsid w:val="003678E4"/>
    <w:rsid w:val="00370A46"/>
    <w:rsid w:val="00371090"/>
    <w:rsid w:val="00373BFA"/>
    <w:rsid w:val="003741EF"/>
    <w:rsid w:val="00377FBF"/>
    <w:rsid w:val="00385C96"/>
    <w:rsid w:val="00385D62"/>
    <w:rsid w:val="003905E1"/>
    <w:rsid w:val="00391729"/>
    <w:rsid w:val="00392D20"/>
    <w:rsid w:val="003934ED"/>
    <w:rsid w:val="00393F05"/>
    <w:rsid w:val="003950EA"/>
    <w:rsid w:val="0039568B"/>
    <w:rsid w:val="0039594C"/>
    <w:rsid w:val="00395A14"/>
    <w:rsid w:val="00395DBD"/>
    <w:rsid w:val="00397DD0"/>
    <w:rsid w:val="003A0E95"/>
    <w:rsid w:val="003A2D94"/>
    <w:rsid w:val="003A41BE"/>
    <w:rsid w:val="003A4DAA"/>
    <w:rsid w:val="003A6761"/>
    <w:rsid w:val="003A6A49"/>
    <w:rsid w:val="003A7A19"/>
    <w:rsid w:val="003A7CC5"/>
    <w:rsid w:val="003B236B"/>
    <w:rsid w:val="003B2B4F"/>
    <w:rsid w:val="003B3E33"/>
    <w:rsid w:val="003B405F"/>
    <w:rsid w:val="003B421C"/>
    <w:rsid w:val="003B44D8"/>
    <w:rsid w:val="003B461A"/>
    <w:rsid w:val="003B5E3F"/>
    <w:rsid w:val="003C089B"/>
    <w:rsid w:val="003C0981"/>
    <w:rsid w:val="003C0B43"/>
    <w:rsid w:val="003C0DBA"/>
    <w:rsid w:val="003C1470"/>
    <w:rsid w:val="003C1E1E"/>
    <w:rsid w:val="003C37D7"/>
    <w:rsid w:val="003C3E23"/>
    <w:rsid w:val="003C51EE"/>
    <w:rsid w:val="003C63E3"/>
    <w:rsid w:val="003C699A"/>
    <w:rsid w:val="003D7147"/>
    <w:rsid w:val="003D78D1"/>
    <w:rsid w:val="003D7A55"/>
    <w:rsid w:val="003D7CB8"/>
    <w:rsid w:val="003E1AE6"/>
    <w:rsid w:val="003E50DD"/>
    <w:rsid w:val="003E68F5"/>
    <w:rsid w:val="003F4865"/>
    <w:rsid w:val="003F5AF1"/>
    <w:rsid w:val="003F653C"/>
    <w:rsid w:val="003F77EB"/>
    <w:rsid w:val="003F7899"/>
    <w:rsid w:val="00400362"/>
    <w:rsid w:val="00401262"/>
    <w:rsid w:val="00401819"/>
    <w:rsid w:val="00403C11"/>
    <w:rsid w:val="00405CDC"/>
    <w:rsid w:val="00410403"/>
    <w:rsid w:val="00416A03"/>
    <w:rsid w:val="00417E17"/>
    <w:rsid w:val="004203B6"/>
    <w:rsid w:val="0042284C"/>
    <w:rsid w:val="00422D61"/>
    <w:rsid w:val="00423A89"/>
    <w:rsid w:val="00426019"/>
    <w:rsid w:val="004301CD"/>
    <w:rsid w:val="00430F7B"/>
    <w:rsid w:val="00437985"/>
    <w:rsid w:val="00441667"/>
    <w:rsid w:val="004431BB"/>
    <w:rsid w:val="004445FA"/>
    <w:rsid w:val="004468E0"/>
    <w:rsid w:val="00446F85"/>
    <w:rsid w:val="00446FE9"/>
    <w:rsid w:val="004479A3"/>
    <w:rsid w:val="00451335"/>
    <w:rsid w:val="00451E74"/>
    <w:rsid w:val="00454BAD"/>
    <w:rsid w:val="00455966"/>
    <w:rsid w:val="00455D7E"/>
    <w:rsid w:val="004602DC"/>
    <w:rsid w:val="00461978"/>
    <w:rsid w:val="00465E28"/>
    <w:rsid w:val="00470108"/>
    <w:rsid w:val="00470ADE"/>
    <w:rsid w:val="0047174B"/>
    <w:rsid w:val="00473895"/>
    <w:rsid w:val="00474A37"/>
    <w:rsid w:val="00476D9D"/>
    <w:rsid w:val="00477DE5"/>
    <w:rsid w:val="0048124E"/>
    <w:rsid w:val="00481DEE"/>
    <w:rsid w:val="00485A81"/>
    <w:rsid w:val="00485F17"/>
    <w:rsid w:val="004860D2"/>
    <w:rsid w:val="004872B3"/>
    <w:rsid w:val="00490F53"/>
    <w:rsid w:val="00492262"/>
    <w:rsid w:val="00493C7A"/>
    <w:rsid w:val="004940C2"/>
    <w:rsid w:val="004944DC"/>
    <w:rsid w:val="00494EB8"/>
    <w:rsid w:val="00495856"/>
    <w:rsid w:val="0049684B"/>
    <w:rsid w:val="00496B67"/>
    <w:rsid w:val="004A0BA5"/>
    <w:rsid w:val="004A1DE8"/>
    <w:rsid w:val="004A4614"/>
    <w:rsid w:val="004A59A3"/>
    <w:rsid w:val="004A6127"/>
    <w:rsid w:val="004A7357"/>
    <w:rsid w:val="004B00F0"/>
    <w:rsid w:val="004B19E9"/>
    <w:rsid w:val="004B26CB"/>
    <w:rsid w:val="004B6007"/>
    <w:rsid w:val="004B674E"/>
    <w:rsid w:val="004B68AF"/>
    <w:rsid w:val="004B7039"/>
    <w:rsid w:val="004B79E0"/>
    <w:rsid w:val="004C0C4E"/>
    <w:rsid w:val="004C0CF4"/>
    <w:rsid w:val="004C138F"/>
    <w:rsid w:val="004C1577"/>
    <w:rsid w:val="004C4D85"/>
    <w:rsid w:val="004C515B"/>
    <w:rsid w:val="004C5DF8"/>
    <w:rsid w:val="004C620F"/>
    <w:rsid w:val="004C6DBA"/>
    <w:rsid w:val="004C74B3"/>
    <w:rsid w:val="004D01FC"/>
    <w:rsid w:val="004D1DC7"/>
    <w:rsid w:val="004D29F0"/>
    <w:rsid w:val="004D3742"/>
    <w:rsid w:val="004D4001"/>
    <w:rsid w:val="004D4AAF"/>
    <w:rsid w:val="004D51C8"/>
    <w:rsid w:val="004D7BA5"/>
    <w:rsid w:val="004E1F1A"/>
    <w:rsid w:val="004E2EE9"/>
    <w:rsid w:val="004E31FF"/>
    <w:rsid w:val="004E3E81"/>
    <w:rsid w:val="004E4D0F"/>
    <w:rsid w:val="004E76AD"/>
    <w:rsid w:val="004F10D4"/>
    <w:rsid w:val="004F56AD"/>
    <w:rsid w:val="004F6DFF"/>
    <w:rsid w:val="004F7184"/>
    <w:rsid w:val="004F7195"/>
    <w:rsid w:val="00500B49"/>
    <w:rsid w:val="00502003"/>
    <w:rsid w:val="005031F7"/>
    <w:rsid w:val="00503715"/>
    <w:rsid w:val="00504B20"/>
    <w:rsid w:val="0050541A"/>
    <w:rsid w:val="005071B9"/>
    <w:rsid w:val="00507D1A"/>
    <w:rsid w:val="00507F0D"/>
    <w:rsid w:val="00511F54"/>
    <w:rsid w:val="00512220"/>
    <w:rsid w:val="005133E7"/>
    <w:rsid w:val="00514C8C"/>
    <w:rsid w:val="00517973"/>
    <w:rsid w:val="00520140"/>
    <w:rsid w:val="00520342"/>
    <w:rsid w:val="00521C11"/>
    <w:rsid w:val="005229A4"/>
    <w:rsid w:val="00523DD8"/>
    <w:rsid w:val="00526252"/>
    <w:rsid w:val="00526C79"/>
    <w:rsid w:val="0053095A"/>
    <w:rsid w:val="00532017"/>
    <w:rsid w:val="005343C3"/>
    <w:rsid w:val="0053662D"/>
    <w:rsid w:val="005367A8"/>
    <w:rsid w:val="00537586"/>
    <w:rsid w:val="00540AB2"/>
    <w:rsid w:val="005436F3"/>
    <w:rsid w:val="0054417E"/>
    <w:rsid w:val="005471BA"/>
    <w:rsid w:val="0055065C"/>
    <w:rsid w:val="00551B00"/>
    <w:rsid w:val="00552397"/>
    <w:rsid w:val="00552AAD"/>
    <w:rsid w:val="00553A6E"/>
    <w:rsid w:val="00554EBA"/>
    <w:rsid w:val="005676BC"/>
    <w:rsid w:val="005715E4"/>
    <w:rsid w:val="00571987"/>
    <w:rsid w:val="00572F46"/>
    <w:rsid w:val="00573693"/>
    <w:rsid w:val="0057388E"/>
    <w:rsid w:val="00573F43"/>
    <w:rsid w:val="00577032"/>
    <w:rsid w:val="005800DA"/>
    <w:rsid w:val="005805C2"/>
    <w:rsid w:val="00580E2A"/>
    <w:rsid w:val="00581EE9"/>
    <w:rsid w:val="0058485E"/>
    <w:rsid w:val="00584BB1"/>
    <w:rsid w:val="00590E0B"/>
    <w:rsid w:val="005920B2"/>
    <w:rsid w:val="0059402E"/>
    <w:rsid w:val="0059474B"/>
    <w:rsid w:val="00594AD8"/>
    <w:rsid w:val="005957EB"/>
    <w:rsid w:val="00597659"/>
    <w:rsid w:val="00597E31"/>
    <w:rsid w:val="005A1C24"/>
    <w:rsid w:val="005A2038"/>
    <w:rsid w:val="005A2554"/>
    <w:rsid w:val="005A2559"/>
    <w:rsid w:val="005A3345"/>
    <w:rsid w:val="005A35DE"/>
    <w:rsid w:val="005A3B18"/>
    <w:rsid w:val="005A6AE2"/>
    <w:rsid w:val="005B02E4"/>
    <w:rsid w:val="005B1B8F"/>
    <w:rsid w:val="005B2A37"/>
    <w:rsid w:val="005B2DC4"/>
    <w:rsid w:val="005B3E85"/>
    <w:rsid w:val="005B47CB"/>
    <w:rsid w:val="005B5189"/>
    <w:rsid w:val="005B5E71"/>
    <w:rsid w:val="005B6570"/>
    <w:rsid w:val="005C5354"/>
    <w:rsid w:val="005D15DE"/>
    <w:rsid w:val="005D3795"/>
    <w:rsid w:val="005D3C01"/>
    <w:rsid w:val="005E07C9"/>
    <w:rsid w:val="005E2582"/>
    <w:rsid w:val="005E4F6F"/>
    <w:rsid w:val="005E6B27"/>
    <w:rsid w:val="005F013D"/>
    <w:rsid w:val="005F1140"/>
    <w:rsid w:val="005F35C6"/>
    <w:rsid w:val="005F3C78"/>
    <w:rsid w:val="005F4A3B"/>
    <w:rsid w:val="00601851"/>
    <w:rsid w:val="006042C1"/>
    <w:rsid w:val="00604BE5"/>
    <w:rsid w:val="00604FD3"/>
    <w:rsid w:val="006101DF"/>
    <w:rsid w:val="00610959"/>
    <w:rsid w:val="00611C29"/>
    <w:rsid w:val="00611E01"/>
    <w:rsid w:val="006125E1"/>
    <w:rsid w:val="006136CB"/>
    <w:rsid w:val="00614427"/>
    <w:rsid w:val="0061634C"/>
    <w:rsid w:val="00620A05"/>
    <w:rsid w:val="0062325C"/>
    <w:rsid w:val="006234BF"/>
    <w:rsid w:val="00623E93"/>
    <w:rsid w:val="00627E09"/>
    <w:rsid w:val="00632E84"/>
    <w:rsid w:val="0063343A"/>
    <w:rsid w:val="00633785"/>
    <w:rsid w:val="0063397C"/>
    <w:rsid w:val="00637D52"/>
    <w:rsid w:val="00640E08"/>
    <w:rsid w:val="0064174C"/>
    <w:rsid w:val="00642F28"/>
    <w:rsid w:val="00643B8C"/>
    <w:rsid w:val="006444BA"/>
    <w:rsid w:val="00646602"/>
    <w:rsid w:val="0064795B"/>
    <w:rsid w:val="0065049F"/>
    <w:rsid w:val="0065371D"/>
    <w:rsid w:val="006600BD"/>
    <w:rsid w:val="00660375"/>
    <w:rsid w:val="0066191B"/>
    <w:rsid w:val="00661B9C"/>
    <w:rsid w:val="00662B4D"/>
    <w:rsid w:val="00663D09"/>
    <w:rsid w:val="0066552C"/>
    <w:rsid w:val="00667CE3"/>
    <w:rsid w:val="00667FA7"/>
    <w:rsid w:val="00670BE9"/>
    <w:rsid w:val="00671AEF"/>
    <w:rsid w:val="00672F2C"/>
    <w:rsid w:val="0067330D"/>
    <w:rsid w:val="00675FFF"/>
    <w:rsid w:val="006760C7"/>
    <w:rsid w:val="00677CBE"/>
    <w:rsid w:val="0068012F"/>
    <w:rsid w:val="00684FCC"/>
    <w:rsid w:val="00686D21"/>
    <w:rsid w:val="00686E0D"/>
    <w:rsid w:val="00691D75"/>
    <w:rsid w:val="00693275"/>
    <w:rsid w:val="00693590"/>
    <w:rsid w:val="00693B55"/>
    <w:rsid w:val="006943E7"/>
    <w:rsid w:val="00694730"/>
    <w:rsid w:val="00694E64"/>
    <w:rsid w:val="00695218"/>
    <w:rsid w:val="006976AD"/>
    <w:rsid w:val="00697885"/>
    <w:rsid w:val="006A02EC"/>
    <w:rsid w:val="006A1634"/>
    <w:rsid w:val="006A1999"/>
    <w:rsid w:val="006A209E"/>
    <w:rsid w:val="006A54B6"/>
    <w:rsid w:val="006A5FC2"/>
    <w:rsid w:val="006A64C8"/>
    <w:rsid w:val="006B2EB0"/>
    <w:rsid w:val="006B5765"/>
    <w:rsid w:val="006B7104"/>
    <w:rsid w:val="006B7885"/>
    <w:rsid w:val="006C0160"/>
    <w:rsid w:val="006C18B3"/>
    <w:rsid w:val="006C2D7C"/>
    <w:rsid w:val="006C4CA8"/>
    <w:rsid w:val="006C608B"/>
    <w:rsid w:val="006C70F3"/>
    <w:rsid w:val="006C7BF2"/>
    <w:rsid w:val="006D0829"/>
    <w:rsid w:val="006D4497"/>
    <w:rsid w:val="006D6848"/>
    <w:rsid w:val="006E022A"/>
    <w:rsid w:val="006E180C"/>
    <w:rsid w:val="006E2240"/>
    <w:rsid w:val="006E27C3"/>
    <w:rsid w:val="006E5D37"/>
    <w:rsid w:val="006E6A9D"/>
    <w:rsid w:val="006E70FE"/>
    <w:rsid w:val="006E7B96"/>
    <w:rsid w:val="006F04B0"/>
    <w:rsid w:val="006F2C32"/>
    <w:rsid w:val="006F763B"/>
    <w:rsid w:val="0070118B"/>
    <w:rsid w:val="00701AA0"/>
    <w:rsid w:val="00704038"/>
    <w:rsid w:val="00704416"/>
    <w:rsid w:val="00704890"/>
    <w:rsid w:val="007049DC"/>
    <w:rsid w:val="0071038D"/>
    <w:rsid w:val="007133BD"/>
    <w:rsid w:val="00714227"/>
    <w:rsid w:val="00715001"/>
    <w:rsid w:val="00722FF0"/>
    <w:rsid w:val="00723D42"/>
    <w:rsid w:val="0072467F"/>
    <w:rsid w:val="00727156"/>
    <w:rsid w:val="00727998"/>
    <w:rsid w:val="00731A10"/>
    <w:rsid w:val="0073344A"/>
    <w:rsid w:val="0073407C"/>
    <w:rsid w:val="00735636"/>
    <w:rsid w:val="00741A5F"/>
    <w:rsid w:val="0074209E"/>
    <w:rsid w:val="007420D0"/>
    <w:rsid w:val="00742E3C"/>
    <w:rsid w:val="007444B0"/>
    <w:rsid w:val="00750113"/>
    <w:rsid w:val="007520BC"/>
    <w:rsid w:val="007550B6"/>
    <w:rsid w:val="007574D5"/>
    <w:rsid w:val="00757F1B"/>
    <w:rsid w:val="0076076C"/>
    <w:rsid w:val="00760AF0"/>
    <w:rsid w:val="007615A3"/>
    <w:rsid w:val="00761BDF"/>
    <w:rsid w:val="00761EBE"/>
    <w:rsid w:val="0076205F"/>
    <w:rsid w:val="0076284A"/>
    <w:rsid w:val="00764039"/>
    <w:rsid w:val="0076497F"/>
    <w:rsid w:val="00770EE7"/>
    <w:rsid w:val="00772093"/>
    <w:rsid w:val="00773752"/>
    <w:rsid w:val="007749D3"/>
    <w:rsid w:val="00775316"/>
    <w:rsid w:val="00775A01"/>
    <w:rsid w:val="00776D6E"/>
    <w:rsid w:val="007772D2"/>
    <w:rsid w:val="00780F50"/>
    <w:rsid w:val="007824CB"/>
    <w:rsid w:val="0078306D"/>
    <w:rsid w:val="00786559"/>
    <w:rsid w:val="007872EE"/>
    <w:rsid w:val="007877B3"/>
    <w:rsid w:val="00790D21"/>
    <w:rsid w:val="00790DB0"/>
    <w:rsid w:val="007916BB"/>
    <w:rsid w:val="007919CA"/>
    <w:rsid w:val="00792AF6"/>
    <w:rsid w:val="00793F98"/>
    <w:rsid w:val="00795A04"/>
    <w:rsid w:val="00796387"/>
    <w:rsid w:val="00797D7A"/>
    <w:rsid w:val="007A175E"/>
    <w:rsid w:val="007A3EFA"/>
    <w:rsid w:val="007A3F81"/>
    <w:rsid w:val="007A75A1"/>
    <w:rsid w:val="007A7ECF"/>
    <w:rsid w:val="007A7F87"/>
    <w:rsid w:val="007B2AE6"/>
    <w:rsid w:val="007B2FA4"/>
    <w:rsid w:val="007B3143"/>
    <w:rsid w:val="007B3A61"/>
    <w:rsid w:val="007B496B"/>
    <w:rsid w:val="007B51A2"/>
    <w:rsid w:val="007B72DF"/>
    <w:rsid w:val="007B79FA"/>
    <w:rsid w:val="007B7B45"/>
    <w:rsid w:val="007C03B1"/>
    <w:rsid w:val="007C151C"/>
    <w:rsid w:val="007C2212"/>
    <w:rsid w:val="007C2B09"/>
    <w:rsid w:val="007C3F1F"/>
    <w:rsid w:val="007C4167"/>
    <w:rsid w:val="007C48DC"/>
    <w:rsid w:val="007C59D7"/>
    <w:rsid w:val="007C6978"/>
    <w:rsid w:val="007C6AC4"/>
    <w:rsid w:val="007D089C"/>
    <w:rsid w:val="007D21B7"/>
    <w:rsid w:val="007D576B"/>
    <w:rsid w:val="007D6E9A"/>
    <w:rsid w:val="007D7F65"/>
    <w:rsid w:val="007D7F68"/>
    <w:rsid w:val="007E0281"/>
    <w:rsid w:val="007E058A"/>
    <w:rsid w:val="007E1595"/>
    <w:rsid w:val="007E2529"/>
    <w:rsid w:val="007E424D"/>
    <w:rsid w:val="007E7AC2"/>
    <w:rsid w:val="007F0505"/>
    <w:rsid w:val="007F36D0"/>
    <w:rsid w:val="007F7395"/>
    <w:rsid w:val="0080335A"/>
    <w:rsid w:val="00803921"/>
    <w:rsid w:val="00803935"/>
    <w:rsid w:val="00803A85"/>
    <w:rsid w:val="00803AEB"/>
    <w:rsid w:val="0080547C"/>
    <w:rsid w:val="00805ABE"/>
    <w:rsid w:val="00806595"/>
    <w:rsid w:val="008119E8"/>
    <w:rsid w:val="00811EFE"/>
    <w:rsid w:val="008127EC"/>
    <w:rsid w:val="00813D90"/>
    <w:rsid w:val="00815F0E"/>
    <w:rsid w:val="00817082"/>
    <w:rsid w:val="00821323"/>
    <w:rsid w:val="00826E5F"/>
    <w:rsid w:val="00826E7F"/>
    <w:rsid w:val="00827EA9"/>
    <w:rsid w:val="0083332C"/>
    <w:rsid w:val="00833583"/>
    <w:rsid w:val="00834D84"/>
    <w:rsid w:val="00837786"/>
    <w:rsid w:val="00837789"/>
    <w:rsid w:val="00840F12"/>
    <w:rsid w:val="00841766"/>
    <w:rsid w:val="00842899"/>
    <w:rsid w:val="00842B2F"/>
    <w:rsid w:val="00842C8C"/>
    <w:rsid w:val="0084306D"/>
    <w:rsid w:val="0084315A"/>
    <w:rsid w:val="00843AA7"/>
    <w:rsid w:val="00844EEA"/>
    <w:rsid w:val="0084511F"/>
    <w:rsid w:val="00846243"/>
    <w:rsid w:val="00850137"/>
    <w:rsid w:val="00852ADD"/>
    <w:rsid w:val="008530B2"/>
    <w:rsid w:val="00853A28"/>
    <w:rsid w:val="0085615D"/>
    <w:rsid w:val="008565DD"/>
    <w:rsid w:val="00860C1A"/>
    <w:rsid w:val="00862FF6"/>
    <w:rsid w:val="00863184"/>
    <w:rsid w:val="008631B4"/>
    <w:rsid w:val="00863C21"/>
    <w:rsid w:val="00865D0B"/>
    <w:rsid w:val="00865EB9"/>
    <w:rsid w:val="008707D9"/>
    <w:rsid w:val="00871722"/>
    <w:rsid w:val="0087492B"/>
    <w:rsid w:val="0087696F"/>
    <w:rsid w:val="00876ADE"/>
    <w:rsid w:val="00880704"/>
    <w:rsid w:val="00881923"/>
    <w:rsid w:val="00882224"/>
    <w:rsid w:val="008839E3"/>
    <w:rsid w:val="00890342"/>
    <w:rsid w:val="008906E1"/>
    <w:rsid w:val="00891553"/>
    <w:rsid w:val="0089216A"/>
    <w:rsid w:val="00893441"/>
    <w:rsid w:val="00893F22"/>
    <w:rsid w:val="008941BB"/>
    <w:rsid w:val="00894704"/>
    <w:rsid w:val="00894915"/>
    <w:rsid w:val="00894D4B"/>
    <w:rsid w:val="0089646E"/>
    <w:rsid w:val="008972CA"/>
    <w:rsid w:val="00897DBE"/>
    <w:rsid w:val="008A0E68"/>
    <w:rsid w:val="008A4DE6"/>
    <w:rsid w:val="008A6492"/>
    <w:rsid w:val="008A71CB"/>
    <w:rsid w:val="008B33C0"/>
    <w:rsid w:val="008B382B"/>
    <w:rsid w:val="008B3A62"/>
    <w:rsid w:val="008B44CF"/>
    <w:rsid w:val="008B47AD"/>
    <w:rsid w:val="008B498B"/>
    <w:rsid w:val="008B5242"/>
    <w:rsid w:val="008B6BC8"/>
    <w:rsid w:val="008B77E5"/>
    <w:rsid w:val="008B7E33"/>
    <w:rsid w:val="008B7F8F"/>
    <w:rsid w:val="008C09B0"/>
    <w:rsid w:val="008C3FD6"/>
    <w:rsid w:val="008C40B2"/>
    <w:rsid w:val="008C42E8"/>
    <w:rsid w:val="008C5417"/>
    <w:rsid w:val="008C5A6C"/>
    <w:rsid w:val="008C5E97"/>
    <w:rsid w:val="008C6250"/>
    <w:rsid w:val="008C7420"/>
    <w:rsid w:val="008C799B"/>
    <w:rsid w:val="008C79F6"/>
    <w:rsid w:val="008C7CA1"/>
    <w:rsid w:val="008D5249"/>
    <w:rsid w:val="008D637A"/>
    <w:rsid w:val="008E3AD0"/>
    <w:rsid w:val="008E3CA3"/>
    <w:rsid w:val="008E402D"/>
    <w:rsid w:val="008E4AA3"/>
    <w:rsid w:val="008E56AF"/>
    <w:rsid w:val="008E60E2"/>
    <w:rsid w:val="008E61F1"/>
    <w:rsid w:val="008E7BC4"/>
    <w:rsid w:val="008F04E2"/>
    <w:rsid w:val="008F6480"/>
    <w:rsid w:val="008F6D8F"/>
    <w:rsid w:val="008F7307"/>
    <w:rsid w:val="008F7F79"/>
    <w:rsid w:val="00900169"/>
    <w:rsid w:val="00901F3D"/>
    <w:rsid w:val="00904643"/>
    <w:rsid w:val="0090568B"/>
    <w:rsid w:val="00907986"/>
    <w:rsid w:val="00910600"/>
    <w:rsid w:val="00910DAF"/>
    <w:rsid w:val="0091194D"/>
    <w:rsid w:val="00911B9E"/>
    <w:rsid w:val="00914158"/>
    <w:rsid w:val="00914201"/>
    <w:rsid w:val="00914B48"/>
    <w:rsid w:val="00915029"/>
    <w:rsid w:val="00915E51"/>
    <w:rsid w:val="00917AC8"/>
    <w:rsid w:val="00920024"/>
    <w:rsid w:val="0092073A"/>
    <w:rsid w:val="00922473"/>
    <w:rsid w:val="00922619"/>
    <w:rsid w:val="0092343D"/>
    <w:rsid w:val="00923C19"/>
    <w:rsid w:val="009265A9"/>
    <w:rsid w:val="00927186"/>
    <w:rsid w:val="00927A3B"/>
    <w:rsid w:val="009326C2"/>
    <w:rsid w:val="00932E36"/>
    <w:rsid w:val="0093490D"/>
    <w:rsid w:val="009350CA"/>
    <w:rsid w:val="009407BF"/>
    <w:rsid w:val="00942E76"/>
    <w:rsid w:val="00942F5D"/>
    <w:rsid w:val="009430BA"/>
    <w:rsid w:val="00946BC3"/>
    <w:rsid w:val="00947965"/>
    <w:rsid w:val="00953840"/>
    <w:rsid w:val="009553CF"/>
    <w:rsid w:val="0095568F"/>
    <w:rsid w:val="00955FFE"/>
    <w:rsid w:val="00956DB4"/>
    <w:rsid w:val="00957F3B"/>
    <w:rsid w:val="00960D68"/>
    <w:rsid w:val="0096187A"/>
    <w:rsid w:val="009619F9"/>
    <w:rsid w:val="00962707"/>
    <w:rsid w:val="00962F2A"/>
    <w:rsid w:val="009644C5"/>
    <w:rsid w:val="009707F0"/>
    <w:rsid w:val="00973340"/>
    <w:rsid w:val="009746D3"/>
    <w:rsid w:val="00974FB9"/>
    <w:rsid w:val="00975534"/>
    <w:rsid w:val="00977A50"/>
    <w:rsid w:val="00977F46"/>
    <w:rsid w:val="00981EE9"/>
    <w:rsid w:val="0098259A"/>
    <w:rsid w:val="00983025"/>
    <w:rsid w:val="009836BE"/>
    <w:rsid w:val="00983892"/>
    <w:rsid w:val="00983F8E"/>
    <w:rsid w:val="00984D05"/>
    <w:rsid w:val="00985039"/>
    <w:rsid w:val="009853D6"/>
    <w:rsid w:val="00986016"/>
    <w:rsid w:val="0099096B"/>
    <w:rsid w:val="00990A56"/>
    <w:rsid w:val="00990DB1"/>
    <w:rsid w:val="00991C5E"/>
    <w:rsid w:val="00992178"/>
    <w:rsid w:val="00993E85"/>
    <w:rsid w:val="00994649"/>
    <w:rsid w:val="00994CE3"/>
    <w:rsid w:val="00995005"/>
    <w:rsid w:val="009963C1"/>
    <w:rsid w:val="00996469"/>
    <w:rsid w:val="009965D5"/>
    <w:rsid w:val="009976CB"/>
    <w:rsid w:val="009A0E06"/>
    <w:rsid w:val="009A25F1"/>
    <w:rsid w:val="009A2C81"/>
    <w:rsid w:val="009A2E65"/>
    <w:rsid w:val="009A4533"/>
    <w:rsid w:val="009A4770"/>
    <w:rsid w:val="009A6647"/>
    <w:rsid w:val="009A68D1"/>
    <w:rsid w:val="009B16FC"/>
    <w:rsid w:val="009B210B"/>
    <w:rsid w:val="009B2BF8"/>
    <w:rsid w:val="009B685F"/>
    <w:rsid w:val="009C1DA4"/>
    <w:rsid w:val="009C324C"/>
    <w:rsid w:val="009C6AB9"/>
    <w:rsid w:val="009D1AD5"/>
    <w:rsid w:val="009D25A2"/>
    <w:rsid w:val="009D5473"/>
    <w:rsid w:val="009D595C"/>
    <w:rsid w:val="009D5D0F"/>
    <w:rsid w:val="009D634B"/>
    <w:rsid w:val="009D6922"/>
    <w:rsid w:val="009D7205"/>
    <w:rsid w:val="009E3DC0"/>
    <w:rsid w:val="009E3E47"/>
    <w:rsid w:val="009E5D45"/>
    <w:rsid w:val="009E7475"/>
    <w:rsid w:val="009F3ECD"/>
    <w:rsid w:val="009F576B"/>
    <w:rsid w:val="009F5D41"/>
    <w:rsid w:val="009F6148"/>
    <w:rsid w:val="009F7032"/>
    <w:rsid w:val="00A005CB"/>
    <w:rsid w:val="00A017FB"/>
    <w:rsid w:val="00A01A60"/>
    <w:rsid w:val="00A01CC3"/>
    <w:rsid w:val="00A03065"/>
    <w:rsid w:val="00A03BA6"/>
    <w:rsid w:val="00A077DD"/>
    <w:rsid w:val="00A1024D"/>
    <w:rsid w:val="00A1480B"/>
    <w:rsid w:val="00A2042C"/>
    <w:rsid w:val="00A211FB"/>
    <w:rsid w:val="00A21CA0"/>
    <w:rsid w:val="00A23817"/>
    <w:rsid w:val="00A23A9C"/>
    <w:rsid w:val="00A23EF8"/>
    <w:rsid w:val="00A261B4"/>
    <w:rsid w:val="00A26901"/>
    <w:rsid w:val="00A26E0B"/>
    <w:rsid w:val="00A3138B"/>
    <w:rsid w:val="00A32229"/>
    <w:rsid w:val="00A3399D"/>
    <w:rsid w:val="00A342B0"/>
    <w:rsid w:val="00A354FD"/>
    <w:rsid w:val="00A35674"/>
    <w:rsid w:val="00A357F0"/>
    <w:rsid w:val="00A373CD"/>
    <w:rsid w:val="00A40909"/>
    <w:rsid w:val="00A413EA"/>
    <w:rsid w:val="00A44081"/>
    <w:rsid w:val="00A442EB"/>
    <w:rsid w:val="00A46154"/>
    <w:rsid w:val="00A467C4"/>
    <w:rsid w:val="00A511F7"/>
    <w:rsid w:val="00A5150D"/>
    <w:rsid w:val="00A52946"/>
    <w:rsid w:val="00A53394"/>
    <w:rsid w:val="00A537F3"/>
    <w:rsid w:val="00A53C6F"/>
    <w:rsid w:val="00A55465"/>
    <w:rsid w:val="00A568A7"/>
    <w:rsid w:val="00A56F5D"/>
    <w:rsid w:val="00A62C19"/>
    <w:rsid w:val="00A63B4D"/>
    <w:rsid w:val="00A6728A"/>
    <w:rsid w:val="00A733D5"/>
    <w:rsid w:val="00A7359C"/>
    <w:rsid w:val="00A73AAA"/>
    <w:rsid w:val="00A73B53"/>
    <w:rsid w:val="00A744B7"/>
    <w:rsid w:val="00A75D00"/>
    <w:rsid w:val="00A800E3"/>
    <w:rsid w:val="00A80D0E"/>
    <w:rsid w:val="00A80DD3"/>
    <w:rsid w:val="00A818CC"/>
    <w:rsid w:val="00A833C0"/>
    <w:rsid w:val="00A8495F"/>
    <w:rsid w:val="00A85CDB"/>
    <w:rsid w:val="00A9117F"/>
    <w:rsid w:val="00A92554"/>
    <w:rsid w:val="00A9280A"/>
    <w:rsid w:val="00A92DA2"/>
    <w:rsid w:val="00A93DEF"/>
    <w:rsid w:val="00A94A11"/>
    <w:rsid w:val="00A95591"/>
    <w:rsid w:val="00A95AC7"/>
    <w:rsid w:val="00A97435"/>
    <w:rsid w:val="00A97CAA"/>
    <w:rsid w:val="00A97EEA"/>
    <w:rsid w:val="00AA1B8C"/>
    <w:rsid w:val="00AA1D38"/>
    <w:rsid w:val="00AA2388"/>
    <w:rsid w:val="00AA268C"/>
    <w:rsid w:val="00AA273C"/>
    <w:rsid w:val="00AA39AE"/>
    <w:rsid w:val="00AA3B54"/>
    <w:rsid w:val="00AA40F6"/>
    <w:rsid w:val="00AA5256"/>
    <w:rsid w:val="00AA78BD"/>
    <w:rsid w:val="00AB14FA"/>
    <w:rsid w:val="00AB2AFB"/>
    <w:rsid w:val="00AB51CA"/>
    <w:rsid w:val="00AB60DE"/>
    <w:rsid w:val="00AB6864"/>
    <w:rsid w:val="00AB7000"/>
    <w:rsid w:val="00AB7FBA"/>
    <w:rsid w:val="00AC171D"/>
    <w:rsid w:val="00AC2C42"/>
    <w:rsid w:val="00AC79F4"/>
    <w:rsid w:val="00AD2B07"/>
    <w:rsid w:val="00AD3848"/>
    <w:rsid w:val="00AD3DE3"/>
    <w:rsid w:val="00AD43B8"/>
    <w:rsid w:val="00AE0540"/>
    <w:rsid w:val="00AE27C1"/>
    <w:rsid w:val="00AE2B97"/>
    <w:rsid w:val="00AE4107"/>
    <w:rsid w:val="00AE4BF0"/>
    <w:rsid w:val="00AF0245"/>
    <w:rsid w:val="00AF6F5D"/>
    <w:rsid w:val="00AF75F9"/>
    <w:rsid w:val="00AF76EE"/>
    <w:rsid w:val="00B0084D"/>
    <w:rsid w:val="00B00F0A"/>
    <w:rsid w:val="00B0198B"/>
    <w:rsid w:val="00B01E05"/>
    <w:rsid w:val="00B04C86"/>
    <w:rsid w:val="00B103F6"/>
    <w:rsid w:val="00B1293C"/>
    <w:rsid w:val="00B13A8D"/>
    <w:rsid w:val="00B13B91"/>
    <w:rsid w:val="00B144AB"/>
    <w:rsid w:val="00B158D2"/>
    <w:rsid w:val="00B15CD7"/>
    <w:rsid w:val="00B179F6"/>
    <w:rsid w:val="00B20F06"/>
    <w:rsid w:val="00B2218D"/>
    <w:rsid w:val="00B22A24"/>
    <w:rsid w:val="00B22BA3"/>
    <w:rsid w:val="00B23657"/>
    <w:rsid w:val="00B254D7"/>
    <w:rsid w:val="00B27D2A"/>
    <w:rsid w:val="00B27E04"/>
    <w:rsid w:val="00B30F1B"/>
    <w:rsid w:val="00B3152E"/>
    <w:rsid w:val="00B3397A"/>
    <w:rsid w:val="00B3412F"/>
    <w:rsid w:val="00B343A1"/>
    <w:rsid w:val="00B35A49"/>
    <w:rsid w:val="00B404AE"/>
    <w:rsid w:val="00B411DE"/>
    <w:rsid w:val="00B44000"/>
    <w:rsid w:val="00B44140"/>
    <w:rsid w:val="00B44346"/>
    <w:rsid w:val="00B50226"/>
    <w:rsid w:val="00B50321"/>
    <w:rsid w:val="00B51236"/>
    <w:rsid w:val="00B514EA"/>
    <w:rsid w:val="00B51A29"/>
    <w:rsid w:val="00B56776"/>
    <w:rsid w:val="00B567AC"/>
    <w:rsid w:val="00B616CF"/>
    <w:rsid w:val="00B61977"/>
    <w:rsid w:val="00B63FE1"/>
    <w:rsid w:val="00B66925"/>
    <w:rsid w:val="00B66E4F"/>
    <w:rsid w:val="00B67AAD"/>
    <w:rsid w:val="00B67FB9"/>
    <w:rsid w:val="00B730EF"/>
    <w:rsid w:val="00B77EA5"/>
    <w:rsid w:val="00B800C5"/>
    <w:rsid w:val="00B81413"/>
    <w:rsid w:val="00B825AC"/>
    <w:rsid w:val="00B82FB5"/>
    <w:rsid w:val="00B831E5"/>
    <w:rsid w:val="00B8339B"/>
    <w:rsid w:val="00B83C02"/>
    <w:rsid w:val="00B8489A"/>
    <w:rsid w:val="00B859A6"/>
    <w:rsid w:val="00B87105"/>
    <w:rsid w:val="00B93C07"/>
    <w:rsid w:val="00B971E9"/>
    <w:rsid w:val="00B975BE"/>
    <w:rsid w:val="00B97793"/>
    <w:rsid w:val="00BA1222"/>
    <w:rsid w:val="00BA2689"/>
    <w:rsid w:val="00BA2CA2"/>
    <w:rsid w:val="00BA2F46"/>
    <w:rsid w:val="00BA4125"/>
    <w:rsid w:val="00BA4C2B"/>
    <w:rsid w:val="00BA4DD8"/>
    <w:rsid w:val="00BA4F45"/>
    <w:rsid w:val="00BA54FC"/>
    <w:rsid w:val="00BA5CB9"/>
    <w:rsid w:val="00BA6002"/>
    <w:rsid w:val="00BA7F8E"/>
    <w:rsid w:val="00BB1FCC"/>
    <w:rsid w:val="00BB5F6E"/>
    <w:rsid w:val="00BC0535"/>
    <w:rsid w:val="00BC173E"/>
    <w:rsid w:val="00BC17D8"/>
    <w:rsid w:val="00BC3504"/>
    <w:rsid w:val="00BC35E3"/>
    <w:rsid w:val="00BC5357"/>
    <w:rsid w:val="00BC5494"/>
    <w:rsid w:val="00BC5C81"/>
    <w:rsid w:val="00BC6412"/>
    <w:rsid w:val="00BD0DEA"/>
    <w:rsid w:val="00BD1125"/>
    <w:rsid w:val="00BE04EB"/>
    <w:rsid w:val="00BE17F0"/>
    <w:rsid w:val="00BE26CA"/>
    <w:rsid w:val="00BE2899"/>
    <w:rsid w:val="00BE454C"/>
    <w:rsid w:val="00BE5AC3"/>
    <w:rsid w:val="00BE61A0"/>
    <w:rsid w:val="00BF00AD"/>
    <w:rsid w:val="00BF1AA7"/>
    <w:rsid w:val="00BF1BB1"/>
    <w:rsid w:val="00BF4300"/>
    <w:rsid w:val="00BF5612"/>
    <w:rsid w:val="00BF57C3"/>
    <w:rsid w:val="00BF5B89"/>
    <w:rsid w:val="00BF720D"/>
    <w:rsid w:val="00C00306"/>
    <w:rsid w:val="00C0042D"/>
    <w:rsid w:val="00C009C8"/>
    <w:rsid w:val="00C01303"/>
    <w:rsid w:val="00C01526"/>
    <w:rsid w:val="00C0182E"/>
    <w:rsid w:val="00C02294"/>
    <w:rsid w:val="00C024D5"/>
    <w:rsid w:val="00C044C2"/>
    <w:rsid w:val="00C04645"/>
    <w:rsid w:val="00C05462"/>
    <w:rsid w:val="00C05DFB"/>
    <w:rsid w:val="00C076C1"/>
    <w:rsid w:val="00C07DC8"/>
    <w:rsid w:val="00C11980"/>
    <w:rsid w:val="00C134B8"/>
    <w:rsid w:val="00C156FA"/>
    <w:rsid w:val="00C1662F"/>
    <w:rsid w:val="00C171E5"/>
    <w:rsid w:val="00C20C93"/>
    <w:rsid w:val="00C222FC"/>
    <w:rsid w:val="00C246E4"/>
    <w:rsid w:val="00C27299"/>
    <w:rsid w:val="00C277EB"/>
    <w:rsid w:val="00C305A4"/>
    <w:rsid w:val="00C30DF9"/>
    <w:rsid w:val="00C31240"/>
    <w:rsid w:val="00C33672"/>
    <w:rsid w:val="00C3577A"/>
    <w:rsid w:val="00C35FAD"/>
    <w:rsid w:val="00C36DFD"/>
    <w:rsid w:val="00C36F90"/>
    <w:rsid w:val="00C41CF9"/>
    <w:rsid w:val="00C41EE6"/>
    <w:rsid w:val="00C45E5D"/>
    <w:rsid w:val="00C50567"/>
    <w:rsid w:val="00C50D16"/>
    <w:rsid w:val="00C50EF1"/>
    <w:rsid w:val="00C53CB6"/>
    <w:rsid w:val="00C545B0"/>
    <w:rsid w:val="00C54AA2"/>
    <w:rsid w:val="00C57C87"/>
    <w:rsid w:val="00C57DEA"/>
    <w:rsid w:val="00C60228"/>
    <w:rsid w:val="00C604D6"/>
    <w:rsid w:val="00C65140"/>
    <w:rsid w:val="00C67668"/>
    <w:rsid w:val="00C70288"/>
    <w:rsid w:val="00C70534"/>
    <w:rsid w:val="00C70FD6"/>
    <w:rsid w:val="00C7169E"/>
    <w:rsid w:val="00C72EA6"/>
    <w:rsid w:val="00C73AB0"/>
    <w:rsid w:val="00C73FB3"/>
    <w:rsid w:val="00C74533"/>
    <w:rsid w:val="00C76823"/>
    <w:rsid w:val="00C77C9E"/>
    <w:rsid w:val="00C7EEE8"/>
    <w:rsid w:val="00C812D8"/>
    <w:rsid w:val="00C81FE0"/>
    <w:rsid w:val="00C863FF"/>
    <w:rsid w:val="00C867BD"/>
    <w:rsid w:val="00C9090A"/>
    <w:rsid w:val="00C90C59"/>
    <w:rsid w:val="00C95212"/>
    <w:rsid w:val="00C95481"/>
    <w:rsid w:val="00C96291"/>
    <w:rsid w:val="00C974B1"/>
    <w:rsid w:val="00CA16BC"/>
    <w:rsid w:val="00CA252C"/>
    <w:rsid w:val="00CA2F32"/>
    <w:rsid w:val="00CA3535"/>
    <w:rsid w:val="00CA379F"/>
    <w:rsid w:val="00CA511B"/>
    <w:rsid w:val="00CA6EF6"/>
    <w:rsid w:val="00CB0557"/>
    <w:rsid w:val="00CB113A"/>
    <w:rsid w:val="00CB1C7C"/>
    <w:rsid w:val="00CB6129"/>
    <w:rsid w:val="00CB7D4E"/>
    <w:rsid w:val="00CC08E3"/>
    <w:rsid w:val="00CC0D8B"/>
    <w:rsid w:val="00CC1CB8"/>
    <w:rsid w:val="00CC3522"/>
    <w:rsid w:val="00CC433C"/>
    <w:rsid w:val="00CC4E53"/>
    <w:rsid w:val="00CC5428"/>
    <w:rsid w:val="00CC61D4"/>
    <w:rsid w:val="00CC6BFA"/>
    <w:rsid w:val="00CC7F46"/>
    <w:rsid w:val="00CD1202"/>
    <w:rsid w:val="00CD1D47"/>
    <w:rsid w:val="00CD2529"/>
    <w:rsid w:val="00CD2641"/>
    <w:rsid w:val="00CD432F"/>
    <w:rsid w:val="00CD638F"/>
    <w:rsid w:val="00CD6443"/>
    <w:rsid w:val="00CD6C3B"/>
    <w:rsid w:val="00CD6FDF"/>
    <w:rsid w:val="00CD782D"/>
    <w:rsid w:val="00CD7CA6"/>
    <w:rsid w:val="00CE0A40"/>
    <w:rsid w:val="00CE1475"/>
    <w:rsid w:val="00CE229C"/>
    <w:rsid w:val="00CE315A"/>
    <w:rsid w:val="00CE6B0B"/>
    <w:rsid w:val="00CE70AA"/>
    <w:rsid w:val="00CE7F57"/>
    <w:rsid w:val="00CF1741"/>
    <w:rsid w:val="00CF21EE"/>
    <w:rsid w:val="00CF29D6"/>
    <w:rsid w:val="00CF4E5B"/>
    <w:rsid w:val="00CF516D"/>
    <w:rsid w:val="00CF5460"/>
    <w:rsid w:val="00CF6A91"/>
    <w:rsid w:val="00CF6F80"/>
    <w:rsid w:val="00CF7766"/>
    <w:rsid w:val="00D01563"/>
    <w:rsid w:val="00D02FA7"/>
    <w:rsid w:val="00D03892"/>
    <w:rsid w:val="00D046F5"/>
    <w:rsid w:val="00D0478E"/>
    <w:rsid w:val="00D04F3C"/>
    <w:rsid w:val="00D067DD"/>
    <w:rsid w:val="00D07E6D"/>
    <w:rsid w:val="00D123D0"/>
    <w:rsid w:val="00D15D4E"/>
    <w:rsid w:val="00D2613A"/>
    <w:rsid w:val="00D275CB"/>
    <w:rsid w:val="00D30D45"/>
    <w:rsid w:val="00D30FB9"/>
    <w:rsid w:val="00D368E5"/>
    <w:rsid w:val="00D37B75"/>
    <w:rsid w:val="00D37EAD"/>
    <w:rsid w:val="00D407E3"/>
    <w:rsid w:val="00D416C4"/>
    <w:rsid w:val="00D41E8E"/>
    <w:rsid w:val="00D454C4"/>
    <w:rsid w:val="00D45E6C"/>
    <w:rsid w:val="00D518DC"/>
    <w:rsid w:val="00D51CCF"/>
    <w:rsid w:val="00D51F2B"/>
    <w:rsid w:val="00D529F2"/>
    <w:rsid w:val="00D541B0"/>
    <w:rsid w:val="00D55404"/>
    <w:rsid w:val="00D55B70"/>
    <w:rsid w:val="00D56381"/>
    <w:rsid w:val="00D56706"/>
    <w:rsid w:val="00D60572"/>
    <w:rsid w:val="00D61FAC"/>
    <w:rsid w:val="00D628A6"/>
    <w:rsid w:val="00D64B38"/>
    <w:rsid w:val="00D65272"/>
    <w:rsid w:val="00D672B8"/>
    <w:rsid w:val="00D706C5"/>
    <w:rsid w:val="00D72B93"/>
    <w:rsid w:val="00D7409F"/>
    <w:rsid w:val="00D740BF"/>
    <w:rsid w:val="00D746B6"/>
    <w:rsid w:val="00D74C9D"/>
    <w:rsid w:val="00D76EBF"/>
    <w:rsid w:val="00D775EC"/>
    <w:rsid w:val="00D8544D"/>
    <w:rsid w:val="00D857A8"/>
    <w:rsid w:val="00D8637B"/>
    <w:rsid w:val="00D93A8B"/>
    <w:rsid w:val="00D94130"/>
    <w:rsid w:val="00D94442"/>
    <w:rsid w:val="00D948DD"/>
    <w:rsid w:val="00D96039"/>
    <w:rsid w:val="00DA049F"/>
    <w:rsid w:val="00DA089F"/>
    <w:rsid w:val="00DA2667"/>
    <w:rsid w:val="00DA3F0F"/>
    <w:rsid w:val="00DB0A42"/>
    <w:rsid w:val="00DB107A"/>
    <w:rsid w:val="00DB133B"/>
    <w:rsid w:val="00DC39E0"/>
    <w:rsid w:val="00DC46F3"/>
    <w:rsid w:val="00DC7664"/>
    <w:rsid w:val="00DC7FCD"/>
    <w:rsid w:val="00DD0819"/>
    <w:rsid w:val="00DD1D57"/>
    <w:rsid w:val="00DD2D99"/>
    <w:rsid w:val="00DD512E"/>
    <w:rsid w:val="00DD529C"/>
    <w:rsid w:val="00DD5A5A"/>
    <w:rsid w:val="00DD7493"/>
    <w:rsid w:val="00DE2B9A"/>
    <w:rsid w:val="00DE2D9B"/>
    <w:rsid w:val="00DE2E8A"/>
    <w:rsid w:val="00DE336C"/>
    <w:rsid w:val="00DE3457"/>
    <w:rsid w:val="00DE408B"/>
    <w:rsid w:val="00DE40A6"/>
    <w:rsid w:val="00DE5F28"/>
    <w:rsid w:val="00DE62CE"/>
    <w:rsid w:val="00DE65B4"/>
    <w:rsid w:val="00DE6CBF"/>
    <w:rsid w:val="00DE7DD7"/>
    <w:rsid w:val="00DF084B"/>
    <w:rsid w:val="00DF100A"/>
    <w:rsid w:val="00DF2485"/>
    <w:rsid w:val="00DF5A8A"/>
    <w:rsid w:val="00DF69B7"/>
    <w:rsid w:val="00DF6F2C"/>
    <w:rsid w:val="00E00EBD"/>
    <w:rsid w:val="00E02AD4"/>
    <w:rsid w:val="00E045C8"/>
    <w:rsid w:val="00E05E00"/>
    <w:rsid w:val="00E06506"/>
    <w:rsid w:val="00E100A8"/>
    <w:rsid w:val="00E10402"/>
    <w:rsid w:val="00E10543"/>
    <w:rsid w:val="00E11ACB"/>
    <w:rsid w:val="00E12A88"/>
    <w:rsid w:val="00E13427"/>
    <w:rsid w:val="00E15D14"/>
    <w:rsid w:val="00E15F7A"/>
    <w:rsid w:val="00E16CCF"/>
    <w:rsid w:val="00E1720E"/>
    <w:rsid w:val="00E17A51"/>
    <w:rsid w:val="00E2057F"/>
    <w:rsid w:val="00E21266"/>
    <w:rsid w:val="00E21AB1"/>
    <w:rsid w:val="00E230FC"/>
    <w:rsid w:val="00E31651"/>
    <w:rsid w:val="00E31B7F"/>
    <w:rsid w:val="00E33612"/>
    <w:rsid w:val="00E34882"/>
    <w:rsid w:val="00E350C7"/>
    <w:rsid w:val="00E35EDD"/>
    <w:rsid w:val="00E373DE"/>
    <w:rsid w:val="00E46333"/>
    <w:rsid w:val="00E464D0"/>
    <w:rsid w:val="00E47080"/>
    <w:rsid w:val="00E475AF"/>
    <w:rsid w:val="00E50866"/>
    <w:rsid w:val="00E515C6"/>
    <w:rsid w:val="00E525F8"/>
    <w:rsid w:val="00E5460D"/>
    <w:rsid w:val="00E54817"/>
    <w:rsid w:val="00E54C96"/>
    <w:rsid w:val="00E55F10"/>
    <w:rsid w:val="00E55FF3"/>
    <w:rsid w:val="00E5688F"/>
    <w:rsid w:val="00E57B2E"/>
    <w:rsid w:val="00E60F4B"/>
    <w:rsid w:val="00E60F7B"/>
    <w:rsid w:val="00E63A32"/>
    <w:rsid w:val="00E64095"/>
    <w:rsid w:val="00E64764"/>
    <w:rsid w:val="00E64A05"/>
    <w:rsid w:val="00E67639"/>
    <w:rsid w:val="00E7201D"/>
    <w:rsid w:val="00E72C1C"/>
    <w:rsid w:val="00E75B16"/>
    <w:rsid w:val="00E76FB9"/>
    <w:rsid w:val="00E8096E"/>
    <w:rsid w:val="00E81387"/>
    <w:rsid w:val="00E816D0"/>
    <w:rsid w:val="00E83570"/>
    <w:rsid w:val="00E95ADF"/>
    <w:rsid w:val="00EA0941"/>
    <w:rsid w:val="00EA7125"/>
    <w:rsid w:val="00EB0F4B"/>
    <w:rsid w:val="00EB146A"/>
    <w:rsid w:val="00EB14B6"/>
    <w:rsid w:val="00EB22C6"/>
    <w:rsid w:val="00EB255D"/>
    <w:rsid w:val="00EB2AFB"/>
    <w:rsid w:val="00EB47DA"/>
    <w:rsid w:val="00EB54A0"/>
    <w:rsid w:val="00EB7066"/>
    <w:rsid w:val="00EB72D7"/>
    <w:rsid w:val="00EC4B46"/>
    <w:rsid w:val="00EC61BA"/>
    <w:rsid w:val="00EC7E7B"/>
    <w:rsid w:val="00ED1B1A"/>
    <w:rsid w:val="00ED29DD"/>
    <w:rsid w:val="00ED3774"/>
    <w:rsid w:val="00ED39B6"/>
    <w:rsid w:val="00ED5A36"/>
    <w:rsid w:val="00ED7706"/>
    <w:rsid w:val="00ED7A18"/>
    <w:rsid w:val="00ED7A47"/>
    <w:rsid w:val="00EE0A82"/>
    <w:rsid w:val="00EE0B68"/>
    <w:rsid w:val="00EE183B"/>
    <w:rsid w:val="00EE1DFB"/>
    <w:rsid w:val="00EE1F3B"/>
    <w:rsid w:val="00EE493D"/>
    <w:rsid w:val="00EE557D"/>
    <w:rsid w:val="00EE6BD6"/>
    <w:rsid w:val="00EE7015"/>
    <w:rsid w:val="00EF0BEA"/>
    <w:rsid w:val="00EF3C42"/>
    <w:rsid w:val="00EF5CAF"/>
    <w:rsid w:val="00EF61FD"/>
    <w:rsid w:val="00EF6929"/>
    <w:rsid w:val="00EF760C"/>
    <w:rsid w:val="00F001ED"/>
    <w:rsid w:val="00F032FD"/>
    <w:rsid w:val="00F0566F"/>
    <w:rsid w:val="00F057B7"/>
    <w:rsid w:val="00F05970"/>
    <w:rsid w:val="00F07581"/>
    <w:rsid w:val="00F10B65"/>
    <w:rsid w:val="00F1335A"/>
    <w:rsid w:val="00F14319"/>
    <w:rsid w:val="00F148C1"/>
    <w:rsid w:val="00F166AF"/>
    <w:rsid w:val="00F16CD5"/>
    <w:rsid w:val="00F17000"/>
    <w:rsid w:val="00F20A1C"/>
    <w:rsid w:val="00F211FB"/>
    <w:rsid w:val="00F21422"/>
    <w:rsid w:val="00F22507"/>
    <w:rsid w:val="00F22872"/>
    <w:rsid w:val="00F228D5"/>
    <w:rsid w:val="00F2398F"/>
    <w:rsid w:val="00F24FC9"/>
    <w:rsid w:val="00F25EA6"/>
    <w:rsid w:val="00F266A6"/>
    <w:rsid w:val="00F30424"/>
    <w:rsid w:val="00F31CD2"/>
    <w:rsid w:val="00F32DD7"/>
    <w:rsid w:val="00F334DE"/>
    <w:rsid w:val="00F33AAA"/>
    <w:rsid w:val="00F34D3B"/>
    <w:rsid w:val="00F372D1"/>
    <w:rsid w:val="00F40293"/>
    <w:rsid w:val="00F40E38"/>
    <w:rsid w:val="00F40F55"/>
    <w:rsid w:val="00F417D1"/>
    <w:rsid w:val="00F426E2"/>
    <w:rsid w:val="00F43B0E"/>
    <w:rsid w:val="00F43BC1"/>
    <w:rsid w:val="00F47C25"/>
    <w:rsid w:val="00F53A34"/>
    <w:rsid w:val="00F54AB7"/>
    <w:rsid w:val="00F55C62"/>
    <w:rsid w:val="00F56A1F"/>
    <w:rsid w:val="00F6108E"/>
    <w:rsid w:val="00F6288A"/>
    <w:rsid w:val="00F629CA"/>
    <w:rsid w:val="00F63535"/>
    <w:rsid w:val="00F66022"/>
    <w:rsid w:val="00F6605A"/>
    <w:rsid w:val="00F6702C"/>
    <w:rsid w:val="00F72508"/>
    <w:rsid w:val="00F73C97"/>
    <w:rsid w:val="00F74E62"/>
    <w:rsid w:val="00F7505F"/>
    <w:rsid w:val="00F75833"/>
    <w:rsid w:val="00F76551"/>
    <w:rsid w:val="00F76984"/>
    <w:rsid w:val="00F807E9"/>
    <w:rsid w:val="00F80FAA"/>
    <w:rsid w:val="00F81A1E"/>
    <w:rsid w:val="00F82460"/>
    <w:rsid w:val="00F82469"/>
    <w:rsid w:val="00F871EC"/>
    <w:rsid w:val="00F87EB7"/>
    <w:rsid w:val="00F907DD"/>
    <w:rsid w:val="00F90995"/>
    <w:rsid w:val="00F93191"/>
    <w:rsid w:val="00F93903"/>
    <w:rsid w:val="00F93C63"/>
    <w:rsid w:val="00F9481D"/>
    <w:rsid w:val="00F94F7A"/>
    <w:rsid w:val="00F95815"/>
    <w:rsid w:val="00F979BB"/>
    <w:rsid w:val="00FA14B5"/>
    <w:rsid w:val="00FA2056"/>
    <w:rsid w:val="00FA2E98"/>
    <w:rsid w:val="00FA41DF"/>
    <w:rsid w:val="00FA5911"/>
    <w:rsid w:val="00FA6CF0"/>
    <w:rsid w:val="00FA706D"/>
    <w:rsid w:val="00FA7268"/>
    <w:rsid w:val="00FB0EC6"/>
    <w:rsid w:val="00FB169F"/>
    <w:rsid w:val="00FB26B3"/>
    <w:rsid w:val="00FB2E34"/>
    <w:rsid w:val="00FB3EA3"/>
    <w:rsid w:val="00FB7936"/>
    <w:rsid w:val="00FC1A18"/>
    <w:rsid w:val="00FC29DD"/>
    <w:rsid w:val="00FC3A59"/>
    <w:rsid w:val="00FC6F26"/>
    <w:rsid w:val="00FC7C54"/>
    <w:rsid w:val="00FC7C84"/>
    <w:rsid w:val="00FD172D"/>
    <w:rsid w:val="00FD31E3"/>
    <w:rsid w:val="00FD382F"/>
    <w:rsid w:val="00FD3E91"/>
    <w:rsid w:val="00FD44CE"/>
    <w:rsid w:val="00FD4C62"/>
    <w:rsid w:val="00FD5738"/>
    <w:rsid w:val="00FD7F1E"/>
    <w:rsid w:val="00FE0D5B"/>
    <w:rsid w:val="00FE39F6"/>
    <w:rsid w:val="00FE3F33"/>
    <w:rsid w:val="00FE56EC"/>
    <w:rsid w:val="00FE5A0C"/>
    <w:rsid w:val="00FE6E93"/>
    <w:rsid w:val="00FE7789"/>
    <w:rsid w:val="00FE7ABF"/>
    <w:rsid w:val="00FF0168"/>
    <w:rsid w:val="00FF1E51"/>
    <w:rsid w:val="00FF2568"/>
    <w:rsid w:val="00FF52B8"/>
    <w:rsid w:val="00FF54CF"/>
    <w:rsid w:val="00FF57C4"/>
    <w:rsid w:val="00FF5D51"/>
    <w:rsid w:val="0795C115"/>
    <w:rsid w:val="08EBCBF7"/>
    <w:rsid w:val="0D33E1BC"/>
    <w:rsid w:val="0E910258"/>
    <w:rsid w:val="0FA32723"/>
    <w:rsid w:val="13456D78"/>
    <w:rsid w:val="136B7426"/>
    <w:rsid w:val="1957E817"/>
    <w:rsid w:val="19F8D2D3"/>
    <w:rsid w:val="1B226FFA"/>
    <w:rsid w:val="1D52799D"/>
    <w:rsid w:val="1EB22728"/>
    <w:rsid w:val="1F998EE9"/>
    <w:rsid w:val="21A72C48"/>
    <w:rsid w:val="21D2388D"/>
    <w:rsid w:val="23E9BDB4"/>
    <w:rsid w:val="2782ED44"/>
    <w:rsid w:val="2ACEB027"/>
    <w:rsid w:val="2CC0AC9F"/>
    <w:rsid w:val="2CEF7665"/>
    <w:rsid w:val="2D47106F"/>
    <w:rsid w:val="2F0F3717"/>
    <w:rsid w:val="30A93BDE"/>
    <w:rsid w:val="3279315E"/>
    <w:rsid w:val="33CC684A"/>
    <w:rsid w:val="33E54D30"/>
    <w:rsid w:val="3599A804"/>
    <w:rsid w:val="3AD10C8E"/>
    <w:rsid w:val="3BA46E82"/>
    <w:rsid w:val="3F492FFD"/>
    <w:rsid w:val="40D0E4BE"/>
    <w:rsid w:val="43231BF9"/>
    <w:rsid w:val="436C5DC2"/>
    <w:rsid w:val="45A567AC"/>
    <w:rsid w:val="4BB3F6D0"/>
    <w:rsid w:val="4C3FD3F3"/>
    <w:rsid w:val="4CEFC4BC"/>
    <w:rsid w:val="4D248139"/>
    <w:rsid w:val="4D3912F8"/>
    <w:rsid w:val="4F224A5E"/>
    <w:rsid w:val="53E3C463"/>
    <w:rsid w:val="5500DF6E"/>
    <w:rsid w:val="5538DCE7"/>
    <w:rsid w:val="58683A34"/>
    <w:rsid w:val="604E850B"/>
    <w:rsid w:val="60FF684E"/>
    <w:rsid w:val="62766782"/>
    <w:rsid w:val="6533E774"/>
    <w:rsid w:val="65A9F4A7"/>
    <w:rsid w:val="666A0D3E"/>
    <w:rsid w:val="67EA13CE"/>
    <w:rsid w:val="6B4BFA85"/>
    <w:rsid w:val="6E057EB4"/>
    <w:rsid w:val="70355E9E"/>
    <w:rsid w:val="72006C83"/>
    <w:rsid w:val="7417AD56"/>
    <w:rsid w:val="76108795"/>
    <w:rsid w:val="76FAAF03"/>
    <w:rsid w:val="79742AC3"/>
    <w:rsid w:val="7BB02420"/>
    <w:rsid w:val="7D2BCB3A"/>
    <w:rsid w:val="7F89B76D"/>
    <w:rsid w:val="7FEC5B8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3C10C"/>
  <w15:chartTrackingRefBased/>
  <w15:docId w15:val="{38557A3C-B2FC-4F4C-AFB5-DFFD29F3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085C"/>
  </w:style>
  <w:style w:type="paragraph" w:styleId="Heading1">
    <w:name w:val="heading 1"/>
    <w:basedOn w:val="Normal"/>
    <w:next w:val="Normal"/>
    <w:link w:val="Heading1Char"/>
    <w:uiPriority w:val="9"/>
    <w:qFormat/>
    <w:rsid w:val="00E464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23460"/>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7A7EC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single space,footnote text,FOOTNOTES,WB-Fußnotentext,Footnote,Fußnote,ADB,Footnote Text qer,Footnote text,single space Char Char,pod carou,Footnote Text WBR,WBR,Fußnotentext Char,ft,5_G"/>
    <w:basedOn w:val="Normal"/>
    <w:link w:val="FootnoteTextChar"/>
    <w:uiPriority w:val="99"/>
    <w:unhideWhenUsed/>
    <w:qFormat/>
    <w:rsid w:val="00500B49"/>
    <w:rPr>
      <w:rFonts w:ascii="Arial" w:hAnsi="Arial"/>
      <w:sz w:val="20"/>
      <w:szCs w:val="20"/>
      <w:lang w:val="en-US"/>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Footnote text Char,pod carou Char,WBR Char"/>
    <w:basedOn w:val="DefaultParagraphFont"/>
    <w:link w:val="FootnoteText"/>
    <w:uiPriority w:val="99"/>
    <w:rsid w:val="00500B49"/>
    <w:rPr>
      <w:rFonts w:ascii="Arial" w:hAnsi="Arial"/>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4_G,footnote ref,fr,Ref"/>
    <w:basedOn w:val="DefaultParagraphFont"/>
    <w:link w:val="BVIfnrCarCar"/>
    <w:unhideWhenUsed/>
    <w:qFormat/>
    <w:rsid w:val="00500B49"/>
    <w:rPr>
      <w:vertAlign w:val="superscript"/>
    </w:rPr>
  </w:style>
  <w:style w:type="paragraph" w:customStyle="1" w:styleId="BVIfnrCarCar">
    <w:name w:val="BVI fnr Car Car"/>
    <w:aliases w:val="BVI fnr Car,BVI fnr Car Car Car Car,BVI fnr Car Car Car Car Char,BVI fnr Car Car Car Car Char Char Char Char Char"/>
    <w:basedOn w:val="Normal"/>
    <w:link w:val="FootnoteReference"/>
    <w:rsid w:val="00500B49"/>
    <w:pPr>
      <w:spacing w:after="160" w:line="240" w:lineRule="exact"/>
      <w:jc w:val="both"/>
    </w:pPr>
    <w:rPr>
      <w:vertAlign w:val="superscript"/>
    </w:rPr>
  </w:style>
  <w:style w:type="character" w:styleId="Hyperlink">
    <w:name w:val="Hyperlink"/>
    <w:basedOn w:val="DefaultParagraphFont"/>
    <w:uiPriority w:val="99"/>
    <w:unhideWhenUsed/>
    <w:rsid w:val="00065C5F"/>
    <w:rPr>
      <w:color w:val="0563C1" w:themeColor="hyperlink"/>
      <w:u w:val="single"/>
    </w:rPr>
  </w:style>
  <w:style w:type="paragraph" w:styleId="NoSpacing">
    <w:name w:val="No Spacing"/>
    <w:uiPriority w:val="1"/>
    <w:qFormat/>
    <w:rsid w:val="00065C5F"/>
    <w:rPr>
      <w:sz w:val="22"/>
      <w:szCs w:val="22"/>
      <w:lang w:val="en-US"/>
    </w:rPr>
  </w:style>
  <w:style w:type="character" w:styleId="EndnoteReference">
    <w:name w:val="endnote reference"/>
    <w:basedOn w:val="DefaultParagraphFont"/>
    <w:uiPriority w:val="99"/>
    <w:unhideWhenUsed/>
    <w:rsid w:val="00065C5F"/>
    <w:rPr>
      <w:vertAlign w:val="superscript"/>
    </w:rPr>
  </w:style>
  <w:style w:type="character" w:customStyle="1" w:styleId="A4">
    <w:name w:val="A4"/>
    <w:uiPriority w:val="99"/>
    <w:rsid w:val="00D45E6C"/>
    <w:rPr>
      <w:color w:val="000000"/>
      <w:sz w:val="12"/>
      <w:szCs w:val="12"/>
    </w:rPr>
  </w:style>
  <w:style w:type="paragraph" w:styleId="ListParagraph">
    <w:name w:val="List Paragraph"/>
    <w:aliases w:val="Main numbered paragraph,List Paragraph1,Ha,Párrafo de lista4,Listas,lp1,kepala,Citation List,Graphic,Table of contents numbered,List Paragraph (bulleted list),Bullet 1 List,Lapis Bulleted List,List Paragraph (numbered (a)),Dot pt,L,3"/>
    <w:basedOn w:val="Normal"/>
    <w:link w:val="ListParagraphChar"/>
    <w:uiPriority w:val="34"/>
    <w:qFormat/>
    <w:rsid w:val="000B3B53"/>
    <w:pPr>
      <w:ind w:left="720"/>
      <w:contextualSpacing/>
    </w:pPr>
  </w:style>
  <w:style w:type="table" w:styleId="TableGrid">
    <w:name w:val="Table Grid"/>
    <w:basedOn w:val="TableNormal"/>
    <w:uiPriority w:val="59"/>
    <w:rsid w:val="00134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3460"/>
    <w:rPr>
      <w:rFonts w:ascii="Times New Roman" w:eastAsia="Times New Roman" w:hAnsi="Times New Roman" w:cs="Times New Roman"/>
      <w:b/>
      <w:bCs/>
      <w:sz w:val="36"/>
      <w:szCs w:val="36"/>
      <w:lang w:eastAsia="fr-FR"/>
    </w:rPr>
  </w:style>
  <w:style w:type="character" w:customStyle="1" w:styleId="st">
    <w:name w:val="st"/>
    <w:basedOn w:val="DefaultParagraphFont"/>
    <w:rsid w:val="00023EDF"/>
  </w:style>
  <w:style w:type="character" w:styleId="Emphasis">
    <w:name w:val="Emphasis"/>
    <w:basedOn w:val="DefaultParagraphFont"/>
    <w:uiPriority w:val="20"/>
    <w:qFormat/>
    <w:rsid w:val="00023EDF"/>
    <w:rPr>
      <w:i/>
      <w:iCs/>
    </w:rPr>
  </w:style>
  <w:style w:type="paragraph" w:customStyle="1" w:styleId="Default">
    <w:name w:val="Default"/>
    <w:rsid w:val="002C1534"/>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5031F7"/>
    <w:rPr>
      <w:sz w:val="16"/>
      <w:szCs w:val="16"/>
    </w:rPr>
  </w:style>
  <w:style w:type="paragraph" w:styleId="CommentText">
    <w:name w:val="annotation text"/>
    <w:basedOn w:val="Normal"/>
    <w:link w:val="CommentTextChar"/>
    <w:uiPriority w:val="99"/>
    <w:unhideWhenUsed/>
    <w:rsid w:val="005031F7"/>
    <w:pPr>
      <w:spacing w:after="160"/>
    </w:pPr>
    <w:rPr>
      <w:rFonts w:ascii="Arial" w:hAnsi="Arial"/>
      <w:sz w:val="20"/>
      <w:szCs w:val="20"/>
      <w:lang w:val="en-GB"/>
    </w:rPr>
  </w:style>
  <w:style w:type="character" w:customStyle="1" w:styleId="CommentTextChar">
    <w:name w:val="Comment Text Char"/>
    <w:basedOn w:val="DefaultParagraphFont"/>
    <w:link w:val="CommentText"/>
    <w:uiPriority w:val="99"/>
    <w:rsid w:val="005031F7"/>
    <w:rPr>
      <w:rFonts w:ascii="Arial" w:hAnsi="Arial"/>
      <w:sz w:val="20"/>
      <w:szCs w:val="20"/>
      <w:lang w:val="en-GB"/>
    </w:rPr>
  </w:style>
  <w:style w:type="paragraph" w:styleId="BalloonText">
    <w:name w:val="Balloon Text"/>
    <w:basedOn w:val="Normal"/>
    <w:link w:val="BalloonTextChar"/>
    <w:uiPriority w:val="99"/>
    <w:semiHidden/>
    <w:unhideWhenUsed/>
    <w:rsid w:val="005031F7"/>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031F7"/>
    <w:rPr>
      <w:rFonts w:ascii="Times New Roman" w:hAnsi="Times New Roman" w:cs="Times New Roman"/>
      <w:sz w:val="26"/>
      <w:szCs w:val="26"/>
    </w:rPr>
  </w:style>
  <w:style w:type="paragraph" w:styleId="EndnoteText">
    <w:name w:val="endnote text"/>
    <w:basedOn w:val="Normal"/>
    <w:link w:val="EndnoteTextChar"/>
    <w:uiPriority w:val="99"/>
    <w:unhideWhenUsed/>
    <w:rsid w:val="00C95481"/>
    <w:rPr>
      <w:sz w:val="20"/>
      <w:szCs w:val="20"/>
      <w:lang w:val="en-GB"/>
    </w:rPr>
  </w:style>
  <w:style w:type="character" w:customStyle="1" w:styleId="EndnoteTextChar">
    <w:name w:val="Endnote Text Char"/>
    <w:basedOn w:val="DefaultParagraphFont"/>
    <w:link w:val="EndnoteText"/>
    <w:uiPriority w:val="99"/>
    <w:rsid w:val="00C95481"/>
    <w:rPr>
      <w:sz w:val="20"/>
      <w:szCs w:val="20"/>
      <w:lang w:val="en-GB"/>
    </w:rPr>
  </w:style>
  <w:style w:type="paragraph" w:styleId="CommentSubject">
    <w:name w:val="annotation subject"/>
    <w:basedOn w:val="CommentText"/>
    <w:next w:val="CommentText"/>
    <w:link w:val="CommentSubjectChar"/>
    <w:uiPriority w:val="99"/>
    <w:semiHidden/>
    <w:unhideWhenUsed/>
    <w:rsid w:val="00CF516D"/>
    <w:pPr>
      <w:spacing w:after="0"/>
    </w:pPr>
    <w:rPr>
      <w:rFonts w:ascii="Times New Roman" w:eastAsia="Times New Roman" w:hAnsi="Times New Roman" w:cs="Times New Roman"/>
      <w:b/>
      <w:bCs/>
      <w:lang w:val="fr-FR" w:eastAsia="fr-FR"/>
    </w:rPr>
  </w:style>
  <w:style w:type="character" w:customStyle="1" w:styleId="CommentSubjectChar">
    <w:name w:val="Comment Subject Char"/>
    <w:basedOn w:val="CommentTextChar"/>
    <w:link w:val="CommentSubject"/>
    <w:uiPriority w:val="99"/>
    <w:semiHidden/>
    <w:rsid w:val="00CF516D"/>
    <w:rPr>
      <w:rFonts w:ascii="Times New Roman" w:eastAsia="Times New Roman" w:hAnsi="Times New Roman" w:cs="Times New Roman"/>
      <w:b/>
      <w:bCs/>
      <w:sz w:val="20"/>
      <w:szCs w:val="20"/>
      <w:lang w:val="en-GB" w:eastAsia="fr-FR"/>
    </w:rPr>
  </w:style>
  <w:style w:type="character" w:styleId="Strong">
    <w:name w:val="Strong"/>
    <w:basedOn w:val="DefaultParagraphFont"/>
    <w:uiPriority w:val="22"/>
    <w:qFormat/>
    <w:rsid w:val="0053095A"/>
    <w:rPr>
      <w:b/>
      <w:bCs/>
    </w:rPr>
  </w:style>
  <w:style w:type="paragraph" w:styleId="NormalWeb">
    <w:name w:val="Normal (Web)"/>
    <w:basedOn w:val="Normal"/>
    <w:uiPriority w:val="99"/>
    <w:unhideWhenUsed/>
    <w:rsid w:val="00AA39AE"/>
    <w:pPr>
      <w:spacing w:before="100" w:beforeAutospacing="1" w:after="100" w:afterAutospacing="1"/>
    </w:pPr>
    <w:rPr>
      <w:rFonts w:ascii="Times New Roman" w:eastAsia="Times New Roman" w:hAnsi="Times New Roman" w:cs="Times New Roman"/>
      <w:lang w:val="en-US"/>
    </w:rPr>
  </w:style>
  <w:style w:type="character" w:customStyle="1" w:styleId="fontstyle01">
    <w:name w:val="fontstyle01"/>
    <w:basedOn w:val="DefaultParagraphFont"/>
    <w:rsid w:val="00E15D14"/>
    <w:rPr>
      <w:rFonts w:ascii="Calibri-Light" w:hAnsi="Calibri-Light" w:hint="default"/>
      <w:b w:val="0"/>
      <w:bCs w:val="0"/>
      <w:i w:val="0"/>
      <w:iCs w:val="0"/>
      <w:color w:val="000000"/>
      <w:sz w:val="22"/>
      <w:szCs w:val="22"/>
    </w:rPr>
  </w:style>
  <w:style w:type="character" w:customStyle="1" w:styleId="fontstyle21">
    <w:name w:val="fontstyle21"/>
    <w:basedOn w:val="DefaultParagraphFont"/>
    <w:rsid w:val="00E15D14"/>
    <w:rPr>
      <w:rFonts w:ascii="Calibri-LightItalic" w:hAnsi="Calibri-LightItalic" w:hint="default"/>
      <w:b w:val="0"/>
      <w:bCs w:val="0"/>
      <w:i/>
      <w:iCs/>
      <w:color w:val="000000"/>
      <w:sz w:val="22"/>
      <w:szCs w:val="22"/>
    </w:rPr>
  </w:style>
  <w:style w:type="character" w:customStyle="1" w:styleId="ListParagraphChar">
    <w:name w:val="List Paragraph Char"/>
    <w:aliases w:val="Main numbered paragraph Char,List Paragraph1 Char,Ha Char,Párrafo de lista4 Char,Listas Char,lp1 Char,kepala Char,Citation List Char,Graphic Char,Table of contents numbered Char,List Paragraph (bulleted list) Char,Bullet 1 List Char"/>
    <w:basedOn w:val="DefaultParagraphFont"/>
    <w:link w:val="ListParagraph"/>
    <w:uiPriority w:val="34"/>
    <w:qFormat/>
    <w:rsid w:val="00E15D14"/>
  </w:style>
  <w:style w:type="paragraph" w:styleId="Header">
    <w:name w:val="header"/>
    <w:basedOn w:val="Normal"/>
    <w:link w:val="HeaderChar"/>
    <w:uiPriority w:val="99"/>
    <w:unhideWhenUsed/>
    <w:rsid w:val="00B975BE"/>
    <w:pPr>
      <w:tabs>
        <w:tab w:val="center" w:pos="4536"/>
        <w:tab w:val="right" w:pos="9072"/>
      </w:tabs>
    </w:pPr>
  </w:style>
  <w:style w:type="character" w:customStyle="1" w:styleId="HeaderChar">
    <w:name w:val="Header Char"/>
    <w:basedOn w:val="DefaultParagraphFont"/>
    <w:link w:val="Header"/>
    <w:uiPriority w:val="99"/>
    <w:rsid w:val="00B975BE"/>
  </w:style>
  <w:style w:type="paragraph" w:styleId="Footer">
    <w:name w:val="footer"/>
    <w:basedOn w:val="Normal"/>
    <w:link w:val="FooterChar"/>
    <w:uiPriority w:val="99"/>
    <w:unhideWhenUsed/>
    <w:rsid w:val="00B975BE"/>
    <w:pPr>
      <w:tabs>
        <w:tab w:val="center" w:pos="4536"/>
        <w:tab w:val="right" w:pos="9072"/>
      </w:tabs>
    </w:pPr>
  </w:style>
  <w:style w:type="character" w:customStyle="1" w:styleId="FooterChar">
    <w:name w:val="Footer Char"/>
    <w:basedOn w:val="DefaultParagraphFont"/>
    <w:link w:val="Footer"/>
    <w:uiPriority w:val="99"/>
    <w:rsid w:val="00B975BE"/>
  </w:style>
  <w:style w:type="character" w:styleId="PageNumber">
    <w:name w:val="page number"/>
    <w:basedOn w:val="DefaultParagraphFont"/>
    <w:uiPriority w:val="99"/>
    <w:semiHidden/>
    <w:unhideWhenUsed/>
    <w:rsid w:val="00B975BE"/>
  </w:style>
  <w:style w:type="character" w:customStyle="1" w:styleId="A6">
    <w:name w:val="A6"/>
    <w:uiPriority w:val="99"/>
    <w:rsid w:val="00F63535"/>
    <w:rPr>
      <w:rFonts w:cs="Myriad Pro Light"/>
      <w:color w:val="000000"/>
      <w:sz w:val="19"/>
      <w:szCs w:val="19"/>
    </w:rPr>
  </w:style>
  <w:style w:type="character" w:customStyle="1" w:styleId="A1">
    <w:name w:val="A1"/>
    <w:uiPriority w:val="99"/>
    <w:rsid w:val="00393F05"/>
    <w:rPr>
      <w:rFonts w:cs="Adobe Garamond Pro"/>
      <w:color w:val="000000"/>
    </w:rPr>
  </w:style>
  <w:style w:type="character" w:styleId="FollowedHyperlink">
    <w:name w:val="FollowedHyperlink"/>
    <w:basedOn w:val="DefaultParagraphFont"/>
    <w:uiPriority w:val="99"/>
    <w:semiHidden/>
    <w:unhideWhenUsed/>
    <w:rsid w:val="003C0DBA"/>
    <w:rPr>
      <w:color w:val="954F72" w:themeColor="followedHyperlink"/>
      <w:u w:val="single"/>
    </w:rPr>
  </w:style>
  <w:style w:type="character" w:customStyle="1" w:styleId="A5">
    <w:name w:val="A5"/>
    <w:uiPriority w:val="99"/>
    <w:rsid w:val="00693275"/>
    <w:rPr>
      <w:rFonts w:cs="Sofia Pro Regular"/>
      <w:color w:val="000000"/>
      <w:sz w:val="20"/>
      <w:szCs w:val="20"/>
    </w:rPr>
  </w:style>
  <w:style w:type="paragraph" w:styleId="Revision">
    <w:name w:val="Revision"/>
    <w:hidden/>
    <w:uiPriority w:val="99"/>
    <w:semiHidden/>
    <w:rsid w:val="00551B00"/>
  </w:style>
  <w:style w:type="character" w:customStyle="1" w:styleId="Mentionnonrsolue1">
    <w:name w:val="Mention non résolue1"/>
    <w:basedOn w:val="DefaultParagraphFont"/>
    <w:uiPriority w:val="99"/>
    <w:semiHidden/>
    <w:unhideWhenUsed/>
    <w:rsid w:val="00FB26B3"/>
    <w:rPr>
      <w:color w:val="808080"/>
      <w:shd w:val="clear" w:color="auto" w:fill="E6E6E6"/>
    </w:rPr>
  </w:style>
  <w:style w:type="character" w:customStyle="1" w:styleId="Heading1Char">
    <w:name w:val="Heading 1 Char"/>
    <w:basedOn w:val="DefaultParagraphFont"/>
    <w:link w:val="Heading1"/>
    <w:uiPriority w:val="9"/>
    <w:rsid w:val="00E464D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464D0"/>
    <w:pPr>
      <w:spacing w:before="480" w:line="276" w:lineRule="auto"/>
      <w:outlineLvl w:val="9"/>
    </w:pPr>
    <w:rPr>
      <w:b/>
      <w:bCs/>
      <w:sz w:val="28"/>
      <w:szCs w:val="28"/>
      <w:lang w:eastAsia="fr-FR"/>
    </w:rPr>
  </w:style>
  <w:style w:type="paragraph" w:styleId="TOC1">
    <w:name w:val="toc 1"/>
    <w:basedOn w:val="Normal"/>
    <w:next w:val="Normal"/>
    <w:autoRedefine/>
    <w:uiPriority w:val="39"/>
    <w:unhideWhenUsed/>
    <w:rsid w:val="00E230FC"/>
    <w:pPr>
      <w:tabs>
        <w:tab w:val="right" w:leader="dot" w:pos="9352"/>
      </w:tabs>
      <w:spacing w:after="100"/>
    </w:pPr>
  </w:style>
  <w:style w:type="character" w:customStyle="1" w:styleId="Heading3Char">
    <w:name w:val="Heading 3 Char"/>
    <w:basedOn w:val="DefaultParagraphFont"/>
    <w:link w:val="Heading3"/>
    <w:uiPriority w:val="9"/>
    <w:rsid w:val="007A7ECF"/>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31125A"/>
    <w:pPr>
      <w:spacing w:after="100"/>
      <w:ind w:left="240"/>
    </w:pPr>
  </w:style>
  <w:style w:type="paragraph" w:styleId="TOC3">
    <w:name w:val="toc 3"/>
    <w:basedOn w:val="Normal"/>
    <w:next w:val="Normal"/>
    <w:autoRedefine/>
    <w:uiPriority w:val="39"/>
    <w:unhideWhenUsed/>
    <w:rsid w:val="0031125A"/>
    <w:pPr>
      <w:spacing w:after="100"/>
      <w:ind w:left="480"/>
    </w:pPr>
  </w:style>
  <w:style w:type="paragraph" w:customStyle="1" w:styleId="paragraph">
    <w:name w:val="paragraph"/>
    <w:basedOn w:val="Normal"/>
    <w:rsid w:val="005133E7"/>
    <w:rPr>
      <w:rFonts w:ascii="Times New Roman" w:eastAsia="Times New Roman" w:hAnsi="Times New Roman" w:cs="Times New Roman"/>
      <w:lang w:val="en-US"/>
    </w:rPr>
  </w:style>
  <w:style w:type="character" w:customStyle="1" w:styleId="eop">
    <w:name w:val="eop"/>
    <w:basedOn w:val="DefaultParagraphFont"/>
    <w:rsid w:val="005133E7"/>
  </w:style>
  <w:style w:type="character" w:customStyle="1" w:styleId="normaltextrun1">
    <w:name w:val="normaltextrun1"/>
    <w:basedOn w:val="DefaultParagraphFont"/>
    <w:rsid w:val="00FC6F26"/>
  </w:style>
  <w:style w:type="character" w:customStyle="1" w:styleId="textrun">
    <w:name w:val="textrun"/>
    <w:basedOn w:val="DefaultParagraphFont"/>
    <w:rsid w:val="001E3FEE"/>
  </w:style>
  <w:style w:type="character" w:styleId="UnresolvedMention">
    <w:name w:val="Unresolved Mention"/>
    <w:basedOn w:val="DefaultParagraphFont"/>
    <w:uiPriority w:val="99"/>
    <w:rsid w:val="00DC7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848">
      <w:bodyDiv w:val="1"/>
      <w:marLeft w:val="0"/>
      <w:marRight w:val="0"/>
      <w:marTop w:val="0"/>
      <w:marBottom w:val="0"/>
      <w:divBdr>
        <w:top w:val="none" w:sz="0" w:space="0" w:color="auto"/>
        <w:left w:val="none" w:sz="0" w:space="0" w:color="auto"/>
        <w:bottom w:val="none" w:sz="0" w:space="0" w:color="auto"/>
        <w:right w:val="none" w:sz="0" w:space="0" w:color="auto"/>
      </w:divBdr>
      <w:divsChild>
        <w:div w:id="1799029857">
          <w:marLeft w:val="547"/>
          <w:marRight w:val="0"/>
          <w:marTop w:val="0"/>
          <w:marBottom w:val="0"/>
          <w:divBdr>
            <w:top w:val="none" w:sz="0" w:space="0" w:color="auto"/>
            <w:left w:val="none" w:sz="0" w:space="0" w:color="auto"/>
            <w:bottom w:val="none" w:sz="0" w:space="0" w:color="auto"/>
            <w:right w:val="none" w:sz="0" w:space="0" w:color="auto"/>
          </w:divBdr>
        </w:div>
      </w:divsChild>
    </w:div>
    <w:div w:id="32927812">
      <w:bodyDiv w:val="1"/>
      <w:marLeft w:val="0"/>
      <w:marRight w:val="0"/>
      <w:marTop w:val="0"/>
      <w:marBottom w:val="0"/>
      <w:divBdr>
        <w:top w:val="none" w:sz="0" w:space="0" w:color="auto"/>
        <w:left w:val="none" w:sz="0" w:space="0" w:color="auto"/>
        <w:bottom w:val="none" w:sz="0" w:space="0" w:color="auto"/>
        <w:right w:val="none" w:sz="0" w:space="0" w:color="auto"/>
      </w:divBdr>
    </w:div>
    <w:div w:id="36049486">
      <w:bodyDiv w:val="1"/>
      <w:marLeft w:val="0"/>
      <w:marRight w:val="0"/>
      <w:marTop w:val="0"/>
      <w:marBottom w:val="0"/>
      <w:divBdr>
        <w:top w:val="none" w:sz="0" w:space="0" w:color="auto"/>
        <w:left w:val="none" w:sz="0" w:space="0" w:color="auto"/>
        <w:bottom w:val="none" w:sz="0" w:space="0" w:color="auto"/>
        <w:right w:val="none" w:sz="0" w:space="0" w:color="auto"/>
      </w:divBdr>
    </w:div>
    <w:div w:id="39868588">
      <w:bodyDiv w:val="1"/>
      <w:marLeft w:val="0"/>
      <w:marRight w:val="0"/>
      <w:marTop w:val="0"/>
      <w:marBottom w:val="0"/>
      <w:divBdr>
        <w:top w:val="none" w:sz="0" w:space="0" w:color="auto"/>
        <w:left w:val="none" w:sz="0" w:space="0" w:color="auto"/>
        <w:bottom w:val="none" w:sz="0" w:space="0" w:color="auto"/>
        <w:right w:val="none" w:sz="0" w:space="0" w:color="auto"/>
      </w:divBdr>
    </w:div>
    <w:div w:id="40445464">
      <w:bodyDiv w:val="1"/>
      <w:marLeft w:val="0"/>
      <w:marRight w:val="0"/>
      <w:marTop w:val="0"/>
      <w:marBottom w:val="0"/>
      <w:divBdr>
        <w:top w:val="none" w:sz="0" w:space="0" w:color="auto"/>
        <w:left w:val="none" w:sz="0" w:space="0" w:color="auto"/>
        <w:bottom w:val="none" w:sz="0" w:space="0" w:color="auto"/>
        <w:right w:val="none" w:sz="0" w:space="0" w:color="auto"/>
      </w:divBdr>
    </w:div>
    <w:div w:id="56364110">
      <w:bodyDiv w:val="1"/>
      <w:marLeft w:val="0"/>
      <w:marRight w:val="0"/>
      <w:marTop w:val="0"/>
      <w:marBottom w:val="0"/>
      <w:divBdr>
        <w:top w:val="none" w:sz="0" w:space="0" w:color="auto"/>
        <w:left w:val="none" w:sz="0" w:space="0" w:color="auto"/>
        <w:bottom w:val="none" w:sz="0" w:space="0" w:color="auto"/>
        <w:right w:val="none" w:sz="0" w:space="0" w:color="auto"/>
      </w:divBdr>
    </w:div>
    <w:div w:id="127284172">
      <w:bodyDiv w:val="1"/>
      <w:marLeft w:val="0"/>
      <w:marRight w:val="0"/>
      <w:marTop w:val="0"/>
      <w:marBottom w:val="0"/>
      <w:divBdr>
        <w:top w:val="none" w:sz="0" w:space="0" w:color="auto"/>
        <w:left w:val="none" w:sz="0" w:space="0" w:color="auto"/>
        <w:bottom w:val="none" w:sz="0" w:space="0" w:color="auto"/>
        <w:right w:val="none" w:sz="0" w:space="0" w:color="auto"/>
      </w:divBdr>
    </w:div>
    <w:div w:id="181557309">
      <w:bodyDiv w:val="1"/>
      <w:marLeft w:val="0"/>
      <w:marRight w:val="0"/>
      <w:marTop w:val="0"/>
      <w:marBottom w:val="0"/>
      <w:divBdr>
        <w:top w:val="none" w:sz="0" w:space="0" w:color="auto"/>
        <w:left w:val="none" w:sz="0" w:space="0" w:color="auto"/>
        <w:bottom w:val="none" w:sz="0" w:space="0" w:color="auto"/>
        <w:right w:val="none" w:sz="0" w:space="0" w:color="auto"/>
      </w:divBdr>
      <w:divsChild>
        <w:div w:id="1957372897">
          <w:marLeft w:val="547"/>
          <w:marRight w:val="0"/>
          <w:marTop w:val="0"/>
          <w:marBottom w:val="0"/>
          <w:divBdr>
            <w:top w:val="none" w:sz="0" w:space="0" w:color="auto"/>
            <w:left w:val="none" w:sz="0" w:space="0" w:color="auto"/>
            <w:bottom w:val="none" w:sz="0" w:space="0" w:color="auto"/>
            <w:right w:val="none" w:sz="0" w:space="0" w:color="auto"/>
          </w:divBdr>
        </w:div>
      </w:divsChild>
    </w:div>
    <w:div w:id="235752221">
      <w:bodyDiv w:val="1"/>
      <w:marLeft w:val="0"/>
      <w:marRight w:val="0"/>
      <w:marTop w:val="0"/>
      <w:marBottom w:val="0"/>
      <w:divBdr>
        <w:top w:val="none" w:sz="0" w:space="0" w:color="auto"/>
        <w:left w:val="none" w:sz="0" w:space="0" w:color="auto"/>
        <w:bottom w:val="none" w:sz="0" w:space="0" w:color="auto"/>
        <w:right w:val="none" w:sz="0" w:space="0" w:color="auto"/>
      </w:divBdr>
    </w:div>
    <w:div w:id="314144935">
      <w:bodyDiv w:val="1"/>
      <w:marLeft w:val="0"/>
      <w:marRight w:val="0"/>
      <w:marTop w:val="0"/>
      <w:marBottom w:val="0"/>
      <w:divBdr>
        <w:top w:val="none" w:sz="0" w:space="0" w:color="auto"/>
        <w:left w:val="none" w:sz="0" w:space="0" w:color="auto"/>
        <w:bottom w:val="none" w:sz="0" w:space="0" w:color="auto"/>
        <w:right w:val="none" w:sz="0" w:space="0" w:color="auto"/>
      </w:divBdr>
    </w:div>
    <w:div w:id="331108242">
      <w:bodyDiv w:val="1"/>
      <w:marLeft w:val="0"/>
      <w:marRight w:val="0"/>
      <w:marTop w:val="0"/>
      <w:marBottom w:val="0"/>
      <w:divBdr>
        <w:top w:val="none" w:sz="0" w:space="0" w:color="auto"/>
        <w:left w:val="none" w:sz="0" w:space="0" w:color="auto"/>
        <w:bottom w:val="none" w:sz="0" w:space="0" w:color="auto"/>
        <w:right w:val="none" w:sz="0" w:space="0" w:color="auto"/>
      </w:divBdr>
    </w:div>
    <w:div w:id="331297734">
      <w:bodyDiv w:val="1"/>
      <w:marLeft w:val="0"/>
      <w:marRight w:val="0"/>
      <w:marTop w:val="0"/>
      <w:marBottom w:val="0"/>
      <w:divBdr>
        <w:top w:val="none" w:sz="0" w:space="0" w:color="auto"/>
        <w:left w:val="none" w:sz="0" w:space="0" w:color="auto"/>
        <w:bottom w:val="none" w:sz="0" w:space="0" w:color="auto"/>
        <w:right w:val="none" w:sz="0" w:space="0" w:color="auto"/>
      </w:divBdr>
    </w:div>
    <w:div w:id="420563539">
      <w:bodyDiv w:val="1"/>
      <w:marLeft w:val="0"/>
      <w:marRight w:val="0"/>
      <w:marTop w:val="0"/>
      <w:marBottom w:val="0"/>
      <w:divBdr>
        <w:top w:val="none" w:sz="0" w:space="0" w:color="auto"/>
        <w:left w:val="none" w:sz="0" w:space="0" w:color="auto"/>
        <w:bottom w:val="none" w:sz="0" w:space="0" w:color="auto"/>
        <w:right w:val="none" w:sz="0" w:space="0" w:color="auto"/>
      </w:divBdr>
      <w:divsChild>
        <w:div w:id="180710385">
          <w:marLeft w:val="547"/>
          <w:marRight w:val="0"/>
          <w:marTop w:val="0"/>
          <w:marBottom w:val="0"/>
          <w:divBdr>
            <w:top w:val="none" w:sz="0" w:space="0" w:color="auto"/>
            <w:left w:val="none" w:sz="0" w:space="0" w:color="auto"/>
            <w:bottom w:val="none" w:sz="0" w:space="0" w:color="auto"/>
            <w:right w:val="none" w:sz="0" w:space="0" w:color="auto"/>
          </w:divBdr>
        </w:div>
      </w:divsChild>
    </w:div>
    <w:div w:id="464129230">
      <w:bodyDiv w:val="1"/>
      <w:marLeft w:val="0"/>
      <w:marRight w:val="0"/>
      <w:marTop w:val="0"/>
      <w:marBottom w:val="0"/>
      <w:divBdr>
        <w:top w:val="none" w:sz="0" w:space="0" w:color="auto"/>
        <w:left w:val="none" w:sz="0" w:space="0" w:color="auto"/>
        <w:bottom w:val="none" w:sz="0" w:space="0" w:color="auto"/>
        <w:right w:val="none" w:sz="0" w:space="0" w:color="auto"/>
      </w:divBdr>
    </w:div>
    <w:div w:id="478230032">
      <w:bodyDiv w:val="1"/>
      <w:marLeft w:val="0"/>
      <w:marRight w:val="0"/>
      <w:marTop w:val="0"/>
      <w:marBottom w:val="0"/>
      <w:divBdr>
        <w:top w:val="none" w:sz="0" w:space="0" w:color="auto"/>
        <w:left w:val="none" w:sz="0" w:space="0" w:color="auto"/>
        <w:bottom w:val="none" w:sz="0" w:space="0" w:color="auto"/>
        <w:right w:val="none" w:sz="0" w:space="0" w:color="auto"/>
      </w:divBdr>
    </w:div>
    <w:div w:id="478619586">
      <w:bodyDiv w:val="1"/>
      <w:marLeft w:val="0"/>
      <w:marRight w:val="0"/>
      <w:marTop w:val="0"/>
      <w:marBottom w:val="0"/>
      <w:divBdr>
        <w:top w:val="none" w:sz="0" w:space="0" w:color="auto"/>
        <w:left w:val="none" w:sz="0" w:space="0" w:color="auto"/>
        <w:bottom w:val="none" w:sz="0" w:space="0" w:color="auto"/>
        <w:right w:val="none" w:sz="0" w:space="0" w:color="auto"/>
      </w:divBdr>
    </w:div>
    <w:div w:id="489710265">
      <w:bodyDiv w:val="1"/>
      <w:marLeft w:val="0"/>
      <w:marRight w:val="0"/>
      <w:marTop w:val="0"/>
      <w:marBottom w:val="0"/>
      <w:divBdr>
        <w:top w:val="none" w:sz="0" w:space="0" w:color="auto"/>
        <w:left w:val="none" w:sz="0" w:space="0" w:color="auto"/>
        <w:bottom w:val="none" w:sz="0" w:space="0" w:color="auto"/>
        <w:right w:val="none" w:sz="0" w:space="0" w:color="auto"/>
      </w:divBdr>
    </w:div>
    <w:div w:id="492914296">
      <w:bodyDiv w:val="1"/>
      <w:marLeft w:val="0"/>
      <w:marRight w:val="0"/>
      <w:marTop w:val="0"/>
      <w:marBottom w:val="0"/>
      <w:divBdr>
        <w:top w:val="none" w:sz="0" w:space="0" w:color="auto"/>
        <w:left w:val="none" w:sz="0" w:space="0" w:color="auto"/>
        <w:bottom w:val="none" w:sz="0" w:space="0" w:color="auto"/>
        <w:right w:val="none" w:sz="0" w:space="0" w:color="auto"/>
      </w:divBdr>
      <w:divsChild>
        <w:div w:id="1657420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65054">
              <w:marLeft w:val="0"/>
              <w:marRight w:val="0"/>
              <w:marTop w:val="0"/>
              <w:marBottom w:val="0"/>
              <w:divBdr>
                <w:top w:val="none" w:sz="0" w:space="0" w:color="auto"/>
                <w:left w:val="none" w:sz="0" w:space="0" w:color="auto"/>
                <w:bottom w:val="none" w:sz="0" w:space="0" w:color="auto"/>
                <w:right w:val="none" w:sz="0" w:space="0" w:color="auto"/>
              </w:divBdr>
              <w:divsChild>
                <w:div w:id="20058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4839">
      <w:bodyDiv w:val="1"/>
      <w:marLeft w:val="0"/>
      <w:marRight w:val="0"/>
      <w:marTop w:val="0"/>
      <w:marBottom w:val="0"/>
      <w:divBdr>
        <w:top w:val="none" w:sz="0" w:space="0" w:color="auto"/>
        <w:left w:val="none" w:sz="0" w:space="0" w:color="auto"/>
        <w:bottom w:val="none" w:sz="0" w:space="0" w:color="auto"/>
        <w:right w:val="none" w:sz="0" w:space="0" w:color="auto"/>
      </w:divBdr>
    </w:div>
    <w:div w:id="576019604">
      <w:bodyDiv w:val="1"/>
      <w:marLeft w:val="0"/>
      <w:marRight w:val="0"/>
      <w:marTop w:val="0"/>
      <w:marBottom w:val="0"/>
      <w:divBdr>
        <w:top w:val="none" w:sz="0" w:space="0" w:color="auto"/>
        <w:left w:val="none" w:sz="0" w:space="0" w:color="auto"/>
        <w:bottom w:val="none" w:sz="0" w:space="0" w:color="auto"/>
        <w:right w:val="none" w:sz="0" w:space="0" w:color="auto"/>
      </w:divBdr>
    </w:div>
    <w:div w:id="602804115">
      <w:bodyDiv w:val="1"/>
      <w:marLeft w:val="0"/>
      <w:marRight w:val="0"/>
      <w:marTop w:val="0"/>
      <w:marBottom w:val="0"/>
      <w:divBdr>
        <w:top w:val="none" w:sz="0" w:space="0" w:color="auto"/>
        <w:left w:val="none" w:sz="0" w:space="0" w:color="auto"/>
        <w:bottom w:val="none" w:sz="0" w:space="0" w:color="auto"/>
        <w:right w:val="none" w:sz="0" w:space="0" w:color="auto"/>
      </w:divBdr>
    </w:div>
    <w:div w:id="618998754">
      <w:bodyDiv w:val="1"/>
      <w:marLeft w:val="0"/>
      <w:marRight w:val="0"/>
      <w:marTop w:val="0"/>
      <w:marBottom w:val="0"/>
      <w:divBdr>
        <w:top w:val="none" w:sz="0" w:space="0" w:color="auto"/>
        <w:left w:val="none" w:sz="0" w:space="0" w:color="auto"/>
        <w:bottom w:val="none" w:sz="0" w:space="0" w:color="auto"/>
        <w:right w:val="none" w:sz="0" w:space="0" w:color="auto"/>
      </w:divBdr>
    </w:div>
    <w:div w:id="663363922">
      <w:bodyDiv w:val="1"/>
      <w:marLeft w:val="0"/>
      <w:marRight w:val="0"/>
      <w:marTop w:val="0"/>
      <w:marBottom w:val="0"/>
      <w:divBdr>
        <w:top w:val="none" w:sz="0" w:space="0" w:color="auto"/>
        <w:left w:val="none" w:sz="0" w:space="0" w:color="auto"/>
        <w:bottom w:val="none" w:sz="0" w:space="0" w:color="auto"/>
        <w:right w:val="none" w:sz="0" w:space="0" w:color="auto"/>
      </w:divBdr>
    </w:div>
    <w:div w:id="674965047">
      <w:bodyDiv w:val="1"/>
      <w:marLeft w:val="0"/>
      <w:marRight w:val="0"/>
      <w:marTop w:val="0"/>
      <w:marBottom w:val="0"/>
      <w:divBdr>
        <w:top w:val="none" w:sz="0" w:space="0" w:color="auto"/>
        <w:left w:val="none" w:sz="0" w:space="0" w:color="auto"/>
        <w:bottom w:val="none" w:sz="0" w:space="0" w:color="auto"/>
        <w:right w:val="none" w:sz="0" w:space="0" w:color="auto"/>
      </w:divBdr>
    </w:div>
    <w:div w:id="684408416">
      <w:bodyDiv w:val="1"/>
      <w:marLeft w:val="0"/>
      <w:marRight w:val="0"/>
      <w:marTop w:val="0"/>
      <w:marBottom w:val="0"/>
      <w:divBdr>
        <w:top w:val="none" w:sz="0" w:space="0" w:color="auto"/>
        <w:left w:val="none" w:sz="0" w:space="0" w:color="auto"/>
        <w:bottom w:val="none" w:sz="0" w:space="0" w:color="auto"/>
        <w:right w:val="none" w:sz="0" w:space="0" w:color="auto"/>
      </w:divBdr>
    </w:div>
    <w:div w:id="694038357">
      <w:bodyDiv w:val="1"/>
      <w:marLeft w:val="0"/>
      <w:marRight w:val="0"/>
      <w:marTop w:val="0"/>
      <w:marBottom w:val="0"/>
      <w:divBdr>
        <w:top w:val="none" w:sz="0" w:space="0" w:color="auto"/>
        <w:left w:val="none" w:sz="0" w:space="0" w:color="auto"/>
        <w:bottom w:val="none" w:sz="0" w:space="0" w:color="auto"/>
        <w:right w:val="none" w:sz="0" w:space="0" w:color="auto"/>
      </w:divBdr>
    </w:div>
    <w:div w:id="711999084">
      <w:bodyDiv w:val="1"/>
      <w:marLeft w:val="0"/>
      <w:marRight w:val="0"/>
      <w:marTop w:val="0"/>
      <w:marBottom w:val="0"/>
      <w:divBdr>
        <w:top w:val="none" w:sz="0" w:space="0" w:color="auto"/>
        <w:left w:val="none" w:sz="0" w:space="0" w:color="auto"/>
        <w:bottom w:val="none" w:sz="0" w:space="0" w:color="auto"/>
        <w:right w:val="none" w:sz="0" w:space="0" w:color="auto"/>
      </w:divBdr>
    </w:div>
    <w:div w:id="834346409">
      <w:bodyDiv w:val="1"/>
      <w:marLeft w:val="0"/>
      <w:marRight w:val="0"/>
      <w:marTop w:val="0"/>
      <w:marBottom w:val="0"/>
      <w:divBdr>
        <w:top w:val="none" w:sz="0" w:space="0" w:color="auto"/>
        <w:left w:val="none" w:sz="0" w:space="0" w:color="auto"/>
        <w:bottom w:val="none" w:sz="0" w:space="0" w:color="auto"/>
        <w:right w:val="none" w:sz="0" w:space="0" w:color="auto"/>
      </w:divBdr>
    </w:div>
    <w:div w:id="841625636">
      <w:bodyDiv w:val="1"/>
      <w:marLeft w:val="0"/>
      <w:marRight w:val="0"/>
      <w:marTop w:val="0"/>
      <w:marBottom w:val="0"/>
      <w:divBdr>
        <w:top w:val="none" w:sz="0" w:space="0" w:color="auto"/>
        <w:left w:val="none" w:sz="0" w:space="0" w:color="auto"/>
        <w:bottom w:val="none" w:sz="0" w:space="0" w:color="auto"/>
        <w:right w:val="none" w:sz="0" w:space="0" w:color="auto"/>
      </w:divBdr>
      <w:divsChild>
        <w:div w:id="2118867268">
          <w:marLeft w:val="547"/>
          <w:marRight w:val="0"/>
          <w:marTop w:val="0"/>
          <w:marBottom w:val="0"/>
          <w:divBdr>
            <w:top w:val="none" w:sz="0" w:space="0" w:color="auto"/>
            <w:left w:val="none" w:sz="0" w:space="0" w:color="auto"/>
            <w:bottom w:val="none" w:sz="0" w:space="0" w:color="auto"/>
            <w:right w:val="none" w:sz="0" w:space="0" w:color="auto"/>
          </w:divBdr>
        </w:div>
      </w:divsChild>
    </w:div>
    <w:div w:id="863592433">
      <w:bodyDiv w:val="1"/>
      <w:marLeft w:val="0"/>
      <w:marRight w:val="0"/>
      <w:marTop w:val="0"/>
      <w:marBottom w:val="0"/>
      <w:divBdr>
        <w:top w:val="none" w:sz="0" w:space="0" w:color="auto"/>
        <w:left w:val="none" w:sz="0" w:space="0" w:color="auto"/>
        <w:bottom w:val="none" w:sz="0" w:space="0" w:color="auto"/>
        <w:right w:val="none" w:sz="0" w:space="0" w:color="auto"/>
      </w:divBdr>
    </w:div>
    <w:div w:id="905380344">
      <w:bodyDiv w:val="1"/>
      <w:marLeft w:val="0"/>
      <w:marRight w:val="0"/>
      <w:marTop w:val="0"/>
      <w:marBottom w:val="0"/>
      <w:divBdr>
        <w:top w:val="none" w:sz="0" w:space="0" w:color="auto"/>
        <w:left w:val="none" w:sz="0" w:space="0" w:color="auto"/>
        <w:bottom w:val="none" w:sz="0" w:space="0" w:color="auto"/>
        <w:right w:val="none" w:sz="0" w:space="0" w:color="auto"/>
      </w:divBdr>
    </w:div>
    <w:div w:id="940649503">
      <w:bodyDiv w:val="1"/>
      <w:marLeft w:val="0"/>
      <w:marRight w:val="0"/>
      <w:marTop w:val="0"/>
      <w:marBottom w:val="0"/>
      <w:divBdr>
        <w:top w:val="none" w:sz="0" w:space="0" w:color="auto"/>
        <w:left w:val="none" w:sz="0" w:space="0" w:color="auto"/>
        <w:bottom w:val="none" w:sz="0" w:space="0" w:color="auto"/>
        <w:right w:val="none" w:sz="0" w:space="0" w:color="auto"/>
      </w:divBdr>
    </w:div>
    <w:div w:id="960650868">
      <w:bodyDiv w:val="1"/>
      <w:marLeft w:val="0"/>
      <w:marRight w:val="0"/>
      <w:marTop w:val="0"/>
      <w:marBottom w:val="0"/>
      <w:divBdr>
        <w:top w:val="none" w:sz="0" w:space="0" w:color="auto"/>
        <w:left w:val="none" w:sz="0" w:space="0" w:color="auto"/>
        <w:bottom w:val="none" w:sz="0" w:space="0" w:color="auto"/>
        <w:right w:val="none" w:sz="0" w:space="0" w:color="auto"/>
      </w:divBdr>
    </w:div>
    <w:div w:id="991788102">
      <w:bodyDiv w:val="1"/>
      <w:marLeft w:val="0"/>
      <w:marRight w:val="0"/>
      <w:marTop w:val="0"/>
      <w:marBottom w:val="0"/>
      <w:divBdr>
        <w:top w:val="none" w:sz="0" w:space="0" w:color="auto"/>
        <w:left w:val="none" w:sz="0" w:space="0" w:color="auto"/>
        <w:bottom w:val="none" w:sz="0" w:space="0" w:color="auto"/>
        <w:right w:val="none" w:sz="0" w:space="0" w:color="auto"/>
      </w:divBdr>
      <w:divsChild>
        <w:div w:id="413212072">
          <w:marLeft w:val="547"/>
          <w:marRight w:val="0"/>
          <w:marTop w:val="0"/>
          <w:marBottom w:val="0"/>
          <w:divBdr>
            <w:top w:val="none" w:sz="0" w:space="0" w:color="auto"/>
            <w:left w:val="none" w:sz="0" w:space="0" w:color="auto"/>
            <w:bottom w:val="none" w:sz="0" w:space="0" w:color="auto"/>
            <w:right w:val="none" w:sz="0" w:space="0" w:color="auto"/>
          </w:divBdr>
        </w:div>
      </w:divsChild>
    </w:div>
    <w:div w:id="1018459412">
      <w:bodyDiv w:val="1"/>
      <w:marLeft w:val="0"/>
      <w:marRight w:val="0"/>
      <w:marTop w:val="0"/>
      <w:marBottom w:val="0"/>
      <w:divBdr>
        <w:top w:val="none" w:sz="0" w:space="0" w:color="auto"/>
        <w:left w:val="none" w:sz="0" w:space="0" w:color="auto"/>
        <w:bottom w:val="none" w:sz="0" w:space="0" w:color="auto"/>
        <w:right w:val="none" w:sz="0" w:space="0" w:color="auto"/>
      </w:divBdr>
    </w:div>
    <w:div w:id="1042362327">
      <w:bodyDiv w:val="1"/>
      <w:marLeft w:val="0"/>
      <w:marRight w:val="0"/>
      <w:marTop w:val="0"/>
      <w:marBottom w:val="0"/>
      <w:divBdr>
        <w:top w:val="none" w:sz="0" w:space="0" w:color="auto"/>
        <w:left w:val="none" w:sz="0" w:space="0" w:color="auto"/>
        <w:bottom w:val="none" w:sz="0" w:space="0" w:color="auto"/>
        <w:right w:val="none" w:sz="0" w:space="0" w:color="auto"/>
      </w:divBdr>
      <w:divsChild>
        <w:div w:id="75170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553132">
              <w:marLeft w:val="0"/>
              <w:marRight w:val="0"/>
              <w:marTop w:val="0"/>
              <w:marBottom w:val="0"/>
              <w:divBdr>
                <w:top w:val="none" w:sz="0" w:space="0" w:color="auto"/>
                <w:left w:val="none" w:sz="0" w:space="0" w:color="auto"/>
                <w:bottom w:val="none" w:sz="0" w:space="0" w:color="auto"/>
                <w:right w:val="none" w:sz="0" w:space="0" w:color="auto"/>
              </w:divBdr>
              <w:divsChild>
                <w:div w:id="13179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6001">
      <w:bodyDiv w:val="1"/>
      <w:marLeft w:val="0"/>
      <w:marRight w:val="0"/>
      <w:marTop w:val="0"/>
      <w:marBottom w:val="0"/>
      <w:divBdr>
        <w:top w:val="none" w:sz="0" w:space="0" w:color="auto"/>
        <w:left w:val="none" w:sz="0" w:space="0" w:color="auto"/>
        <w:bottom w:val="none" w:sz="0" w:space="0" w:color="auto"/>
        <w:right w:val="none" w:sz="0" w:space="0" w:color="auto"/>
      </w:divBdr>
    </w:div>
    <w:div w:id="1071653858">
      <w:bodyDiv w:val="1"/>
      <w:marLeft w:val="0"/>
      <w:marRight w:val="0"/>
      <w:marTop w:val="0"/>
      <w:marBottom w:val="0"/>
      <w:divBdr>
        <w:top w:val="none" w:sz="0" w:space="0" w:color="auto"/>
        <w:left w:val="none" w:sz="0" w:space="0" w:color="auto"/>
        <w:bottom w:val="none" w:sz="0" w:space="0" w:color="auto"/>
        <w:right w:val="none" w:sz="0" w:space="0" w:color="auto"/>
      </w:divBdr>
    </w:div>
    <w:div w:id="1072695692">
      <w:bodyDiv w:val="1"/>
      <w:marLeft w:val="0"/>
      <w:marRight w:val="0"/>
      <w:marTop w:val="0"/>
      <w:marBottom w:val="0"/>
      <w:divBdr>
        <w:top w:val="none" w:sz="0" w:space="0" w:color="auto"/>
        <w:left w:val="none" w:sz="0" w:space="0" w:color="auto"/>
        <w:bottom w:val="none" w:sz="0" w:space="0" w:color="auto"/>
        <w:right w:val="none" w:sz="0" w:space="0" w:color="auto"/>
      </w:divBdr>
    </w:div>
    <w:div w:id="1080759250">
      <w:bodyDiv w:val="1"/>
      <w:marLeft w:val="0"/>
      <w:marRight w:val="0"/>
      <w:marTop w:val="0"/>
      <w:marBottom w:val="0"/>
      <w:divBdr>
        <w:top w:val="none" w:sz="0" w:space="0" w:color="auto"/>
        <w:left w:val="none" w:sz="0" w:space="0" w:color="auto"/>
        <w:bottom w:val="none" w:sz="0" w:space="0" w:color="auto"/>
        <w:right w:val="none" w:sz="0" w:space="0" w:color="auto"/>
      </w:divBdr>
    </w:div>
    <w:div w:id="1087270984">
      <w:bodyDiv w:val="1"/>
      <w:marLeft w:val="0"/>
      <w:marRight w:val="0"/>
      <w:marTop w:val="0"/>
      <w:marBottom w:val="0"/>
      <w:divBdr>
        <w:top w:val="none" w:sz="0" w:space="0" w:color="auto"/>
        <w:left w:val="none" w:sz="0" w:space="0" w:color="auto"/>
        <w:bottom w:val="none" w:sz="0" w:space="0" w:color="auto"/>
        <w:right w:val="none" w:sz="0" w:space="0" w:color="auto"/>
      </w:divBdr>
    </w:div>
    <w:div w:id="1115251780">
      <w:bodyDiv w:val="1"/>
      <w:marLeft w:val="0"/>
      <w:marRight w:val="0"/>
      <w:marTop w:val="0"/>
      <w:marBottom w:val="0"/>
      <w:divBdr>
        <w:top w:val="none" w:sz="0" w:space="0" w:color="auto"/>
        <w:left w:val="none" w:sz="0" w:space="0" w:color="auto"/>
        <w:bottom w:val="none" w:sz="0" w:space="0" w:color="auto"/>
        <w:right w:val="none" w:sz="0" w:space="0" w:color="auto"/>
      </w:divBdr>
    </w:div>
    <w:div w:id="1268928598">
      <w:bodyDiv w:val="1"/>
      <w:marLeft w:val="0"/>
      <w:marRight w:val="0"/>
      <w:marTop w:val="0"/>
      <w:marBottom w:val="0"/>
      <w:divBdr>
        <w:top w:val="none" w:sz="0" w:space="0" w:color="auto"/>
        <w:left w:val="none" w:sz="0" w:space="0" w:color="auto"/>
        <w:bottom w:val="none" w:sz="0" w:space="0" w:color="auto"/>
        <w:right w:val="none" w:sz="0" w:space="0" w:color="auto"/>
      </w:divBdr>
    </w:div>
    <w:div w:id="1302036145">
      <w:bodyDiv w:val="1"/>
      <w:marLeft w:val="0"/>
      <w:marRight w:val="0"/>
      <w:marTop w:val="0"/>
      <w:marBottom w:val="0"/>
      <w:divBdr>
        <w:top w:val="none" w:sz="0" w:space="0" w:color="auto"/>
        <w:left w:val="none" w:sz="0" w:space="0" w:color="auto"/>
        <w:bottom w:val="none" w:sz="0" w:space="0" w:color="auto"/>
        <w:right w:val="none" w:sz="0" w:space="0" w:color="auto"/>
      </w:divBdr>
      <w:divsChild>
        <w:div w:id="734818060">
          <w:marLeft w:val="0"/>
          <w:marRight w:val="0"/>
          <w:marTop w:val="0"/>
          <w:marBottom w:val="0"/>
          <w:divBdr>
            <w:top w:val="none" w:sz="0" w:space="0" w:color="auto"/>
            <w:left w:val="none" w:sz="0" w:space="0" w:color="auto"/>
            <w:bottom w:val="none" w:sz="0" w:space="0" w:color="auto"/>
            <w:right w:val="none" w:sz="0" w:space="0" w:color="auto"/>
          </w:divBdr>
        </w:div>
      </w:divsChild>
    </w:div>
    <w:div w:id="1330400547">
      <w:bodyDiv w:val="1"/>
      <w:marLeft w:val="0"/>
      <w:marRight w:val="0"/>
      <w:marTop w:val="0"/>
      <w:marBottom w:val="0"/>
      <w:divBdr>
        <w:top w:val="none" w:sz="0" w:space="0" w:color="auto"/>
        <w:left w:val="none" w:sz="0" w:space="0" w:color="auto"/>
        <w:bottom w:val="none" w:sz="0" w:space="0" w:color="auto"/>
        <w:right w:val="none" w:sz="0" w:space="0" w:color="auto"/>
      </w:divBdr>
    </w:div>
    <w:div w:id="1331910399">
      <w:bodyDiv w:val="1"/>
      <w:marLeft w:val="0"/>
      <w:marRight w:val="0"/>
      <w:marTop w:val="0"/>
      <w:marBottom w:val="0"/>
      <w:divBdr>
        <w:top w:val="none" w:sz="0" w:space="0" w:color="auto"/>
        <w:left w:val="none" w:sz="0" w:space="0" w:color="auto"/>
        <w:bottom w:val="none" w:sz="0" w:space="0" w:color="auto"/>
        <w:right w:val="none" w:sz="0" w:space="0" w:color="auto"/>
      </w:divBdr>
    </w:div>
    <w:div w:id="1381443758">
      <w:bodyDiv w:val="1"/>
      <w:marLeft w:val="0"/>
      <w:marRight w:val="0"/>
      <w:marTop w:val="0"/>
      <w:marBottom w:val="0"/>
      <w:divBdr>
        <w:top w:val="none" w:sz="0" w:space="0" w:color="auto"/>
        <w:left w:val="none" w:sz="0" w:space="0" w:color="auto"/>
        <w:bottom w:val="none" w:sz="0" w:space="0" w:color="auto"/>
        <w:right w:val="none" w:sz="0" w:space="0" w:color="auto"/>
      </w:divBdr>
    </w:div>
    <w:div w:id="1424257439">
      <w:bodyDiv w:val="1"/>
      <w:marLeft w:val="0"/>
      <w:marRight w:val="0"/>
      <w:marTop w:val="0"/>
      <w:marBottom w:val="0"/>
      <w:divBdr>
        <w:top w:val="none" w:sz="0" w:space="0" w:color="auto"/>
        <w:left w:val="none" w:sz="0" w:space="0" w:color="auto"/>
        <w:bottom w:val="none" w:sz="0" w:space="0" w:color="auto"/>
        <w:right w:val="none" w:sz="0" w:space="0" w:color="auto"/>
      </w:divBdr>
    </w:div>
    <w:div w:id="1548953621">
      <w:bodyDiv w:val="1"/>
      <w:marLeft w:val="0"/>
      <w:marRight w:val="0"/>
      <w:marTop w:val="0"/>
      <w:marBottom w:val="0"/>
      <w:divBdr>
        <w:top w:val="none" w:sz="0" w:space="0" w:color="auto"/>
        <w:left w:val="none" w:sz="0" w:space="0" w:color="auto"/>
        <w:bottom w:val="none" w:sz="0" w:space="0" w:color="auto"/>
        <w:right w:val="none" w:sz="0" w:space="0" w:color="auto"/>
      </w:divBdr>
    </w:div>
    <w:div w:id="1655179990">
      <w:bodyDiv w:val="1"/>
      <w:marLeft w:val="0"/>
      <w:marRight w:val="0"/>
      <w:marTop w:val="0"/>
      <w:marBottom w:val="0"/>
      <w:divBdr>
        <w:top w:val="none" w:sz="0" w:space="0" w:color="auto"/>
        <w:left w:val="none" w:sz="0" w:space="0" w:color="auto"/>
        <w:bottom w:val="none" w:sz="0" w:space="0" w:color="auto"/>
        <w:right w:val="none" w:sz="0" w:space="0" w:color="auto"/>
      </w:divBdr>
    </w:div>
    <w:div w:id="1656378384">
      <w:bodyDiv w:val="1"/>
      <w:marLeft w:val="0"/>
      <w:marRight w:val="0"/>
      <w:marTop w:val="0"/>
      <w:marBottom w:val="0"/>
      <w:divBdr>
        <w:top w:val="none" w:sz="0" w:space="0" w:color="auto"/>
        <w:left w:val="none" w:sz="0" w:space="0" w:color="auto"/>
        <w:bottom w:val="none" w:sz="0" w:space="0" w:color="auto"/>
        <w:right w:val="none" w:sz="0" w:space="0" w:color="auto"/>
      </w:divBdr>
    </w:div>
    <w:div w:id="1694308265">
      <w:bodyDiv w:val="1"/>
      <w:marLeft w:val="0"/>
      <w:marRight w:val="0"/>
      <w:marTop w:val="0"/>
      <w:marBottom w:val="0"/>
      <w:divBdr>
        <w:top w:val="none" w:sz="0" w:space="0" w:color="auto"/>
        <w:left w:val="none" w:sz="0" w:space="0" w:color="auto"/>
        <w:bottom w:val="none" w:sz="0" w:space="0" w:color="auto"/>
        <w:right w:val="none" w:sz="0" w:space="0" w:color="auto"/>
      </w:divBdr>
    </w:div>
    <w:div w:id="1722944319">
      <w:bodyDiv w:val="1"/>
      <w:marLeft w:val="0"/>
      <w:marRight w:val="0"/>
      <w:marTop w:val="0"/>
      <w:marBottom w:val="0"/>
      <w:divBdr>
        <w:top w:val="none" w:sz="0" w:space="0" w:color="auto"/>
        <w:left w:val="none" w:sz="0" w:space="0" w:color="auto"/>
        <w:bottom w:val="none" w:sz="0" w:space="0" w:color="auto"/>
        <w:right w:val="none" w:sz="0" w:space="0" w:color="auto"/>
      </w:divBdr>
    </w:div>
    <w:div w:id="1741781146">
      <w:bodyDiv w:val="1"/>
      <w:marLeft w:val="0"/>
      <w:marRight w:val="0"/>
      <w:marTop w:val="0"/>
      <w:marBottom w:val="0"/>
      <w:divBdr>
        <w:top w:val="none" w:sz="0" w:space="0" w:color="auto"/>
        <w:left w:val="none" w:sz="0" w:space="0" w:color="auto"/>
        <w:bottom w:val="none" w:sz="0" w:space="0" w:color="auto"/>
        <w:right w:val="none" w:sz="0" w:space="0" w:color="auto"/>
      </w:divBdr>
    </w:div>
    <w:div w:id="1762528610">
      <w:bodyDiv w:val="1"/>
      <w:marLeft w:val="0"/>
      <w:marRight w:val="0"/>
      <w:marTop w:val="0"/>
      <w:marBottom w:val="0"/>
      <w:divBdr>
        <w:top w:val="none" w:sz="0" w:space="0" w:color="auto"/>
        <w:left w:val="none" w:sz="0" w:space="0" w:color="auto"/>
        <w:bottom w:val="none" w:sz="0" w:space="0" w:color="auto"/>
        <w:right w:val="none" w:sz="0" w:space="0" w:color="auto"/>
      </w:divBdr>
    </w:div>
    <w:div w:id="1805658340">
      <w:bodyDiv w:val="1"/>
      <w:marLeft w:val="0"/>
      <w:marRight w:val="0"/>
      <w:marTop w:val="0"/>
      <w:marBottom w:val="0"/>
      <w:divBdr>
        <w:top w:val="none" w:sz="0" w:space="0" w:color="auto"/>
        <w:left w:val="none" w:sz="0" w:space="0" w:color="auto"/>
        <w:bottom w:val="none" w:sz="0" w:space="0" w:color="auto"/>
        <w:right w:val="none" w:sz="0" w:space="0" w:color="auto"/>
      </w:divBdr>
    </w:div>
    <w:div w:id="1903129696">
      <w:bodyDiv w:val="1"/>
      <w:marLeft w:val="0"/>
      <w:marRight w:val="0"/>
      <w:marTop w:val="0"/>
      <w:marBottom w:val="0"/>
      <w:divBdr>
        <w:top w:val="none" w:sz="0" w:space="0" w:color="auto"/>
        <w:left w:val="none" w:sz="0" w:space="0" w:color="auto"/>
        <w:bottom w:val="none" w:sz="0" w:space="0" w:color="auto"/>
        <w:right w:val="none" w:sz="0" w:space="0" w:color="auto"/>
      </w:divBdr>
      <w:divsChild>
        <w:div w:id="184254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809218">
              <w:marLeft w:val="0"/>
              <w:marRight w:val="0"/>
              <w:marTop w:val="0"/>
              <w:marBottom w:val="0"/>
              <w:divBdr>
                <w:top w:val="none" w:sz="0" w:space="0" w:color="auto"/>
                <w:left w:val="none" w:sz="0" w:space="0" w:color="auto"/>
                <w:bottom w:val="none" w:sz="0" w:space="0" w:color="auto"/>
                <w:right w:val="none" w:sz="0" w:space="0" w:color="auto"/>
              </w:divBdr>
              <w:divsChild>
                <w:div w:id="6828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3264">
      <w:bodyDiv w:val="1"/>
      <w:marLeft w:val="0"/>
      <w:marRight w:val="0"/>
      <w:marTop w:val="0"/>
      <w:marBottom w:val="0"/>
      <w:divBdr>
        <w:top w:val="none" w:sz="0" w:space="0" w:color="auto"/>
        <w:left w:val="none" w:sz="0" w:space="0" w:color="auto"/>
        <w:bottom w:val="none" w:sz="0" w:space="0" w:color="auto"/>
        <w:right w:val="none" w:sz="0" w:space="0" w:color="auto"/>
      </w:divBdr>
    </w:div>
    <w:div w:id="1955749848">
      <w:bodyDiv w:val="1"/>
      <w:marLeft w:val="0"/>
      <w:marRight w:val="0"/>
      <w:marTop w:val="0"/>
      <w:marBottom w:val="0"/>
      <w:divBdr>
        <w:top w:val="none" w:sz="0" w:space="0" w:color="auto"/>
        <w:left w:val="none" w:sz="0" w:space="0" w:color="auto"/>
        <w:bottom w:val="none" w:sz="0" w:space="0" w:color="auto"/>
        <w:right w:val="none" w:sz="0" w:space="0" w:color="auto"/>
      </w:divBdr>
    </w:div>
    <w:div w:id="2007900861">
      <w:bodyDiv w:val="1"/>
      <w:marLeft w:val="0"/>
      <w:marRight w:val="0"/>
      <w:marTop w:val="0"/>
      <w:marBottom w:val="0"/>
      <w:divBdr>
        <w:top w:val="none" w:sz="0" w:space="0" w:color="auto"/>
        <w:left w:val="none" w:sz="0" w:space="0" w:color="auto"/>
        <w:bottom w:val="none" w:sz="0" w:space="0" w:color="auto"/>
        <w:right w:val="none" w:sz="0" w:space="0" w:color="auto"/>
      </w:divBdr>
    </w:div>
    <w:div w:id="20815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microsoft.com/office/2007/relationships/diagramDrawing" Target="diagrams/drawing5.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diagramQuickStyle" Target="diagrams/quickStyle6.xml"/><Relationship Id="rId47" Type="http://schemas.openxmlformats.org/officeDocument/2006/relationships/footer" Target="footer2.xml"/><Relationship Id="rId50" Type="http://schemas.openxmlformats.org/officeDocument/2006/relationships/hyperlink" Target="http://www.ipcinfo.org/fileadmin/user_upload/ipcinfo/docs/3_IPC_Timor%20Leste_CFI_20182023_English.pdf" TargetMode="External"/><Relationship Id="rId55" Type="http://schemas.openxmlformats.org/officeDocument/2006/relationships/hyperlink" Target="https://www.unicef.org/timorleste/media/2676/file/Summary_of_Key_Findings_eng.pdf.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diagramLayout" Target="diagrams/layout6.xml"/><Relationship Id="rId54" Type="http://schemas.openxmlformats.org/officeDocument/2006/relationships/hyperlink" Target="http://hdr.undp.org/en/content/human-development-index-hd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diagramData" Target="diagrams/data6.xml"/><Relationship Id="rId45" Type="http://schemas.openxmlformats.org/officeDocument/2006/relationships/header" Target="header1.xml"/><Relationship Id="rId53" Type="http://schemas.openxmlformats.org/officeDocument/2006/relationships/hyperlink" Target="https://www.eiu.com/topic/democracy-index" TargetMode="External"/><Relationship Id="rId58" Type="http://schemas.openxmlformats.org/officeDocument/2006/relationships/hyperlink" Target="http://documents.worldbank.org/curated/en/577521475573958572/Poverty-in-Timor-Leste-2014"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49" Type="http://schemas.openxmlformats.org/officeDocument/2006/relationships/hyperlink" Target="https://www.imf.org/en/Publications/CR/Issues/2019/05/07/Democratic-Republic-of-Timor-Leste-2019-Article-IV-Consultation-Press-Release-Staff-Report-46874" TargetMode="External"/><Relationship Id="rId57" Type="http://schemas.openxmlformats.org/officeDocument/2006/relationships/hyperlink" Target="https://microdata.worldbank.org/index.php/catalog/2806" TargetMode="External"/><Relationship Id="rId61" Type="http://schemas.openxmlformats.org/officeDocument/2006/relationships/footer" Target="footer4.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diagramLayout" Target="diagrams/layout4.xml"/><Relationship Id="rId44" Type="http://schemas.microsoft.com/office/2007/relationships/diagramDrawing" Target="diagrams/drawing6.xml"/><Relationship Id="rId52" Type="http://schemas.openxmlformats.org/officeDocument/2006/relationships/hyperlink" Target="http://www.laohamutuk.org/Oil/PetFund/PFLaw9-2005En.pdf"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diagramColors" Target="diagrams/colors6.xml"/><Relationship Id="rId48" Type="http://schemas.openxmlformats.org/officeDocument/2006/relationships/hyperlink" Target="https://weltrisikobericht.de/english-2/" TargetMode="External"/><Relationship Id="rId56" Type="http://schemas.openxmlformats.org/officeDocument/2006/relationships/hyperlink" Target="https://www.unodc.org/unodc/treaties/CAC/country-profile/CountryProfile.html?code=TLS" TargetMode="External"/><Relationship Id="rId8" Type="http://schemas.openxmlformats.org/officeDocument/2006/relationships/webSettings" Target="webSettings.xml"/><Relationship Id="rId51" Type="http://schemas.openxmlformats.org/officeDocument/2006/relationships/hyperlink" Target="https://rainforests.mongabay.com/deforestation/archive/Timor-Leste.htm"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footer" Target="footer1.xm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unodc/treaties/CAC/country-profile/CountryProfile.html?code=TLS" TargetMode="External"/><Relationship Id="rId3" Type="http://schemas.openxmlformats.org/officeDocument/2006/relationships/hyperlink" Target="http://hdr.undp.org/en/content/human-development-index-hdi" TargetMode="External"/><Relationship Id="rId7" Type="http://schemas.openxmlformats.org/officeDocument/2006/relationships/hyperlink" Target="http://documents.worldbank.org/curated/en/276321544729561229/Women-Farmers-in-Timor-Leste-Bridging-the-Gender-Gap-in-Agricultural-Productivity" TargetMode="External"/><Relationship Id="rId12" Type="http://schemas.openxmlformats.org/officeDocument/2006/relationships/hyperlink" Target="https://www.imf.org/en/Publications/CR/Issues/2019/05/07/Democratic-Republic-of-Timor-Leste-2019-Article-IV-Consultation-Press-Release-Staff-Report-46874" TargetMode="External"/><Relationship Id="rId2" Type="http://schemas.openxmlformats.org/officeDocument/2006/relationships/hyperlink" Target="http://www.laohamutuk.org/Oil/PetFund/PFLaw9-2005En.pdf" TargetMode="External"/><Relationship Id="rId1" Type="http://schemas.openxmlformats.org/officeDocument/2006/relationships/hyperlink" Target="https://www.eiu.com/topic/democracy-index" TargetMode="External"/><Relationship Id="rId6" Type="http://schemas.openxmlformats.org/officeDocument/2006/relationships/hyperlink" Target="https://www.unicef.org/timorleste/media/2676/file/Summary_of_Key_Findings_eng.pdf.pdf" TargetMode="External"/><Relationship Id="rId11" Type="http://schemas.openxmlformats.org/officeDocument/2006/relationships/hyperlink" Target="https://rainforests.mongabay.com/deforestation/archive/Timor-Leste.htm" TargetMode="External"/><Relationship Id="rId5" Type="http://schemas.openxmlformats.org/officeDocument/2006/relationships/hyperlink" Target="http://www.ipcinfo.org/fileadmin/user_upload/ipcinfo/docs/3_IPC_Timor%20Leste_CFI_20182023_English.pdf" TargetMode="External"/><Relationship Id="rId10" Type="http://schemas.openxmlformats.org/officeDocument/2006/relationships/hyperlink" Target="https://weltrisikobericht.de/english-2/" TargetMode="External"/><Relationship Id="rId4" Type="http://schemas.openxmlformats.org/officeDocument/2006/relationships/hyperlink" Target="http://documents.worldbank.org/curated/en/577521475573958572/Poverty-in-Timor-Leste-2014" TargetMode="External"/><Relationship Id="rId9" Type="http://schemas.openxmlformats.org/officeDocument/2006/relationships/hyperlink" Target="https://microdata.worldbank.org/index.php/catalog/280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ED0289-0289-2941-8100-CD1E9E7198ED}"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fr-FR"/>
        </a:p>
      </dgm:t>
    </dgm:pt>
    <dgm:pt modelId="{A7F0231B-06E0-F541-9B30-90FE0A1DB262}">
      <dgm:prSet phldrT="[Texte]" custT="1"/>
      <dgm:spPr/>
      <dgm:t>
        <a:bodyPr/>
        <a:lstStyle/>
        <a:p>
          <a:r>
            <a:rPr lang="fr-FR" sz="1050"/>
            <a:t>Nutrition, food security  and sustainable agriculture</a:t>
          </a:r>
        </a:p>
      </dgm:t>
    </dgm:pt>
    <dgm:pt modelId="{D44FDEAE-9632-5447-8766-B476F98AF416}" type="parTrans" cxnId="{5698960F-9CC7-014B-9F08-E86AE30BF437}">
      <dgm:prSet/>
      <dgm:spPr/>
      <dgm:t>
        <a:bodyPr/>
        <a:lstStyle/>
        <a:p>
          <a:endParaRPr lang="fr-FR"/>
        </a:p>
      </dgm:t>
    </dgm:pt>
    <dgm:pt modelId="{5C2E8B1C-FAFF-304A-9A82-522C64CAA6B7}" type="sibTrans" cxnId="{5698960F-9CC7-014B-9F08-E86AE30BF437}">
      <dgm:prSet/>
      <dgm:spPr/>
      <dgm:t>
        <a:bodyPr/>
        <a:lstStyle/>
        <a:p>
          <a:endParaRPr lang="fr-FR"/>
        </a:p>
      </dgm:t>
    </dgm:pt>
    <dgm:pt modelId="{1A801C61-9A76-C242-B82D-33DE3E636913}">
      <dgm:prSet phldrT="[Texte]" custT="1"/>
      <dgm:spPr/>
      <dgm:t>
        <a:bodyPr/>
        <a:lstStyle/>
        <a:p>
          <a:r>
            <a:rPr lang="fr-FR" sz="700"/>
            <a:t>Increased access to nutrition services </a:t>
          </a:r>
        </a:p>
      </dgm:t>
    </dgm:pt>
    <dgm:pt modelId="{BB5C84CC-1A9C-B645-8E16-A05C857F6E4C}" type="parTrans" cxnId="{CFEBE168-5921-0442-863B-84AD39093119}">
      <dgm:prSet/>
      <dgm:spPr/>
      <dgm:t>
        <a:bodyPr/>
        <a:lstStyle/>
        <a:p>
          <a:endParaRPr lang="fr-FR"/>
        </a:p>
      </dgm:t>
    </dgm:pt>
    <dgm:pt modelId="{381FDAEE-253C-314D-911B-3A19784234B7}" type="sibTrans" cxnId="{CFEBE168-5921-0442-863B-84AD39093119}">
      <dgm:prSet/>
      <dgm:spPr/>
      <dgm:t>
        <a:bodyPr/>
        <a:lstStyle/>
        <a:p>
          <a:endParaRPr lang="fr-FR" sz="2400"/>
        </a:p>
      </dgm:t>
    </dgm:pt>
    <dgm:pt modelId="{8D33F967-0A30-714A-9A7E-16B2B92C9253}">
      <dgm:prSet phldrT="[Texte]" custT="1"/>
      <dgm:spPr/>
      <dgm:t>
        <a:bodyPr/>
        <a:lstStyle/>
        <a:p>
          <a:r>
            <a:rPr lang="en-GB" sz="700"/>
            <a:t>Productive climate smart/resilient agricutlure, livestock, forestry and fisheries </a:t>
          </a:r>
          <a:endParaRPr lang="fr-FR" sz="700"/>
        </a:p>
      </dgm:t>
    </dgm:pt>
    <dgm:pt modelId="{410F12A4-977C-494F-89E9-7BA14E09A86D}" type="parTrans" cxnId="{2EF006C0-41EB-8942-A3C9-CBDB6ACB3900}">
      <dgm:prSet/>
      <dgm:spPr/>
      <dgm:t>
        <a:bodyPr/>
        <a:lstStyle/>
        <a:p>
          <a:endParaRPr lang="fr-FR"/>
        </a:p>
      </dgm:t>
    </dgm:pt>
    <dgm:pt modelId="{72C0A21C-8E1C-334E-9AD1-345E6500EBC5}" type="sibTrans" cxnId="{2EF006C0-41EB-8942-A3C9-CBDB6ACB3900}">
      <dgm:prSet/>
      <dgm:spPr/>
      <dgm:t>
        <a:bodyPr/>
        <a:lstStyle/>
        <a:p>
          <a:endParaRPr lang="fr-FR" sz="2400"/>
        </a:p>
      </dgm:t>
    </dgm:pt>
    <dgm:pt modelId="{8C912AB7-BF0B-4E47-B39F-FE1F2973A66F}">
      <dgm:prSet phldrT="[Texte]" custT="1"/>
      <dgm:spPr/>
      <dgm:t>
        <a:bodyPr/>
        <a:lstStyle/>
        <a:p>
          <a:r>
            <a:rPr lang="en-GB" sz="700"/>
            <a:t>Value-added to smallholder crop, livestock, forestry and fisheries’ production</a:t>
          </a:r>
          <a:endParaRPr lang="fr-FR" sz="700"/>
        </a:p>
      </dgm:t>
    </dgm:pt>
    <dgm:pt modelId="{3B56CE96-25CF-AA4E-B847-5D0B94A28F85}" type="parTrans" cxnId="{90DC37AD-44A8-8249-A2A5-0B033CF478F0}">
      <dgm:prSet/>
      <dgm:spPr/>
      <dgm:t>
        <a:bodyPr/>
        <a:lstStyle/>
        <a:p>
          <a:endParaRPr lang="fr-FR"/>
        </a:p>
      </dgm:t>
    </dgm:pt>
    <dgm:pt modelId="{5DA52D8E-DEE2-D74A-B88C-EEE783A713C7}" type="sibTrans" cxnId="{90DC37AD-44A8-8249-A2A5-0B033CF478F0}">
      <dgm:prSet/>
      <dgm:spPr/>
      <dgm:t>
        <a:bodyPr/>
        <a:lstStyle/>
        <a:p>
          <a:endParaRPr lang="fr-FR" sz="2400"/>
        </a:p>
      </dgm:t>
    </dgm:pt>
    <dgm:pt modelId="{53C9A502-2091-B945-99D8-0C39A7C79ED8}">
      <dgm:prSet phldrT="[Texte]" custT="1"/>
      <dgm:spPr/>
      <dgm:t>
        <a:bodyPr/>
        <a:lstStyle/>
        <a:p>
          <a:r>
            <a:rPr lang="fr-FR" sz="700"/>
            <a:t>Increased access to safely managed drinking water, and basic sanitation and hygiene</a:t>
          </a:r>
        </a:p>
      </dgm:t>
    </dgm:pt>
    <dgm:pt modelId="{1A92D11D-5554-2243-A78D-7150D012ACDE}" type="parTrans" cxnId="{DAE29AA7-C2B6-504C-A62C-09136206B4E6}">
      <dgm:prSet/>
      <dgm:spPr/>
      <dgm:t>
        <a:bodyPr/>
        <a:lstStyle/>
        <a:p>
          <a:endParaRPr lang="fr-FR"/>
        </a:p>
      </dgm:t>
    </dgm:pt>
    <dgm:pt modelId="{8F082AED-52A5-7743-87AC-BA05DB554BAB}" type="sibTrans" cxnId="{DAE29AA7-C2B6-504C-A62C-09136206B4E6}">
      <dgm:prSet/>
      <dgm:spPr/>
      <dgm:t>
        <a:bodyPr/>
        <a:lstStyle/>
        <a:p>
          <a:endParaRPr lang="fr-FR" sz="2400"/>
        </a:p>
      </dgm:t>
    </dgm:pt>
    <dgm:pt modelId="{01C0362D-F63B-1447-8129-FC764D931CAA}">
      <dgm:prSet phldrT="[Texte]" custT="1"/>
      <dgm:spPr/>
      <dgm:t>
        <a:bodyPr/>
        <a:lstStyle/>
        <a:p>
          <a:r>
            <a:rPr lang="fr-FR" sz="700"/>
            <a:t>Cross-sectoral policy coherence and partnership between health, agriculture, social protection and trade sectors</a:t>
          </a:r>
        </a:p>
      </dgm:t>
    </dgm:pt>
    <dgm:pt modelId="{6AD3DF37-6D38-6A41-BDDD-7400EFF291B8}" type="parTrans" cxnId="{EE318BF3-A763-514E-890C-7543226DB677}">
      <dgm:prSet/>
      <dgm:spPr/>
      <dgm:t>
        <a:bodyPr/>
        <a:lstStyle/>
        <a:p>
          <a:endParaRPr lang="fr-FR"/>
        </a:p>
      </dgm:t>
    </dgm:pt>
    <dgm:pt modelId="{862B5582-7F57-8046-81B5-99E38D571A3B}" type="sibTrans" cxnId="{EE318BF3-A763-514E-890C-7543226DB677}">
      <dgm:prSet/>
      <dgm:spPr/>
      <dgm:t>
        <a:bodyPr/>
        <a:lstStyle/>
        <a:p>
          <a:endParaRPr lang="fr-FR" sz="2400"/>
        </a:p>
      </dgm:t>
    </dgm:pt>
    <dgm:pt modelId="{8BC06370-510F-7B4D-9A03-CE0AC13639C8}" type="pres">
      <dgm:prSet presAssocID="{30ED0289-0289-2941-8100-CD1E9E7198ED}" presName="Name0" presStyleCnt="0">
        <dgm:presLayoutVars>
          <dgm:chMax val="1"/>
          <dgm:dir/>
          <dgm:animLvl val="ctr"/>
          <dgm:resizeHandles val="exact"/>
        </dgm:presLayoutVars>
      </dgm:prSet>
      <dgm:spPr/>
    </dgm:pt>
    <dgm:pt modelId="{22EE3AE4-4E30-E249-8E4D-56FF82666A8E}" type="pres">
      <dgm:prSet presAssocID="{A7F0231B-06E0-F541-9B30-90FE0A1DB262}" presName="centerShape" presStyleLbl="node0" presStyleIdx="0" presStyleCnt="1" custScaleX="111365" custScaleY="105897"/>
      <dgm:spPr/>
    </dgm:pt>
    <dgm:pt modelId="{BF067554-DF81-8449-93F6-FF0D6EA98888}" type="pres">
      <dgm:prSet presAssocID="{1A801C61-9A76-C242-B82D-33DE3E636913}" presName="node" presStyleLbl="node1" presStyleIdx="0" presStyleCnt="5" custScaleX="127258" custScaleY="121814">
        <dgm:presLayoutVars>
          <dgm:bulletEnabled val="1"/>
        </dgm:presLayoutVars>
      </dgm:prSet>
      <dgm:spPr/>
    </dgm:pt>
    <dgm:pt modelId="{AA092508-D4A6-D844-8F9B-916A3ACCD822}" type="pres">
      <dgm:prSet presAssocID="{1A801C61-9A76-C242-B82D-33DE3E636913}" presName="dummy" presStyleCnt="0"/>
      <dgm:spPr/>
    </dgm:pt>
    <dgm:pt modelId="{70044AD4-BBEF-6F4C-971F-8F248056CE3D}" type="pres">
      <dgm:prSet presAssocID="{381FDAEE-253C-314D-911B-3A19784234B7}" presName="sibTrans" presStyleLbl="sibTrans2D1" presStyleIdx="0" presStyleCnt="5" custLinFactNeighborX="7312" custLinFactNeighborY="1290"/>
      <dgm:spPr/>
    </dgm:pt>
    <dgm:pt modelId="{6160376F-8DBD-3649-8A2A-1DBFE8F3CF6E}" type="pres">
      <dgm:prSet presAssocID="{8D33F967-0A30-714A-9A7E-16B2B92C9253}" presName="node" presStyleLbl="node1" presStyleIdx="1" presStyleCnt="5" custScaleX="127258" custScaleY="121814">
        <dgm:presLayoutVars>
          <dgm:bulletEnabled val="1"/>
        </dgm:presLayoutVars>
      </dgm:prSet>
      <dgm:spPr/>
    </dgm:pt>
    <dgm:pt modelId="{9D4C32D1-44BC-8E46-B106-5BA2F573186E}" type="pres">
      <dgm:prSet presAssocID="{8D33F967-0A30-714A-9A7E-16B2B92C9253}" presName="dummy" presStyleCnt="0"/>
      <dgm:spPr/>
    </dgm:pt>
    <dgm:pt modelId="{3F0D796F-CB05-6843-B439-8E71F82A335A}" type="pres">
      <dgm:prSet presAssocID="{72C0A21C-8E1C-334E-9AD1-345E6500EBC5}" presName="sibTrans" presStyleLbl="sibTrans2D1" presStyleIdx="1" presStyleCnt="5"/>
      <dgm:spPr/>
    </dgm:pt>
    <dgm:pt modelId="{72491C01-2014-3343-A6FB-92A1DFA2652A}" type="pres">
      <dgm:prSet presAssocID="{8C912AB7-BF0B-4E47-B39F-FE1F2973A66F}" presName="node" presStyleLbl="node1" presStyleIdx="2" presStyleCnt="5" custScaleX="127258" custScaleY="121814">
        <dgm:presLayoutVars>
          <dgm:bulletEnabled val="1"/>
        </dgm:presLayoutVars>
      </dgm:prSet>
      <dgm:spPr/>
    </dgm:pt>
    <dgm:pt modelId="{8959D3D5-C9EE-4047-B9AA-ECCCDC466982}" type="pres">
      <dgm:prSet presAssocID="{8C912AB7-BF0B-4E47-B39F-FE1F2973A66F}" presName="dummy" presStyleCnt="0"/>
      <dgm:spPr/>
    </dgm:pt>
    <dgm:pt modelId="{04542ACF-0E0F-484F-BCA3-862A2924A1D5}" type="pres">
      <dgm:prSet presAssocID="{5DA52D8E-DEE2-D74A-B88C-EEE783A713C7}" presName="sibTrans" presStyleLbl="sibTrans2D1" presStyleIdx="2" presStyleCnt="5"/>
      <dgm:spPr/>
    </dgm:pt>
    <dgm:pt modelId="{629D8CEA-089F-054C-8E78-99A2A4EA1904}" type="pres">
      <dgm:prSet presAssocID="{53C9A502-2091-B945-99D8-0C39A7C79ED8}" presName="node" presStyleLbl="node1" presStyleIdx="3" presStyleCnt="5" custScaleX="127258" custScaleY="121814">
        <dgm:presLayoutVars>
          <dgm:bulletEnabled val="1"/>
        </dgm:presLayoutVars>
      </dgm:prSet>
      <dgm:spPr/>
    </dgm:pt>
    <dgm:pt modelId="{A0870349-7A33-9042-B76E-48C4BE9E9E43}" type="pres">
      <dgm:prSet presAssocID="{53C9A502-2091-B945-99D8-0C39A7C79ED8}" presName="dummy" presStyleCnt="0"/>
      <dgm:spPr/>
    </dgm:pt>
    <dgm:pt modelId="{DE727D5B-A472-494B-845C-4D76945E525A}" type="pres">
      <dgm:prSet presAssocID="{8F082AED-52A5-7743-87AC-BA05DB554BAB}" presName="sibTrans" presStyleLbl="sibTrans2D1" presStyleIdx="3" presStyleCnt="5"/>
      <dgm:spPr/>
    </dgm:pt>
    <dgm:pt modelId="{E98694EE-FE93-EB42-B925-256BFF13AB3C}" type="pres">
      <dgm:prSet presAssocID="{01C0362D-F63B-1447-8129-FC764D931CAA}" presName="node" presStyleLbl="node1" presStyleIdx="4" presStyleCnt="5" custScaleX="127258" custScaleY="121814">
        <dgm:presLayoutVars>
          <dgm:bulletEnabled val="1"/>
        </dgm:presLayoutVars>
      </dgm:prSet>
      <dgm:spPr/>
    </dgm:pt>
    <dgm:pt modelId="{F5DAE773-507B-DC43-81B0-6F255D5233DC}" type="pres">
      <dgm:prSet presAssocID="{01C0362D-F63B-1447-8129-FC764D931CAA}" presName="dummy" presStyleCnt="0"/>
      <dgm:spPr/>
    </dgm:pt>
    <dgm:pt modelId="{F654361C-0836-1243-B7AD-9122D686B7DB}" type="pres">
      <dgm:prSet presAssocID="{862B5582-7F57-8046-81B5-99E38D571A3B}" presName="sibTrans" presStyleLbl="sibTrans2D1" presStyleIdx="4" presStyleCnt="5"/>
      <dgm:spPr/>
    </dgm:pt>
  </dgm:ptLst>
  <dgm:cxnLst>
    <dgm:cxn modelId="{F4129F09-9C5C-664F-AC7B-D006987C201C}" type="presOf" srcId="{5DA52D8E-DEE2-D74A-B88C-EEE783A713C7}" destId="{04542ACF-0E0F-484F-BCA3-862A2924A1D5}" srcOrd="0" destOrd="0" presId="urn:microsoft.com/office/officeart/2005/8/layout/radial6"/>
    <dgm:cxn modelId="{5698960F-9CC7-014B-9F08-E86AE30BF437}" srcId="{30ED0289-0289-2941-8100-CD1E9E7198ED}" destId="{A7F0231B-06E0-F541-9B30-90FE0A1DB262}" srcOrd="0" destOrd="0" parTransId="{D44FDEAE-9632-5447-8766-B476F98AF416}" sibTransId="{5C2E8B1C-FAFF-304A-9A82-522C64CAA6B7}"/>
    <dgm:cxn modelId="{0025D010-13F4-354B-8B01-C8E7821D7008}" type="presOf" srcId="{A7F0231B-06E0-F541-9B30-90FE0A1DB262}" destId="{22EE3AE4-4E30-E249-8E4D-56FF82666A8E}" srcOrd="0" destOrd="0" presId="urn:microsoft.com/office/officeart/2005/8/layout/radial6"/>
    <dgm:cxn modelId="{F62D3915-5CE3-2E47-925D-2A233228C03E}" type="presOf" srcId="{862B5582-7F57-8046-81B5-99E38D571A3B}" destId="{F654361C-0836-1243-B7AD-9122D686B7DB}" srcOrd="0" destOrd="0" presId="urn:microsoft.com/office/officeart/2005/8/layout/radial6"/>
    <dgm:cxn modelId="{B30DA32A-FF89-3345-BCBE-386E2C2E20FD}" type="presOf" srcId="{1A801C61-9A76-C242-B82D-33DE3E636913}" destId="{BF067554-DF81-8449-93F6-FF0D6EA98888}" srcOrd="0" destOrd="0" presId="urn:microsoft.com/office/officeart/2005/8/layout/radial6"/>
    <dgm:cxn modelId="{DCC27E2E-B23C-7844-B8DB-F3774BADB10C}" type="presOf" srcId="{53C9A502-2091-B945-99D8-0C39A7C79ED8}" destId="{629D8CEA-089F-054C-8E78-99A2A4EA1904}" srcOrd="0" destOrd="0" presId="urn:microsoft.com/office/officeart/2005/8/layout/radial6"/>
    <dgm:cxn modelId="{CFEBE168-5921-0442-863B-84AD39093119}" srcId="{A7F0231B-06E0-F541-9B30-90FE0A1DB262}" destId="{1A801C61-9A76-C242-B82D-33DE3E636913}" srcOrd="0" destOrd="0" parTransId="{BB5C84CC-1A9C-B645-8E16-A05C857F6E4C}" sibTransId="{381FDAEE-253C-314D-911B-3A19784234B7}"/>
    <dgm:cxn modelId="{48924A78-5CA2-0D4A-9C01-9516470F1FDD}" type="presOf" srcId="{01C0362D-F63B-1447-8129-FC764D931CAA}" destId="{E98694EE-FE93-EB42-B925-256BFF13AB3C}" srcOrd="0" destOrd="0" presId="urn:microsoft.com/office/officeart/2005/8/layout/radial6"/>
    <dgm:cxn modelId="{EDB1457D-10AC-1046-918C-078CD1B78E50}" type="presOf" srcId="{30ED0289-0289-2941-8100-CD1E9E7198ED}" destId="{8BC06370-510F-7B4D-9A03-CE0AC13639C8}" srcOrd="0" destOrd="0" presId="urn:microsoft.com/office/officeart/2005/8/layout/radial6"/>
    <dgm:cxn modelId="{F080A29E-CCAC-7045-BB63-C745E0A84684}" type="presOf" srcId="{8C912AB7-BF0B-4E47-B39F-FE1F2973A66F}" destId="{72491C01-2014-3343-A6FB-92A1DFA2652A}" srcOrd="0" destOrd="0" presId="urn:microsoft.com/office/officeart/2005/8/layout/radial6"/>
    <dgm:cxn modelId="{DAE29AA7-C2B6-504C-A62C-09136206B4E6}" srcId="{A7F0231B-06E0-F541-9B30-90FE0A1DB262}" destId="{53C9A502-2091-B945-99D8-0C39A7C79ED8}" srcOrd="3" destOrd="0" parTransId="{1A92D11D-5554-2243-A78D-7150D012ACDE}" sibTransId="{8F082AED-52A5-7743-87AC-BA05DB554BAB}"/>
    <dgm:cxn modelId="{90DC37AD-44A8-8249-A2A5-0B033CF478F0}" srcId="{A7F0231B-06E0-F541-9B30-90FE0A1DB262}" destId="{8C912AB7-BF0B-4E47-B39F-FE1F2973A66F}" srcOrd="2" destOrd="0" parTransId="{3B56CE96-25CF-AA4E-B847-5D0B94A28F85}" sibTransId="{5DA52D8E-DEE2-D74A-B88C-EEE783A713C7}"/>
    <dgm:cxn modelId="{75572FB6-5EA7-994F-B126-C9EE3A6BA0CA}" type="presOf" srcId="{8F082AED-52A5-7743-87AC-BA05DB554BAB}" destId="{DE727D5B-A472-494B-845C-4D76945E525A}" srcOrd="0" destOrd="0" presId="urn:microsoft.com/office/officeart/2005/8/layout/radial6"/>
    <dgm:cxn modelId="{2EF006C0-41EB-8942-A3C9-CBDB6ACB3900}" srcId="{A7F0231B-06E0-F541-9B30-90FE0A1DB262}" destId="{8D33F967-0A30-714A-9A7E-16B2B92C9253}" srcOrd="1" destOrd="0" parTransId="{410F12A4-977C-494F-89E9-7BA14E09A86D}" sibTransId="{72C0A21C-8E1C-334E-9AD1-345E6500EBC5}"/>
    <dgm:cxn modelId="{542456C3-3792-1E4F-A99B-8EA12DCE7103}" type="presOf" srcId="{72C0A21C-8E1C-334E-9AD1-345E6500EBC5}" destId="{3F0D796F-CB05-6843-B439-8E71F82A335A}" srcOrd="0" destOrd="0" presId="urn:microsoft.com/office/officeart/2005/8/layout/radial6"/>
    <dgm:cxn modelId="{EC5C83E3-3DD8-9E48-93C8-94075BB795F5}" type="presOf" srcId="{381FDAEE-253C-314D-911B-3A19784234B7}" destId="{70044AD4-BBEF-6F4C-971F-8F248056CE3D}" srcOrd="0" destOrd="0" presId="urn:microsoft.com/office/officeart/2005/8/layout/radial6"/>
    <dgm:cxn modelId="{EE318BF3-A763-514E-890C-7543226DB677}" srcId="{A7F0231B-06E0-F541-9B30-90FE0A1DB262}" destId="{01C0362D-F63B-1447-8129-FC764D931CAA}" srcOrd="4" destOrd="0" parTransId="{6AD3DF37-6D38-6A41-BDDD-7400EFF291B8}" sibTransId="{862B5582-7F57-8046-81B5-99E38D571A3B}"/>
    <dgm:cxn modelId="{304852FA-A379-584B-8902-886B844311B4}" type="presOf" srcId="{8D33F967-0A30-714A-9A7E-16B2B92C9253}" destId="{6160376F-8DBD-3649-8A2A-1DBFE8F3CF6E}" srcOrd="0" destOrd="0" presId="urn:microsoft.com/office/officeart/2005/8/layout/radial6"/>
    <dgm:cxn modelId="{5C7105B0-7F61-E048-8B5D-11916E575030}" type="presParOf" srcId="{8BC06370-510F-7B4D-9A03-CE0AC13639C8}" destId="{22EE3AE4-4E30-E249-8E4D-56FF82666A8E}" srcOrd="0" destOrd="0" presId="urn:microsoft.com/office/officeart/2005/8/layout/radial6"/>
    <dgm:cxn modelId="{4124A1FD-C707-1E48-86B6-599BC9E723CD}" type="presParOf" srcId="{8BC06370-510F-7B4D-9A03-CE0AC13639C8}" destId="{BF067554-DF81-8449-93F6-FF0D6EA98888}" srcOrd="1" destOrd="0" presId="urn:microsoft.com/office/officeart/2005/8/layout/radial6"/>
    <dgm:cxn modelId="{5C375CB0-503E-E549-980B-15A577A8FF15}" type="presParOf" srcId="{8BC06370-510F-7B4D-9A03-CE0AC13639C8}" destId="{AA092508-D4A6-D844-8F9B-916A3ACCD822}" srcOrd="2" destOrd="0" presId="urn:microsoft.com/office/officeart/2005/8/layout/radial6"/>
    <dgm:cxn modelId="{0071D238-47AC-AB4F-A735-99D2EB430864}" type="presParOf" srcId="{8BC06370-510F-7B4D-9A03-CE0AC13639C8}" destId="{70044AD4-BBEF-6F4C-971F-8F248056CE3D}" srcOrd="3" destOrd="0" presId="urn:microsoft.com/office/officeart/2005/8/layout/radial6"/>
    <dgm:cxn modelId="{2034EA90-FA9A-E742-A2E1-38E524B43A9F}" type="presParOf" srcId="{8BC06370-510F-7B4D-9A03-CE0AC13639C8}" destId="{6160376F-8DBD-3649-8A2A-1DBFE8F3CF6E}" srcOrd="4" destOrd="0" presId="urn:microsoft.com/office/officeart/2005/8/layout/radial6"/>
    <dgm:cxn modelId="{A4D511CD-2F07-CE4F-9CD4-20ADABBF4E2C}" type="presParOf" srcId="{8BC06370-510F-7B4D-9A03-CE0AC13639C8}" destId="{9D4C32D1-44BC-8E46-B106-5BA2F573186E}" srcOrd="5" destOrd="0" presId="urn:microsoft.com/office/officeart/2005/8/layout/radial6"/>
    <dgm:cxn modelId="{39FEBC99-E1AB-404B-8E07-2CEE5A9A56E8}" type="presParOf" srcId="{8BC06370-510F-7B4D-9A03-CE0AC13639C8}" destId="{3F0D796F-CB05-6843-B439-8E71F82A335A}" srcOrd="6" destOrd="0" presId="urn:microsoft.com/office/officeart/2005/8/layout/radial6"/>
    <dgm:cxn modelId="{6AED0C33-4389-D04B-80B2-6A8654E8BEAA}" type="presParOf" srcId="{8BC06370-510F-7B4D-9A03-CE0AC13639C8}" destId="{72491C01-2014-3343-A6FB-92A1DFA2652A}" srcOrd="7" destOrd="0" presId="urn:microsoft.com/office/officeart/2005/8/layout/radial6"/>
    <dgm:cxn modelId="{90032067-7418-7740-BB8C-D36197D6B86F}" type="presParOf" srcId="{8BC06370-510F-7B4D-9A03-CE0AC13639C8}" destId="{8959D3D5-C9EE-4047-B9AA-ECCCDC466982}" srcOrd="8" destOrd="0" presId="urn:microsoft.com/office/officeart/2005/8/layout/radial6"/>
    <dgm:cxn modelId="{4A8460DC-BC2D-CD47-827D-D8A123609637}" type="presParOf" srcId="{8BC06370-510F-7B4D-9A03-CE0AC13639C8}" destId="{04542ACF-0E0F-484F-BCA3-862A2924A1D5}" srcOrd="9" destOrd="0" presId="urn:microsoft.com/office/officeart/2005/8/layout/radial6"/>
    <dgm:cxn modelId="{BA1515E9-160C-9444-A149-FA047990C44F}" type="presParOf" srcId="{8BC06370-510F-7B4D-9A03-CE0AC13639C8}" destId="{629D8CEA-089F-054C-8E78-99A2A4EA1904}" srcOrd="10" destOrd="0" presId="urn:microsoft.com/office/officeart/2005/8/layout/radial6"/>
    <dgm:cxn modelId="{0FFD518E-B0C0-2346-A572-EC8B092B46F7}" type="presParOf" srcId="{8BC06370-510F-7B4D-9A03-CE0AC13639C8}" destId="{A0870349-7A33-9042-B76E-48C4BE9E9E43}" srcOrd="11" destOrd="0" presId="urn:microsoft.com/office/officeart/2005/8/layout/radial6"/>
    <dgm:cxn modelId="{44C368E2-B293-F74D-AF66-DFEE148806E8}" type="presParOf" srcId="{8BC06370-510F-7B4D-9A03-CE0AC13639C8}" destId="{DE727D5B-A472-494B-845C-4D76945E525A}" srcOrd="12" destOrd="0" presId="urn:microsoft.com/office/officeart/2005/8/layout/radial6"/>
    <dgm:cxn modelId="{79FE259D-8CFF-814E-AC5E-DE0FF7692156}" type="presParOf" srcId="{8BC06370-510F-7B4D-9A03-CE0AC13639C8}" destId="{E98694EE-FE93-EB42-B925-256BFF13AB3C}" srcOrd="13" destOrd="0" presId="urn:microsoft.com/office/officeart/2005/8/layout/radial6"/>
    <dgm:cxn modelId="{A0CF367F-FA8E-7847-A270-240655FF1B22}" type="presParOf" srcId="{8BC06370-510F-7B4D-9A03-CE0AC13639C8}" destId="{F5DAE773-507B-DC43-81B0-6F255D5233DC}" srcOrd="14" destOrd="0" presId="urn:microsoft.com/office/officeart/2005/8/layout/radial6"/>
    <dgm:cxn modelId="{072BC30A-BC70-3D40-81D0-8A0B511874BA}" type="presParOf" srcId="{8BC06370-510F-7B4D-9A03-CE0AC13639C8}" destId="{F654361C-0836-1243-B7AD-9122D686B7DB}" srcOrd="15"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ED0289-0289-2941-8100-CD1E9E7198ED}"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fr-FR"/>
        </a:p>
      </dgm:t>
    </dgm:pt>
    <dgm:pt modelId="{8D33F967-0A30-714A-9A7E-16B2B92C9253}">
      <dgm:prSet phldrT="[Texte]" custT="1"/>
      <dgm:spPr/>
      <dgm:t>
        <a:bodyPr/>
        <a:lstStyle/>
        <a:p>
          <a:pPr algn="ctr"/>
          <a:r>
            <a:rPr lang="en-GB" sz="1000" b="1"/>
            <a:t>Sustainable Economic Opportunities and Decent work for all</a:t>
          </a:r>
          <a:endParaRPr lang="fr-FR" sz="1000" b="1"/>
        </a:p>
      </dgm:t>
    </dgm:pt>
    <dgm:pt modelId="{410F12A4-977C-494F-89E9-7BA14E09A86D}" type="parTrans" cxnId="{2EF006C0-41EB-8942-A3C9-CBDB6ACB3900}">
      <dgm:prSet/>
      <dgm:spPr/>
      <dgm:t>
        <a:bodyPr/>
        <a:lstStyle/>
        <a:p>
          <a:pPr algn="ctr"/>
          <a:endParaRPr lang="fr-FR"/>
        </a:p>
      </dgm:t>
    </dgm:pt>
    <dgm:pt modelId="{72C0A21C-8E1C-334E-9AD1-345E6500EBC5}" type="sibTrans" cxnId="{2EF006C0-41EB-8942-A3C9-CBDB6ACB3900}">
      <dgm:prSet/>
      <dgm:spPr/>
      <dgm:t>
        <a:bodyPr/>
        <a:lstStyle/>
        <a:p>
          <a:pPr algn="ctr"/>
          <a:endParaRPr lang="fr-FR" sz="2400"/>
        </a:p>
      </dgm:t>
    </dgm:pt>
    <dgm:pt modelId="{8C912AB7-BF0B-4E47-B39F-FE1F2973A66F}">
      <dgm:prSet phldrT="[Texte]" custT="1"/>
      <dgm:spPr/>
      <dgm:t>
        <a:bodyPr/>
        <a:lstStyle/>
        <a:p>
          <a:pPr algn="ctr"/>
          <a:r>
            <a:rPr lang="en-US" sz="900"/>
            <a:t>Conditions and incentives for diversified and sustainable entrepreneurship and private sector growth</a:t>
          </a:r>
          <a:endParaRPr lang="fr-FR" sz="900"/>
        </a:p>
      </dgm:t>
    </dgm:pt>
    <dgm:pt modelId="{3B56CE96-25CF-AA4E-B847-5D0B94A28F85}" type="parTrans" cxnId="{90DC37AD-44A8-8249-A2A5-0B033CF478F0}">
      <dgm:prSet/>
      <dgm:spPr/>
      <dgm:t>
        <a:bodyPr/>
        <a:lstStyle/>
        <a:p>
          <a:pPr algn="ctr"/>
          <a:endParaRPr lang="fr-FR"/>
        </a:p>
      </dgm:t>
    </dgm:pt>
    <dgm:pt modelId="{5DA52D8E-DEE2-D74A-B88C-EEE783A713C7}" type="sibTrans" cxnId="{90DC37AD-44A8-8249-A2A5-0B033CF478F0}">
      <dgm:prSet/>
      <dgm:spPr/>
      <dgm:t>
        <a:bodyPr/>
        <a:lstStyle/>
        <a:p>
          <a:pPr algn="ctr"/>
          <a:endParaRPr lang="fr-FR" sz="2800"/>
        </a:p>
      </dgm:t>
    </dgm:pt>
    <dgm:pt modelId="{53C9A502-2091-B945-99D8-0C39A7C79ED8}">
      <dgm:prSet phldrT="[Texte]" custT="1"/>
      <dgm:spPr/>
      <dgm:t>
        <a:bodyPr/>
        <a:lstStyle/>
        <a:p>
          <a:pPr algn="ctr"/>
          <a:r>
            <a:rPr lang="en-US" sz="900"/>
            <a:t>Life-long learning, competencies and skills development</a:t>
          </a:r>
          <a:endParaRPr lang="fr-FR" sz="900"/>
        </a:p>
      </dgm:t>
    </dgm:pt>
    <dgm:pt modelId="{1A92D11D-5554-2243-A78D-7150D012ACDE}" type="parTrans" cxnId="{DAE29AA7-C2B6-504C-A62C-09136206B4E6}">
      <dgm:prSet/>
      <dgm:spPr/>
      <dgm:t>
        <a:bodyPr/>
        <a:lstStyle/>
        <a:p>
          <a:pPr algn="ctr"/>
          <a:endParaRPr lang="fr-FR"/>
        </a:p>
      </dgm:t>
    </dgm:pt>
    <dgm:pt modelId="{8F082AED-52A5-7743-87AC-BA05DB554BAB}" type="sibTrans" cxnId="{DAE29AA7-C2B6-504C-A62C-09136206B4E6}">
      <dgm:prSet/>
      <dgm:spPr/>
      <dgm:t>
        <a:bodyPr/>
        <a:lstStyle/>
        <a:p>
          <a:pPr algn="ctr"/>
          <a:endParaRPr lang="fr-FR" sz="2800"/>
        </a:p>
      </dgm:t>
    </dgm:pt>
    <dgm:pt modelId="{D024E707-39CE-3349-BBB3-9734EC587A1C}">
      <dgm:prSet phldrT="[Texte]" custT="1"/>
      <dgm:spPr/>
      <dgm:t>
        <a:bodyPr/>
        <a:lstStyle/>
        <a:p>
          <a:pPr algn="ctr"/>
          <a:r>
            <a:rPr lang="en-US" sz="900"/>
            <a:t>Institutional regulatory and policy frameworks for business environment and strengthened labour rights</a:t>
          </a:r>
          <a:endParaRPr lang="fr-FR" sz="900"/>
        </a:p>
      </dgm:t>
    </dgm:pt>
    <dgm:pt modelId="{AD60CE93-989C-1042-BE26-73F7BF25D1FB}" type="parTrans" cxnId="{94D42966-E304-934E-9B4B-F39DA9DABD8E}">
      <dgm:prSet/>
      <dgm:spPr/>
      <dgm:t>
        <a:bodyPr/>
        <a:lstStyle/>
        <a:p>
          <a:pPr algn="ctr"/>
          <a:endParaRPr lang="fr-FR"/>
        </a:p>
      </dgm:t>
    </dgm:pt>
    <dgm:pt modelId="{EB036567-4852-6842-A352-DC4D9AA3EB7F}" type="sibTrans" cxnId="{94D42966-E304-934E-9B4B-F39DA9DABD8E}">
      <dgm:prSet/>
      <dgm:spPr/>
      <dgm:t>
        <a:bodyPr/>
        <a:lstStyle/>
        <a:p>
          <a:pPr algn="ctr"/>
          <a:endParaRPr lang="fr-FR" sz="2000"/>
        </a:p>
      </dgm:t>
    </dgm:pt>
    <dgm:pt modelId="{8BC06370-510F-7B4D-9A03-CE0AC13639C8}" type="pres">
      <dgm:prSet presAssocID="{30ED0289-0289-2941-8100-CD1E9E7198ED}" presName="Name0" presStyleCnt="0">
        <dgm:presLayoutVars>
          <dgm:chMax val="1"/>
          <dgm:dir/>
          <dgm:animLvl val="ctr"/>
          <dgm:resizeHandles val="exact"/>
        </dgm:presLayoutVars>
      </dgm:prSet>
      <dgm:spPr/>
    </dgm:pt>
    <dgm:pt modelId="{A15ED66A-7579-0845-AEE5-4CBEEBB71062}" type="pres">
      <dgm:prSet presAssocID="{8D33F967-0A30-714A-9A7E-16B2B92C9253}" presName="centerShape" presStyleLbl="node0" presStyleIdx="0" presStyleCnt="1" custScaleX="104312" custScaleY="101774"/>
      <dgm:spPr/>
    </dgm:pt>
    <dgm:pt modelId="{9302E863-AF0C-EA4C-995C-6E2C102EF9B5}" type="pres">
      <dgm:prSet presAssocID="{D024E707-39CE-3349-BBB3-9734EC587A1C}" presName="node" presStyleLbl="node1" presStyleIdx="0" presStyleCnt="3" custScaleX="141415" custScaleY="133511">
        <dgm:presLayoutVars>
          <dgm:bulletEnabled val="1"/>
        </dgm:presLayoutVars>
      </dgm:prSet>
      <dgm:spPr/>
    </dgm:pt>
    <dgm:pt modelId="{8C212B4B-FC98-054A-9145-CB2663D3B8B5}" type="pres">
      <dgm:prSet presAssocID="{D024E707-39CE-3349-BBB3-9734EC587A1C}" presName="dummy" presStyleCnt="0"/>
      <dgm:spPr/>
    </dgm:pt>
    <dgm:pt modelId="{E702981A-3C53-064D-AFAF-1F4588BA2130}" type="pres">
      <dgm:prSet presAssocID="{EB036567-4852-6842-A352-DC4D9AA3EB7F}" presName="sibTrans" presStyleLbl="sibTrans2D1" presStyleIdx="0" presStyleCnt="3"/>
      <dgm:spPr/>
    </dgm:pt>
    <dgm:pt modelId="{BC514212-5018-7C4E-BF6D-C41E60A51BD1}" type="pres">
      <dgm:prSet presAssocID="{8C912AB7-BF0B-4E47-B39F-FE1F2973A66F}" presName="node" presStyleLbl="node1" presStyleIdx="1" presStyleCnt="3" custScaleX="145716" custScaleY="142120">
        <dgm:presLayoutVars>
          <dgm:bulletEnabled val="1"/>
        </dgm:presLayoutVars>
      </dgm:prSet>
      <dgm:spPr/>
    </dgm:pt>
    <dgm:pt modelId="{24138E34-7810-3946-A811-3CFC06425C95}" type="pres">
      <dgm:prSet presAssocID="{8C912AB7-BF0B-4E47-B39F-FE1F2973A66F}" presName="dummy" presStyleCnt="0"/>
      <dgm:spPr/>
    </dgm:pt>
    <dgm:pt modelId="{E075C3E2-1E57-3344-B861-402DE86FCAB7}" type="pres">
      <dgm:prSet presAssocID="{5DA52D8E-DEE2-D74A-B88C-EEE783A713C7}" presName="sibTrans" presStyleLbl="sibTrans2D1" presStyleIdx="1" presStyleCnt="3"/>
      <dgm:spPr/>
    </dgm:pt>
    <dgm:pt modelId="{52CB8166-9C89-3C44-B202-3E85B151C5DF}" type="pres">
      <dgm:prSet presAssocID="{53C9A502-2091-B945-99D8-0C39A7C79ED8}" presName="node" presStyleLbl="node1" presStyleIdx="2" presStyleCnt="3" custScaleX="145716" custScaleY="142120">
        <dgm:presLayoutVars>
          <dgm:bulletEnabled val="1"/>
        </dgm:presLayoutVars>
      </dgm:prSet>
      <dgm:spPr/>
    </dgm:pt>
    <dgm:pt modelId="{24B37F59-DDD5-6E4F-AA1C-E92CD8EF5E51}" type="pres">
      <dgm:prSet presAssocID="{53C9A502-2091-B945-99D8-0C39A7C79ED8}" presName="dummy" presStyleCnt="0"/>
      <dgm:spPr/>
    </dgm:pt>
    <dgm:pt modelId="{67DDF417-EAFA-D149-A30B-7C0298B09A74}" type="pres">
      <dgm:prSet presAssocID="{8F082AED-52A5-7743-87AC-BA05DB554BAB}" presName="sibTrans" presStyleLbl="sibTrans2D1" presStyleIdx="2" presStyleCnt="3"/>
      <dgm:spPr/>
    </dgm:pt>
  </dgm:ptLst>
  <dgm:cxnLst>
    <dgm:cxn modelId="{B3A54E17-3EC3-B740-987D-95B25A5B77FB}" type="presOf" srcId="{8F082AED-52A5-7743-87AC-BA05DB554BAB}" destId="{67DDF417-EAFA-D149-A30B-7C0298B09A74}" srcOrd="0" destOrd="0" presId="urn:microsoft.com/office/officeart/2005/8/layout/radial6"/>
    <dgm:cxn modelId="{48FDCB1F-17CA-A440-A4D8-E9704DDCE1E0}" type="presOf" srcId="{8C912AB7-BF0B-4E47-B39F-FE1F2973A66F}" destId="{BC514212-5018-7C4E-BF6D-C41E60A51BD1}" srcOrd="0" destOrd="0" presId="urn:microsoft.com/office/officeart/2005/8/layout/radial6"/>
    <dgm:cxn modelId="{141D352E-893F-BB4A-8B04-73B712AEB279}" type="presOf" srcId="{D024E707-39CE-3349-BBB3-9734EC587A1C}" destId="{9302E863-AF0C-EA4C-995C-6E2C102EF9B5}" srcOrd="0" destOrd="0" presId="urn:microsoft.com/office/officeart/2005/8/layout/radial6"/>
    <dgm:cxn modelId="{DC688D39-35ED-B64A-824B-223803BD807E}" type="presOf" srcId="{8D33F967-0A30-714A-9A7E-16B2B92C9253}" destId="{A15ED66A-7579-0845-AEE5-4CBEEBB71062}" srcOrd="0" destOrd="0" presId="urn:microsoft.com/office/officeart/2005/8/layout/radial6"/>
    <dgm:cxn modelId="{FC050864-62DA-C742-BA2E-4070F01EE21A}" type="presOf" srcId="{5DA52D8E-DEE2-D74A-B88C-EEE783A713C7}" destId="{E075C3E2-1E57-3344-B861-402DE86FCAB7}" srcOrd="0" destOrd="0" presId="urn:microsoft.com/office/officeart/2005/8/layout/radial6"/>
    <dgm:cxn modelId="{94D42966-E304-934E-9B4B-F39DA9DABD8E}" srcId="{8D33F967-0A30-714A-9A7E-16B2B92C9253}" destId="{D024E707-39CE-3349-BBB3-9734EC587A1C}" srcOrd="0" destOrd="0" parTransId="{AD60CE93-989C-1042-BE26-73F7BF25D1FB}" sibTransId="{EB036567-4852-6842-A352-DC4D9AA3EB7F}"/>
    <dgm:cxn modelId="{D150EEA6-6D9D-FD4E-BC52-28F7FC4EEAEA}" type="presOf" srcId="{30ED0289-0289-2941-8100-CD1E9E7198ED}" destId="{8BC06370-510F-7B4D-9A03-CE0AC13639C8}" srcOrd="0" destOrd="0" presId="urn:microsoft.com/office/officeart/2005/8/layout/radial6"/>
    <dgm:cxn modelId="{DAE29AA7-C2B6-504C-A62C-09136206B4E6}" srcId="{8D33F967-0A30-714A-9A7E-16B2B92C9253}" destId="{53C9A502-2091-B945-99D8-0C39A7C79ED8}" srcOrd="2" destOrd="0" parTransId="{1A92D11D-5554-2243-A78D-7150D012ACDE}" sibTransId="{8F082AED-52A5-7743-87AC-BA05DB554BAB}"/>
    <dgm:cxn modelId="{4449BFA7-8ECA-AF4C-8F78-92E47330166E}" type="presOf" srcId="{53C9A502-2091-B945-99D8-0C39A7C79ED8}" destId="{52CB8166-9C89-3C44-B202-3E85B151C5DF}" srcOrd="0" destOrd="0" presId="urn:microsoft.com/office/officeart/2005/8/layout/radial6"/>
    <dgm:cxn modelId="{90DC37AD-44A8-8249-A2A5-0B033CF478F0}" srcId="{8D33F967-0A30-714A-9A7E-16B2B92C9253}" destId="{8C912AB7-BF0B-4E47-B39F-FE1F2973A66F}" srcOrd="1" destOrd="0" parTransId="{3B56CE96-25CF-AA4E-B847-5D0B94A28F85}" sibTransId="{5DA52D8E-DEE2-D74A-B88C-EEE783A713C7}"/>
    <dgm:cxn modelId="{AB6E0AB7-EBCA-1340-895B-7356E2852404}" type="presOf" srcId="{EB036567-4852-6842-A352-DC4D9AA3EB7F}" destId="{E702981A-3C53-064D-AFAF-1F4588BA2130}" srcOrd="0" destOrd="0" presId="urn:microsoft.com/office/officeart/2005/8/layout/radial6"/>
    <dgm:cxn modelId="{2EF006C0-41EB-8942-A3C9-CBDB6ACB3900}" srcId="{30ED0289-0289-2941-8100-CD1E9E7198ED}" destId="{8D33F967-0A30-714A-9A7E-16B2B92C9253}" srcOrd="0" destOrd="0" parTransId="{410F12A4-977C-494F-89E9-7BA14E09A86D}" sibTransId="{72C0A21C-8E1C-334E-9AD1-345E6500EBC5}"/>
    <dgm:cxn modelId="{70FBF421-EC89-3245-92D4-9AB6575187E7}" type="presParOf" srcId="{8BC06370-510F-7B4D-9A03-CE0AC13639C8}" destId="{A15ED66A-7579-0845-AEE5-4CBEEBB71062}" srcOrd="0" destOrd="0" presId="urn:microsoft.com/office/officeart/2005/8/layout/radial6"/>
    <dgm:cxn modelId="{B02A3B94-59C5-3A43-9D3F-22BB66C1DD0E}" type="presParOf" srcId="{8BC06370-510F-7B4D-9A03-CE0AC13639C8}" destId="{9302E863-AF0C-EA4C-995C-6E2C102EF9B5}" srcOrd="1" destOrd="0" presId="urn:microsoft.com/office/officeart/2005/8/layout/radial6"/>
    <dgm:cxn modelId="{5E84ED29-0716-B04F-9F91-6A2FA0676428}" type="presParOf" srcId="{8BC06370-510F-7B4D-9A03-CE0AC13639C8}" destId="{8C212B4B-FC98-054A-9145-CB2663D3B8B5}" srcOrd="2" destOrd="0" presId="urn:microsoft.com/office/officeart/2005/8/layout/radial6"/>
    <dgm:cxn modelId="{5258B82D-6E72-1947-81F2-884FDD5D575D}" type="presParOf" srcId="{8BC06370-510F-7B4D-9A03-CE0AC13639C8}" destId="{E702981A-3C53-064D-AFAF-1F4588BA2130}" srcOrd="3" destOrd="0" presId="urn:microsoft.com/office/officeart/2005/8/layout/radial6"/>
    <dgm:cxn modelId="{BDD1FAC6-096C-C445-BB8D-6519B4CE80B3}" type="presParOf" srcId="{8BC06370-510F-7B4D-9A03-CE0AC13639C8}" destId="{BC514212-5018-7C4E-BF6D-C41E60A51BD1}" srcOrd="4" destOrd="0" presId="urn:microsoft.com/office/officeart/2005/8/layout/radial6"/>
    <dgm:cxn modelId="{0E6D6268-C4D5-9C45-9DC5-D581BFF5E28B}" type="presParOf" srcId="{8BC06370-510F-7B4D-9A03-CE0AC13639C8}" destId="{24138E34-7810-3946-A811-3CFC06425C95}" srcOrd="5" destOrd="0" presId="urn:microsoft.com/office/officeart/2005/8/layout/radial6"/>
    <dgm:cxn modelId="{A97F02E5-59F8-1B42-B1D2-BE742D009077}" type="presParOf" srcId="{8BC06370-510F-7B4D-9A03-CE0AC13639C8}" destId="{E075C3E2-1E57-3344-B861-402DE86FCAB7}" srcOrd="6" destOrd="0" presId="urn:microsoft.com/office/officeart/2005/8/layout/radial6"/>
    <dgm:cxn modelId="{AE4D8709-AF57-094D-835E-30135A7D1B99}" type="presParOf" srcId="{8BC06370-510F-7B4D-9A03-CE0AC13639C8}" destId="{52CB8166-9C89-3C44-B202-3E85B151C5DF}" srcOrd="7" destOrd="0" presId="urn:microsoft.com/office/officeart/2005/8/layout/radial6"/>
    <dgm:cxn modelId="{6E24145F-5716-B640-9ADC-67FA878EB7BC}" type="presParOf" srcId="{8BC06370-510F-7B4D-9A03-CE0AC13639C8}" destId="{24B37F59-DDD5-6E4F-AA1C-E92CD8EF5E51}" srcOrd="8" destOrd="0" presId="urn:microsoft.com/office/officeart/2005/8/layout/radial6"/>
    <dgm:cxn modelId="{2A36DF34-372E-9A4C-B3C3-58195BB1CA2A}" type="presParOf" srcId="{8BC06370-510F-7B4D-9A03-CE0AC13639C8}" destId="{67DDF417-EAFA-D149-A30B-7C0298B09A74}" srcOrd="9" destOrd="0" presId="urn:microsoft.com/office/officeart/2005/8/layout/radial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ED0289-0289-2941-8100-CD1E9E7198ED}"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fr-FR"/>
        </a:p>
      </dgm:t>
    </dgm:pt>
    <dgm:pt modelId="{8D33F967-0A30-714A-9A7E-16B2B92C9253}">
      <dgm:prSet phldrT="[Texte]" custT="1"/>
      <dgm:spPr/>
      <dgm:t>
        <a:bodyPr/>
        <a:lstStyle/>
        <a:p>
          <a:pPr algn="ctr"/>
          <a:r>
            <a:rPr lang="en-GB" sz="1000" b="1"/>
            <a:t>Access to quality education and life-long learning outcomes and skills</a:t>
          </a:r>
          <a:endParaRPr lang="fr-FR" sz="1000" b="1"/>
        </a:p>
      </dgm:t>
    </dgm:pt>
    <dgm:pt modelId="{410F12A4-977C-494F-89E9-7BA14E09A86D}" type="parTrans" cxnId="{2EF006C0-41EB-8942-A3C9-CBDB6ACB3900}">
      <dgm:prSet/>
      <dgm:spPr/>
      <dgm:t>
        <a:bodyPr/>
        <a:lstStyle/>
        <a:p>
          <a:pPr algn="ctr"/>
          <a:endParaRPr lang="fr-FR"/>
        </a:p>
      </dgm:t>
    </dgm:pt>
    <dgm:pt modelId="{72C0A21C-8E1C-334E-9AD1-345E6500EBC5}" type="sibTrans" cxnId="{2EF006C0-41EB-8942-A3C9-CBDB6ACB3900}">
      <dgm:prSet/>
      <dgm:spPr/>
      <dgm:t>
        <a:bodyPr/>
        <a:lstStyle/>
        <a:p>
          <a:pPr algn="ctr"/>
          <a:endParaRPr lang="fr-FR" sz="2400"/>
        </a:p>
      </dgm:t>
    </dgm:pt>
    <dgm:pt modelId="{4E4996EE-522A-DA44-A384-42E2C3E69C4C}">
      <dgm:prSet/>
      <dgm:spPr/>
      <dgm:t>
        <a:bodyPr/>
        <a:lstStyle/>
        <a:p>
          <a:pPr algn="ctr"/>
          <a:r>
            <a:rPr lang="fr-FR" b="1" i="0"/>
            <a:t>Increased access to ECD and ECE</a:t>
          </a:r>
          <a:endParaRPr lang="fr-FR"/>
        </a:p>
      </dgm:t>
    </dgm:pt>
    <dgm:pt modelId="{ABA4E569-792C-7347-8AFF-59990ADB31E9}" type="parTrans" cxnId="{E5975723-C346-0A49-9F2F-A1F4F870C187}">
      <dgm:prSet/>
      <dgm:spPr/>
      <dgm:t>
        <a:bodyPr/>
        <a:lstStyle/>
        <a:p>
          <a:pPr algn="ctr"/>
          <a:endParaRPr lang="fr-FR"/>
        </a:p>
      </dgm:t>
    </dgm:pt>
    <dgm:pt modelId="{76D69A1C-7084-B448-B331-F7ABB9000D85}" type="sibTrans" cxnId="{E5975723-C346-0A49-9F2F-A1F4F870C187}">
      <dgm:prSet/>
      <dgm:spPr/>
      <dgm:t>
        <a:bodyPr/>
        <a:lstStyle/>
        <a:p>
          <a:pPr algn="ctr"/>
          <a:endParaRPr lang="fr-FR"/>
        </a:p>
      </dgm:t>
    </dgm:pt>
    <dgm:pt modelId="{7A0F70D9-36FB-AC41-9BAD-44D493A1E4A2}">
      <dgm:prSet/>
      <dgm:spPr/>
      <dgm:t>
        <a:bodyPr/>
        <a:lstStyle/>
        <a:p>
          <a:pPr algn="ctr"/>
          <a:r>
            <a:rPr lang="en-GB" b="1" i="0"/>
            <a:t>Access to and completion of quality basic and secondary education </a:t>
          </a:r>
          <a:endParaRPr lang="en-GB" b="0" i="0"/>
        </a:p>
      </dgm:t>
    </dgm:pt>
    <dgm:pt modelId="{375581DE-C577-8740-AC9C-307BFE7C73C5}" type="parTrans" cxnId="{0423E764-93AA-D74B-8EB0-56971025629B}">
      <dgm:prSet/>
      <dgm:spPr/>
      <dgm:t>
        <a:bodyPr/>
        <a:lstStyle/>
        <a:p>
          <a:pPr algn="ctr"/>
          <a:endParaRPr lang="fr-FR"/>
        </a:p>
      </dgm:t>
    </dgm:pt>
    <dgm:pt modelId="{38A484C6-8C91-2543-BAFA-8095B74C5553}" type="sibTrans" cxnId="{0423E764-93AA-D74B-8EB0-56971025629B}">
      <dgm:prSet/>
      <dgm:spPr/>
      <dgm:t>
        <a:bodyPr/>
        <a:lstStyle/>
        <a:p>
          <a:pPr algn="ctr"/>
          <a:endParaRPr lang="fr-FR"/>
        </a:p>
      </dgm:t>
    </dgm:pt>
    <dgm:pt modelId="{0B683049-6F7A-7540-A4B5-1CC5FFF27E77}">
      <dgm:prSet/>
      <dgm:spPr/>
      <dgm:t>
        <a:bodyPr/>
        <a:lstStyle/>
        <a:p>
          <a:pPr algn="ctr"/>
          <a:r>
            <a:rPr lang="en-US" b="1" i="0"/>
            <a:t>Alternative pathways and life-long learning</a:t>
          </a:r>
          <a:endParaRPr lang="fr-FR"/>
        </a:p>
      </dgm:t>
    </dgm:pt>
    <dgm:pt modelId="{AC5F35EF-EA6F-784B-947A-37A15BD8B238}" type="parTrans" cxnId="{33E79886-F351-A944-B143-6FEF317C01B4}">
      <dgm:prSet/>
      <dgm:spPr/>
      <dgm:t>
        <a:bodyPr/>
        <a:lstStyle/>
        <a:p>
          <a:pPr algn="ctr"/>
          <a:endParaRPr lang="fr-FR"/>
        </a:p>
      </dgm:t>
    </dgm:pt>
    <dgm:pt modelId="{D57E9BD6-C99F-B944-8EB3-A435A7C9C95E}" type="sibTrans" cxnId="{33E79886-F351-A944-B143-6FEF317C01B4}">
      <dgm:prSet/>
      <dgm:spPr/>
      <dgm:t>
        <a:bodyPr/>
        <a:lstStyle/>
        <a:p>
          <a:pPr algn="ctr"/>
          <a:endParaRPr lang="fr-FR"/>
        </a:p>
      </dgm:t>
    </dgm:pt>
    <dgm:pt modelId="{8BC06370-510F-7B4D-9A03-CE0AC13639C8}" type="pres">
      <dgm:prSet presAssocID="{30ED0289-0289-2941-8100-CD1E9E7198ED}" presName="Name0" presStyleCnt="0">
        <dgm:presLayoutVars>
          <dgm:chMax val="1"/>
          <dgm:dir/>
          <dgm:animLvl val="ctr"/>
          <dgm:resizeHandles val="exact"/>
        </dgm:presLayoutVars>
      </dgm:prSet>
      <dgm:spPr/>
    </dgm:pt>
    <dgm:pt modelId="{A15ED66A-7579-0845-AEE5-4CBEEBB71062}" type="pres">
      <dgm:prSet presAssocID="{8D33F967-0A30-714A-9A7E-16B2B92C9253}" presName="centerShape" presStyleLbl="node0" presStyleIdx="0" presStyleCnt="1" custScaleX="104312" custScaleY="101774"/>
      <dgm:spPr/>
    </dgm:pt>
    <dgm:pt modelId="{2095BFD1-DFEC-F64A-A7B8-54B025CBFDFC}" type="pres">
      <dgm:prSet presAssocID="{7A0F70D9-36FB-AC41-9BAD-44D493A1E4A2}" presName="node" presStyleLbl="node1" presStyleIdx="0" presStyleCnt="3" custScaleX="120851" custScaleY="119752">
        <dgm:presLayoutVars>
          <dgm:bulletEnabled val="1"/>
        </dgm:presLayoutVars>
      </dgm:prSet>
      <dgm:spPr/>
    </dgm:pt>
    <dgm:pt modelId="{F51DDE6D-4741-C84F-BDF0-0411AE0A643A}" type="pres">
      <dgm:prSet presAssocID="{7A0F70D9-36FB-AC41-9BAD-44D493A1E4A2}" presName="dummy" presStyleCnt="0"/>
      <dgm:spPr/>
    </dgm:pt>
    <dgm:pt modelId="{C5828187-2500-4E43-8358-A2E69EFA92AF}" type="pres">
      <dgm:prSet presAssocID="{38A484C6-8C91-2543-BAFA-8095B74C5553}" presName="sibTrans" presStyleLbl="sibTrans2D1" presStyleIdx="0" presStyleCnt="3"/>
      <dgm:spPr/>
    </dgm:pt>
    <dgm:pt modelId="{CB4A85F2-5534-4D42-BD94-415FC4B3AB89}" type="pres">
      <dgm:prSet presAssocID="{0B683049-6F7A-7540-A4B5-1CC5FFF27E77}" presName="node" presStyleLbl="node1" presStyleIdx="1" presStyleCnt="3" custScaleX="120851" custScaleY="119752">
        <dgm:presLayoutVars>
          <dgm:bulletEnabled val="1"/>
        </dgm:presLayoutVars>
      </dgm:prSet>
      <dgm:spPr/>
    </dgm:pt>
    <dgm:pt modelId="{16F03071-67DC-C249-B209-B6746BDBE6C0}" type="pres">
      <dgm:prSet presAssocID="{0B683049-6F7A-7540-A4B5-1CC5FFF27E77}" presName="dummy" presStyleCnt="0"/>
      <dgm:spPr/>
    </dgm:pt>
    <dgm:pt modelId="{D7C7F656-ACFE-7A49-9D94-AC02FEF2161A}" type="pres">
      <dgm:prSet presAssocID="{D57E9BD6-C99F-B944-8EB3-A435A7C9C95E}" presName="sibTrans" presStyleLbl="sibTrans2D1" presStyleIdx="1" presStyleCnt="3"/>
      <dgm:spPr/>
    </dgm:pt>
    <dgm:pt modelId="{FF96323A-8DB9-A142-9443-BDC009F19772}" type="pres">
      <dgm:prSet presAssocID="{4E4996EE-522A-DA44-A384-42E2C3E69C4C}" presName="node" presStyleLbl="node1" presStyleIdx="2" presStyleCnt="3" custScaleX="120851" custScaleY="119752">
        <dgm:presLayoutVars>
          <dgm:bulletEnabled val="1"/>
        </dgm:presLayoutVars>
      </dgm:prSet>
      <dgm:spPr/>
    </dgm:pt>
    <dgm:pt modelId="{A2403F1D-0F05-FD4B-97FF-39F089DA3492}" type="pres">
      <dgm:prSet presAssocID="{4E4996EE-522A-DA44-A384-42E2C3E69C4C}" presName="dummy" presStyleCnt="0"/>
      <dgm:spPr/>
    </dgm:pt>
    <dgm:pt modelId="{31914AE1-E5D2-164D-929D-06556D939A96}" type="pres">
      <dgm:prSet presAssocID="{76D69A1C-7084-B448-B331-F7ABB9000D85}" presName="sibTrans" presStyleLbl="sibTrans2D1" presStyleIdx="2" presStyleCnt="3"/>
      <dgm:spPr/>
    </dgm:pt>
  </dgm:ptLst>
  <dgm:cxnLst>
    <dgm:cxn modelId="{E5975723-C346-0A49-9F2F-A1F4F870C187}" srcId="{8D33F967-0A30-714A-9A7E-16B2B92C9253}" destId="{4E4996EE-522A-DA44-A384-42E2C3E69C4C}" srcOrd="2" destOrd="0" parTransId="{ABA4E569-792C-7347-8AFF-59990ADB31E9}" sibTransId="{76D69A1C-7084-B448-B331-F7ABB9000D85}"/>
    <dgm:cxn modelId="{8AC14B30-21FC-6F44-982B-C9C58D7B62AB}" type="presOf" srcId="{76D69A1C-7084-B448-B331-F7ABB9000D85}" destId="{31914AE1-E5D2-164D-929D-06556D939A96}" srcOrd="0" destOrd="0" presId="urn:microsoft.com/office/officeart/2005/8/layout/radial6"/>
    <dgm:cxn modelId="{0423E764-93AA-D74B-8EB0-56971025629B}" srcId="{8D33F967-0A30-714A-9A7E-16B2B92C9253}" destId="{7A0F70D9-36FB-AC41-9BAD-44D493A1E4A2}" srcOrd="0" destOrd="0" parTransId="{375581DE-C577-8740-AC9C-307BFE7C73C5}" sibTransId="{38A484C6-8C91-2543-BAFA-8095B74C5553}"/>
    <dgm:cxn modelId="{9AC79E77-06EC-0D48-9877-B2D22C7D1EFC}" type="presOf" srcId="{4E4996EE-522A-DA44-A384-42E2C3E69C4C}" destId="{FF96323A-8DB9-A142-9443-BDC009F19772}" srcOrd="0" destOrd="0" presId="urn:microsoft.com/office/officeart/2005/8/layout/radial6"/>
    <dgm:cxn modelId="{33E79886-F351-A944-B143-6FEF317C01B4}" srcId="{8D33F967-0A30-714A-9A7E-16B2B92C9253}" destId="{0B683049-6F7A-7540-A4B5-1CC5FFF27E77}" srcOrd="1" destOrd="0" parTransId="{AC5F35EF-EA6F-784B-947A-37A15BD8B238}" sibTransId="{D57E9BD6-C99F-B944-8EB3-A435A7C9C95E}"/>
    <dgm:cxn modelId="{2EF006C0-41EB-8942-A3C9-CBDB6ACB3900}" srcId="{30ED0289-0289-2941-8100-CD1E9E7198ED}" destId="{8D33F967-0A30-714A-9A7E-16B2B92C9253}" srcOrd="0" destOrd="0" parTransId="{410F12A4-977C-494F-89E9-7BA14E09A86D}" sibTransId="{72C0A21C-8E1C-334E-9AD1-345E6500EBC5}"/>
    <dgm:cxn modelId="{A5D0ECD8-4D52-514F-A7E9-9E280FB9E819}" type="presOf" srcId="{D57E9BD6-C99F-B944-8EB3-A435A7C9C95E}" destId="{D7C7F656-ACFE-7A49-9D94-AC02FEF2161A}" srcOrd="0" destOrd="0" presId="urn:microsoft.com/office/officeart/2005/8/layout/radial6"/>
    <dgm:cxn modelId="{FE2F3EE0-3E61-1B43-A940-A95F97FFF3A0}" type="presOf" srcId="{7A0F70D9-36FB-AC41-9BAD-44D493A1E4A2}" destId="{2095BFD1-DFEC-F64A-A7B8-54B025CBFDFC}" srcOrd="0" destOrd="0" presId="urn:microsoft.com/office/officeart/2005/8/layout/radial6"/>
    <dgm:cxn modelId="{3CE525E8-C65E-7341-B2C4-F89868DEEC71}" type="presOf" srcId="{30ED0289-0289-2941-8100-CD1E9E7198ED}" destId="{8BC06370-510F-7B4D-9A03-CE0AC13639C8}" srcOrd="0" destOrd="0" presId="urn:microsoft.com/office/officeart/2005/8/layout/radial6"/>
    <dgm:cxn modelId="{8B7E33F1-D211-7A47-84C3-8EBF3BF9EA03}" type="presOf" srcId="{0B683049-6F7A-7540-A4B5-1CC5FFF27E77}" destId="{CB4A85F2-5534-4D42-BD94-415FC4B3AB89}" srcOrd="0" destOrd="0" presId="urn:microsoft.com/office/officeart/2005/8/layout/radial6"/>
    <dgm:cxn modelId="{735DAAF5-0EB5-ED45-AA47-90061E3859B6}" type="presOf" srcId="{8D33F967-0A30-714A-9A7E-16B2B92C9253}" destId="{A15ED66A-7579-0845-AEE5-4CBEEBB71062}" srcOrd="0" destOrd="0" presId="urn:microsoft.com/office/officeart/2005/8/layout/radial6"/>
    <dgm:cxn modelId="{AEAA4EFF-0B41-3643-80EE-5DFC5A7B1284}" type="presOf" srcId="{38A484C6-8C91-2543-BAFA-8095B74C5553}" destId="{C5828187-2500-4E43-8358-A2E69EFA92AF}" srcOrd="0" destOrd="0" presId="urn:microsoft.com/office/officeart/2005/8/layout/radial6"/>
    <dgm:cxn modelId="{E8092D15-30C7-5148-9866-3CD88AFA8C3A}" type="presParOf" srcId="{8BC06370-510F-7B4D-9A03-CE0AC13639C8}" destId="{A15ED66A-7579-0845-AEE5-4CBEEBB71062}" srcOrd="0" destOrd="0" presId="urn:microsoft.com/office/officeart/2005/8/layout/radial6"/>
    <dgm:cxn modelId="{AD08E24B-28E4-AB42-A616-144B066EECAA}" type="presParOf" srcId="{8BC06370-510F-7B4D-9A03-CE0AC13639C8}" destId="{2095BFD1-DFEC-F64A-A7B8-54B025CBFDFC}" srcOrd="1" destOrd="0" presId="urn:microsoft.com/office/officeart/2005/8/layout/radial6"/>
    <dgm:cxn modelId="{77E6D3D5-6170-4D42-A71B-6FC13AE606D2}" type="presParOf" srcId="{8BC06370-510F-7B4D-9A03-CE0AC13639C8}" destId="{F51DDE6D-4741-C84F-BDF0-0411AE0A643A}" srcOrd="2" destOrd="0" presId="urn:microsoft.com/office/officeart/2005/8/layout/radial6"/>
    <dgm:cxn modelId="{A34D1E55-8204-0449-8900-210BF5FD3B4F}" type="presParOf" srcId="{8BC06370-510F-7B4D-9A03-CE0AC13639C8}" destId="{C5828187-2500-4E43-8358-A2E69EFA92AF}" srcOrd="3" destOrd="0" presId="urn:microsoft.com/office/officeart/2005/8/layout/radial6"/>
    <dgm:cxn modelId="{3EBD64E3-7C89-E54C-8927-880C2F81AC87}" type="presParOf" srcId="{8BC06370-510F-7B4D-9A03-CE0AC13639C8}" destId="{CB4A85F2-5534-4D42-BD94-415FC4B3AB89}" srcOrd="4" destOrd="0" presId="urn:microsoft.com/office/officeart/2005/8/layout/radial6"/>
    <dgm:cxn modelId="{6DD1235A-D877-0042-A12A-DAB3C158ED89}" type="presParOf" srcId="{8BC06370-510F-7B4D-9A03-CE0AC13639C8}" destId="{16F03071-67DC-C249-B209-B6746BDBE6C0}" srcOrd="5" destOrd="0" presId="urn:microsoft.com/office/officeart/2005/8/layout/radial6"/>
    <dgm:cxn modelId="{B6B0A70C-748B-774A-B7CD-15FB935A6F7E}" type="presParOf" srcId="{8BC06370-510F-7B4D-9A03-CE0AC13639C8}" destId="{D7C7F656-ACFE-7A49-9D94-AC02FEF2161A}" srcOrd="6" destOrd="0" presId="urn:microsoft.com/office/officeart/2005/8/layout/radial6"/>
    <dgm:cxn modelId="{ED9878BD-93C4-4742-B242-06C99CC8D673}" type="presParOf" srcId="{8BC06370-510F-7B4D-9A03-CE0AC13639C8}" destId="{FF96323A-8DB9-A142-9443-BDC009F19772}" srcOrd="7" destOrd="0" presId="urn:microsoft.com/office/officeart/2005/8/layout/radial6"/>
    <dgm:cxn modelId="{D5DB20D5-EEB1-4947-A77E-F2E2829826D0}" type="presParOf" srcId="{8BC06370-510F-7B4D-9A03-CE0AC13639C8}" destId="{A2403F1D-0F05-FD4B-97FF-39F089DA3492}" srcOrd="8" destOrd="0" presId="urn:microsoft.com/office/officeart/2005/8/layout/radial6"/>
    <dgm:cxn modelId="{0DB77C99-3B0B-E047-9BE8-D481868CE63F}" type="presParOf" srcId="{8BC06370-510F-7B4D-9A03-CE0AC13639C8}" destId="{31914AE1-E5D2-164D-929D-06556D939A96}" srcOrd="9" destOrd="0" presId="urn:microsoft.com/office/officeart/2005/8/layout/radial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0ED0289-0289-2941-8100-CD1E9E7198ED}"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fr-FR"/>
        </a:p>
      </dgm:t>
    </dgm:pt>
    <dgm:pt modelId="{8D33F967-0A30-714A-9A7E-16B2B92C9253}">
      <dgm:prSet phldrT="[Texte]" custT="1"/>
      <dgm:spPr/>
      <dgm:t>
        <a:bodyPr/>
        <a:lstStyle/>
        <a:p>
          <a:pPr algn="ctr"/>
          <a:r>
            <a:rPr lang="en-US" sz="1000" b="1"/>
            <a:t>Quality health-care and well-being</a:t>
          </a:r>
          <a:endParaRPr lang="fr-FR" sz="1000" b="1"/>
        </a:p>
      </dgm:t>
    </dgm:pt>
    <dgm:pt modelId="{410F12A4-977C-494F-89E9-7BA14E09A86D}" type="parTrans" cxnId="{2EF006C0-41EB-8942-A3C9-CBDB6ACB3900}">
      <dgm:prSet/>
      <dgm:spPr/>
      <dgm:t>
        <a:bodyPr/>
        <a:lstStyle/>
        <a:p>
          <a:pPr algn="ctr"/>
          <a:endParaRPr lang="fr-FR"/>
        </a:p>
      </dgm:t>
    </dgm:pt>
    <dgm:pt modelId="{72C0A21C-8E1C-334E-9AD1-345E6500EBC5}" type="sibTrans" cxnId="{2EF006C0-41EB-8942-A3C9-CBDB6ACB3900}">
      <dgm:prSet/>
      <dgm:spPr/>
      <dgm:t>
        <a:bodyPr/>
        <a:lstStyle/>
        <a:p>
          <a:pPr algn="ctr"/>
          <a:endParaRPr lang="fr-FR" sz="2400"/>
        </a:p>
      </dgm:t>
    </dgm:pt>
    <dgm:pt modelId="{4D4FDF94-6BF1-BC4A-B403-6A90976842D4}">
      <dgm:prSet custT="1"/>
      <dgm:spPr/>
      <dgm:t>
        <a:bodyPr/>
        <a:lstStyle/>
        <a:p>
          <a:r>
            <a:rPr lang="en-US" sz="900" b="1" i="0"/>
            <a:t>Increased accessibility  and quality of Primary Health Care services</a:t>
          </a:r>
          <a:endParaRPr lang="fr-FR" sz="900"/>
        </a:p>
      </dgm:t>
    </dgm:pt>
    <dgm:pt modelId="{26FD1B53-5B07-1046-85F0-96C62192A40B}" type="parTrans" cxnId="{083700ED-36C6-C148-8B63-C3E65279D47E}">
      <dgm:prSet/>
      <dgm:spPr/>
      <dgm:t>
        <a:bodyPr/>
        <a:lstStyle/>
        <a:p>
          <a:endParaRPr lang="fr-FR"/>
        </a:p>
      </dgm:t>
    </dgm:pt>
    <dgm:pt modelId="{8F257176-596B-674A-AD30-659A7A85BA45}" type="sibTrans" cxnId="{083700ED-36C6-C148-8B63-C3E65279D47E}">
      <dgm:prSet/>
      <dgm:spPr/>
      <dgm:t>
        <a:bodyPr/>
        <a:lstStyle/>
        <a:p>
          <a:endParaRPr lang="fr-FR"/>
        </a:p>
      </dgm:t>
    </dgm:pt>
    <dgm:pt modelId="{CCB10121-6344-2942-927B-9164EB4D35C7}">
      <dgm:prSet custT="1"/>
      <dgm:spPr/>
      <dgm:t>
        <a:bodyPr/>
        <a:lstStyle/>
        <a:p>
          <a:r>
            <a:rPr lang="en-US" sz="900" b="1" i="0"/>
            <a:t>Increased social accounta-bility for behaviour change</a:t>
          </a:r>
          <a:endParaRPr lang="fr-FR" sz="900"/>
        </a:p>
      </dgm:t>
    </dgm:pt>
    <dgm:pt modelId="{7283FD5F-2C3B-B840-83BB-78E0AEFBEFBC}" type="parTrans" cxnId="{E7C07E22-0A63-0E41-8E38-5C1818B20A99}">
      <dgm:prSet/>
      <dgm:spPr/>
      <dgm:t>
        <a:bodyPr/>
        <a:lstStyle/>
        <a:p>
          <a:endParaRPr lang="fr-FR"/>
        </a:p>
      </dgm:t>
    </dgm:pt>
    <dgm:pt modelId="{7DE2C3D7-56FC-5B4E-92C8-465D16083587}" type="sibTrans" cxnId="{E7C07E22-0A63-0E41-8E38-5C1818B20A99}">
      <dgm:prSet/>
      <dgm:spPr/>
      <dgm:t>
        <a:bodyPr/>
        <a:lstStyle/>
        <a:p>
          <a:endParaRPr lang="fr-FR"/>
        </a:p>
      </dgm:t>
    </dgm:pt>
    <dgm:pt modelId="{EA97BB20-7E98-6248-AF11-0A7D6FA7D36A}">
      <dgm:prSet custT="1"/>
      <dgm:spPr/>
      <dgm:t>
        <a:bodyPr/>
        <a:lstStyle/>
        <a:p>
          <a:r>
            <a:rPr lang="en-US" sz="900" b="1" i="0"/>
            <a:t>Health financing and budgeting</a:t>
          </a:r>
          <a:endParaRPr lang="fr-FR" sz="900"/>
        </a:p>
      </dgm:t>
    </dgm:pt>
    <dgm:pt modelId="{BA60D8DA-C3EB-4E46-9520-0A1366A52156}" type="parTrans" cxnId="{0E8D72E9-8BF7-224A-B7E3-71AAFF3CA0B7}">
      <dgm:prSet/>
      <dgm:spPr/>
      <dgm:t>
        <a:bodyPr/>
        <a:lstStyle/>
        <a:p>
          <a:endParaRPr lang="en-US"/>
        </a:p>
      </dgm:t>
    </dgm:pt>
    <dgm:pt modelId="{31B9D32C-CD5C-FC4B-9BC8-5B7D141E36F9}" type="sibTrans" cxnId="{0E8D72E9-8BF7-224A-B7E3-71AAFF3CA0B7}">
      <dgm:prSet/>
      <dgm:spPr/>
      <dgm:t>
        <a:bodyPr/>
        <a:lstStyle/>
        <a:p>
          <a:endParaRPr lang="en-US"/>
        </a:p>
      </dgm:t>
    </dgm:pt>
    <dgm:pt modelId="{FCF4BFCF-A4D8-49E3-BFA5-F51F5C09DF24}">
      <dgm:prSet custT="1"/>
      <dgm:spPr/>
      <dgm:t>
        <a:bodyPr/>
        <a:lstStyle/>
        <a:p>
          <a:r>
            <a:rPr lang="en-GB" sz="900" b="1" i="0"/>
            <a:t>Evidence-based decision-making and digital systems</a:t>
          </a:r>
          <a:endParaRPr lang="fr-FR" sz="900"/>
        </a:p>
      </dgm:t>
    </dgm:pt>
    <dgm:pt modelId="{AE1619BA-AB93-4C6C-9691-AAA5F5C7A67B}" type="parTrans" cxnId="{9CEBFD17-8665-4F3D-A0CD-FC191D0F9110}">
      <dgm:prSet/>
      <dgm:spPr/>
    </dgm:pt>
    <dgm:pt modelId="{8642D732-869F-4ED9-93FE-C94477C00A1A}" type="sibTrans" cxnId="{9CEBFD17-8665-4F3D-A0CD-FC191D0F9110}">
      <dgm:prSet/>
      <dgm:spPr/>
    </dgm:pt>
    <dgm:pt modelId="{8BC06370-510F-7B4D-9A03-CE0AC13639C8}" type="pres">
      <dgm:prSet presAssocID="{30ED0289-0289-2941-8100-CD1E9E7198ED}" presName="Name0" presStyleCnt="0">
        <dgm:presLayoutVars>
          <dgm:chMax val="1"/>
          <dgm:dir/>
          <dgm:animLvl val="ctr"/>
          <dgm:resizeHandles val="exact"/>
        </dgm:presLayoutVars>
      </dgm:prSet>
      <dgm:spPr/>
    </dgm:pt>
    <dgm:pt modelId="{A15ED66A-7579-0845-AEE5-4CBEEBB71062}" type="pres">
      <dgm:prSet presAssocID="{8D33F967-0A30-714A-9A7E-16B2B92C9253}" presName="centerShape" presStyleLbl="node0" presStyleIdx="0" presStyleCnt="1" custScaleX="104312" custScaleY="101774"/>
      <dgm:spPr/>
    </dgm:pt>
    <dgm:pt modelId="{BEDB39FA-9EF6-8847-A4B9-F2FC81D024A1}" type="pres">
      <dgm:prSet presAssocID="{4D4FDF94-6BF1-BC4A-B403-6A90976842D4}" presName="node" presStyleLbl="node1" presStyleIdx="0" presStyleCnt="4" custScaleX="118781" custScaleY="108980">
        <dgm:presLayoutVars>
          <dgm:bulletEnabled val="1"/>
        </dgm:presLayoutVars>
      </dgm:prSet>
      <dgm:spPr/>
    </dgm:pt>
    <dgm:pt modelId="{53AEBCBB-B8F0-5144-9EA1-1388E697C6E7}" type="pres">
      <dgm:prSet presAssocID="{4D4FDF94-6BF1-BC4A-B403-6A90976842D4}" presName="dummy" presStyleCnt="0"/>
      <dgm:spPr/>
    </dgm:pt>
    <dgm:pt modelId="{CF53108E-C42A-D448-8462-BBE0EC20AB15}" type="pres">
      <dgm:prSet presAssocID="{8F257176-596B-674A-AD30-659A7A85BA45}" presName="sibTrans" presStyleLbl="sibTrans2D1" presStyleIdx="0" presStyleCnt="4"/>
      <dgm:spPr/>
    </dgm:pt>
    <dgm:pt modelId="{A9655E33-C69A-437A-9616-99B0F9174FAB}" type="pres">
      <dgm:prSet presAssocID="{FCF4BFCF-A4D8-49E3-BFA5-F51F5C09DF24}" presName="node" presStyleLbl="node1" presStyleIdx="1" presStyleCnt="4" custScaleX="118781" custScaleY="108980">
        <dgm:presLayoutVars>
          <dgm:bulletEnabled val="1"/>
        </dgm:presLayoutVars>
      </dgm:prSet>
      <dgm:spPr/>
    </dgm:pt>
    <dgm:pt modelId="{39508610-4359-45A8-A38A-4BAD75CE6B4B}" type="pres">
      <dgm:prSet presAssocID="{FCF4BFCF-A4D8-49E3-BFA5-F51F5C09DF24}" presName="dummy" presStyleCnt="0"/>
      <dgm:spPr/>
    </dgm:pt>
    <dgm:pt modelId="{270A9909-FCEE-4A41-8408-5693FAF4CAF8}" type="pres">
      <dgm:prSet presAssocID="{8642D732-869F-4ED9-93FE-C94477C00A1A}" presName="sibTrans" presStyleLbl="sibTrans2D1" presStyleIdx="1" presStyleCnt="4"/>
      <dgm:spPr/>
    </dgm:pt>
    <dgm:pt modelId="{1915366F-1FCA-9547-93BB-821B5A9B81B0}" type="pres">
      <dgm:prSet presAssocID="{EA97BB20-7E98-6248-AF11-0A7D6FA7D36A}" presName="node" presStyleLbl="node1" presStyleIdx="2" presStyleCnt="4" custScaleX="118781" custScaleY="108980">
        <dgm:presLayoutVars>
          <dgm:bulletEnabled val="1"/>
        </dgm:presLayoutVars>
      </dgm:prSet>
      <dgm:spPr/>
    </dgm:pt>
    <dgm:pt modelId="{0253024B-7584-4241-B11A-49B67256A39D}" type="pres">
      <dgm:prSet presAssocID="{EA97BB20-7E98-6248-AF11-0A7D6FA7D36A}" presName="dummy" presStyleCnt="0"/>
      <dgm:spPr/>
    </dgm:pt>
    <dgm:pt modelId="{D238433B-4F92-A343-A1E8-949F6529EF14}" type="pres">
      <dgm:prSet presAssocID="{31B9D32C-CD5C-FC4B-9BC8-5B7D141E36F9}" presName="sibTrans" presStyleLbl="sibTrans2D1" presStyleIdx="2" presStyleCnt="4"/>
      <dgm:spPr/>
    </dgm:pt>
    <dgm:pt modelId="{49B1FD9B-91A8-054F-B8F0-F3130B9102BF}" type="pres">
      <dgm:prSet presAssocID="{CCB10121-6344-2942-927B-9164EB4D35C7}" presName="node" presStyleLbl="node1" presStyleIdx="3" presStyleCnt="4" custScaleX="118781" custScaleY="108980" custRadScaleRad="98780">
        <dgm:presLayoutVars>
          <dgm:bulletEnabled val="1"/>
        </dgm:presLayoutVars>
      </dgm:prSet>
      <dgm:spPr/>
    </dgm:pt>
    <dgm:pt modelId="{4517D749-E91B-3B4E-9261-7FEF0511196B}" type="pres">
      <dgm:prSet presAssocID="{CCB10121-6344-2942-927B-9164EB4D35C7}" presName="dummy" presStyleCnt="0"/>
      <dgm:spPr/>
    </dgm:pt>
    <dgm:pt modelId="{3BB954CD-C39C-1B45-ABF3-98931FCBCB00}" type="pres">
      <dgm:prSet presAssocID="{7DE2C3D7-56FC-5B4E-92C8-465D16083587}" presName="sibTrans" presStyleLbl="sibTrans2D1" presStyleIdx="3" presStyleCnt="4"/>
      <dgm:spPr/>
    </dgm:pt>
  </dgm:ptLst>
  <dgm:cxnLst>
    <dgm:cxn modelId="{9CEBFD17-8665-4F3D-A0CD-FC191D0F9110}" srcId="{8D33F967-0A30-714A-9A7E-16B2B92C9253}" destId="{FCF4BFCF-A4D8-49E3-BFA5-F51F5C09DF24}" srcOrd="1" destOrd="0" parTransId="{AE1619BA-AB93-4C6C-9691-AAA5F5C7A67B}" sibTransId="{8642D732-869F-4ED9-93FE-C94477C00A1A}"/>
    <dgm:cxn modelId="{260CCD21-D9B8-46E6-8D11-5D67ACB726D6}" type="presOf" srcId="{FCF4BFCF-A4D8-49E3-BFA5-F51F5C09DF24}" destId="{A9655E33-C69A-437A-9616-99B0F9174FAB}" srcOrd="0" destOrd="0" presId="urn:microsoft.com/office/officeart/2005/8/layout/radial6"/>
    <dgm:cxn modelId="{E7C07E22-0A63-0E41-8E38-5C1818B20A99}" srcId="{8D33F967-0A30-714A-9A7E-16B2B92C9253}" destId="{CCB10121-6344-2942-927B-9164EB4D35C7}" srcOrd="3" destOrd="0" parTransId="{7283FD5F-2C3B-B840-83BB-78E0AEFBEFBC}" sibTransId="{7DE2C3D7-56FC-5B4E-92C8-465D16083587}"/>
    <dgm:cxn modelId="{5785B431-4C88-164B-9A66-CF507D4F1D32}" type="presOf" srcId="{7DE2C3D7-56FC-5B4E-92C8-465D16083587}" destId="{3BB954CD-C39C-1B45-ABF3-98931FCBCB00}" srcOrd="0" destOrd="0" presId="urn:microsoft.com/office/officeart/2005/8/layout/radial6"/>
    <dgm:cxn modelId="{EB5A0540-1F0C-9347-90DA-6D7696E1F66F}" type="presOf" srcId="{30ED0289-0289-2941-8100-CD1E9E7198ED}" destId="{8BC06370-510F-7B4D-9A03-CE0AC13639C8}" srcOrd="0" destOrd="0" presId="urn:microsoft.com/office/officeart/2005/8/layout/radial6"/>
    <dgm:cxn modelId="{56FA6762-6507-4B05-A3BB-B99D00B924CE}" type="presOf" srcId="{8642D732-869F-4ED9-93FE-C94477C00A1A}" destId="{270A9909-FCEE-4A41-8408-5693FAF4CAF8}" srcOrd="0" destOrd="0" presId="urn:microsoft.com/office/officeart/2005/8/layout/radial6"/>
    <dgm:cxn modelId="{6F488C70-C233-2C47-8EE1-1A7A2DEC9956}" type="presOf" srcId="{EA97BB20-7E98-6248-AF11-0A7D6FA7D36A}" destId="{1915366F-1FCA-9547-93BB-821B5A9B81B0}" srcOrd="0" destOrd="0" presId="urn:microsoft.com/office/officeart/2005/8/layout/radial6"/>
    <dgm:cxn modelId="{B3AC5575-6203-E84D-B1FC-BFA4FFD3641A}" type="presOf" srcId="{31B9D32C-CD5C-FC4B-9BC8-5B7D141E36F9}" destId="{D238433B-4F92-A343-A1E8-949F6529EF14}" srcOrd="0" destOrd="0" presId="urn:microsoft.com/office/officeart/2005/8/layout/radial6"/>
    <dgm:cxn modelId="{5ABA8FA1-0700-2F48-B921-BB76BF511FF4}" type="presOf" srcId="{8F257176-596B-674A-AD30-659A7A85BA45}" destId="{CF53108E-C42A-D448-8462-BBE0EC20AB15}" srcOrd="0" destOrd="0" presId="urn:microsoft.com/office/officeart/2005/8/layout/radial6"/>
    <dgm:cxn modelId="{E77CF1A8-E0F5-C14C-A4BB-A4FCB440321B}" type="presOf" srcId="{4D4FDF94-6BF1-BC4A-B403-6A90976842D4}" destId="{BEDB39FA-9EF6-8847-A4B9-F2FC81D024A1}" srcOrd="0" destOrd="0" presId="urn:microsoft.com/office/officeart/2005/8/layout/radial6"/>
    <dgm:cxn modelId="{2EF006C0-41EB-8942-A3C9-CBDB6ACB3900}" srcId="{30ED0289-0289-2941-8100-CD1E9E7198ED}" destId="{8D33F967-0A30-714A-9A7E-16B2B92C9253}" srcOrd="0" destOrd="0" parTransId="{410F12A4-977C-494F-89E9-7BA14E09A86D}" sibTransId="{72C0A21C-8E1C-334E-9AD1-345E6500EBC5}"/>
    <dgm:cxn modelId="{202204C8-F874-FF4F-B96D-407EE495F655}" type="presOf" srcId="{CCB10121-6344-2942-927B-9164EB4D35C7}" destId="{49B1FD9B-91A8-054F-B8F0-F3130B9102BF}" srcOrd="0" destOrd="0" presId="urn:microsoft.com/office/officeart/2005/8/layout/radial6"/>
    <dgm:cxn modelId="{52DB74DC-E07C-A540-9B04-4DBC5F417901}" type="presOf" srcId="{8D33F967-0A30-714A-9A7E-16B2B92C9253}" destId="{A15ED66A-7579-0845-AEE5-4CBEEBB71062}" srcOrd="0" destOrd="0" presId="urn:microsoft.com/office/officeart/2005/8/layout/radial6"/>
    <dgm:cxn modelId="{0E8D72E9-8BF7-224A-B7E3-71AAFF3CA0B7}" srcId="{8D33F967-0A30-714A-9A7E-16B2B92C9253}" destId="{EA97BB20-7E98-6248-AF11-0A7D6FA7D36A}" srcOrd="2" destOrd="0" parTransId="{BA60D8DA-C3EB-4E46-9520-0A1366A52156}" sibTransId="{31B9D32C-CD5C-FC4B-9BC8-5B7D141E36F9}"/>
    <dgm:cxn modelId="{083700ED-36C6-C148-8B63-C3E65279D47E}" srcId="{8D33F967-0A30-714A-9A7E-16B2B92C9253}" destId="{4D4FDF94-6BF1-BC4A-B403-6A90976842D4}" srcOrd="0" destOrd="0" parTransId="{26FD1B53-5B07-1046-85F0-96C62192A40B}" sibTransId="{8F257176-596B-674A-AD30-659A7A85BA45}"/>
    <dgm:cxn modelId="{83A62B5F-EFE5-A04F-9C92-C75C3917F3D2}" type="presParOf" srcId="{8BC06370-510F-7B4D-9A03-CE0AC13639C8}" destId="{A15ED66A-7579-0845-AEE5-4CBEEBB71062}" srcOrd="0" destOrd="0" presId="urn:microsoft.com/office/officeart/2005/8/layout/radial6"/>
    <dgm:cxn modelId="{57F64449-3E99-9F4B-8466-93A01B099C6E}" type="presParOf" srcId="{8BC06370-510F-7B4D-9A03-CE0AC13639C8}" destId="{BEDB39FA-9EF6-8847-A4B9-F2FC81D024A1}" srcOrd="1" destOrd="0" presId="urn:microsoft.com/office/officeart/2005/8/layout/radial6"/>
    <dgm:cxn modelId="{02A91640-9B1B-5F43-8803-05D95FB460D3}" type="presParOf" srcId="{8BC06370-510F-7B4D-9A03-CE0AC13639C8}" destId="{53AEBCBB-B8F0-5144-9EA1-1388E697C6E7}" srcOrd="2" destOrd="0" presId="urn:microsoft.com/office/officeart/2005/8/layout/radial6"/>
    <dgm:cxn modelId="{FA9B73C2-D4C0-8E4E-ADB4-D6CBEB57EBE1}" type="presParOf" srcId="{8BC06370-510F-7B4D-9A03-CE0AC13639C8}" destId="{CF53108E-C42A-D448-8462-BBE0EC20AB15}" srcOrd="3" destOrd="0" presId="urn:microsoft.com/office/officeart/2005/8/layout/radial6"/>
    <dgm:cxn modelId="{34CC3C2C-174F-47E2-B972-711A17283E5E}" type="presParOf" srcId="{8BC06370-510F-7B4D-9A03-CE0AC13639C8}" destId="{A9655E33-C69A-437A-9616-99B0F9174FAB}" srcOrd="4" destOrd="0" presId="urn:microsoft.com/office/officeart/2005/8/layout/radial6"/>
    <dgm:cxn modelId="{C01F50D7-FF1A-41CF-AD79-F38666776038}" type="presParOf" srcId="{8BC06370-510F-7B4D-9A03-CE0AC13639C8}" destId="{39508610-4359-45A8-A38A-4BAD75CE6B4B}" srcOrd="5" destOrd="0" presId="urn:microsoft.com/office/officeart/2005/8/layout/radial6"/>
    <dgm:cxn modelId="{5ADF64DB-996E-460C-99DC-831AF6F5BE6C}" type="presParOf" srcId="{8BC06370-510F-7B4D-9A03-CE0AC13639C8}" destId="{270A9909-FCEE-4A41-8408-5693FAF4CAF8}" srcOrd="6" destOrd="0" presId="urn:microsoft.com/office/officeart/2005/8/layout/radial6"/>
    <dgm:cxn modelId="{A8387102-2791-134A-AF11-C72ACB863D69}" type="presParOf" srcId="{8BC06370-510F-7B4D-9A03-CE0AC13639C8}" destId="{1915366F-1FCA-9547-93BB-821B5A9B81B0}" srcOrd="7" destOrd="0" presId="urn:microsoft.com/office/officeart/2005/8/layout/radial6"/>
    <dgm:cxn modelId="{AD7D9BC2-8CF5-4348-9D18-E9A7F666FC06}" type="presParOf" srcId="{8BC06370-510F-7B4D-9A03-CE0AC13639C8}" destId="{0253024B-7584-4241-B11A-49B67256A39D}" srcOrd="8" destOrd="0" presId="urn:microsoft.com/office/officeart/2005/8/layout/radial6"/>
    <dgm:cxn modelId="{0007E68B-342F-9B42-A4C6-E18C1B452518}" type="presParOf" srcId="{8BC06370-510F-7B4D-9A03-CE0AC13639C8}" destId="{D238433B-4F92-A343-A1E8-949F6529EF14}" srcOrd="9" destOrd="0" presId="urn:microsoft.com/office/officeart/2005/8/layout/radial6"/>
    <dgm:cxn modelId="{C08C5079-34AE-B74F-B537-FE118FC1CAEE}" type="presParOf" srcId="{8BC06370-510F-7B4D-9A03-CE0AC13639C8}" destId="{49B1FD9B-91A8-054F-B8F0-F3130B9102BF}" srcOrd="10" destOrd="0" presId="urn:microsoft.com/office/officeart/2005/8/layout/radial6"/>
    <dgm:cxn modelId="{105885A3-A856-6546-A895-302733BF73F8}" type="presParOf" srcId="{8BC06370-510F-7B4D-9A03-CE0AC13639C8}" destId="{4517D749-E91B-3B4E-9261-7FEF0511196B}" srcOrd="11" destOrd="0" presId="urn:microsoft.com/office/officeart/2005/8/layout/radial6"/>
    <dgm:cxn modelId="{855D4A85-B0EF-7B4C-93EE-D26B0C3DC4E7}" type="presParOf" srcId="{8BC06370-510F-7B4D-9A03-CE0AC13639C8}" destId="{3BB954CD-C39C-1B45-ABF3-98931FCBCB00}" srcOrd="12" destOrd="0" presId="urn:microsoft.com/office/officeart/2005/8/layout/radial6"/>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DC46D5-32A2-5240-A166-F24AF57FDA2B}"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fr-FR"/>
        </a:p>
      </dgm:t>
    </dgm:pt>
    <dgm:pt modelId="{0F874CDA-D94A-C749-A900-40554B9F6368}">
      <dgm:prSet phldrT="[Texte]"/>
      <dgm:spPr/>
      <dgm:t>
        <a:bodyPr/>
        <a:lstStyle/>
        <a:p>
          <a:r>
            <a:rPr lang="fr-FR" b="1" i="0"/>
            <a:t>Accountable, Inclusive and Participatory Governance and Quality Public Services</a:t>
          </a:r>
          <a:endParaRPr lang="fr-FR"/>
        </a:p>
      </dgm:t>
    </dgm:pt>
    <dgm:pt modelId="{B47E8115-92A1-C043-9CD9-ADC8F90D2FC0}" type="parTrans" cxnId="{03DFD6E3-EB11-4F47-9B2B-C804348F0F5E}">
      <dgm:prSet/>
      <dgm:spPr/>
      <dgm:t>
        <a:bodyPr/>
        <a:lstStyle/>
        <a:p>
          <a:endParaRPr lang="fr-FR"/>
        </a:p>
      </dgm:t>
    </dgm:pt>
    <dgm:pt modelId="{A9AAA426-E517-444A-8C9F-DEFB471D121B}" type="sibTrans" cxnId="{03DFD6E3-EB11-4F47-9B2B-C804348F0F5E}">
      <dgm:prSet/>
      <dgm:spPr/>
      <dgm:t>
        <a:bodyPr/>
        <a:lstStyle/>
        <a:p>
          <a:endParaRPr lang="fr-FR"/>
        </a:p>
      </dgm:t>
    </dgm:pt>
    <dgm:pt modelId="{1C79F19F-0EC4-D340-B702-06C7ADB61CAF}">
      <dgm:prSet phldrT="[Texte]" custT="1"/>
      <dgm:spPr/>
      <dgm:t>
        <a:bodyPr/>
        <a:lstStyle/>
        <a:p>
          <a:r>
            <a:rPr lang="en-US" sz="800" b="0"/>
            <a:t>Representa-tion and participation of citizens at all levels </a:t>
          </a:r>
          <a:endParaRPr lang="fr-FR" sz="800" b="0"/>
        </a:p>
      </dgm:t>
    </dgm:pt>
    <dgm:pt modelId="{C0F9E26A-341A-1542-9715-7B64FC47DF43}" type="parTrans" cxnId="{316C3975-B8BD-B243-B8E5-1012639706B5}">
      <dgm:prSet/>
      <dgm:spPr/>
      <dgm:t>
        <a:bodyPr/>
        <a:lstStyle/>
        <a:p>
          <a:endParaRPr lang="fr-FR"/>
        </a:p>
      </dgm:t>
    </dgm:pt>
    <dgm:pt modelId="{379FC57F-58AB-854E-BA2B-67A0014074CB}" type="sibTrans" cxnId="{316C3975-B8BD-B243-B8E5-1012639706B5}">
      <dgm:prSet/>
      <dgm:spPr/>
      <dgm:t>
        <a:bodyPr/>
        <a:lstStyle/>
        <a:p>
          <a:endParaRPr lang="fr-FR"/>
        </a:p>
      </dgm:t>
    </dgm:pt>
    <dgm:pt modelId="{F9B0B01C-FE50-3540-A6C7-DF47954E0C02}">
      <dgm:prSet phldrT="[Texte]" custT="1"/>
      <dgm:spPr/>
      <dgm:t>
        <a:bodyPr/>
        <a:lstStyle/>
        <a:p>
          <a:r>
            <a:rPr lang="fr-FR" sz="800" b="0" i="0"/>
            <a:t>Increased access to justice and security</a:t>
          </a:r>
          <a:endParaRPr lang="fr-FR" sz="800" b="0"/>
        </a:p>
      </dgm:t>
    </dgm:pt>
    <dgm:pt modelId="{4497BBFE-ADE5-884B-B201-56E19C4E48A1}" type="parTrans" cxnId="{59DA5A19-3BD9-6C45-A8C9-7620CBF5024D}">
      <dgm:prSet/>
      <dgm:spPr/>
      <dgm:t>
        <a:bodyPr/>
        <a:lstStyle/>
        <a:p>
          <a:endParaRPr lang="fr-FR"/>
        </a:p>
      </dgm:t>
    </dgm:pt>
    <dgm:pt modelId="{8FAEDA2C-C750-9F46-B3BA-BEB7BFF168E9}" type="sibTrans" cxnId="{59DA5A19-3BD9-6C45-A8C9-7620CBF5024D}">
      <dgm:prSet/>
      <dgm:spPr/>
      <dgm:t>
        <a:bodyPr/>
        <a:lstStyle/>
        <a:p>
          <a:endParaRPr lang="fr-FR"/>
        </a:p>
      </dgm:t>
    </dgm:pt>
    <dgm:pt modelId="{3ABA00BD-0BEC-394F-B088-D4BD9CE70A14}">
      <dgm:prSet phldrT="[Texte]" custT="1"/>
      <dgm:spPr/>
      <dgm:t>
        <a:bodyPr/>
        <a:lstStyle/>
        <a:p>
          <a:r>
            <a:rPr lang="en-US" sz="800" b="0"/>
            <a:t>Effective public administra-tion</a:t>
          </a:r>
          <a:endParaRPr lang="fr-FR" sz="800" b="0"/>
        </a:p>
      </dgm:t>
    </dgm:pt>
    <dgm:pt modelId="{6B49E459-1ABF-6B40-B7BD-15843BAB847C}" type="parTrans" cxnId="{6E3C2E26-4E3C-DA48-8BBF-6C21F087364D}">
      <dgm:prSet/>
      <dgm:spPr/>
      <dgm:t>
        <a:bodyPr/>
        <a:lstStyle/>
        <a:p>
          <a:endParaRPr lang="fr-FR"/>
        </a:p>
      </dgm:t>
    </dgm:pt>
    <dgm:pt modelId="{77DD8908-E2AA-624C-880F-DB33D7B1F3F5}" type="sibTrans" cxnId="{6E3C2E26-4E3C-DA48-8BBF-6C21F087364D}">
      <dgm:prSet/>
      <dgm:spPr/>
      <dgm:t>
        <a:bodyPr/>
        <a:lstStyle/>
        <a:p>
          <a:endParaRPr lang="fr-FR"/>
        </a:p>
      </dgm:t>
    </dgm:pt>
    <dgm:pt modelId="{39770C60-1E80-3540-B23B-8AEBD20625D7}">
      <dgm:prSet phldrT="[Texte]" custT="1"/>
      <dgm:spPr/>
      <dgm:t>
        <a:bodyPr/>
        <a:lstStyle/>
        <a:p>
          <a:r>
            <a:rPr lang="fr-FR" sz="800"/>
            <a:t>Prevention and response to violence against women and children</a:t>
          </a:r>
        </a:p>
      </dgm:t>
    </dgm:pt>
    <dgm:pt modelId="{650DAF4A-0924-EF4E-9AD9-32D8DCEF3C8B}" type="parTrans" cxnId="{23AD1232-6D20-1C45-9633-DFD4CFB3AD1F}">
      <dgm:prSet/>
      <dgm:spPr/>
      <dgm:t>
        <a:bodyPr/>
        <a:lstStyle/>
        <a:p>
          <a:endParaRPr lang="fr-FR"/>
        </a:p>
      </dgm:t>
    </dgm:pt>
    <dgm:pt modelId="{2C1940A3-DD41-754E-9767-F1BFAC2856F2}" type="sibTrans" cxnId="{23AD1232-6D20-1C45-9633-DFD4CFB3AD1F}">
      <dgm:prSet/>
      <dgm:spPr/>
      <dgm:t>
        <a:bodyPr/>
        <a:lstStyle/>
        <a:p>
          <a:endParaRPr lang="fr-FR"/>
        </a:p>
      </dgm:t>
    </dgm:pt>
    <dgm:pt modelId="{0890E026-446D-654D-B1AB-D7147E07BA6B}" type="pres">
      <dgm:prSet presAssocID="{DCDC46D5-32A2-5240-A166-F24AF57FDA2B}" presName="Name0" presStyleCnt="0">
        <dgm:presLayoutVars>
          <dgm:chMax val="1"/>
          <dgm:dir/>
          <dgm:animLvl val="ctr"/>
          <dgm:resizeHandles val="exact"/>
        </dgm:presLayoutVars>
      </dgm:prSet>
      <dgm:spPr/>
    </dgm:pt>
    <dgm:pt modelId="{748C1355-68A2-9A4D-8B97-E627E142AC2E}" type="pres">
      <dgm:prSet presAssocID="{0F874CDA-D94A-C749-A900-40554B9F6368}" presName="centerShape" presStyleLbl="node0" presStyleIdx="0" presStyleCnt="1"/>
      <dgm:spPr/>
    </dgm:pt>
    <dgm:pt modelId="{10E90EA4-0A7F-834A-B8A9-95DDAD5A7DD1}" type="pres">
      <dgm:prSet presAssocID="{1C79F19F-0EC4-D340-B702-06C7ADB61CAF}" presName="node" presStyleLbl="node1" presStyleIdx="0" presStyleCnt="4" custScaleX="110214" custScaleY="109897">
        <dgm:presLayoutVars>
          <dgm:bulletEnabled val="1"/>
        </dgm:presLayoutVars>
      </dgm:prSet>
      <dgm:spPr/>
    </dgm:pt>
    <dgm:pt modelId="{33D30D74-03A0-6540-9A2B-F9EAB115603A}" type="pres">
      <dgm:prSet presAssocID="{1C79F19F-0EC4-D340-B702-06C7ADB61CAF}" presName="dummy" presStyleCnt="0"/>
      <dgm:spPr/>
    </dgm:pt>
    <dgm:pt modelId="{07E7D73D-B59B-F64D-B2C9-16F3EFA6478E}" type="pres">
      <dgm:prSet presAssocID="{379FC57F-58AB-854E-BA2B-67A0014074CB}" presName="sibTrans" presStyleLbl="sibTrans2D1" presStyleIdx="0" presStyleCnt="4"/>
      <dgm:spPr/>
    </dgm:pt>
    <dgm:pt modelId="{A5CA522B-D75A-0947-B518-3200E58CDFA5}" type="pres">
      <dgm:prSet presAssocID="{F9B0B01C-FE50-3540-A6C7-DF47954E0C02}" presName="node" presStyleLbl="node1" presStyleIdx="1" presStyleCnt="4" custScaleX="110214" custScaleY="109897">
        <dgm:presLayoutVars>
          <dgm:bulletEnabled val="1"/>
        </dgm:presLayoutVars>
      </dgm:prSet>
      <dgm:spPr/>
    </dgm:pt>
    <dgm:pt modelId="{7B9D7DA4-6F45-4843-A013-6DFF846A6C68}" type="pres">
      <dgm:prSet presAssocID="{F9B0B01C-FE50-3540-A6C7-DF47954E0C02}" presName="dummy" presStyleCnt="0"/>
      <dgm:spPr/>
    </dgm:pt>
    <dgm:pt modelId="{1A7200B6-1B56-E341-A0D5-41880A8C938D}" type="pres">
      <dgm:prSet presAssocID="{8FAEDA2C-C750-9F46-B3BA-BEB7BFF168E9}" presName="sibTrans" presStyleLbl="sibTrans2D1" presStyleIdx="1" presStyleCnt="4"/>
      <dgm:spPr/>
    </dgm:pt>
    <dgm:pt modelId="{CA74A39E-FFFE-294E-BE40-B92795198219}" type="pres">
      <dgm:prSet presAssocID="{3ABA00BD-0BEC-394F-B088-D4BD9CE70A14}" presName="node" presStyleLbl="node1" presStyleIdx="2" presStyleCnt="4" custScaleX="110214" custScaleY="109897">
        <dgm:presLayoutVars>
          <dgm:bulletEnabled val="1"/>
        </dgm:presLayoutVars>
      </dgm:prSet>
      <dgm:spPr/>
    </dgm:pt>
    <dgm:pt modelId="{755065E1-75A6-A14D-9741-EFC980036A49}" type="pres">
      <dgm:prSet presAssocID="{3ABA00BD-0BEC-394F-B088-D4BD9CE70A14}" presName="dummy" presStyleCnt="0"/>
      <dgm:spPr/>
    </dgm:pt>
    <dgm:pt modelId="{ABB7FA21-2715-D548-A09D-BC1CCF361EA0}" type="pres">
      <dgm:prSet presAssocID="{77DD8908-E2AA-624C-880F-DB33D7B1F3F5}" presName="sibTrans" presStyleLbl="sibTrans2D1" presStyleIdx="2" presStyleCnt="4"/>
      <dgm:spPr/>
    </dgm:pt>
    <dgm:pt modelId="{500F1DEF-8F76-6746-A3E9-809E100473CD}" type="pres">
      <dgm:prSet presAssocID="{39770C60-1E80-3540-B23B-8AEBD20625D7}" presName="node" presStyleLbl="node1" presStyleIdx="3" presStyleCnt="4" custScaleX="110214" custScaleY="109897">
        <dgm:presLayoutVars>
          <dgm:bulletEnabled val="1"/>
        </dgm:presLayoutVars>
      </dgm:prSet>
      <dgm:spPr/>
    </dgm:pt>
    <dgm:pt modelId="{2A1EE966-1E07-3843-B9C3-CB3CB21261D8}" type="pres">
      <dgm:prSet presAssocID="{39770C60-1E80-3540-B23B-8AEBD20625D7}" presName="dummy" presStyleCnt="0"/>
      <dgm:spPr/>
    </dgm:pt>
    <dgm:pt modelId="{39BE6C37-0E46-554F-A057-8A341421DB76}" type="pres">
      <dgm:prSet presAssocID="{2C1940A3-DD41-754E-9767-F1BFAC2856F2}" presName="sibTrans" presStyleLbl="sibTrans2D1" presStyleIdx="3" presStyleCnt="4"/>
      <dgm:spPr/>
    </dgm:pt>
  </dgm:ptLst>
  <dgm:cxnLst>
    <dgm:cxn modelId="{59DA5A19-3BD9-6C45-A8C9-7620CBF5024D}" srcId="{0F874CDA-D94A-C749-A900-40554B9F6368}" destId="{F9B0B01C-FE50-3540-A6C7-DF47954E0C02}" srcOrd="1" destOrd="0" parTransId="{4497BBFE-ADE5-884B-B201-56E19C4E48A1}" sibTransId="{8FAEDA2C-C750-9F46-B3BA-BEB7BFF168E9}"/>
    <dgm:cxn modelId="{B549E421-488D-0846-80E7-4AC40A34F561}" type="presOf" srcId="{77DD8908-E2AA-624C-880F-DB33D7B1F3F5}" destId="{ABB7FA21-2715-D548-A09D-BC1CCF361EA0}" srcOrd="0" destOrd="0" presId="urn:microsoft.com/office/officeart/2005/8/layout/radial6"/>
    <dgm:cxn modelId="{6E3C2E26-4E3C-DA48-8BBF-6C21F087364D}" srcId="{0F874CDA-D94A-C749-A900-40554B9F6368}" destId="{3ABA00BD-0BEC-394F-B088-D4BD9CE70A14}" srcOrd="2" destOrd="0" parTransId="{6B49E459-1ABF-6B40-B7BD-15843BAB847C}" sibTransId="{77DD8908-E2AA-624C-880F-DB33D7B1F3F5}"/>
    <dgm:cxn modelId="{23AD1232-6D20-1C45-9633-DFD4CFB3AD1F}" srcId="{0F874CDA-D94A-C749-A900-40554B9F6368}" destId="{39770C60-1E80-3540-B23B-8AEBD20625D7}" srcOrd="3" destOrd="0" parTransId="{650DAF4A-0924-EF4E-9AD9-32D8DCEF3C8B}" sibTransId="{2C1940A3-DD41-754E-9767-F1BFAC2856F2}"/>
    <dgm:cxn modelId="{CF28E361-973E-854B-96D3-B852627E9B43}" type="presOf" srcId="{0F874CDA-D94A-C749-A900-40554B9F6368}" destId="{748C1355-68A2-9A4D-8B97-E627E142AC2E}" srcOrd="0" destOrd="0" presId="urn:microsoft.com/office/officeart/2005/8/layout/radial6"/>
    <dgm:cxn modelId="{C25D2A6F-240B-1248-B634-F8F019B448BC}" type="presOf" srcId="{F9B0B01C-FE50-3540-A6C7-DF47954E0C02}" destId="{A5CA522B-D75A-0947-B518-3200E58CDFA5}" srcOrd="0" destOrd="0" presId="urn:microsoft.com/office/officeart/2005/8/layout/radial6"/>
    <dgm:cxn modelId="{316C3975-B8BD-B243-B8E5-1012639706B5}" srcId="{0F874CDA-D94A-C749-A900-40554B9F6368}" destId="{1C79F19F-0EC4-D340-B702-06C7ADB61CAF}" srcOrd="0" destOrd="0" parTransId="{C0F9E26A-341A-1542-9715-7B64FC47DF43}" sibTransId="{379FC57F-58AB-854E-BA2B-67A0014074CB}"/>
    <dgm:cxn modelId="{DCD80176-1974-864B-90FA-5B02182A7F04}" type="presOf" srcId="{DCDC46D5-32A2-5240-A166-F24AF57FDA2B}" destId="{0890E026-446D-654D-B1AB-D7147E07BA6B}" srcOrd="0" destOrd="0" presId="urn:microsoft.com/office/officeart/2005/8/layout/radial6"/>
    <dgm:cxn modelId="{29B10F8D-74CF-8C4C-86DB-82E778CFBC8F}" type="presOf" srcId="{1C79F19F-0EC4-D340-B702-06C7ADB61CAF}" destId="{10E90EA4-0A7F-834A-B8A9-95DDAD5A7DD1}" srcOrd="0" destOrd="0" presId="urn:microsoft.com/office/officeart/2005/8/layout/radial6"/>
    <dgm:cxn modelId="{8258B590-7C62-C04B-B638-3B7959BE3E80}" type="presOf" srcId="{379FC57F-58AB-854E-BA2B-67A0014074CB}" destId="{07E7D73D-B59B-F64D-B2C9-16F3EFA6478E}" srcOrd="0" destOrd="0" presId="urn:microsoft.com/office/officeart/2005/8/layout/radial6"/>
    <dgm:cxn modelId="{B772FC95-1530-EE4E-A105-FC3A48081776}" type="presOf" srcId="{8FAEDA2C-C750-9F46-B3BA-BEB7BFF168E9}" destId="{1A7200B6-1B56-E341-A0D5-41880A8C938D}" srcOrd="0" destOrd="0" presId="urn:microsoft.com/office/officeart/2005/8/layout/radial6"/>
    <dgm:cxn modelId="{56C550C9-393A-7343-A13D-5C680B851903}" type="presOf" srcId="{3ABA00BD-0BEC-394F-B088-D4BD9CE70A14}" destId="{CA74A39E-FFFE-294E-BE40-B92795198219}" srcOrd="0" destOrd="0" presId="urn:microsoft.com/office/officeart/2005/8/layout/radial6"/>
    <dgm:cxn modelId="{3E511DD3-6324-894A-843B-03D1D6B44C1D}" type="presOf" srcId="{2C1940A3-DD41-754E-9767-F1BFAC2856F2}" destId="{39BE6C37-0E46-554F-A057-8A341421DB76}" srcOrd="0" destOrd="0" presId="urn:microsoft.com/office/officeart/2005/8/layout/radial6"/>
    <dgm:cxn modelId="{61D9C7D4-143E-4141-B47E-6B0B11BADC3E}" type="presOf" srcId="{39770C60-1E80-3540-B23B-8AEBD20625D7}" destId="{500F1DEF-8F76-6746-A3E9-809E100473CD}" srcOrd="0" destOrd="0" presId="urn:microsoft.com/office/officeart/2005/8/layout/radial6"/>
    <dgm:cxn modelId="{03DFD6E3-EB11-4F47-9B2B-C804348F0F5E}" srcId="{DCDC46D5-32A2-5240-A166-F24AF57FDA2B}" destId="{0F874CDA-D94A-C749-A900-40554B9F6368}" srcOrd="0" destOrd="0" parTransId="{B47E8115-92A1-C043-9CD9-ADC8F90D2FC0}" sibTransId="{A9AAA426-E517-444A-8C9F-DEFB471D121B}"/>
    <dgm:cxn modelId="{617FEEDA-1629-8946-B487-6D5D4ADEF6E8}" type="presParOf" srcId="{0890E026-446D-654D-B1AB-D7147E07BA6B}" destId="{748C1355-68A2-9A4D-8B97-E627E142AC2E}" srcOrd="0" destOrd="0" presId="urn:microsoft.com/office/officeart/2005/8/layout/radial6"/>
    <dgm:cxn modelId="{04CDFFEB-B132-2F4D-ADA6-0BF3B4541266}" type="presParOf" srcId="{0890E026-446D-654D-B1AB-D7147E07BA6B}" destId="{10E90EA4-0A7F-834A-B8A9-95DDAD5A7DD1}" srcOrd="1" destOrd="0" presId="urn:microsoft.com/office/officeart/2005/8/layout/radial6"/>
    <dgm:cxn modelId="{A25EF4E0-66CA-1A42-B81A-64520CCA5EE0}" type="presParOf" srcId="{0890E026-446D-654D-B1AB-D7147E07BA6B}" destId="{33D30D74-03A0-6540-9A2B-F9EAB115603A}" srcOrd="2" destOrd="0" presId="urn:microsoft.com/office/officeart/2005/8/layout/radial6"/>
    <dgm:cxn modelId="{E8B08B91-1039-FA40-821D-991AB98C8095}" type="presParOf" srcId="{0890E026-446D-654D-B1AB-D7147E07BA6B}" destId="{07E7D73D-B59B-F64D-B2C9-16F3EFA6478E}" srcOrd="3" destOrd="0" presId="urn:microsoft.com/office/officeart/2005/8/layout/radial6"/>
    <dgm:cxn modelId="{E821D7F2-3475-3C46-9A92-9CEC15D5F27B}" type="presParOf" srcId="{0890E026-446D-654D-B1AB-D7147E07BA6B}" destId="{A5CA522B-D75A-0947-B518-3200E58CDFA5}" srcOrd="4" destOrd="0" presId="urn:microsoft.com/office/officeart/2005/8/layout/radial6"/>
    <dgm:cxn modelId="{DE920E7A-20C2-C844-BF72-9B362E631E96}" type="presParOf" srcId="{0890E026-446D-654D-B1AB-D7147E07BA6B}" destId="{7B9D7DA4-6F45-4843-A013-6DFF846A6C68}" srcOrd="5" destOrd="0" presId="urn:microsoft.com/office/officeart/2005/8/layout/radial6"/>
    <dgm:cxn modelId="{343D3312-42FF-8749-8E10-EF651E1D44BA}" type="presParOf" srcId="{0890E026-446D-654D-B1AB-D7147E07BA6B}" destId="{1A7200B6-1B56-E341-A0D5-41880A8C938D}" srcOrd="6" destOrd="0" presId="urn:microsoft.com/office/officeart/2005/8/layout/radial6"/>
    <dgm:cxn modelId="{270C09E7-44E9-5A42-B600-E1BEA7ACB9F4}" type="presParOf" srcId="{0890E026-446D-654D-B1AB-D7147E07BA6B}" destId="{CA74A39E-FFFE-294E-BE40-B92795198219}" srcOrd="7" destOrd="0" presId="urn:microsoft.com/office/officeart/2005/8/layout/radial6"/>
    <dgm:cxn modelId="{5507E60F-7F21-DF4E-A561-C031885D6D54}" type="presParOf" srcId="{0890E026-446D-654D-B1AB-D7147E07BA6B}" destId="{755065E1-75A6-A14D-9741-EFC980036A49}" srcOrd="8" destOrd="0" presId="urn:microsoft.com/office/officeart/2005/8/layout/radial6"/>
    <dgm:cxn modelId="{ED07AAF2-24DC-6D4C-A8D0-D7F8F8F5CA37}" type="presParOf" srcId="{0890E026-446D-654D-B1AB-D7147E07BA6B}" destId="{ABB7FA21-2715-D548-A09D-BC1CCF361EA0}" srcOrd="9" destOrd="0" presId="urn:microsoft.com/office/officeart/2005/8/layout/radial6"/>
    <dgm:cxn modelId="{0B17D0EE-301F-3A4F-8DF1-A57941800F14}" type="presParOf" srcId="{0890E026-446D-654D-B1AB-D7147E07BA6B}" destId="{500F1DEF-8F76-6746-A3E9-809E100473CD}" srcOrd="10" destOrd="0" presId="urn:microsoft.com/office/officeart/2005/8/layout/radial6"/>
    <dgm:cxn modelId="{E5D6DA2E-F9D6-B846-8424-BE0DF88C8A56}" type="presParOf" srcId="{0890E026-446D-654D-B1AB-D7147E07BA6B}" destId="{2A1EE966-1E07-3843-B9C3-CB3CB21261D8}" srcOrd="11" destOrd="0" presId="urn:microsoft.com/office/officeart/2005/8/layout/radial6"/>
    <dgm:cxn modelId="{BB3DF766-B8C0-F842-A160-5FE8C9F66895}" type="presParOf" srcId="{0890E026-446D-654D-B1AB-D7147E07BA6B}" destId="{39BE6C37-0E46-554F-A057-8A341421DB76}" srcOrd="12" destOrd="0" presId="urn:microsoft.com/office/officeart/2005/8/layout/radial6"/>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DC46D5-32A2-5240-A166-F24AF57FDA2B}"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fr-FR"/>
        </a:p>
      </dgm:t>
    </dgm:pt>
    <dgm:pt modelId="{0F874CDA-D94A-C749-A900-40554B9F6368}">
      <dgm:prSet phldrT="[Texte]"/>
      <dgm:spPr/>
      <dgm:t>
        <a:bodyPr/>
        <a:lstStyle/>
        <a:p>
          <a:r>
            <a:rPr lang="fr-FR" b="1"/>
            <a:t>Sustainable Management of Natural Resources and resilience to Climate Change</a:t>
          </a:r>
        </a:p>
      </dgm:t>
    </dgm:pt>
    <dgm:pt modelId="{B47E8115-92A1-C043-9CD9-ADC8F90D2FC0}" type="parTrans" cxnId="{03DFD6E3-EB11-4F47-9B2B-C804348F0F5E}">
      <dgm:prSet/>
      <dgm:spPr/>
      <dgm:t>
        <a:bodyPr/>
        <a:lstStyle/>
        <a:p>
          <a:endParaRPr lang="fr-FR"/>
        </a:p>
      </dgm:t>
    </dgm:pt>
    <dgm:pt modelId="{A9AAA426-E517-444A-8C9F-DEFB471D121B}" type="sibTrans" cxnId="{03DFD6E3-EB11-4F47-9B2B-C804348F0F5E}">
      <dgm:prSet/>
      <dgm:spPr/>
      <dgm:t>
        <a:bodyPr/>
        <a:lstStyle/>
        <a:p>
          <a:endParaRPr lang="fr-FR"/>
        </a:p>
      </dgm:t>
    </dgm:pt>
    <dgm:pt modelId="{1C79F19F-0EC4-D340-B702-06C7ADB61CAF}">
      <dgm:prSet phldrT="[Texte]" custT="1"/>
      <dgm:spPr/>
      <dgm:t>
        <a:bodyPr/>
        <a:lstStyle/>
        <a:p>
          <a:r>
            <a:rPr lang="en-GB" sz="700" b="0"/>
            <a:t>Improved sustainable management of terrestrial, coastal and marine ecosystems </a:t>
          </a:r>
          <a:endParaRPr lang="fr-FR" sz="700" b="0"/>
        </a:p>
      </dgm:t>
    </dgm:pt>
    <dgm:pt modelId="{C0F9E26A-341A-1542-9715-7B64FC47DF43}" type="parTrans" cxnId="{316C3975-B8BD-B243-B8E5-1012639706B5}">
      <dgm:prSet/>
      <dgm:spPr/>
      <dgm:t>
        <a:bodyPr/>
        <a:lstStyle/>
        <a:p>
          <a:endParaRPr lang="fr-FR"/>
        </a:p>
      </dgm:t>
    </dgm:pt>
    <dgm:pt modelId="{379FC57F-58AB-854E-BA2B-67A0014074CB}" type="sibTrans" cxnId="{316C3975-B8BD-B243-B8E5-1012639706B5}">
      <dgm:prSet/>
      <dgm:spPr/>
      <dgm:t>
        <a:bodyPr/>
        <a:lstStyle/>
        <a:p>
          <a:endParaRPr lang="fr-FR" b="0"/>
        </a:p>
      </dgm:t>
    </dgm:pt>
    <dgm:pt modelId="{F9B0B01C-FE50-3540-A6C7-DF47954E0C02}">
      <dgm:prSet phldrT="[Texte]" custT="1"/>
      <dgm:spPr/>
      <dgm:t>
        <a:bodyPr/>
        <a:lstStyle/>
        <a:p>
          <a:r>
            <a:rPr lang="fr-FR" sz="700" b="0"/>
            <a:t>Development of policies, programmes</a:t>
          </a:r>
          <a:r>
            <a:rPr lang="en-GB" sz="700" b="0"/>
            <a:t> and capacities in DRR and CCA/M at all levels</a:t>
          </a:r>
          <a:endParaRPr lang="fr-FR" sz="700" b="0"/>
        </a:p>
      </dgm:t>
    </dgm:pt>
    <dgm:pt modelId="{4497BBFE-ADE5-884B-B201-56E19C4E48A1}" type="parTrans" cxnId="{59DA5A19-3BD9-6C45-A8C9-7620CBF5024D}">
      <dgm:prSet/>
      <dgm:spPr/>
      <dgm:t>
        <a:bodyPr/>
        <a:lstStyle/>
        <a:p>
          <a:endParaRPr lang="fr-FR"/>
        </a:p>
      </dgm:t>
    </dgm:pt>
    <dgm:pt modelId="{8FAEDA2C-C750-9F46-B3BA-BEB7BFF168E9}" type="sibTrans" cxnId="{59DA5A19-3BD9-6C45-A8C9-7620CBF5024D}">
      <dgm:prSet/>
      <dgm:spPr/>
      <dgm:t>
        <a:bodyPr/>
        <a:lstStyle/>
        <a:p>
          <a:endParaRPr lang="fr-FR" b="0"/>
        </a:p>
      </dgm:t>
    </dgm:pt>
    <dgm:pt modelId="{57CD42A6-0765-5540-B0C4-C93ECD5E11A1}">
      <dgm:prSet custT="1"/>
      <dgm:spPr/>
      <dgm:t>
        <a:bodyPr/>
        <a:lstStyle/>
        <a:p>
          <a:r>
            <a:rPr lang="en-GB" sz="700" b="0"/>
            <a:t>Establishment and delivery of safe and climate resilient infrastructure, systems, and human settlements for targeted communities </a:t>
          </a:r>
          <a:endParaRPr lang="fr-FR" sz="700" b="0"/>
        </a:p>
      </dgm:t>
    </dgm:pt>
    <dgm:pt modelId="{678422BA-6CBF-F549-A241-02441253E9A5}" type="parTrans" cxnId="{E4E923FC-D8FD-124D-B515-E3AC495445C5}">
      <dgm:prSet/>
      <dgm:spPr/>
      <dgm:t>
        <a:bodyPr/>
        <a:lstStyle/>
        <a:p>
          <a:endParaRPr lang="fr-FR"/>
        </a:p>
      </dgm:t>
    </dgm:pt>
    <dgm:pt modelId="{FA8B12D7-A3B5-514E-A97E-2443C5D07BC6}" type="sibTrans" cxnId="{E4E923FC-D8FD-124D-B515-E3AC495445C5}">
      <dgm:prSet/>
      <dgm:spPr/>
      <dgm:t>
        <a:bodyPr/>
        <a:lstStyle/>
        <a:p>
          <a:endParaRPr lang="fr-FR" b="0"/>
        </a:p>
      </dgm:t>
    </dgm:pt>
    <dgm:pt modelId="{0890E026-446D-654D-B1AB-D7147E07BA6B}" type="pres">
      <dgm:prSet presAssocID="{DCDC46D5-32A2-5240-A166-F24AF57FDA2B}" presName="Name0" presStyleCnt="0">
        <dgm:presLayoutVars>
          <dgm:chMax val="1"/>
          <dgm:dir/>
          <dgm:animLvl val="ctr"/>
          <dgm:resizeHandles val="exact"/>
        </dgm:presLayoutVars>
      </dgm:prSet>
      <dgm:spPr/>
    </dgm:pt>
    <dgm:pt modelId="{748C1355-68A2-9A4D-8B97-E627E142AC2E}" type="pres">
      <dgm:prSet presAssocID="{0F874CDA-D94A-C749-A900-40554B9F6368}" presName="centerShape" presStyleLbl="node0" presStyleIdx="0" presStyleCnt="1" custScaleX="110684" custScaleY="107038"/>
      <dgm:spPr/>
    </dgm:pt>
    <dgm:pt modelId="{10E90EA4-0A7F-834A-B8A9-95DDAD5A7DD1}" type="pres">
      <dgm:prSet presAssocID="{1C79F19F-0EC4-D340-B702-06C7ADB61CAF}" presName="node" presStyleLbl="node1" presStyleIdx="0" presStyleCnt="3" custScaleX="140637" custScaleY="131121">
        <dgm:presLayoutVars>
          <dgm:bulletEnabled val="1"/>
        </dgm:presLayoutVars>
      </dgm:prSet>
      <dgm:spPr/>
    </dgm:pt>
    <dgm:pt modelId="{33D30D74-03A0-6540-9A2B-F9EAB115603A}" type="pres">
      <dgm:prSet presAssocID="{1C79F19F-0EC4-D340-B702-06C7ADB61CAF}" presName="dummy" presStyleCnt="0"/>
      <dgm:spPr/>
    </dgm:pt>
    <dgm:pt modelId="{07E7D73D-B59B-F64D-B2C9-16F3EFA6478E}" type="pres">
      <dgm:prSet presAssocID="{379FC57F-58AB-854E-BA2B-67A0014074CB}" presName="sibTrans" presStyleLbl="sibTrans2D1" presStyleIdx="0" presStyleCnt="3"/>
      <dgm:spPr/>
    </dgm:pt>
    <dgm:pt modelId="{A5CA522B-D75A-0947-B518-3200E58CDFA5}" type="pres">
      <dgm:prSet presAssocID="{F9B0B01C-FE50-3540-A6C7-DF47954E0C02}" presName="node" presStyleLbl="node1" presStyleIdx="1" presStyleCnt="3" custScaleX="141810" custScaleY="132896" custRadScaleRad="104254" custRadScaleInc="-2338">
        <dgm:presLayoutVars>
          <dgm:bulletEnabled val="1"/>
        </dgm:presLayoutVars>
      </dgm:prSet>
      <dgm:spPr/>
    </dgm:pt>
    <dgm:pt modelId="{7B9D7DA4-6F45-4843-A013-6DFF846A6C68}" type="pres">
      <dgm:prSet presAssocID="{F9B0B01C-FE50-3540-A6C7-DF47954E0C02}" presName="dummy" presStyleCnt="0"/>
      <dgm:spPr/>
    </dgm:pt>
    <dgm:pt modelId="{1A7200B6-1B56-E341-A0D5-41880A8C938D}" type="pres">
      <dgm:prSet presAssocID="{8FAEDA2C-C750-9F46-B3BA-BEB7BFF168E9}" presName="sibTrans" presStyleLbl="sibTrans2D1" presStyleIdx="1" presStyleCnt="3"/>
      <dgm:spPr/>
    </dgm:pt>
    <dgm:pt modelId="{12F6D4F9-8F18-324D-AFEB-5F9A59FACD1C}" type="pres">
      <dgm:prSet presAssocID="{57CD42A6-0765-5540-B0C4-C93ECD5E11A1}" presName="node" presStyleLbl="node1" presStyleIdx="2" presStyleCnt="3" custScaleX="142501" custScaleY="129824">
        <dgm:presLayoutVars>
          <dgm:bulletEnabled val="1"/>
        </dgm:presLayoutVars>
      </dgm:prSet>
      <dgm:spPr/>
    </dgm:pt>
    <dgm:pt modelId="{8D6F9ECF-DD51-A247-A8E4-185659C72112}" type="pres">
      <dgm:prSet presAssocID="{57CD42A6-0765-5540-B0C4-C93ECD5E11A1}" presName="dummy" presStyleCnt="0"/>
      <dgm:spPr/>
    </dgm:pt>
    <dgm:pt modelId="{F9D096B1-FEED-784E-AC99-C29C0C62F89F}" type="pres">
      <dgm:prSet presAssocID="{FA8B12D7-A3B5-514E-A97E-2443C5D07BC6}" presName="sibTrans" presStyleLbl="sibTrans2D1" presStyleIdx="2" presStyleCnt="3"/>
      <dgm:spPr/>
    </dgm:pt>
  </dgm:ptLst>
  <dgm:cxnLst>
    <dgm:cxn modelId="{59DA5A19-3BD9-6C45-A8C9-7620CBF5024D}" srcId="{0F874CDA-D94A-C749-A900-40554B9F6368}" destId="{F9B0B01C-FE50-3540-A6C7-DF47954E0C02}" srcOrd="1" destOrd="0" parTransId="{4497BBFE-ADE5-884B-B201-56E19C4E48A1}" sibTransId="{8FAEDA2C-C750-9F46-B3BA-BEB7BFF168E9}"/>
    <dgm:cxn modelId="{00BEC329-75D2-6E4D-B5A0-1C3B66F145E9}" type="presOf" srcId="{379FC57F-58AB-854E-BA2B-67A0014074CB}" destId="{07E7D73D-B59B-F64D-B2C9-16F3EFA6478E}" srcOrd="0" destOrd="0" presId="urn:microsoft.com/office/officeart/2005/8/layout/radial6"/>
    <dgm:cxn modelId="{6E240C31-4ACE-994C-AE71-BB6F0CBC4001}" type="presOf" srcId="{DCDC46D5-32A2-5240-A166-F24AF57FDA2B}" destId="{0890E026-446D-654D-B1AB-D7147E07BA6B}" srcOrd="0" destOrd="0" presId="urn:microsoft.com/office/officeart/2005/8/layout/radial6"/>
    <dgm:cxn modelId="{61E0FB5E-901A-7E44-9D83-7DAF65E21278}" type="presOf" srcId="{FA8B12D7-A3B5-514E-A97E-2443C5D07BC6}" destId="{F9D096B1-FEED-784E-AC99-C29C0C62F89F}" srcOrd="0" destOrd="0" presId="urn:microsoft.com/office/officeart/2005/8/layout/radial6"/>
    <dgm:cxn modelId="{316C3975-B8BD-B243-B8E5-1012639706B5}" srcId="{0F874CDA-D94A-C749-A900-40554B9F6368}" destId="{1C79F19F-0EC4-D340-B702-06C7ADB61CAF}" srcOrd="0" destOrd="0" parTransId="{C0F9E26A-341A-1542-9715-7B64FC47DF43}" sibTransId="{379FC57F-58AB-854E-BA2B-67A0014074CB}"/>
    <dgm:cxn modelId="{2FF11A7B-F671-4B4E-B2BD-1E2065EA1AE1}" type="presOf" srcId="{0F874CDA-D94A-C749-A900-40554B9F6368}" destId="{748C1355-68A2-9A4D-8B97-E627E142AC2E}" srcOrd="0" destOrd="0" presId="urn:microsoft.com/office/officeart/2005/8/layout/radial6"/>
    <dgm:cxn modelId="{2F6617C5-9745-E74B-AFAF-B1275C5D6200}" type="presOf" srcId="{F9B0B01C-FE50-3540-A6C7-DF47954E0C02}" destId="{A5CA522B-D75A-0947-B518-3200E58CDFA5}" srcOrd="0" destOrd="0" presId="urn:microsoft.com/office/officeart/2005/8/layout/radial6"/>
    <dgm:cxn modelId="{1A19CAC8-98CC-6D49-B01D-CD3393856E6B}" type="presOf" srcId="{57CD42A6-0765-5540-B0C4-C93ECD5E11A1}" destId="{12F6D4F9-8F18-324D-AFEB-5F9A59FACD1C}" srcOrd="0" destOrd="0" presId="urn:microsoft.com/office/officeart/2005/8/layout/radial6"/>
    <dgm:cxn modelId="{C77FF5D7-1A5C-354F-BD82-268AC418AB7F}" type="presOf" srcId="{8FAEDA2C-C750-9F46-B3BA-BEB7BFF168E9}" destId="{1A7200B6-1B56-E341-A0D5-41880A8C938D}" srcOrd="0" destOrd="0" presId="urn:microsoft.com/office/officeart/2005/8/layout/radial6"/>
    <dgm:cxn modelId="{03DFD6E3-EB11-4F47-9B2B-C804348F0F5E}" srcId="{DCDC46D5-32A2-5240-A166-F24AF57FDA2B}" destId="{0F874CDA-D94A-C749-A900-40554B9F6368}" srcOrd="0" destOrd="0" parTransId="{B47E8115-92A1-C043-9CD9-ADC8F90D2FC0}" sibTransId="{A9AAA426-E517-444A-8C9F-DEFB471D121B}"/>
    <dgm:cxn modelId="{114115EB-71BE-8C4A-BAFD-973FD61C3775}" type="presOf" srcId="{1C79F19F-0EC4-D340-B702-06C7ADB61CAF}" destId="{10E90EA4-0A7F-834A-B8A9-95DDAD5A7DD1}" srcOrd="0" destOrd="0" presId="urn:microsoft.com/office/officeart/2005/8/layout/radial6"/>
    <dgm:cxn modelId="{E4E923FC-D8FD-124D-B515-E3AC495445C5}" srcId="{0F874CDA-D94A-C749-A900-40554B9F6368}" destId="{57CD42A6-0765-5540-B0C4-C93ECD5E11A1}" srcOrd="2" destOrd="0" parTransId="{678422BA-6CBF-F549-A241-02441253E9A5}" sibTransId="{FA8B12D7-A3B5-514E-A97E-2443C5D07BC6}"/>
    <dgm:cxn modelId="{16904AC0-7050-FA4C-B915-A139E2AF02D8}" type="presParOf" srcId="{0890E026-446D-654D-B1AB-D7147E07BA6B}" destId="{748C1355-68A2-9A4D-8B97-E627E142AC2E}" srcOrd="0" destOrd="0" presId="urn:microsoft.com/office/officeart/2005/8/layout/radial6"/>
    <dgm:cxn modelId="{E8EDE722-FF39-9046-9549-94EBAB05D152}" type="presParOf" srcId="{0890E026-446D-654D-B1AB-D7147E07BA6B}" destId="{10E90EA4-0A7F-834A-B8A9-95DDAD5A7DD1}" srcOrd="1" destOrd="0" presId="urn:microsoft.com/office/officeart/2005/8/layout/radial6"/>
    <dgm:cxn modelId="{04A91835-4979-7C42-9798-06A2EED24534}" type="presParOf" srcId="{0890E026-446D-654D-B1AB-D7147E07BA6B}" destId="{33D30D74-03A0-6540-9A2B-F9EAB115603A}" srcOrd="2" destOrd="0" presId="urn:microsoft.com/office/officeart/2005/8/layout/radial6"/>
    <dgm:cxn modelId="{00E5C953-2C11-1349-9FCA-F724A5D9B5DD}" type="presParOf" srcId="{0890E026-446D-654D-B1AB-D7147E07BA6B}" destId="{07E7D73D-B59B-F64D-B2C9-16F3EFA6478E}" srcOrd="3" destOrd="0" presId="urn:microsoft.com/office/officeart/2005/8/layout/radial6"/>
    <dgm:cxn modelId="{38B52D6B-F271-624F-B7DC-14DDCD90F8A3}" type="presParOf" srcId="{0890E026-446D-654D-B1AB-D7147E07BA6B}" destId="{A5CA522B-D75A-0947-B518-3200E58CDFA5}" srcOrd="4" destOrd="0" presId="urn:microsoft.com/office/officeart/2005/8/layout/radial6"/>
    <dgm:cxn modelId="{99424990-8A1F-1F43-9E94-FA7F3DE69886}" type="presParOf" srcId="{0890E026-446D-654D-B1AB-D7147E07BA6B}" destId="{7B9D7DA4-6F45-4843-A013-6DFF846A6C68}" srcOrd="5" destOrd="0" presId="urn:microsoft.com/office/officeart/2005/8/layout/radial6"/>
    <dgm:cxn modelId="{B0991F20-8A85-C94B-B56B-DD3612C94DC6}" type="presParOf" srcId="{0890E026-446D-654D-B1AB-D7147E07BA6B}" destId="{1A7200B6-1B56-E341-A0D5-41880A8C938D}" srcOrd="6" destOrd="0" presId="urn:microsoft.com/office/officeart/2005/8/layout/radial6"/>
    <dgm:cxn modelId="{776A2BF1-9CBE-EE45-A4CB-4DC5C7DD42EA}" type="presParOf" srcId="{0890E026-446D-654D-B1AB-D7147E07BA6B}" destId="{12F6D4F9-8F18-324D-AFEB-5F9A59FACD1C}" srcOrd="7" destOrd="0" presId="urn:microsoft.com/office/officeart/2005/8/layout/radial6"/>
    <dgm:cxn modelId="{3BBFBBA8-8BAF-0940-B7AE-4C2269236585}" type="presParOf" srcId="{0890E026-446D-654D-B1AB-D7147E07BA6B}" destId="{8D6F9ECF-DD51-A247-A8E4-185659C72112}" srcOrd="8" destOrd="0" presId="urn:microsoft.com/office/officeart/2005/8/layout/radial6"/>
    <dgm:cxn modelId="{057AF18E-41D6-5E4C-AD0E-3F0B2B75F71A}" type="presParOf" srcId="{0890E026-446D-654D-B1AB-D7147E07BA6B}" destId="{F9D096B1-FEED-784E-AC99-C29C0C62F89F}" srcOrd="9" destOrd="0" presId="urn:microsoft.com/office/officeart/2005/8/layout/radial6"/>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4361C-0836-1243-B7AD-9122D686B7DB}">
      <dsp:nvSpPr>
        <dsp:cNvPr id="0" name=""/>
        <dsp:cNvSpPr/>
      </dsp:nvSpPr>
      <dsp:spPr>
        <a:xfrm>
          <a:off x="1077982" y="359523"/>
          <a:ext cx="2336025" cy="2336025"/>
        </a:xfrm>
        <a:prstGeom prst="blockArc">
          <a:avLst>
            <a:gd name="adj1" fmla="val 11880000"/>
            <a:gd name="adj2" fmla="val 162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727D5B-A472-494B-845C-4D76945E525A}">
      <dsp:nvSpPr>
        <dsp:cNvPr id="0" name=""/>
        <dsp:cNvSpPr/>
      </dsp:nvSpPr>
      <dsp:spPr>
        <a:xfrm>
          <a:off x="1077982" y="359523"/>
          <a:ext cx="2336025" cy="2336025"/>
        </a:xfrm>
        <a:prstGeom prst="blockArc">
          <a:avLst>
            <a:gd name="adj1" fmla="val 7560000"/>
            <a:gd name="adj2" fmla="val 1188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542ACF-0E0F-484F-BCA3-862A2924A1D5}">
      <dsp:nvSpPr>
        <dsp:cNvPr id="0" name=""/>
        <dsp:cNvSpPr/>
      </dsp:nvSpPr>
      <dsp:spPr>
        <a:xfrm>
          <a:off x="1077982" y="359523"/>
          <a:ext cx="2336025" cy="2336025"/>
        </a:xfrm>
        <a:prstGeom prst="blockArc">
          <a:avLst>
            <a:gd name="adj1" fmla="val 3240000"/>
            <a:gd name="adj2" fmla="val 756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0D796F-CB05-6843-B439-8E71F82A335A}">
      <dsp:nvSpPr>
        <dsp:cNvPr id="0" name=""/>
        <dsp:cNvSpPr/>
      </dsp:nvSpPr>
      <dsp:spPr>
        <a:xfrm>
          <a:off x="1077982" y="359523"/>
          <a:ext cx="2336025" cy="2336025"/>
        </a:xfrm>
        <a:prstGeom prst="blockArc">
          <a:avLst>
            <a:gd name="adj1" fmla="val 20520000"/>
            <a:gd name="adj2" fmla="val 324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0044AD4-BBEF-6F4C-971F-8F248056CE3D}">
      <dsp:nvSpPr>
        <dsp:cNvPr id="0" name=""/>
        <dsp:cNvSpPr/>
      </dsp:nvSpPr>
      <dsp:spPr>
        <a:xfrm>
          <a:off x="1248792" y="389658"/>
          <a:ext cx="2336025" cy="2336025"/>
        </a:xfrm>
        <a:prstGeom prst="blockArc">
          <a:avLst>
            <a:gd name="adj1" fmla="val 16200000"/>
            <a:gd name="adj2" fmla="val 2052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EE3AE4-4E30-E249-8E4D-56FF82666A8E}">
      <dsp:nvSpPr>
        <dsp:cNvPr id="0" name=""/>
        <dsp:cNvSpPr/>
      </dsp:nvSpPr>
      <dsp:spPr>
        <a:xfrm>
          <a:off x="1646940" y="957895"/>
          <a:ext cx="1198109" cy="11392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fr-FR" sz="1050" kern="1200"/>
            <a:t>Nutrition, food security  and sustainable agriculture</a:t>
          </a:r>
        </a:p>
      </dsp:txBody>
      <dsp:txXfrm>
        <a:off x="1822399" y="1124739"/>
        <a:ext cx="847191" cy="805594"/>
      </dsp:txXfrm>
    </dsp:sp>
    <dsp:sp modelId="{BF067554-DF81-8449-93F6-FF0D6EA98888}">
      <dsp:nvSpPr>
        <dsp:cNvPr id="0" name=""/>
        <dsp:cNvSpPr/>
      </dsp:nvSpPr>
      <dsp:spPr>
        <a:xfrm>
          <a:off x="1766812" y="-72048"/>
          <a:ext cx="958365" cy="9173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fr-FR" sz="700" kern="1200"/>
            <a:t>Increased access to nutrition services </a:t>
          </a:r>
        </a:p>
      </dsp:txBody>
      <dsp:txXfrm>
        <a:off x="1907161" y="62297"/>
        <a:ext cx="677667" cy="648676"/>
      </dsp:txXfrm>
    </dsp:sp>
    <dsp:sp modelId="{6160376F-8DBD-3649-8A2A-1DBFE8F3CF6E}">
      <dsp:nvSpPr>
        <dsp:cNvPr id="0" name=""/>
        <dsp:cNvSpPr/>
      </dsp:nvSpPr>
      <dsp:spPr>
        <a:xfrm>
          <a:off x="2851874" y="716294"/>
          <a:ext cx="958365" cy="9173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Productive climate smart/resilient agricutlure, livestock, forestry and fisheries </a:t>
          </a:r>
          <a:endParaRPr lang="fr-FR" sz="700" kern="1200"/>
        </a:p>
      </dsp:txBody>
      <dsp:txXfrm>
        <a:off x="2992223" y="850639"/>
        <a:ext cx="677667" cy="648676"/>
      </dsp:txXfrm>
    </dsp:sp>
    <dsp:sp modelId="{72491C01-2014-3343-A6FB-92A1DFA2652A}">
      <dsp:nvSpPr>
        <dsp:cNvPr id="0" name=""/>
        <dsp:cNvSpPr/>
      </dsp:nvSpPr>
      <dsp:spPr>
        <a:xfrm>
          <a:off x="2437417" y="1991861"/>
          <a:ext cx="958365" cy="9173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Value-added to smallholder crop, livestock, forestry and fisheries’ production</a:t>
          </a:r>
          <a:endParaRPr lang="fr-FR" sz="700" kern="1200"/>
        </a:p>
      </dsp:txBody>
      <dsp:txXfrm>
        <a:off x="2577766" y="2126206"/>
        <a:ext cx="677667" cy="648676"/>
      </dsp:txXfrm>
    </dsp:sp>
    <dsp:sp modelId="{629D8CEA-089F-054C-8E78-99A2A4EA1904}">
      <dsp:nvSpPr>
        <dsp:cNvPr id="0" name=""/>
        <dsp:cNvSpPr/>
      </dsp:nvSpPr>
      <dsp:spPr>
        <a:xfrm>
          <a:off x="1096207" y="1991861"/>
          <a:ext cx="958365" cy="9173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fr-FR" sz="700" kern="1200"/>
            <a:t>Increased access to safely managed drinking water, and basic sanitation and hygiene</a:t>
          </a:r>
        </a:p>
      </dsp:txBody>
      <dsp:txXfrm>
        <a:off x="1236556" y="2126206"/>
        <a:ext cx="677667" cy="648676"/>
      </dsp:txXfrm>
    </dsp:sp>
    <dsp:sp modelId="{E98694EE-FE93-EB42-B925-256BFF13AB3C}">
      <dsp:nvSpPr>
        <dsp:cNvPr id="0" name=""/>
        <dsp:cNvSpPr/>
      </dsp:nvSpPr>
      <dsp:spPr>
        <a:xfrm>
          <a:off x="681750" y="716294"/>
          <a:ext cx="958365" cy="9173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fr-FR" sz="700" kern="1200"/>
            <a:t>Cross-sectoral policy coherence and partnership between health, agriculture, social protection and trade sectors</a:t>
          </a:r>
        </a:p>
      </dsp:txBody>
      <dsp:txXfrm>
        <a:off x="822099" y="850639"/>
        <a:ext cx="677667" cy="6486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DDF417-EAFA-D149-A30B-7C0298B09A74}">
      <dsp:nvSpPr>
        <dsp:cNvPr id="0" name=""/>
        <dsp:cNvSpPr/>
      </dsp:nvSpPr>
      <dsp:spPr>
        <a:xfrm>
          <a:off x="1075961" y="454788"/>
          <a:ext cx="2564455" cy="2564455"/>
        </a:xfrm>
        <a:prstGeom prst="blockArc">
          <a:avLst>
            <a:gd name="adj1" fmla="val 9000000"/>
            <a:gd name="adj2" fmla="val 162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75C3E2-1E57-3344-B861-402DE86FCAB7}">
      <dsp:nvSpPr>
        <dsp:cNvPr id="0" name=""/>
        <dsp:cNvSpPr/>
      </dsp:nvSpPr>
      <dsp:spPr>
        <a:xfrm>
          <a:off x="1075961" y="454788"/>
          <a:ext cx="2564455" cy="2564455"/>
        </a:xfrm>
        <a:prstGeom prst="blockArc">
          <a:avLst>
            <a:gd name="adj1" fmla="val 1800000"/>
            <a:gd name="adj2" fmla="val 90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02981A-3C53-064D-AFAF-1F4588BA2130}">
      <dsp:nvSpPr>
        <dsp:cNvPr id="0" name=""/>
        <dsp:cNvSpPr/>
      </dsp:nvSpPr>
      <dsp:spPr>
        <a:xfrm>
          <a:off x="1075961" y="454788"/>
          <a:ext cx="2564455" cy="2564455"/>
        </a:xfrm>
        <a:prstGeom prst="blockArc">
          <a:avLst>
            <a:gd name="adj1" fmla="val 16200000"/>
            <a:gd name="adj2" fmla="val 18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5ED66A-7579-0845-AEE5-4CBEEBB71062}">
      <dsp:nvSpPr>
        <dsp:cNvPr id="0" name=""/>
        <dsp:cNvSpPr/>
      </dsp:nvSpPr>
      <dsp:spPr>
        <a:xfrm>
          <a:off x="1742019" y="1135838"/>
          <a:ext cx="1232339" cy="12023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t>Sustainable Economic Opportunities and Decent work for all</a:t>
          </a:r>
          <a:endParaRPr lang="fr-FR" sz="1000" b="1" kern="1200"/>
        </a:p>
      </dsp:txBody>
      <dsp:txXfrm>
        <a:off x="1922491" y="1311919"/>
        <a:ext cx="871395" cy="850193"/>
      </dsp:txXfrm>
    </dsp:sp>
    <dsp:sp modelId="{9302E863-AF0C-EA4C-995C-6E2C102EF9B5}">
      <dsp:nvSpPr>
        <dsp:cNvPr id="0" name=""/>
        <dsp:cNvSpPr/>
      </dsp:nvSpPr>
      <dsp:spPr>
        <a:xfrm>
          <a:off x="1773453" y="-67493"/>
          <a:ext cx="1169471" cy="11041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Institutional regulatory and policy frameworks for business environment and strengthened labour rights</a:t>
          </a:r>
          <a:endParaRPr lang="fr-FR" sz="900" kern="1200"/>
        </a:p>
      </dsp:txBody>
      <dsp:txXfrm>
        <a:off x="1944718" y="94200"/>
        <a:ext cx="826941" cy="780721"/>
      </dsp:txXfrm>
    </dsp:sp>
    <dsp:sp modelId="{BC514212-5018-7C4E-BF6D-C41E60A51BD1}">
      <dsp:nvSpPr>
        <dsp:cNvPr id="0" name=""/>
        <dsp:cNvSpPr/>
      </dsp:nvSpPr>
      <dsp:spPr>
        <a:xfrm>
          <a:off x="2840328" y="1775593"/>
          <a:ext cx="1205039" cy="11753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Conditions and incentives for diversified and sustainable entrepreneurship and private sector growth</a:t>
          </a:r>
          <a:endParaRPr lang="fr-FR" sz="900" kern="1200"/>
        </a:p>
      </dsp:txBody>
      <dsp:txXfrm>
        <a:off x="3016802" y="1947712"/>
        <a:ext cx="852091" cy="831063"/>
      </dsp:txXfrm>
    </dsp:sp>
    <dsp:sp modelId="{52CB8166-9C89-3C44-B202-3E85B151C5DF}">
      <dsp:nvSpPr>
        <dsp:cNvPr id="0" name=""/>
        <dsp:cNvSpPr/>
      </dsp:nvSpPr>
      <dsp:spPr>
        <a:xfrm>
          <a:off x="671010" y="1775593"/>
          <a:ext cx="1205039" cy="117530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Life-long learning, competencies and skills development</a:t>
          </a:r>
          <a:endParaRPr lang="fr-FR" sz="900" kern="1200"/>
        </a:p>
      </dsp:txBody>
      <dsp:txXfrm>
        <a:off x="847484" y="1947712"/>
        <a:ext cx="852091" cy="8310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914AE1-E5D2-164D-929D-06556D939A96}">
      <dsp:nvSpPr>
        <dsp:cNvPr id="0" name=""/>
        <dsp:cNvSpPr/>
      </dsp:nvSpPr>
      <dsp:spPr>
        <a:xfrm>
          <a:off x="1075961" y="426342"/>
          <a:ext cx="2564455" cy="2564455"/>
        </a:xfrm>
        <a:prstGeom prst="blockArc">
          <a:avLst>
            <a:gd name="adj1" fmla="val 9000000"/>
            <a:gd name="adj2" fmla="val 162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C7F656-ACFE-7A49-9D94-AC02FEF2161A}">
      <dsp:nvSpPr>
        <dsp:cNvPr id="0" name=""/>
        <dsp:cNvSpPr/>
      </dsp:nvSpPr>
      <dsp:spPr>
        <a:xfrm>
          <a:off x="1075961" y="426342"/>
          <a:ext cx="2564455" cy="2564455"/>
        </a:xfrm>
        <a:prstGeom prst="blockArc">
          <a:avLst>
            <a:gd name="adj1" fmla="val 1800000"/>
            <a:gd name="adj2" fmla="val 90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828187-2500-4E43-8358-A2E69EFA92AF}">
      <dsp:nvSpPr>
        <dsp:cNvPr id="0" name=""/>
        <dsp:cNvSpPr/>
      </dsp:nvSpPr>
      <dsp:spPr>
        <a:xfrm>
          <a:off x="1075961" y="426342"/>
          <a:ext cx="2564455" cy="2564455"/>
        </a:xfrm>
        <a:prstGeom prst="blockArc">
          <a:avLst>
            <a:gd name="adj1" fmla="val 16200000"/>
            <a:gd name="adj2" fmla="val 18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5ED66A-7579-0845-AEE5-4CBEEBB71062}">
      <dsp:nvSpPr>
        <dsp:cNvPr id="0" name=""/>
        <dsp:cNvSpPr/>
      </dsp:nvSpPr>
      <dsp:spPr>
        <a:xfrm>
          <a:off x="1742019" y="1107392"/>
          <a:ext cx="1232339" cy="12023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t>Access to quality education and life-long learning outcomes and skills</a:t>
          </a:r>
          <a:endParaRPr lang="fr-FR" sz="1000" b="1" kern="1200"/>
        </a:p>
      </dsp:txBody>
      <dsp:txXfrm>
        <a:off x="1922491" y="1283473"/>
        <a:ext cx="871395" cy="850193"/>
      </dsp:txXfrm>
    </dsp:sp>
    <dsp:sp modelId="{2095BFD1-DFEC-F64A-A7B8-54B025CBFDFC}">
      <dsp:nvSpPr>
        <dsp:cNvPr id="0" name=""/>
        <dsp:cNvSpPr/>
      </dsp:nvSpPr>
      <dsp:spPr>
        <a:xfrm>
          <a:off x="1858483" y="-39047"/>
          <a:ext cx="999411" cy="9903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i="0" kern="1200"/>
            <a:t>Access to and completion of quality basic and secondary education </a:t>
          </a:r>
          <a:endParaRPr lang="en-GB" sz="800" b="0" i="0" kern="1200"/>
        </a:p>
      </dsp:txBody>
      <dsp:txXfrm>
        <a:off x="2004843" y="105982"/>
        <a:ext cx="706691" cy="700265"/>
      </dsp:txXfrm>
    </dsp:sp>
    <dsp:sp modelId="{CB4A85F2-5534-4D42-BD94-415FC4B3AB89}">
      <dsp:nvSpPr>
        <dsp:cNvPr id="0" name=""/>
        <dsp:cNvSpPr/>
      </dsp:nvSpPr>
      <dsp:spPr>
        <a:xfrm>
          <a:off x="2943143" y="1839637"/>
          <a:ext cx="999411" cy="9903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1" i="0" kern="1200"/>
            <a:t>Alternative pathways and life-long learning</a:t>
          </a:r>
          <a:endParaRPr lang="fr-FR" sz="800" kern="1200"/>
        </a:p>
      </dsp:txBody>
      <dsp:txXfrm>
        <a:off x="3089503" y="1984666"/>
        <a:ext cx="706691" cy="700265"/>
      </dsp:txXfrm>
    </dsp:sp>
    <dsp:sp modelId="{FF96323A-8DB9-A142-9443-BDC009F19772}">
      <dsp:nvSpPr>
        <dsp:cNvPr id="0" name=""/>
        <dsp:cNvSpPr/>
      </dsp:nvSpPr>
      <dsp:spPr>
        <a:xfrm>
          <a:off x="773824" y="1839637"/>
          <a:ext cx="999411" cy="9903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i="0" kern="1200"/>
            <a:t>Increased access to ECD and ECE</a:t>
          </a:r>
          <a:endParaRPr lang="fr-FR" sz="800" kern="1200"/>
        </a:p>
      </dsp:txBody>
      <dsp:txXfrm>
        <a:off x="920184" y="1984666"/>
        <a:ext cx="706691" cy="70026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B954CD-C39C-1B45-ABF3-98931FCBCB00}">
      <dsp:nvSpPr>
        <dsp:cNvPr id="0" name=""/>
        <dsp:cNvSpPr/>
      </dsp:nvSpPr>
      <dsp:spPr>
        <a:xfrm>
          <a:off x="1173312" y="358717"/>
          <a:ext cx="2398335" cy="2398335"/>
        </a:xfrm>
        <a:prstGeom prst="blockArc">
          <a:avLst>
            <a:gd name="adj1" fmla="val 10799744"/>
            <a:gd name="adj2" fmla="val 16158058"/>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38433B-4F92-A343-A1E8-949F6529EF14}">
      <dsp:nvSpPr>
        <dsp:cNvPr id="0" name=""/>
        <dsp:cNvSpPr/>
      </dsp:nvSpPr>
      <dsp:spPr>
        <a:xfrm>
          <a:off x="1173312" y="358892"/>
          <a:ext cx="2398335" cy="2398335"/>
        </a:xfrm>
        <a:prstGeom prst="blockArc">
          <a:avLst>
            <a:gd name="adj1" fmla="val 5441942"/>
            <a:gd name="adj2" fmla="val 10800256"/>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0A9909-FCEE-4A41-8408-5693FAF4CAF8}">
      <dsp:nvSpPr>
        <dsp:cNvPr id="0" name=""/>
        <dsp:cNvSpPr/>
      </dsp:nvSpPr>
      <dsp:spPr>
        <a:xfrm>
          <a:off x="1159021" y="358804"/>
          <a:ext cx="2398335" cy="2398335"/>
        </a:xfrm>
        <a:prstGeom prst="blockArc">
          <a:avLst>
            <a:gd name="adj1" fmla="val 0"/>
            <a:gd name="adj2" fmla="val 540000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53108E-C42A-D448-8462-BBE0EC20AB15}">
      <dsp:nvSpPr>
        <dsp:cNvPr id="0" name=""/>
        <dsp:cNvSpPr/>
      </dsp:nvSpPr>
      <dsp:spPr>
        <a:xfrm>
          <a:off x="1159021" y="358804"/>
          <a:ext cx="2398335" cy="2398335"/>
        </a:xfrm>
        <a:prstGeom prst="blockArc">
          <a:avLst>
            <a:gd name="adj1" fmla="val 16200000"/>
            <a:gd name="adj2" fmla="val 0"/>
            <a:gd name="adj3"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5ED66A-7579-0845-AEE5-4CBEEBB71062}">
      <dsp:nvSpPr>
        <dsp:cNvPr id="0" name=""/>
        <dsp:cNvSpPr/>
      </dsp:nvSpPr>
      <dsp:spPr>
        <a:xfrm>
          <a:off x="1782857" y="996638"/>
          <a:ext cx="1150664" cy="11226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Quality health-care and well-being</a:t>
          </a:r>
          <a:endParaRPr lang="fr-FR" sz="1000" b="1" kern="1200"/>
        </a:p>
      </dsp:txBody>
      <dsp:txXfrm>
        <a:off x="1951368" y="1161049"/>
        <a:ext cx="813642" cy="793845"/>
      </dsp:txXfrm>
    </dsp:sp>
    <dsp:sp modelId="{BEDB39FA-9EF6-8847-A4B9-F2FC81D024A1}">
      <dsp:nvSpPr>
        <dsp:cNvPr id="0" name=""/>
        <dsp:cNvSpPr/>
      </dsp:nvSpPr>
      <dsp:spPr>
        <a:xfrm>
          <a:off x="1899594" y="-34151"/>
          <a:ext cx="917189" cy="8415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i="0" kern="1200"/>
            <a:t>Increased accessibility  and quality of Primary Health Care services</a:t>
          </a:r>
          <a:endParaRPr lang="fr-FR" sz="900" kern="1200"/>
        </a:p>
      </dsp:txBody>
      <dsp:txXfrm>
        <a:off x="2033913" y="89085"/>
        <a:ext cx="648551" cy="595037"/>
      </dsp:txXfrm>
    </dsp:sp>
    <dsp:sp modelId="{A9655E33-C69A-437A-9616-99B0F9174FAB}">
      <dsp:nvSpPr>
        <dsp:cNvPr id="0" name=""/>
        <dsp:cNvSpPr/>
      </dsp:nvSpPr>
      <dsp:spPr>
        <a:xfrm>
          <a:off x="3070963" y="1137217"/>
          <a:ext cx="917189" cy="8415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i="0" kern="1200"/>
            <a:t>Evidence-based decision-making and digital systems</a:t>
          </a:r>
          <a:endParaRPr lang="fr-FR" sz="900" kern="1200"/>
        </a:p>
      </dsp:txBody>
      <dsp:txXfrm>
        <a:off x="3205282" y="1260453"/>
        <a:ext cx="648551" cy="595037"/>
      </dsp:txXfrm>
    </dsp:sp>
    <dsp:sp modelId="{1915366F-1FCA-9547-93BB-821B5A9B81B0}">
      <dsp:nvSpPr>
        <dsp:cNvPr id="0" name=""/>
        <dsp:cNvSpPr/>
      </dsp:nvSpPr>
      <dsp:spPr>
        <a:xfrm>
          <a:off x="1899594" y="2308587"/>
          <a:ext cx="917189" cy="8415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i="0" kern="1200"/>
            <a:t>Health financing and budgeting</a:t>
          </a:r>
          <a:endParaRPr lang="fr-FR" sz="900" kern="1200"/>
        </a:p>
      </dsp:txBody>
      <dsp:txXfrm>
        <a:off x="2033913" y="2431823"/>
        <a:ext cx="648551" cy="595037"/>
      </dsp:txXfrm>
    </dsp:sp>
    <dsp:sp modelId="{49B1FD9B-91A8-054F-B8F0-F3130B9102BF}">
      <dsp:nvSpPr>
        <dsp:cNvPr id="0" name=""/>
        <dsp:cNvSpPr/>
      </dsp:nvSpPr>
      <dsp:spPr>
        <a:xfrm>
          <a:off x="742515" y="1137217"/>
          <a:ext cx="917189" cy="8415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i="0" kern="1200"/>
            <a:t>Increased social accounta-bility for behaviour change</a:t>
          </a:r>
          <a:endParaRPr lang="fr-FR" sz="900" kern="1200"/>
        </a:p>
      </dsp:txBody>
      <dsp:txXfrm>
        <a:off x="876834" y="1260453"/>
        <a:ext cx="648551" cy="59503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BE6C37-0E46-554F-A057-8A341421DB76}">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B7FA21-2715-D548-A09D-BC1CCF361EA0}">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7200B6-1B56-E341-A0D5-41880A8C938D}">
      <dsp:nvSpPr>
        <dsp:cNvPr id="0" name=""/>
        <dsp:cNvSpPr/>
      </dsp:nvSpPr>
      <dsp:spPr>
        <a:xfrm>
          <a:off x="1511940" y="368940"/>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E7D73D-B59B-F64D-B2C9-16F3EFA6478E}">
      <dsp:nvSpPr>
        <dsp:cNvPr id="0" name=""/>
        <dsp:cNvSpPr/>
      </dsp:nvSpPr>
      <dsp:spPr>
        <a:xfrm>
          <a:off x="1511940" y="368940"/>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8C1355-68A2-9A4D-8B97-E627E142AC2E}">
      <dsp:nvSpPr>
        <dsp:cNvPr id="0" name=""/>
        <dsp:cNvSpPr/>
      </dsp:nvSpPr>
      <dsp:spPr>
        <a:xfrm>
          <a:off x="2176611" y="1033611"/>
          <a:ext cx="1133177" cy="11331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b="1" i="0" kern="1200"/>
            <a:t>Accountable, Inclusive and Participatory Governance and Quality Public Services</a:t>
          </a:r>
          <a:endParaRPr lang="fr-FR" sz="900" kern="1200"/>
        </a:p>
      </dsp:txBody>
      <dsp:txXfrm>
        <a:off x="2342561" y="1199561"/>
        <a:ext cx="801277" cy="801277"/>
      </dsp:txXfrm>
    </dsp:sp>
    <dsp:sp modelId="{10E90EA4-0A7F-834A-B8A9-95DDAD5A7DD1}">
      <dsp:nvSpPr>
        <dsp:cNvPr id="0" name=""/>
        <dsp:cNvSpPr/>
      </dsp:nvSpPr>
      <dsp:spPr>
        <a:xfrm>
          <a:off x="2306077" y="-38367"/>
          <a:ext cx="874244" cy="8717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0" kern="1200"/>
            <a:t>Representa-tion and participation of citizens at all levels </a:t>
          </a:r>
          <a:endParaRPr lang="fr-FR" sz="800" b="0" kern="1200"/>
        </a:p>
      </dsp:txBody>
      <dsp:txXfrm>
        <a:off x="2434107" y="89295"/>
        <a:ext cx="618184" cy="616405"/>
      </dsp:txXfrm>
    </dsp:sp>
    <dsp:sp modelId="{A5CA522B-D75A-0947-B518-3200E58CDFA5}">
      <dsp:nvSpPr>
        <dsp:cNvPr id="0" name=""/>
        <dsp:cNvSpPr/>
      </dsp:nvSpPr>
      <dsp:spPr>
        <a:xfrm>
          <a:off x="3508781" y="1164335"/>
          <a:ext cx="874244" cy="8717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0" i="0" kern="1200"/>
            <a:t>Increased access to justice and security</a:t>
          </a:r>
          <a:endParaRPr lang="fr-FR" sz="800" b="0" kern="1200"/>
        </a:p>
      </dsp:txBody>
      <dsp:txXfrm>
        <a:off x="3636811" y="1291997"/>
        <a:ext cx="618184" cy="616405"/>
      </dsp:txXfrm>
    </dsp:sp>
    <dsp:sp modelId="{CA74A39E-FFFE-294E-BE40-B92795198219}">
      <dsp:nvSpPr>
        <dsp:cNvPr id="0" name=""/>
        <dsp:cNvSpPr/>
      </dsp:nvSpPr>
      <dsp:spPr>
        <a:xfrm>
          <a:off x="2306077" y="2367038"/>
          <a:ext cx="874244" cy="8717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b="0" kern="1200"/>
            <a:t>Effective public administra-tion</a:t>
          </a:r>
          <a:endParaRPr lang="fr-FR" sz="800" b="0" kern="1200"/>
        </a:p>
      </dsp:txBody>
      <dsp:txXfrm>
        <a:off x="2434107" y="2494700"/>
        <a:ext cx="618184" cy="616405"/>
      </dsp:txXfrm>
    </dsp:sp>
    <dsp:sp modelId="{500F1DEF-8F76-6746-A3E9-809E100473CD}">
      <dsp:nvSpPr>
        <dsp:cNvPr id="0" name=""/>
        <dsp:cNvSpPr/>
      </dsp:nvSpPr>
      <dsp:spPr>
        <a:xfrm>
          <a:off x="1103374" y="1164335"/>
          <a:ext cx="874244" cy="8717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t>Prevention and response to violence against women and children</a:t>
          </a:r>
        </a:p>
      </dsp:txBody>
      <dsp:txXfrm>
        <a:off x="1231404" y="1291997"/>
        <a:ext cx="618184" cy="61640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D096B1-FEED-784E-AC99-C29C0C62F89F}">
      <dsp:nvSpPr>
        <dsp:cNvPr id="0" name=""/>
        <dsp:cNvSpPr/>
      </dsp:nvSpPr>
      <dsp:spPr>
        <a:xfrm>
          <a:off x="1454275" y="438874"/>
          <a:ext cx="2510305" cy="2510305"/>
        </a:xfrm>
        <a:prstGeom prst="blockArc">
          <a:avLst>
            <a:gd name="adj1" fmla="val 9000000"/>
            <a:gd name="adj2" fmla="val 162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7200B6-1B56-E341-A0D5-41880A8C938D}">
      <dsp:nvSpPr>
        <dsp:cNvPr id="0" name=""/>
        <dsp:cNvSpPr/>
      </dsp:nvSpPr>
      <dsp:spPr>
        <a:xfrm>
          <a:off x="1484046" y="493604"/>
          <a:ext cx="2510305" cy="2510305"/>
        </a:xfrm>
        <a:prstGeom prst="blockArc">
          <a:avLst>
            <a:gd name="adj1" fmla="val 1650292"/>
            <a:gd name="adj2" fmla="val 9174716"/>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E7D73D-B59B-F64D-B2C9-16F3EFA6478E}">
      <dsp:nvSpPr>
        <dsp:cNvPr id="0" name=""/>
        <dsp:cNvSpPr/>
      </dsp:nvSpPr>
      <dsp:spPr>
        <a:xfrm>
          <a:off x="1515234" y="437357"/>
          <a:ext cx="2510305" cy="2510305"/>
        </a:xfrm>
        <a:prstGeom prst="blockArc">
          <a:avLst>
            <a:gd name="adj1" fmla="val 16029003"/>
            <a:gd name="adj2" fmla="val 183065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8C1355-68A2-9A4D-8B97-E627E142AC2E}">
      <dsp:nvSpPr>
        <dsp:cNvPr id="0" name=""/>
        <dsp:cNvSpPr/>
      </dsp:nvSpPr>
      <dsp:spPr>
        <a:xfrm>
          <a:off x="2069855" y="1075521"/>
          <a:ext cx="1279145" cy="123700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FR" sz="1000" b="1" kern="1200"/>
            <a:t>Sustainable Management of Natural Resources and resilience to Climate Change</a:t>
          </a:r>
        </a:p>
      </dsp:txBody>
      <dsp:txXfrm>
        <a:off x="2257181" y="1256677"/>
        <a:ext cx="904493" cy="874697"/>
      </dsp:txXfrm>
    </dsp:sp>
    <dsp:sp modelId="{10E90EA4-0A7F-834A-B8A9-95DDAD5A7DD1}">
      <dsp:nvSpPr>
        <dsp:cNvPr id="0" name=""/>
        <dsp:cNvSpPr/>
      </dsp:nvSpPr>
      <dsp:spPr>
        <a:xfrm>
          <a:off x="2140571" y="-62368"/>
          <a:ext cx="1137713" cy="106073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0" kern="1200"/>
            <a:t>Improved sustainable management of terrestrial, coastal and marine ecosystems </a:t>
          </a:r>
          <a:endParaRPr lang="fr-FR" sz="700" b="0" kern="1200"/>
        </a:p>
      </dsp:txBody>
      <dsp:txXfrm>
        <a:off x="2307185" y="92972"/>
        <a:ext cx="804485" cy="750051"/>
      </dsp:txXfrm>
    </dsp:sp>
    <dsp:sp modelId="{A5CA522B-D75A-0947-B518-3200E58CDFA5}">
      <dsp:nvSpPr>
        <dsp:cNvPr id="0" name=""/>
        <dsp:cNvSpPr/>
      </dsp:nvSpPr>
      <dsp:spPr>
        <a:xfrm>
          <a:off x="3253051" y="1777421"/>
          <a:ext cx="1147202" cy="10750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fr-FR" sz="700" b="0" kern="1200"/>
            <a:t>Development of policies, programmes</a:t>
          </a:r>
          <a:r>
            <a:rPr lang="en-GB" sz="700" b="0" kern="1200"/>
            <a:t> and capacities in DRR and CCA/M at all levels</a:t>
          </a:r>
          <a:endParaRPr lang="fr-FR" sz="700" b="0" kern="1200"/>
        </a:p>
      </dsp:txBody>
      <dsp:txXfrm>
        <a:off x="3421055" y="1934864"/>
        <a:ext cx="811194" cy="760204"/>
      </dsp:txXfrm>
    </dsp:sp>
    <dsp:sp modelId="{12F6D4F9-8F18-324D-AFEB-5F9A59FACD1C}">
      <dsp:nvSpPr>
        <dsp:cNvPr id="0" name=""/>
        <dsp:cNvSpPr/>
      </dsp:nvSpPr>
      <dsp:spPr>
        <a:xfrm>
          <a:off x="1071259" y="1781922"/>
          <a:ext cx="1152792" cy="105023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0" kern="1200"/>
            <a:t>Establishment and delivery of safe and climate resilient infrastructure, systems, and human settlements for targeted communities </a:t>
          </a:r>
          <a:endParaRPr lang="fr-FR" sz="700" b="0" kern="1200"/>
        </a:p>
      </dsp:txBody>
      <dsp:txXfrm>
        <a:off x="1240081" y="1935726"/>
        <a:ext cx="815148" cy="7426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1B14-98C9-4AFD-A14A-45B8EBCFA0E8}">
  <ds:schemaRefs>
    <ds:schemaRef ds:uri="http://schemas.microsoft.com/sharepoint/v3/contenttype/forms"/>
  </ds:schemaRefs>
</ds:datastoreItem>
</file>

<file path=customXml/itemProps2.xml><?xml version="1.0" encoding="utf-8"?>
<ds:datastoreItem xmlns:ds="http://schemas.openxmlformats.org/officeDocument/2006/customXml" ds:itemID="{95A9949F-9E8A-43DE-9616-E1965507D60E}">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3856b32-dbbd-4996-9e5d-776de7c2e4f8"/>
    <ds:schemaRef ds:uri="http://purl.org/dc/elements/1.1/"/>
    <ds:schemaRef ds:uri="http://schemas.microsoft.com/office/2006/metadata/properties"/>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29016944-1461-4AA5-9758-9E2421DD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71999-3CD1-43AF-BA76-222DC28B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33914</Words>
  <Characters>193313</Characters>
  <Application>Microsoft Office Word</Application>
  <DocSecurity>4</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Svetlana Iazykova</cp:lastModifiedBy>
  <cp:revision>2</cp:revision>
  <cp:lastPrinted>2020-03-12T08:59:00Z</cp:lastPrinted>
  <dcterms:created xsi:type="dcterms:W3CDTF">2020-05-19T17:44:00Z</dcterms:created>
  <dcterms:modified xsi:type="dcterms:W3CDTF">2020-05-19T17:44:00Z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1ee46d43-d4e3-4c55-979f-2f8d2dce5da2</vt:lpwstr>
  </property>
</Properties>
</file>