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F20" w:rsidRPr="003F5460" w:rsidRDefault="00F05F20" w:rsidP="00993F15">
      <w:pPr>
        <w:shd w:val="clear" w:color="auto" w:fill="FFFFFF"/>
        <w:tabs>
          <w:tab w:val="left" w:pos="450"/>
        </w:tabs>
        <w:spacing w:after="0" w:line="240" w:lineRule="auto"/>
        <w:jc w:val="both"/>
        <w:rPr>
          <w:rFonts w:ascii="Times New Roman" w:hAnsi="Times New Roman"/>
          <w:sz w:val="20"/>
          <w:szCs w:val="20"/>
        </w:rPr>
      </w:pPr>
      <w:bookmarkStart w:id="0" w:name="_Toc192484258"/>
      <w:r w:rsidRPr="003F5460">
        <w:rPr>
          <w:rFonts w:ascii="Times New Roman" w:hAnsi="Times New Roman"/>
          <w:b/>
          <w:sz w:val="20"/>
          <w:szCs w:val="20"/>
        </w:rPr>
        <w:t>Annual session 201</w:t>
      </w:r>
      <w:r w:rsidR="00F0274A" w:rsidRPr="003F5460">
        <w:rPr>
          <w:rFonts w:ascii="Times New Roman" w:hAnsi="Times New Roman"/>
          <w:b/>
          <w:sz w:val="20"/>
          <w:szCs w:val="20"/>
        </w:rPr>
        <w:t>8</w:t>
      </w:r>
    </w:p>
    <w:p w:rsidR="00F05F20" w:rsidRPr="003F5460" w:rsidRDefault="00F0274A" w:rsidP="00184C67">
      <w:pPr>
        <w:pStyle w:val="FootnoteText"/>
        <w:tabs>
          <w:tab w:val="left" w:pos="450"/>
        </w:tabs>
        <w:jc w:val="both"/>
        <w:rPr>
          <w:rFonts w:ascii="Times New Roman" w:hAnsi="Times New Roman"/>
        </w:rPr>
      </w:pPr>
      <w:r w:rsidRPr="003F5460">
        <w:rPr>
          <w:rFonts w:ascii="Times New Roman" w:hAnsi="Times New Roman"/>
        </w:rPr>
        <w:t>4 June – 8</w:t>
      </w:r>
      <w:r w:rsidR="00A308B0" w:rsidRPr="003F5460">
        <w:rPr>
          <w:rFonts w:ascii="Times New Roman" w:hAnsi="Times New Roman"/>
        </w:rPr>
        <w:t xml:space="preserve"> June </w:t>
      </w:r>
      <w:r w:rsidR="00F72295" w:rsidRPr="003F5460">
        <w:rPr>
          <w:rFonts w:ascii="Times New Roman" w:hAnsi="Times New Roman"/>
        </w:rPr>
        <w:t>2018</w:t>
      </w:r>
      <w:r w:rsidR="00F05F20" w:rsidRPr="003F5460">
        <w:rPr>
          <w:rFonts w:ascii="Times New Roman" w:hAnsi="Times New Roman"/>
        </w:rPr>
        <w:t xml:space="preserve">, </w:t>
      </w:r>
      <w:r w:rsidR="00C54918" w:rsidRPr="003F5460">
        <w:rPr>
          <w:rFonts w:ascii="Times New Roman" w:hAnsi="Times New Roman"/>
        </w:rPr>
        <w:t>New York</w:t>
      </w:r>
    </w:p>
    <w:p w:rsidR="00F05F20" w:rsidRPr="003F5460" w:rsidRDefault="00F05F20" w:rsidP="00184C67">
      <w:pPr>
        <w:pStyle w:val="FootnoteText"/>
        <w:tabs>
          <w:tab w:val="left" w:pos="450"/>
        </w:tabs>
        <w:jc w:val="both"/>
        <w:rPr>
          <w:rFonts w:ascii="Times New Roman" w:hAnsi="Times New Roman"/>
        </w:rPr>
      </w:pPr>
      <w:r w:rsidRPr="003F5460">
        <w:rPr>
          <w:rFonts w:ascii="Times New Roman" w:hAnsi="Times New Roman"/>
        </w:rPr>
        <w:t xml:space="preserve">Item </w:t>
      </w:r>
      <w:r w:rsidR="007F7839" w:rsidRPr="003F5460">
        <w:rPr>
          <w:rFonts w:ascii="Times New Roman" w:hAnsi="Times New Roman"/>
        </w:rPr>
        <w:t>2</w:t>
      </w:r>
      <w:r w:rsidR="004160A9" w:rsidRPr="003F5460">
        <w:rPr>
          <w:rFonts w:ascii="Times New Roman" w:hAnsi="Times New Roman"/>
        </w:rPr>
        <w:t xml:space="preserve"> </w:t>
      </w:r>
      <w:r w:rsidRPr="003F5460">
        <w:rPr>
          <w:rFonts w:ascii="Times New Roman" w:hAnsi="Times New Roman"/>
        </w:rPr>
        <w:t>of the provisional agenda</w:t>
      </w:r>
    </w:p>
    <w:p w:rsidR="009F78CA" w:rsidRDefault="00F05F20" w:rsidP="00D6176C">
      <w:pPr>
        <w:tabs>
          <w:tab w:val="left" w:pos="450"/>
        </w:tabs>
        <w:spacing w:after="0" w:line="240" w:lineRule="auto"/>
        <w:jc w:val="both"/>
        <w:rPr>
          <w:rFonts w:ascii="Times New Roman" w:hAnsi="Times New Roman"/>
          <w:b/>
          <w:sz w:val="20"/>
          <w:szCs w:val="20"/>
        </w:rPr>
      </w:pPr>
      <w:r w:rsidRPr="003F5460">
        <w:rPr>
          <w:rFonts w:ascii="Times New Roman" w:hAnsi="Times New Roman"/>
          <w:b/>
          <w:sz w:val="20"/>
          <w:szCs w:val="20"/>
        </w:rPr>
        <w:t>Annual report of the Administrator</w:t>
      </w:r>
    </w:p>
    <w:p w:rsidR="00D6176C" w:rsidRDefault="00D6176C" w:rsidP="00D6176C">
      <w:pPr>
        <w:spacing w:after="0" w:line="240" w:lineRule="auto"/>
        <w:ind w:left="270" w:right="540"/>
        <w:jc w:val="both"/>
        <w:rPr>
          <w:rFonts w:ascii="Times New Roman" w:hAnsi="Times New Roman"/>
          <w:b/>
          <w:bCs/>
          <w:sz w:val="32"/>
          <w:szCs w:val="32"/>
        </w:rPr>
      </w:pPr>
    </w:p>
    <w:p w:rsidR="00D6176C" w:rsidRPr="003F5460" w:rsidRDefault="00D6176C" w:rsidP="00D6176C">
      <w:pPr>
        <w:tabs>
          <w:tab w:val="left" w:pos="450"/>
        </w:tabs>
        <w:spacing w:after="0" w:line="240" w:lineRule="auto"/>
        <w:ind w:left="270" w:right="540"/>
        <w:jc w:val="both"/>
        <w:rPr>
          <w:rFonts w:ascii="Times New Roman" w:hAnsi="Times New Roman"/>
          <w:b/>
          <w:sz w:val="32"/>
          <w:szCs w:val="32"/>
        </w:rPr>
      </w:pPr>
      <w:r w:rsidRPr="003F5460">
        <w:rPr>
          <w:rFonts w:ascii="Times New Roman" w:hAnsi="Times New Roman"/>
          <w:b/>
          <w:sz w:val="32"/>
          <w:szCs w:val="32"/>
        </w:rPr>
        <w:t xml:space="preserve">Report of the Administrator on results for 2017 and progress on the </w:t>
      </w:r>
      <w:r w:rsidR="00A94BBF">
        <w:rPr>
          <w:rFonts w:ascii="Times New Roman" w:hAnsi="Times New Roman"/>
          <w:b/>
          <w:sz w:val="32"/>
          <w:szCs w:val="32"/>
        </w:rPr>
        <w:t>Strategic Plan</w:t>
      </w:r>
      <w:r w:rsidRPr="003F5460">
        <w:rPr>
          <w:rFonts w:ascii="Times New Roman" w:hAnsi="Times New Roman"/>
          <w:b/>
          <w:sz w:val="32"/>
          <w:szCs w:val="32"/>
        </w:rPr>
        <w:t xml:space="preserve">, 2018-2021 </w:t>
      </w:r>
    </w:p>
    <w:p w:rsidR="00D6176C" w:rsidRPr="003F5460" w:rsidRDefault="00D6176C" w:rsidP="00D6176C">
      <w:pPr>
        <w:tabs>
          <w:tab w:val="left" w:pos="450"/>
        </w:tabs>
        <w:spacing w:after="0" w:line="240" w:lineRule="auto"/>
        <w:ind w:right="540"/>
        <w:jc w:val="both"/>
        <w:rPr>
          <w:rFonts w:ascii="Times New Roman" w:hAnsi="Times New Roman"/>
          <w:b/>
          <w:sz w:val="32"/>
          <w:szCs w:val="32"/>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0"/>
      </w:tblGrid>
      <w:tr w:rsidR="00D6176C" w:rsidRPr="003F5460" w:rsidTr="005B6C71">
        <w:trPr>
          <w:trHeight w:val="1659"/>
        </w:trPr>
        <w:tc>
          <w:tcPr>
            <w:tcW w:w="9080" w:type="dxa"/>
            <w:shd w:val="clear" w:color="auto" w:fill="auto"/>
          </w:tcPr>
          <w:p w:rsidR="00D6176C" w:rsidRPr="003F5460" w:rsidRDefault="00D6176C" w:rsidP="005B6C71">
            <w:pPr>
              <w:spacing w:after="0"/>
              <w:jc w:val="both"/>
              <w:rPr>
                <w:rFonts w:ascii="Times New Roman" w:hAnsi="Times New Roman"/>
                <w:i/>
              </w:rPr>
            </w:pPr>
            <w:r w:rsidRPr="003F5460">
              <w:rPr>
                <w:rFonts w:ascii="Times New Roman" w:hAnsi="Times New Roman"/>
                <w:i/>
              </w:rPr>
              <w:t>Summary</w:t>
            </w:r>
          </w:p>
          <w:p w:rsidR="00D6176C" w:rsidRPr="000E52DE" w:rsidRDefault="00D6176C" w:rsidP="005B6C71">
            <w:pPr>
              <w:pStyle w:val="xxmsonormal"/>
              <w:jc w:val="both"/>
              <w:rPr>
                <w:rFonts w:ascii="Times New Roman" w:hAnsi="Times New Roman"/>
                <w:color w:val="000000"/>
                <w:spacing w:val="4"/>
                <w:sz w:val="20"/>
                <w:szCs w:val="20"/>
                <w:lang w:val="en-GB"/>
              </w:rPr>
            </w:pPr>
          </w:p>
          <w:p w:rsidR="00D6176C" w:rsidRPr="003F5460" w:rsidRDefault="00D6176C" w:rsidP="005B6C71">
            <w:pPr>
              <w:pStyle w:val="xxmsonormal"/>
              <w:jc w:val="both"/>
            </w:pPr>
            <w:r>
              <w:rPr>
                <w:rFonts w:ascii="Times New Roman" w:hAnsi="Times New Roman"/>
                <w:color w:val="000000"/>
                <w:spacing w:val="4"/>
                <w:sz w:val="20"/>
                <w:szCs w:val="20"/>
              </w:rPr>
              <w:t xml:space="preserve">This report provides </w:t>
            </w:r>
            <w:r w:rsidRPr="002A68F7">
              <w:rPr>
                <w:rFonts w:ascii="Times New Roman" w:hAnsi="Times New Roman"/>
                <w:spacing w:val="4"/>
                <w:sz w:val="20"/>
                <w:szCs w:val="20"/>
              </w:rPr>
              <w:t xml:space="preserve">an </w:t>
            </w:r>
            <w:r>
              <w:rPr>
                <w:rFonts w:ascii="Times New Roman" w:hAnsi="Times New Roman"/>
                <w:color w:val="000000"/>
                <w:spacing w:val="4"/>
                <w:sz w:val="20"/>
                <w:szCs w:val="20"/>
              </w:rPr>
              <w:t xml:space="preserve">analysis of results achieved in 2017 along with progress on the </w:t>
            </w:r>
            <w:r w:rsidR="00A94BBF">
              <w:rPr>
                <w:rFonts w:ascii="Times New Roman" w:hAnsi="Times New Roman"/>
                <w:color w:val="000000"/>
                <w:spacing w:val="4"/>
                <w:sz w:val="20"/>
                <w:szCs w:val="20"/>
              </w:rPr>
              <w:t>Strategic Plan</w:t>
            </w:r>
            <w:r>
              <w:rPr>
                <w:rFonts w:ascii="Times New Roman" w:hAnsi="Times New Roman"/>
                <w:color w:val="000000"/>
                <w:spacing w:val="4"/>
                <w:sz w:val="20"/>
                <w:szCs w:val="20"/>
              </w:rPr>
              <w:t xml:space="preserve">, 2018-2021. Integrated results and resources framework (IRRF) indicators and financial figures </w:t>
            </w:r>
            <w:r w:rsidR="00A94BBF">
              <w:rPr>
                <w:rFonts w:ascii="Times New Roman" w:hAnsi="Times New Roman"/>
                <w:color w:val="000000"/>
                <w:spacing w:val="4"/>
                <w:sz w:val="20"/>
                <w:szCs w:val="20"/>
              </w:rPr>
              <w:t xml:space="preserve">are for the </w:t>
            </w:r>
            <w:r>
              <w:rPr>
                <w:rFonts w:ascii="Times New Roman" w:hAnsi="Times New Roman"/>
                <w:color w:val="000000"/>
                <w:spacing w:val="4"/>
                <w:sz w:val="20"/>
                <w:szCs w:val="20"/>
              </w:rPr>
              <w:t xml:space="preserve">four-year performance under the </w:t>
            </w:r>
            <w:r w:rsidR="00A94BBF">
              <w:rPr>
                <w:rFonts w:ascii="Times New Roman" w:hAnsi="Times New Roman"/>
                <w:color w:val="000000"/>
                <w:spacing w:val="4"/>
                <w:sz w:val="20"/>
                <w:szCs w:val="20"/>
              </w:rPr>
              <w:t xml:space="preserve">Strategic Plan, </w:t>
            </w:r>
            <w:r>
              <w:rPr>
                <w:rFonts w:ascii="Times New Roman" w:hAnsi="Times New Roman"/>
                <w:color w:val="000000"/>
                <w:spacing w:val="4"/>
                <w:sz w:val="20"/>
                <w:szCs w:val="20"/>
              </w:rPr>
              <w:t xml:space="preserve">2014-2017. Included as annexes are the development and institutional report cards and populated IRRF. </w:t>
            </w:r>
          </w:p>
        </w:tc>
      </w:tr>
    </w:tbl>
    <w:p w:rsidR="00D6176C" w:rsidRPr="007922A7" w:rsidRDefault="00D6176C" w:rsidP="00D6176C">
      <w:pPr>
        <w:pStyle w:val="HCh"/>
        <w:keepNext w:val="0"/>
        <w:keepLines w:val="0"/>
        <w:tabs>
          <w:tab w:val="left" w:pos="450"/>
        </w:tabs>
        <w:spacing w:after="0" w:line="240" w:lineRule="auto"/>
        <w:ind w:left="0"/>
        <w:rPr>
          <w:rFonts w:ascii="Times New Roman" w:hAnsi="Times New Roman" w:cs="Times New Roman"/>
          <w:sz w:val="20"/>
          <w:szCs w:val="20"/>
        </w:rPr>
      </w:pPr>
    </w:p>
    <w:p w:rsidR="006A4560" w:rsidRPr="006A4560" w:rsidRDefault="006A4560" w:rsidP="007922A7">
      <w:pPr>
        <w:keepNext/>
        <w:keepLines/>
        <w:suppressAutoHyphens/>
        <w:spacing w:after="0" w:line="240" w:lineRule="auto"/>
        <w:jc w:val="both"/>
        <w:rPr>
          <w:rFonts w:ascii="Times New Roman" w:eastAsia="Batang" w:hAnsi="Times New Roman"/>
          <w:b/>
          <w:spacing w:val="-2"/>
          <w:w w:val="103"/>
          <w:kern w:val="1"/>
          <w:lang w:bidi="en-US"/>
        </w:rPr>
      </w:pPr>
      <w:r w:rsidRPr="006A4560">
        <w:rPr>
          <w:rFonts w:ascii="Times New Roman" w:eastAsia="Batang" w:hAnsi="Times New Roman"/>
          <w:b/>
          <w:spacing w:val="-2"/>
          <w:w w:val="103"/>
          <w:kern w:val="1"/>
          <w:lang w:bidi="en-US"/>
        </w:rPr>
        <w:t>Contents</w:t>
      </w:r>
    </w:p>
    <w:tbl>
      <w:tblPr>
        <w:tblStyle w:val="TableGrid3"/>
        <w:tblW w:w="8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851"/>
        <w:gridCol w:w="5553"/>
        <w:gridCol w:w="556"/>
        <w:gridCol w:w="833"/>
      </w:tblGrid>
      <w:tr w:rsidR="006A4560" w:rsidRPr="006A4560" w:rsidTr="008970AC">
        <w:trPr>
          <w:trHeight w:val="227"/>
        </w:trPr>
        <w:tc>
          <w:tcPr>
            <w:tcW w:w="1851" w:type="dxa"/>
            <w:shd w:val="clear" w:color="auto" w:fill="auto"/>
          </w:tcPr>
          <w:p w:rsidR="006A4560" w:rsidRPr="006A4560" w:rsidRDefault="006A4560" w:rsidP="006A4560">
            <w:pPr>
              <w:suppressAutoHyphens/>
              <w:spacing w:after="0" w:line="360" w:lineRule="auto"/>
              <w:jc w:val="both"/>
              <w:rPr>
                <w:rFonts w:ascii="Times New Roman" w:eastAsia="Batang" w:hAnsi="Times New Roman"/>
                <w:i/>
                <w:sz w:val="17"/>
                <w:szCs w:val="17"/>
                <w:lang w:bidi="en-US"/>
              </w:rPr>
            </w:pPr>
          </w:p>
          <w:p w:rsidR="006A4560" w:rsidRPr="006A4560" w:rsidRDefault="006A4560" w:rsidP="006A4560">
            <w:pPr>
              <w:suppressAutoHyphens/>
              <w:spacing w:after="0" w:line="360" w:lineRule="auto"/>
              <w:jc w:val="both"/>
              <w:rPr>
                <w:rFonts w:ascii="Times New Roman" w:eastAsia="Batang" w:hAnsi="Times New Roman"/>
                <w:i/>
                <w:sz w:val="17"/>
                <w:szCs w:val="17"/>
                <w:lang w:bidi="en-US"/>
              </w:rPr>
            </w:pPr>
            <w:r w:rsidRPr="006A4560">
              <w:rPr>
                <w:rFonts w:ascii="Times New Roman" w:eastAsia="Batang" w:hAnsi="Times New Roman"/>
                <w:i/>
                <w:sz w:val="17"/>
                <w:szCs w:val="17"/>
                <w:lang w:bidi="en-US"/>
              </w:rPr>
              <w:t xml:space="preserve">                  Chapter</w:t>
            </w:r>
          </w:p>
        </w:tc>
        <w:tc>
          <w:tcPr>
            <w:tcW w:w="5553" w:type="dxa"/>
            <w:shd w:val="clear" w:color="auto" w:fill="auto"/>
          </w:tcPr>
          <w:p w:rsidR="006A4560" w:rsidRPr="006A4560" w:rsidRDefault="006A4560" w:rsidP="006A4560">
            <w:pPr>
              <w:suppressAutoHyphens/>
              <w:snapToGrid w:val="0"/>
              <w:spacing w:after="0" w:line="360" w:lineRule="auto"/>
              <w:jc w:val="both"/>
              <w:rPr>
                <w:rFonts w:ascii="Times New Roman" w:eastAsia="Batang" w:hAnsi="Times New Roman"/>
                <w:i/>
                <w:sz w:val="17"/>
                <w:szCs w:val="17"/>
                <w:lang w:bidi="en-US"/>
              </w:rPr>
            </w:pPr>
          </w:p>
        </w:tc>
        <w:tc>
          <w:tcPr>
            <w:tcW w:w="556" w:type="dxa"/>
            <w:shd w:val="clear" w:color="auto" w:fill="auto"/>
          </w:tcPr>
          <w:p w:rsidR="006A4560" w:rsidRPr="006A4560" w:rsidRDefault="006A4560" w:rsidP="006A4560">
            <w:pPr>
              <w:suppressAutoHyphens/>
              <w:snapToGrid w:val="0"/>
              <w:spacing w:after="0" w:line="360" w:lineRule="auto"/>
              <w:jc w:val="both"/>
              <w:rPr>
                <w:rFonts w:ascii="Times New Roman" w:eastAsia="Batang" w:hAnsi="Times New Roman"/>
                <w:i/>
                <w:sz w:val="17"/>
                <w:szCs w:val="17"/>
                <w:lang w:bidi="en-US"/>
              </w:rPr>
            </w:pPr>
          </w:p>
        </w:tc>
        <w:tc>
          <w:tcPr>
            <w:tcW w:w="833" w:type="dxa"/>
            <w:shd w:val="clear" w:color="auto" w:fill="auto"/>
          </w:tcPr>
          <w:p w:rsidR="006A4560" w:rsidRPr="006A4560" w:rsidRDefault="006A4560" w:rsidP="00933EC6">
            <w:pPr>
              <w:suppressAutoHyphens/>
              <w:spacing w:after="0" w:line="360" w:lineRule="auto"/>
              <w:jc w:val="center"/>
              <w:rPr>
                <w:rFonts w:ascii="Times New Roman" w:eastAsia="Batang" w:hAnsi="Times New Roman"/>
                <w:i/>
                <w:sz w:val="17"/>
                <w:szCs w:val="17"/>
                <w:lang w:bidi="en-US"/>
              </w:rPr>
            </w:pPr>
          </w:p>
          <w:p w:rsidR="006A4560" w:rsidRPr="006A4560" w:rsidRDefault="006A4560" w:rsidP="00933EC6">
            <w:pPr>
              <w:suppressAutoHyphens/>
              <w:spacing w:after="0" w:line="360" w:lineRule="auto"/>
              <w:jc w:val="center"/>
              <w:rPr>
                <w:rFonts w:eastAsia="Batang" w:cs="Calibri"/>
                <w:sz w:val="17"/>
                <w:szCs w:val="17"/>
                <w:lang w:bidi="en-US"/>
              </w:rPr>
            </w:pPr>
            <w:r w:rsidRPr="006A4560">
              <w:rPr>
                <w:rFonts w:ascii="Times New Roman" w:eastAsia="Batang" w:hAnsi="Times New Roman"/>
                <w:i/>
                <w:sz w:val="17"/>
                <w:szCs w:val="17"/>
                <w:lang w:bidi="en-US"/>
              </w:rPr>
              <w:t>Page</w:t>
            </w:r>
          </w:p>
        </w:tc>
      </w:tr>
      <w:tr w:rsidR="006A4560" w:rsidRPr="006A4560" w:rsidTr="00391E98">
        <w:trPr>
          <w:trHeight w:val="360"/>
        </w:trPr>
        <w:tc>
          <w:tcPr>
            <w:tcW w:w="7960" w:type="dxa"/>
            <w:gridSpan w:val="3"/>
            <w:shd w:val="clear" w:color="auto" w:fill="auto"/>
          </w:tcPr>
          <w:p w:rsidR="006A4560" w:rsidRPr="006A4560" w:rsidRDefault="006A4560" w:rsidP="006A4560">
            <w:pPr>
              <w:tabs>
                <w:tab w:val="right" w:pos="1080"/>
                <w:tab w:val="left" w:pos="1296"/>
                <w:tab w:val="left" w:pos="1620"/>
                <w:tab w:val="left" w:pos="1728"/>
                <w:tab w:val="left" w:pos="1792"/>
                <w:tab w:val="right" w:leader="dot" w:pos="9360"/>
              </w:tabs>
              <w:suppressAutoHyphens/>
              <w:spacing w:after="0" w:line="360" w:lineRule="auto"/>
              <w:jc w:val="both"/>
              <w:rPr>
                <w:rFonts w:ascii="Times New Roman" w:eastAsia="Batang" w:hAnsi="Times New Roman"/>
                <w:sz w:val="20"/>
                <w:lang w:bidi="en-US"/>
              </w:rPr>
            </w:pPr>
            <w:r w:rsidRPr="006A4560">
              <w:rPr>
                <w:rFonts w:ascii="Times New Roman" w:eastAsia="Batang" w:hAnsi="Times New Roman"/>
                <w:sz w:val="20"/>
                <w:lang w:bidi="en-US"/>
              </w:rPr>
              <w:tab/>
              <w:t>I.</w:t>
            </w:r>
            <w:r w:rsidRPr="006A4560">
              <w:rPr>
                <w:rFonts w:ascii="Times New Roman" w:eastAsia="Batang" w:hAnsi="Times New Roman"/>
                <w:sz w:val="20"/>
                <w:lang w:bidi="en-US"/>
              </w:rPr>
              <w:tab/>
            </w:r>
            <w:r w:rsidR="008970AC">
              <w:rPr>
                <w:rFonts w:ascii="Times New Roman" w:eastAsia="Batang" w:hAnsi="Times New Roman"/>
                <w:sz w:val="20"/>
                <w:lang w:bidi="en-US"/>
              </w:rPr>
              <w:t>Executive summary</w:t>
            </w:r>
            <w:r w:rsidRPr="006A4560">
              <w:rPr>
                <w:rFonts w:ascii="Times New Roman" w:eastAsia="Batang" w:hAnsi="Times New Roman"/>
                <w:spacing w:val="60"/>
                <w:sz w:val="20"/>
                <w:lang w:bidi="en-US"/>
              </w:rPr>
              <w:tab/>
            </w:r>
          </w:p>
        </w:tc>
        <w:tc>
          <w:tcPr>
            <w:tcW w:w="833" w:type="dxa"/>
            <w:shd w:val="clear" w:color="auto" w:fill="auto"/>
          </w:tcPr>
          <w:p w:rsidR="006A4560" w:rsidRPr="006A4560" w:rsidRDefault="006A4560" w:rsidP="00933EC6">
            <w:pPr>
              <w:suppressAutoHyphens/>
              <w:snapToGrid w:val="0"/>
              <w:spacing w:after="0" w:line="360" w:lineRule="auto"/>
              <w:jc w:val="center"/>
              <w:rPr>
                <w:rFonts w:ascii="Times New Roman" w:eastAsia="Batang" w:hAnsi="Times New Roman"/>
                <w:sz w:val="20"/>
                <w:lang w:bidi="en-US"/>
              </w:rPr>
            </w:pPr>
            <w:r w:rsidRPr="006A4560">
              <w:rPr>
                <w:rFonts w:ascii="Times New Roman" w:eastAsia="Batang" w:hAnsi="Times New Roman"/>
                <w:sz w:val="20"/>
                <w:lang w:bidi="en-US"/>
              </w:rPr>
              <w:t>2</w:t>
            </w:r>
          </w:p>
        </w:tc>
      </w:tr>
      <w:tr w:rsidR="006A4560" w:rsidRPr="006A4560" w:rsidTr="00391E98">
        <w:trPr>
          <w:trHeight w:val="352"/>
        </w:trPr>
        <w:tc>
          <w:tcPr>
            <w:tcW w:w="7960" w:type="dxa"/>
            <w:gridSpan w:val="3"/>
            <w:shd w:val="clear" w:color="auto" w:fill="auto"/>
          </w:tcPr>
          <w:p w:rsidR="006A4560" w:rsidRPr="006A4560" w:rsidRDefault="006A4560" w:rsidP="00874145">
            <w:pPr>
              <w:tabs>
                <w:tab w:val="right" w:pos="1080"/>
                <w:tab w:val="left" w:pos="1296"/>
                <w:tab w:val="left" w:pos="1728"/>
                <w:tab w:val="left" w:pos="2160"/>
                <w:tab w:val="left" w:pos="2520"/>
                <w:tab w:val="left" w:pos="2592"/>
                <w:tab w:val="right" w:leader="dot" w:pos="9360"/>
              </w:tabs>
              <w:suppressAutoHyphens/>
              <w:spacing w:after="0" w:line="360" w:lineRule="auto"/>
              <w:rPr>
                <w:rFonts w:ascii="Times New Roman" w:eastAsia="Batang" w:hAnsi="Times New Roman"/>
                <w:sz w:val="20"/>
                <w:lang w:bidi="en-US"/>
              </w:rPr>
            </w:pPr>
            <w:r w:rsidRPr="006A4560">
              <w:rPr>
                <w:rFonts w:ascii="Times New Roman" w:eastAsia="Batang" w:hAnsi="Times New Roman"/>
                <w:sz w:val="20"/>
                <w:lang w:bidi="en-US"/>
              </w:rPr>
              <w:tab/>
            </w:r>
            <w:r w:rsidRPr="006A4560">
              <w:rPr>
                <w:rFonts w:ascii="Times New Roman" w:eastAsia="Batang" w:hAnsi="Times New Roman"/>
                <w:sz w:val="20"/>
                <w:lang w:bidi="en-US"/>
              </w:rPr>
              <w:tab/>
              <w:t xml:space="preserve">A. </w:t>
            </w:r>
            <w:r w:rsidR="00874145" w:rsidRPr="00874145">
              <w:rPr>
                <w:rFonts w:ascii="Times New Roman" w:eastAsia="Batang" w:hAnsi="Times New Roman"/>
                <w:sz w:val="20"/>
                <w:lang w:bidi="en-US"/>
              </w:rPr>
              <w:t>Development performance by outcome</w:t>
            </w:r>
            <w:r w:rsidR="00874145" w:rsidRPr="006A4560">
              <w:rPr>
                <w:rFonts w:ascii="Times New Roman" w:eastAsia="Batang" w:hAnsi="Times New Roman"/>
                <w:spacing w:val="60"/>
                <w:sz w:val="20"/>
                <w:lang w:bidi="en-US"/>
              </w:rPr>
              <w:tab/>
            </w:r>
          </w:p>
        </w:tc>
        <w:tc>
          <w:tcPr>
            <w:tcW w:w="833" w:type="dxa"/>
            <w:shd w:val="clear" w:color="auto" w:fill="auto"/>
          </w:tcPr>
          <w:p w:rsidR="006A4560" w:rsidRPr="006A4560" w:rsidRDefault="00170A3C" w:rsidP="00933EC6">
            <w:pPr>
              <w:suppressAutoHyphens/>
              <w:snapToGrid w:val="0"/>
              <w:spacing w:after="0" w:line="360" w:lineRule="auto"/>
              <w:jc w:val="center"/>
              <w:rPr>
                <w:rFonts w:ascii="Times New Roman" w:eastAsia="Batang" w:hAnsi="Times New Roman"/>
                <w:sz w:val="20"/>
                <w:lang w:bidi="en-US"/>
              </w:rPr>
            </w:pPr>
            <w:r>
              <w:rPr>
                <w:rFonts w:ascii="Times New Roman" w:eastAsia="Batang" w:hAnsi="Times New Roman"/>
                <w:sz w:val="20"/>
                <w:lang w:bidi="en-US"/>
              </w:rPr>
              <w:t>4</w:t>
            </w:r>
          </w:p>
        </w:tc>
      </w:tr>
      <w:tr w:rsidR="006A4560" w:rsidRPr="006A4560" w:rsidTr="00391E98">
        <w:trPr>
          <w:trHeight w:val="352"/>
        </w:trPr>
        <w:tc>
          <w:tcPr>
            <w:tcW w:w="7960" w:type="dxa"/>
            <w:gridSpan w:val="3"/>
            <w:shd w:val="clear" w:color="auto" w:fill="auto"/>
          </w:tcPr>
          <w:p w:rsidR="006A4560" w:rsidRPr="006A4560" w:rsidRDefault="006A4560" w:rsidP="006A4560">
            <w:pPr>
              <w:tabs>
                <w:tab w:val="right" w:pos="1080"/>
                <w:tab w:val="left" w:pos="1296"/>
                <w:tab w:val="left" w:pos="1728"/>
                <w:tab w:val="left" w:pos="2160"/>
                <w:tab w:val="left" w:pos="2520"/>
                <w:tab w:val="left" w:pos="2592"/>
                <w:tab w:val="right" w:leader="dot" w:pos="9360"/>
              </w:tabs>
              <w:suppressAutoHyphens/>
              <w:spacing w:after="0" w:line="360" w:lineRule="auto"/>
              <w:jc w:val="both"/>
              <w:rPr>
                <w:rFonts w:ascii="Times New Roman" w:eastAsia="Batang" w:hAnsi="Times New Roman"/>
                <w:sz w:val="20"/>
                <w:lang w:bidi="en-US"/>
              </w:rPr>
            </w:pPr>
            <w:r w:rsidRPr="006A4560">
              <w:rPr>
                <w:rFonts w:ascii="Times New Roman" w:eastAsia="Batang" w:hAnsi="Times New Roman"/>
                <w:sz w:val="20"/>
                <w:lang w:bidi="en-US"/>
              </w:rPr>
              <w:tab/>
            </w:r>
            <w:r w:rsidRPr="006A4560">
              <w:rPr>
                <w:rFonts w:ascii="Times New Roman" w:eastAsia="Batang" w:hAnsi="Times New Roman"/>
                <w:sz w:val="20"/>
                <w:lang w:bidi="en-US"/>
              </w:rPr>
              <w:tab/>
              <w:t xml:space="preserve">B. </w:t>
            </w:r>
            <w:r w:rsidR="00152BCE">
              <w:rPr>
                <w:rFonts w:ascii="Times New Roman" w:eastAsia="Batang" w:hAnsi="Times New Roman"/>
                <w:sz w:val="20"/>
                <w:lang w:bidi="en-US"/>
              </w:rPr>
              <w:t>Organizational performance</w:t>
            </w:r>
            <w:r w:rsidRPr="006A4560">
              <w:rPr>
                <w:rFonts w:ascii="Times New Roman" w:eastAsia="Batang" w:hAnsi="Times New Roman"/>
                <w:spacing w:val="60"/>
                <w:sz w:val="20"/>
                <w:lang w:bidi="en-US"/>
              </w:rPr>
              <w:t>....................................</w:t>
            </w:r>
          </w:p>
        </w:tc>
        <w:tc>
          <w:tcPr>
            <w:tcW w:w="833" w:type="dxa"/>
            <w:shd w:val="clear" w:color="auto" w:fill="auto"/>
          </w:tcPr>
          <w:p w:rsidR="006A4560" w:rsidRPr="006A4560" w:rsidRDefault="00170A3C" w:rsidP="00933EC6">
            <w:pPr>
              <w:suppressAutoHyphens/>
              <w:snapToGrid w:val="0"/>
              <w:spacing w:after="0" w:line="360" w:lineRule="auto"/>
              <w:jc w:val="center"/>
              <w:rPr>
                <w:rFonts w:ascii="Times New Roman" w:eastAsia="Batang" w:hAnsi="Times New Roman"/>
                <w:sz w:val="20"/>
                <w:lang w:bidi="en-US"/>
              </w:rPr>
            </w:pPr>
            <w:r>
              <w:rPr>
                <w:rFonts w:ascii="Times New Roman" w:eastAsia="Batang" w:hAnsi="Times New Roman"/>
                <w:sz w:val="20"/>
                <w:lang w:bidi="en-US"/>
              </w:rPr>
              <w:t>14</w:t>
            </w:r>
          </w:p>
        </w:tc>
      </w:tr>
      <w:tr w:rsidR="006A4560" w:rsidRPr="006A4560" w:rsidTr="00391E98">
        <w:trPr>
          <w:trHeight w:val="352"/>
        </w:trPr>
        <w:tc>
          <w:tcPr>
            <w:tcW w:w="7960" w:type="dxa"/>
            <w:gridSpan w:val="3"/>
            <w:shd w:val="clear" w:color="auto" w:fill="auto"/>
          </w:tcPr>
          <w:p w:rsidR="006A4560" w:rsidRPr="006A4560" w:rsidRDefault="006A4560" w:rsidP="006A4560">
            <w:pPr>
              <w:tabs>
                <w:tab w:val="right" w:pos="1080"/>
                <w:tab w:val="left" w:pos="1296"/>
                <w:tab w:val="left" w:pos="1728"/>
                <w:tab w:val="left" w:pos="2160"/>
                <w:tab w:val="left" w:pos="2520"/>
                <w:tab w:val="left" w:pos="2592"/>
                <w:tab w:val="right" w:leader="dot" w:pos="9360"/>
              </w:tabs>
              <w:suppressAutoHyphens/>
              <w:spacing w:after="0" w:line="360" w:lineRule="auto"/>
              <w:jc w:val="both"/>
              <w:rPr>
                <w:rFonts w:ascii="Times New Roman" w:eastAsia="Batang" w:hAnsi="Times New Roman"/>
                <w:sz w:val="20"/>
                <w:lang w:bidi="en-US"/>
              </w:rPr>
            </w:pPr>
            <w:r w:rsidRPr="006A4560">
              <w:rPr>
                <w:rFonts w:ascii="Times New Roman" w:eastAsia="Batang" w:hAnsi="Times New Roman"/>
                <w:sz w:val="20"/>
                <w:lang w:bidi="en-US"/>
              </w:rPr>
              <w:t xml:space="preserve">                          C. </w:t>
            </w:r>
            <w:r w:rsidR="00152BCE">
              <w:rPr>
                <w:rFonts w:ascii="Times New Roman" w:eastAsia="Batang" w:hAnsi="Times New Roman"/>
                <w:sz w:val="20"/>
                <w:lang w:bidi="en-US"/>
              </w:rPr>
              <w:t>Financial performance</w:t>
            </w:r>
            <w:r w:rsidR="00933EC6" w:rsidRPr="006A4560">
              <w:rPr>
                <w:rFonts w:ascii="Times New Roman" w:eastAsia="Batang" w:hAnsi="Times New Roman"/>
                <w:spacing w:val="60"/>
                <w:sz w:val="20"/>
                <w:lang w:bidi="en-US"/>
              </w:rPr>
              <w:tab/>
            </w:r>
          </w:p>
        </w:tc>
        <w:tc>
          <w:tcPr>
            <w:tcW w:w="833" w:type="dxa"/>
            <w:shd w:val="clear" w:color="auto" w:fill="auto"/>
          </w:tcPr>
          <w:p w:rsidR="006A4560" w:rsidRPr="006A4560" w:rsidRDefault="006A4560" w:rsidP="00933EC6">
            <w:pPr>
              <w:suppressAutoHyphens/>
              <w:snapToGrid w:val="0"/>
              <w:spacing w:after="0" w:line="360" w:lineRule="auto"/>
              <w:jc w:val="center"/>
              <w:rPr>
                <w:rFonts w:ascii="Times New Roman" w:eastAsia="Batang" w:hAnsi="Times New Roman"/>
                <w:sz w:val="20"/>
                <w:lang w:bidi="en-US"/>
              </w:rPr>
            </w:pPr>
            <w:r w:rsidRPr="006A4560">
              <w:rPr>
                <w:rFonts w:ascii="Times New Roman" w:eastAsia="Batang" w:hAnsi="Times New Roman"/>
                <w:sz w:val="20"/>
                <w:lang w:bidi="en-US"/>
              </w:rPr>
              <w:t>1</w:t>
            </w:r>
            <w:r w:rsidR="00F45329">
              <w:rPr>
                <w:rFonts w:ascii="Times New Roman" w:eastAsia="Batang" w:hAnsi="Times New Roman"/>
                <w:sz w:val="20"/>
                <w:lang w:bidi="en-US"/>
              </w:rPr>
              <w:t>5</w:t>
            </w:r>
          </w:p>
        </w:tc>
      </w:tr>
      <w:tr w:rsidR="006A4560" w:rsidRPr="006A4560" w:rsidTr="00391E98">
        <w:trPr>
          <w:trHeight w:val="360"/>
        </w:trPr>
        <w:tc>
          <w:tcPr>
            <w:tcW w:w="7960" w:type="dxa"/>
            <w:gridSpan w:val="3"/>
            <w:shd w:val="clear" w:color="auto" w:fill="auto"/>
          </w:tcPr>
          <w:p w:rsidR="006A4560" w:rsidRPr="006A4560" w:rsidRDefault="006A4560" w:rsidP="006A4560">
            <w:pPr>
              <w:tabs>
                <w:tab w:val="right" w:pos="1080"/>
                <w:tab w:val="left" w:pos="1296"/>
                <w:tab w:val="left" w:pos="1728"/>
                <w:tab w:val="left" w:pos="2160"/>
                <w:tab w:val="left" w:pos="2520"/>
                <w:tab w:val="left" w:pos="2592"/>
                <w:tab w:val="right" w:leader="dot" w:pos="9360"/>
              </w:tabs>
              <w:suppressAutoHyphens/>
              <w:spacing w:after="0" w:line="360" w:lineRule="auto"/>
              <w:jc w:val="both"/>
              <w:rPr>
                <w:rFonts w:ascii="Times New Roman" w:eastAsia="Batang" w:hAnsi="Times New Roman"/>
                <w:sz w:val="20"/>
                <w:lang w:bidi="en-US"/>
              </w:rPr>
            </w:pPr>
            <w:r w:rsidRPr="006A4560">
              <w:rPr>
                <w:rFonts w:ascii="Times New Roman" w:eastAsia="Batang" w:hAnsi="Times New Roman"/>
                <w:sz w:val="20"/>
                <w:lang w:bidi="en-US"/>
              </w:rPr>
              <w:tab/>
              <w:t>III.</w:t>
            </w:r>
            <w:r w:rsidRPr="006A4560">
              <w:rPr>
                <w:rFonts w:ascii="Times New Roman" w:eastAsia="Batang" w:hAnsi="Times New Roman"/>
                <w:sz w:val="20"/>
                <w:lang w:bidi="en-US"/>
              </w:rPr>
              <w:tab/>
            </w:r>
            <w:r w:rsidR="00933EC6" w:rsidRPr="00933EC6">
              <w:rPr>
                <w:rFonts w:ascii="Times New Roman" w:eastAsia="Batang" w:hAnsi="Times New Roman"/>
                <w:sz w:val="20"/>
                <w:lang w:bidi="en-US"/>
              </w:rPr>
              <w:t>Progress on the Strategic Plan, 2018-2021</w:t>
            </w:r>
            <w:r w:rsidRPr="006A4560">
              <w:rPr>
                <w:rFonts w:ascii="Times New Roman" w:eastAsia="Batang" w:hAnsi="Times New Roman"/>
                <w:spacing w:val="60"/>
                <w:sz w:val="20"/>
                <w:lang w:bidi="en-US"/>
              </w:rPr>
              <w:tab/>
            </w:r>
          </w:p>
        </w:tc>
        <w:tc>
          <w:tcPr>
            <w:tcW w:w="833" w:type="dxa"/>
            <w:shd w:val="clear" w:color="auto" w:fill="auto"/>
          </w:tcPr>
          <w:p w:rsidR="006A4560" w:rsidRPr="006A4560" w:rsidRDefault="006A4560" w:rsidP="00933EC6">
            <w:pPr>
              <w:suppressAutoHyphens/>
              <w:snapToGrid w:val="0"/>
              <w:spacing w:after="0" w:line="360" w:lineRule="auto"/>
              <w:jc w:val="center"/>
              <w:rPr>
                <w:rFonts w:ascii="Times New Roman" w:eastAsia="Batang" w:hAnsi="Times New Roman"/>
                <w:sz w:val="20"/>
                <w:lang w:bidi="en-US"/>
              </w:rPr>
            </w:pPr>
            <w:r w:rsidRPr="006A4560">
              <w:rPr>
                <w:rFonts w:ascii="Times New Roman" w:eastAsia="Batang" w:hAnsi="Times New Roman"/>
                <w:sz w:val="20"/>
                <w:lang w:bidi="en-US"/>
              </w:rPr>
              <w:t>1</w:t>
            </w:r>
            <w:r w:rsidR="00F45329">
              <w:rPr>
                <w:rFonts w:ascii="Times New Roman" w:eastAsia="Batang" w:hAnsi="Times New Roman"/>
                <w:sz w:val="20"/>
                <w:lang w:bidi="en-US"/>
              </w:rPr>
              <w:t>6</w:t>
            </w:r>
          </w:p>
        </w:tc>
      </w:tr>
      <w:tr w:rsidR="006A4560" w:rsidRPr="006A4560" w:rsidTr="00391E98">
        <w:trPr>
          <w:trHeight w:val="352"/>
        </w:trPr>
        <w:tc>
          <w:tcPr>
            <w:tcW w:w="8793" w:type="dxa"/>
            <w:gridSpan w:val="4"/>
            <w:shd w:val="clear" w:color="auto" w:fill="auto"/>
          </w:tcPr>
          <w:p w:rsidR="006A4560" w:rsidRPr="006A4560" w:rsidRDefault="006A4560" w:rsidP="006A4560">
            <w:pPr>
              <w:suppressAutoHyphens/>
              <w:snapToGrid w:val="0"/>
              <w:spacing w:after="0" w:line="360" w:lineRule="auto"/>
              <w:ind w:firstLine="795"/>
              <w:jc w:val="both"/>
              <w:rPr>
                <w:rFonts w:ascii="Times New Roman" w:eastAsia="Batang" w:hAnsi="Times New Roman"/>
                <w:sz w:val="20"/>
                <w:highlight w:val="yellow"/>
                <w:lang w:bidi="en-US"/>
              </w:rPr>
            </w:pPr>
            <w:r w:rsidRPr="006A4560">
              <w:rPr>
                <w:rFonts w:ascii="Times New Roman" w:eastAsia="Batang" w:hAnsi="Times New Roman"/>
                <w:sz w:val="20"/>
                <w:lang w:bidi="en-US"/>
              </w:rPr>
              <w:t>Annex</w:t>
            </w:r>
            <w:r w:rsidR="008970AC">
              <w:rPr>
                <w:rFonts w:ascii="Times New Roman" w:eastAsia="Batang" w:hAnsi="Times New Roman"/>
                <w:sz w:val="20"/>
                <w:lang w:bidi="en-US"/>
              </w:rPr>
              <w:t>es</w:t>
            </w:r>
            <w:r w:rsidRPr="006A4560">
              <w:rPr>
                <w:rFonts w:ascii="Times New Roman" w:eastAsia="Batang" w:hAnsi="Times New Roman"/>
                <w:sz w:val="20"/>
                <w:lang w:bidi="en-US"/>
              </w:rPr>
              <w:t xml:space="preserve"> (available on the Executive Board website)</w:t>
            </w:r>
          </w:p>
        </w:tc>
      </w:tr>
      <w:tr w:rsidR="00BD7179" w:rsidRPr="006A4560" w:rsidTr="00391E98">
        <w:trPr>
          <w:trHeight w:val="352"/>
        </w:trPr>
        <w:tc>
          <w:tcPr>
            <w:tcW w:w="7960" w:type="dxa"/>
            <w:gridSpan w:val="3"/>
            <w:shd w:val="clear" w:color="auto" w:fill="auto"/>
          </w:tcPr>
          <w:p w:rsidR="00BD7179" w:rsidRPr="004C6DD1" w:rsidRDefault="00BD7179" w:rsidP="00391E98">
            <w:pPr>
              <w:tabs>
                <w:tab w:val="right" w:pos="1080"/>
                <w:tab w:val="left" w:pos="1296"/>
                <w:tab w:val="left" w:pos="1728"/>
                <w:tab w:val="left" w:pos="2160"/>
                <w:tab w:val="left" w:pos="2520"/>
                <w:tab w:val="left" w:pos="2592"/>
                <w:tab w:val="right" w:leader="dot" w:pos="9360"/>
              </w:tabs>
              <w:suppressAutoHyphens/>
              <w:spacing w:after="0" w:line="360" w:lineRule="auto"/>
              <w:rPr>
                <w:rFonts w:ascii="Times New Roman" w:eastAsia="Batang" w:hAnsi="Times New Roman"/>
                <w:sz w:val="20"/>
                <w:szCs w:val="20"/>
                <w:lang w:bidi="en-US"/>
              </w:rPr>
            </w:pPr>
            <w:r w:rsidRPr="004C6DD1">
              <w:rPr>
                <w:rFonts w:ascii="Times New Roman" w:eastAsia="Batang" w:hAnsi="Times New Roman"/>
                <w:sz w:val="20"/>
                <w:szCs w:val="20"/>
                <w:lang w:bidi="en-US"/>
              </w:rPr>
              <w:tab/>
            </w:r>
            <w:r w:rsidRPr="004C6DD1">
              <w:rPr>
                <w:rFonts w:ascii="Times New Roman" w:eastAsia="Batang" w:hAnsi="Times New Roman"/>
                <w:sz w:val="20"/>
                <w:szCs w:val="20"/>
                <w:lang w:bidi="en-US"/>
              </w:rPr>
              <w:tab/>
              <w:t xml:space="preserve">1. </w:t>
            </w:r>
            <w:r w:rsidR="00391E98" w:rsidRPr="004C6DD1">
              <w:rPr>
                <w:rFonts w:ascii="Times New Roman" w:hAnsi="Times New Roman"/>
                <w:sz w:val="20"/>
                <w:szCs w:val="20"/>
              </w:rPr>
              <w:t>Development and institutional report cards</w:t>
            </w:r>
          </w:p>
        </w:tc>
        <w:tc>
          <w:tcPr>
            <w:tcW w:w="833" w:type="dxa"/>
            <w:shd w:val="clear" w:color="auto" w:fill="auto"/>
          </w:tcPr>
          <w:p w:rsidR="00BD7179" w:rsidRPr="006A4560" w:rsidRDefault="00BD7179" w:rsidP="00391E98">
            <w:pPr>
              <w:suppressAutoHyphens/>
              <w:snapToGrid w:val="0"/>
              <w:spacing w:after="0" w:line="360" w:lineRule="auto"/>
              <w:jc w:val="center"/>
              <w:rPr>
                <w:rFonts w:ascii="Times New Roman" w:eastAsia="Batang" w:hAnsi="Times New Roman"/>
                <w:sz w:val="20"/>
                <w:lang w:bidi="en-US"/>
              </w:rPr>
            </w:pPr>
          </w:p>
        </w:tc>
      </w:tr>
      <w:tr w:rsidR="00BD7179" w:rsidRPr="006A4560" w:rsidTr="00391E98">
        <w:trPr>
          <w:trHeight w:val="352"/>
        </w:trPr>
        <w:tc>
          <w:tcPr>
            <w:tcW w:w="7960" w:type="dxa"/>
            <w:gridSpan w:val="3"/>
            <w:shd w:val="clear" w:color="auto" w:fill="auto"/>
          </w:tcPr>
          <w:p w:rsidR="00BD7179" w:rsidRPr="004C6DD1" w:rsidRDefault="00BD7179" w:rsidP="00391E98">
            <w:pPr>
              <w:tabs>
                <w:tab w:val="right" w:pos="1080"/>
                <w:tab w:val="left" w:pos="1335"/>
                <w:tab w:val="left" w:pos="1728"/>
                <w:tab w:val="left" w:pos="2160"/>
                <w:tab w:val="left" w:pos="2520"/>
                <w:tab w:val="left" w:pos="2592"/>
                <w:tab w:val="right" w:leader="dot" w:pos="9360"/>
              </w:tabs>
              <w:suppressAutoHyphens/>
              <w:spacing w:after="0" w:line="360" w:lineRule="auto"/>
              <w:ind w:left="1335"/>
              <w:jc w:val="both"/>
              <w:rPr>
                <w:rFonts w:ascii="Times New Roman" w:eastAsia="Batang" w:hAnsi="Times New Roman"/>
                <w:sz w:val="20"/>
                <w:szCs w:val="20"/>
                <w:lang w:bidi="en-US"/>
              </w:rPr>
            </w:pPr>
            <w:r w:rsidRPr="004C6DD1">
              <w:rPr>
                <w:rFonts w:ascii="Times New Roman" w:eastAsia="Batang" w:hAnsi="Times New Roman"/>
                <w:sz w:val="20"/>
                <w:szCs w:val="20"/>
                <w:lang w:bidi="en-US"/>
              </w:rPr>
              <w:t xml:space="preserve">2. </w:t>
            </w:r>
            <w:r w:rsidR="00391E98" w:rsidRPr="004C6DD1">
              <w:rPr>
                <w:rFonts w:ascii="Times New Roman" w:hAnsi="Times New Roman"/>
                <w:sz w:val="20"/>
                <w:szCs w:val="20"/>
              </w:rPr>
              <w:t>Integrated Results and Resources Framework (IRRF) methodology and 2017 results</w:t>
            </w:r>
          </w:p>
        </w:tc>
        <w:tc>
          <w:tcPr>
            <w:tcW w:w="833" w:type="dxa"/>
            <w:shd w:val="clear" w:color="auto" w:fill="auto"/>
          </w:tcPr>
          <w:p w:rsidR="00BD7179" w:rsidRPr="006A4560" w:rsidRDefault="00BD7179" w:rsidP="00391E98">
            <w:pPr>
              <w:suppressAutoHyphens/>
              <w:snapToGrid w:val="0"/>
              <w:spacing w:after="0" w:line="360" w:lineRule="auto"/>
              <w:jc w:val="center"/>
              <w:rPr>
                <w:rFonts w:ascii="Times New Roman" w:eastAsia="Batang" w:hAnsi="Times New Roman"/>
                <w:sz w:val="20"/>
                <w:lang w:bidi="en-US"/>
              </w:rPr>
            </w:pPr>
          </w:p>
        </w:tc>
      </w:tr>
      <w:tr w:rsidR="00BD7179" w:rsidRPr="006A4560" w:rsidTr="00391E98">
        <w:trPr>
          <w:trHeight w:val="352"/>
        </w:trPr>
        <w:tc>
          <w:tcPr>
            <w:tcW w:w="7960" w:type="dxa"/>
            <w:gridSpan w:val="3"/>
            <w:shd w:val="clear" w:color="auto" w:fill="auto"/>
          </w:tcPr>
          <w:p w:rsidR="007728CF" w:rsidRPr="004C6DD1" w:rsidRDefault="00BD7179" w:rsidP="00391E98">
            <w:pPr>
              <w:tabs>
                <w:tab w:val="right" w:pos="1080"/>
                <w:tab w:val="left" w:pos="1296"/>
                <w:tab w:val="left" w:pos="1728"/>
                <w:tab w:val="left" w:pos="2160"/>
                <w:tab w:val="left" w:pos="2520"/>
                <w:tab w:val="left" w:pos="2592"/>
                <w:tab w:val="right" w:leader="dot" w:pos="9360"/>
              </w:tabs>
              <w:suppressAutoHyphens/>
              <w:spacing w:after="0" w:line="360" w:lineRule="auto"/>
              <w:jc w:val="both"/>
              <w:rPr>
                <w:rFonts w:ascii="Times New Roman" w:hAnsi="Times New Roman"/>
                <w:sz w:val="20"/>
                <w:szCs w:val="20"/>
              </w:rPr>
            </w:pPr>
            <w:bookmarkStart w:id="1" w:name="_Hlk512267091"/>
            <w:r w:rsidRPr="004C6DD1">
              <w:rPr>
                <w:rFonts w:ascii="Times New Roman" w:eastAsia="Batang" w:hAnsi="Times New Roman"/>
                <w:sz w:val="20"/>
                <w:szCs w:val="20"/>
                <w:lang w:bidi="en-US"/>
              </w:rPr>
              <w:t xml:space="preserve">                          3.</w:t>
            </w:r>
            <w:r w:rsidR="007728CF" w:rsidRPr="004C6DD1">
              <w:rPr>
                <w:rFonts w:ascii="Times New Roman" w:eastAsia="Batang" w:hAnsi="Times New Roman"/>
                <w:sz w:val="20"/>
                <w:szCs w:val="20"/>
                <w:lang w:bidi="en-US"/>
              </w:rPr>
              <w:t xml:space="preserve"> </w:t>
            </w:r>
            <w:r w:rsidR="007728CF" w:rsidRPr="004C6DD1">
              <w:rPr>
                <w:rFonts w:ascii="Times New Roman" w:hAnsi="Times New Roman"/>
                <w:sz w:val="20"/>
                <w:szCs w:val="20"/>
              </w:rPr>
              <w:t xml:space="preserve">2017-2021 QCPR </w:t>
            </w:r>
            <w:r w:rsidR="009651DD" w:rsidRPr="004C6DD1">
              <w:rPr>
                <w:rFonts w:ascii="Times New Roman" w:hAnsi="Times New Roman"/>
                <w:sz w:val="20"/>
                <w:szCs w:val="20"/>
              </w:rPr>
              <w:t>i</w:t>
            </w:r>
            <w:r w:rsidR="007728CF" w:rsidRPr="004C6DD1">
              <w:rPr>
                <w:rFonts w:ascii="Times New Roman" w:hAnsi="Times New Roman"/>
                <w:sz w:val="20"/>
                <w:szCs w:val="20"/>
              </w:rPr>
              <w:t>mplementation</w:t>
            </w:r>
          </w:p>
        </w:tc>
        <w:tc>
          <w:tcPr>
            <w:tcW w:w="833" w:type="dxa"/>
            <w:shd w:val="clear" w:color="auto" w:fill="auto"/>
          </w:tcPr>
          <w:p w:rsidR="00BD7179" w:rsidRPr="006A4560" w:rsidRDefault="00BD7179" w:rsidP="00391E98">
            <w:pPr>
              <w:suppressAutoHyphens/>
              <w:snapToGrid w:val="0"/>
              <w:spacing w:after="0" w:line="360" w:lineRule="auto"/>
              <w:jc w:val="center"/>
              <w:rPr>
                <w:rFonts w:ascii="Times New Roman" w:eastAsia="Batang" w:hAnsi="Times New Roman"/>
                <w:sz w:val="20"/>
                <w:lang w:bidi="en-US"/>
              </w:rPr>
            </w:pPr>
          </w:p>
        </w:tc>
      </w:tr>
      <w:bookmarkEnd w:id="1"/>
      <w:tr w:rsidR="009651DD" w:rsidRPr="006A4560" w:rsidTr="00CB7016">
        <w:trPr>
          <w:trHeight w:val="352"/>
        </w:trPr>
        <w:tc>
          <w:tcPr>
            <w:tcW w:w="7960" w:type="dxa"/>
            <w:gridSpan w:val="3"/>
            <w:shd w:val="clear" w:color="auto" w:fill="auto"/>
          </w:tcPr>
          <w:p w:rsidR="009651DD" w:rsidRPr="004C6DD1" w:rsidRDefault="009651DD" w:rsidP="00CB7016">
            <w:pPr>
              <w:tabs>
                <w:tab w:val="right" w:pos="1080"/>
                <w:tab w:val="left" w:pos="1296"/>
                <w:tab w:val="left" w:pos="1728"/>
                <w:tab w:val="left" w:pos="2160"/>
                <w:tab w:val="left" w:pos="2520"/>
                <w:tab w:val="left" w:pos="2592"/>
                <w:tab w:val="right" w:leader="dot" w:pos="9360"/>
              </w:tabs>
              <w:suppressAutoHyphens/>
              <w:spacing w:after="0" w:line="360" w:lineRule="auto"/>
              <w:jc w:val="both"/>
              <w:rPr>
                <w:rFonts w:ascii="Times New Roman" w:hAnsi="Times New Roman"/>
                <w:sz w:val="20"/>
                <w:szCs w:val="20"/>
              </w:rPr>
            </w:pPr>
            <w:r w:rsidRPr="004C6DD1">
              <w:rPr>
                <w:rFonts w:ascii="Times New Roman" w:eastAsia="Batang" w:hAnsi="Times New Roman"/>
                <w:sz w:val="20"/>
                <w:szCs w:val="20"/>
                <w:lang w:bidi="en-US"/>
              </w:rPr>
              <w:t xml:space="preserve">                          4. </w:t>
            </w:r>
            <w:r w:rsidR="00D54500" w:rsidRPr="004C6DD1">
              <w:rPr>
                <w:rFonts w:ascii="Times New Roman" w:hAnsi="Times New Roman"/>
                <w:sz w:val="20"/>
                <w:szCs w:val="20"/>
              </w:rPr>
              <w:t xml:space="preserve">Strategic Plan, 2018-2021 </w:t>
            </w:r>
            <w:r w:rsidR="0023729D">
              <w:rPr>
                <w:rFonts w:ascii="Times New Roman" w:hAnsi="Times New Roman"/>
                <w:sz w:val="20"/>
                <w:szCs w:val="20"/>
              </w:rPr>
              <w:t xml:space="preserve">- </w:t>
            </w:r>
            <w:r w:rsidR="00D54500" w:rsidRPr="004C6DD1">
              <w:rPr>
                <w:rFonts w:ascii="Times New Roman" w:hAnsi="Times New Roman"/>
                <w:sz w:val="20"/>
                <w:szCs w:val="20"/>
              </w:rPr>
              <w:t>Theory of Change</w:t>
            </w:r>
          </w:p>
        </w:tc>
        <w:tc>
          <w:tcPr>
            <w:tcW w:w="833" w:type="dxa"/>
            <w:shd w:val="clear" w:color="auto" w:fill="auto"/>
          </w:tcPr>
          <w:p w:rsidR="009651DD" w:rsidRPr="006A4560" w:rsidRDefault="009651DD" w:rsidP="00CB7016">
            <w:pPr>
              <w:suppressAutoHyphens/>
              <w:snapToGrid w:val="0"/>
              <w:spacing w:after="0" w:line="360" w:lineRule="auto"/>
              <w:jc w:val="center"/>
              <w:rPr>
                <w:rFonts w:ascii="Times New Roman" w:eastAsia="Batang" w:hAnsi="Times New Roman"/>
                <w:sz w:val="20"/>
                <w:lang w:bidi="en-US"/>
              </w:rPr>
            </w:pPr>
          </w:p>
        </w:tc>
      </w:tr>
      <w:tr w:rsidR="009651DD" w:rsidRPr="006A4560" w:rsidTr="00CB7016">
        <w:trPr>
          <w:trHeight w:val="352"/>
        </w:trPr>
        <w:tc>
          <w:tcPr>
            <w:tcW w:w="7960" w:type="dxa"/>
            <w:gridSpan w:val="3"/>
            <w:shd w:val="clear" w:color="auto" w:fill="auto"/>
          </w:tcPr>
          <w:p w:rsidR="009651DD" w:rsidRPr="004C6DD1" w:rsidRDefault="009651DD" w:rsidP="004C6DD1">
            <w:pPr>
              <w:tabs>
                <w:tab w:val="right" w:pos="1080"/>
                <w:tab w:val="left" w:pos="1296"/>
                <w:tab w:val="left" w:pos="1728"/>
                <w:tab w:val="left" w:pos="2160"/>
                <w:tab w:val="left" w:pos="2520"/>
                <w:tab w:val="left" w:pos="2592"/>
                <w:tab w:val="right" w:leader="dot" w:pos="9360"/>
              </w:tabs>
              <w:suppressAutoHyphens/>
              <w:spacing w:after="0" w:line="360" w:lineRule="auto"/>
              <w:ind w:left="1335"/>
              <w:jc w:val="both"/>
              <w:rPr>
                <w:rFonts w:ascii="Times New Roman" w:hAnsi="Times New Roman"/>
                <w:sz w:val="20"/>
                <w:szCs w:val="20"/>
              </w:rPr>
            </w:pPr>
            <w:r w:rsidRPr="004C6DD1">
              <w:rPr>
                <w:rFonts w:ascii="Times New Roman" w:eastAsia="Batang" w:hAnsi="Times New Roman"/>
                <w:sz w:val="20"/>
                <w:szCs w:val="20"/>
                <w:lang w:bidi="en-US"/>
              </w:rPr>
              <w:t>5.</w:t>
            </w:r>
            <w:r w:rsidR="007922A7">
              <w:rPr>
                <w:rFonts w:ascii="Times New Roman" w:eastAsia="Batang" w:hAnsi="Times New Roman"/>
                <w:sz w:val="20"/>
                <w:szCs w:val="20"/>
                <w:lang w:bidi="en-US"/>
              </w:rPr>
              <w:t xml:space="preserve"> </w:t>
            </w:r>
            <w:r w:rsidR="00D54500" w:rsidRPr="004C6DD1">
              <w:rPr>
                <w:rFonts w:ascii="Times New Roman" w:hAnsi="Times New Roman"/>
                <w:sz w:val="20"/>
                <w:szCs w:val="20"/>
              </w:rPr>
              <w:t>Integrated Results and Resources Framework (IRRF)</w:t>
            </w:r>
            <w:r w:rsidR="007922A7">
              <w:rPr>
                <w:rFonts w:ascii="Times New Roman" w:hAnsi="Times New Roman"/>
                <w:sz w:val="20"/>
                <w:szCs w:val="20"/>
              </w:rPr>
              <w:t>, 2018-2021,</w:t>
            </w:r>
            <w:r w:rsidR="00D54500" w:rsidRPr="004C6DD1">
              <w:rPr>
                <w:rFonts w:ascii="Times New Roman" w:hAnsi="Times New Roman"/>
                <w:sz w:val="20"/>
                <w:szCs w:val="20"/>
              </w:rPr>
              <w:t xml:space="preserve"> populated with baselines, milestones and targets</w:t>
            </w:r>
          </w:p>
        </w:tc>
        <w:tc>
          <w:tcPr>
            <w:tcW w:w="833" w:type="dxa"/>
            <w:shd w:val="clear" w:color="auto" w:fill="auto"/>
          </w:tcPr>
          <w:p w:rsidR="009651DD" w:rsidRPr="006A4560" w:rsidRDefault="009651DD" w:rsidP="00CB7016">
            <w:pPr>
              <w:suppressAutoHyphens/>
              <w:snapToGrid w:val="0"/>
              <w:spacing w:after="0" w:line="360" w:lineRule="auto"/>
              <w:jc w:val="center"/>
              <w:rPr>
                <w:rFonts w:ascii="Times New Roman" w:eastAsia="Batang" w:hAnsi="Times New Roman"/>
                <w:sz w:val="20"/>
                <w:lang w:bidi="en-US"/>
              </w:rPr>
            </w:pPr>
          </w:p>
        </w:tc>
      </w:tr>
      <w:tr w:rsidR="009651DD" w:rsidRPr="006A4560" w:rsidTr="00CB7016">
        <w:trPr>
          <w:trHeight w:val="352"/>
        </w:trPr>
        <w:tc>
          <w:tcPr>
            <w:tcW w:w="7960" w:type="dxa"/>
            <w:gridSpan w:val="3"/>
            <w:shd w:val="clear" w:color="auto" w:fill="auto"/>
          </w:tcPr>
          <w:p w:rsidR="009651DD" w:rsidRPr="004C6DD1" w:rsidRDefault="003A0F7F" w:rsidP="007922A7">
            <w:pPr>
              <w:tabs>
                <w:tab w:val="right" w:pos="1080"/>
                <w:tab w:val="left" w:pos="1296"/>
                <w:tab w:val="left" w:pos="1728"/>
                <w:tab w:val="left" w:pos="2160"/>
                <w:tab w:val="left" w:pos="2520"/>
                <w:tab w:val="left" w:pos="2592"/>
                <w:tab w:val="right" w:leader="dot" w:pos="9360"/>
              </w:tabs>
              <w:suppressAutoHyphens/>
              <w:spacing w:after="0" w:line="360" w:lineRule="auto"/>
              <w:ind w:left="1335"/>
              <w:jc w:val="both"/>
              <w:rPr>
                <w:rFonts w:ascii="Times New Roman" w:hAnsi="Times New Roman"/>
                <w:sz w:val="20"/>
                <w:szCs w:val="20"/>
              </w:rPr>
            </w:pPr>
            <w:r w:rsidRPr="004C6DD1">
              <w:rPr>
                <w:rFonts w:ascii="Times New Roman" w:eastAsia="Batang" w:hAnsi="Times New Roman"/>
                <w:sz w:val="20"/>
                <w:szCs w:val="20"/>
                <w:lang w:bidi="en-US"/>
              </w:rPr>
              <w:t>6</w:t>
            </w:r>
            <w:r w:rsidR="009651DD" w:rsidRPr="004C6DD1">
              <w:rPr>
                <w:rFonts w:ascii="Times New Roman" w:eastAsia="Batang" w:hAnsi="Times New Roman"/>
                <w:sz w:val="20"/>
                <w:szCs w:val="20"/>
                <w:lang w:bidi="en-US"/>
              </w:rPr>
              <w:t xml:space="preserve">. </w:t>
            </w:r>
            <w:r w:rsidR="00D54500" w:rsidRPr="004C6DD1">
              <w:rPr>
                <w:rFonts w:ascii="Times New Roman" w:hAnsi="Times New Roman"/>
                <w:sz w:val="20"/>
                <w:szCs w:val="20"/>
              </w:rPr>
              <w:t>Working Better Together: A plan for engagement and constructive dialogue with the Executive Board of UNDP/UNFPA/UNOPS</w:t>
            </w:r>
          </w:p>
        </w:tc>
        <w:tc>
          <w:tcPr>
            <w:tcW w:w="833" w:type="dxa"/>
            <w:shd w:val="clear" w:color="auto" w:fill="auto"/>
          </w:tcPr>
          <w:p w:rsidR="009651DD" w:rsidRPr="006A4560" w:rsidRDefault="009651DD" w:rsidP="00CB7016">
            <w:pPr>
              <w:suppressAutoHyphens/>
              <w:snapToGrid w:val="0"/>
              <w:spacing w:after="0" w:line="360" w:lineRule="auto"/>
              <w:jc w:val="center"/>
              <w:rPr>
                <w:rFonts w:ascii="Times New Roman" w:eastAsia="Batang" w:hAnsi="Times New Roman"/>
                <w:sz w:val="20"/>
                <w:lang w:bidi="en-US"/>
              </w:rPr>
            </w:pPr>
          </w:p>
        </w:tc>
      </w:tr>
    </w:tbl>
    <w:p w:rsidR="00E95C67" w:rsidRDefault="00E95C67" w:rsidP="00434C41">
      <w:pPr>
        <w:pStyle w:val="Heading1"/>
        <w:numPr>
          <w:ilvl w:val="0"/>
          <w:numId w:val="2"/>
        </w:numPr>
        <w:spacing w:before="0" w:line="0" w:lineRule="atLeast"/>
        <w:ind w:left="630" w:hanging="180"/>
        <w:jc w:val="both"/>
        <w:rPr>
          <w:rFonts w:ascii="Times New Roman" w:hAnsi="Times New Roman"/>
          <w:color w:val="auto"/>
        </w:rPr>
      </w:pPr>
      <w:r>
        <w:rPr>
          <w:rFonts w:ascii="Times New Roman" w:hAnsi="Times New Roman"/>
          <w:color w:val="auto"/>
        </w:rPr>
        <w:lastRenderedPageBreak/>
        <w:t xml:space="preserve">Executive </w:t>
      </w:r>
      <w:r w:rsidR="00834062">
        <w:rPr>
          <w:rFonts w:ascii="Times New Roman" w:hAnsi="Times New Roman"/>
          <w:color w:val="auto"/>
        </w:rPr>
        <w:t>s</w:t>
      </w:r>
      <w:r w:rsidR="00A94BBF">
        <w:rPr>
          <w:rFonts w:ascii="Times New Roman" w:hAnsi="Times New Roman"/>
          <w:color w:val="auto"/>
        </w:rPr>
        <w:t>ummary</w:t>
      </w:r>
    </w:p>
    <w:p w:rsidR="00E95C67" w:rsidRDefault="00E95C67" w:rsidP="00E95C67">
      <w:pPr>
        <w:spacing w:after="0" w:line="0" w:lineRule="atLeast"/>
        <w:rPr>
          <w:rFonts w:ascii="Times New Roman" w:hAnsi="Times New Roman"/>
          <w:sz w:val="20"/>
          <w:szCs w:val="20"/>
        </w:rPr>
      </w:pPr>
    </w:p>
    <w:p w:rsidR="00300F54" w:rsidRDefault="00300F54" w:rsidP="00434C41">
      <w:pPr>
        <w:pStyle w:val="ListParagraph"/>
        <w:numPr>
          <w:ilvl w:val="0"/>
          <w:numId w:val="11"/>
        </w:numPr>
        <w:tabs>
          <w:tab w:val="left" w:pos="900"/>
        </w:tabs>
        <w:spacing w:after="120" w:line="0" w:lineRule="atLeast"/>
        <w:ind w:left="630" w:firstLine="0"/>
        <w:jc w:val="both"/>
        <w:rPr>
          <w:rFonts w:ascii="Times New Roman" w:hAnsi="Times New Roman"/>
          <w:sz w:val="20"/>
          <w:szCs w:val="20"/>
        </w:rPr>
      </w:pPr>
      <w:r w:rsidRPr="00AA0F33">
        <w:rPr>
          <w:rFonts w:ascii="Times New Roman" w:hAnsi="Times New Roman"/>
          <w:sz w:val="20"/>
          <w:szCs w:val="20"/>
        </w:rPr>
        <w:t xml:space="preserve">The </w:t>
      </w:r>
      <w:r w:rsidR="00A94BBF">
        <w:rPr>
          <w:rFonts w:ascii="Times New Roman" w:hAnsi="Times New Roman"/>
          <w:sz w:val="20"/>
          <w:szCs w:val="20"/>
        </w:rPr>
        <w:t>S</w:t>
      </w:r>
      <w:r w:rsidR="00A94BBF" w:rsidRPr="00AA0F33">
        <w:rPr>
          <w:rFonts w:ascii="Times New Roman" w:hAnsi="Times New Roman"/>
          <w:sz w:val="20"/>
          <w:szCs w:val="20"/>
        </w:rPr>
        <w:t xml:space="preserve">trategic </w:t>
      </w:r>
      <w:r w:rsidR="00A94BBF">
        <w:rPr>
          <w:rFonts w:ascii="Times New Roman" w:hAnsi="Times New Roman"/>
          <w:sz w:val="20"/>
          <w:szCs w:val="20"/>
        </w:rPr>
        <w:t>P</w:t>
      </w:r>
      <w:r w:rsidR="00A94BBF" w:rsidRPr="00AA0F33">
        <w:rPr>
          <w:rFonts w:ascii="Times New Roman" w:hAnsi="Times New Roman"/>
          <w:sz w:val="20"/>
          <w:szCs w:val="20"/>
        </w:rPr>
        <w:t>lan</w:t>
      </w:r>
      <w:r w:rsidR="00A94BBF">
        <w:rPr>
          <w:rFonts w:ascii="Times New Roman" w:hAnsi="Times New Roman"/>
          <w:sz w:val="20"/>
          <w:szCs w:val="20"/>
        </w:rPr>
        <w:t xml:space="preserve">, </w:t>
      </w:r>
      <w:r w:rsidR="00A94BBF" w:rsidRPr="00AA0F33">
        <w:rPr>
          <w:rFonts w:ascii="Times New Roman" w:hAnsi="Times New Roman"/>
          <w:sz w:val="20"/>
          <w:szCs w:val="20"/>
        </w:rPr>
        <w:t xml:space="preserve">2014-2017 </w:t>
      </w:r>
      <w:r w:rsidRPr="00AA0F33">
        <w:rPr>
          <w:rFonts w:ascii="Times New Roman" w:hAnsi="Times New Roman"/>
          <w:sz w:val="20"/>
          <w:szCs w:val="20"/>
        </w:rPr>
        <w:t xml:space="preserve">provided UNDP with a </w:t>
      </w:r>
      <w:r w:rsidRPr="00BB06AF">
        <w:rPr>
          <w:rFonts w:ascii="Times New Roman" w:hAnsi="Times New Roman"/>
          <w:sz w:val="20"/>
          <w:szCs w:val="20"/>
        </w:rPr>
        <w:t>framework</w:t>
      </w:r>
      <w:r w:rsidRPr="00F83B63">
        <w:rPr>
          <w:rFonts w:ascii="Times New Roman" w:hAnsi="Times New Roman"/>
          <w:b/>
          <w:sz w:val="20"/>
          <w:szCs w:val="20"/>
        </w:rPr>
        <w:t xml:space="preserve"> </w:t>
      </w:r>
      <w:r w:rsidRPr="00AA0F33">
        <w:rPr>
          <w:rFonts w:ascii="Times New Roman" w:hAnsi="Times New Roman"/>
          <w:sz w:val="20"/>
          <w:szCs w:val="20"/>
        </w:rPr>
        <w:t xml:space="preserve">for supporting countries </w:t>
      </w:r>
      <w:r w:rsidR="00A94BBF">
        <w:rPr>
          <w:rFonts w:ascii="Times New Roman" w:hAnsi="Times New Roman"/>
          <w:sz w:val="20"/>
          <w:szCs w:val="20"/>
        </w:rPr>
        <w:t xml:space="preserve">to </w:t>
      </w:r>
      <w:r w:rsidRPr="00A94BBF">
        <w:rPr>
          <w:rFonts w:ascii="Times New Roman" w:hAnsi="Times New Roman"/>
          <w:sz w:val="20"/>
          <w:szCs w:val="20"/>
        </w:rPr>
        <w:t>shift from the Millennium Development Goals to the more ambitious Sustainable Development Goals</w:t>
      </w:r>
      <w:r w:rsidR="00A94BBF">
        <w:rPr>
          <w:rFonts w:ascii="Times New Roman" w:hAnsi="Times New Roman"/>
          <w:sz w:val="20"/>
          <w:szCs w:val="20"/>
        </w:rPr>
        <w:t xml:space="preserve"> and to</w:t>
      </w:r>
      <w:r w:rsidRPr="00AA0F33">
        <w:rPr>
          <w:rFonts w:ascii="Times New Roman" w:hAnsi="Times New Roman"/>
          <w:sz w:val="20"/>
          <w:szCs w:val="20"/>
        </w:rPr>
        <w:t xml:space="preserve"> respond to </w:t>
      </w:r>
      <w:r>
        <w:rPr>
          <w:rFonts w:ascii="Times New Roman" w:hAnsi="Times New Roman"/>
          <w:sz w:val="20"/>
          <w:szCs w:val="20"/>
        </w:rPr>
        <w:t>national priorities, including</w:t>
      </w:r>
      <w:r w:rsidRPr="00AA0F33">
        <w:rPr>
          <w:rFonts w:ascii="Times New Roman" w:hAnsi="Times New Roman"/>
          <w:sz w:val="20"/>
          <w:szCs w:val="20"/>
        </w:rPr>
        <w:t xml:space="preserve"> emerging challenges. </w:t>
      </w:r>
      <w:r>
        <w:rPr>
          <w:rFonts w:ascii="Times New Roman" w:hAnsi="Times New Roman"/>
          <w:sz w:val="20"/>
          <w:szCs w:val="20"/>
        </w:rPr>
        <w:t xml:space="preserve"> </w:t>
      </w:r>
    </w:p>
    <w:p w:rsidR="00E95C67" w:rsidRPr="00434C41" w:rsidRDefault="00E95C67" w:rsidP="00434C41">
      <w:pPr>
        <w:pStyle w:val="ListParagraph"/>
        <w:tabs>
          <w:tab w:val="left" w:pos="900"/>
        </w:tabs>
        <w:spacing w:after="0" w:line="0" w:lineRule="atLeast"/>
        <w:jc w:val="both"/>
        <w:rPr>
          <w:rFonts w:ascii="Times New Roman" w:hAnsi="Times New Roman"/>
          <w:sz w:val="12"/>
          <w:szCs w:val="12"/>
        </w:rPr>
      </w:pPr>
    </w:p>
    <w:p w:rsidR="00E4532F" w:rsidRDefault="00E95C67" w:rsidP="00434C41">
      <w:pPr>
        <w:pStyle w:val="ListParagraph"/>
        <w:numPr>
          <w:ilvl w:val="0"/>
          <w:numId w:val="11"/>
        </w:numPr>
        <w:tabs>
          <w:tab w:val="left" w:pos="900"/>
        </w:tabs>
        <w:spacing w:after="0" w:line="0" w:lineRule="atLeast"/>
        <w:ind w:left="630" w:firstLine="0"/>
        <w:jc w:val="both"/>
        <w:rPr>
          <w:rFonts w:ascii="Times New Roman" w:hAnsi="Times New Roman"/>
          <w:sz w:val="20"/>
          <w:szCs w:val="20"/>
        </w:rPr>
      </w:pPr>
      <w:r w:rsidRPr="00834062">
        <w:rPr>
          <w:rFonts w:ascii="Times New Roman" w:hAnsi="Times New Roman"/>
          <w:sz w:val="20"/>
          <w:szCs w:val="20"/>
        </w:rPr>
        <w:t xml:space="preserve">The evaluation of the </w:t>
      </w:r>
      <w:r w:rsidR="00A94BBF" w:rsidRPr="00834062">
        <w:rPr>
          <w:rFonts w:ascii="Times New Roman" w:hAnsi="Times New Roman"/>
          <w:sz w:val="20"/>
          <w:szCs w:val="20"/>
        </w:rPr>
        <w:t xml:space="preserve">Strategic Plan and global and regional programme, </w:t>
      </w:r>
      <w:r w:rsidRPr="00834062">
        <w:rPr>
          <w:rFonts w:ascii="Times New Roman" w:hAnsi="Times New Roman"/>
          <w:sz w:val="20"/>
          <w:szCs w:val="20"/>
        </w:rPr>
        <w:t>2014-</w:t>
      </w:r>
      <w:r w:rsidR="00A94BBF" w:rsidRPr="00834062">
        <w:rPr>
          <w:rFonts w:ascii="Times New Roman" w:hAnsi="Times New Roman"/>
          <w:sz w:val="20"/>
          <w:szCs w:val="20"/>
        </w:rPr>
        <w:t>20</w:t>
      </w:r>
      <w:r w:rsidRPr="00834062">
        <w:rPr>
          <w:rFonts w:ascii="Times New Roman" w:hAnsi="Times New Roman"/>
          <w:sz w:val="20"/>
          <w:szCs w:val="20"/>
        </w:rPr>
        <w:t>17</w:t>
      </w:r>
      <w:r w:rsidR="00A94BBF" w:rsidRPr="00834062">
        <w:rPr>
          <w:rFonts w:ascii="Times New Roman" w:hAnsi="Times New Roman"/>
          <w:sz w:val="20"/>
          <w:szCs w:val="20"/>
        </w:rPr>
        <w:t xml:space="preserve"> (</w:t>
      </w:r>
      <w:hyperlink r:id="rId12" w:history="1">
        <w:r w:rsidR="00A94BBF" w:rsidRPr="008834E3">
          <w:rPr>
            <w:rStyle w:val="Hyperlink"/>
            <w:rFonts w:ascii="Times New Roman" w:hAnsi="Times New Roman"/>
            <w:sz w:val="20"/>
            <w:szCs w:val="20"/>
          </w:rPr>
          <w:t>DP/2017/32</w:t>
        </w:r>
      </w:hyperlink>
      <w:r w:rsidR="00A94BBF" w:rsidRPr="00834062">
        <w:rPr>
          <w:rFonts w:ascii="Times New Roman" w:hAnsi="Times New Roman"/>
          <w:sz w:val="20"/>
          <w:szCs w:val="20"/>
        </w:rPr>
        <w:t>)</w:t>
      </w:r>
      <w:r w:rsidRPr="00834062">
        <w:rPr>
          <w:rFonts w:ascii="Times New Roman" w:hAnsi="Times New Roman"/>
          <w:sz w:val="20"/>
          <w:szCs w:val="20"/>
        </w:rPr>
        <w:t xml:space="preserve"> highlighted that</w:t>
      </w:r>
      <w:r w:rsidR="00834062" w:rsidRPr="00834062">
        <w:rPr>
          <w:rFonts w:ascii="Times New Roman" w:hAnsi="Times New Roman"/>
          <w:sz w:val="20"/>
          <w:szCs w:val="20"/>
        </w:rPr>
        <w:t xml:space="preserve"> “the organization's increasingly integrated, multifaceted approach to development challenges is well suited to, and consistent with, United Nations priorities and the needs of national partners”. </w:t>
      </w:r>
      <w:r w:rsidR="00E67741" w:rsidRPr="00834062">
        <w:rPr>
          <w:rFonts w:ascii="Times New Roman" w:hAnsi="Times New Roman"/>
          <w:sz w:val="20"/>
          <w:szCs w:val="20"/>
        </w:rPr>
        <w:t xml:space="preserve"> </w:t>
      </w:r>
    </w:p>
    <w:p w:rsidR="00E95C67" w:rsidRPr="00434C41" w:rsidRDefault="00E95C67" w:rsidP="00434C41">
      <w:pPr>
        <w:pStyle w:val="ListParagraph"/>
        <w:tabs>
          <w:tab w:val="left" w:pos="900"/>
        </w:tabs>
        <w:spacing w:after="0" w:line="0" w:lineRule="atLeast"/>
        <w:ind w:left="630"/>
        <w:jc w:val="both"/>
        <w:rPr>
          <w:rFonts w:ascii="Times New Roman" w:hAnsi="Times New Roman"/>
          <w:sz w:val="12"/>
          <w:szCs w:val="12"/>
        </w:rPr>
      </w:pPr>
    </w:p>
    <w:p w:rsidR="00E95C67" w:rsidRPr="001C43C6" w:rsidRDefault="00E95C67" w:rsidP="00434C41">
      <w:pPr>
        <w:pStyle w:val="ListParagraph"/>
        <w:numPr>
          <w:ilvl w:val="0"/>
          <w:numId w:val="11"/>
        </w:numPr>
        <w:tabs>
          <w:tab w:val="left" w:pos="900"/>
        </w:tabs>
        <w:spacing w:after="0" w:line="0" w:lineRule="atLeast"/>
        <w:ind w:left="630" w:firstLine="0"/>
        <w:jc w:val="both"/>
        <w:rPr>
          <w:rFonts w:ascii="Times New Roman" w:hAnsi="Times New Roman"/>
          <w:sz w:val="20"/>
          <w:szCs w:val="20"/>
        </w:rPr>
      </w:pPr>
      <w:r w:rsidRPr="001C43C6">
        <w:rPr>
          <w:rFonts w:ascii="Times New Roman" w:hAnsi="Times New Roman"/>
          <w:sz w:val="20"/>
          <w:szCs w:val="20"/>
        </w:rPr>
        <w:t>Cumulative development performance was strong across 38 development outpu</w:t>
      </w:r>
      <w:r w:rsidR="001E5827">
        <w:rPr>
          <w:rFonts w:ascii="Times New Roman" w:hAnsi="Times New Roman"/>
          <w:sz w:val="20"/>
          <w:szCs w:val="20"/>
        </w:rPr>
        <w:t>t</w:t>
      </w:r>
      <w:r w:rsidRPr="001C43C6">
        <w:rPr>
          <w:rFonts w:ascii="Times New Roman" w:hAnsi="Times New Roman"/>
          <w:sz w:val="20"/>
          <w:szCs w:val="20"/>
        </w:rPr>
        <w:t xml:space="preserve">s and seven outcomes </w:t>
      </w:r>
      <w:r w:rsidR="00834062">
        <w:rPr>
          <w:rFonts w:ascii="Times New Roman" w:hAnsi="Times New Roman"/>
          <w:sz w:val="20"/>
          <w:szCs w:val="20"/>
        </w:rPr>
        <w:t xml:space="preserve">for which </w:t>
      </w:r>
      <w:r w:rsidRPr="00AF2579">
        <w:rPr>
          <w:rFonts w:ascii="Times New Roman" w:hAnsi="Times New Roman"/>
          <w:sz w:val="20"/>
          <w:szCs w:val="20"/>
        </w:rPr>
        <w:t>UNDP provided support to countries</w:t>
      </w:r>
      <w:r w:rsidR="00095A9D" w:rsidRPr="00AF2579">
        <w:rPr>
          <w:rFonts w:ascii="Times New Roman" w:hAnsi="Times New Roman"/>
          <w:sz w:val="20"/>
          <w:szCs w:val="20"/>
        </w:rPr>
        <w:t>.  B</w:t>
      </w:r>
      <w:r w:rsidRPr="00AF2579">
        <w:rPr>
          <w:rFonts w:ascii="Times New Roman" w:hAnsi="Times New Roman"/>
          <w:sz w:val="20"/>
          <w:szCs w:val="20"/>
        </w:rPr>
        <w:t xml:space="preserve">y </w:t>
      </w:r>
      <w:r w:rsidR="00496F56" w:rsidRPr="00AF2579">
        <w:rPr>
          <w:rFonts w:ascii="Times New Roman" w:hAnsi="Times New Roman"/>
          <w:sz w:val="20"/>
          <w:szCs w:val="20"/>
        </w:rPr>
        <w:t xml:space="preserve">the </w:t>
      </w:r>
      <w:r w:rsidRPr="00AF2579">
        <w:rPr>
          <w:rFonts w:ascii="Times New Roman" w:hAnsi="Times New Roman"/>
          <w:sz w:val="20"/>
          <w:szCs w:val="20"/>
        </w:rPr>
        <w:t xml:space="preserve">end </w:t>
      </w:r>
      <w:r w:rsidR="00496F56" w:rsidRPr="00AF2579">
        <w:rPr>
          <w:rFonts w:ascii="Times New Roman" w:hAnsi="Times New Roman"/>
          <w:sz w:val="20"/>
          <w:szCs w:val="20"/>
        </w:rPr>
        <w:t xml:space="preserve">of </w:t>
      </w:r>
      <w:r w:rsidRPr="00AF2579">
        <w:rPr>
          <w:rFonts w:ascii="Times New Roman" w:hAnsi="Times New Roman"/>
          <w:sz w:val="20"/>
          <w:szCs w:val="20"/>
        </w:rPr>
        <w:t>2017</w:t>
      </w:r>
      <w:r w:rsidR="00496F56" w:rsidRPr="00834062">
        <w:rPr>
          <w:rFonts w:ascii="Times New Roman" w:hAnsi="Times New Roman"/>
          <w:sz w:val="20"/>
          <w:szCs w:val="20"/>
        </w:rPr>
        <w:t xml:space="preserve">, </w:t>
      </w:r>
      <w:r w:rsidRPr="00834062">
        <w:rPr>
          <w:rFonts w:ascii="Times New Roman" w:hAnsi="Times New Roman"/>
          <w:sz w:val="20"/>
          <w:szCs w:val="20"/>
        </w:rPr>
        <w:t xml:space="preserve">targets were </w:t>
      </w:r>
      <w:r w:rsidR="001E5827">
        <w:rPr>
          <w:rFonts w:ascii="Times New Roman" w:hAnsi="Times New Roman"/>
          <w:sz w:val="20"/>
          <w:szCs w:val="20"/>
        </w:rPr>
        <w:t xml:space="preserve">met or </w:t>
      </w:r>
      <w:r w:rsidRPr="00834062">
        <w:rPr>
          <w:rFonts w:ascii="Times New Roman" w:hAnsi="Times New Roman"/>
          <w:sz w:val="20"/>
          <w:szCs w:val="20"/>
        </w:rPr>
        <w:t xml:space="preserve">exceeded </w:t>
      </w:r>
      <w:r w:rsidR="00834062">
        <w:rPr>
          <w:rFonts w:ascii="Times New Roman" w:hAnsi="Times New Roman"/>
          <w:sz w:val="20"/>
          <w:szCs w:val="20"/>
        </w:rPr>
        <w:t>for</w:t>
      </w:r>
      <w:r w:rsidR="00834062" w:rsidRPr="00834062">
        <w:rPr>
          <w:rFonts w:ascii="Times New Roman" w:hAnsi="Times New Roman"/>
          <w:sz w:val="20"/>
          <w:szCs w:val="20"/>
        </w:rPr>
        <w:t xml:space="preserve"> </w:t>
      </w:r>
      <w:r w:rsidRPr="00834062">
        <w:rPr>
          <w:rFonts w:ascii="Times New Roman" w:hAnsi="Times New Roman"/>
          <w:sz w:val="20"/>
          <w:szCs w:val="20"/>
        </w:rPr>
        <w:t xml:space="preserve">20 outputs, </w:t>
      </w:r>
      <w:r w:rsidR="00834062">
        <w:rPr>
          <w:rFonts w:ascii="Times New Roman" w:hAnsi="Times New Roman"/>
          <w:sz w:val="20"/>
          <w:szCs w:val="20"/>
        </w:rPr>
        <w:t xml:space="preserve">targets for </w:t>
      </w:r>
      <w:r w:rsidRPr="00834062">
        <w:rPr>
          <w:rFonts w:ascii="Times New Roman" w:hAnsi="Times New Roman"/>
          <w:sz w:val="20"/>
          <w:szCs w:val="20"/>
        </w:rPr>
        <w:t>1</w:t>
      </w:r>
      <w:r w:rsidR="00C53216">
        <w:rPr>
          <w:rFonts w:ascii="Times New Roman" w:hAnsi="Times New Roman"/>
          <w:sz w:val="20"/>
          <w:szCs w:val="20"/>
        </w:rPr>
        <w:t>6</w:t>
      </w:r>
      <w:r w:rsidRPr="00834062">
        <w:rPr>
          <w:rFonts w:ascii="Times New Roman" w:hAnsi="Times New Roman"/>
          <w:sz w:val="20"/>
          <w:szCs w:val="20"/>
        </w:rPr>
        <w:t xml:space="preserve"> </w:t>
      </w:r>
      <w:r w:rsidR="00834062">
        <w:rPr>
          <w:rFonts w:ascii="Times New Roman" w:hAnsi="Times New Roman"/>
          <w:sz w:val="20"/>
          <w:szCs w:val="20"/>
        </w:rPr>
        <w:t xml:space="preserve">outputs were </w:t>
      </w:r>
      <w:r w:rsidRPr="00834062">
        <w:rPr>
          <w:rFonts w:ascii="Times New Roman" w:hAnsi="Times New Roman"/>
          <w:sz w:val="20"/>
          <w:szCs w:val="20"/>
        </w:rPr>
        <w:t xml:space="preserve">missed by less than 10 per cent and </w:t>
      </w:r>
      <w:r w:rsidR="00834062">
        <w:rPr>
          <w:rFonts w:ascii="Times New Roman" w:hAnsi="Times New Roman"/>
          <w:sz w:val="20"/>
          <w:szCs w:val="20"/>
        </w:rPr>
        <w:t xml:space="preserve">for </w:t>
      </w:r>
      <w:r w:rsidRPr="00834062">
        <w:rPr>
          <w:rFonts w:ascii="Times New Roman" w:hAnsi="Times New Roman"/>
          <w:sz w:val="20"/>
          <w:szCs w:val="20"/>
        </w:rPr>
        <w:t>only two outputs between 80</w:t>
      </w:r>
      <w:r w:rsidR="00834062">
        <w:rPr>
          <w:rFonts w:ascii="Times New Roman" w:hAnsi="Times New Roman"/>
          <w:sz w:val="20"/>
          <w:szCs w:val="20"/>
        </w:rPr>
        <w:t xml:space="preserve"> and </w:t>
      </w:r>
      <w:r w:rsidRPr="00834062">
        <w:rPr>
          <w:rFonts w:ascii="Times New Roman" w:hAnsi="Times New Roman"/>
          <w:sz w:val="20"/>
          <w:szCs w:val="20"/>
        </w:rPr>
        <w:t>90 per</w:t>
      </w:r>
      <w:r w:rsidR="00834062">
        <w:rPr>
          <w:rFonts w:ascii="Times New Roman" w:hAnsi="Times New Roman"/>
          <w:sz w:val="20"/>
          <w:szCs w:val="20"/>
        </w:rPr>
        <w:t xml:space="preserve"> </w:t>
      </w:r>
      <w:r w:rsidRPr="00834062">
        <w:rPr>
          <w:rFonts w:ascii="Times New Roman" w:hAnsi="Times New Roman"/>
          <w:sz w:val="20"/>
          <w:szCs w:val="20"/>
        </w:rPr>
        <w:t>cent of the target</w:t>
      </w:r>
      <w:r w:rsidR="00834062">
        <w:rPr>
          <w:rFonts w:ascii="Times New Roman" w:hAnsi="Times New Roman"/>
          <w:sz w:val="20"/>
          <w:szCs w:val="20"/>
        </w:rPr>
        <w:t>s were met</w:t>
      </w:r>
      <w:r w:rsidRPr="00834062">
        <w:rPr>
          <w:rFonts w:ascii="Times New Roman" w:hAnsi="Times New Roman"/>
          <w:sz w:val="20"/>
          <w:szCs w:val="20"/>
        </w:rPr>
        <w:t>.</w:t>
      </w:r>
      <w:r w:rsidRPr="00AF2579">
        <w:rPr>
          <w:rFonts w:ascii="Times New Roman" w:hAnsi="Times New Roman"/>
          <w:b/>
          <w:sz w:val="20"/>
          <w:szCs w:val="20"/>
        </w:rPr>
        <w:t xml:space="preserve"> </w:t>
      </w:r>
      <w:r w:rsidRPr="00AF2579">
        <w:rPr>
          <w:rFonts w:ascii="Times New Roman" w:hAnsi="Times New Roman"/>
          <w:sz w:val="20"/>
          <w:szCs w:val="20"/>
        </w:rPr>
        <w:t>The strongest results were seen under disaster prevention and risk management (</w:t>
      </w:r>
      <w:r w:rsidR="00920AD4">
        <w:rPr>
          <w:rFonts w:ascii="Times New Roman" w:hAnsi="Times New Roman"/>
          <w:sz w:val="20"/>
          <w:szCs w:val="20"/>
        </w:rPr>
        <w:t>o</w:t>
      </w:r>
      <w:r w:rsidR="00920AD4" w:rsidRPr="00AF2579">
        <w:rPr>
          <w:rFonts w:ascii="Times New Roman" w:hAnsi="Times New Roman"/>
          <w:sz w:val="20"/>
          <w:szCs w:val="20"/>
        </w:rPr>
        <w:t xml:space="preserve">utcome </w:t>
      </w:r>
      <w:r w:rsidRPr="00AF2579">
        <w:rPr>
          <w:rFonts w:ascii="Times New Roman" w:hAnsi="Times New Roman"/>
          <w:sz w:val="20"/>
          <w:szCs w:val="20"/>
        </w:rPr>
        <w:t>5) and thought leadership (</w:t>
      </w:r>
      <w:r w:rsidR="00920AD4">
        <w:rPr>
          <w:rFonts w:ascii="Times New Roman" w:hAnsi="Times New Roman"/>
          <w:sz w:val="20"/>
          <w:szCs w:val="20"/>
        </w:rPr>
        <w:t>o</w:t>
      </w:r>
      <w:r w:rsidR="00920AD4" w:rsidRPr="00AF2579">
        <w:rPr>
          <w:rFonts w:ascii="Times New Roman" w:hAnsi="Times New Roman"/>
          <w:sz w:val="20"/>
          <w:szCs w:val="20"/>
        </w:rPr>
        <w:t xml:space="preserve">utcome </w:t>
      </w:r>
      <w:r w:rsidRPr="00AF2579">
        <w:rPr>
          <w:rFonts w:ascii="Times New Roman" w:hAnsi="Times New Roman"/>
          <w:sz w:val="20"/>
          <w:szCs w:val="20"/>
        </w:rPr>
        <w:t xml:space="preserve">7). </w:t>
      </w:r>
    </w:p>
    <w:p w:rsidR="001C43C6" w:rsidRPr="00434C41" w:rsidRDefault="00901371" w:rsidP="00434C41">
      <w:pPr>
        <w:pStyle w:val="ListParagraph"/>
        <w:tabs>
          <w:tab w:val="left" w:pos="450"/>
          <w:tab w:val="left" w:pos="900"/>
        </w:tabs>
        <w:spacing w:after="0" w:line="240" w:lineRule="auto"/>
        <w:ind w:left="630"/>
        <w:jc w:val="both"/>
        <w:rPr>
          <w:sz w:val="12"/>
          <w:szCs w:val="12"/>
        </w:rPr>
      </w:pPr>
      <w:r w:rsidRPr="00CF2658">
        <w:rPr>
          <w:rFonts w:ascii="Times New Roman" w:hAnsi="Times New Roman"/>
          <w:sz w:val="20"/>
          <w:szCs w:val="20"/>
        </w:rPr>
        <w:t xml:space="preserve">   </w:t>
      </w:r>
    </w:p>
    <w:p w:rsidR="00CF2658" w:rsidRPr="00CF2658" w:rsidRDefault="008F6B68" w:rsidP="00434C41">
      <w:pPr>
        <w:pStyle w:val="ListParagraph"/>
        <w:numPr>
          <w:ilvl w:val="0"/>
          <w:numId w:val="11"/>
        </w:numPr>
        <w:tabs>
          <w:tab w:val="left" w:pos="450"/>
          <w:tab w:val="left" w:pos="900"/>
        </w:tabs>
        <w:spacing w:after="0" w:line="240" w:lineRule="auto"/>
        <w:ind w:left="630" w:firstLine="0"/>
        <w:jc w:val="both"/>
        <w:rPr>
          <w:sz w:val="20"/>
          <w:szCs w:val="20"/>
        </w:rPr>
      </w:pPr>
      <w:r w:rsidRPr="00920AD4">
        <w:rPr>
          <w:rFonts w:ascii="Times New Roman" w:hAnsi="Times New Roman"/>
          <w:sz w:val="20"/>
          <w:szCs w:val="20"/>
        </w:rPr>
        <w:t>S</w:t>
      </w:r>
      <w:r w:rsidR="007656C4" w:rsidRPr="00920AD4">
        <w:rPr>
          <w:rFonts w:ascii="Times New Roman" w:hAnsi="Times New Roman"/>
          <w:sz w:val="20"/>
          <w:szCs w:val="20"/>
        </w:rPr>
        <w:t xml:space="preserve">upport </w:t>
      </w:r>
      <w:r w:rsidRPr="00920AD4">
        <w:rPr>
          <w:rFonts w:ascii="Times New Roman" w:hAnsi="Times New Roman"/>
          <w:sz w:val="20"/>
          <w:szCs w:val="20"/>
        </w:rPr>
        <w:t xml:space="preserve">for </w:t>
      </w:r>
      <w:r w:rsidR="00920AD4">
        <w:rPr>
          <w:rFonts w:ascii="Times New Roman" w:hAnsi="Times New Roman"/>
          <w:sz w:val="20"/>
          <w:szCs w:val="20"/>
        </w:rPr>
        <w:t xml:space="preserve">the 2030 </w:t>
      </w:r>
      <w:r w:rsidR="00E95C67" w:rsidRPr="00920AD4">
        <w:rPr>
          <w:rFonts w:ascii="Times New Roman" w:hAnsi="Times New Roman"/>
          <w:sz w:val="20"/>
          <w:szCs w:val="20"/>
        </w:rPr>
        <w:t xml:space="preserve">Agenda </w:t>
      </w:r>
      <w:r w:rsidR="00920AD4">
        <w:rPr>
          <w:rFonts w:ascii="Times New Roman" w:hAnsi="Times New Roman"/>
          <w:sz w:val="20"/>
          <w:szCs w:val="20"/>
        </w:rPr>
        <w:t>for Sustainable Development</w:t>
      </w:r>
      <w:r w:rsidR="00920AD4" w:rsidRPr="00920AD4">
        <w:rPr>
          <w:rFonts w:ascii="Times New Roman" w:hAnsi="Times New Roman"/>
          <w:sz w:val="20"/>
          <w:szCs w:val="20"/>
        </w:rPr>
        <w:t xml:space="preserve"> </w:t>
      </w:r>
      <w:r w:rsidRPr="00920AD4">
        <w:rPr>
          <w:rFonts w:ascii="Times New Roman" w:hAnsi="Times New Roman"/>
          <w:sz w:val="20"/>
          <w:szCs w:val="20"/>
        </w:rPr>
        <w:t xml:space="preserve">and the </w:t>
      </w:r>
      <w:r w:rsidR="00545108" w:rsidRPr="00920AD4">
        <w:rPr>
          <w:rFonts w:ascii="Times New Roman" w:hAnsi="Times New Roman"/>
          <w:sz w:val="20"/>
          <w:szCs w:val="20"/>
        </w:rPr>
        <w:t>S</w:t>
      </w:r>
      <w:r w:rsidRPr="00920AD4">
        <w:rPr>
          <w:rFonts w:ascii="Times New Roman" w:hAnsi="Times New Roman"/>
          <w:sz w:val="20"/>
          <w:szCs w:val="20"/>
        </w:rPr>
        <w:t xml:space="preserve">ustainable </w:t>
      </w:r>
      <w:r w:rsidR="00545108" w:rsidRPr="00920AD4">
        <w:rPr>
          <w:rFonts w:ascii="Times New Roman" w:hAnsi="Times New Roman"/>
          <w:sz w:val="20"/>
          <w:szCs w:val="20"/>
        </w:rPr>
        <w:t>D</w:t>
      </w:r>
      <w:r w:rsidRPr="00920AD4">
        <w:rPr>
          <w:rFonts w:ascii="Times New Roman" w:hAnsi="Times New Roman"/>
          <w:sz w:val="20"/>
          <w:szCs w:val="20"/>
        </w:rPr>
        <w:t xml:space="preserve">evelopment </w:t>
      </w:r>
      <w:r w:rsidR="00545108" w:rsidRPr="00920AD4">
        <w:rPr>
          <w:rFonts w:ascii="Times New Roman" w:hAnsi="Times New Roman"/>
          <w:sz w:val="20"/>
          <w:szCs w:val="20"/>
        </w:rPr>
        <w:t>G</w:t>
      </w:r>
      <w:r w:rsidR="00F54FD9">
        <w:rPr>
          <w:rFonts w:ascii="Times New Roman" w:hAnsi="Times New Roman"/>
          <w:sz w:val="20"/>
          <w:szCs w:val="20"/>
        </w:rPr>
        <w:t>oals</w:t>
      </w:r>
      <w:r w:rsidR="00545108" w:rsidRPr="00920AD4">
        <w:rPr>
          <w:rFonts w:ascii="Times New Roman" w:hAnsi="Times New Roman"/>
          <w:sz w:val="20"/>
          <w:szCs w:val="20"/>
        </w:rPr>
        <w:t xml:space="preserve"> </w:t>
      </w:r>
      <w:r w:rsidRPr="00920AD4">
        <w:rPr>
          <w:rFonts w:ascii="Times New Roman" w:hAnsi="Times New Roman"/>
          <w:sz w:val="20"/>
          <w:szCs w:val="20"/>
        </w:rPr>
        <w:t>is well</w:t>
      </w:r>
      <w:r w:rsidR="007656C4" w:rsidRPr="00920AD4">
        <w:rPr>
          <w:rFonts w:ascii="Times New Roman" w:hAnsi="Times New Roman"/>
          <w:sz w:val="20"/>
          <w:szCs w:val="20"/>
        </w:rPr>
        <w:t xml:space="preserve"> underway</w:t>
      </w:r>
      <w:r w:rsidR="00E95C67" w:rsidRPr="00920AD4">
        <w:rPr>
          <w:rFonts w:ascii="Times New Roman" w:hAnsi="Times New Roman"/>
          <w:sz w:val="20"/>
          <w:szCs w:val="20"/>
        </w:rPr>
        <w:t>.</w:t>
      </w:r>
      <w:r w:rsidR="00E95C67" w:rsidRPr="00CF2658">
        <w:rPr>
          <w:rFonts w:ascii="Times New Roman" w:hAnsi="Times New Roman"/>
          <w:sz w:val="20"/>
          <w:szCs w:val="20"/>
        </w:rPr>
        <w:t xml:space="preserve"> </w:t>
      </w:r>
      <w:r w:rsidR="005A6FF8" w:rsidRPr="00CF2658">
        <w:rPr>
          <w:rFonts w:ascii="Times New Roman" w:hAnsi="Times New Roman"/>
          <w:sz w:val="20"/>
          <w:szCs w:val="20"/>
        </w:rPr>
        <w:t xml:space="preserve">Key support provided through </w:t>
      </w:r>
      <w:r w:rsidR="00C26E56" w:rsidRPr="00CF2658">
        <w:rPr>
          <w:rFonts w:ascii="Times New Roman" w:hAnsi="Times New Roman"/>
          <w:sz w:val="20"/>
          <w:szCs w:val="20"/>
        </w:rPr>
        <w:t>the Mainstreaming, Accel</w:t>
      </w:r>
      <w:r w:rsidR="00114751" w:rsidRPr="00CF2658">
        <w:rPr>
          <w:rFonts w:ascii="Times New Roman" w:hAnsi="Times New Roman"/>
          <w:sz w:val="20"/>
          <w:szCs w:val="20"/>
        </w:rPr>
        <w:t>er</w:t>
      </w:r>
      <w:r w:rsidR="00C26E56" w:rsidRPr="00CF2658">
        <w:rPr>
          <w:rFonts w:ascii="Times New Roman" w:hAnsi="Times New Roman"/>
          <w:sz w:val="20"/>
          <w:szCs w:val="20"/>
        </w:rPr>
        <w:t>at</w:t>
      </w:r>
      <w:r w:rsidR="00114751" w:rsidRPr="00CF2658">
        <w:rPr>
          <w:rFonts w:ascii="Times New Roman" w:hAnsi="Times New Roman"/>
          <w:sz w:val="20"/>
          <w:szCs w:val="20"/>
        </w:rPr>
        <w:t>i</w:t>
      </w:r>
      <w:r w:rsidR="00C26E56" w:rsidRPr="00CF2658">
        <w:rPr>
          <w:rFonts w:ascii="Times New Roman" w:hAnsi="Times New Roman"/>
          <w:sz w:val="20"/>
          <w:szCs w:val="20"/>
        </w:rPr>
        <w:t>on and Policy Supp</w:t>
      </w:r>
      <w:r w:rsidR="00114751" w:rsidRPr="00CF2658">
        <w:rPr>
          <w:rFonts w:ascii="Times New Roman" w:hAnsi="Times New Roman"/>
          <w:sz w:val="20"/>
          <w:szCs w:val="20"/>
        </w:rPr>
        <w:t>o</w:t>
      </w:r>
      <w:r w:rsidR="00C26E56" w:rsidRPr="00CF2658">
        <w:rPr>
          <w:rFonts w:ascii="Times New Roman" w:hAnsi="Times New Roman"/>
          <w:sz w:val="20"/>
          <w:szCs w:val="20"/>
        </w:rPr>
        <w:t>rt</w:t>
      </w:r>
      <w:r w:rsidR="00114751" w:rsidRPr="00CF2658">
        <w:rPr>
          <w:rFonts w:ascii="Times New Roman" w:hAnsi="Times New Roman"/>
          <w:sz w:val="20"/>
          <w:szCs w:val="20"/>
        </w:rPr>
        <w:t xml:space="preserve"> (MAPS) approach</w:t>
      </w:r>
      <w:r w:rsidR="00E67741">
        <w:rPr>
          <w:rFonts w:ascii="Times New Roman" w:hAnsi="Times New Roman"/>
          <w:sz w:val="20"/>
          <w:szCs w:val="20"/>
        </w:rPr>
        <w:t xml:space="preserve"> was </w:t>
      </w:r>
      <w:r w:rsidR="006B0D91">
        <w:rPr>
          <w:rFonts w:ascii="Times New Roman" w:hAnsi="Times New Roman"/>
          <w:sz w:val="20"/>
          <w:szCs w:val="20"/>
        </w:rPr>
        <w:t xml:space="preserve">revamped using </w:t>
      </w:r>
      <w:r w:rsidR="006B0D91" w:rsidRPr="00F74FE7">
        <w:rPr>
          <w:rFonts w:ascii="Times New Roman" w:hAnsi="Times New Roman"/>
          <w:sz w:val="20"/>
          <w:szCs w:val="20"/>
        </w:rPr>
        <w:t>l</w:t>
      </w:r>
      <w:r w:rsidR="00E95C67" w:rsidRPr="00F74FE7">
        <w:rPr>
          <w:rFonts w:ascii="Times New Roman" w:hAnsi="Times New Roman"/>
          <w:sz w:val="20"/>
          <w:szCs w:val="20"/>
        </w:rPr>
        <w:t>essons learned</w:t>
      </w:r>
      <w:r w:rsidR="00E95C67" w:rsidRPr="00CF2658">
        <w:rPr>
          <w:rFonts w:ascii="Times New Roman" w:hAnsi="Times New Roman"/>
          <w:sz w:val="20"/>
          <w:szCs w:val="20"/>
        </w:rPr>
        <w:t xml:space="preserve"> from the first year</w:t>
      </w:r>
      <w:r w:rsidR="00504247" w:rsidRPr="00CF2658">
        <w:rPr>
          <w:rFonts w:ascii="Times New Roman" w:hAnsi="Times New Roman"/>
          <w:sz w:val="20"/>
          <w:szCs w:val="20"/>
        </w:rPr>
        <w:t xml:space="preserve"> of MAPS missions</w:t>
      </w:r>
      <w:r w:rsidR="006B0D91">
        <w:rPr>
          <w:rFonts w:ascii="Times New Roman" w:hAnsi="Times New Roman"/>
          <w:sz w:val="20"/>
          <w:szCs w:val="20"/>
        </w:rPr>
        <w:t xml:space="preserve">. </w:t>
      </w:r>
      <w:r w:rsidR="00E95C67" w:rsidRPr="00CF2658">
        <w:rPr>
          <w:rFonts w:ascii="Times New Roman" w:hAnsi="Times New Roman"/>
          <w:sz w:val="20"/>
          <w:szCs w:val="20"/>
        </w:rPr>
        <w:t>UNDP reoriented approaches in 2017 to make the missions a cross</w:t>
      </w:r>
      <w:r w:rsidR="00920AD4">
        <w:rPr>
          <w:rFonts w:ascii="Times New Roman" w:hAnsi="Times New Roman"/>
          <w:sz w:val="20"/>
          <w:szCs w:val="20"/>
        </w:rPr>
        <w:t>-</w:t>
      </w:r>
      <w:r w:rsidR="00E95C67" w:rsidRPr="00CF2658">
        <w:rPr>
          <w:rFonts w:ascii="Times New Roman" w:hAnsi="Times New Roman"/>
          <w:sz w:val="20"/>
          <w:szCs w:val="20"/>
        </w:rPr>
        <w:t>agency and multi-partner initiative</w:t>
      </w:r>
      <w:r w:rsidR="00810E0E">
        <w:rPr>
          <w:rFonts w:ascii="Times New Roman" w:hAnsi="Times New Roman"/>
          <w:sz w:val="20"/>
          <w:szCs w:val="20"/>
        </w:rPr>
        <w:t xml:space="preserve">, </w:t>
      </w:r>
      <w:r w:rsidR="00E95C67" w:rsidRPr="00CF2658">
        <w:rPr>
          <w:rFonts w:ascii="Times New Roman" w:hAnsi="Times New Roman"/>
          <w:sz w:val="20"/>
          <w:szCs w:val="20"/>
        </w:rPr>
        <w:t>which succeeded in bringing in United Nations organizations along with the World Bank, Asian Development Bank</w:t>
      </w:r>
      <w:r w:rsidR="00810E0E">
        <w:rPr>
          <w:rFonts w:ascii="Times New Roman" w:hAnsi="Times New Roman"/>
          <w:sz w:val="20"/>
          <w:szCs w:val="20"/>
        </w:rPr>
        <w:t xml:space="preserve"> </w:t>
      </w:r>
      <w:r w:rsidR="00E95C67" w:rsidRPr="00CF2658">
        <w:rPr>
          <w:rFonts w:ascii="Times New Roman" w:hAnsi="Times New Roman"/>
          <w:sz w:val="20"/>
          <w:szCs w:val="20"/>
        </w:rPr>
        <w:t xml:space="preserve">and </w:t>
      </w:r>
      <w:r w:rsidR="00920AD4">
        <w:rPr>
          <w:rFonts w:ascii="Times New Roman" w:hAnsi="Times New Roman"/>
          <w:sz w:val="20"/>
          <w:szCs w:val="20"/>
        </w:rPr>
        <w:t>Organisation for Economic Co-operation and Development</w:t>
      </w:r>
      <w:r w:rsidR="00D51914">
        <w:rPr>
          <w:rFonts w:ascii="Times New Roman" w:hAnsi="Times New Roman"/>
          <w:sz w:val="20"/>
          <w:szCs w:val="20"/>
        </w:rPr>
        <w:t>;</w:t>
      </w:r>
      <w:r w:rsidR="00D51914" w:rsidRPr="00CF2658">
        <w:rPr>
          <w:rFonts w:ascii="Times New Roman" w:hAnsi="Times New Roman"/>
          <w:sz w:val="20"/>
          <w:szCs w:val="20"/>
        </w:rPr>
        <w:t xml:space="preserve"> </w:t>
      </w:r>
      <w:r w:rsidR="00E95C67" w:rsidRPr="00CF2658">
        <w:rPr>
          <w:rFonts w:ascii="Times New Roman" w:hAnsi="Times New Roman"/>
          <w:sz w:val="20"/>
          <w:szCs w:val="20"/>
        </w:rPr>
        <w:t xml:space="preserve">and rolled out new </w:t>
      </w:r>
      <w:r w:rsidR="00920AD4">
        <w:rPr>
          <w:rFonts w:ascii="Times New Roman" w:hAnsi="Times New Roman"/>
          <w:sz w:val="20"/>
          <w:szCs w:val="20"/>
        </w:rPr>
        <w:t>s</w:t>
      </w:r>
      <w:r w:rsidR="00920AD4" w:rsidRPr="00CF2658">
        <w:rPr>
          <w:rFonts w:ascii="Times New Roman" w:hAnsi="Times New Roman"/>
          <w:sz w:val="20"/>
          <w:szCs w:val="20"/>
        </w:rPr>
        <w:t xml:space="preserve">tandard </w:t>
      </w:r>
      <w:r w:rsidR="00920AD4">
        <w:rPr>
          <w:rFonts w:ascii="Times New Roman" w:hAnsi="Times New Roman"/>
          <w:sz w:val="20"/>
          <w:szCs w:val="20"/>
        </w:rPr>
        <w:t>o</w:t>
      </w:r>
      <w:r w:rsidR="00920AD4" w:rsidRPr="00CF2658">
        <w:rPr>
          <w:rFonts w:ascii="Times New Roman" w:hAnsi="Times New Roman"/>
          <w:sz w:val="20"/>
          <w:szCs w:val="20"/>
        </w:rPr>
        <w:t xml:space="preserve">perating </w:t>
      </w:r>
      <w:r w:rsidR="00920AD4">
        <w:rPr>
          <w:rFonts w:ascii="Times New Roman" w:hAnsi="Times New Roman"/>
          <w:sz w:val="20"/>
          <w:szCs w:val="20"/>
        </w:rPr>
        <w:t>p</w:t>
      </w:r>
      <w:r w:rsidR="00920AD4" w:rsidRPr="00CF2658">
        <w:rPr>
          <w:rFonts w:ascii="Times New Roman" w:hAnsi="Times New Roman"/>
          <w:sz w:val="20"/>
          <w:szCs w:val="20"/>
        </w:rPr>
        <w:t xml:space="preserve">rocedures </w:t>
      </w:r>
      <w:r w:rsidR="00E95C67" w:rsidRPr="00CF2658">
        <w:rPr>
          <w:rFonts w:ascii="Times New Roman" w:hAnsi="Times New Roman"/>
          <w:sz w:val="20"/>
          <w:szCs w:val="20"/>
        </w:rPr>
        <w:t>that focus on critical aspects</w:t>
      </w:r>
      <w:r w:rsidR="001871DC">
        <w:rPr>
          <w:rFonts w:ascii="Times New Roman" w:hAnsi="Times New Roman"/>
          <w:sz w:val="20"/>
          <w:szCs w:val="20"/>
        </w:rPr>
        <w:t>,</w:t>
      </w:r>
      <w:r w:rsidR="00E95C67" w:rsidRPr="00CF2658">
        <w:rPr>
          <w:rFonts w:ascii="Times New Roman" w:hAnsi="Times New Roman"/>
          <w:sz w:val="20"/>
          <w:szCs w:val="20"/>
        </w:rPr>
        <w:t xml:space="preserve"> including gender and </w:t>
      </w:r>
      <w:r w:rsidR="00920AD4" w:rsidRPr="00CF2658">
        <w:rPr>
          <w:rFonts w:ascii="Times New Roman" w:hAnsi="Times New Roman"/>
          <w:sz w:val="20"/>
          <w:szCs w:val="20"/>
        </w:rPr>
        <w:t>leav</w:t>
      </w:r>
      <w:r w:rsidR="00920AD4">
        <w:rPr>
          <w:rFonts w:ascii="Times New Roman" w:hAnsi="Times New Roman"/>
          <w:sz w:val="20"/>
          <w:szCs w:val="20"/>
        </w:rPr>
        <w:t>ing</w:t>
      </w:r>
      <w:r w:rsidR="00920AD4" w:rsidRPr="00CF2658">
        <w:rPr>
          <w:rFonts w:ascii="Times New Roman" w:hAnsi="Times New Roman"/>
          <w:sz w:val="20"/>
          <w:szCs w:val="20"/>
        </w:rPr>
        <w:t xml:space="preserve"> </w:t>
      </w:r>
      <w:r w:rsidR="00E95C67" w:rsidRPr="00CF2658">
        <w:rPr>
          <w:rFonts w:ascii="Times New Roman" w:hAnsi="Times New Roman"/>
          <w:sz w:val="20"/>
          <w:szCs w:val="20"/>
        </w:rPr>
        <w:t>no one behind</w:t>
      </w:r>
      <w:r w:rsidR="00CF2658">
        <w:rPr>
          <w:rFonts w:ascii="Times New Roman" w:hAnsi="Times New Roman"/>
          <w:sz w:val="20"/>
          <w:szCs w:val="20"/>
        </w:rPr>
        <w:t>.</w:t>
      </w:r>
    </w:p>
    <w:p w:rsidR="00E95C67" w:rsidRPr="00434C41" w:rsidRDefault="00E95C67" w:rsidP="00434C41">
      <w:pPr>
        <w:pStyle w:val="ListParagraph"/>
        <w:tabs>
          <w:tab w:val="left" w:pos="450"/>
          <w:tab w:val="left" w:pos="900"/>
        </w:tabs>
        <w:spacing w:after="0" w:line="240" w:lineRule="auto"/>
        <w:ind w:left="630"/>
        <w:jc w:val="both"/>
        <w:rPr>
          <w:rFonts w:ascii="Times New Roman" w:hAnsi="Times New Roman"/>
          <w:sz w:val="12"/>
          <w:szCs w:val="12"/>
        </w:rPr>
      </w:pPr>
    </w:p>
    <w:p w:rsidR="00B445C9" w:rsidRPr="00BB06AF" w:rsidRDefault="00E95C67" w:rsidP="00434C41">
      <w:pPr>
        <w:pStyle w:val="ListParagraph"/>
        <w:numPr>
          <w:ilvl w:val="0"/>
          <w:numId w:val="11"/>
        </w:numPr>
        <w:tabs>
          <w:tab w:val="left" w:pos="450"/>
          <w:tab w:val="left" w:pos="900"/>
        </w:tabs>
        <w:spacing w:after="0" w:line="240" w:lineRule="auto"/>
        <w:ind w:left="630" w:firstLine="0"/>
        <w:jc w:val="both"/>
        <w:rPr>
          <w:rFonts w:ascii="Times New Roman" w:hAnsi="Times New Roman"/>
          <w:sz w:val="20"/>
          <w:szCs w:val="20"/>
        </w:rPr>
      </w:pPr>
      <w:r w:rsidRPr="00920AD4">
        <w:rPr>
          <w:rFonts w:ascii="Times New Roman" w:hAnsi="Times New Roman"/>
          <w:sz w:val="20"/>
          <w:szCs w:val="20"/>
        </w:rPr>
        <w:t>Responses to new challenges</w:t>
      </w:r>
      <w:r w:rsidR="00E128D4" w:rsidRPr="00920AD4">
        <w:rPr>
          <w:rFonts w:ascii="Times New Roman" w:hAnsi="Times New Roman"/>
          <w:sz w:val="20"/>
          <w:szCs w:val="20"/>
        </w:rPr>
        <w:t xml:space="preserve"> have been consolidated</w:t>
      </w:r>
      <w:r w:rsidR="00E128D4">
        <w:rPr>
          <w:rFonts w:ascii="Times New Roman" w:hAnsi="Times New Roman"/>
          <w:b/>
          <w:sz w:val="20"/>
          <w:szCs w:val="20"/>
        </w:rPr>
        <w:t xml:space="preserve">, </w:t>
      </w:r>
      <w:r w:rsidR="00E128D4" w:rsidRPr="00E128D4">
        <w:rPr>
          <w:rFonts w:ascii="Times New Roman" w:hAnsi="Times New Roman"/>
          <w:sz w:val="20"/>
          <w:szCs w:val="20"/>
        </w:rPr>
        <w:t xml:space="preserve">including </w:t>
      </w:r>
      <w:r w:rsidRPr="00EC22A7">
        <w:rPr>
          <w:rFonts w:ascii="Times New Roman" w:hAnsi="Times New Roman"/>
          <w:sz w:val="20"/>
          <w:szCs w:val="20"/>
        </w:rPr>
        <w:t>prevention of violent extremism</w:t>
      </w:r>
      <w:r w:rsidR="00920AD4">
        <w:rPr>
          <w:rFonts w:ascii="Times New Roman" w:hAnsi="Times New Roman"/>
          <w:sz w:val="20"/>
          <w:szCs w:val="20"/>
        </w:rPr>
        <w:t>.</w:t>
      </w:r>
      <w:r w:rsidR="00E4532F">
        <w:rPr>
          <w:rFonts w:ascii="Times New Roman" w:hAnsi="Times New Roman"/>
          <w:sz w:val="20"/>
          <w:szCs w:val="20"/>
        </w:rPr>
        <w:t xml:space="preserve"> </w:t>
      </w:r>
      <w:r w:rsidR="00920AD4">
        <w:rPr>
          <w:rFonts w:ascii="Times New Roman" w:hAnsi="Times New Roman"/>
          <w:sz w:val="20"/>
          <w:szCs w:val="20"/>
        </w:rPr>
        <w:t xml:space="preserve">The evaluation of the Strategic Plan and global and </w:t>
      </w:r>
      <w:r>
        <w:rPr>
          <w:rFonts w:ascii="Times New Roman" w:hAnsi="Times New Roman"/>
          <w:sz w:val="20"/>
          <w:szCs w:val="20"/>
        </w:rPr>
        <w:t xml:space="preserve">regional programmes found </w:t>
      </w:r>
      <w:r w:rsidR="00920AD4">
        <w:rPr>
          <w:rFonts w:ascii="Times New Roman" w:hAnsi="Times New Roman"/>
          <w:sz w:val="20"/>
          <w:szCs w:val="20"/>
        </w:rPr>
        <w:t xml:space="preserve">that the latter </w:t>
      </w:r>
      <w:r>
        <w:rPr>
          <w:rFonts w:ascii="Times New Roman" w:hAnsi="Times New Roman"/>
          <w:sz w:val="20"/>
          <w:szCs w:val="20"/>
        </w:rPr>
        <w:t xml:space="preserve">played a strong role in supporting new </w:t>
      </w:r>
      <w:r w:rsidRPr="001C43C6">
        <w:rPr>
          <w:rFonts w:ascii="Times New Roman" w:hAnsi="Times New Roman"/>
          <w:sz w:val="20"/>
          <w:szCs w:val="20"/>
        </w:rPr>
        <w:t xml:space="preserve">approaches to </w:t>
      </w:r>
      <w:r w:rsidRPr="00AF2579">
        <w:rPr>
          <w:rFonts w:ascii="Times New Roman" w:hAnsi="Times New Roman"/>
          <w:sz w:val="20"/>
          <w:szCs w:val="20"/>
        </w:rPr>
        <w:t xml:space="preserve">development solutions and engaging countries on sensitive issues. </w:t>
      </w:r>
    </w:p>
    <w:p w:rsidR="001C43C6" w:rsidRPr="00434C41" w:rsidRDefault="001C43C6" w:rsidP="00434C41">
      <w:pPr>
        <w:pStyle w:val="ListParagraph"/>
        <w:tabs>
          <w:tab w:val="left" w:pos="900"/>
        </w:tabs>
        <w:rPr>
          <w:rFonts w:ascii="Times New Roman" w:hAnsi="Times New Roman"/>
          <w:sz w:val="12"/>
          <w:szCs w:val="12"/>
        </w:rPr>
      </w:pPr>
    </w:p>
    <w:p w:rsidR="001C43C6" w:rsidRPr="00BB06AF" w:rsidRDefault="001C43C6" w:rsidP="00434C41">
      <w:pPr>
        <w:pStyle w:val="ListParagraph"/>
        <w:numPr>
          <w:ilvl w:val="0"/>
          <w:numId w:val="11"/>
        </w:numPr>
        <w:tabs>
          <w:tab w:val="left" w:pos="630"/>
          <w:tab w:val="left" w:pos="900"/>
        </w:tabs>
        <w:spacing w:after="0" w:line="240" w:lineRule="auto"/>
        <w:ind w:left="630" w:firstLine="0"/>
        <w:jc w:val="both"/>
        <w:rPr>
          <w:rFonts w:ascii="Times New Roman" w:eastAsiaTheme="minorEastAsia" w:hAnsi="Times New Roman"/>
          <w:sz w:val="20"/>
          <w:szCs w:val="20"/>
          <w:lang w:val="en-US"/>
        </w:rPr>
      </w:pPr>
      <w:r w:rsidRPr="00920AD4">
        <w:rPr>
          <w:rFonts w:ascii="Times New Roman" w:hAnsi="Times New Roman"/>
          <w:bCs/>
          <w:sz w:val="20"/>
          <w:szCs w:val="20"/>
        </w:rPr>
        <w:t>Innovation</w:t>
      </w:r>
      <w:r w:rsidRPr="00920AD4">
        <w:rPr>
          <w:rFonts w:ascii="Times New Roman" w:hAnsi="Times New Roman"/>
          <w:sz w:val="20"/>
          <w:szCs w:val="20"/>
        </w:rPr>
        <w:t xml:space="preserve"> </w:t>
      </w:r>
      <w:r w:rsidRPr="00920AD4">
        <w:rPr>
          <w:rFonts w:ascii="Times New Roman" w:hAnsi="Times New Roman"/>
          <w:bCs/>
          <w:sz w:val="20"/>
          <w:szCs w:val="20"/>
        </w:rPr>
        <w:t>has been explicitly seeded</w:t>
      </w:r>
      <w:r w:rsidRPr="00BB06AF">
        <w:rPr>
          <w:rFonts w:ascii="Times New Roman" w:hAnsi="Times New Roman"/>
          <w:sz w:val="20"/>
          <w:szCs w:val="20"/>
        </w:rPr>
        <w:t xml:space="preserve"> through the global Innovation Facility</w:t>
      </w:r>
      <w:r w:rsidR="00920AD4">
        <w:rPr>
          <w:rFonts w:ascii="Times New Roman" w:hAnsi="Times New Roman"/>
          <w:sz w:val="20"/>
          <w:szCs w:val="20"/>
        </w:rPr>
        <w:t>,</w:t>
      </w:r>
      <w:r w:rsidRPr="00BB06AF">
        <w:rPr>
          <w:rFonts w:ascii="Times New Roman" w:hAnsi="Times New Roman"/>
          <w:sz w:val="20"/>
          <w:szCs w:val="20"/>
        </w:rPr>
        <w:t xml:space="preserve"> which has helped </w:t>
      </w:r>
      <w:r w:rsidR="00920AD4">
        <w:rPr>
          <w:rFonts w:ascii="Times New Roman" w:hAnsi="Times New Roman"/>
          <w:sz w:val="20"/>
          <w:szCs w:val="20"/>
        </w:rPr>
        <w:t xml:space="preserve">to </w:t>
      </w:r>
      <w:r w:rsidRPr="00BB06AF">
        <w:rPr>
          <w:rFonts w:ascii="Times New Roman" w:hAnsi="Times New Roman"/>
          <w:sz w:val="20"/>
          <w:szCs w:val="20"/>
        </w:rPr>
        <w:t>catalyse, foster and enable innovation</w:t>
      </w:r>
      <w:r w:rsidR="00E4532F">
        <w:rPr>
          <w:rFonts w:ascii="Times New Roman" w:hAnsi="Times New Roman"/>
          <w:sz w:val="20"/>
          <w:szCs w:val="20"/>
        </w:rPr>
        <w:t>;</w:t>
      </w:r>
      <w:r w:rsidRPr="00BB06AF">
        <w:rPr>
          <w:rFonts w:ascii="Times New Roman" w:hAnsi="Times New Roman"/>
          <w:sz w:val="20"/>
          <w:szCs w:val="20"/>
        </w:rPr>
        <w:t xml:space="preserve"> 85 country offices supported 142 initiatives.  The portfolio has resulted in </w:t>
      </w:r>
      <w:r w:rsidR="00920AD4">
        <w:rPr>
          <w:rFonts w:ascii="Times New Roman" w:hAnsi="Times New Roman"/>
          <w:sz w:val="20"/>
          <w:szCs w:val="20"/>
        </w:rPr>
        <w:t xml:space="preserve">the mobilization of </w:t>
      </w:r>
      <w:r w:rsidRPr="00BB06AF">
        <w:rPr>
          <w:rFonts w:ascii="Times New Roman" w:hAnsi="Times New Roman"/>
          <w:sz w:val="20"/>
          <w:szCs w:val="20"/>
        </w:rPr>
        <w:t>new funding</w:t>
      </w:r>
      <w:r w:rsidR="00920AD4">
        <w:rPr>
          <w:rFonts w:ascii="Times New Roman" w:hAnsi="Times New Roman"/>
          <w:sz w:val="20"/>
          <w:szCs w:val="20"/>
        </w:rPr>
        <w:t xml:space="preserve">, with </w:t>
      </w:r>
      <w:r w:rsidRPr="00BB06AF">
        <w:rPr>
          <w:rFonts w:ascii="Times New Roman" w:hAnsi="Times New Roman"/>
          <w:sz w:val="20"/>
          <w:szCs w:val="20"/>
        </w:rPr>
        <w:t xml:space="preserve">country offices </w:t>
      </w:r>
      <w:r w:rsidR="00920AD4" w:rsidRPr="00BB06AF">
        <w:rPr>
          <w:rFonts w:ascii="Times New Roman" w:hAnsi="Times New Roman"/>
          <w:sz w:val="20"/>
          <w:szCs w:val="20"/>
        </w:rPr>
        <w:t>report</w:t>
      </w:r>
      <w:r w:rsidR="00920AD4">
        <w:rPr>
          <w:rFonts w:ascii="Times New Roman" w:hAnsi="Times New Roman"/>
          <w:sz w:val="20"/>
          <w:szCs w:val="20"/>
        </w:rPr>
        <w:t>ing</w:t>
      </w:r>
      <w:r w:rsidR="00920AD4" w:rsidRPr="00BB06AF">
        <w:rPr>
          <w:rFonts w:ascii="Times New Roman" w:hAnsi="Times New Roman"/>
          <w:sz w:val="20"/>
          <w:szCs w:val="20"/>
        </w:rPr>
        <w:t xml:space="preserve"> </w:t>
      </w:r>
      <w:r w:rsidRPr="00BB06AF">
        <w:rPr>
          <w:rFonts w:ascii="Times New Roman" w:hAnsi="Times New Roman"/>
          <w:sz w:val="20"/>
          <w:szCs w:val="20"/>
        </w:rPr>
        <w:t xml:space="preserve">that for every $100 invested by the </w:t>
      </w:r>
      <w:r w:rsidR="00E4532F">
        <w:rPr>
          <w:rFonts w:ascii="Times New Roman" w:hAnsi="Times New Roman"/>
          <w:sz w:val="20"/>
          <w:szCs w:val="20"/>
        </w:rPr>
        <w:t>I</w:t>
      </w:r>
      <w:r w:rsidR="00E4532F" w:rsidRPr="00BB06AF">
        <w:rPr>
          <w:rFonts w:ascii="Times New Roman" w:hAnsi="Times New Roman"/>
          <w:sz w:val="20"/>
          <w:szCs w:val="20"/>
        </w:rPr>
        <w:t xml:space="preserve">nnovation </w:t>
      </w:r>
      <w:r w:rsidR="00E4532F">
        <w:rPr>
          <w:rFonts w:ascii="Times New Roman" w:hAnsi="Times New Roman"/>
          <w:sz w:val="20"/>
          <w:szCs w:val="20"/>
        </w:rPr>
        <w:t>Facility</w:t>
      </w:r>
      <w:r w:rsidR="00E4532F" w:rsidRPr="00BB06AF">
        <w:rPr>
          <w:rFonts w:ascii="Times New Roman" w:hAnsi="Times New Roman"/>
          <w:sz w:val="20"/>
          <w:szCs w:val="20"/>
        </w:rPr>
        <w:t xml:space="preserve"> </w:t>
      </w:r>
      <w:r w:rsidRPr="00BB06AF">
        <w:rPr>
          <w:rFonts w:ascii="Times New Roman" w:hAnsi="Times New Roman"/>
          <w:sz w:val="20"/>
          <w:szCs w:val="20"/>
        </w:rPr>
        <w:t>an additional $80 has bee</w:t>
      </w:r>
      <w:r w:rsidRPr="00AF2579">
        <w:rPr>
          <w:rFonts w:ascii="Times New Roman" w:hAnsi="Times New Roman"/>
          <w:sz w:val="20"/>
          <w:szCs w:val="20"/>
        </w:rPr>
        <w:t xml:space="preserve">n </w:t>
      </w:r>
      <w:r w:rsidR="00E4532F" w:rsidRPr="00AF2579">
        <w:rPr>
          <w:rFonts w:ascii="Times New Roman" w:hAnsi="Times New Roman"/>
          <w:sz w:val="20"/>
          <w:szCs w:val="20"/>
        </w:rPr>
        <w:t>mobili</w:t>
      </w:r>
      <w:r w:rsidR="00E4532F">
        <w:rPr>
          <w:rFonts w:ascii="Times New Roman" w:hAnsi="Times New Roman"/>
          <w:sz w:val="20"/>
          <w:szCs w:val="20"/>
        </w:rPr>
        <w:t>z</w:t>
      </w:r>
      <w:r w:rsidR="00E4532F" w:rsidRPr="00AF2579">
        <w:rPr>
          <w:rFonts w:ascii="Times New Roman" w:hAnsi="Times New Roman"/>
          <w:sz w:val="20"/>
          <w:szCs w:val="20"/>
        </w:rPr>
        <w:t xml:space="preserve">ed </w:t>
      </w:r>
      <w:r w:rsidRPr="00AF2579">
        <w:rPr>
          <w:rFonts w:ascii="Times New Roman" w:hAnsi="Times New Roman"/>
          <w:sz w:val="20"/>
          <w:szCs w:val="20"/>
        </w:rPr>
        <w:t>in local resources</w:t>
      </w:r>
      <w:r w:rsidR="00920AD4">
        <w:rPr>
          <w:rFonts w:ascii="Times New Roman" w:hAnsi="Times New Roman"/>
          <w:sz w:val="20"/>
          <w:szCs w:val="20"/>
        </w:rPr>
        <w:t xml:space="preserve">, </w:t>
      </w:r>
      <w:r w:rsidRPr="00BB06AF">
        <w:rPr>
          <w:rFonts w:ascii="Times New Roman" w:hAnsi="Times New Roman"/>
          <w:sz w:val="20"/>
          <w:szCs w:val="20"/>
        </w:rPr>
        <w:t xml:space="preserve">and </w:t>
      </w:r>
      <w:r w:rsidR="00920AD4">
        <w:rPr>
          <w:rFonts w:ascii="Times New Roman" w:hAnsi="Times New Roman"/>
          <w:sz w:val="20"/>
          <w:szCs w:val="20"/>
        </w:rPr>
        <w:t>in the development of a</w:t>
      </w:r>
      <w:r w:rsidR="00920AD4" w:rsidRPr="00BB06AF">
        <w:rPr>
          <w:rFonts w:ascii="Times New Roman" w:hAnsi="Times New Roman"/>
          <w:sz w:val="20"/>
          <w:szCs w:val="20"/>
        </w:rPr>
        <w:t xml:space="preserve"> </w:t>
      </w:r>
      <w:r w:rsidRPr="00BB06AF">
        <w:rPr>
          <w:rFonts w:ascii="Times New Roman" w:hAnsi="Times New Roman"/>
          <w:sz w:val="20"/>
          <w:szCs w:val="20"/>
        </w:rPr>
        <w:t xml:space="preserve">new </w:t>
      </w:r>
      <w:r w:rsidR="00920AD4">
        <w:rPr>
          <w:rFonts w:ascii="Times New Roman" w:hAnsi="Times New Roman"/>
          <w:sz w:val="20"/>
          <w:szCs w:val="20"/>
        </w:rPr>
        <w:t>range</w:t>
      </w:r>
      <w:r w:rsidR="00920AD4" w:rsidRPr="00BB06AF">
        <w:rPr>
          <w:rFonts w:ascii="Times New Roman" w:hAnsi="Times New Roman"/>
          <w:sz w:val="20"/>
          <w:szCs w:val="20"/>
        </w:rPr>
        <w:t xml:space="preserve"> </w:t>
      </w:r>
      <w:r w:rsidRPr="00BB06AF">
        <w:rPr>
          <w:rFonts w:ascii="Times New Roman" w:hAnsi="Times New Roman"/>
          <w:sz w:val="20"/>
          <w:szCs w:val="20"/>
        </w:rPr>
        <w:t>of services.</w:t>
      </w:r>
      <w:r w:rsidRPr="00BB06AF">
        <w:rPr>
          <w:rStyle w:val="FootnoteReference"/>
          <w:rFonts w:ascii="Times New Roman" w:hAnsi="Times New Roman"/>
          <w:sz w:val="18"/>
          <w:szCs w:val="20"/>
        </w:rPr>
        <w:footnoteReference w:id="2"/>
      </w:r>
    </w:p>
    <w:p w:rsidR="00E95C67" w:rsidRPr="00434C41" w:rsidRDefault="00E95C67" w:rsidP="00434C41">
      <w:pPr>
        <w:pStyle w:val="ListParagraph"/>
        <w:tabs>
          <w:tab w:val="left" w:pos="900"/>
        </w:tabs>
        <w:rPr>
          <w:sz w:val="12"/>
          <w:szCs w:val="12"/>
        </w:rPr>
      </w:pPr>
    </w:p>
    <w:p w:rsidR="00E95C67" w:rsidRPr="00BB06AF" w:rsidRDefault="00E95C67" w:rsidP="00434C41">
      <w:pPr>
        <w:pStyle w:val="ListParagraph"/>
        <w:numPr>
          <w:ilvl w:val="0"/>
          <w:numId w:val="11"/>
        </w:numPr>
        <w:tabs>
          <w:tab w:val="left" w:pos="450"/>
          <w:tab w:val="left" w:pos="900"/>
        </w:tabs>
        <w:spacing w:after="0" w:line="240" w:lineRule="auto"/>
        <w:ind w:left="630" w:firstLine="0"/>
        <w:jc w:val="both"/>
        <w:rPr>
          <w:rFonts w:ascii="Times New Roman" w:hAnsi="Times New Roman"/>
        </w:rPr>
      </w:pPr>
      <w:r w:rsidRPr="00920AD4">
        <w:rPr>
          <w:rStyle w:val="normaltextrun"/>
          <w:rFonts w:ascii="Times New Roman" w:hAnsi="Times New Roman"/>
          <w:bCs/>
          <w:sz w:val="20"/>
          <w:szCs w:val="20"/>
        </w:rPr>
        <w:t>UNDP has progressively mainstreamed gender equality and women’s empowerment</w:t>
      </w:r>
      <w:r w:rsidR="00E128D4" w:rsidRPr="00920AD4">
        <w:rPr>
          <w:rStyle w:val="normaltextrun"/>
          <w:rFonts w:ascii="Times New Roman" w:hAnsi="Times New Roman"/>
          <w:bCs/>
          <w:sz w:val="20"/>
          <w:szCs w:val="20"/>
        </w:rPr>
        <w:t xml:space="preserve">. </w:t>
      </w:r>
      <w:r w:rsidRPr="00920AD4">
        <w:rPr>
          <w:rFonts w:ascii="Times New Roman" w:hAnsi="Times New Roman"/>
          <w:sz w:val="20"/>
          <w:szCs w:val="20"/>
        </w:rPr>
        <w:t xml:space="preserve">Youth became </w:t>
      </w:r>
      <w:r w:rsidRPr="00920AD4">
        <w:rPr>
          <w:rFonts w:ascii="Times New Roman" w:hAnsi="Times New Roman"/>
          <w:color w:val="000000"/>
          <w:sz w:val="20"/>
          <w:szCs w:val="20"/>
        </w:rPr>
        <w:t xml:space="preserve">the second largest target group for UNDP programming, after women, and UNDP has played a central role as thought leader, integrator and convenor in promoting young people’s participation and empowerment </w:t>
      </w:r>
      <w:r w:rsidRPr="00AE34DC">
        <w:rPr>
          <w:rFonts w:ascii="Times New Roman" w:hAnsi="Times New Roman"/>
          <w:color w:val="000000"/>
          <w:sz w:val="20"/>
          <w:szCs w:val="20"/>
        </w:rPr>
        <w:t xml:space="preserve">as key to poverty reduction, structural transformation and resilience-building. </w:t>
      </w:r>
    </w:p>
    <w:p w:rsidR="00FA43A5" w:rsidRPr="00434C41" w:rsidRDefault="00FA43A5" w:rsidP="00434C41">
      <w:pPr>
        <w:pStyle w:val="ListParagraph"/>
        <w:tabs>
          <w:tab w:val="left" w:pos="450"/>
          <w:tab w:val="left" w:pos="900"/>
        </w:tabs>
        <w:spacing w:after="0" w:line="240" w:lineRule="auto"/>
        <w:ind w:left="630"/>
        <w:jc w:val="both"/>
        <w:rPr>
          <w:rFonts w:ascii="Times New Roman" w:hAnsi="Times New Roman"/>
          <w:sz w:val="12"/>
          <w:szCs w:val="12"/>
        </w:rPr>
      </w:pPr>
    </w:p>
    <w:p w:rsidR="00FA43A5" w:rsidRDefault="00920AD4" w:rsidP="00434C41">
      <w:pPr>
        <w:pStyle w:val="ListParagraph"/>
        <w:numPr>
          <w:ilvl w:val="0"/>
          <w:numId w:val="11"/>
        </w:numPr>
        <w:tabs>
          <w:tab w:val="left" w:pos="360"/>
          <w:tab w:val="left" w:pos="900"/>
        </w:tabs>
        <w:spacing w:after="0" w:line="240" w:lineRule="auto"/>
        <w:ind w:left="630" w:firstLine="0"/>
        <w:jc w:val="both"/>
        <w:rPr>
          <w:rFonts w:ascii="Times New Roman" w:hAnsi="Times New Roman"/>
          <w:sz w:val="20"/>
          <w:szCs w:val="20"/>
        </w:rPr>
      </w:pPr>
      <w:r>
        <w:rPr>
          <w:rFonts w:ascii="Times New Roman" w:hAnsi="Times New Roman"/>
          <w:sz w:val="20"/>
          <w:szCs w:val="20"/>
        </w:rPr>
        <w:t xml:space="preserve">The </w:t>
      </w:r>
      <w:r w:rsidR="00F54FD9">
        <w:rPr>
          <w:rFonts w:ascii="Times New Roman" w:hAnsi="Times New Roman"/>
          <w:sz w:val="20"/>
          <w:szCs w:val="20"/>
        </w:rPr>
        <w:t>organization’s overall</w:t>
      </w:r>
      <w:r w:rsidR="00FA43A5">
        <w:rPr>
          <w:rFonts w:ascii="Times New Roman" w:hAnsi="Times New Roman"/>
          <w:sz w:val="20"/>
          <w:szCs w:val="20"/>
        </w:rPr>
        <w:t xml:space="preserve"> funding position re</w:t>
      </w:r>
      <w:r w:rsidR="00410400">
        <w:rPr>
          <w:rFonts w:ascii="Times New Roman" w:hAnsi="Times New Roman"/>
          <w:sz w:val="20"/>
          <w:szCs w:val="20"/>
        </w:rPr>
        <w:t xml:space="preserve">mains strong with </w:t>
      </w:r>
      <w:r>
        <w:rPr>
          <w:rFonts w:ascii="Times New Roman" w:hAnsi="Times New Roman"/>
          <w:sz w:val="20"/>
          <w:szCs w:val="20"/>
        </w:rPr>
        <w:t xml:space="preserve">a 5 </w:t>
      </w:r>
      <w:r w:rsidR="00FA43A5">
        <w:rPr>
          <w:rFonts w:ascii="Times New Roman" w:hAnsi="Times New Roman"/>
          <w:sz w:val="20"/>
          <w:szCs w:val="20"/>
        </w:rPr>
        <w:t>per cent</w:t>
      </w:r>
      <w:r w:rsidR="00FA43A5" w:rsidRPr="00273916">
        <w:rPr>
          <w:rFonts w:ascii="Times New Roman" w:hAnsi="Times New Roman"/>
          <w:sz w:val="20"/>
          <w:szCs w:val="20"/>
        </w:rPr>
        <w:t xml:space="preserve"> increase in total </w:t>
      </w:r>
      <w:r w:rsidR="00FA43A5">
        <w:rPr>
          <w:rFonts w:ascii="Times New Roman" w:hAnsi="Times New Roman"/>
          <w:sz w:val="20"/>
          <w:szCs w:val="20"/>
        </w:rPr>
        <w:t>contributions between 2014 and 2017</w:t>
      </w:r>
      <w:r w:rsidR="00FA43A5" w:rsidRPr="00273916">
        <w:rPr>
          <w:rFonts w:ascii="Times New Roman" w:hAnsi="Times New Roman"/>
          <w:sz w:val="20"/>
          <w:szCs w:val="20"/>
        </w:rPr>
        <w:t xml:space="preserve">, despite </w:t>
      </w:r>
      <w:r w:rsidR="00FA43A5">
        <w:rPr>
          <w:rFonts w:ascii="Times New Roman" w:hAnsi="Times New Roman"/>
          <w:sz w:val="20"/>
          <w:szCs w:val="20"/>
        </w:rPr>
        <w:t xml:space="preserve">a </w:t>
      </w:r>
      <w:r w:rsidR="00FA43A5" w:rsidRPr="00273916">
        <w:rPr>
          <w:rFonts w:ascii="Times New Roman" w:hAnsi="Times New Roman"/>
          <w:sz w:val="20"/>
          <w:szCs w:val="20"/>
        </w:rPr>
        <w:t>challenging funding environment.</w:t>
      </w:r>
      <w:r w:rsidR="00FA43A5">
        <w:rPr>
          <w:rFonts w:ascii="Times New Roman" w:hAnsi="Times New Roman"/>
          <w:sz w:val="20"/>
          <w:szCs w:val="20"/>
        </w:rPr>
        <w:t xml:space="preserve"> However, t</w:t>
      </w:r>
      <w:r w:rsidR="00FA43A5" w:rsidRPr="00823598">
        <w:rPr>
          <w:rFonts w:ascii="Times New Roman" w:hAnsi="Times New Roman"/>
          <w:sz w:val="20"/>
          <w:szCs w:val="20"/>
        </w:rPr>
        <w:t xml:space="preserve">he funding composition underpinning the </w:t>
      </w:r>
      <w:r>
        <w:rPr>
          <w:rFonts w:ascii="Times New Roman" w:hAnsi="Times New Roman"/>
          <w:sz w:val="20"/>
          <w:szCs w:val="20"/>
        </w:rPr>
        <w:t>S</w:t>
      </w:r>
      <w:r w:rsidRPr="00823598">
        <w:rPr>
          <w:rFonts w:ascii="Times New Roman" w:hAnsi="Times New Roman"/>
          <w:sz w:val="20"/>
          <w:szCs w:val="20"/>
        </w:rPr>
        <w:t xml:space="preserve">trategic </w:t>
      </w:r>
      <w:r>
        <w:rPr>
          <w:rFonts w:ascii="Times New Roman" w:hAnsi="Times New Roman"/>
          <w:sz w:val="20"/>
          <w:szCs w:val="20"/>
        </w:rPr>
        <w:t>P</w:t>
      </w:r>
      <w:r w:rsidRPr="00823598">
        <w:rPr>
          <w:rFonts w:ascii="Times New Roman" w:hAnsi="Times New Roman"/>
          <w:sz w:val="20"/>
          <w:szCs w:val="20"/>
        </w:rPr>
        <w:t xml:space="preserve">lan </w:t>
      </w:r>
      <w:r w:rsidR="00FA43A5" w:rsidRPr="00823598">
        <w:rPr>
          <w:rFonts w:ascii="Times New Roman" w:hAnsi="Times New Roman"/>
          <w:sz w:val="20"/>
          <w:szCs w:val="20"/>
        </w:rPr>
        <w:t>reflected a</w:t>
      </w:r>
      <w:r w:rsidR="00FA43A5" w:rsidRPr="00823598">
        <w:rPr>
          <w:rFonts w:ascii="Times New Roman" w:hAnsi="Times New Roman"/>
          <w:b/>
          <w:sz w:val="20"/>
          <w:szCs w:val="20"/>
        </w:rPr>
        <w:t xml:space="preserve"> </w:t>
      </w:r>
      <w:r w:rsidR="00FA43A5" w:rsidRPr="00920AD4">
        <w:rPr>
          <w:rFonts w:ascii="Times New Roman" w:hAnsi="Times New Roman"/>
          <w:sz w:val="20"/>
          <w:szCs w:val="20"/>
        </w:rPr>
        <w:t>widening gap between regular and other resources</w:t>
      </w:r>
      <w:r w:rsidR="00FA43A5">
        <w:rPr>
          <w:rFonts w:ascii="Times New Roman" w:hAnsi="Times New Roman"/>
          <w:b/>
          <w:sz w:val="20"/>
          <w:szCs w:val="20"/>
        </w:rPr>
        <w:t xml:space="preserve">, </w:t>
      </w:r>
      <w:r w:rsidR="00FA43A5" w:rsidRPr="00F74FE7">
        <w:rPr>
          <w:rFonts w:ascii="Times New Roman" w:hAnsi="Times New Roman"/>
          <w:sz w:val="20"/>
          <w:szCs w:val="20"/>
        </w:rPr>
        <w:t>with</w:t>
      </w:r>
      <w:r w:rsidR="00FA43A5">
        <w:rPr>
          <w:rFonts w:ascii="Times New Roman" w:hAnsi="Times New Roman"/>
          <w:b/>
          <w:sz w:val="20"/>
          <w:szCs w:val="20"/>
        </w:rPr>
        <w:t xml:space="preserve"> </w:t>
      </w:r>
      <w:r w:rsidR="00FA43A5" w:rsidRPr="00F74FE7">
        <w:rPr>
          <w:rFonts w:ascii="Times New Roman" w:hAnsi="Times New Roman"/>
          <w:sz w:val="20"/>
          <w:szCs w:val="20"/>
        </w:rPr>
        <w:t>i</w:t>
      </w:r>
      <w:r w:rsidR="00FA43A5">
        <w:rPr>
          <w:rFonts w:ascii="Times New Roman" w:hAnsi="Times New Roman"/>
          <w:sz w:val="20"/>
          <w:szCs w:val="20"/>
        </w:rPr>
        <w:t xml:space="preserve">mplications </w:t>
      </w:r>
      <w:r w:rsidR="00FA43A5" w:rsidRPr="00F74FE7">
        <w:rPr>
          <w:rFonts w:ascii="Times New Roman" w:hAnsi="Times New Roman"/>
          <w:sz w:val="20"/>
          <w:szCs w:val="20"/>
        </w:rPr>
        <w:t xml:space="preserve">for </w:t>
      </w:r>
      <w:r w:rsidR="00E4532F" w:rsidRPr="00964766">
        <w:rPr>
          <w:rFonts w:ascii="Times New Roman" w:hAnsi="Times New Roman"/>
          <w:sz w:val="20"/>
          <w:szCs w:val="20"/>
        </w:rPr>
        <w:t>organi</w:t>
      </w:r>
      <w:r w:rsidR="00E4532F">
        <w:rPr>
          <w:rFonts w:ascii="Times New Roman" w:hAnsi="Times New Roman"/>
          <w:sz w:val="20"/>
          <w:szCs w:val="20"/>
        </w:rPr>
        <w:t>z</w:t>
      </w:r>
      <w:r w:rsidR="00E4532F" w:rsidRPr="00964766">
        <w:rPr>
          <w:rFonts w:ascii="Times New Roman" w:hAnsi="Times New Roman"/>
          <w:sz w:val="20"/>
          <w:szCs w:val="20"/>
        </w:rPr>
        <w:t xml:space="preserve">ational </w:t>
      </w:r>
      <w:r w:rsidR="00FA43A5" w:rsidRPr="00964766">
        <w:rPr>
          <w:rFonts w:ascii="Times New Roman" w:hAnsi="Times New Roman"/>
          <w:sz w:val="20"/>
          <w:szCs w:val="20"/>
        </w:rPr>
        <w:t>flexibility and</w:t>
      </w:r>
      <w:r w:rsidR="00FA43A5">
        <w:rPr>
          <w:rFonts w:ascii="Times New Roman" w:hAnsi="Times New Roman"/>
          <w:sz w:val="20"/>
          <w:szCs w:val="20"/>
        </w:rPr>
        <w:t xml:space="preserve"> capacity to deliver integrated responses</w:t>
      </w:r>
      <w:r w:rsidR="00FA43A5" w:rsidRPr="00823598">
        <w:rPr>
          <w:rFonts w:ascii="Times New Roman" w:hAnsi="Times New Roman"/>
          <w:sz w:val="20"/>
          <w:szCs w:val="20"/>
        </w:rPr>
        <w:t xml:space="preserve">. The ratio between regular and other resources </w:t>
      </w:r>
      <w:r w:rsidR="00E4532F">
        <w:rPr>
          <w:rFonts w:ascii="Times New Roman" w:hAnsi="Times New Roman"/>
          <w:sz w:val="20"/>
          <w:szCs w:val="20"/>
        </w:rPr>
        <w:t xml:space="preserve">contributions </w:t>
      </w:r>
      <w:r w:rsidR="00FA43A5" w:rsidRPr="00823598">
        <w:rPr>
          <w:rFonts w:ascii="Times New Roman" w:hAnsi="Times New Roman"/>
          <w:sz w:val="20"/>
          <w:szCs w:val="20"/>
        </w:rPr>
        <w:t>declined from 17</w:t>
      </w:r>
      <w:r w:rsidR="00E4532F">
        <w:rPr>
          <w:rFonts w:ascii="Times New Roman" w:hAnsi="Times New Roman"/>
          <w:sz w:val="20"/>
          <w:szCs w:val="20"/>
        </w:rPr>
        <w:t>:</w:t>
      </w:r>
      <w:r w:rsidR="003E24C8">
        <w:rPr>
          <w:rFonts w:ascii="Times New Roman" w:hAnsi="Times New Roman"/>
          <w:sz w:val="20"/>
          <w:szCs w:val="20"/>
        </w:rPr>
        <w:t>83 in 2014 to 13</w:t>
      </w:r>
      <w:r w:rsidR="00E4532F">
        <w:rPr>
          <w:rFonts w:ascii="Times New Roman" w:hAnsi="Times New Roman"/>
          <w:sz w:val="20"/>
          <w:szCs w:val="20"/>
        </w:rPr>
        <w:t>:</w:t>
      </w:r>
      <w:r w:rsidR="003E24C8">
        <w:rPr>
          <w:rFonts w:ascii="Times New Roman" w:hAnsi="Times New Roman"/>
          <w:sz w:val="20"/>
          <w:szCs w:val="20"/>
        </w:rPr>
        <w:t>87 in 2017</w:t>
      </w:r>
      <w:r w:rsidR="00FA43A5" w:rsidRPr="00823598">
        <w:rPr>
          <w:rFonts w:ascii="Times New Roman" w:hAnsi="Times New Roman"/>
          <w:sz w:val="20"/>
          <w:szCs w:val="20"/>
        </w:rPr>
        <w:t xml:space="preserve"> </w:t>
      </w:r>
      <w:r w:rsidR="00FA43A5" w:rsidRPr="00AA23FD">
        <w:rPr>
          <w:rFonts w:ascii="Times New Roman" w:hAnsi="Times New Roman"/>
          <w:sz w:val="20"/>
          <w:szCs w:val="20"/>
        </w:rPr>
        <w:t xml:space="preserve">because of the decline in regular </w:t>
      </w:r>
      <w:r w:rsidR="00E4532F">
        <w:rPr>
          <w:rFonts w:ascii="Times New Roman" w:hAnsi="Times New Roman"/>
          <w:sz w:val="20"/>
          <w:szCs w:val="20"/>
        </w:rPr>
        <w:t xml:space="preserve">resources contributions </w:t>
      </w:r>
      <w:r w:rsidR="00FA43A5" w:rsidRPr="00AA23FD">
        <w:rPr>
          <w:rFonts w:ascii="Times New Roman" w:hAnsi="Times New Roman"/>
          <w:sz w:val="20"/>
          <w:szCs w:val="20"/>
        </w:rPr>
        <w:t xml:space="preserve">and the increase in </w:t>
      </w:r>
      <w:r w:rsidR="00E4532F">
        <w:rPr>
          <w:rFonts w:ascii="Times New Roman" w:hAnsi="Times New Roman"/>
          <w:sz w:val="20"/>
          <w:szCs w:val="20"/>
        </w:rPr>
        <w:t xml:space="preserve">contributions to </w:t>
      </w:r>
      <w:r w:rsidR="00FA43A5" w:rsidRPr="00AA23FD">
        <w:rPr>
          <w:rFonts w:ascii="Times New Roman" w:hAnsi="Times New Roman"/>
          <w:sz w:val="20"/>
          <w:szCs w:val="20"/>
        </w:rPr>
        <w:t>other resources</w:t>
      </w:r>
      <w:r w:rsidR="00E4532F">
        <w:rPr>
          <w:rFonts w:ascii="Times New Roman" w:hAnsi="Times New Roman"/>
          <w:sz w:val="20"/>
          <w:szCs w:val="20"/>
        </w:rPr>
        <w:t>.</w:t>
      </w:r>
      <w:r w:rsidR="00FA43A5" w:rsidRPr="00823598">
        <w:rPr>
          <w:rFonts w:ascii="Times New Roman" w:hAnsi="Times New Roman"/>
          <w:sz w:val="20"/>
          <w:szCs w:val="20"/>
        </w:rPr>
        <w:t xml:space="preserve"> </w:t>
      </w:r>
      <w:r w:rsidR="00E4532F">
        <w:rPr>
          <w:rFonts w:ascii="Times New Roman" w:hAnsi="Times New Roman"/>
          <w:sz w:val="20"/>
          <w:szCs w:val="20"/>
        </w:rPr>
        <w:t>C</w:t>
      </w:r>
      <w:r w:rsidR="00FA43A5" w:rsidRPr="00823598">
        <w:rPr>
          <w:rFonts w:ascii="Times New Roman" w:hAnsi="Times New Roman"/>
          <w:sz w:val="20"/>
          <w:szCs w:val="20"/>
        </w:rPr>
        <w:t>onsequently</w:t>
      </w:r>
      <w:r w:rsidR="00E4532F">
        <w:rPr>
          <w:rFonts w:ascii="Times New Roman" w:hAnsi="Times New Roman"/>
          <w:sz w:val="20"/>
          <w:szCs w:val="20"/>
        </w:rPr>
        <w:t>,</w:t>
      </w:r>
      <w:r w:rsidR="00FA43A5" w:rsidRPr="00823598">
        <w:rPr>
          <w:rFonts w:ascii="Times New Roman" w:hAnsi="Times New Roman"/>
          <w:sz w:val="20"/>
          <w:szCs w:val="20"/>
        </w:rPr>
        <w:t xml:space="preserve"> </w:t>
      </w:r>
      <w:r w:rsidR="00E4532F">
        <w:rPr>
          <w:rFonts w:ascii="Times New Roman" w:hAnsi="Times New Roman"/>
          <w:sz w:val="20"/>
          <w:szCs w:val="20"/>
        </w:rPr>
        <w:t xml:space="preserve">regular resources </w:t>
      </w:r>
      <w:r w:rsidR="00FA43A5" w:rsidRPr="00823598">
        <w:rPr>
          <w:rFonts w:ascii="Times New Roman" w:hAnsi="Times New Roman"/>
          <w:sz w:val="20"/>
          <w:szCs w:val="20"/>
        </w:rPr>
        <w:t>expenditure</w:t>
      </w:r>
      <w:r w:rsidR="00E4532F">
        <w:rPr>
          <w:rFonts w:ascii="Times New Roman" w:hAnsi="Times New Roman"/>
          <w:sz w:val="20"/>
          <w:szCs w:val="20"/>
        </w:rPr>
        <w:t>s</w:t>
      </w:r>
      <w:r w:rsidR="00FA43A5" w:rsidRPr="00823598">
        <w:rPr>
          <w:rFonts w:ascii="Times New Roman" w:hAnsi="Times New Roman"/>
          <w:sz w:val="20"/>
          <w:szCs w:val="20"/>
        </w:rPr>
        <w:t xml:space="preserve"> w</w:t>
      </w:r>
      <w:r w:rsidR="00E4532F">
        <w:rPr>
          <w:rFonts w:ascii="Times New Roman" w:hAnsi="Times New Roman"/>
          <w:sz w:val="20"/>
          <w:szCs w:val="20"/>
        </w:rPr>
        <w:t>ere</w:t>
      </w:r>
      <w:r w:rsidR="00FA43A5" w:rsidRPr="00823598">
        <w:rPr>
          <w:rFonts w:ascii="Times New Roman" w:hAnsi="Times New Roman"/>
          <w:sz w:val="20"/>
          <w:szCs w:val="20"/>
        </w:rPr>
        <w:t xml:space="preserve"> lower than planned </w:t>
      </w:r>
      <w:r w:rsidR="00E4532F">
        <w:rPr>
          <w:rFonts w:ascii="Times New Roman" w:hAnsi="Times New Roman"/>
          <w:sz w:val="20"/>
          <w:szCs w:val="20"/>
        </w:rPr>
        <w:t>for</w:t>
      </w:r>
      <w:r w:rsidR="00E4532F" w:rsidRPr="00823598">
        <w:rPr>
          <w:rFonts w:ascii="Times New Roman" w:hAnsi="Times New Roman"/>
          <w:sz w:val="20"/>
          <w:szCs w:val="20"/>
        </w:rPr>
        <w:t xml:space="preserve"> </w:t>
      </w:r>
      <w:r w:rsidR="00FA43A5" w:rsidRPr="00823598">
        <w:rPr>
          <w:rFonts w:ascii="Times New Roman" w:hAnsi="Times New Roman"/>
          <w:sz w:val="20"/>
          <w:szCs w:val="20"/>
        </w:rPr>
        <w:t xml:space="preserve">all outcomes except outcome 5 (risk reduction).  There was </w:t>
      </w:r>
      <w:r w:rsidR="00FA43A5" w:rsidRPr="00823598">
        <w:rPr>
          <w:rFonts w:ascii="Times New Roman" w:hAnsi="Times New Roman"/>
          <w:color w:val="000000"/>
          <w:sz w:val="20"/>
          <w:szCs w:val="20"/>
          <w:lang w:val="en-US"/>
        </w:rPr>
        <w:t xml:space="preserve">growth across all </w:t>
      </w:r>
      <w:r w:rsidR="00FA43A5" w:rsidRPr="00823598">
        <w:rPr>
          <w:rStyle w:val="normaltextrun"/>
          <w:rFonts w:ascii="Times New Roman" w:hAnsi="Times New Roman"/>
          <w:bCs/>
          <w:sz w:val="20"/>
          <w:szCs w:val="20"/>
        </w:rPr>
        <w:t>sources of other resources: programme government (16 per cent</w:t>
      </w:r>
      <w:r w:rsidR="00E4532F" w:rsidRPr="00823598">
        <w:rPr>
          <w:rStyle w:val="normaltextrun"/>
          <w:rFonts w:ascii="Times New Roman" w:hAnsi="Times New Roman"/>
          <w:bCs/>
          <w:sz w:val="20"/>
          <w:szCs w:val="20"/>
        </w:rPr>
        <w:t>)</w:t>
      </w:r>
      <w:r w:rsidR="00E4532F">
        <w:rPr>
          <w:rStyle w:val="normaltextrun"/>
          <w:rFonts w:ascii="Times New Roman" w:hAnsi="Times New Roman"/>
          <w:bCs/>
          <w:sz w:val="20"/>
          <w:szCs w:val="20"/>
        </w:rPr>
        <w:t>;</w:t>
      </w:r>
      <w:r w:rsidR="00E4532F" w:rsidRPr="00823598">
        <w:rPr>
          <w:rStyle w:val="normaltextrun"/>
          <w:rFonts w:ascii="Times New Roman" w:hAnsi="Times New Roman"/>
          <w:bCs/>
          <w:sz w:val="20"/>
          <w:szCs w:val="20"/>
        </w:rPr>
        <w:t xml:space="preserve"> </w:t>
      </w:r>
      <w:r w:rsidR="00FA43A5" w:rsidRPr="00823598">
        <w:rPr>
          <w:rStyle w:val="normaltextrun"/>
          <w:rFonts w:ascii="Times New Roman" w:hAnsi="Times New Roman"/>
          <w:bCs/>
          <w:sz w:val="20"/>
          <w:szCs w:val="20"/>
        </w:rPr>
        <w:t>bilateral/multilateral (4.6 per cent</w:t>
      </w:r>
      <w:r w:rsidR="00E4532F" w:rsidRPr="00823598">
        <w:rPr>
          <w:rStyle w:val="normaltextrun"/>
          <w:rFonts w:ascii="Times New Roman" w:hAnsi="Times New Roman"/>
          <w:bCs/>
          <w:sz w:val="20"/>
          <w:szCs w:val="20"/>
        </w:rPr>
        <w:t>)</w:t>
      </w:r>
      <w:r w:rsidR="00E4532F">
        <w:rPr>
          <w:rStyle w:val="normaltextrun"/>
          <w:rFonts w:ascii="Times New Roman" w:hAnsi="Times New Roman"/>
          <w:bCs/>
          <w:sz w:val="20"/>
          <w:szCs w:val="20"/>
        </w:rPr>
        <w:t>;</w:t>
      </w:r>
      <w:r w:rsidR="00E4532F" w:rsidRPr="00823598">
        <w:rPr>
          <w:rStyle w:val="normaltextrun"/>
          <w:rFonts w:ascii="Times New Roman" w:hAnsi="Times New Roman"/>
          <w:bCs/>
          <w:sz w:val="20"/>
          <w:szCs w:val="20"/>
        </w:rPr>
        <w:t xml:space="preserve"> </w:t>
      </w:r>
      <w:r w:rsidR="00FA43A5" w:rsidRPr="00823598">
        <w:rPr>
          <w:rStyle w:val="normaltextrun"/>
          <w:rFonts w:ascii="Times New Roman" w:hAnsi="Times New Roman"/>
          <w:bCs/>
          <w:sz w:val="20"/>
          <w:szCs w:val="20"/>
        </w:rPr>
        <w:t xml:space="preserve">and vertical funds (8.5 per cent).  </w:t>
      </w:r>
      <w:r w:rsidR="00FA43A5">
        <w:rPr>
          <w:rFonts w:ascii="Times New Roman" w:hAnsi="Times New Roman"/>
          <w:sz w:val="20"/>
          <w:szCs w:val="20"/>
        </w:rPr>
        <w:t xml:space="preserve">    </w:t>
      </w:r>
    </w:p>
    <w:p w:rsidR="00FA43A5" w:rsidRPr="00434C41" w:rsidRDefault="00FA43A5" w:rsidP="00434C41">
      <w:pPr>
        <w:pStyle w:val="ListParagraph"/>
        <w:tabs>
          <w:tab w:val="left" w:pos="360"/>
          <w:tab w:val="left" w:pos="900"/>
        </w:tabs>
        <w:spacing w:after="0" w:line="240" w:lineRule="auto"/>
        <w:ind w:left="630"/>
        <w:jc w:val="both"/>
        <w:rPr>
          <w:rFonts w:ascii="Times New Roman" w:hAnsi="Times New Roman"/>
          <w:sz w:val="12"/>
          <w:szCs w:val="12"/>
        </w:rPr>
      </w:pPr>
    </w:p>
    <w:p w:rsidR="00FA43A5" w:rsidRPr="00745AE6" w:rsidRDefault="00FA43A5" w:rsidP="00434C41">
      <w:pPr>
        <w:pStyle w:val="ListParagraph"/>
        <w:numPr>
          <w:ilvl w:val="0"/>
          <w:numId w:val="11"/>
        </w:numPr>
        <w:tabs>
          <w:tab w:val="left" w:pos="360"/>
          <w:tab w:val="left" w:pos="900"/>
        </w:tabs>
        <w:spacing w:after="0" w:line="240" w:lineRule="auto"/>
        <w:ind w:left="630" w:firstLine="0"/>
        <w:jc w:val="both"/>
        <w:rPr>
          <w:rFonts w:ascii="Times New Roman" w:hAnsi="Times New Roman"/>
          <w:sz w:val="20"/>
          <w:szCs w:val="20"/>
        </w:rPr>
      </w:pPr>
      <w:r w:rsidRPr="00E4532F">
        <w:rPr>
          <w:rFonts w:ascii="Times New Roman" w:hAnsi="Times New Roman"/>
          <w:sz w:val="20"/>
          <w:szCs w:val="20"/>
        </w:rPr>
        <w:t>Regular resources continued to play a vital role in leveraging other resources</w:t>
      </w:r>
      <w:r w:rsidR="00CB4D5F" w:rsidRPr="00E4532F">
        <w:rPr>
          <w:rFonts w:ascii="Times New Roman" w:hAnsi="Times New Roman"/>
          <w:sz w:val="20"/>
          <w:szCs w:val="20"/>
        </w:rPr>
        <w:t>.</w:t>
      </w:r>
      <w:r w:rsidR="00CB4D5F">
        <w:rPr>
          <w:rFonts w:ascii="Times New Roman" w:hAnsi="Times New Roman"/>
          <w:b/>
          <w:sz w:val="20"/>
          <w:szCs w:val="20"/>
        </w:rPr>
        <w:t xml:space="preserve">  </w:t>
      </w:r>
      <w:r w:rsidR="00CB4D5F">
        <w:rPr>
          <w:rFonts w:ascii="Times New Roman" w:hAnsi="Times New Roman"/>
          <w:sz w:val="20"/>
          <w:szCs w:val="20"/>
        </w:rPr>
        <w:t>F</w:t>
      </w:r>
      <w:r w:rsidRPr="007F28EC">
        <w:rPr>
          <w:rFonts w:ascii="Times New Roman" w:hAnsi="Times New Roman"/>
          <w:color w:val="000000"/>
          <w:sz w:val="20"/>
          <w:szCs w:val="20"/>
          <w:lang w:val="en-US"/>
        </w:rPr>
        <w:t xml:space="preserve">or every </w:t>
      </w:r>
      <w:r w:rsidR="00E4532F">
        <w:rPr>
          <w:rFonts w:ascii="Times New Roman" w:hAnsi="Times New Roman"/>
          <w:color w:val="000000"/>
          <w:sz w:val="20"/>
          <w:szCs w:val="20"/>
          <w:lang w:val="en-US"/>
        </w:rPr>
        <w:t xml:space="preserve">$1 </w:t>
      </w:r>
      <w:r w:rsidRPr="007F28EC">
        <w:rPr>
          <w:rFonts w:ascii="Times New Roman" w:hAnsi="Times New Roman"/>
          <w:color w:val="000000"/>
          <w:sz w:val="20"/>
          <w:szCs w:val="20"/>
          <w:lang w:val="en-US"/>
        </w:rPr>
        <w:t xml:space="preserve">received in </w:t>
      </w:r>
      <w:r w:rsidR="00E4532F">
        <w:rPr>
          <w:rFonts w:ascii="Times New Roman" w:hAnsi="Times New Roman"/>
          <w:color w:val="000000"/>
          <w:sz w:val="20"/>
          <w:szCs w:val="20"/>
          <w:lang w:val="en-US"/>
        </w:rPr>
        <w:t>regular resources</w:t>
      </w:r>
      <w:r>
        <w:rPr>
          <w:rFonts w:ascii="Times New Roman" w:hAnsi="Times New Roman"/>
          <w:color w:val="000000"/>
          <w:sz w:val="20"/>
          <w:szCs w:val="20"/>
          <w:lang w:val="en-US"/>
        </w:rPr>
        <w:t xml:space="preserve"> </w:t>
      </w:r>
      <w:r w:rsidR="003E24C8">
        <w:rPr>
          <w:rFonts w:ascii="Times New Roman" w:hAnsi="Times New Roman"/>
          <w:color w:val="000000"/>
          <w:sz w:val="20"/>
          <w:szCs w:val="20"/>
          <w:lang w:val="en-US"/>
        </w:rPr>
        <w:t xml:space="preserve">in </w:t>
      </w:r>
      <w:r w:rsidRPr="007F28EC">
        <w:rPr>
          <w:rFonts w:ascii="Times New Roman" w:hAnsi="Times New Roman"/>
          <w:color w:val="000000"/>
          <w:sz w:val="20"/>
          <w:szCs w:val="20"/>
          <w:lang w:val="en-US"/>
        </w:rPr>
        <w:t>2014-</w:t>
      </w:r>
      <w:r w:rsidR="003E24C8">
        <w:rPr>
          <w:rFonts w:ascii="Times New Roman" w:hAnsi="Times New Roman"/>
          <w:color w:val="000000"/>
          <w:sz w:val="20"/>
          <w:szCs w:val="20"/>
          <w:lang w:val="en-US"/>
        </w:rPr>
        <w:t>20</w:t>
      </w:r>
      <w:r w:rsidRPr="007F28EC">
        <w:rPr>
          <w:rFonts w:ascii="Times New Roman" w:hAnsi="Times New Roman"/>
          <w:color w:val="000000"/>
          <w:sz w:val="20"/>
          <w:szCs w:val="20"/>
          <w:lang w:val="en-US"/>
        </w:rPr>
        <w:t>17, country offices in least developed countries and low</w:t>
      </w:r>
      <w:r w:rsidR="00E4532F">
        <w:rPr>
          <w:rFonts w:ascii="Times New Roman" w:hAnsi="Times New Roman"/>
          <w:color w:val="000000"/>
          <w:sz w:val="20"/>
          <w:szCs w:val="20"/>
          <w:lang w:val="en-US"/>
        </w:rPr>
        <w:t>-</w:t>
      </w:r>
      <w:r w:rsidRPr="007F28EC">
        <w:rPr>
          <w:rFonts w:ascii="Times New Roman" w:hAnsi="Times New Roman"/>
          <w:color w:val="000000"/>
          <w:sz w:val="20"/>
          <w:szCs w:val="20"/>
          <w:lang w:val="en-US"/>
        </w:rPr>
        <w:t>income countries mobilized $7 in other resources</w:t>
      </w:r>
      <w:r>
        <w:rPr>
          <w:rFonts w:ascii="Times New Roman" w:hAnsi="Times New Roman"/>
          <w:color w:val="000000"/>
          <w:sz w:val="20"/>
          <w:szCs w:val="20"/>
          <w:lang w:val="en-US"/>
        </w:rPr>
        <w:t xml:space="preserve">, up from $6 </w:t>
      </w:r>
      <w:r w:rsidR="00E4532F">
        <w:rPr>
          <w:rFonts w:ascii="Times New Roman" w:hAnsi="Times New Roman"/>
          <w:color w:val="000000"/>
          <w:sz w:val="20"/>
          <w:szCs w:val="20"/>
          <w:lang w:val="en-US"/>
        </w:rPr>
        <w:t>in</w:t>
      </w:r>
      <w:r>
        <w:rPr>
          <w:rFonts w:ascii="Times New Roman" w:hAnsi="Times New Roman"/>
          <w:color w:val="000000"/>
          <w:sz w:val="20"/>
          <w:szCs w:val="20"/>
          <w:lang w:val="en-US"/>
        </w:rPr>
        <w:t xml:space="preserve"> 2010-</w:t>
      </w:r>
      <w:r w:rsidR="00CC5F56">
        <w:rPr>
          <w:rFonts w:ascii="Times New Roman" w:hAnsi="Times New Roman"/>
          <w:color w:val="000000"/>
          <w:sz w:val="20"/>
          <w:szCs w:val="20"/>
          <w:lang w:val="en-US"/>
        </w:rPr>
        <w:t>20</w:t>
      </w:r>
      <w:r>
        <w:rPr>
          <w:rFonts w:ascii="Times New Roman" w:hAnsi="Times New Roman"/>
          <w:color w:val="000000"/>
          <w:sz w:val="20"/>
          <w:szCs w:val="20"/>
          <w:lang w:val="en-US"/>
        </w:rPr>
        <w:t>13</w:t>
      </w:r>
      <w:r w:rsidRPr="007F28EC">
        <w:rPr>
          <w:rFonts w:ascii="Times New Roman" w:hAnsi="Times New Roman"/>
          <w:color w:val="000000"/>
          <w:sz w:val="20"/>
          <w:szCs w:val="20"/>
          <w:lang w:val="en-US"/>
        </w:rPr>
        <w:t>. Offices in middle</w:t>
      </w:r>
      <w:r w:rsidR="00E4532F">
        <w:rPr>
          <w:rFonts w:ascii="Times New Roman" w:hAnsi="Times New Roman"/>
          <w:color w:val="000000"/>
          <w:sz w:val="20"/>
          <w:szCs w:val="20"/>
          <w:lang w:val="en-US"/>
        </w:rPr>
        <w:t>-</w:t>
      </w:r>
      <w:r w:rsidRPr="007F28EC">
        <w:rPr>
          <w:rFonts w:ascii="Times New Roman" w:hAnsi="Times New Roman"/>
          <w:color w:val="000000"/>
          <w:sz w:val="20"/>
          <w:szCs w:val="20"/>
          <w:lang w:val="en-US"/>
        </w:rPr>
        <w:lastRenderedPageBreak/>
        <w:t xml:space="preserve">income countries mobilized $32 </w:t>
      </w:r>
      <w:r w:rsidR="00CC5F56">
        <w:rPr>
          <w:rFonts w:ascii="Times New Roman" w:hAnsi="Times New Roman"/>
          <w:color w:val="000000"/>
          <w:sz w:val="20"/>
          <w:szCs w:val="20"/>
          <w:lang w:val="en-US"/>
        </w:rPr>
        <w:t xml:space="preserve">for every </w:t>
      </w:r>
      <w:r w:rsidR="00E4532F">
        <w:rPr>
          <w:rFonts w:ascii="Times New Roman" w:hAnsi="Times New Roman"/>
          <w:color w:val="000000"/>
          <w:sz w:val="20"/>
          <w:szCs w:val="20"/>
          <w:lang w:val="en-US"/>
        </w:rPr>
        <w:t>$1</w:t>
      </w:r>
      <w:r w:rsidR="00CC5F56">
        <w:rPr>
          <w:rFonts w:ascii="Times New Roman" w:hAnsi="Times New Roman"/>
          <w:color w:val="000000"/>
          <w:sz w:val="20"/>
          <w:szCs w:val="20"/>
          <w:lang w:val="en-US"/>
        </w:rPr>
        <w:t xml:space="preserve"> received in </w:t>
      </w:r>
      <w:r w:rsidR="00E4532F">
        <w:rPr>
          <w:rFonts w:ascii="Times New Roman" w:hAnsi="Times New Roman"/>
          <w:color w:val="000000"/>
          <w:sz w:val="20"/>
          <w:szCs w:val="20"/>
          <w:lang w:val="en-US"/>
        </w:rPr>
        <w:t xml:space="preserve">regular </w:t>
      </w:r>
      <w:r w:rsidR="00CC5F56">
        <w:rPr>
          <w:rFonts w:ascii="Times New Roman" w:hAnsi="Times New Roman"/>
          <w:color w:val="000000"/>
          <w:sz w:val="20"/>
          <w:szCs w:val="20"/>
          <w:lang w:val="en-US"/>
        </w:rPr>
        <w:t>resources</w:t>
      </w:r>
      <w:r w:rsidR="0052522B">
        <w:rPr>
          <w:rFonts w:ascii="Times New Roman" w:hAnsi="Times New Roman"/>
          <w:color w:val="000000"/>
          <w:sz w:val="20"/>
          <w:szCs w:val="20"/>
          <w:lang w:val="en-US"/>
        </w:rPr>
        <w:t>, a significant increase from</w:t>
      </w:r>
      <w:r>
        <w:rPr>
          <w:rFonts w:ascii="Times New Roman" w:hAnsi="Times New Roman"/>
          <w:color w:val="000000"/>
          <w:sz w:val="20"/>
          <w:szCs w:val="20"/>
          <w:lang w:val="en-US"/>
        </w:rPr>
        <w:t xml:space="preserve"> $22 </w:t>
      </w:r>
      <w:r w:rsidR="0052522B">
        <w:rPr>
          <w:rFonts w:ascii="Times New Roman" w:hAnsi="Times New Roman"/>
          <w:color w:val="000000"/>
          <w:sz w:val="20"/>
          <w:szCs w:val="20"/>
          <w:lang w:val="en-US"/>
        </w:rPr>
        <w:t xml:space="preserve">in </w:t>
      </w:r>
      <w:r>
        <w:rPr>
          <w:rFonts w:ascii="Times New Roman" w:hAnsi="Times New Roman"/>
          <w:color w:val="000000"/>
          <w:sz w:val="20"/>
          <w:szCs w:val="20"/>
          <w:lang w:val="en-US"/>
        </w:rPr>
        <w:t xml:space="preserve">2010-2013.   </w:t>
      </w:r>
    </w:p>
    <w:p w:rsidR="00E128D4" w:rsidRPr="00434C41" w:rsidRDefault="00E128D4" w:rsidP="00434C41">
      <w:pPr>
        <w:pStyle w:val="ListParagraph"/>
        <w:tabs>
          <w:tab w:val="left" w:pos="900"/>
        </w:tabs>
        <w:rPr>
          <w:rFonts w:ascii="Times New Roman" w:hAnsi="Times New Roman"/>
          <w:sz w:val="12"/>
          <w:szCs w:val="12"/>
        </w:rPr>
      </w:pPr>
    </w:p>
    <w:p w:rsidR="00CB7016" w:rsidRPr="00313BEF" w:rsidRDefault="00E95C67" w:rsidP="00CB7016">
      <w:pPr>
        <w:pStyle w:val="ListParagraph"/>
        <w:numPr>
          <w:ilvl w:val="0"/>
          <w:numId w:val="11"/>
        </w:numPr>
        <w:tabs>
          <w:tab w:val="left" w:pos="990"/>
        </w:tabs>
        <w:spacing w:before="240" w:line="240" w:lineRule="auto"/>
        <w:ind w:left="630" w:firstLine="0"/>
        <w:jc w:val="both"/>
        <w:rPr>
          <w:rFonts w:ascii="Times New Roman" w:hAnsi="Times New Roman"/>
          <w:sz w:val="20"/>
          <w:szCs w:val="20"/>
        </w:rPr>
      </w:pPr>
      <w:r w:rsidRPr="006047AC">
        <w:rPr>
          <w:rFonts w:ascii="Times New Roman" w:hAnsi="Times New Roman"/>
          <w:sz w:val="20"/>
          <w:szCs w:val="20"/>
        </w:rPr>
        <w:t xml:space="preserve">UNDP became a </w:t>
      </w:r>
      <w:r w:rsidRPr="00E4532F">
        <w:rPr>
          <w:rFonts w:ascii="Times New Roman" w:hAnsi="Times New Roman"/>
          <w:sz w:val="20"/>
          <w:szCs w:val="20"/>
        </w:rPr>
        <w:t xml:space="preserve">more efficient </w:t>
      </w:r>
      <w:r w:rsidR="00E4532F" w:rsidRPr="00E4532F">
        <w:rPr>
          <w:rFonts w:ascii="Times New Roman" w:hAnsi="Times New Roman"/>
          <w:sz w:val="20"/>
          <w:szCs w:val="20"/>
        </w:rPr>
        <w:t>organi</w:t>
      </w:r>
      <w:r w:rsidR="00E4532F">
        <w:rPr>
          <w:rFonts w:ascii="Times New Roman" w:hAnsi="Times New Roman"/>
          <w:sz w:val="20"/>
          <w:szCs w:val="20"/>
        </w:rPr>
        <w:t>z</w:t>
      </w:r>
      <w:r w:rsidR="00E4532F" w:rsidRPr="00E4532F">
        <w:rPr>
          <w:rFonts w:ascii="Times New Roman" w:hAnsi="Times New Roman"/>
          <w:sz w:val="20"/>
          <w:szCs w:val="20"/>
        </w:rPr>
        <w:t>ation</w:t>
      </w:r>
      <w:r w:rsidRPr="006047AC">
        <w:rPr>
          <w:rFonts w:ascii="Times New Roman" w:hAnsi="Times New Roman"/>
          <w:sz w:val="20"/>
          <w:szCs w:val="20"/>
        </w:rPr>
        <w:t>, reducing its management efficien</w:t>
      </w:r>
      <w:r w:rsidR="001871DC">
        <w:rPr>
          <w:rFonts w:ascii="Times New Roman" w:hAnsi="Times New Roman"/>
          <w:sz w:val="20"/>
          <w:szCs w:val="20"/>
        </w:rPr>
        <w:t>cy</w:t>
      </w:r>
      <w:r w:rsidRPr="006047AC">
        <w:rPr>
          <w:rFonts w:ascii="Times New Roman" w:hAnsi="Times New Roman"/>
          <w:sz w:val="20"/>
          <w:szCs w:val="20"/>
        </w:rPr>
        <w:t xml:space="preserve"> ratio from 8.3 per cent in 2014 to 6.9 per cent in 2017.</w:t>
      </w:r>
      <w:r w:rsidRPr="006047AC">
        <w:rPr>
          <w:rFonts w:ascii="Times New Roman" w:eastAsia="MS Mincho" w:hAnsi="Times New Roman"/>
          <w:sz w:val="20"/>
          <w:szCs w:val="20"/>
          <w:lang w:val="en-CA"/>
        </w:rPr>
        <w:t xml:space="preserve">  </w:t>
      </w:r>
      <w:r w:rsidRPr="006047AC">
        <w:rPr>
          <w:rFonts w:ascii="Times New Roman" w:hAnsi="Times New Roman"/>
          <w:sz w:val="20"/>
          <w:szCs w:val="20"/>
        </w:rPr>
        <w:t xml:space="preserve">The highest provisional programme expenditure ($4.5 billion) for the </w:t>
      </w:r>
      <w:r w:rsidR="00E4532F">
        <w:rPr>
          <w:rFonts w:ascii="Times New Roman" w:hAnsi="Times New Roman"/>
          <w:sz w:val="20"/>
          <w:szCs w:val="20"/>
        </w:rPr>
        <w:t>S</w:t>
      </w:r>
      <w:r w:rsidR="00E4532F" w:rsidRPr="006047AC">
        <w:rPr>
          <w:rFonts w:ascii="Times New Roman" w:hAnsi="Times New Roman"/>
          <w:sz w:val="20"/>
          <w:szCs w:val="20"/>
        </w:rPr>
        <w:t xml:space="preserve">trategic </w:t>
      </w:r>
      <w:r w:rsidR="00E4532F">
        <w:rPr>
          <w:rFonts w:ascii="Times New Roman" w:hAnsi="Times New Roman"/>
          <w:sz w:val="20"/>
          <w:szCs w:val="20"/>
        </w:rPr>
        <w:t>P</w:t>
      </w:r>
      <w:r w:rsidR="00E4532F" w:rsidRPr="006047AC">
        <w:rPr>
          <w:rFonts w:ascii="Times New Roman" w:hAnsi="Times New Roman"/>
          <w:sz w:val="20"/>
          <w:szCs w:val="20"/>
        </w:rPr>
        <w:t xml:space="preserve">lan </w:t>
      </w:r>
      <w:r w:rsidRPr="006047AC">
        <w:rPr>
          <w:rFonts w:ascii="Times New Roman" w:hAnsi="Times New Roman"/>
          <w:sz w:val="20"/>
          <w:szCs w:val="20"/>
        </w:rPr>
        <w:t xml:space="preserve">was achieved in 2017 due to </w:t>
      </w:r>
      <w:r w:rsidRPr="00E4532F">
        <w:rPr>
          <w:rFonts w:ascii="Times New Roman" w:hAnsi="Times New Roman"/>
          <w:sz w:val="20"/>
          <w:szCs w:val="20"/>
        </w:rPr>
        <w:t>concentrated efforts to accelerate delivery</w:t>
      </w:r>
      <w:r w:rsidRPr="006047AC">
        <w:rPr>
          <w:rFonts w:ascii="Times New Roman" w:hAnsi="Times New Roman"/>
          <w:sz w:val="20"/>
          <w:szCs w:val="20"/>
        </w:rPr>
        <w:t xml:space="preserve">. </w:t>
      </w:r>
      <w:bookmarkStart w:id="2" w:name="_Hlk512344712"/>
      <w:r w:rsidR="00CB7016" w:rsidRPr="00313BEF">
        <w:rPr>
          <w:rFonts w:ascii="Times New Roman" w:hAnsi="Times New Roman"/>
          <w:sz w:val="20"/>
          <w:szCs w:val="20"/>
        </w:rPr>
        <w:t xml:space="preserve">UNDP has a stronger, more sustainable financial footing as it embarks upon the new </w:t>
      </w:r>
      <w:r w:rsidR="004D717D" w:rsidRPr="00313BEF">
        <w:rPr>
          <w:rFonts w:ascii="Times New Roman" w:hAnsi="Times New Roman"/>
          <w:sz w:val="20"/>
          <w:szCs w:val="20"/>
        </w:rPr>
        <w:t>S</w:t>
      </w:r>
      <w:r w:rsidR="00CB7016" w:rsidRPr="00313BEF">
        <w:rPr>
          <w:rFonts w:ascii="Times New Roman" w:hAnsi="Times New Roman"/>
          <w:sz w:val="20"/>
          <w:szCs w:val="20"/>
        </w:rPr>
        <w:t xml:space="preserve">trategic </w:t>
      </w:r>
      <w:r w:rsidR="00752FE4" w:rsidRPr="00313BEF">
        <w:rPr>
          <w:rFonts w:ascii="Times New Roman" w:hAnsi="Times New Roman"/>
          <w:sz w:val="20"/>
          <w:szCs w:val="20"/>
        </w:rPr>
        <w:t>P</w:t>
      </w:r>
      <w:r w:rsidR="00CB7016" w:rsidRPr="00313BEF">
        <w:rPr>
          <w:rFonts w:ascii="Times New Roman" w:hAnsi="Times New Roman"/>
          <w:sz w:val="20"/>
          <w:szCs w:val="20"/>
        </w:rPr>
        <w:t xml:space="preserve">lan.  UNDP took decisive action in 2017 to bring its institutional budget into balance in support of UNDP efforts to enhance its institutional sustainability, and as a result, closed 2017 </w:t>
      </w:r>
      <w:r w:rsidR="00752FE4" w:rsidRPr="00313BEF">
        <w:rPr>
          <w:rFonts w:ascii="Times New Roman" w:hAnsi="Times New Roman"/>
          <w:sz w:val="20"/>
          <w:szCs w:val="20"/>
        </w:rPr>
        <w:t>with</w:t>
      </w:r>
      <w:r w:rsidR="00CB7016" w:rsidRPr="00313BEF">
        <w:rPr>
          <w:rFonts w:ascii="Times New Roman" w:hAnsi="Times New Roman"/>
          <w:sz w:val="20"/>
          <w:szCs w:val="20"/>
        </w:rPr>
        <w:t xml:space="preserve"> a small financial surplus reversing several years of recurring institutional deficits.</w:t>
      </w:r>
    </w:p>
    <w:p w:rsidR="00E95C67" w:rsidRPr="00434C41" w:rsidRDefault="00E95C67" w:rsidP="00434C41">
      <w:pPr>
        <w:pStyle w:val="ListParagraph"/>
        <w:tabs>
          <w:tab w:val="left" w:pos="990"/>
        </w:tabs>
        <w:rPr>
          <w:rFonts w:ascii="Times New Roman" w:hAnsi="Times New Roman"/>
          <w:sz w:val="12"/>
          <w:szCs w:val="12"/>
        </w:rPr>
      </w:pPr>
    </w:p>
    <w:bookmarkEnd w:id="2"/>
    <w:p w:rsidR="00E95C67" w:rsidRPr="006047AC" w:rsidRDefault="00E95C67" w:rsidP="00434C41">
      <w:pPr>
        <w:pStyle w:val="ListParagraph"/>
        <w:numPr>
          <w:ilvl w:val="0"/>
          <w:numId w:val="11"/>
        </w:numPr>
        <w:tabs>
          <w:tab w:val="left" w:pos="990"/>
        </w:tabs>
        <w:spacing w:before="240" w:line="240" w:lineRule="auto"/>
        <w:ind w:left="630" w:firstLine="0"/>
        <w:jc w:val="both"/>
        <w:rPr>
          <w:rFonts w:eastAsia="MS Mincho"/>
          <w:bCs/>
        </w:rPr>
      </w:pPr>
      <w:r w:rsidRPr="006047AC">
        <w:rPr>
          <w:rFonts w:ascii="Times New Roman" w:eastAsia="MS Mincho" w:hAnsi="Times New Roman"/>
          <w:bCs/>
          <w:sz w:val="20"/>
          <w:szCs w:val="20"/>
        </w:rPr>
        <w:t xml:space="preserve">In line with the repositioning of the </w:t>
      </w:r>
      <w:r w:rsidR="00E4532F">
        <w:rPr>
          <w:rFonts w:ascii="Times New Roman" w:eastAsia="MS Mincho" w:hAnsi="Times New Roman"/>
          <w:bCs/>
          <w:sz w:val="20"/>
          <w:szCs w:val="20"/>
        </w:rPr>
        <w:t>United Nations development system (</w:t>
      </w:r>
      <w:r w:rsidRPr="006047AC">
        <w:rPr>
          <w:rFonts w:ascii="Times New Roman" w:eastAsia="MS Mincho" w:hAnsi="Times New Roman"/>
          <w:bCs/>
          <w:sz w:val="20"/>
          <w:szCs w:val="20"/>
        </w:rPr>
        <w:t>UNDS</w:t>
      </w:r>
      <w:r w:rsidR="00E4532F">
        <w:rPr>
          <w:rFonts w:ascii="Times New Roman" w:eastAsia="MS Mincho" w:hAnsi="Times New Roman"/>
          <w:bCs/>
          <w:sz w:val="20"/>
          <w:szCs w:val="20"/>
        </w:rPr>
        <w:t>)</w:t>
      </w:r>
      <w:r w:rsidRPr="006047AC">
        <w:rPr>
          <w:rFonts w:ascii="Times New Roman" w:eastAsia="MS Mincho" w:hAnsi="Times New Roman"/>
          <w:bCs/>
          <w:sz w:val="20"/>
          <w:szCs w:val="20"/>
        </w:rPr>
        <w:t xml:space="preserve"> to deliver on the 2030 Agenda, UNDP </w:t>
      </w:r>
      <w:r>
        <w:rPr>
          <w:rFonts w:ascii="Times New Roman" w:eastAsia="MS Mincho" w:hAnsi="Times New Roman"/>
          <w:bCs/>
          <w:sz w:val="20"/>
          <w:szCs w:val="20"/>
        </w:rPr>
        <w:t xml:space="preserve">has commenced implementation of the </w:t>
      </w:r>
      <w:r w:rsidR="00E4532F">
        <w:rPr>
          <w:rFonts w:ascii="Times New Roman" w:eastAsia="MS Mincho" w:hAnsi="Times New Roman"/>
          <w:bCs/>
          <w:sz w:val="20"/>
          <w:szCs w:val="20"/>
        </w:rPr>
        <w:t xml:space="preserve">Strategic Plan </w:t>
      </w:r>
      <w:r>
        <w:rPr>
          <w:rFonts w:ascii="Times New Roman" w:eastAsia="MS Mincho" w:hAnsi="Times New Roman"/>
          <w:bCs/>
          <w:sz w:val="20"/>
          <w:szCs w:val="20"/>
        </w:rPr>
        <w:t xml:space="preserve">2018-2021 to ensure </w:t>
      </w:r>
      <w:r w:rsidRPr="006047AC">
        <w:rPr>
          <w:rFonts w:ascii="Times New Roman" w:eastAsia="MS Mincho" w:hAnsi="Times New Roman"/>
          <w:bCs/>
          <w:sz w:val="20"/>
          <w:szCs w:val="20"/>
        </w:rPr>
        <w:t xml:space="preserve">more coherent, accountable and effective support for partner countries through reinforcing national ownership; developing country-contextual responses; </w:t>
      </w:r>
      <w:r w:rsidR="00332575">
        <w:rPr>
          <w:rFonts w:ascii="Times New Roman" w:eastAsia="MS Mincho" w:hAnsi="Times New Roman"/>
          <w:bCs/>
          <w:sz w:val="20"/>
          <w:szCs w:val="20"/>
        </w:rPr>
        <w:t xml:space="preserve">providing integrated responses; </w:t>
      </w:r>
      <w:r w:rsidRPr="006047AC">
        <w:rPr>
          <w:rFonts w:ascii="Times New Roman" w:eastAsia="MS Mincho" w:hAnsi="Times New Roman"/>
          <w:bCs/>
          <w:sz w:val="20"/>
          <w:szCs w:val="20"/>
        </w:rPr>
        <w:t>and ensuring effective delivery of development results on the ground.</w:t>
      </w:r>
      <w:r w:rsidRPr="006047AC">
        <w:rPr>
          <w:rFonts w:eastAsia="MS Mincho"/>
          <w:bCs/>
        </w:rPr>
        <w:t xml:space="preserve"> </w:t>
      </w:r>
    </w:p>
    <w:p w:rsidR="00E95C67" w:rsidRDefault="00E95C67" w:rsidP="00434C41">
      <w:pPr>
        <w:pStyle w:val="ListParagraph"/>
        <w:tabs>
          <w:tab w:val="left" w:pos="900"/>
        </w:tabs>
        <w:spacing w:after="0" w:line="0" w:lineRule="atLeast"/>
        <w:ind w:left="1080"/>
        <w:jc w:val="both"/>
        <w:rPr>
          <w:rFonts w:ascii="Times New Roman" w:hAnsi="Times New Roman"/>
          <w:sz w:val="20"/>
          <w:szCs w:val="20"/>
        </w:rPr>
      </w:pPr>
    </w:p>
    <w:tbl>
      <w:tblPr>
        <w:tblStyle w:val="TableGrid"/>
        <w:tblW w:w="8460" w:type="dxa"/>
        <w:tblInd w:w="445" w:type="dxa"/>
        <w:tblLook w:val="04A0" w:firstRow="1" w:lastRow="0" w:firstColumn="1" w:lastColumn="0" w:noHBand="0" w:noVBand="1"/>
      </w:tblPr>
      <w:tblGrid>
        <w:gridCol w:w="8460"/>
      </w:tblGrid>
      <w:tr w:rsidR="00E95C67" w:rsidTr="00726C03">
        <w:tc>
          <w:tcPr>
            <w:tcW w:w="8460" w:type="dxa"/>
          </w:tcPr>
          <w:p w:rsidR="00E95C67" w:rsidRPr="00E128D4" w:rsidRDefault="00E95C67" w:rsidP="00E128D4">
            <w:pPr>
              <w:spacing w:line="240" w:lineRule="auto"/>
              <w:jc w:val="both"/>
              <w:rPr>
                <w:rFonts w:ascii="Times New Roman" w:hAnsi="Times New Roman"/>
                <w:b/>
                <w:sz w:val="20"/>
                <w:szCs w:val="20"/>
              </w:rPr>
            </w:pPr>
            <w:r w:rsidRPr="00E128D4">
              <w:rPr>
                <w:rFonts w:ascii="Times New Roman" w:hAnsi="Times New Roman"/>
                <w:b/>
                <w:sz w:val="20"/>
                <w:szCs w:val="20"/>
              </w:rPr>
              <w:t>Box 1. Highlights</w:t>
            </w:r>
            <w:r w:rsidR="00CE5ED2">
              <w:rPr>
                <w:rFonts w:ascii="Times New Roman" w:hAnsi="Times New Roman"/>
                <w:b/>
                <w:sz w:val="20"/>
                <w:szCs w:val="20"/>
              </w:rPr>
              <w:t xml:space="preserve"> of</w:t>
            </w:r>
            <w:r w:rsidR="00CE5ED2" w:rsidRPr="00E128D4">
              <w:rPr>
                <w:rFonts w:ascii="Times New Roman" w:hAnsi="Times New Roman"/>
                <w:b/>
                <w:sz w:val="20"/>
                <w:szCs w:val="20"/>
              </w:rPr>
              <w:t xml:space="preserve"> </w:t>
            </w:r>
            <w:r w:rsidRPr="00E128D4">
              <w:rPr>
                <w:rFonts w:ascii="Times New Roman" w:hAnsi="Times New Roman"/>
                <w:b/>
                <w:sz w:val="20"/>
                <w:szCs w:val="20"/>
              </w:rPr>
              <w:t xml:space="preserve">UNDP </w:t>
            </w:r>
            <w:r w:rsidR="00AD7D66">
              <w:rPr>
                <w:rFonts w:ascii="Times New Roman" w:hAnsi="Times New Roman"/>
                <w:b/>
                <w:sz w:val="20"/>
                <w:szCs w:val="20"/>
              </w:rPr>
              <w:t xml:space="preserve">support for </w:t>
            </w:r>
            <w:r w:rsidR="00340687">
              <w:rPr>
                <w:rFonts w:ascii="Times New Roman" w:hAnsi="Times New Roman"/>
                <w:b/>
                <w:sz w:val="20"/>
                <w:szCs w:val="20"/>
              </w:rPr>
              <w:t>d</w:t>
            </w:r>
            <w:r w:rsidRPr="00E128D4">
              <w:rPr>
                <w:rFonts w:ascii="Times New Roman" w:hAnsi="Times New Roman"/>
                <w:b/>
                <w:sz w:val="20"/>
                <w:szCs w:val="20"/>
              </w:rPr>
              <w:t xml:space="preserve">evelopment </w:t>
            </w:r>
            <w:r w:rsidR="00340687">
              <w:rPr>
                <w:rFonts w:ascii="Times New Roman" w:hAnsi="Times New Roman"/>
                <w:b/>
                <w:sz w:val="20"/>
                <w:szCs w:val="20"/>
              </w:rPr>
              <w:t>r</w:t>
            </w:r>
            <w:r w:rsidRPr="00E128D4">
              <w:rPr>
                <w:rFonts w:ascii="Times New Roman" w:hAnsi="Times New Roman"/>
                <w:b/>
                <w:sz w:val="20"/>
                <w:szCs w:val="20"/>
              </w:rPr>
              <w:t>esults</w:t>
            </w:r>
            <w:r w:rsidR="00CE5ED2">
              <w:rPr>
                <w:rFonts w:ascii="Times New Roman" w:hAnsi="Times New Roman"/>
                <w:b/>
                <w:sz w:val="20"/>
                <w:szCs w:val="20"/>
              </w:rPr>
              <w:t>,</w:t>
            </w:r>
            <w:r w:rsidRPr="00E128D4">
              <w:rPr>
                <w:rFonts w:ascii="Times New Roman" w:hAnsi="Times New Roman"/>
                <w:b/>
                <w:sz w:val="20"/>
                <w:szCs w:val="20"/>
              </w:rPr>
              <w:t xml:space="preserve"> 2014-</w:t>
            </w:r>
            <w:r w:rsidR="00CE5ED2">
              <w:rPr>
                <w:rFonts w:ascii="Times New Roman" w:hAnsi="Times New Roman"/>
                <w:b/>
                <w:sz w:val="20"/>
                <w:szCs w:val="20"/>
              </w:rPr>
              <w:t>20</w:t>
            </w:r>
            <w:r w:rsidRPr="00E128D4">
              <w:rPr>
                <w:rFonts w:ascii="Times New Roman" w:hAnsi="Times New Roman"/>
                <w:b/>
                <w:sz w:val="20"/>
                <w:szCs w:val="20"/>
              </w:rPr>
              <w:t xml:space="preserve">17 </w:t>
            </w:r>
          </w:p>
          <w:p w:rsidR="00502004" w:rsidRPr="00502004" w:rsidRDefault="00502004" w:rsidP="00502004">
            <w:pPr>
              <w:pStyle w:val="ListParagraph"/>
              <w:numPr>
                <w:ilvl w:val="0"/>
                <w:numId w:val="17"/>
              </w:numPr>
              <w:shd w:val="clear" w:color="auto" w:fill="FFFFFF"/>
              <w:spacing w:after="0" w:line="240" w:lineRule="auto"/>
              <w:jc w:val="both"/>
              <w:rPr>
                <w:rFonts w:ascii="Times New Roman" w:eastAsia="MS Mincho" w:hAnsi="Times New Roman"/>
                <w:b/>
                <w:bCs/>
                <w:sz w:val="20"/>
                <w:szCs w:val="20"/>
                <w:lang w:val="en-CA"/>
              </w:rPr>
            </w:pPr>
            <w:r w:rsidRPr="00502004">
              <w:rPr>
                <w:rFonts w:ascii="Times New Roman" w:eastAsia="MS Mincho" w:hAnsi="Times New Roman"/>
                <w:sz w:val="20"/>
                <w:szCs w:val="20"/>
                <w:lang w:val="en-CA"/>
              </w:rPr>
              <w:t>37.3 million people (51 per cent women) benefited from improved livelihoods initiatives in 120 countries, including economic transformation, natural resource management and early recovery.</w:t>
            </w:r>
            <w:r w:rsidRPr="00E128D4">
              <w:rPr>
                <w:rStyle w:val="FootnoteReference"/>
                <w:rFonts w:ascii="Times New Roman" w:eastAsia="MS Mincho" w:hAnsi="Times New Roman"/>
                <w:sz w:val="20"/>
                <w:szCs w:val="20"/>
                <w:lang w:val="en-CA"/>
              </w:rPr>
              <w:footnoteReference w:id="3"/>
            </w:r>
          </w:p>
          <w:p w:rsidR="00E95C67" w:rsidRPr="00502004" w:rsidRDefault="00E95C67" w:rsidP="00502004">
            <w:pPr>
              <w:pStyle w:val="ListParagraph"/>
              <w:numPr>
                <w:ilvl w:val="0"/>
                <w:numId w:val="17"/>
              </w:numPr>
              <w:shd w:val="clear" w:color="auto" w:fill="FFFFFF"/>
              <w:spacing w:after="0" w:line="240" w:lineRule="auto"/>
              <w:jc w:val="both"/>
              <w:rPr>
                <w:rFonts w:ascii="Times New Roman" w:eastAsia="MS Mincho" w:hAnsi="Times New Roman"/>
                <w:b/>
                <w:bCs/>
                <w:sz w:val="20"/>
                <w:szCs w:val="20"/>
                <w:lang w:val="en-CA"/>
              </w:rPr>
            </w:pPr>
            <w:r w:rsidRPr="00502004">
              <w:rPr>
                <w:rFonts w:ascii="Times New Roman" w:eastAsia="MS Mincho" w:hAnsi="Times New Roman"/>
                <w:sz w:val="20"/>
                <w:szCs w:val="20"/>
                <w:lang w:val="en-CA"/>
              </w:rPr>
              <w:t xml:space="preserve">Nearly </w:t>
            </w:r>
            <w:r w:rsidR="00CE5ED2">
              <w:rPr>
                <w:rFonts w:ascii="Times New Roman" w:eastAsia="MS Mincho" w:hAnsi="Times New Roman"/>
                <w:sz w:val="20"/>
                <w:szCs w:val="20"/>
                <w:lang w:val="en-CA"/>
              </w:rPr>
              <w:t>3</w:t>
            </w:r>
            <w:r w:rsidR="00CE5ED2" w:rsidRPr="00502004">
              <w:rPr>
                <w:rFonts w:ascii="Times New Roman" w:eastAsia="MS Mincho" w:hAnsi="Times New Roman"/>
                <w:sz w:val="20"/>
                <w:szCs w:val="20"/>
                <w:lang w:val="en-CA"/>
              </w:rPr>
              <w:t xml:space="preserve"> </w:t>
            </w:r>
            <w:r w:rsidRPr="00502004">
              <w:rPr>
                <w:rFonts w:ascii="Times New Roman" w:eastAsia="MS Mincho" w:hAnsi="Times New Roman"/>
                <w:sz w:val="20"/>
                <w:szCs w:val="20"/>
                <w:lang w:val="en-CA"/>
              </w:rPr>
              <w:t>million new jobs (41 per cent for women) were created in 101 countries.</w:t>
            </w:r>
          </w:p>
          <w:p w:rsidR="00E95C67" w:rsidRPr="00502004" w:rsidRDefault="00E95C67" w:rsidP="00502004">
            <w:pPr>
              <w:pStyle w:val="ListParagraph"/>
              <w:numPr>
                <w:ilvl w:val="0"/>
                <w:numId w:val="17"/>
              </w:numPr>
              <w:shd w:val="clear" w:color="auto" w:fill="FFFFFF"/>
              <w:spacing w:after="0" w:line="240" w:lineRule="auto"/>
              <w:jc w:val="both"/>
              <w:rPr>
                <w:rFonts w:ascii="Times New Roman" w:eastAsia="MS Mincho" w:hAnsi="Times New Roman"/>
                <w:b/>
                <w:bCs/>
                <w:sz w:val="20"/>
                <w:szCs w:val="20"/>
                <w:lang w:val="en-CA"/>
              </w:rPr>
            </w:pPr>
            <w:r w:rsidRPr="00502004">
              <w:rPr>
                <w:rFonts w:ascii="Times New Roman" w:eastAsia="MS Mincho" w:hAnsi="Times New Roman"/>
                <w:sz w:val="20"/>
                <w:szCs w:val="20"/>
                <w:lang w:val="en-CA"/>
              </w:rPr>
              <w:t xml:space="preserve">Action plans were developed in 36 countries to address unfinished work </w:t>
            </w:r>
            <w:r w:rsidR="00CE5ED2">
              <w:rPr>
                <w:rFonts w:ascii="Times New Roman" w:eastAsia="MS Mincho" w:hAnsi="Times New Roman"/>
                <w:sz w:val="20"/>
                <w:szCs w:val="20"/>
                <w:lang w:val="en-CA"/>
              </w:rPr>
              <w:t xml:space="preserve">on the Millennium Development Goals </w:t>
            </w:r>
            <w:r w:rsidRPr="00502004">
              <w:rPr>
                <w:rFonts w:ascii="Times New Roman" w:eastAsia="MS Mincho" w:hAnsi="Times New Roman"/>
                <w:sz w:val="20"/>
                <w:szCs w:val="20"/>
                <w:lang w:val="en-CA"/>
              </w:rPr>
              <w:t xml:space="preserve">and </w:t>
            </w:r>
            <w:r w:rsidR="00CE5ED2">
              <w:rPr>
                <w:rFonts w:ascii="Times New Roman" w:eastAsia="MS Mincho" w:hAnsi="Times New Roman"/>
                <w:sz w:val="20"/>
                <w:szCs w:val="20"/>
                <w:lang w:val="en-CA"/>
              </w:rPr>
              <w:t xml:space="preserve">the </w:t>
            </w:r>
            <w:r w:rsidRPr="00502004">
              <w:rPr>
                <w:rFonts w:ascii="Times New Roman" w:eastAsia="MS Mincho" w:hAnsi="Times New Roman"/>
                <w:sz w:val="20"/>
                <w:szCs w:val="20"/>
                <w:lang w:val="en-CA"/>
              </w:rPr>
              <w:t xml:space="preserve">transition to the </w:t>
            </w:r>
            <w:r w:rsidR="00CE5ED2">
              <w:rPr>
                <w:rFonts w:ascii="Times New Roman" w:eastAsia="MS Mincho" w:hAnsi="Times New Roman"/>
                <w:sz w:val="20"/>
                <w:szCs w:val="20"/>
                <w:lang w:val="en-CA"/>
              </w:rPr>
              <w:t>Sustainable Development Goals</w:t>
            </w:r>
            <w:r w:rsidRPr="00502004">
              <w:rPr>
                <w:rFonts w:ascii="Times New Roman" w:eastAsia="MS Mincho" w:hAnsi="Times New Roman"/>
                <w:sz w:val="20"/>
                <w:szCs w:val="20"/>
                <w:lang w:val="en-CA"/>
              </w:rPr>
              <w:t>.</w:t>
            </w:r>
          </w:p>
          <w:p w:rsidR="00E95C67" w:rsidRPr="00502004" w:rsidRDefault="00E95C67" w:rsidP="00502004">
            <w:pPr>
              <w:pStyle w:val="ListParagraph"/>
              <w:numPr>
                <w:ilvl w:val="0"/>
                <w:numId w:val="17"/>
              </w:numPr>
              <w:shd w:val="clear" w:color="auto" w:fill="FFFFFF"/>
              <w:spacing w:after="0" w:line="240" w:lineRule="auto"/>
              <w:jc w:val="both"/>
              <w:rPr>
                <w:rFonts w:ascii="Times New Roman" w:eastAsia="MS Mincho" w:hAnsi="Times New Roman"/>
                <w:b/>
                <w:bCs/>
                <w:sz w:val="20"/>
                <w:szCs w:val="20"/>
                <w:lang w:val="en-CA"/>
              </w:rPr>
            </w:pPr>
            <w:r w:rsidRPr="00502004">
              <w:rPr>
                <w:rFonts w:ascii="Times New Roman" w:eastAsia="MS Mincho" w:hAnsi="Times New Roman"/>
                <w:sz w:val="20"/>
                <w:szCs w:val="20"/>
                <w:lang w:val="en-CA"/>
              </w:rPr>
              <w:t>Measures towards low-emission and climate-resilient development were implemented in 104 countries.</w:t>
            </w:r>
          </w:p>
          <w:p w:rsidR="00E95C67" w:rsidRPr="00502004" w:rsidRDefault="00E95C67" w:rsidP="00502004">
            <w:pPr>
              <w:pStyle w:val="ListParagraph"/>
              <w:numPr>
                <w:ilvl w:val="0"/>
                <w:numId w:val="17"/>
              </w:numPr>
              <w:shd w:val="clear" w:color="auto" w:fill="FFFFFF"/>
              <w:spacing w:after="0" w:line="240" w:lineRule="auto"/>
              <w:jc w:val="both"/>
              <w:rPr>
                <w:rFonts w:ascii="Times New Roman" w:eastAsia="MS Mincho" w:hAnsi="Times New Roman"/>
                <w:sz w:val="20"/>
                <w:szCs w:val="20"/>
                <w:lang w:val="en-CA"/>
              </w:rPr>
            </w:pPr>
            <w:r w:rsidRPr="00502004">
              <w:rPr>
                <w:rFonts w:ascii="Times New Roman" w:eastAsia="MS Mincho" w:hAnsi="Times New Roman"/>
                <w:sz w:val="20"/>
                <w:szCs w:val="20"/>
                <w:lang w:val="en-CA"/>
              </w:rPr>
              <w:t xml:space="preserve">Nearly 170 million new voters </w:t>
            </w:r>
            <w:r w:rsidR="00CE5ED2">
              <w:rPr>
                <w:rFonts w:ascii="Times New Roman" w:eastAsia="MS Mincho" w:hAnsi="Times New Roman"/>
                <w:sz w:val="20"/>
                <w:szCs w:val="20"/>
                <w:lang w:val="en-CA"/>
              </w:rPr>
              <w:t xml:space="preserve">were </w:t>
            </w:r>
            <w:r w:rsidRPr="00502004">
              <w:rPr>
                <w:rFonts w:ascii="Times New Roman" w:eastAsia="MS Mincho" w:hAnsi="Times New Roman"/>
                <w:sz w:val="20"/>
                <w:szCs w:val="20"/>
                <w:lang w:val="en-CA"/>
              </w:rPr>
              <w:t xml:space="preserve">registered in 52 countries. </w:t>
            </w:r>
          </w:p>
          <w:p w:rsidR="00E95C67" w:rsidRPr="00502004" w:rsidRDefault="00E95C67" w:rsidP="00502004">
            <w:pPr>
              <w:pStyle w:val="ListParagraph"/>
              <w:numPr>
                <w:ilvl w:val="0"/>
                <w:numId w:val="17"/>
              </w:numPr>
              <w:shd w:val="clear" w:color="auto" w:fill="FFFFFF"/>
              <w:spacing w:after="0" w:line="240" w:lineRule="auto"/>
              <w:jc w:val="both"/>
              <w:rPr>
                <w:rFonts w:ascii="Times New Roman" w:eastAsia="MS Mincho" w:hAnsi="Times New Roman"/>
                <w:sz w:val="20"/>
                <w:szCs w:val="20"/>
                <w:lang w:val="en-CA"/>
              </w:rPr>
            </w:pPr>
            <w:r w:rsidRPr="00502004">
              <w:rPr>
                <w:rFonts w:ascii="Times New Roman" w:eastAsia="MS Mincho" w:hAnsi="Times New Roman"/>
                <w:sz w:val="20"/>
                <w:szCs w:val="20"/>
                <w:lang w:val="en-CA"/>
              </w:rPr>
              <w:t>Over 4.1 million people (51 per cent women) in 39 countries gained access to legal aid services.</w:t>
            </w:r>
          </w:p>
          <w:p w:rsidR="00E95C67" w:rsidRPr="00502004" w:rsidRDefault="00CE5ED2" w:rsidP="00502004">
            <w:pPr>
              <w:pStyle w:val="ListParagraph"/>
              <w:numPr>
                <w:ilvl w:val="0"/>
                <w:numId w:val="17"/>
              </w:numPr>
              <w:shd w:val="clear" w:color="auto" w:fill="FFFFFF"/>
              <w:spacing w:after="0" w:line="240" w:lineRule="auto"/>
              <w:jc w:val="both"/>
              <w:rPr>
                <w:rFonts w:ascii="Times New Roman" w:eastAsia="MS Mincho" w:hAnsi="Times New Roman"/>
                <w:sz w:val="20"/>
                <w:szCs w:val="20"/>
                <w:lang w:val="en-CA"/>
              </w:rPr>
            </w:pPr>
            <w:r>
              <w:rPr>
                <w:rFonts w:ascii="Times New Roman" w:eastAsia="MS Mincho" w:hAnsi="Times New Roman"/>
                <w:sz w:val="20"/>
                <w:szCs w:val="20"/>
                <w:lang w:val="en-CA"/>
              </w:rPr>
              <w:t>Some 2</w:t>
            </w:r>
            <w:r w:rsidRPr="00502004">
              <w:rPr>
                <w:rFonts w:ascii="Times New Roman" w:eastAsia="MS Mincho" w:hAnsi="Times New Roman"/>
                <w:sz w:val="20"/>
                <w:szCs w:val="20"/>
                <w:lang w:val="en-CA"/>
              </w:rPr>
              <w:t xml:space="preserve"> </w:t>
            </w:r>
            <w:r w:rsidR="00E95C67" w:rsidRPr="00502004">
              <w:rPr>
                <w:rFonts w:ascii="Times New Roman" w:eastAsia="MS Mincho" w:hAnsi="Times New Roman"/>
                <w:sz w:val="20"/>
                <w:szCs w:val="20"/>
                <w:lang w:val="en-CA"/>
              </w:rPr>
              <w:t>million people in 22 countries received antiretroviral treatment.</w:t>
            </w:r>
            <w:r w:rsidR="00E95C67" w:rsidRPr="00E128D4">
              <w:rPr>
                <w:rStyle w:val="FootnoteReference"/>
                <w:rFonts w:ascii="Times New Roman" w:eastAsia="MS Mincho" w:hAnsi="Times New Roman"/>
                <w:sz w:val="20"/>
                <w:szCs w:val="20"/>
                <w:lang w:val="en-CA"/>
              </w:rPr>
              <w:footnoteReference w:id="4"/>
            </w:r>
          </w:p>
          <w:p w:rsidR="00E95C67" w:rsidRPr="00502004" w:rsidRDefault="00E95C67" w:rsidP="00502004">
            <w:pPr>
              <w:pStyle w:val="ListParagraph"/>
              <w:numPr>
                <w:ilvl w:val="0"/>
                <w:numId w:val="17"/>
              </w:numPr>
              <w:shd w:val="clear" w:color="auto" w:fill="FFFFFF"/>
              <w:spacing w:after="0" w:line="240" w:lineRule="auto"/>
              <w:jc w:val="both"/>
              <w:rPr>
                <w:rFonts w:ascii="Times New Roman" w:eastAsia="MS Mincho" w:hAnsi="Times New Roman"/>
                <w:sz w:val="20"/>
                <w:szCs w:val="20"/>
                <w:lang w:val="en-CA"/>
              </w:rPr>
            </w:pPr>
            <w:r w:rsidRPr="00502004">
              <w:rPr>
                <w:rFonts w:ascii="Times New Roman" w:eastAsia="MS Mincho" w:hAnsi="Times New Roman"/>
                <w:sz w:val="20"/>
                <w:szCs w:val="20"/>
                <w:lang w:val="en-CA"/>
              </w:rPr>
              <w:t>More than 27 million people took part in HIV-related behavioural change communication initiatives in 24 countries.</w:t>
            </w:r>
          </w:p>
          <w:p w:rsidR="00E95C67" w:rsidRPr="00502004" w:rsidRDefault="00E95C67" w:rsidP="00502004">
            <w:pPr>
              <w:pStyle w:val="ListParagraph"/>
              <w:numPr>
                <w:ilvl w:val="0"/>
                <w:numId w:val="17"/>
              </w:numPr>
              <w:shd w:val="clear" w:color="auto" w:fill="FFFFFF"/>
              <w:spacing w:after="0" w:line="240" w:lineRule="auto"/>
              <w:jc w:val="both"/>
              <w:rPr>
                <w:rFonts w:ascii="Times New Roman" w:eastAsia="MS Mincho" w:hAnsi="Times New Roman"/>
                <w:sz w:val="20"/>
                <w:szCs w:val="20"/>
                <w:lang w:val="en-CA"/>
              </w:rPr>
            </w:pPr>
            <w:r w:rsidRPr="00502004">
              <w:rPr>
                <w:rFonts w:ascii="Times New Roman" w:eastAsia="MS Mincho" w:hAnsi="Times New Roman"/>
                <w:sz w:val="20"/>
                <w:szCs w:val="20"/>
                <w:lang w:val="en-CA"/>
              </w:rPr>
              <w:t>1,388 disaster reduction and adaptation plans were put into place at national and subnational levels in 62 countries.</w:t>
            </w:r>
          </w:p>
          <w:p w:rsidR="00E95C67" w:rsidRPr="00502004" w:rsidRDefault="00E95C67" w:rsidP="00C37DDE">
            <w:pPr>
              <w:pStyle w:val="ListParagraph"/>
              <w:numPr>
                <w:ilvl w:val="0"/>
                <w:numId w:val="17"/>
              </w:numPr>
              <w:shd w:val="clear" w:color="auto" w:fill="FFFFFF"/>
              <w:spacing w:after="120" w:line="240" w:lineRule="auto"/>
              <w:jc w:val="both"/>
              <w:rPr>
                <w:rFonts w:ascii="Times New Roman" w:hAnsi="Times New Roman"/>
                <w:sz w:val="20"/>
                <w:szCs w:val="20"/>
              </w:rPr>
            </w:pPr>
            <w:r w:rsidRPr="00502004">
              <w:rPr>
                <w:rFonts w:ascii="Times New Roman" w:eastAsia="MS Mincho" w:hAnsi="Times New Roman"/>
                <w:sz w:val="20"/>
                <w:szCs w:val="20"/>
                <w:lang w:val="en-CA"/>
              </w:rPr>
              <w:t>More than 6.7 million people had improved access to energy in 55 countries.</w:t>
            </w:r>
          </w:p>
        </w:tc>
      </w:tr>
    </w:tbl>
    <w:p w:rsidR="00F54456" w:rsidRDefault="00F54456" w:rsidP="008B2AB0">
      <w:pPr>
        <w:spacing w:after="0" w:line="0" w:lineRule="atLeast"/>
        <w:jc w:val="both"/>
        <w:rPr>
          <w:rFonts w:ascii="Times New Roman" w:hAnsi="Times New Roman"/>
          <w:sz w:val="20"/>
          <w:szCs w:val="20"/>
        </w:rPr>
      </w:pPr>
    </w:p>
    <w:tbl>
      <w:tblPr>
        <w:tblStyle w:val="TableGrid"/>
        <w:tblW w:w="8460" w:type="dxa"/>
        <w:tblInd w:w="445" w:type="dxa"/>
        <w:tblLook w:val="04A0" w:firstRow="1" w:lastRow="0" w:firstColumn="1" w:lastColumn="0" w:noHBand="0" w:noVBand="1"/>
      </w:tblPr>
      <w:tblGrid>
        <w:gridCol w:w="8460"/>
      </w:tblGrid>
      <w:tr w:rsidR="00F54456" w:rsidTr="00E41B2E">
        <w:tc>
          <w:tcPr>
            <w:tcW w:w="8460" w:type="dxa"/>
          </w:tcPr>
          <w:p w:rsidR="00F54456" w:rsidRDefault="00F54456" w:rsidP="00F54456">
            <w:pPr>
              <w:spacing w:after="0" w:line="0" w:lineRule="atLeast"/>
              <w:jc w:val="both"/>
              <w:rPr>
                <w:rFonts w:ascii="Times New Roman" w:hAnsi="Times New Roman"/>
                <w:b/>
                <w:sz w:val="20"/>
                <w:szCs w:val="20"/>
              </w:rPr>
            </w:pPr>
            <w:r>
              <w:rPr>
                <w:rFonts w:ascii="Times New Roman" w:hAnsi="Times New Roman"/>
                <w:b/>
                <w:sz w:val="20"/>
                <w:szCs w:val="20"/>
              </w:rPr>
              <w:t xml:space="preserve">Box 2. </w:t>
            </w:r>
            <w:r w:rsidRPr="00541097">
              <w:rPr>
                <w:rFonts w:ascii="Times New Roman" w:hAnsi="Times New Roman"/>
                <w:b/>
                <w:sz w:val="20"/>
                <w:szCs w:val="20"/>
              </w:rPr>
              <w:t xml:space="preserve">Independent </w:t>
            </w:r>
            <w:r>
              <w:rPr>
                <w:rFonts w:ascii="Times New Roman" w:hAnsi="Times New Roman"/>
                <w:b/>
                <w:sz w:val="20"/>
                <w:szCs w:val="20"/>
              </w:rPr>
              <w:t>v</w:t>
            </w:r>
            <w:r w:rsidRPr="00541097">
              <w:rPr>
                <w:rFonts w:ascii="Times New Roman" w:hAnsi="Times New Roman"/>
                <w:b/>
                <w:sz w:val="20"/>
                <w:szCs w:val="20"/>
              </w:rPr>
              <w:t xml:space="preserve">iews of UNDP </w:t>
            </w:r>
          </w:p>
          <w:p w:rsidR="00F54456" w:rsidRPr="00C37DDE" w:rsidRDefault="00F54456" w:rsidP="00F54456">
            <w:pPr>
              <w:spacing w:after="0" w:line="0" w:lineRule="atLeast"/>
              <w:jc w:val="both"/>
              <w:rPr>
                <w:rFonts w:ascii="Times New Roman" w:hAnsi="Times New Roman"/>
                <w:sz w:val="12"/>
                <w:szCs w:val="12"/>
              </w:rPr>
            </w:pPr>
          </w:p>
          <w:p w:rsidR="00F54456" w:rsidRDefault="00F54456" w:rsidP="00F54456">
            <w:pPr>
              <w:spacing w:after="0" w:line="0" w:lineRule="atLeast"/>
              <w:jc w:val="both"/>
              <w:rPr>
                <w:rFonts w:ascii="Times New Roman" w:hAnsi="Times New Roman"/>
                <w:sz w:val="20"/>
                <w:szCs w:val="20"/>
              </w:rPr>
            </w:pPr>
            <w:r>
              <w:rPr>
                <w:rFonts w:ascii="Times New Roman" w:hAnsi="Times New Roman"/>
                <w:sz w:val="20"/>
                <w:szCs w:val="20"/>
              </w:rPr>
              <w:t xml:space="preserve">Over the period 2014-2017, independent assessments, surveys and analysis provided the following reflections on the performance of UNDP. </w:t>
            </w:r>
          </w:p>
          <w:p w:rsidR="00F54456" w:rsidRPr="00C37DDE" w:rsidRDefault="00F54456" w:rsidP="00F54456">
            <w:pPr>
              <w:spacing w:after="0" w:line="0" w:lineRule="atLeast"/>
              <w:jc w:val="both"/>
              <w:rPr>
                <w:rFonts w:ascii="Times New Roman" w:hAnsi="Times New Roman"/>
                <w:sz w:val="12"/>
                <w:szCs w:val="12"/>
              </w:rPr>
            </w:pPr>
          </w:p>
          <w:p w:rsidR="00F54456" w:rsidRPr="00B15B96" w:rsidRDefault="00F54456" w:rsidP="00F54456">
            <w:pPr>
              <w:spacing w:after="0" w:line="0" w:lineRule="atLeast"/>
              <w:jc w:val="both"/>
              <w:rPr>
                <w:rFonts w:ascii="Times New Roman" w:hAnsi="Times New Roman"/>
                <w:b/>
                <w:sz w:val="20"/>
                <w:szCs w:val="20"/>
              </w:rPr>
            </w:pPr>
            <w:r>
              <w:rPr>
                <w:rFonts w:ascii="Times New Roman" w:hAnsi="Times New Roman"/>
                <w:sz w:val="20"/>
                <w:szCs w:val="20"/>
              </w:rPr>
              <w:t xml:space="preserve">In its most recent </w:t>
            </w:r>
            <w:r w:rsidRPr="00B535E7">
              <w:rPr>
                <w:rFonts w:ascii="Times New Roman" w:hAnsi="Times New Roman"/>
                <w:sz w:val="20"/>
                <w:szCs w:val="20"/>
              </w:rPr>
              <w:t xml:space="preserve">assessment for multilateral effectiveness </w:t>
            </w:r>
            <w:r>
              <w:rPr>
                <w:rFonts w:ascii="Times New Roman" w:hAnsi="Times New Roman"/>
                <w:sz w:val="20"/>
                <w:szCs w:val="20"/>
              </w:rPr>
              <w:t xml:space="preserve">covering the period </w:t>
            </w:r>
            <w:r w:rsidRPr="00B535E7">
              <w:rPr>
                <w:rFonts w:ascii="Times New Roman" w:hAnsi="Times New Roman"/>
                <w:sz w:val="20"/>
                <w:szCs w:val="20"/>
              </w:rPr>
              <w:t>2015-</w:t>
            </w:r>
            <w:r>
              <w:rPr>
                <w:rFonts w:ascii="Times New Roman" w:hAnsi="Times New Roman"/>
                <w:sz w:val="20"/>
                <w:szCs w:val="20"/>
              </w:rPr>
              <w:t>20</w:t>
            </w:r>
            <w:r w:rsidRPr="00B535E7">
              <w:rPr>
                <w:rFonts w:ascii="Times New Roman" w:hAnsi="Times New Roman"/>
                <w:sz w:val="20"/>
                <w:szCs w:val="20"/>
              </w:rPr>
              <w:t>16</w:t>
            </w:r>
            <w:r>
              <w:rPr>
                <w:rFonts w:ascii="Times New Roman" w:hAnsi="Times New Roman"/>
                <w:sz w:val="20"/>
                <w:szCs w:val="20"/>
              </w:rPr>
              <w:t>,</w:t>
            </w:r>
            <w:r w:rsidRPr="00B535E7">
              <w:rPr>
                <w:rFonts w:ascii="Times New Roman" w:hAnsi="Times New Roman"/>
                <w:sz w:val="20"/>
                <w:szCs w:val="20"/>
              </w:rPr>
              <w:t xml:space="preserve"> the </w:t>
            </w:r>
            <w:r>
              <w:rPr>
                <w:rFonts w:ascii="Times New Roman" w:hAnsi="Times New Roman"/>
                <w:sz w:val="20"/>
                <w:szCs w:val="20"/>
              </w:rPr>
              <w:t>M</w:t>
            </w:r>
            <w:r w:rsidRPr="00B535E7">
              <w:rPr>
                <w:rFonts w:ascii="Times New Roman" w:hAnsi="Times New Roman"/>
                <w:sz w:val="20"/>
                <w:szCs w:val="20"/>
              </w:rPr>
              <w:t xml:space="preserve">ultilateral </w:t>
            </w:r>
            <w:r>
              <w:rPr>
                <w:rFonts w:ascii="Times New Roman" w:hAnsi="Times New Roman"/>
                <w:sz w:val="20"/>
                <w:szCs w:val="20"/>
              </w:rPr>
              <w:t>O</w:t>
            </w:r>
            <w:r w:rsidRPr="00B535E7">
              <w:rPr>
                <w:rFonts w:ascii="Times New Roman" w:hAnsi="Times New Roman"/>
                <w:sz w:val="20"/>
                <w:szCs w:val="20"/>
              </w:rPr>
              <w:t xml:space="preserve">rganization </w:t>
            </w:r>
            <w:r>
              <w:rPr>
                <w:rFonts w:ascii="Times New Roman" w:hAnsi="Times New Roman"/>
                <w:sz w:val="20"/>
                <w:szCs w:val="20"/>
              </w:rPr>
              <w:t>P</w:t>
            </w:r>
            <w:r w:rsidRPr="00B535E7">
              <w:rPr>
                <w:rFonts w:ascii="Times New Roman" w:hAnsi="Times New Roman"/>
                <w:sz w:val="20"/>
                <w:szCs w:val="20"/>
              </w:rPr>
              <w:t xml:space="preserve">erformance </w:t>
            </w:r>
            <w:r>
              <w:rPr>
                <w:rFonts w:ascii="Times New Roman" w:hAnsi="Times New Roman"/>
                <w:sz w:val="20"/>
                <w:szCs w:val="20"/>
              </w:rPr>
              <w:t>A</w:t>
            </w:r>
            <w:r w:rsidRPr="00B535E7">
              <w:rPr>
                <w:rFonts w:ascii="Times New Roman" w:hAnsi="Times New Roman"/>
                <w:sz w:val="20"/>
                <w:szCs w:val="20"/>
              </w:rPr>
              <w:t xml:space="preserve">ssessment </w:t>
            </w:r>
            <w:r>
              <w:rPr>
                <w:rFonts w:ascii="Times New Roman" w:hAnsi="Times New Roman"/>
                <w:sz w:val="20"/>
                <w:szCs w:val="20"/>
              </w:rPr>
              <w:t>F</w:t>
            </w:r>
            <w:r w:rsidRPr="00B535E7">
              <w:rPr>
                <w:rFonts w:ascii="Times New Roman" w:hAnsi="Times New Roman"/>
                <w:sz w:val="20"/>
                <w:szCs w:val="20"/>
              </w:rPr>
              <w:t xml:space="preserve">ramework concluded that UNDP largely met the requirements of an effective multilateral organization and found clear </w:t>
            </w:r>
            <w:r w:rsidRPr="00B15B96">
              <w:rPr>
                <w:rFonts w:ascii="Times New Roman" w:hAnsi="Times New Roman"/>
                <w:sz w:val="20"/>
                <w:szCs w:val="20"/>
              </w:rPr>
              <w:t>evidence that</w:t>
            </w:r>
            <w:r w:rsidRPr="00B15B96">
              <w:rPr>
                <w:rFonts w:ascii="Times New Roman" w:hAnsi="Times New Roman"/>
                <w:b/>
                <w:sz w:val="20"/>
                <w:szCs w:val="20"/>
              </w:rPr>
              <w:t xml:space="preserve"> </w:t>
            </w:r>
            <w:r w:rsidRPr="004D66FE">
              <w:rPr>
                <w:rFonts w:ascii="Times New Roman" w:hAnsi="Times New Roman"/>
                <w:sz w:val="20"/>
                <w:szCs w:val="20"/>
              </w:rPr>
              <w:t xml:space="preserve">UNDP is responsive to the needs and priorities of </w:t>
            </w:r>
            <w:r>
              <w:rPr>
                <w:rFonts w:ascii="Times New Roman" w:hAnsi="Times New Roman"/>
                <w:sz w:val="20"/>
                <w:szCs w:val="20"/>
              </w:rPr>
              <w:t>M</w:t>
            </w:r>
            <w:r w:rsidRPr="004D66FE">
              <w:rPr>
                <w:rFonts w:ascii="Times New Roman" w:hAnsi="Times New Roman"/>
                <w:sz w:val="20"/>
                <w:szCs w:val="20"/>
              </w:rPr>
              <w:t xml:space="preserve">ember </w:t>
            </w:r>
            <w:r>
              <w:rPr>
                <w:rFonts w:ascii="Times New Roman" w:hAnsi="Times New Roman"/>
                <w:sz w:val="20"/>
                <w:szCs w:val="20"/>
              </w:rPr>
              <w:t>S</w:t>
            </w:r>
            <w:r w:rsidRPr="004D66FE">
              <w:rPr>
                <w:rFonts w:ascii="Times New Roman" w:hAnsi="Times New Roman"/>
                <w:sz w:val="20"/>
                <w:szCs w:val="20"/>
              </w:rPr>
              <w:t xml:space="preserve">tates. </w:t>
            </w:r>
            <w:r w:rsidRPr="00B15B96">
              <w:rPr>
                <w:rFonts w:ascii="Times New Roman" w:hAnsi="Times New Roman"/>
                <w:b/>
                <w:sz w:val="20"/>
                <w:szCs w:val="20"/>
              </w:rPr>
              <w:t xml:space="preserve"> </w:t>
            </w:r>
          </w:p>
          <w:p w:rsidR="00F54456" w:rsidRPr="00C37DDE" w:rsidRDefault="00F54456" w:rsidP="00F54456">
            <w:pPr>
              <w:spacing w:after="0" w:line="0" w:lineRule="atLeast"/>
              <w:jc w:val="both"/>
              <w:rPr>
                <w:rFonts w:ascii="Times New Roman" w:hAnsi="Times New Roman"/>
                <w:sz w:val="12"/>
                <w:szCs w:val="12"/>
              </w:rPr>
            </w:pPr>
          </w:p>
          <w:p w:rsidR="00F54456" w:rsidRDefault="00F54456" w:rsidP="00F54456">
            <w:pPr>
              <w:spacing w:after="0" w:line="0" w:lineRule="atLeast"/>
              <w:jc w:val="both"/>
              <w:rPr>
                <w:rFonts w:ascii="Times New Roman" w:hAnsi="Times New Roman"/>
                <w:sz w:val="20"/>
                <w:szCs w:val="20"/>
              </w:rPr>
            </w:pPr>
            <w:r w:rsidRPr="00B535E7">
              <w:rPr>
                <w:rFonts w:ascii="Times New Roman" w:hAnsi="Times New Roman"/>
                <w:sz w:val="20"/>
                <w:szCs w:val="20"/>
              </w:rPr>
              <w:t xml:space="preserve">The average percentage of </w:t>
            </w:r>
            <w:r w:rsidRPr="00A4036F">
              <w:rPr>
                <w:rFonts w:ascii="Times New Roman" w:hAnsi="Times New Roman"/>
                <w:sz w:val="20"/>
                <w:szCs w:val="20"/>
              </w:rPr>
              <w:t>partners perceiving UNDP as an effective contributor</w:t>
            </w:r>
            <w:r w:rsidRPr="00B535E7">
              <w:rPr>
                <w:rFonts w:ascii="Times New Roman" w:hAnsi="Times New Roman"/>
                <w:sz w:val="20"/>
                <w:szCs w:val="20"/>
              </w:rPr>
              <w:t xml:space="preserve"> </w:t>
            </w:r>
            <w:r>
              <w:rPr>
                <w:rFonts w:ascii="Times New Roman" w:hAnsi="Times New Roman"/>
                <w:sz w:val="20"/>
                <w:szCs w:val="20"/>
              </w:rPr>
              <w:t>to</w:t>
            </w:r>
            <w:r w:rsidRPr="00B535E7">
              <w:rPr>
                <w:rFonts w:ascii="Times New Roman" w:hAnsi="Times New Roman"/>
                <w:sz w:val="20"/>
                <w:szCs w:val="20"/>
              </w:rPr>
              <w:t xml:space="preserve"> </w:t>
            </w:r>
            <w:r>
              <w:rPr>
                <w:rFonts w:ascii="Times New Roman" w:hAnsi="Times New Roman"/>
                <w:sz w:val="20"/>
                <w:szCs w:val="20"/>
              </w:rPr>
              <w:t>S</w:t>
            </w:r>
            <w:r w:rsidRPr="00B535E7">
              <w:rPr>
                <w:rFonts w:ascii="Times New Roman" w:hAnsi="Times New Roman"/>
                <w:sz w:val="20"/>
                <w:szCs w:val="20"/>
              </w:rPr>
              <w:t xml:space="preserve">trategic </w:t>
            </w:r>
            <w:r>
              <w:rPr>
                <w:rFonts w:ascii="Times New Roman" w:hAnsi="Times New Roman"/>
                <w:sz w:val="20"/>
                <w:szCs w:val="20"/>
              </w:rPr>
              <w:t>P</w:t>
            </w:r>
            <w:r w:rsidRPr="00B535E7">
              <w:rPr>
                <w:rFonts w:ascii="Times New Roman" w:hAnsi="Times New Roman"/>
                <w:sz w:val="20"/>
                <w:szCs w:val="20"/>
              </w:rPr>
              <w:t>lan outcome areas was 3 per cent higher in 2016 than 2014.</w:t>
            </w:r>
          </w:p>
          <w:p w:rsidR="00F54456" w:rsidRPr="00C37DDE" w:rsidRDefault="00F54456" w:rsidP="00F54456">
            <w:pPr>
              <w:spacing w:after="0" w:line="0" w:lineRule="atLeast"/>
              <w:jc w:val="both"/>
              <w:rPr>
                <w:rFonts w:ascii="Times New Roman" w:hAnsi="Times New Roman"/>
                <w:sz w:val="12"/>
                <w:szCs w:val="12"/>
              </w:rPr>
            </w:pPr>
          </w:p>
          <w:p w:rsidR="00F54456" w:rsidRDefault="00F54456" w:rsidP="00F54456">
            <w:pPr>
              <w:spacing w:after="0" w:line="0" w:lineRule="atLeast"/>
              <w:jc w:val="both"/>
              <w:rPr>
                <w:rFonts w:ascii="Times New Roman" w:hAnsi="Times New Roman"/>
                <w:sz w:val="20"/>
                <w:szCs w:val="20"/>
              </w:rPr>
            </w:pPr>
            <w:r w:rsidRPr="00B535E7">
              <w:rPr>
                <w:rFonts w:ascii="Times New Roman" w:hAnsi="Times New Roman"/>
                <w:sz w:val="20"/>
                <w:szCs w:val="20"/>
              </w:rPr>
              <w:t xml:space="preserve">UNDP retained its top ranking </w:t>
            </w:r>
            <w:r>
              <w:rPr>
                <w:rFonts w:ascii="Times New Roman" w:hAnsi="Times New Roman"/>
                <w:sz w:val="20"/>
                <w:szCs w:val="20"/>
              </w:rPr>
              <w:t xml:space="preserve">in 2014 and 2016 in the </w:t>
            </w:r>
            <w:r w:rsidRPr="00A4036F">
              <w:rPr>
                <w:rFonts w:ascii="Times New Roman" w:hAnsi="Times New Roman"/>
                <w:sz w:val="20"/>
                <w:szCs w:val="20"/>
              </w:rPr>
              <w:t>Aid Transparency</w:t>
            </w:r>
            <w:r>
              <w:rPr>
                <w:rFonts w:ascii="Times New Roman" w:hAnsi="Times New Roman"/>
                <w:sz w:val="20"/>
                <w:szCs w:val="20"/>
              </w:rPr>
              <w:t xml:space="preserve"> Index conducted by </w:t>
            </w:r>
            <w:r w:rsidRPr="00B535E7">
              <w:rPr>
                <w:rFonts w:ascii="Times New Roman" w:hAnsi="Times New Roman"/>
                <w:sz w:val="20"/>
                <w:szCs w:val="20"/>
              </w:rPr>
              <w:t xml:space="preserve">Publish </w:t>
            </w:r>
            <w:r>
              <w:rPr>
                <w:rFonts w:ascii="Times New Roman" w:hAnsi="Times New Roman"/>
                <w:sz w:val="20"/>
                <w:szCs w:val="20"/>
              </w:rPr>
              <w:t>W</w:t>
            </w:r>
            <w:r w:rsidRPr="00B535E7">
              <w:rPr>
                <w:rFonts w:ascii="Times New Roman" w:hAnsi="Times New Roman"/>
                <w:sz w:val="20"/>
                <w:szCs w:val="20"/>
              </w:rPr>
              <w:t xml:space="preserve">hat </w:t>
            </w:r>
            <w:r>
              <w:rPr>
                <w:rFonts w:ascii="Times New Roman" w:hAnsi="Times New Roman"/>
                <w:sz w:val="20"/>
                <w:szCs w:val="20"/>
              </w:rPr>
              <w:t>Y</w:t>
            </w:r>
            <w:r w:rsidRPr="00B535E7">
              <w:rPr>
                <w:rFonts w:ascii="Times New Roman" w:hAnsi="Times New Roman"/>
                <w:sz w:val="20"/>
                <w:szCs w:val="20"/>
              </w:rPr>
              <w:t xml:space="preserve">ou </w:t>
            </w:r>
            <w:r>
              <w:rPr>
                <w:rFonts w:ascii="Times New Roman" w:hAnsi="Times New Roman"/>
                <w:sz w:val="20"/>
                <w:szCs w:val="20"/>
              </w:rPr>
              <w:t>F</w:t>
            </w:r>
            <w:r w:rsidRPr="00B535E7">
              <w:rPr>
                <w:rFonts w:ascii="Times New Roman" w:hAnsi="Times New Roman"/>
                <w:sz w:val="20"/>
                <w:szCs w:val="20"/>
              </w:rPr>
              <w:t>ind</w:t>
            </w:r>
            <w:r>
              <w:rPr>
                <w:rFonts w:ascii="Times New Roman" w:hAnsi="Times New Roman"/>
                <w:sz w:val="20"/>
                <w:szCs w:val="20"/>
              </w:rPr>
              <w:t>.</w:t>
            </w:r>
          </w:p>
          <w:p w:rsidR="00F54456" w:rsidRPr="00C37DDE" w:rsidRDefault="00F54456" w:rsidP="00F54456">
            <w:pPr>
              <w:spacing w:after="0" w:line="0" w:lineRule="atLeast"/>
              <w:jc w:val="both"/>
              <w:rPr>
                <w:rFonts w:ascii="Times New Roman" w:hAnsi="Times New Roman"/>
                <w:sz w:val="12"/>
                <w:szCs w:val="12"/>
              </w:rPr>
            </w:pPr>
            <w:r>
              <w:rPr>
                <w:rFonts w:ascii="Times New Roman" w:hAnsi="Times New Roman"/>
                <w:sz w:val="20"/>
                <w:szCs w:val="20"/>
              </w:rPr>
              <w:t xml:space="preserve">  </w:t>
            </w:r>
            <w:r w:rsidRPr="00B535E7">
              <w:rPr>
                <w:rFonts w:ascii="Times New Roman" w:hAnsi="Times New Roman"/>
                <w:sz w:val="20"/>
                <w:szCs w:val="20"/>
              </w:rPr>
              <w:t xml:space="preserve">  </w:t>
            </w:r>
          </w:p>
          <w:p w:rsidR="00F54456" w:rsidRDefault="00F54456" w:rsidP="00F54456">
            <w:pPr>
              <w:spacing w:after="0" w:line="0" w:lineRule="atLeast"/>
              <w:jc w:val="both"/>
              <w:rPr>
                <w:rFonts w:ascii="Times New Roman" w:hAnsi="Times New Roman"/>
                <w:sz w:val="20"/>
                <w:szCs w:val="20"/>
              </w:rPr>
            </w:pPr>
            <w:r w:rsidRPr="00B535E7">
              <w:rPr>
                <w:rFonts w:ascii="Times New Roman" w:hAnsi="Times New Roman"/>
                <w:sz w:val="20"/>
                <w:szCs w:val="20"/>
              </w:rPr>
              <w:lastRenderedPageBreak/>
              <w:t>An independent analysis conducted by AidData in 2017</w:t>
            </w:r>
            <w:r>
              <w:rPr>
                <w:rStyle w:val="FootnoteReference"/>
                <w:rFonts w:ascii="Times New Roman" w:hAnsi="Times New Roman"/>
                <w:sz w:val="20"/>
                <w:szCs w:val="20"/>
              </w:rPr>
              <w:footnoteReference w:id="5"/>
            </w:r>
            <w:r w:rsidRPr="00B535E7">
              <w:rPr>
                <w:rFonts w:ascii="Times New Roman" w:hAnsi="Times New Roman"/>
                <w:sz w:val="20"/>
                <w:szCs w:val="20"/>
              </w:rPr>
              <w:t xml:space="preserve"> in 126 low</w:t>
            </w:r>
            <w:r w:rsidR="00B2000F">
              <w:rPr>
                <w:rFonts w:ascii="Times New Roman" w:hAnsi="Times New Roman"/>
                <w:sz w:val="20"/>
                <w:szCs w:val="20"/>
              </w:rPr>
              <w:t>-</w:t>
            </w:r>
            <w:r w:rsidRPr="00B535E7">
              <w:rPr>
                <w:rFonts w:ascii="Times New Roman" w:hAnsi="Times New Roman"/>
                <w:sz w:val="20"/>
                <w:szCs w:val="20"/>
              </w:rPr>
              <w:t xml:space="preserve"> and middle-income countries found that UNDP ranked first among development partners in </w:t>
            </w:r>
            <w:r w:rsidR="000133A8">
              <w:rPr>
                <w:rFonts w:ascii="Times New Roman" w:hAnsi="Times New Roman"/>
                <w:sz w:val="20"/>
                <w:szCs w:val="20"/>
              </w:rPr>
              <w:t>v</w:t>
            </w:r>
            <w:r w:rsidR="00D51914" w:rsidRPr="00D51914">
              <w:rPr>
                <w:rFonts w:ascii="Times New Roman" w:hAnsi="Times New Roman"/>
                <w:sz w:val="20"/>
                <w:szCs w:val="20"/>
              </w:rPr>
              <w:t>alue for money</w:t>
            </w:r>
            <w:r w:rsidR="000133A8">
              <w:rPr>
                <w:rFonts w:ascii="Times New Roman" w:hAnsi="Times New Roman"/>
                <w:sz w:val="20"/>
                <w:szCs w:val="20"/>
              </w:rPr>
              <w:t xml:space="preserve"> terms of w</w:t>
            </w:r>
            <w:r w:rsidR="00D51914" w:rsidRPr="00D51914">
              <w:rPr>
                <w:rFonts w:ascii="Times New Roman" w:hAnsi="Times New Roman"/>
                <w:sz w:val="20"/>
                <w:szCs w:val="20"/>
              </w:rPr>
              <w:t xml:space="preserve">hich development partners </w:t>
            </w:r>
            <w:r w:rsidR="000133A8">
              <w:rPr>
                <w:rFonts w:ascii="Times New Roman" w:hAnsi="Times New Roman"/>
                <w:sz w:val="20"/>
                <w:szCs w:val="20"/>
              </w:rPr>
              <w:t>“</w:t>
            </w:r>
            <w:r w:rsidR="00D51914" w:rsidRPr="00D51914">
              <w:rPr>
                <w:rFonts w:ascii="Times New Roman" w:hAnsi="Times New Roman"/>
                <w:sz w:val="20"/>
                <w:szCs w:val="20"/>
              </w:rPr>
              <w:t>punch above or below their financial</w:t>
            </w:r>
            <w:r w:rsidR="000133A8">
              <w:rPr>
                <w:rFonts w:ascii="Times New Roman" w:hAnsi="Times New Roman"/>
                <w:sz w:val="20"/>
                <w:szCs w:val="20"/>
              </w:rPr>
              <w:t>”</w:t>
            </w:r>
            <w:r w:rsidR="00D51914" w:rsidRPr="00D51914">
              <w:rPr>
                <w:rFonts w:ascii="Times New Roman" w:hAnsi="Times New Roman"/>
                <w:sz w:val="20"/>
                <w:szCs w:val="20"/>
              </w:rPr>
              <w:t xml:space="preserve"> weight in attracting users of their data or analysis</w:t>
            </w:r>
            <w:r w:rsidR="000133A8">
              <w:rPr>
                <w:rFonts w:ascii="Times New Roman" w:hAnsi="Times New Roman"/>
                <w:sz w:val="20"/>
                <w:szCs w:val="20"/>
              </w:rPr>
              <w:t>.</w:t>
            </w:r>
            <w:r w:rsidRPr="00B535E7">
              <w:rPr>
                <w:rFonts w:ascii="Times New Roman" w:hAnsi="Times New Roman"/>
                <w:sz w:val="20"/>
                <w:szCs w:val="20"/>
              </w:rPr>
              <w:t xml:space="preserve">  The report recogni</w:t>
            </w:r>
            <w:r>
              <w:rPr>
                <w:rFonts w:ascii="Times New Roman" w:hAnsi="Times New Roman"/>
                <w:sz w:val="20"/>
                <w:szCs w:val="20"/>
              </w:rPr>
              <w:t>z</w:t>
            </w:r>
            <w:r w:rsidRPr="00B535E7">
              <w:rPr>
                <w:rFonts w:ascii="Times New Roman" w:hAnsi="Times New Roman"/>
                <w:sz w:val="20"/>
                <w:szCs w:val="20"/>
              </w:rPr>
              <w:t xml:space="preserve">ed </w:t>
            </w:r>
            <w:r w:rsidR="008834E3">
              <w:rPr>
                <w:rFonts w:ascii="Times New Roman" w:hAnsi="Times New Roman"/>
                <w:sz w:val="20"/>
                <w:szCs w:val="20"/>
              </w:rPr>
              <w:t xml:space="preserve">that </w:t>
            </w:r>
            <w:r w:rsidRPr="00B535E7">
              <w:rPr>
                <w:rFonts w:ascii="Times New Roman" w:hAnsi="Times New Roman"/>
                <w:sz w:val="20"/>
                <w:szCs w:val="20"/>
              </w:rPr>
              <w:t>UNDP has become the “</w:t>
            </w:r>
            <w:r w:rsidRPr="00A4036F">
              <w:rPr>
                <w:rFonts w:ascii="Times New Roman" w:hAnsi="Times New Roman"/>
                <w:sz w:val="20"/>
                <w:szCs w:val="20"/>
              </w:rPr>
              <w:t>knowledge frontier</w:t>
            </w:r>
            <w:r w:rsidRPr="00B535E7">
              <w:rPr>
                <w:rFonts w:ascii="Times New Roman" w:hAnsi="Times New Roman"/>
                <w:sz w:val="20"/>
                <w:szCs w:val="20"/>
              </w:rPr>
              <w:t xml:space="preserve"> in providing analytical and technical advice and brokering cross</w:t>
            </w:r>
            <w:r w:rsidR="00E442DD">
              <w:rPr>
                <w:rFonts w:ascii="Times New Roman" w:hAnsi="Times New Roman"/>
                <w:sz w:val="20"/>
                <w:szCs w:val="20"/>
              </w:rPr>
              <w:t>-</w:t>
            </w:r>
            <w:r w:rsidRPr="00B535E7">
              <w:rPr>
                <w:rFonts w:ascii="Times New Roman" w:hAnsi="Times New Roman"/>
                <w:sz w:val="20"/>
                <w:szCs w:val="20"/>
              </w:rPr>
              <w:t>sectoral partnerships</w:t>
            </w:r>
            <w:r w:rsidR="00064F34">
              <w:rPr>
                <w:rFonts w:ascii="Times New Roman" w:hAnsi="Times New Roman"/>
                <w:sz w:val="20"/>
                <w:szCs w:val="20"/>
              </w:rPr>
              <w:t>”</w:t>
            </w:r>
            <w:r w:rsidRPr="00B535E7">
              <w:rPr>
                <w:rFonts w:ascii="Times New Roman" w:hAnsi="Times New Roman"/>
                <w:sz w:val="20"/>
                <w:szCs w:val="20"/>
              </w:rPr>
              <w:t xml:space="preserve"> in key development areas.  </w:t>
            </w:r>
          </w:p>
          <w:p w:rsidR="00F54456" w:rsidRPr="00434C41" w:rsidRDefault="00F54456" w:rsidP="00F54456">
            <w:pPr>
              <w:spacing w:after="0" w:line="0" w:lineRule="atLeast"/>
              <w:jc w:val="both"/>
              <w:rPr>
                <w:rFonts w:ascii="Times New Roman" w:hAnsi="Times New Roman"/>
                <w:sz w:val="12"/>
                <w:szCs w:val="12"/>
              </w:rPr>
            </w:pPr>
          </w:p>
          <w:p w:rsidR="00F54456" w:rsidRPr="00005BEC" w:rsidRDefault="00F54456" w:rsidP="00F54456">
            <w:pPr>
              <w:spacing w:after="0" w:line="0" w:lineRule="atLeast"/>
              <w:jc w:val="both"/>
              <w:rPr>
                <w:rFonts w:ascii="Times New Roman" w:hAnsi="Times New Roman"/>
                <w:sz w:val="20"/>
                <w:szCs w:val="20"/>
              </w:rPr>
            </w:pPr>
            <w:r w:rsidRPr="00005BEC">
              <w:rPr>
                <w:rFonts w:ascii="Times New Roman" w:hAnsi="Times New Roman"/>
                <w:sz w:val="20"/>
                <w:szCs w:val="20"/>
              </w:rPr>
              <w:t xml:space="preserve">The </w:t>
            </w:r>
            <w:r>
              <w:rPr>
                <w:rFonts w:ascii="Times New Roman" w:hAnsi="Times New Roman"/>
                <w:sz w:val="20"/>
                <w:szCs w:val="20"/>
              </w:rPr>
              <w:t xml:space="preserve">evaluation of the </w:t>
            </w:r>
            <w:r w:rsidRPr="00A4036F">
              <w:rPr>
                <w:rFonts w:ascii="Times New Roman" w:hAnsi="Times New Roman"/>
                <w:sz w:val="20"/>
                <w:szCs w:val="20"/>
              </w:rPr>
              <w:t>Strategic Plan and global and regional programmes</w:t>
            </w:r>
            <w:r>
              <w:rPr>
                <w:rFonts w:ascii="Times New Roman" w:hAnsi="Times New Roman"/>
                <w:b/>
                <w:sz w:val="20"/>
                <w:szCs w:val="20"/>
              </w:rPr>
              <w:t xml:space="preserve"> </w:t>
            </w:r>
            <w:r>
              <w:rPr>
                <w:rFonts w:ascii="Times New Roman" w:hAnsi="Times New Roman"/>
                <w:sz w:val="20"/>
                <w:szCs w:val="20"/>
              </w:rPr>
              <w:t>found evidence that UNDP, inter alia</w:t>
            </w:r>
            <w:r w:rsidRPr="00005BEC">
              <w:rPr>
                <w:rFonts w:ascii="Times New Roman" w:hAnsi="Times New Roman"/>
                <w:sz w:val="20"/>
                <w:szCs w:val="20"/>
              </w:rPr>
              <w:t>:</w:t>
            </w:r>
          </w:p>
          <w:p w:rsidR="00F54456" w:rsidRPr="00434C41" w:rsidRDefault="00F54456" w:rsidP="00F54456">
            <w:pPr>
              <w:spacing w:after="0" w:line="0" w:lineRule="atLeast"/>
              <w:jc w:val="both"/>
              <w:rPr>
                <w:rFonts w:ascii="Times New Roman" w:hAnsi="Times New Roman"/>
                <w:sz w:val="12"/>
                <w:szCs w:val="12"/>
              </w:rPr>
            </w:pPr>
          </w:p>
          <w:p w:rsidR="00F54456" w:rsidRDefault="00F54456" w:rsidP="00F54456">
            <w:pPr>
              <w:pStyle w:val="ListParagraph"/>
              <w:numPr>
                <w:ilvl w:val="0"/>
                <w:numId w:val="9"/>
              </w:numPr>
              <w:spacing w:after="0" w:line="0" w:lineRule="atLeast"/>
              <w:jc w:val="both"/>
              <w:rPr>
                <w:rFonts w:ascii="Times New Roman" w:hAnsi="Times New Roman"/>
                <w:sz w:val="20"/>
                <w:szCs w:val="20"/>
              </w:rPr>
            </w:pPr>
            <w:r>
              <w:rPr>
                <w:rFonts w:ascii="Times New Roman" w:hAnsi="Times New Roman"/>
                <w:sz w:val="20"/>
                <w:szCs w:val="20"/>
              </w:rPr>
              <w:t>S</w:t>
            </w:r>
            <w:r w:rsidRPr="005217F4">
              <w:rPr>
                <w:rFonts w:ascii="Times New Roman" w:hAnsi="Times New Roman"/>
                <w:sz w:val="20"/>
                <w:szCs w:val="20"/>
              </w:rPr>
              <w:t>uccessfully embedded multidimensional poverty approaches in national and subnational planning and applied integrated approaches to development</w:t>
            </w:r>
            <w:r w:rsidRPr="007F5FE2">
              <w:rPr>
                <w:rFonts w:ascii="Times New Roman" w:hAnsi="Times New Roman"/>
                <w:sz w:val="20"/>
                <w:szCs w:val="20"/>
              </w:rPr>
              <w:t xml:space="preserve">; </w:t>
            </w:r>
          </w:p>
          <w:p w:rsidR="00F54456" w:rsidRDefault="00F54456" w:rsidP="00F54456">
            <w:pPr>
              <w:pStyle w:val="ListParagraph"/>
              <w:numPr>
                <w:ilvl w:val="0"/>
                <w:numId w:val="9"/>
              </w:numPr>
              <w:spacing w:after="0" w:line="0" w:lineRule="atLeast"/>
              <w:jc w:val="both"/>
              <w:rPr>
                <w:rFonts w:ascii="Times New Roman" w:hAnsi="Times New Roman"/>
                <w:sz w:val="20"/>
                <w:szCs w:val="20"/>
              </w:rPr>
            </w:pPr>
            <w:r>
              <w:rPr>
                <w:rFonts w:ascii="Times New Roman" w:hAnsi="Times New Roman"/>
                <w:sz w:val="20"/>
                <w:szCs w:val="20"/>
              </w:rPr>
              <w:t>Is a leading United Nations provider of environmental protection support at national and local levels, and is a global leader in the provision of adaptation services;</w:t>
            </w:r>
            <w:r w:rsidRPr="007F5FE2">
              <w:rPr>
                <w:rFonts w:ascii="Times New Roman" w:hAnsi="Times New Roman"/>
                <w:sz w:val="20"/>
                <w:szCs w:val="20"/>
              </w:rPr>
              <w:t xml:space="preserve"> </w:t>
            </w:r>
          </w:p>
          <w:p w:rsidR="00F54456" w:rsidRDefault="00F54456" w:rsidP="00F54456">
            <w:pPr>
              <w:pStyle w:val="ListParagraph"/>
              <w:numPr>
                <w:ilvl w:val="0"/>
                <w:numId w:val="9"/>
              </w:numPr>
              <w:spacing w:after="0" w:line="0" w:lineRule="atLeast"/>
              <w:jc w:val="both"/>
              <w:rPr>
                <w:rFonts w:ascii="Times New Roman" w:hAnsi="Times New Roman"/>
                <w:sz w:val="20"/>
                <w:szCs w:val="20"/>
              </w:rPr>
            </w:pPr>
            <w:r>
              <w:rPr>
                <w:rStyle w:val="normaltextrun"/>
                <w:rFonts w:ascii="Times New Roman" w:hAnsi="Times New Roman"/>
                <w:bCs/>
                <w:sz w:val="20"/>
                <w:szCs w:val="20"/>
              </w:rPr>
              <w:t>H</w:t>
            </w:r>
            <w:r w:rsidRPr="00ED2C7B">
              <w:rPr>
                <w:rStyle w:val="normaltextrun"/>
                <w:rFonts w:ascii="Times New Roman" w:hAnsi="Times New Roman"/>
                <w:bCs/>
                <w:sz w:val="20"/>
                <w:szCs w:val="20"/>
              </w:rPr>
              <w:t>as successfully established its niche as a trusted and reliable intermediary and neutral convener on democratic governance issues</w:t>
            </w:r>
            <w:r>
              <w:rPr>
                <w:rStyle w:val="normaltextrun"/>
                <w:rFonts w:ascii="Times New Roman" w:hAnsi="Times New Roman"/>
                <w:bCs/>
                <w:sz w:val="20"/>
                <w:szCs w:val="20"/>
              </w:rPr>
              <w:t>;</w:t>
            </w:r>
            <w:r w:rsidRPr="00355432">
              <w:rPr>
                <w:rFonts w:ascii="Times New Roman" w:hAnsi="Times New Roman"/>
                <w:sz w:val="20"/>
                <w:szCs w:val="20"/>
              </w:rPr>
              <w:t xml:space="preserve"> </w:t>
            </w:r>
          </w:p>
          <w:p w:rsidR="00F54456" w:rsidRDefault="00F54456" w:rsidP="00F54456">
            <w:pPr>
              <w:pStyle w:val="ListParagraph"/>
              <w:numPr>
                <w:ilvl w:val="0"/>
                <w:numId w:val="9"/>
              </w:numPr>
              <w:spacing w:after="0" w:line="0" w:lineRule="atLeast"/>
              <w:jc w:val="both"/>
              <w:rPr>
                <w:rFonts w:ascii="Times New Roman" w:hAnsi="Times New Roman"/>
                <w:sz w:val="20"/>
                <w:szCs w:val="20"/>
              </w:rPr>
            </w:pPr>
            <w:r w:rsidRPr="001D432A">
              <w:rPr>
                <w:rFonts w:ascii="Times New Roman" w:hAnsi="Times New Roman"/>
                <w:sz w:val="20"/>
                <w:szCs w:val="20"/>
              </w:rPr>
              <w:t>Has carved out a vital role in governance support to countries afflicted by conflict;</w:t>
            </w:r>
            <w:r>
              <w:rPr>
                <w:rFonts w:ascii="Times New Roman" w:hAnsi="Times New Roman"/>
                <w:sz w:val="20"/>
                <w:szCs w:val="20"/>
              </w:rPr>
              <w:t xml:space="preserve"> </w:t>
            </w:r>
          </w:p>
          <w:p w:rsidR="00F54456" w:rsidRPr="001D432A" w:rsidRDefault="00F54456" w:rsidP="00F54456">
            <w:pPr>
              <w:pStyle w:val="ListParagraph"/>
              <w:numPr>
                <w:ilvl w:val="0"/>
                <w:numId w:val="9"/>
              </w:numPr>
              <w:spacing w:after="0" w:line="0" w:lineRule="atLeast"/>
              <w:jc w:val="both"/>
              <w:rPr>
                <w:rFonts w:ascii="Times New Roman" w:hAnsi="Times New Roman"/>
                <w:sz w:val="20"/>
                <w:szCs w:val="20"/>
              </w:rPr>
            </w:pPr>
            <w:r w:rsidRPr="001D432A">
              <w:rPr>
                <w:rFonts w:ascii="Times New Roman" w:hAnsi="Times New Roman"/>
                <w:sz w:val="20"/>
                <w:szCs w:val="20"/>
              </w:rPr>
              <w:t>Plays an important role both in crisis risk reduction and recovery</w:t>
            </w:r>
            <w:r>
              <w:rPr>
                <w:rFonts w:ascii="Times New Roman" w:hAnsi="Times New Roman"/>
                <w:sz w:val="20"/>
                <w:szCs w:val="20"/>
              </w:rPr>
              <w:t>.</w:t>
            </w:r>
            <w:r w:rsidRPr="001D432A">
              <w:rPr>
                <w:rFonts w:ascii="Times New Roman" w:hAnsi="Times New Roman"/>
                <w:sz w:val="20"/>
                <w:szCs w:val="20"/>
              </w:rPr>
              <w:t xml:space="preserve"> </w:t>
            </w:r>
          </w:p>
          <w:p w:rsidR="00F54456" w:rsidRPr="00434C41" w:rsidRDefault="00F54456" w:rsidP="00F54456">
            <w:pPr>
              <w:pStyle w:val="ListParagraph"/>
              <w:spacing w:after="0" w:line="0" w:lineRule="atLeast"/>
              <w:jc w:val="both"/>
              <w:rPr>
                <w:rFonts w:ascii="Times New Roman" w:hAnsi="Times New Roman"/>
                <w:sz w:val="12"/>
                <w:szCs w:val="12"/>
              </w:rPr>
            </w:pPr>
          </w:p>
          <w:p w:rsidR="00F54456" w:rsidRDefault="00F54456" w:rsidP="00F54456">
            <w:pPr>
              <w:pStyle w:val="ListParagraph"/>
              <w:tabs>
                <w:tab w:val="left" w:pos="360"/>
              </w:tabs>
              <w:spacing w:after="0" w:line="0" w:lineRule="atLeast"/>
              <w:ind w:left="0"/>
              <w:jc w:val="both"/>
            </w:pPr>
            <w:r>
              <w:rPr>
                <w:rFonts w:ascii="Times New Roman" w:hAnsi="Times New Roman"/>
                <w:sz w:val="20"/>
                <w:szCs w:val="20"/>
              </w:rPr>
              <w:t xml:space="preserve">UNDP will </w:t>
            </w:r>
            <w:r w:rsidRPr="00B535E7">
              <w:rPr>
                <w:rFonts w:ascii="Times New Roman" w:hAnsi="Times New Roman"/>
                <w:sz w:val="20"/>
                <w:szCs w:val="20"/>
              </w:rPr>
              <w:t xml:space="preserve">build on </w:t>
            </w:r>
            <w:r>
              <w:rPr>
                <w:rFonts w:ascii="Times New Roman" w:hAnsi="Times New Roman"/>
                <w:sz w:val="20"/>
                <w:szCs w:val="20"/>
              </w:rPr>
              <w:t xml:space="preserve">these areas of strength in the period of the Strategic Plan, 2018-2021 to deliver stronger </w:t>
            </w:r>
            <w:r w:rsidRPr="00B535E7">
              <w:rPr>
                <w:rFonts w:ascii="Times New Roman" w:hAnsi="Times New Roman"/>
                <w:sz w:val="20"/>
                <w:szCs w:val="20"/>
              </w:rPr>
              <w:t>cross-cutting and integrated approaches that are customized for every country and situation</w:t>
            </w:r>
            <w:r>
              <w:rPr>
                <w:rFonts w:ascii="Times New Roman" w:hAnsi="Times New Roman"/>
                <w:sz w:val="20"/>
                <w:szCs w:val="20"/>
              </w:rPr>
              <w:t xml:space="preserve"> as called for by the </w:t>
            </w:r>
            <w:r w:rsidRPr="00B535E7">
              <w:rPr>
                <w:rFonts w:ascii="Times New Roman" w:hAnsi="Times New Roman"/>
                <w:sz w:val="20"/>
                <w:szCs w:val="20"/>
              </w:rPr>
              <w:t xml:space="preserve">2030 Agenda.  </w:t>
            </w:r>
            <w:r>
              <w:rPr>
                <w:rFonts w:ascii="Times New Roman" w:hAnsi="Times New Roman"/>
                <w:sz w:val="20"/>
                <w:szCs w:val="20"/>
              </w:rPr>
              <w:t xml:space="preserve">In doing so, it will </w:t>
            </w:r>
            <w:r w:rsidRPr="001A5682">
              <w:rPr>
                <w:rFonts w:ascii="Times New Roman" w:hAnsi="Times New Roman"/>
                <w:sz w:val="20"/>
                <w:szCs w:val="20"/>
              </w:rPr>
              <w:t xml:space="preserve">strengthen its performance in </w:t>
            </w:r>
            <w:r>
              <w:rPr>
                <w:rFonts w:ascii="Times New Roman" w:hAnsi="Times New Roman"/>
                <w:sz w:val="20"/>
                <w:szCs w:val="20"/>
              </w:rPr>
              <w:t>areas identified as requiring attention by</w:t>
            </w:r>
            <w:r w:rsidRPr="002B0CB4">
              <w:rPr>
                <w:rFonts w:ascii="Times New Roman" w:hAnsi="Times New Roman"/>
                <w:sz w:val="20"/>
                <w:szCs w:val="20"/>
              </w:rPr>
              <w:t xml:space="preserve"> the evaluation</w:t>
            </w:r>
            <w:r>
              <w:rPr>
                <w:rFonts w:ascii="Times New Roman" w:hAnsi="Times New Roman"/>
                <w:sz w:val="20"/>
                <w:szCs w:val="20"/>
              </w:rPr>
              <w:t xml:space="preserve"> of the Strategic Plan, </w:t>
            </w:r>
            <w:r w:rsidRPr="00BA72E5">
              <w:rPr>
                <w:rFonts w:ascii="Times New Roman" w:hAnsi="Times New Roman"/>
                <w:sz w:val="20"/>
                <w:szCs w:val="20"/>
              </w:rPr>
              <w:t>including</w:t>
            </w:r>
            <w:r>
              <w:rPr>
                <w:rFonts w:ascii="Times New Roman" w:hAnsi="Times New Roman"/>
                <w:sz w:val="20"/>
                <w:szCs w:val="20"/>
              </w:rPr>
              <w:t xml:space="preserve"> delivering at scale, </w:t>
            </w:r>
            <w:r w:rsidRPr="00BA72E5">
              <w:rPr>
                <w:rFonts w:ascii="Times New Roman" w:hAnsi="Times New Roman"/>
                <w:sz w:val="20"/>
                <w:szCs w:val="20"/>
              </w:rPr>
              <w:t>strengthening systematic approaches to South-S</w:t>
            </w:r>
            <w:r>
              <w:rPr>
                <w:rFonts w:ascii="Times New Roman" w:hAnsi="Times New Roman"/>
                <w:sz w:val="20"/>
                <w:szCs w:val="20"/>
              </w:rPr>
              <w:t>outh and triangular cooperation,</w:t>
            </w:r>
            <w:r w:rsidRPr="00BA72E5">
              <w:rPr>
                <w:rFonts w:ascii="Times New Roman" w:hAnsi="Times New Roman"/>
                <w:sz w:val="20"/>
                <w:szCs w:val="20"/>
              </w:rPr>
              <w:t xml:space="preserve"> </w:t>
            </w:r>
            <w:r>
              <w:rPr>
                <w:rFonts w:ascii="Times New Roman" w:hAnsi="Times New Roman"/>
                <w:sz w:val="20"/>
                <w:szCs w:val="20"/>
              </w:rPr>
              <w:t xml:space="preserve">furthering engagement with the private sector and better </w:t>
            </w:r>
            <w:r w:rsidRPr="00B535E7">
              <w:rPr>
                <w:rFonts w:ascii="Times New Roman" w:eastAsia="Calibri" w:hAnsi="Times New Roman"/>
                <w:sz w:val="20"/>
                <w:szCs w:val="20"/>
              </w:rPr>
              <w:t>harnessing knowledge, solutions and expertise to improve results</w:t>
            </w:r>
            <w:r>
              <w:rPr>
                <w:rFonts w:ascii="Times New Roman" w:eastAsia="Calibri" w:hAnsi="Times New Roman"/>
                <w:sz w:val="20"/>
                <w:szCs w:val="20"/>
              </w:rPr>
              <w:t xml:space="preserve">. </w:t>
            </w:r>
            <w:r w:rsidRPr="00B535E7">
              <w:rPr>
                <w:rFonts w:ascii="Times New Roman" w:eastAsia="Calibri" w:hAnsi="Times New Roman"/>
                <w:sz w:val="20"/>
                <w:szCs w:val="20"/>
              </w:rPr>
              <w:t xml:space="preserve">  </w:t>
            </w:r>
          </w:p>
          <w:p w:rsidR="00F54456" w:rsidRDefault="00F54456" w:rsidP="008B2AB0">
            <w:pPr>
              <w:spacing w:after="0" w:line="0" w:lineRule="atLeast"/>
              <w:jc w:val="both"/>
              <w:rPr>
                <w:rFonts w:ascii="Times New Roman" w:hAnsi="Times New Roman"/>
                <w:sz w:val="20"/>
                <w:szCs w:val="20"/>
              </w:rPr>
            </w:pPr>
          </w:p>
        </w:tc>
      </w:tr>
    </w:tbl>
    <w:p w:rsidR="008B2AB0" w:rsidRPr="008B2AB0" w:rsidRDefault="008B2AB0" w:rsidP="008B2AB0">
      <w:pPr>
        <w:spacing w:after="0" w:line="0" w:lineRule="atLeast"/>
        <w:jc w:val="both"/>
        <w:rPr>
          <w:rFonts w:ascii="Times New Roman" w:hAnsi="Times New Roman"/>
          <w:sz w:val="20"/>
          <w:szCs w:val="20"/>
        </w:rPr>
      </w:pPr>
    </w:p>
    <w:p w:rsidR="00D6176C" w:rsidRPr="000F1671" w:rsidRDefault="00D6176C" w:rsidP="00E41B2E">
      <w:pPr>
        <w:tabs>
          <w:tab w:val="left" w:pos="900"/>
        </w:tabs>
        <w:spacing w:after="120"/>
        <w:ind w:left="810" w:hanging="90"/>
        <w:rPr>
          <w:rFonts w:ascii="Times New Roman" w:hAnsi="Times New Roman"/>
          <w:sz w:val="24"/>
          <w:szCs w:val="24"/>
        </w:rPr>
      </w:pPr>
      <w:r w:rsidRPr="003F5460">
        <w:rPr>
          <w:rFonts w:ascii="Times New Roman" w:hAnsi="Times New Roman"/>
          <w:b/>
          <w:bCs/>
          <w:sz w:val="24"/>
          <w:szCs w:val="24"/>
        </w:rPr>
        <w:t>A</w:t>
      </w:r>
      <w:r w:rsidRPr="009F0035">
        <w:rPr>
          <w:rFonts w:ascii="Times New Roman" w:hAnsi="Times New Roman"/>
          <w:b/>
          <w:bCs/>
          <w:sz w:val="24"/>
          <w:szCs w:val="24"/>
        </w:rPr>
        <w:t>.</w:t>
      </w:r>
      <w:r w:rsidRPr="008829EE">
        <w:rPr>
          <w:rFonts w:ascii="Times New Roman" w:hAnsi="Times New Roman"/>
          <w:b/>
          <w:bCs/>
          <w:sz w:val="24"/>
          <w:szCs w:val="24"/>
        </w:rPr>
        <w:t xml:space="preserve">  Development performance by outcome</w:t>
      </w:r>
    </w:p>
    <w:p w:rsidR="00D6176C" w:rsidRPr="00441503" w:rsidRDefault="00441503" w:rsidP="00E41B2E">
      <w:pPr>
        <w:pStyle w:val="ListParagraph"/>
        <w:numPr>
          <w:ilvl w:val="0"/>
          <w:numId w:val="11"/>
        </w:numPr>
        <w:tabs>
          <w:tab w:val="left" w:pos="720"/>
          <w:tab w:val="left" w:pos="1080"/>
        </w:tabs>
        <w:spacing w:after="0" w:line="240" w:lineRule="auto"/>
        <w:ind w:firstLine="0"/>
        <w:jc w:val="both"/>
        <w:rPr>
          <w:rFonts w:ascii="Times New Roman" w:hAnsi="Times New Roman"/>
          <w:sz w:val="20"/>
          <w:szCs w:val="20"/>
        </w:rPr>
      </w:pPr>
      <w:r>
        <w:rPr>
          <w:rFonts w:ascii="Times New Roman" w:hAnsi="Times New Roman"/>
          <w:sz w:val="20"/>
          <w:szCs w:val="20"/>
        </w:rPr>
        <w:t xml:space="preserve">The </w:t>
      </w:r>
      <w:r w:rsidR="00D6176C" w:rsidRPr="003F5460">
        <w:rPr>
          <w:rFonts w:ascii="Times New Roman" w:hAnsi="Times New Roman"/>
          <w:sz w:val="20"/>
          <w:szCs w:val="20"/>
        </w:rPr>
        <w:t>report card</w:t>
      </w:r>
      <w:r w:rsidR="00F92984">
        <w:rPr>
          <w:rFonts w:ascii="Times New Roman" w:hAnsi="Times New Roman"/>
          <w:sz w:val="20"/>
          <w:szCs w:val="20"/>
        </w:rPr>
        <w:t>s</w:t>
      </w:r>
      <w:r w:rsidR="00D6176C" w:rsidRPr="003F5460">
        <w:rPr>
          <w:rFonts w:ascii="Times New Roman" w:hAnsi="Times New Roman"/>
          <w:sz w:val="20"/>
          <w:szCs w:val="20"/>
        </w:rPr>
        <w:t xml:space="preserve"> </w:t>
      </w:r>
      <w:r>
        <w:rPr>
          <w:rFonts w:ascii="Times New Roman" w:hAnsi="Times New Roman"/>
          <w:sz w:val="20"/>
          <w:szCs w:val="20"/>
        </w:rPr>
        <w:t xml:space="preserve">for each outcome present </w:t>
      </w:r>
      <w:r w:rsidR="00D6176C">
        <w:rPr>
          <w:rFonts w:ascii="Times New Roman" w:hAnsi="Times New Roman"/>
          <w:sz w:val="20"/>
          <w:szCs w:val="20"/>
        </w:rPr>
        <w:t xml:space="preserve">cumulative </w:t>
      </w:r>
      <w:r>
        <w:rPr>
          <w:rFonts w:ascii="Times New Roman" w:hAnsi="Times New Roman"/>
          <w:sz w:val="20"/>
          <w:szCs w:val="20"/>
        </w:rPr>
        <w:t>output performance</w:t>
      </w:r>
      <w:r w:rsidR="00D6176C">
        <w:rPr>
          <w:rFonts w:ascii="Times New Roman" w:hAnsi="Times New Roman"/>
          <w:sz w:val="20"/>
          <w:szCs w:val="20"/>
        </w:rPr>
        <w:t xml:space="preserve"> </w:t>
      </w:r>
      <w:r w:rsidR="00D6176C" w:rsidRPr="003F5460">
        <w:rPr>
          <w:rFonts w:ascii="Times New Roman" w:hAnsi="Times New Roman"/>
          <w:sz w:val="20"/>
          <w:szCs w:val="20"/>
        </w:rPr>
        <w:t>against</w:t>
      </w:r>
      <w:r w:rsidR="00D6176C">
        <w:rPr>
          <w:rFonts w:ascii="Times New Roman" w:hAnsi="Times New Roman"/>
          <w:sz w:val="20"/>
          <w:szCs w:val="20"/>
        </w:rPr>
        <w:t>:</w:t>
      </w:r>
      <w:r w:rsidR="00D6176C" w:rsidRPr="003F5460">
        <w:rPr>
          <w:rFonts w:ascii="Times New Roman" w:hAnsi="Times New Roman"/>
          <w:sz w:val="20"/>
          <w:szCs w:val="20"/>
        </w:rPr>
        <w:t xml:space="preserve"> annual milestones and targets for the period 2014-2017; the number of countries supported under each output; a comparison of gender indicator performance versus overall performance</w:t>
      </w:r>
      <w:r w:rsidR="0089236F">
        <w:rPr>
          <w:rFonts w:ascii="Times New Roman" w:hAnsi="Times New Roman"/>
          <w:sz w:val="20"/>
          <w:szCs w:val="20"/>
        </w:rPr>
        <w:t xml:space="preserve">; </w:t>
      </w:r>
      <w:r w:rsidR="00D6176C" w:rsidRPr="003F5460">
        <w:rPr>
          <w:rFonts w:ascii="Times New Roman" w:hAnsi="Times New Roman"/>
          <w:sz w:val="20"/>
          <w:szCs w:val="20"/>
        </w:rPr>
        <w:t xml:space="preserve">and associated gender equality expenditure (as measured by the UNDP gender marker). </w:t>
      </w:r>
      <w:r>
        <w:rPr>
          <w:rFonts w:ascii="Times New Roman" w:hAnsi="Times New Roman"/>
          <w:sz w:val="20"/>
          <w:szCs w:val="20"/>
        </w:rPr>
        <w:t>G</w:t>
      </w:r>
      <w:r w:rsidR="00D6176C" w:rsidRPr="00441503">
        <w:rPr>
          <w:rFonts w:ascii="Times New Roman" w:hAnsi="Times New Roman"/>
          <w:sz w:val="20"/>
          <w:szCs w:val="20"/>
        </w:rPr>
        <w:t xml:space="preserve">reen is for results equal </w:t>
      </w:r>
      <w:r w:rsidR="0089236F">
        <w:rPr>
          <w:rFonts w:ascii="Times New Roman" w:hAnsi="Times New Roman"/>
          <w:sz w:val="20"/>
          <w:szCs w:val="20"/>
        </w:rPr>
        <w:t xml:space="preserve">to </w:t>
      </w:r>
      <w:r w:rsidR="00D6176C" w:rsidRPr="00441503">
        <w:rPr>
          <w:rFonts w:ascii="Times New Roman" w:hAnsi="Times New Roman"/>
          <w:sz w:val="20"/>
          <w:szCs w:val="20"/>
        </w:rPr>
        <w:t xml:space="preserve">or higher than 100 per cent of the milestone/target, amber is for results between 60 and 100 per cent, and red is for results below 60 per cent. Most </w:t>
      </w:r>
      <w:r w:rsidR="0089236F">
        <w:rPr>
          <w:rFonts w:ascii="Times New Roman" w:hAnsi="Times New Roman"/>
          <w:sz w:val="20"/>
          <w:szCs w:val="20"/>
        </w:rPr>
        <w:t>integrated results and resources framework (</w:t>
      </w:r>
      <w:r w:rsidR="00D6176C" w:rsidRPr="00441503">
        <w:rPr>
          <w:rFonts w:ascii="Times New Roman" w:hAnsi="Times New Roman"/>
          <w:sz w:val="20"/>
          <w:szCs w:val="20"/>
        </w:rPr>
        <w:t>IRRF</w:t>
      </w:r>
      <w:r w:rsidR="0089236F">
        <w:rPr>
          <w:rFonts w:ascii="Times New Roman" w:hAnsi="Times New Roman"/>
          <w:sz w:val="20"/>
          <w:szCs w:val="20"/>
        </w:rPr>
        <w:t>)</w:t>
      </w:r>
      <w:r w:rsidR="00D6176C" w:rsidRPr="00441503">
        <w:rPr>
          <w:rFonts w:ascii="Times New Roman" w:hAnsi="Times New Roman"/>
          <w:sz w:val="20"/>
          <w:szCs w:val="20"/>
        </w:rPr>
        <w:t xml:space="preserve"> indicators are cumulative,</w:t>
      </w:r>
      <w:r w:rsidR="00D6176C">
        <w:rPr>
          <w:rStyle w:val="FootnoteReference"/>
          <w:rFonts w:ascii="Times New Roman" w:hAnsi="Times New Roman"/>
          <w:sz w:val="20"/>
          <w:szCs w:val="20"/>
        </w:rPr>
        <w:footnoteReference w:id="6"/>
      </w:r>
      <w:r w:rsidR="00D6176C" w:rsidRPr="00441503">
        <w:rPr>
          <w:rFonts w:ascii="Times New Roman" w:hAnsi="Times New Roman"/>
          <w:sz w:val="20"/>
          <w:szCs w:val="20"/>
        </w:rPr>
        <w:t xml:space="preserve"> indicating UNDP performance over </w:t>
      </w:r>
      <w:r w:rsidR="0089236F">
        <w:rPr>
          <w:rFonts w:ascii="Times New Roman" w:hAnsi="Times New Roman"/>
          <w:sz w:val="20"/>
          <w:szCs w:val="20"/>
        </w:rPr>
        <w:t>the four-year</w:t>
      </w:r>
      <w:r w:rsidR="0089236F" w:rsidRPr="00441503">
        <w:rPr>
          <w:rFonts w:ascii="Times New Roman" w:hAnsi="Times New Roman"/>
          <w:sz w:val="20"/>
          <w:szCs w:val="20"/>
        </w:rPr>
        <w:t xml:space="preserve"> </w:t>
      </w:r>
      <w:r>
        <w:rPr>
          <w:rFonts w:ascii="Times New Roman" w:hAnsi="Times New Roman"/>
          <w:sz w:val="20"/>
          <w:szCs w:val="20"/>
        </w:rPr>
        <w:t>period</w:t>
      </w:r>
      <w:r w:rsidR="0089236F">
        <w:rPr>
          <w:rFonts w:ascii="Times New Roman" w:hAnsi="Times New Roman"/>
          <w:sz w:val="20"/>
          <w:szCs w:val="20"/>
        </w:rPr>
        <w:t xml:space="preserve"> </w:t>
      </w:r>
      <w:r>
        <w:rPr>
          <w:rFonts w:ascii="Times New Roman" w:hAnsi="Times New Roman"/>
          <w:sz w:val="20"/>
          <w:szCs w:val="20"/>
        </w:rPr>
        <w:t>2014-2017</w:t>
      </w:r>
      <w:r w:rsidR="0089236F">
        <w:rPr>
          <w:rFonts w:ascii="Times New Roman" w:hAnsi="Times New Roman"/>
          <w:sz w:val="20"/>
          <w:szCs w:val="20"/>
        </w:rPr>
        <w:t>.</w:t>
      </w:r>
      <w:r>
        <w:rPr>
          <w:rStyle w:val="FootnoteReference"/>
          <w:rFonts w:ascii="Times New Roman" w:hAnsi="Times New Roman"/>
          <w:sz w:val="20"/>
          <w:szCs w:val="20"/>
        </w:rPr>
        <w:footnoteReference w:id="7"/>
      </w:r>
      <w:r w:rsidR="00D6176C" w:rsidRPr="00441503">
        <w:rPr>
          <w:rFonts w:ascii="Times New Roman" w:hAnsi="Times New Roman"/>
          <w:sz w:val="20"/>
          <w:szCs w:val="20"/>
        </w:rPr>
        <w:t xml:space="preserve">   </w:t>
      </w:r>
    </w:p>
    <w:p w:rsidR="00D6176C" w:rsidRPr="00E41B2E" w:rsidRDefault="00D6176C" w:rsidP="00E41B2E">
      <w:pPr>
        <w:tabs>
          <w:tab w:val="left" w:pos="360"/>
          <w:tab w:val="left" w:pos="1080"/>
        </w:tabs>
        <w:spacing w:after="0" w:line="0" w:lineRule="atLeast"/>
        <w:jc w:val="both"/>
        <w:rPr>
          <w:rFonts w:ascii="Times New Roman" w:eastAsia="Times New Roman" w:hAnsi="Times New Roman"/>
          <w:sz w:val="12"/>
          <w:szCs w:val="12"/>
          <w:lang w:eastAsia="ja-JP"/>
        </w:rPr>
      </w:pPr>
    </w:p>
    <w:p w:rsidR="00441503" w:rsidRPr="007F28EC" w:rsidRDefault="00441503" w:rsidP="00E41B2E">
      <w:pPr>
        <w:pStyle w:val="ListParagraph"/>
        <w:numPr>
          <w:ilvl w:val="0"/>
          <w:numId w:val="11"/>
        </w:numPr>
        <w:tabs>
          <w:tab w:val="left" w:pos="360"/>
          <w:tab w:val="left" w:pos="1080"/>
        </w:tabs>
        <w:spacing w:after="0" w:line="0" w:lineRule="atLeast"/>
        <w:ind w:firstLine="0"/>
        <w:jc w:val="both"/>
        <w:rPr>
          <w:rStyle w:val="normaltextrun"/>
          <w:rFonts w:ascii="Times New Roman" w:hAnsi="Times New Roman"/>
          <w:bCs/>
          <w:sz w:val="20"/>
          <w:szCs w:val="20"/>
        </w:rPr>
      </w:pPr>
      <w:r w:rsidRPr="006364B1">
        <w:rPr>
          <w:rFonts w:ascii="Times New Roman" w:hAnsi="Times New Roman"/>
          <w:sz w:val="20"/>
          <w:szCs w:val="20"/>
        </w:rPr>
        <w:t xml:space="preserve">While the number of outputs </w:t>
      </w:r>
      <w:r w:rsidR="0089236F">
        <w:rPr>
          <w:rFonts w:ascii="Times New Roman" w:hAnsi="Times New Roman"/>
          <w:sz w:val="20"/>
          <w:szCs w:val="20"/>
        </w:rPr>
        <w:t xml:space="preserve">for which UNDP </w:t>
      </w:r>
      <w:r w:rsidRPr="007F28EC">
        <w:rPr>
          <w:rStyle w:val="normaltextrun"/>
          <w:rFonts w:ascii="Times New Roman" w:hAnsi="Times New Roman"/>
          <w:bCs/>
          <w:sz w:val="20"/>
          <w:szCs w:val="20"/>
        </w:rPr>
        <w:t xml:space="preserve">missed the annual cumulative target increased from </w:t>
      </w:r>
      <w:r w:rsidR="0089236F">
        <w:rPr>
          <w:rStyle w:val="normaltextrun"/>
          <w:rFonts w:ascii="Times New Roman" w:hAnsi="Times New Roman"/>
          <w:bCs/>
          <w:sz w:val="20"/>
          <w:szCs w:val="20"/>
        </w:rPr>
        <w:t>7</w:t>
      </w:r>
      <w:r w:rsidR="0089236F" w:rsidRPr="007F28EC">
        <w:rPr>
          <w:rStyle w:val="normaltextrun"/>
          <w:rFonts w:ascii="Times New Roman" w:hAnsi="Times New Roman"/>
          <w:bCs/>
          <w:sz w:val="20"/>
          <w:szCs w:val="20"/>
        </w:rPr>
        <w:t xml:space="preserve"> </w:t>
      </w:r>
      <w:r w:rsidRPr="007F28EC">
        <w:rPr>
          <w:rStyle w:val="normaltextrun"/>
          <w:rFonts w:ascii="Times New Roman" w:hAnsi="Times New Roman"/>
          <w:bCs/>
          <w:sz w:val="20"/>
          <w:szCs w:val="20"/>
        </w:rPr>
        <w:t xml:space="preserve">in 2015 to 16 in 2016 and to 18 in 2017, the performance gap was minimal. The freeze of 2016 milestones and 2017 targets after the midterm review of the </w:t>
      </w:r>
      <w:r w:rsidR="0089236F">
        <w:rPr>
          <w:rStyle w:val="normaltextrun"/>
          <w:rFonts w:ascii="Times New Roman" w:hAnsi="Times New Roman"/>
          <w:bCs/>
          <w:sz w:val="20"/>
          <w:szCs w:val="20"/>
        </w:rPr>
        <w:t>S</w:t>
      </w:r>
      <w:r w:rsidR="0089236F" w:rsidRPr="007F28EC">
        <w:rPr>
          <w:rStyle w:val="normaltextrun"/>
          <w:rFonts w:ascii="Times New Roman" w:hAnsi="Times New Roman"/>
          <w:bCs/>
          <w:sz w:val="20"/>
          <w:szCs w:val="20"/>
        </w:rPr>
        <w:t xml:space="preserve">trategic </w:t>
      </w:r>
      <w:r w:rsidR="0089236F">
        <w:rPr>
          <w:rStyle w:val="normaltextrun"/>
          <w:rFonts w:ascii="Times New Roman" w:hAnsi="Times New Roman"/>
          <w:bCs/>
          <w:sz w:val="20"/>
          <w:szCs w:val="20"/>
        </w:rPr>
        <w:t>P</w:t>
      </w:r>
      <w:r w:rsidR="0089236F" w:rsidRPr="007F28EC">
        <w:rPr>
          <w:rStyle w:val="normaltextrun"/>
          <w:rFonts w:ascii="Times New Roman" w:hAnsi="Times New Roman"/>
          <w:bCs/>
          <w:sz w:val="20"/>
          <w:szCs w:val="20"/>
        </w:rPr>
        <w:t xml:space="preserve">lan </w:t>
      </w:r>
      <w:r w:rsidRPr="007F28EC">
        <w:rPr>
          <w:rStyle w:val="normaltextrun"/>
          <w:rFonts w:ascii="Times New Roman" w:hAnsi="Times New Roman"/>
          <w:bCs/>
          <w:sz w:val="20"/>
          <w:szCs w:val="20"/>
        </w:rPr>
        <w:t xml:space="preserve">reinforced UNDP accountability for commitments made in the </w:t>
      </w:r>
      <w:r w:rsidR="0089236F">
        <w:rPr>
          <w:rStyle w:val="normaltextrun"/>
          <w:rFonts w:ascii="Times New Roman" w:hAnsi="Times New Roman"/>
          <w:bCs/>
          <w:sz w:val="20"/>
          <w:szCs w:val="20"/>
        </w:rPr>
        <w:t>S</w:t>
      </w:r>
      <w:r w:rsidR="0089236F" w:rsidRPr="007F28EC">
        <w:rPr>
          <w:rStyle w:val="normaltextrun"/>
          <w:rFonts w:ascii="Times New Roman" w:hAnsi="Times New Roman"/>
          <w:bCs/>
          <w:sz w:val="20"/>
          <w:szCs w:val="20"/>
        </w:rPr>
        <w:t xml:space="preserve">trategic </w:t>
      </w:r>
      <w:r w:rsidR="0089236F">
        <w:rPr>
          <w:rStyle w:val="normaltextrun"/>
          <w:rFonts w:ascii="Times New Roman" w:hAnsi="Times New Roman"/>
          <w:bCs/>
          <w:sz w:val="20"/>
          <w:szCs w:val="20"/>
        </w:rPr>
        <w:t>P</w:t>
      </w:r>
      <w:r w:rsidR="0089236F" w:rsidRPr="007F28EC">
        <w:rPr>
          <w:rStyle w:val="normaltextrun"/>
          <w:rFonts w:ascii="Times New Roman" w:hAnsi="Times New Roman"/>
          <w:bCs/>
          <w:sz w:val="20"/>
          <w:szCs w:val="20"/>
        </w:rPr>
        <w:t xml:space="preserve">lan </w:t>
      </w:r>
      <w:r w:rsidRPr="007F28EC">
        <w:rPr>
          <w:rStyle w:val="normaltextrun"/>
          <w:rFonts w:ascii="Times New Roman" w:hAnsi="Times New Roman"/>
          <w:bCs/>
          <w:sz w:val="20"/>
          <w:szCs w:val="20"/>
        </w:rPr>
        <w:t xml:space="preserve">and enabled critical analysis of reasons for underperformance.   </w:t>
      </w:r>
    </w:p>
    <w:p w:rsidR="00441503" w:rsidRPr="00E41B2E" w:rsidRDefault="00441503" w:rsidP="00E41B2E">
      <w:pPr>
        <w:tabs>
          <w:tab w:val="left" w:pos="1080"/>
        </w:tabs>
        <w:spacing w:after="0" w:line="0" w:lineRule="atLeast"/>
        <w:jc w:val="both"/>
        <w:rPr>
          <w:rFonts w:ascii="Times New Roman" w:hAnsi="Times New Roman"/>
          <w:sz w:val="12"/>
          <w:szCs w:val="12"/>
        </w:rPr>
      </w:pPr>
    </w:p>
    <w:p w:rsidR="00263DDC" w:rsidRPr="00263DDC" w:rsidRDefault="00441503" w:rsidP="00E41B2E">
      <w:pPr>
        <w:tabs>
          <w:tab w:val="left" w:pos="720"/>
          <w:tab w:val="left" w:pos="1080"/>
        </w:tabs>
        <w:spacing w:after="0" w:line="240" w:lineRule="auto"/>
        <w:jc w:val="both"/>
        <w:rPr>
          <w:rFonts w:ascii="Times New Roman" w:hAnsi="Times New Roman"/>
          <w:b/>
          <w:sz w:val="20"/>
          <w:szCs w:val="20"/>
        </w:rPr>
      </w:pPr>
      <w:r>
        <w:rPr>
          <w:rFonts w:ascii="Times New Roman" w:hAnsi="Times New Roman"/>
          <w:b/>
          <w:sz w:val="20"/>
          <w:szCs w:val="20"/>
        </w:rPr>
        <w:tab/>
      </w:r>
      <w:r w:rsidR="00263DDC" w:rsidRPr="00263DDC">
        <w:rPr>
          <w:rFonts w:ascii="Times New Roman" w:hAnsi="Times New Roman"/>
          <w:b/>
          <w:sz w:val="20"/>
          <w:szCs w:val="20"/>
        </w:rPr>
        <w:t>Resources</w:t>
      </w:r>
      <w:r w:rsidR="007F65A5">
        <w:rPr>
          <w:rFonts w:ascii="Times New Roman" w:hAnsi="Times New Roman"/>
          <w:b/>
          <w:sz w:val="20"/>
          <w:szCs w:val="20"/>
        </w:rPr>
        <w:t xml:space="preserve"> and </w:t>
      </w:r>
      <w:r w:rsidR="0089236F">
        <w:rPr>
          <w:rFonts w:ascii="Times New Roman" w:hAnsi="Times New Roman"/>
          <w:b/>
          <w:sz w:val="20"/>
          <w:szCs w:val="20"/>
        </w:rPr>
        <w:t>results</w:t>
      </w:r>
      <w:r w:rsidR="0089236F" w:rsidRPr="00263DDC">
        <w:rPr>
          <w:rFonts w:ascii="Times New Roman" w:hAnsi="Times New Roman"/>
          <w:b/>
          <w:sz w:val="20"/>
          <w:szCs w:val="20"/>
        </w:rPr>
        <w:t xml:space="preserve"> </w:t>
      </w:r>
    </w:p>
    <w:p w:rsidR="00263DDC" w:rsidRPr="00E41B2E" w:rsidRDefault="00263DDC" w:rsidP="00E41B2E">
      <w:pPr>
        <w:tabs>
          <w:tab w:val="left" w:pos="720"/>
          <w:tab w:val="left" w:pos="1080"/>
        </w:tabs>
        <w:spacing w:after="0" w:line="240" w:lineRule="auto"/>
        <w:jc w:val="both"/>
        <w:rPr>
          <w:rFonts w:ascii="Times New Roman" w:hAnsi="Times New Roman"/>
          <w:sz w:val="12"/>
          <w:szCs w:val="12"/>
        </w:rPr>
      </w:pPr>
    </w:p>
    <w:p w:rsidR="007F65A5" w:rsidRPr="00441503" w:rsidRDefault="00263DDC" w:rsidP="00E41B2E">
      <w:pPr>
        <w:pStyle w:val="ListParagraph"/>
        <w:numPr>
          <w:ilvl w:val="0"/>
          <w:numId w:val="11"/>
        </w:numPr>
        <w:tabs>
          <w:tab w:val="left" w:pos="720"/>
          <w:tab w:val="left" w:pos="1080"/>
        </w:tabs>
        <w:spacing w:after="0" w:line="240" w:lineRule="auto"/>
        <w:ind w:firstLine="0"/>
        <w:jc w:val="both"/>
        <w:rPr>
          <w:rFonts w:ascii="Times New Roman" w:hAnsi="Times New Roman"/>
          <w:bCs/>
          <w:sz w:val="20"/>
          <w:szCs w:val="20"/>
        </w:rPr>
      </w:pPr>
      <w:r w:rsidRPr="00F92984">
        <w:rPr>
          <w:rStyle w:val="normaltextrun"/>
          <w:rFonts w:ascii="Times New Roman" w:hAnsi="Times New Roman"/>
          <w:bCs/>
          <w:sz w:val="20"/>
          <w:szCs w:val="20"/>
        </w:rPr>
        <w:t xml:space="preserve">Programme expenditure for 2014-2017 </w:t>
      </w:r>
      <w:bookmarkStart w:id="3" w:name="_Hlk510717018"/>
      <w:r w:rsidRPr="00F92984">
        <w:rPr>
          <w:rStyle w:val="normaltextrun"/>
          <w:rFonts w:ascii="Times New Roman" w:hAnsi="Times New Roman"/>
          <w:bCs/>
          <w:sz w:val="20"/>
          <w:szCs w:val="20"/>
        </w:rPr>
        <w:t>reached $17.0 billion</w:t>
      </w:r>
      <w:r w:rsidRPr="00441503">
        <w:rPr>
          <w:rStyle w:val="normaltextrun"/>
          <w:rFonts w:ascii="Times New Roman" w:hAnsi="Times New Roman"/>
          <w:bCs/>
          <w:sz w:val="20"/>
          <w:szCs w:val="20"/>
        </w:rPr>
        <w:t>, reflecting 88 per cent utilization against the resource plan of $19.4 billion.</w:t>
      </w:r>
      <w:bookmarkEnd w:id="3"/>
      <w:r w:rsidR="000D17D9">
        <w:rPr>
          <w:rStyle w:val="normaltextrun"/>
          <w:rFonts w:ascii="Times New Roman" w:hAnsi="Times New Roman"/>
          <w:bCs/>
          <w:sz w:val="20"/>
          <w:szCs w:val="20"/>
        </w:rPr>
        <w:t xml:space="preserve"> </w:t>
      </w:r>
      <w:r w:rsidR="00F92984">
        <w:rPr>
          <w:rStyle w:val="normaltextrun"/>
          <w:rFonts w:ascii="Times New Roman" w:hAnsi="Times New Roman"/>
          <w:bCs/>
          <w:sz w:val="20"/>
          <w:szCs w:val="20"/>
        </w:rPr>
        <w:t>Sevent</w:t>
      </w:r>
      <w:r w:rsidR="00E442DD">
        <w:rPr>
          <w:rStyle w:val="normaltextrun"/>
          <w:rFonts w:ascii="Times New Roman" w:hAnsi="Times New Roman"/>
          <w:bCs/>
          <w:sz w:val="20"/>
          <w:szCs w:val="20"/>
        </w:rPr>
        <w:t>y</w:t>
      </w:r>
      <w:r w:rsidR="00F92984">
        <w:rPr>
          <w:rStyle w:val="normaltextrun"/>
          <w:rFonts w:ascii="Times New Roman" w:hAnsi="Times New Roman"/>
          <w:bCs/>
          <w:sz w:val="20"/>
          <w:szCs w:val="20"/>
        </w:rPr>
        <w:t>-three</w:t>
      </w:r>
      <w:r w:rsidR="00441503" w:rsidRPr="00441503">
        <w:rPr>
          <w:rStyle w:val="normaltextrun"/>
          <w:rFonts w:ascii="Times New Roman" w:hAnsi="Times New Roman"/>
          <w:bCs/>
          <w:sz w:val="20"/>
          <w:szCs w:val="20"/>
        </w:rPr>
        <w:t xml:space="preserve"> </w:t>
      </w:r>
      <w:r w:rsidR="007F65A5" w:rsidRPr="00441503">
        <w:rPr>
          <w:rFonts w:ascii="Times New Roman" w:eastAsia="MS Mincho" w:hAnsi="Times New Roman"/>
          <w:sz w:val="20"/>
          <w:szCs w:val="20"/>
        </w:rPr>
        <w:t xml:space="preserve">per cent of programme resources </w:t>
      </w:r>
      <w:r w:rsidR="00F57C6A">
        <w:rPr>
          <w:rFonts w:ascii="Times New Roman" w:eastAsia="MS Mincho" w:hAnsi="Times New Roman"/>
          <w:sz w:val="20"/>
          <w:szCs w:val="20"/>
        </w:rPr>
        <w:t xml:space="preserve">were </w:t>
      </w:r>
      <w:r w:rsidR="007F65A5" w:rsidRPr="00441503">
        <w:rPr>
          <w:rFonts w:ascii="Times New Roman" w:eastAsia="MS Mincho" w:hAnsi="Times New Roman"/>
          <w:sz w:val="20"/>
          <w:szCs w:val="20"/>
        </w:rPr>
        <w:t xml:space="preserve">spent in </w:t>
      </w:r>
      <w:r w:rsidR="00F57C6A">
        <w:rPr>
          <w:rFonts w:ascii="Times New Roman" w:eastAsia="MS Mincho" w:hAnsi="Times New Roman"/>
          <w:sz w:val="20"/>
          <w:szCs w:val="20"/>
        </w:rPr>
        <w:t>three</w:t>
      </w:r>
      <w:r w:rsidR="007F65A5" w:rsidRPr="00441503">
        <w:rPr>
          <w:rFonts w:ascii="Times New Roman" w:eastAsia="MS Mincho" w:hAnsi="Times New Roman"/>
          <w:sz w:val="20"/>
          <w:szCs w:val="20"/>
        </w:rPr>
        <w:t xml:space="preserve"> outcome areas: sustainable livelihoods (</w:t>
      </w:r>
      <w:r w:rsidR="00F92984">
        <w:rPr>
          <w:rFonts w:ascii="Times New Roman" w:eastAsia="MS Mincho" w:hAnsi="Times New Roman"/>
          <w:sz w:val="20"/>
          <w:szCs w:val="20"/>
        </w:rPr>
        <w:t>o</w:t>
      </w:r>
      <w:r w:rsidR="00F92984" w:rsidRPr="00441503">
        <w:rPr>
          <w:rFonts w:ascii="Times New Roman" w:eastAsia="MS Mincho" w:hAnsi="Times New Roman"/>
          <w:sz w:val="20"/>
          <w:szCs w:val="20"/>
        </w:rPr>
        <w:t xml:space="preserve">utcome </w:t>
      </w:r>
      <w:r w:rsidR="007F65A5" w:rsidRPr="00441503">
        <w:rPr>
          <w:rFonts w:ascii="Times New Roman" w:eastAsia="MS Mincho" w:hAnsi="Times New Roman"/>
          <w:sz w:val="20"/>
          <w:szCs w:val="20"/>
        </w:rPr>
        <w:t>1</w:t>
      </w:r>
      <w:r w:rsidR="00F92984" w:rsidRPr="00441503">
        <w:rPr>
          <w:rFonts w:ascii="Times New Roman" w:eastAsia="MS Mincho" w:hAnsi="Times New Roman"/>
          <w:sz w:val="20"/>
          <w:szCs w:val="20"/>
        </w:rPr>
        <w:t>)</w:t>
      </w:r>
      <w:r w:rsidR="00F92984">
        <w:rPr>
          <w:rFonts w:ascii="Times New Roman" w:eastAsia="MS Mincho" w:hAnsi="Times New Roman"/>
          <w:sz w:val="20"/>
          <w:szCs w:val="20"/>
        </w:rPr>
        <w:t>;</w:t>
      </w:r>
      <w:r w:rsidR="00F92984" w:rsidRPr="00441503">
        <w:rPr>
          <w:rFonts w:ascii="Times New Roman" w:eastAsia="MS Mincho" w:hAnsi="Times New Roman"/>
          <w:sz w:val="20"/>
          <w:szCs w:val="20"/>
        </w:rPr>
        <w:t xml:space="preserve"> </w:t>
      </w:r>
      <w:r w:rsidR="007F65A5" w:rsidRPr="00441503">
        <w:rPr>
          <w:rFonts w:ascii="Times New Roman" w:eastAsia="MS Mincho" w:hAnsi="Times New Roman"/>
          <w:sz w:val="20"/>
          <w:szCs w:val="20"/>
        </w:rPr>
        <w:t>governance (</w:t>
      </w:r>
      <w:r w:rsidR="00F92984">
        <w:rPr>
          <w:rFonts w:ascii="Times New Roman" w:eastAsia="MS Mincho" w:hAnsi="Times New Roman"/>
          <w:sz w:val="20"/>
          <w:szCs w:val="20"/>
        </w:rPr>
        <w:t>o</w:t>
      </w:r>
      <w:r w:rsidR="00F92984" w:rsidRPr="00441503">
        <w:rPr>
          <w:rFonts w:ascii="Times New Roman" w:eastAsia="MS Mincho" w:hAnsi="Times New Roman"/>
          <w:sz w:val="20"/>
          <w:szCs w:val="20"/>
        </w:rPr>
        <w:t xml:space="preserve">utcome </w:t>
      </w:r>
      <w:r w:rsidR="007F65A5" w:rsidRPr="00441503">
        <w:rPr>
          <w:rFonts w:ascii="Times New Roman" w:eastAsia="MS Mincho" w:hAnsi="Times New Roman"/>
          <w:sz w:val="20"/>
          <w:szCs w:val="20"/>
        </w:rPr>
        <w:t>2)</w:t>
      </w:r>
      <w:r w:rsidR="00F92984">
        <w:rPr>
          <w:rFonts w:ascii="Times New Roman" w:eastAsia="MS Mincho" w:hAnsi="Times New Roman"/>
          <w:sz w:val="20"/>
          <w:szCs w:val="20"/>
        </w:rPr>
        <w:t>;</w:t>
      </w:r>
      <w:r w:rsidR="007F65A5" w:rsidRPr="00441503">
        <w:rPr>
          <w:rFonts w:ascii="Times New Roman" w:eastAsia="MS Mincho" w:hAnsi="Times New Roman"/>
          <w:sz w:val="20"/>
          <w:szCs w:val="20"/>
        </w:rPr>
        <w:t xml:space="preserve"> and basic services (</w:t>
      </w:r>
      <w:r w:rsidR="00F92984">
        <w:rPr>
          <w:rFonts w:ascii="Times New Roman" w:eastAsia="MS Mincho" w:hAnsi="Times New Roman"/>
          <w:sz w:val="20"/>
          <w:szCs w:val="20"/>
        </w:rPr>
        <w:t>o</w:t>
      </w:r>
      <w:r w:rsidR="00F92984" w:rsidRPr="00441503">
        <w:rPr>
          <w:rFonts w:ascii="Times New Roman" w:eastAsia="MS Mincho" w:hAnsi="Times New Roman"/>
          <w:sz w:val="20"/>
          <w:szCs w:val="20"/>
        </w:rPr>
        <w:t xml:space="preserve">utcome </w:t>
      </w:r>
      <w:r w:rsidR="007F65A5" w:rsidRPr="00441503">
        <w:rPr>
          <w:rFonts w:ascii="Times New Roman" w:eastAsia="MS Mincho" w:hAnsi="Times New Roman"/>
          <w:sz w:val="20"/>
          <w:szCs w:val="20"/>
        </w:rPr>
        <w:t xml:space="preserve">3), </w:t>
      </w:r>
      <w:r w:rsidR="007B1C7D">
        <w:rPr>
          <w:rFonts w:ascii="Times New Roman" w:eastAsia="MS Mincho" w:hAnsi="Times New Roman"/>
          <w:sz w:val="20"/>
          <w:szCs w:val="20"/>
        </w:rPr>
        <w:t xml:space="preserve">the area of </w:t>
      </w:r>
      <w:r w:rsidR="007F65A5" w:rsidRPr="00441503">
        <w:rPr>
          <w:rFonts w:ascii="Times New Roman" w:eastAsia="MS Mincho" w:hAnsi="Times New Roman"/>
          <w:sz w:val="20"/>
          <w:szCs w:val="20"/>
        </w:rPr>
        <w:t xml:space="preserve">greatest demand from programme countries (tracked by number of countries implementing projects).  </w:t>
      </w:r>
    </w:p>
    <w:p w:rsidR="007F65A5" w:rsidRPr="00E41B2E" w:rsidRDefault="007F65A5" w:rsidP="00E41B2E">
      <w:pPr>
        <w:pStyle w:val="ListParagraph"/>
        <w:tabs>
          <w:tab w:val="left" w:pos="1080"/>
        </w:tabs>
        <w:rPr>
          <w:rStyle w:val="normaltextrun"/>
          <w:rFonts w:ascii="Times New Roman" w:hAnsi="Times New Roman"/>
          <w:b/>
          <w:bCs/>
          <w:sz w:val="12"/>
          <w:szCs w:val="12"/>
        </w:rPr>
      </w:pPr>
    </w:p>
    <w:p w:rsidR="00263DDC" w:rsidRPr="00263DDC" w:rsidRDefault="00263DDC" w:rsidP="00E41B2E">
      <w:pPr>
        <w:pStyle w:val="ListParagraph"/>
        <w:numPr>
          <w:ilvl w:val="0"/>
          <w:numId w:val="11"/>
        </w:numPr>
        <w:tabs>
          <w:tab w:val="left" w:pos="360"/>
          <w:tab w:val="left" w:pos="1080"/>
        </w:tabs>
        <w:spacing w:after="0" w:line="240" w:lineRule="auto"/>
        <w:ind w:firstLine="0"/>
        <w:jc w:val="both"/>
        <w:rPr>
          <w:rStyle w:val="normaltextrun"/>
          <w:rFonts w:ascii="Times New Roman" w:hAnsi="Times New Roman"/>
          <w:bCs/>
          <w:sz w:val="20"/>
          <w:szCs w:val="20"/>
        </w:rPr>
      </w:pPr>
      <w:r w:rsidRPr="007B1C7D">
        <w:rPr>
          <w:rStyle w:val="normaltextrun"/>
          <w:rFonts w:ascii="Times New Roman" w:hAnsi="Times New Roman"/>
          <w:bCs/>
          <w:sz w:val="20"/>
          <w:szCs w:val="20"/>
        </w:rPr>
        <w:lastRenderedPageBreak/>
        <w:t>Expenditure</w:t>
      </w:r>
      <w:r w:rsidR="007F65A5" w:rsidRPr="007B1C7D">
        <w:rPr>
          <w:rStyle w:val="normaltextrun"/>
          <w:rFonts w:ascii="Times New Roman" w:hAnsi="Times New Roman"/>
          <w:bCs/>
          <w:sz w:val="20"/>
          <w:szCs w:val="20"/>
        </w:rPr>
        <w:t xml:space="preserve">, however, </w:t>
      </w:r>
      <w:r w:rsidRPr="007B1C7D">
        <w:rPr>
          <w:rStyle w:val="normaltextrun"/>
          <w:rFonts w:ascii="Times New Roman" w:hAnsi="Times New Roman"/>
          <w:bCs/>
          <w:sz w:val="20"/>
          <w:szCs w:val="20"/>
        </w:rPr>
        <w:t>varied greatly across the outcomes</w:t>
      </w:r>
      <w:r w:rsidRPr="00263DDC">
        <w:rPr>
          <w:rStyle w:val="normaltextrun"/>
          <w:rFonts w:ascii="Times New Roman" w:hAnsi="Times New Roman"/>
          <w:b/>
          <w:bCs/>
          <w:sz w:val="20"/>
          <w:szCs w:val="20"/>
        </w:rPr>
        <w:t xml:space="preserve">. </w:t>
      </w:r>
      <w:r w:rsidRPr="00263DDC">
        <w:rPr>
          <w:rStyle w:val="normaltextrun"/>
          <w:rFonts w:ascii="Times New Roman" w:hAnsi="Times New Roman"/>
          <w:bCs/>
          <w:sz w:val="20"/>
          <w:szCs w:val="20"/>
        </w:rPr>
        <w:t>Outcomes 5 (risk reduction), 7 (thought leadership) and 2 (governance) saw the highest</w:t>
      </w:r>
      <w:r w:rsidR="007B1C7D">
        <w:rPr>
          <w:rStyle w:val="normaltextrun"/>
          <w:rFonts w:ascii="Times New Roman" w:hAnsi="Times New Roman"/>
          <w:bCs/>
          <w:sz w:val="20"/>
          <w:szCs w:val="20"/>
        </w:rPr>
        <w:t xml:space="preserve"> percentages of</w:t>
      </w:r>
      <w:r w:rsidRPr="00263DDC">
        <w:rPr>
          <w:rStyle w:val="normaltextrun"/>
          <w:rFonts w:ascii="Times New Roman" w:hAnsi="Times New Roman"/>
          <w:bCs/>
          <w:sz w:val="20"/>
          <w:szCs w:val="20"/>
        </w:rPr>
        <w:t xml:space="preserve"> regular resource expenditures </w:t>
      </w:r>
      <w:r w:rsidR="00513048">
        <w:rPr>
          <w:rStyle w:val="normaltextrun"/>
          <w:rFonts w:ascii="Times New Roman" w:hAnsi="Times New Roman"/>
          <w:bCs/>
          <w:sz w:val="20"/>
          <w:szCs w:val="20"/>
        </w:rPr>
        <w:t>against planned resources</w:t>
      </w:r>
      <w:r w:rsidR="009E226C">
        <w:rPr>
          <w:rStyle w:val="normaltextrun"/>
          <w:rFonts w:ascii="Times New Roman" w:hAnsi="Times New Roman"/>
          <w:bCs/>
          <w:sz w:val="20"/>
          <w:szCs w:val="20"/>
        </w:rPr>
        <w:t xml:space="preserve"> </w:t>
      </w:r>
      <w:r w:rsidRPr="00263DDC">
        <w:rPr>
          <w:rStyle w:val="normaltextrun"/>
          <w:rFonts w:ascii="Times New Roman" w:hAnsi="Times New Roman"/>
          <w:bCs/>
          <w:sz w:val="20"/>
          <w:szCs w:val="20"/>
        </w:rPr>
        <w:t xml:space="preserve">(148, 99 and 87 per cent respectively), while </w:t>
      </w:r>
      <w:r w:rsidR="007B1C7D">
        <w:rPr>
          <w:rStyle w:val="normaltextrun"/>
          <w:rFonts w:ascii="Times New Roman" w:hAnsi="Times New Roman"/>
          <w:bCs/>
          <w:sz w:val="20"/>
          <w:szCs w:val="20"/>
        </w:rPr>
        <w:t>o</w:t>
      </w:r>
      <w:r w:rsidR="007B1C7D" w:rsidRPr="00263DDC">
        <w:rPr>
          <w:rStyle w:val="normaltextrun"/>
          <w:rFonts w:ascii="Times New Roman" w:hAnsi="Times New Roman"/>
          <w:bCs/>
          <w:sz w:val="20"/>
          <w:szCs w:val="20"/>
        </w:rPr>
        <w:t xml:space="preserve">utcome </w:t>
      </w:r>
      <w:r w:rsidRPr="00263DDC">
        <w:rPr>
          <w:rStyle w:val="normaltextrun"/>
          <w:rFonts w:ascii="Times New Roman" w:hAnsi="Times New Roman"/>
          <w:bCs/>
          <w:sz w:val="20"/>
          <w:szCs w:val="20"/>
        </w:rPr>
        <w:t xml:space="preserve">6 (early recovery) had the lowest </w:t>
      </w:r>
      <w:r w:rsidR="007B1C7D">
        <w:rPr>
          <w:rStyle w:val="normaltextrun"/>
          <w:rFonts w:ascii="Times New Roman" w:hAnsi="Times New Roman"/>
          <w:bCs/>
          <w:sz w:val="20"/>
          <w:szCs w:val="20"/>
        </w:rPr>
        <w:t xml:space="preserve">percentage of </w:t>
      </w:r>
      <w:r w:rsidRPr="00263DDC">
        <w:rPr>
          <w:rStyle w:val="normaltextrun"/>
          <w:rFonts w:ascii="Times New Roman" w:hAnsi="Times New Roman"/>
          <w:bCs/>
          <w:sz w:val="20"/>
          <w:szCs w:val="20"/>
        </w:rPr>
        <w:t xml:space="preserve">regular resource expenditure at 42 per cent.  Outcomes 3 (basic services) and 1 (inclusive growth) saw the highest </w:t>
      </w:r>
      <w:r w:rsidR="007B1C7D">
        <w:rPr>
          <w:rStyle w:val="normaltextrun"/>
          <w:rFonts w:ascii="Times New Roman" w:hAnsi="Times New Roman"/>
          <w:bCs/>
          <w:sz w:val="20"/>
          <w:szCs w:val="20"/>
        </w:rPr>
        <w:t xml:space="preserve">percentages of </w:t>
      </w:r>
      <w:r w:rsidRPr="00263DDC">
        <w:rPr>
          <w:rStyle w:val="normaltextrun"/>
          <w:rFonts w:ascii="Times New Roman" w:hAnsi="Times New Roman"/>
          <w:bCs/>
          <w:sz w:val="20"/>
          <w:szCs w:val="20"/>
        </w:rPr>
        <w:t xml:space="preserve">other resources expenditure against projected resources and </w:t>
      </w:r>
      <w:r w:rsidR="007B1C7D">
        <w:rPr>
          <w:rStyle w:val="normaltextrun"/>
          <w:rFonts w:ascii="Times New Roman" w:hAnsi="Times New Roman"/>
          <w:bCs/>
          <w:sz w:val="20"/>
          <w:szCs w:val="20"/>
        </w:rPr>
        <w:t>o</w:t>
      </w:r>
      <w:r w:rsidR="007B1C7D" w:rsidRPr="00263DDC">
        <w:rPr>
          <w:rStyle w:val="normaltextrun"/>
          <w:rFonts w:ascii="Times New Roman" w:hAnsi="Times New Roman"/>
          <w:bCs/>
          <w:sz w:val="20"/>
          <w:szCs w:val="20"/>
        </w:rPr>
        <w:t xml:space="preserve">utcome </w:t>
      </w:r>
      <w:r w:rsidRPr="00263DDC">
        <w:rPr>
          <w:rStyle w:val="normaltextrun"/>
          <w:rFonts w:ascii="Times New Roman" w:hAnsi="Times New Roman"/>
          <w:bCs/>
          <w:sz w:val="20"/>
          <w:szCs w:val="20"/>
        </w:rPr>
        <w:t xml:space="preserve">4 (gender) had the </w:t>
      </w:r>
      <w:r w:rsidR="007B1C7D">
        <w:rPr>
          <w:rStyle w:val="normaltextrun"/>
          <w:rFonts w:ascii="Times New Roman" w:hAnsi="Times New Roman"/>
          <w:bCs/>
          <w:sz w:val="20"/>
          <w:szCs w:val="20"/>
        </w:rPr>
        <w:t>lowest</w:t>
      </w:r>
      <w:r w:rsidR="007B1C7D" w:rsidRPr="00263DDC">
        <w:rPr>
          <w:rStyle w:val="normaltextrun"/>
          <w:rFonts w:ascii="Times New Roman" w:hAnsi="Times New Roman"/>
          <w:bCs/>
          <w:sz w:val="20"/>
          <w:szCs w:val="20"/>
        </w:rPr>
        <w:t xml:space="preserve"> </w:t>
      </w:r>
      <w:r w:rsidRPr="00263DDC">
        <w:rPr>
          <w:rStyle w:val="normaltextrun"/>
          <w:rFonts w:ascii="Times New Roman" w:hAnsi="Times New Roman"/>
          <w:bCs/>
          <w:sz w:val="20"/>
          <w:szCs w:val="20"/>
        </w:rPr>
        <w:t xml:space="preserve">expenditure in other resources, recording only 13 per cent of the planning target.  The high </w:t>
      </w:r>
      <w:r w:rsidR="007B1C7D">
        <w:rPr>
          <w:rStyle w:val="normaltextrun"/>
          <w:rFonts w:ascii="Times New Roman" w:hAnsi="Times New Roman"/>
          <w:bCs/>
          <w:sz w:val="20"/>
          <w:szCs w:val="20"/>
        </w:rPr>
        <w:t xml:space="preserve">rate of </w:t>
      </w:r>
      <w:r w:rsidRPr="00263DDC">
        <w:rPr>
          <w:rStyle w:val="normaltextrun"/>
          <w:rFonts w:ascii="Times New Roman" w:hAnsi="Times New Roman"/>
          <w:bCs/>
          <w:sz w:val="20"/>
          <w:szCs w:val="20"/>
        </w:rPr>
        <w:t xml:space="preserve">other resources expenditure under </w:t>
      </w:r>
      <w:r w:rsidR="007B1C7D">
        <w:rPr>
          <w:rStyle w:val="normaltextrun"/>
          <w:rFonts w:ascii="Times New Roman" w:hAnsi="Times New Roman"/>
          <w:bCs/>
          <w:sz w:val="20"/>
          <w:szCs w:val="20"/>
        </w:rPr>
        <w:t>o</w:t>
      </w:r>
      <w:r w:rsidR="007B1C7D" w:rsidRPr="00263DDC">
        <w:rPr>
          <w:rStyle w:val="normaltextrun"/>
          <w:rFonts w:ascii="Times New Roman" w:hAnsi="Times New Roman"/>
          <w:bCs/>
          <w:sz w:val="20"/>
          <w:szCs w:val="20"/>
        </w:rPr>
        <w:t xml:space="preserve">utcome </w:t>
      </w:r>
      <w:r w:rsidRPr="00263DDC">
        <w:rPr>
          <w:rStyle w:val="normaltextrun"/>
          <w:rFonts w:ascii="Times New Roman" w:hAnsi="Times New Roman"/>
          <w:bCs/>
          <w:sz w:val="20"/>
          <w:szCs w:val="20"/>
        </w:rPr>
        <w:t xml:space="preserve">3 (180 per cent) and low </w:t>
      </w:r>
      <w:r w:rsidR="007B1C7D">
        <w:rPr>
          <w:rStyle w:val="normaltextrun"/>
          <w:rFonts w:ascii="Times New Roman" w:hAnsi="Times New Roman"/>
          <w:bCs/>
          <w:sz w:val="20"/>
          <w:szCs w:val="20"/>
        </w:rPr>
        <w:t xml:space="preserve">rate </w:t>
      </w:r>
      <w:r w:rsidRPr="00263DDC">
        <w:rPr>
          <w:rStyle w:val="normaltextrun"/>
          <w:rFonts w:ascii="Times New Roman" w:hAnsi="Times New Roman"/>
          <w:bCs/>
          <w:sz w:val="20"/>
          <w:szCs w:val="20"/>
        </w:rPr>
        <w:t xml:space="preserve">under </w:t>
      </w:r>
      <w:r w:rsidR="007B1C7D">
        <w:rPr>
          <w:rStyle w:val="normaltextrun"/>
          <w:rFonts w:ascii="Times New Roman" w:hAnsi="Times New Roman"/>
          <w:bCs/>
          <w:sz w:val="20"/>
          <w:szCs w:val="20"/>
        </w:rPr>
        <w:t>o</w:t>
      </w:r>
      <w:r w:rsidR="007B1C7D" w:rsidRPr="00263DDC">
        <w:rPr>
          <w:rStyle w:val="normaltextrun"/>
          <w:rFonts w:ascii="Times New Roman" w:hAnsi="Times New Roman"/>
          <w:bCs/>
          <w:sz w:val="20"/>
          <w:szCs w:val="20"/>
        </w:rPr>
        <w:t xml:space="preserve">utcome </w:t>
      </w:r>
      <w:r w:rsidRPr="00263DDC">
        <w:rPr>
          <w:rStyle w:val="normaltextrun"/>
          <w:rFonts w:ascii="Times New Roman" w:hAnsi="Times New Roman"/>
          <w:bCs/>
          <w:sz w:val="20"/>
          <w:szCs w:val="20"/>
        </w:rPr>
        <w:t>6 (early recovery</w:t>
      </w:r>
      <w:r w:rsidR="007B1C7D">
        <w:rPr>
          <w:rStyle w:val="normaltextrun"/>
          <w:rFonts w:ascii="Times New Roman" w:hAnsi="Times New Roman"/>
          <w:bCs/>
          <w:sz w:val="20"/>
          <w:szCs w:val="20"/>
        </w:rPr>
        <w:t xml:space="preserve">, </w:t>
      </w:r>
      <w:r w:rsidRPr="00263DDC">
        <w:rPr>
          <w:rStyle w:val="normaltextrun"/>
          <w:rFonts w:ascii="Times New Roman" w:hAnsi="Times New Roman"/>
          <w:bCs/>
          <w:sz w:val="20"/>
          <w:szCs w:val="20"/>
        </w:rPr>
        <w:t xml:space="preserve">47 per cent) indicate the protracted nature of </w:t>
      </w:r>
      <w:r w:rsidR="007B1C7D" w:rsidRPr="00263DDC">
        <w:rPr>
          <w:rStyle w:val="normaltextrun"/>
          <w:rFonts w:ascii="Times New Roman" w:hAnsi="Times New Roman"/>
          <w:bCs/>
          <w:sz w:val="20"/>
          <w:szCs w:val="20"/>
        </w:rPr>
        <w:t>cris</w:t>
      </w:r>
      <w:r w:rsidR="007B1C7D">
        <w:rPr>
          <w:rStyle w:val="normaltextrun"/>
          <w:rFonts w:ascii="Times New Roman" w:hAnsi="Times New Roman"/>
          <w:bCs/>
          <w:sz w:val="20"/>
          <w:szCs w:val="20"/>
        </w:rPr>
        <w:t>e</w:t>
      </w:r>
      <w:r w:rsidR="007B1C7D" w:rsidRPr="00263DDC">
        <w:rPr>
          <w:rStyle w:val="normaltextrun"/>
          <w:rFonts w:ascii="Times New Roman" w:hAnsi="Times New Roman"/>
          <w:bCs/>
          <w:sz w:val="20"/>
          <w:szCs w:val="20"/>
        </w:rPr>
        <w:t xml:space="preserve">s </w:t>
      </w:r>
      <w:r w:rsidRPr="00263DDC">
        <w:rPr>
          <w:rStyle w:val="normaltextrun"/>
          <w:rFonts w:ascii="Times New Roman" w:hAnsi="Times New Roman"/>
          <w:bCs/>
          <w:sz w:val="20"/>
          <w:szCs w:val="20"/>
        </w:rPr>
        <w:t xml:space="preserve">in 2014-2017, which required longer-term interventions to stabilize and build core governance functions for basic service delivery in addition to immediate crisis responses.  </w:t>
      </w:r>
      <w:r w:rsidRPr="00263DDC">
        <w:rPr>
          <w:rFonts w:ascii="Times New Roman" w:eastAsia="MS Mincho" w:hAnsi="Times New Roman"/>
          <w:sz w:val="20"/>
          <w:szCs w:val="20"/>
        </w:rPr>
        <w:t xml:space="preserve">  </w:t>
      </w:r>
      <w:r w:rsidRPr="00263DDC">
        <w:rPr>
          <w:rStyle w:val="normaltextrun"/>
          <w:rFonts w:ascii="Times New Roman" w:hAnsi="Times New Roman"/>
          <w:bCs/>
          <w:sz w:val="20"/>
          <w:szCs w:val="20"/>
        </w:rPr>
        <w:t xml:space="preserve"> </w:t>
      </w:r>
    </w:p>
    <w:p w:rsidR="00263DDC" w:rsidRPr="00A82701" w:rsidRDefault="00263DDC" w:rsidP="00263DDC">
      <w:pPr>
        <w:tabs>
          <w:tab w:val="left" w:pos="360"/>
        </w:tabs>
        <w:spacing w:after="0" w:line="240" w:lineRule="auto"/>
        <w:jc w:val="both"/>
        <w:rPr>
          <w:rStyle w:val="normaltextrun"/>
          <w:rFonts w:ascii="Times New Roman" w:hAnsi="Times New Roman"/>
          <w:bCs/>
          <w:sz w:val="20"/>
          <w:szCs w:val="20"/>
        </w:rPr>
      </w:pPr>
    </w:p>
    <w:p w:rsidR="00263DDC" w:rsidRDefault="00263DDC" w:rsidP="00263DDC">
      <w:pPr>
        <w:pStyle w:val="ColorfulList-Accent11"/>
        <w:tabs>
          <w:tab w:val="left" w:pos="360"/>
        </w:tabs>
        <w:spacing w:after="0" w:line="240" w:lineRule="auto"/>
        <w:ind w:left="0"/>
        <w:contextualSpacing w:val="0"/>
        <w:jc w:val="center"/>
        <w:rPr>
          <w:rFonts w:ascii="Times New Roman" w:hAnsi="Times New Roman"/>
          <w:b/>
          <w:bCs/>
          <w:sz w:val="18"/>
          <w:szCs w:val="20"/>
        </w:rPr>
      </w:pPr>
      <w:r w:rsidRPr="003F5460">
        <w:rPr>
          <w:rFonts w:ascii="Times New Roman" w:hAnsi="Times New Roman"/>
          <w:b/>
          <w:bCs/>
          <w:sz w:val="18"/>
          <w:szCs w:val="20"/>
        </w:rPr>
        <w:t xml:space="preserve">Figure </w:t>
      </w:r>
      <w:r w:rsidR="00145955">
        <w:rPr>
          <w:rFonts w:ascii="Times New Roman" w:hAnsi="Times New Roman"/>
          <w:b/>
          <w:bCs/>
          <w:sz w:val="18"/>
          <w:szCs w:val="20"/>
        </w:rPr>
        <w:t>1</w:t>
      </w:r>
      <w:r w:rsidR="007B1C7D">
        <w:rPr>
          <w:rFonts w:ascii="Times New Roman" w:hAnsi="Times New Roman"/>
          <w:b/>
          <w:bCs/>
          <w:sz w:val="18"/>
          <w:szCs w:val="20"/>
        </w:rPr>
        <w:t>.</w:t>
      </w:r>
      <w:r w:rsidR="007B1C7D" w:rsidRPr="003F5460">
        <w:rPr>
          <w:rFonts w:ascii="Times New Roman" w:hAnsi="Times New Roman"/>
          <w:b/>
          <w:bCs/>
          <w:sz w:val="18"/>
          <w:szCs w:val="20"/>
        </w:rPr>
        <w:t xml:space="preserve"> </w:t>
      </w:r>
      <w:r>
        <w:rPr>
          <w:rFonts w:ascii="Times New Roman" w:hAnsi="Times New Roman"/>
          <w:b/>
          <w:bCs/>
          <w:sz w:val="18"/>
          <w:szCs w:val="20"/>
        </w:rPr>
        <w:t>P</w:t>
      </w:r>
      <w:r w:rsidRPr="003F5460">
        <w:rPr>
          <w:rFonts w:ascii="Times New Roman" w:hAnsi="Times New Roman"/>
          <w:b/>
          <w:bCs/>
          <w:sz w:val="18"/>
          <w:szCs w:val="20"/>
        </w:rPr>
        <w:t>rovisional programme expenditure agai</w:t>
      </w:r>
      <w:r>
        <w:rPr>
          <w:rFonts w:ascii="Times New Roman" w:hAnsi="Times New Roman"/>
          <w:b/>
          <w:bCs/>
          <w:sz w:val="18"/>
          <w:szCs w:val="20"/>
        </w:rPr>
        <w:t>nst planned resources</w:t>
      </w:r>
      <w:r w:rsidR="007B1C7D">
        <w:rPr>
          <w:rFonts w:ascii="Times New Roman" w:hAnsi="Times New Roman"/>
          <w:b/>
          <w:bCs/>
          <w:sz w:val="18"/>
          <w:szCs w:val="20"/>
        </w:rPr>
        <w:t>,</w:t>
      </w:r>
      <w:r>
        <w:rPr>
          <w:rFonts w:ascii="Times New Roman" w:hAnsi="Times New Roman"/>
          <w:b/>
          <w:bCs/>
          <w:sz w:val="18"/>
          <w:szCs w:val="20"/>
        </w:rPr>
        <w:t xml:space="preserve"> 2014-2017                           </w:t>
      </w:r>
    </w:p>
    <w:p w:rsidR="00263DDC" w:rsidRDefault="00263DDC" w:rsidP="00263DDC">
      <w:pPr>
        <w:pStyle w:val="ColorfulList-Accent11"/>
        <w:tabs>
          <w:tab w:val="left" w:pos="360"/>
        </w:tabs>
        <w:spacing w:after="0" w:line="240" w:lineRule="auto"/>
        <w:ind w:left="0"/>
        <w:contextualSpacing w:val="0"/>
        <w:jc w:val="center"/>
        <w:rPr>
          <w:rFonts w:ascii="Times New Roman" w:hAnsi="Times New Roman"/>
          <w:b/>
          <w:bCs/>
          <w:sz w:val="18"/>
          <w:szCs w:val="20"/>
        </w:rPr>
      </w:pPr>
      <w:r w:rsidRPr="003F5460">
        <w:rPr>
          <w:rFonts w:ascii="Times New Roman" w:hAnsi="Times New Roman"/>
          <w:b/>
          <w:bCs/>
          <w:sz w:val="18"/>
          <w:szCs w:val="20"/>
        </w:rPr>
        <w:t>(</w:t>
      </w:r>
      <w:r w:rsidR="007B1C7D">
        <w:rPr>
          <w:rFonts w:ascii="Times New Roman" w:hAnsi="Times New Roman"/>
          <w:b/>
          <w:bCs/>
          <w:sz w:val="18"/>
          <w:szCs w:val="20"/>
        </w:rPr>
        <w:t>I</w:t>
      </w:r>
      <w:r w:rsidR="007B1C7D" w:rsidRPr="003F5460">
        <w:rPr>
          <w:rFonts w:ascii="Times New Roman" w:hAnsi="Times New Roman"/>
          <w:b/>
          <w:bCs/>
          <w:sz w:val="18"/>
          <w:szCs w:val="20"/>
        </w:rPr>
        <w:t xml:space="preserve">n </w:t>
      </w:r>
      <w:r w:rsidRPr="003F5460">
        <w:rPr>
          <w:rFonts w:ascii="Times New Roman" w:hAnsi="Times New Roman"/>
          <w:b/>
          <w:bCs/>
          <w:sz w:val="18"/>
          <w:szCs w:val="20"/>
        </w:rPr>
        <w:t xml:space="preserve">millions of </w:t>
      </w:r>
      <w:r w:rsidR="007B1C7D">
        <w:rPr>
          <w:rFonts w:ascii="Times New Roman" w:hAnsi="Times New Roman"/>
          <w:b/>
          <w:bCs/>
          <w:sz w:val="18"/>
          <w:szCs w:val="20"/>
        </w:rPr>
        <w:t xml:space="preserve">United States </w:t>
      </w:r>
      <w:r w:rsidRPr="003F5460">
        <w:rPr>
          <w:rFonts w:ascii="Times New Roman" w:hAnsi="Times New Roman"/>
          <w:b/>
          <w:bCs/>
          <w:sz w:val="18"/>
          <w:szCs w:val="20"/>
        </w:rPr>
        <w:t>dollars)</w:t>
      </w:r>
    </w:p>
    <w:p w:rsidR="00263DDC" w:rsidRPr="003F5460" w:rsidRDefault="00263DDC" w:rsidP="00263DDC">
      <w:pPr>
        <w:pStyle w:val="ColorfulList-Accent11"/>
        <w:tabs>
          <w:tab w:val="left" w:pos="360"/>
        </w:tabs>
        <w:spacing w:after="0" w:line="240" w:lineRule="auto"/>
        <w:ind w:left="0"/>
        <w:contextualSpacing w:val="0"/>
        <w:jc w:val="center"/>
        <w:rPr>
          <w:rStyle w:val="normaltextrun"/>
          <w:rFonts w:ascii="Times New Roman" w:hAnsi="Times New Roman"/>
          <w:b/>
          <w:bCs/>
          <w:sz w:val="18"/>
          <w:szCs w:val="20"/>
        </w:rPr>
      </w:pPr>
    </w:p>
    <w:p w:rsidR="00263DDC" w:rsidRDefault="00263DDC" w:rsidP="00263DDC">
      <w:pPr>
        <w:spacing w:after="0" w:line="240" w:lineRule="auto"/>
        <w:jc w:val="center"/>
        <w:rPr>
          <w:rFonts w:ascii="Times New Roman" w:eastAsia="Times New Roman" w:hAnsi="Times New Roman"/>
          <w:sz w:val="20"/>
          <w:lang w:eastAsia="ja-JP"/>
        </w:rPr>
      </w:pPr>
      <w:r w:rsidRPr="003F5460">
        <w:rPr>
          <w:rFonts w:ascii="Times New Roman" w:hAnsi="Times New Roman"/>
          <w:b/>
          <w:bCs/>
          <w:noProof/>
          <w:sz w:val="20"/>
          <w:szCs w:val="20"/>
          <w:lang w:val="en-US"/>
        </w:rPr>
        <w:drawing>
          <wp:inline distT="0" distB="0" distL="0" distR="0" wp14:anchorId="358D4C5A" wp14:editId="08B6E5F3">
            <wp:extent cx="5340096" cy="278638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9456" cy="2791272"/>
                    </a:xfrm>
                    <a:prstGeom prst="rect">
                      <a:avLst/>
                    </a:prstGeom>
                    <a:noFill/>
                  </pic:spPr>
                </pic:pic>
              </a:graphicData>
            </a:graphic>
          </wp:inline>
        </w:drawing>
      </w:r>
    </w:p>
    <w:p w:rsidR="00F92BFB" w:rsidRDefault="00F92BFB" w:rsidP="00D6176C">
      <w:pPr>
        <w:spacing w:after="0" w:line="240" w:lineRule="auto"/>
        <w:jc w:val="both"/>
        <w:rPr>
          <w:rFonts w:ascii="Times New Roman" w:hAnsi="Times New Roman"/>
          <w:sz w:val="20"/>
          <w:szCs w:val="20"/>
        </w:rPr>
      </w:pPr>
    </w:p>
    <w:p w:rsidR="00D6176C" w:rsidRDefault="00F92BFB" w:rsidP="00684775">
      <w:pPr>
        <w:spacing w:after="120" w:line="240" w:lineRule="auto"/>
        <w:jc w:val="both"/>
        <w:rPr>
          <w:rFonts w:ascii="Times New Roman" w:hAnsi="Times New Roman"/>
          <w:b/>
          <w:sz w:val="24"/>
          <w:szCs w:val="20"/>
        </w:rPr>
      </w:pPr>
      <w:r>
        <w:rPr>
          <w:rFonts w:ascii="Times New Roman" w:hAnsi="Times New Roman"/>
          <w:b/>
          <w:sz w:val="24"/>
          <w:szCs w:val="20"/>
        </w:rPr>
        <w:t>O</w:t>
      </w:r>
      <w:r w:rsidR="00D6176C" w:rsidRPr="003F5460">
        <w:rPr>
          <w:rFonts w:ascii="Times New Roman" w:hAnsi="Times New Roman"/>
          <w:b/>
          <w:sz w:val="24"/>
          <w:szCs w:val="20"/>
        </w:rPr>
        <w:t>utcome 1. Inclusive and sustainable growth and development</w:t>
      </w:r>
    </w:p>
    <w:tbl>
      <w:tblPr>
        <w:tblW w:w="94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1"/>
        <w:gridCol w:w="1847"/>
        <w:gridCol w:w="943"/>
        <w:gridCol w:w="943"/>
        <w:gridCol w:w="943"/>
        <w:gridCol w:w="988"/>
        <w:gridCol w:w="988"/>
        <w:gridCol w:w="1165"/>
        <w:gridCol w:w="1165"/>
      </w:tblGrid>
      <w:tr w:rsidR="00D6176C" w:rsidRPr="00EE7DC1" w:rsidTr="005B6C71">
        <w:trPr>
          <w:trHeight w:val="303"/>
        </w:trPr>
        <w:tc>
          <w:tcPr>
            <w:tcW w:w="2278" w:type="dxa"/>
            <w:gridSpan w:val="2"/>
            <w:vMerge w:val="restart"/>
            <w:tcBorders>
              <w:top w:val="single" w:sz="12" w:space="0" w:color="auto"/>
            </w:tcBorders>
            <w:shd w:val="clear" w:color="auto" w:fill="F3F3F3"/>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Output</w:t>
            </w:r>
          </w:p>
        </w:tc>
        <w:tc>
          <w:tcPr>
            <w:tcW w:w="3817" w:type="dxa"/>
            <w:gridSpan w:val="4"/>
            <w:tcBorders>
              <w:top w:val="single" w:sz="12" w:space="0" w:color="auto"/>
              <w:bottom w:val="single" w:sz="8" w:space="0" w:color="auto"/>
            </w:tcBorders>
            <w:shd w:val="clear" w:color="auto" w:fill="F3F3F3"/>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Performance against milestones</w:t>
            </w:r>
          </w:p>
        </w:tc>
        <w:tc>
          <w:tcPr>
            <w:tcW w:w="988" w:type="dxa"/>
            <w:vMerge w:val="restart"/>
            <w:tcBorders>
              <w:top w:val="single" w:sz="12" w:space="0" w:color="auto"/>
            </w:tcBorders>
            <w:shd w:val="clear" w:color="auto" w:fill="F3F3F3"/>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Number of countries supported</w:t>
            </w:r>
          </w:p>
        </w:tc>
        <w:tc>
          <w:tcPr>
            <w:tcW w:w="1165" w:type="dxa"/>
            <w:vMerge w:val="restart"/>
            <w:tcBorders>
              <w:top w:val="single" w:sz="12"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 xml:space="preserve">Proportion of countries achieved </w:t>
            </w:r>
            <w:r>
              <w:rPr>
                <w:rFonts w:ascii="Times New Roman" w:eastAsia="Times New Roman" w:hAnsi="Times New Roman"/>
                <w:b/>
                <w:bCs/>
                <w:sz w:val="16"/>
                <w:szCs w:val="16"/>
              </w:rPr>
              <w:t xml:space="preserve">2017 </w:t>
            </w:r>
            <w:r w:rsidRPr="00EE7DC1">
              <w:rPr>
                <w:rFonts w:ascii="Times New Roman" w:eastAsia="Times New Roman" w:hAnsi="Times New Roman"/>
                <w:b/>
                <w:bCs/>
                <w:sz w:val="16"/>
                <w:szCs w:val="16"/>
              </w:rPr>
              <w:t>target</w:t>
            </w:r>
          </w:p>
        </w:tc>
        <w:tc>
          <w:tcPr>
            <w:tcW w:w="1165" w:type="dxa"/>
            <w:vMerge w:val="restart"/>
            <w:tcBorders>
              <w:top w:val="single" w:sz="12" w:space="0" w:color="auto"/>
            </w:tcBorders>
            <w:shd w:val="clear" w:color="auto" w:fill="F3F3F3"/>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2017 gender performance vs. overall</w:t>
            </w:r>
          </w:p>
        </w:tc>
      </w:tr>
      <w:tr w:rsidR="00D6176C" w:rsidRPr="00EE7DC1" w:rsidTr="005B6C71">
        <w:trPr>
          <w:trHeight w:val="340"/>
        </w:trPr>
        <w:tc>
          <w:tcPr>
            <w:tcW w:w="2278" w:type="dxa"/>
            <w:gridSpan w:val="2"/>
            <w:vMerge/>
            <w:tcBorders>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p>
        </w:tc>
        <w:tc>
          <w:tcPr>
            <w:tcW w:w="943" w:type="dxa"/>
            <w:tcBorders>
              <w:top w:val="single" w:sz="8" w:space="0" w:color="auto"/>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2014</w:t>
            </w:r>
          </w:p>
        </w:tc>
        <w:tc>
          <w:tcPr>
            <w:tcW w:w="943" w:type="dxa"/>
            <w:tcBorders>
              <w:top w:val="single" w:sz="8" w:space="0" w:color="auto"/>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2015</w:t>
            </w:r>
          </w:p>
        </w:tc>
        <w:tc>
          <w:tcPr>
            <w:tcW w:w="943" w:type="dxa"/>
            <w:tcBorders>
              <w:top w:val="single" w:sz="8" w:space="0" w:color="auto"/>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2016</w:t>
            </w:r>
          </w:p>
        </w:tc>
        <w:tc>
          <w:tcPr>
            <w:tcW w:w="988" w:type="dxa"/>
            <w:tcBorders>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2017</w:t>
            </w:r>
          </w:p>
        </w:tc>
        <w:tc>
          <w:tcPr>
            <w:tcW w:w="988" w:type="dxa"/>
            <w:vMerge/>
            <w:tcBorders>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p>
        </w:tc>
        <w:tc>
          <w:tcPr>
            <w:tcW w:w="1165" w:type="dxa"/>
            <w:vMerge/>
            <w:tcBorders>
              <w:bottom w:val="single" w:sz="6" w:space="0" w:color="auto"/>
            </w:tcBorders>
            <w:shd w:val="clear" w:color="auto" w:fill="F3F3F3"/>
          </w:tcPr>
          <w:p w:rsidR="00D6176C" w:rsidRPr="00EE7DC1" w:rsidRDefault="00D6176C" w:rsidP="005B6C71">
            <w:pPr>
              <w:spacing w:after="0"/>
              <w:jc w:val="center"/>
              <w:rPr>
                <w:rFonts w:ascii="Times New Roman" w:eastAsia="Times New Roman" w:hAnsi="Times New Roman"/>
                <w:b/>
                <w:bCs/>
                <w:sz w:val="16"/>
                <w:szCs w:val="16"/>
              </w:rPr>
            </w:pPr>
          </w:p>
        </w:tc>
        <w:tc>
          <w:tcPr>
            <w:tcW w:w="1165" w:type="dxa"/>
            <w:vMerge/>
            <w:tcBorders>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p>
        </w:tc>
      </w:tr>
      <w:tr w:rsidR="00D6176C" w:rsidRPr="00EE7DC1" w:rsidTr="005B6C71">
        <w:trPr>
          <w:trHeight w:val="255"/>
        </w:trPr>
        <w:tc>
          <w:tcPr>
            <w:tcW w:w="431" w:type="dxa"/>
            <w:tcBorders>
              <w:top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1.1</w:t>
            </w:r>
          </w:p>
        </w:tc>
        <w:tc>
          <w:tcPr>
            <w:tcW w:w="1847" w:type="dxa"/>
            <w:tcBorders>
              <w:top w:val="single" w:sz="6" w:space="0" w:color="auto"/>
            </w:tcBorders>
            <w:shd w:val="clear" w:color="auto" w:fill="auto"/>
            <w:vAlign w:val="center"/>
          </w:tcPr>
          <w:p w:rsidR="00D6176C" w:rsidRPr="00EE7DC1" w:rsidRDefault="00D6176C" w:rsidP="005B6C71">
            <w:pPr>
              <w:spacing w:after="0"/>
              <w:rPr>
                <w:rFonts w:ascii="Times New Roman" w:eastAsia="Times New Roman" w:hAnsi="Times New Roman"/>
                <w:b/>
                <w:bCs/>
                <w:sz w:val="16"/>
                <w:szCs w:val="16"/>
              </w:rPr>
            </w:pPr>
            <w:r w:rsidRPr="00EE7DC1">
              <w:rPr>
                <w:rFonts w:ascii="Times New Roman" w:hAnsi="Times New Roman"/>
                <w:color w:val="000000"/>
                <w:sz w:val="16"/>
                <w:szCs w:val="16"/>
              </w:rPr>
              <w:t>Structural transformation of productive capacities</w:t>
            </w:r>
          </w:p>
        </w:tc>
        <w:tc>
          <w:tcPr>
            <w:tcW w:w="943" w:type="dxa"/>
            <w:tcBorders>
              <w:top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111%</w:t>
            </w:r>
          </w:p>
        </w:tc>
        <w:tc>
          <w:tcPr>
            <w:tcW w:w="943" w:type="dxa"/>
            <w:tcBorders>
              <w:top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112%</w:t>
            </w:r>
          </w:p>
        </w:tc>
        <w:tc>
          <w:tcPr>
            <w:tcW w:w="943" w:type="dxa"/>
            <w:tcBorders>
              <w:top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113%</w:t>
            </w:r>
          </w:p>
        </w:tc>
        <w:tc>
          <w:tcPr>
            <w:tcW w:w="988" w:type="dxa"/>
            <w:tcBorders>
              <w:top w:val="single" w:sz="6" w:space="0" w:color="auto"/>
            </w:tcBorders>
            <w:shd w:val="clear" w:color="auto" w:fill="92D05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132%</w:t>
            </w:r>
          </w:p>
        </w:tc>
        <w:tc>
          <w:tcPr>
            <w:tcW w:w="988" w:type="dxa"/>
            <w:tcBorders>
              <w:top w:val="single" w:sz="6" w:space="0" w:color="auto"/>
            </w:tcBorders>
            <w:shd w:val="clear" w:color="auto" w:fill="auto"/>
            <w:noWrap/>
            <w:vAlign w:val="center"/>
            <w:hideMark/>
          </w:tcPr>
          <w:p w:rsidR="00D6176C" w:rsidRPr="00EE7DC1" w:rsidRDefault="00585302"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124</w:t>
            </w:r>
          </w:p>
        </w:tc>
        <w:tc>
          <w:tcPr>
            <w:tcW w:w="1165" w:type="dxa"/>
            <w:tcBorders>
              <w:top w:val="single" w:sz="6" w:space="0" w:color="auto"/>
            </w:tcBorders>
            <w:vAlign w:val="center"/>
          </w:tcPr>
          <w:p w:rsidR="00D6176C" w:rsidRPr="00EE7DC1" w:rsidRDefault="00D6176C" w:rsidP="005B6C71">
            <w:pPr>
              <w:spacing w:after="0"/>
              <w:jc w:val="center"/>
              <w:rPr>
                <w:rFonts w:ascii="Times New Roman" w:eastAsia="Times New Roman" w:hAnsi="Times New Roman"/>
                <w:b/>
                <w:iCs/>
                <w:color w:val="FF0000"/>
                <w:sz w:val="16"/>
                <w:szCs w:val="16"/>
              </w:rPr>
            </w:pPr>
            <w:r w:rsidRPr="00EE7DC1">
              <w:rPr>
                <w:rFonts w:ascii="Times New Roman" w:hAnsi="Times New Roman"/>
                <w:sz w:val="16"/>
                <w:szCs w:val="16"/>
              </w:rPr>
              <w:t>77%</w:t>
            </w:r>
          </w:p>
        </w:tc>
        <w:tc>
          <w:tcPr>
            <w:tcW w:w="1165" w:type="dxa"/>
            <w:tcBorders>
              <w:top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iCs/>
                <w:color w:val="FF0000"/>
                <w:sz w:val="16"/>
                <w:szCs w:val="16"/>
              </w:rPr>
            </w:pPr>
            <w:r w:rsidRPr="00EE7DC1">
              <w:rPr>
                <w:rFonts w:ascii="Times New Roman" w:eastAsia="Times New Roman" w:hAnsi="Times New Roman"/>
                <w:b/>
                <w:iCs/>
                <w:color w:val="FF0000"/>
                <w:sz w:val="16"/>
                <w:szCs w:val="16"/>
              </w:rPr>
              <w:t>Lower</w:t>
            </w:r>
            <w:r w:rsidRPr="00EE7DC1">
              <w:rPr>
                <w:rFonts w:ascii="Times New Roman" w:eastAsia="Times New Roman" w:hAnsi="Times New Roman"/>
                <w:iCs/>
                <w:sz w:val="16"/>
                <w:szCs w:val="16"/>
              </w:rPr>
              <w:t xml:space="preserve"> (129%)</w:t>
            </w:r>
          </w:p>
        </w:tc>
      </w:tr>
      <w:tr w:rsidR="00D6176C" w:rsidRPr="00EE7DC1" w:rsidTr="005B6C71">
        <w:trPr>
          <w:trHeight w:val="255"/>
        </w:trPr>
        <w:tc>
          <w:tcPr>
            <w:tcW w:w="431"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1.2</w:t>
            </w:r>
          </w:p>
        </w:tc>
        <w:tc>
          <w:tcPr>
            <w:tcW w:w="1847" w:type="dxa"/>
            <w:shd w:val="clear" w:color="auto" w:fill="auto"/>
            <w:vAlign w:val="center"/>
          </w:tcPr>
          <w:p w:rsidR="00D6176C" w:rsidRPr="00EE7DC1" w:rsidRDefault="00D6176C" w:rsidP="005B6C71">
            <w:pPr>
              <w:spacing w:after="0"/>
              <w:rPr>
                <w:rFonts w:ascii="Times New Roman" w:eastAsia="Times New Roman" w:hAnsi="Times New Roman"/>
                <w:b/>
                <w:bCs/>
                <w:sz w:val="16"/>
                <w:szCs w:val="16"/>
              </w:rPr>
            </w:pPr>
            <w:r w:rsidRPr="00EE7DC1">
              <w:rPr>
                <w:rFonts w:ascii="Times New Roman" w:hAnsi="Times New Roman"/>
                <w:color w:val="000000"/>
                <w:sz w:val="16"/>
                <w:szCs w:val="16"/>
              </w:rPr>
              <w:t>Social protection</w:t>
            </w:r>
          </w:p>
        </w:tc>
        <w:tc>
          <w:tcPr>
            <w:tcW w:w="943" w:type="dxa"/>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163%</w:t>
            </w:r>
          </w:p>
        </w:tc>
        <w:tc>
          <w:tcPr>
            <w:tcW w:w="943" w:type="dxa"/>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111%</w:t>
            </w:r>
          </w:p>
        </w:tc>
        <w:tc>
          <w:tcPr>
            <w:tcW w:w="943" w:type="dxa"/>
            <w:shd w:val="clear" w:color="000000" w:fill="FFC00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98%</w:t>
            </w:r>
          </w:p>
        </w:tc>
        <w:tc>
          <w:tcPr>
            <w:tcW w:w="988" w:type="dxa"/>
            <w:shd w:val="clear" w:color="auto" w:fill="FFC00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80%</w:t>
            </w:r>
          </w:p>
        </w:tc>
        <w:tc>
          <w:tcPr>
            <w:tcW w:w="988" w:type="dxa"/>
            <w:shd w:val="clear" w:color="auto" w:fill="auto"/>
            <w:noWrap/>
            <w:vAlign w:val="center"/>
            <w:hideMark/>
          </w:tcPr>
          <w:p w:rsidR="00D6176C" w:rsidRPr="00EE7DC1" w:rsidRDefault="00585302"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66</w:t>
            </w:r>
          </w:p>
        </w:tc>
        <w:tc>
          <w:tcPr>
            <w:tcW w:w="1165" w:type="dxa"/>
            <w:vAlign w:val="center"/>
          </w:tcPr>
          <w:p w:rsidR="00D6176C" w:rsidRPr="00EE7DC1" w:rsidRDefault="00D6176C" w:rsidP="005B6C71">
            <w:pPr>
              <w:spacing w:after="0"/>
              <w:jc w:val="center"/>
              <w:rPr>
                <w:rFonts w:ascii="Times New Roman" w:eastAsia="Times New Roman" w:hAnsi="Times New Roman"/>
                <w:b/>
                <w:iCs/>
                <w:color w:val="FF0000"/>
                <w:sz w:val="16"/>
                <w:szCs w:val="16"/>
              </w:rPr>
            </w:pPr>
            <w:r w:rsidRPr="00EE7DC1">
              <w:rPr>
                <w:rFonts w:ascii="Times New Roman" w:hAnsi="Times New Roman"/>
                <w:sz w:val="16"/>
                <w:szCs w:val="16"/>
              </w:rPr>
              <w:t>76%</w:t>
            </w:r>
          </w:p>
        </w:tc>
        <w:tc>
          <w:tcPr>
            <w:tcW w:w="1165" w:type="dxa"/>
            <w:shd w:val="clear" w:color="auto" w:fill="auto"/>
            <w:noWrap/>
            <w:vAlign w:val="center"/>
            <w:hideMark/>
          </w:tcPr>
          <w:p w:rsidR="00D6176C" w:rsidRDefault="00D6176C" w:rsidP="005B6C71">
            <w:pPr>
              <w:spacing w:after="0"/>
              <w:jc w:val="center"/>
              <w:rPr>
                <w:rFonts w:ascii="Times New Roman" w:eastAsia="Times New Roman" w:hAnsi="Times New Roman"/>
                <w:iCs/>
                <w:sz w:val="16"/>
                <w:szCs w:val="16"/>
              </w:rPr>
            </w:pPr>
            <w:r w:rsidRPr="00EE7DC1">
              <w:rPr>
                <w:rFonts w:ascii="Times New Roman" w:eastAsia="Times New Roman" w:hAnsi="Times New Roman"/>
                <w:b/>
                <w:iCs/>
                <w:color w:val="FF0000"/>
                <w:sz w:val="16"/>
                <w:szCs w:val="16"/>
              </w:rPr>
              <w:t>Lower</w:t>
            </w:r>
            <w:r w:rsidRPr="00EE7DC1">
              <w:rPr>
                <w:rFonts w:ascii="Times New Roman" w:eastAsia="Times New Roman" w:hAnsi="Times New Roman"/>
                <w:iCs/>
                <w:sz w:val="16"/>
                <w:szCs w:val="16"/>
              </w:rPr>
              <w:t xml:space="preserve"> </w:t>
            </w:r>
          </w:p>
          <w:p w:rsidR="00D6176C" w:rsidRPr="00EE7DC1" w:rsidRDefault="00D6176C" w:rsidP="005B6C71">
            <w:pPr>
              <w:spacing w:after="0"/>
              <w:jc w:val="center"/>
              <w:rPr>
                <w:rFonts w:ascii="Times New Roman" w:eastAsia="Times New Roman" w:hAnsi="Times New Roman"/>
                <w:iCs/>
                <w:color w:val="FF0000"/>
                <w:sz w:val="16"/>
                <w:szCs w:val="16"/>
              </w:rPr>
            </w:pPr>
            <w:r w:rsidRPr="00EE7DC1">
              <w:rPr>
                <w:rFonts w:ascii="Times New Roman" w:eastAsia="Times New Roman" w:hAnsi="Times New Roman"/>
                <w:iCs/>
                <w:sz w:val="16"/>
                <w:szCs w:val="16"/>
              </w:rPr>
              <w:t>(72%)</w:t>
            </w:r>
          </w:p>
        </w:tc>
      </w:tr>
      <w:tr w:rsidR="00D6176C" w:rsidRPr="00EE7DC1" w:rsidTr="005B6C71">
        <w:trPr>
          <w:trHeight w:val="255"/>
        </w:trPr>
        <w:tc>
          <w:tcPr>
            <w:tcW w:w="431"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1.3</w:t>
            </w:r>
          </w:p>
        </w:tc>
        <w:tc>
          <w:tcPr>
            <w:tcW w:w="1847" w:type="dxa"/>
            <w:shd w:val="clear" w:color="auto" w:fill="auto"/>
            <w:vAlign w:val="center"/>
          </w:tcPr>
          <w:p w:rsidR="00D6176C" w:rsidRPr="00EE7DC1" w:rsidRDefault="00D6176C" w:rsidP="005B6C71">
            <w:pPr>
              <w:spacing w:after="0"/>
              <w:rPr>
                <w:rFonts w:ascii="Times New Roman" w:eastAsia="Times New Roman" w:hAnsi="Times New Roman"/>
                <w:b/>
                <w:bCs/>
                <w:sz w:val="16"/>
                <w:szCs w:val="16"/>
              </w:rPr>
            </w:pPr>
            <w:r w:rsidRPr="00EE7DC1">
              <w:rPr>
                <w:rFonts w:ascii="Times New Roman" w:hAnsi="Times New Roman"/>
                <w:color w:val="000000"/>
                <w:sz w:val="16"/>
                <w:szCs w:val="16"/>
              </w:rPr>
              <w:t>Sustainable management of natural resources</w:t>
            </w:r>
            <w:r w:rsidR="00F92984">
              <w:rPr>
                <w:rFonts w:ascii="Times New Roman" w:hAnsi="Times New Roman"/>
                <w:color w:val="000000"/>
                <w:sz w:val="16"/>
                <w:szCs w:val="16"/>
              </w:rPr>
              <w:t xml:space="preserve"> </w:t>
            </w:r>
          </w:p>
        </w:tc>
        <w:tc>
          <w:tcPr>
            <w:tcW w:w="943" w:type="dxa"/>
            <w:shd w:val="clear" w:color="000000" w:fill="FFC00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91%</w:t>
            </w:r>
          </w:p>
        </w:tc>
        <w:tc>
          <w:tcPr>
            <w:tcW w:w="943" w:type="dxa"/>
            <w:shd w:val="clear" w:color="000000" w:fill="FFC00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86%</w:t>
            </w:r>
          </w:p>
        </w:tc>
        <w:tc>
          <w:tcPr>
            <w:tcW w:w="943" w:type="dxa"/>
            <w:shd w:val="clear" w:color="000000" w:fill="FFC00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89%</w:t>
            </w:r>
          </w:p>
        </w:tc>
        <w:tc>
          <w:tcPr>
            <w:tcW w:w="988" w:type="dxa"/>
            <w:shd w:val="clear" w:color="auto" w:fill="92D05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113%</w:t>
            </w:r>
          </w:p>
        </w:tc>
        <w:tc>
          <w:tcPr>
            <w:tcW w:w="988" w:type="dxa"/>
            <w:shd w:val="clear" w:color="auto" w:fill="auto"/>
            <w:noWrap/>
            <w:vAlign w:val="center"/>
            <w:hideMark/>
          </w:tcPr>
          <w:p w:rsidR="00D6176C" w:rsidRPr="00EE7DC1" w:rsidRDefault="00585302"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109</w:t>
            </w:r>
          </w:p>
        </w:tc>
        <w:tc>
          <w:tcPr>
            <w:tcW w:w="1165" w:type="dxa"/>
            <w:vAlign w:val="center"/>
          </w:tcPr>
          <w:p w:rsidR="00D6176C" w:rsidRPr="00EE7DC1" w:rsidRDefault="00D6176C" w:rsidP="005B6C71">
            <w:pPr>
              <w:spacing w:after="0"/>
              <w:jc w:val="center"/>
              <w:rPr>
                <w:rFonts w:ascii="Times New Roman" w:eastAsia="Times New Roman" w:hAnsi="Times New Roman"/>
                <w:b/>
                <w:iCs/>
                <w:color w:val="FF0000"/>
                <w:sz w:val="16"/>
                <w:szCs w:val="16"/>
              </w:rPr>
            </w:pPr>
            <w:r w:rsidRPr="00EE7DC1">
              <w:rPr>
                <w:rFonts w:ascii="Times New Roman" w:hAnsi="Times New Roman"/>
                <w:sz w:val="16"/>
                <w:szCs w:val="16"/>
              </w:rPr>
              <w:t>73%</w:t>
            </w:r>
          </w:p>
        </w:tc>
        <w:tc>
          <w:tcPr>
            <w:tcW w:w="1165" w:type="dxa"/>
            <w:shd w:val="clear" w:color="auto" w:fill="auto"/>
            <w:noWrap/>
            <w:vAlign w:val="center"/>
            <w:hideMark/>
          </w:tcPr>
          <w:p w:rsidR="00D6176C" w:rsidRDefault="00D6176C" w:rsidP="005B6C71">
            <w:pPr>
              <w:spacing w:after="0"/>
              <w:jc w:val="center"/>
              <w:rPr>
                <w:rFonts w:ascii="Times New Roman" w:eastAsia="Times New Roman" w:hAnsi="Times New Roman"/>
                <w:iCs/>
                <w:sz w:val="16"/>
                <w:szCs w:val="16"/>
              </w:rPr>
            </w:pPr>
            <w:r w:rsidRPr="00EE7DC1">
              <w:rPr>
                <w:rFonts w:ascii="Times New Roman" w:eastAsia="Times New Roman" w:hAnsi="Times New Roman"/>
                <w:b/>
                <w:iCs/>
                <w:color w:val="FF0000"/>
                <w:sz w:val="16"/>
                <w:szCs w:val="16"/>
              </w:rPr>
              <w:t>Lower</w:t>
            </w:r>
            <w:r w:rsidRPr="00EE7DC1">
              <w:rPr>
                <w:rFonts w:ascii="Times New Roman" w:eastAsia="Times New Roman" w:hAnsi="Times New Roman"/>
                <w:iCs/>
                <w:sz w:val="16"/>
                <w:szCs w:val="16"/>
              </w:rPr>
              <w:t xml:space="preserve"> </w:t>
            </w:r>
          </w:p>
          <w:p w:rsidR="00D6176C" w:rsidRPr="00EE7DC1" w:rsidRDefault="00D6176C" w:rsidP="005B6C71">
            <w:pPr>
              <w:spacing w:after="0"/>
              <w:jc w:val="center"/>
              <w:rPr>
                <w:rFonts w:ascii="Times New Roman" w:eastAsia="Times New Roman" w:hAnsi="Times New Roman"/>
                <w:iCs/>
                <w:color w:val="FF0000"/>
                <w:sz w:val="16"/>
                <w:szCs w:val="16"/>
              </w:rPr>
            </w:pPr>
            <w:r w:rsidRPr="00EE7DC1">
              <w:rPr>
                <w:rFonts w:ascii="Times New Roman" w:eastAsia="Times New Roman" w:hAnsi="Times New Roman"/>
                <w:iCs/>
                <w:sz w:val="16"/>
                <w:szCs w:val="16"/>
              </w:rPr>
              <w:t>(90%)</w:t>
            </w:r>
          </w:p>
        </w:tc>
      </w:tr>
      <w:tr w:rsidR="00D6176C" w:rsidRPr="00EE7DC1" w:rsidTr="005B6C71">
        <w:trPr>
          <w:trHeight w:val="255"/>
        </w:trPr>
        <w:tc>
          <w:tcPr>
            <w:tcW w:w="431" w:type="dxa"/>
            <w:tcBorders>
              <w:bottom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1.4</w:t>
            </w:r>
          </w:p>
        </w:tc>
        <w:tc>
          <w:tcPr>
            <w:tcW w:w="1847" w:type="dxa"/>
            <w:tcBorders>
              <w:bottom w:val="single" w:sz="6" w:space="0" w:color="auto"/>
            </w:tcBorders>
            <w:shd w:val="clear" w:color="auto" w:fill="auto"/>
            <w:vAlign w:val="center"/>
          </w:tcPr>
          <w:p w:rsidR="00D6176C" w:rsidRPr="00EE7DC1" w:rsidRDefault="00D6176C" w:rsidP="005B6C71">
            <w:pPr>
              <w:spacing w:after="0"/>
              <w:rPr>
                <w:rFonts w:ascii="Times New Roman" w:eastAsia="Times New Roman" w:hAnsi="Times New Roman"/>
                <w:b/>
                <w:bCs/>
                <w:sz w:val="16"/>
                <w:szCs w:val="16"/>
              </w:rPr>
            </w:pPr>
            <w:r w:rsidRPr="00EE7DC1">
              <w:rPr>
                <w:rFonts w:ascii="Times New Roman" w:hAnsi="Times New Roman"/>
                <w:color w:val="000000"/>
                <w:sz w:val="16"/>
                <w:szCs w:val="16"/>
              </w:rPr>
              <w:t>Climate change adaptation and mitigation</w:t>
            </w:r>
          </w:p>
        </w:tc>
        <w:tc>
          <w:tcPr>
            <w:tcW w:w="943" w:type="dxa"/>
            <w:tcBorders>
              <w:bottom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109%</w:t>
            </w:r>
          </w:p>
        </w:tc>
        <w:tc>
          <w:tcPr>
            <w:tcW w:w="943" w:type="dxa"/>
            <w:tcBorders>
              <w:bottom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104%</w:t>
            </w:r>
          </w:p>
        </w:tc>
        <w:tc>
          <w:tcPr>
            <w:tcW w:w="943" w:type="dxa"/>
            <w:tcBorders>
              <w:bottom w:val="single" w:sz="6" w:space="0" w:color="auto"/>
            </w:tcBorders>
            <w:shd w:val="clear" w:color="000000" w:fill="FFC00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98%</w:t>
            </w:r>
          </w:p>
        </w:tc>
        <w:tc>
          <w:tcPr>
            <w:tcW w:w="988" w:type="dxa"/>
            <w:tcBorders>
              <w:bottom w:val="single" w:sz="6" w:space="0" w:color="auto"/>
            </w:tcBorders>
            <w:shd w:val="clear" w:color="auto" w:fill="FFC00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96%</w:t>
            </w:r>
          </w:p>
        </w:tc>
        <w:tc>
          <w:tcPr>
            <w:tcW w:w="988" w:type="dxa"/>
            <w:tcBorders>
              <w:bottom w:val="single" w:sz="6" w:space="0" w:color="auto"/>
            </w:tcBorders>
            <w:shd w:val="clear" w:color="auto" w:fill="auto"/>
            <w:noWrap/>
            <w:vAlign w:val="center"/>
            <w:hideMark/>
          </w:tcPr>
          <w:p w:rsidR="00D6176C" w:rsidRPr="00EE7DC1" w:rsidRDefault="00585302"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119</w:t>
            </w:r>
          </w:p>
        </w:tc>
        <w:tc>
          <w:tcPr>
            <w:tcW w:w="1165" w:type="dxa"/>
            <w:tcBorders>
              <w:bottom w:val="single" w:sz="6" w:space="0" w:color="auto"/>
            </w:tcBorders>
            <w:vAlign w:val="center"/>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hAnsi="Times New Roman"/>
                <w:sz w:val="16"/>
                <w:szCs w:val="16"/>
              </w:rPr>
              <w:t>90%</w:t>
            </w:r>
          </w:p>
        </w:tc>
        <w:tc>
          <w:tcPr>
            <w:tcW w:w="1165" w:type="dxa"/>
            <w:tcBorders>
              <w:bottom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eastAsia="Times New Roman" w:hAnsi="Times New Roman"/>
                <w:iCs/>
                <w:sz w:val="16"/>
                <w:szCs w:val="16"/>
              </w:rPr>
              <w:t>n/a</w:t>
            </w:r>
          </w:p>
        </w:tc>
      </w:tr>
      <w:tr w:rsidR="00D6176C" w:rsidRPr="00EE7DC1" w:rsidTr="005B6C71">
        <w:trPr>
          <w:trHeight w:val="270"/>
        </w:trPr>
        <w:tc>
          <w:tcPr>
            <w:tcW w:w="431" w:type="dxa"/>
            <w:tcBorders>
              <w:top w:val="single" w:sz="6" w:space="0" w:color="auto"/>
              <w:bottom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1.5</w:t>
            </w:r>
          </w:p>
        </w:tc>
        <w:tc>
          <w:tcPr>
            <w:tcW w:w="1847" w:type="dxa"/>
            <w:tcBorders>
              <w:top w:val="single" w:sz="6" w:space="0" w:color="auto"/>
              <w:bottom w:val="single" w:sz="6" w:space="0" w:color="auto"/>
            </w:tcBorders>
            <w:shd w:val="clear" w:color="auto" w:fill="auto"/>
            <w:vAlign w:val="center"/>
          </w:tcPr>
          <w:p w:rsidR="00D6176C" w:rsidRPr="00EE7DC1" w:rsidRDefault="00D6176C" w:rsidP="005B6C71">
            <w:pPr>
              <w:spacing w:after="0"/>
              <w:rPr>
                <w:rFonts w:ascii="Times New Roman" w:eastAsia="Times New Roman" w:hAnsi="Times New Roman"/>
                <w:b/>
                <w:bCs/>
                <w:sz w:val="16"/>
                <w:szCs w:val="16"/>
              </w:rPr>
            </w:pPr>
            <w:r w:rsidRPr="00EE7DC1">
              <w:rPr>
                <w:rFonts w:ascii="Times New Roman" w:hAnsi="Times New Roman"/>
                <w:color w:val="000000"/>
                <w:sz w:val="16"/>
                <w:szCs w:val="16"/>
              </w:rPr>
              <w:t>Inclusive energy efficiency and access</w:t>
            </w:r>
          </w:p>
        </w:tc>
        <w:tc>
          <w:tcPr>
            <w:tcW w:w="943" w:type="dxa"/>
            <w:tcBorders>
              <w:top w:val="single" w:sz="6" w:space="0" w:color="auto"/>
              <w:bottom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114%</w:t>
            </w:r>
          </w:p>
        </w:tc>
        <w:tc>
          <w:tcPr>
            <w:tcW w:w="943" w:type="dxa"/>
            <w:tcBorders>
              <w:top w:val="single" w:sz="6" w:space="0" w:color="auto"/>
              <w:bottom w:val="single" w:sz="6" w:space="0" w:color="auto"/>
            </w:tcBorders>
            <w:shd w:val="clear" w:color="000000" w:fill="FFC00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92%</w:t>
            </w:r>
          </w:p>
        </w:tc>
        <w:tc>
          <w:tcPr>
            <w:tcW w:w="943" w:type="dxa"/>
            <w:tcBorders>
              <w:top w:val="single" w:sz="6" w:space="0" w:color="auto"/>
              <w:bottom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112%</w:t>
            </w:r>
          </w:p>
        </w:tc>
        <w:tc>
          <w:tcPr>
            <w:tcW w:w="988" w:type="dxa"/>
            <w:tcBorders>
              <w:top w:val="single" w:sz="6" w:space="0" w:color="auto"/>
              <w:bottom w:val="single" w:sz="6" w:space="0" w:color="auto"/>
            </w:tcBorders>
            <w:shd w:val="clear" w:color="auto" w:fill="92D05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111%</w:t>
            </w:r>
          </w:p>
        </w:tc>
        <w:tc>
          <w:tcPr>
            <w:tcW w:w="988" w:type="dxa"/>
            <w:tcBorders>
              <w:top w:val="single" w:sz="6" w:space="0" w:color="auto"/>
              <w:bottom w:val="single" w:sz="6" w:space="0" w:color="auto"/>
            </w:tcBorders>
            <w:shd w:val="clear" w:color="auto" w:fill="auto"/>
            <w:noWrap/>
            <w:vAlign w:val="center"/>
            <w:hideMark/>
          </w:tcPr>
          <w:p w:rsidR="00D6176C" w:rsidRPr="00EE7DC1" w:rsidRDefault="00585302"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84</w:t>
            </w:r>
          </w:p>
        </w:tc>
        <w:tc>
          <w:tcPr>
            <w:tcW w:w="1165" w:type="dxa"/>
            <w:tcBorders>
              <w:top w:val="single" w:sz="6" w:space="0" w:color="auto"/>
              <w:bottom w:val="single" w:sz="6" w:space="0" w:color="auto"/>
            </w:tcBorders>
            <w:vAlign w:val="center"/>
          </w:tcPr>
          <w:p w:rsidR="00D6176C" w:rsidRPr="00EE7DC1" w:rsidRDefault="00D6176C" w:rsidP="005B6C71">
            <w:pPr>
              <w:spacing w:after="0"/>
              <w:jc w:val="center"/>
              <w:rPr>
                <w:rFonts w:ascii="Times New Roman" w:eastAsia="Times New Roman" w:hAnsi="Times New Roman"/>
                <w:b/>
                <w:iCs/>
                <w:color w:val="008000"/>
                <w:sz w:val="16"/>
                <w:szCs w:val="16"/>
              </w:rPr>
            </w:pPr>
            <w:r w:rsidRPr="00EE7DC1">
              <w:rPr>
                <w:rFonts w:ascii="Times New Roman" w:hAnsi="Times New Roman"/>
                <w:sz w:val="16"/>
                <w:szCs w:val="16"/>
              </w:rPr>
              <w:t>68%</w:t>
            </w:r>
          </w:p>
        </w:tc>
        <w:tc>
          <w:tcPr>
            <w:tcW w:w="1165" w:type="dxa"/>
            <w:tcBorders>
              <w:top w:val="single" w:sz="6" w:space="0" w:color="auto"/>
              <w:bottom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iCs/>
                <w:color w:val="00B050"/>
                <w:sz w:val="16"/>
                <w:szCs w:val="16"/>
              </w:rPr>
            </w:pPr>
            <w:r w:rsidRPr="00EE7DC1">
              <w:rPr>
                <w:rFonts w:ascii="Times New Roman" w:eastAsia="Times New Roman" w:hAnsi="Times New Roman"/>
                <w:b/>
                <w:iCs/>
                <w:color w:val="008000"/>
                <w:sz w:val="16"/>
                <w:szCs w:val="16"/>
              </w:rPr>
              <w:t>Higher</w:t>
            </w:r>
            <w:r w:rsidRPr="00EE7DC1">
              <w:rPr>
                <w:rFonts w:ascii="Times New Roman" w:eastAsia="Times New Roman" w:hAnsi="Times New Roman"/>
                <w:iCs/>
                <w:color w:val="00B050"/>
                <w:sz w:val="16"/>
                <w:szCs w:val="16"/>
              </w:rPr>
              <w:t xml:space="preserve"> </w:t>
            </w:r>
            <w:r w:rsidRPr="00EE7DC1">
              <w:rPr>
                <w:rFonts w:ascii="Times New Roman" w:eastAsia="Times New Roman" w:hAnsi="Times New Roman"/>
                <w:iCs/>
                <w:sz w:val="16"/>
                <w:szCs w:val="16"/>
              </w:rPr>
              <w:t>(112%)</w:t>
            </w:r>
          </w:p>
        </w:tc>
      </w:tr>
      <w:tr w:rsidR="00D6176C" w:rsidRPr="00EE7DC1" w:rsidTr="005B6C71">
        <w:trPr>
          <w:trHeight w:val="270"/>
        </w:trPr>
        <w:tc>
          <w:tcPr>
            <w:tcW w:w="9413" w:type="dxa"/>
            <w:gridSpan w:val="9"/>
            <w:tcBorders>
              <w:top w:val="single" w:sz="6" w:space="0" w:color="auto"/>
              <w:bottom w:val="single" w:sz="12" w:space="0" w:color="auto"/>
            </w:tcBorders>
            <w:vAlign w:val="center"/>
          </w:tcPr>
          <w:p w:rsidR="00D6176C" w:rsidRPr="00EE7DC1" w:rsidRDefault="00D6176C" w:rsidP="005B6C71">
            <w:pPr>
              <w:spacing w:after="0"/>
              <w:rPr>
                <w:rFonts w:ascii="Times New Roman" w:eastAsia="Times New Roman" w:hAnsi="Times New Roman"/>
                <w:b/>
                <w:iCs/>
                <w:color w:val="008000"/>
                <w:sz w:val="16"/>
                <w:szCs w:val="16"/>
              </w:rPr>
            </w:pPr>
            <w:r w:rsidRPr="00EE7DC1">
              <w:rPr>
                <w:rFonts w:ascii="Times New Roman" w:hAnsi="Times New Roman"/>
                <w:color w:val="000000"/>
                <w:sz w:val="16"/>
                <w:szCs w:val="16"/>
              </w:rPr>
              <w:t>Expenditure with gender equality as a ‘significant’ or ‘principal’ objective</w:t>
            </w:r>
            <w:r w:rsidRPr="00D6176C">
              <w:rPr>
                <w:rFonts w:ascii="Times New Roman" w:hAnsi="Times New Roman"/>
                <w:sz w:val="16"/>
                <w:szCs w:val="16"/>
              </w:rPr>
              <w:t>: 45%</w:t>
            </w:r>
            <w:r w:rsidRPr="00D6176C">
              <w:rPr>
                <w:rStyle w:val="FootnoteReference"/>
                <w:rFonts w:ascii="Times New Roman" w:eastAsia="Times New Roman" w:hAnsi="Times New Roman"/>
                <w:b/>
                <w:iCs/>
                <w:sz w:val="16"/>
                <w:szCs w:val="16"/>
              </w:rPr>
              <w:footnoteReference w:id="8"/>
            </w:r>
          </w:p>
        </w:tc>
      </w:tr>
    </w:tbl>
    <w:p w:rsidR="00D6176C" w:rsidRPr="00E41B2E" w:rsidRDefault="00D6176C" w:rsidP="00880358">
      <w:pPr>
        <w:spacing w:after="120" w:line="240" w:lineRule="auto"/>
        <w:jc w:val="both"/>
        <w:rPr>
          <w:rFonts w:ascii="Times New Roman" w:hAnsi="Times New Roman"/>
          <w:sz w:val="12"/>
          <w:szCs w:val="12"/>
        </w:rPr>
      </w:pPr>
    </w:p>
    <w:p w:rsidR="00D6176C" w:rsidRPr="005131C3" w:rsidRDefault="00D6176C" w:rsidP="00E41B2E">
      <w:pPr>
        <w:pStyle w:val="ListParagraph"/>
        <w:numPr>
          <w:ilvl w:val="0"/>
          <w:numId w:val="11"/>
        </w:numPr>
        <w:tabs>
          <w:tab w:val="left" w:pos="1080"/>
        </w:tabs>
        <w:spacing w:after="0" w:line="0" w:lineRule="atLeast"/>
        <w:ind w:firstLine="0"/>
        <w:jc w:val="both"/>
        <w:rPr>
          <w:rFonts w:ascii="Times New Roman" w:hAnsi="Times New Roman"/>
          <w:sz w:val="20"/>
          <w:szCs w:val="20"/>
        </w:rPr>
      </w:pPr>
      <w:r w:rsidRPr="00116D03">
        <w:rPr>
          <w:rFonts w:ascii="Times New Roman" w:hAnsi="Times New Roman"/>
          <w:sz w:val="20"/>
          <w:szCs w:val="20"/>
        </w:rPr>
        <w:lastRenderedPageBreak/>
        <w:t xml:space="preserve">UNDP assisted programme countries </w:t>
      </w:r>
      <w:r>
        <w:rPr>
          <w:rFonts w:ascii="Times New Roman" w:hAnsi="Times New Roman"/>
          <w:sz w:val="20"/>
          <w:szCs w:val="20"/>
        </w:rPr>
        <w:t>in the</w:t>
      </w:r>
      <w:r w:rsidRPr="00116D03">
        <w:rPr>
          <w:rFonts w:ascii="Times New Roman" w:hAnsi="Times New Roman"/>
          <w:sz w:val="20"/>
          <w:szCs w:val="20"/>
        </w:rPr>
        <w:t xml:space="preserve"> design and implement</w:t>
      </w:r>
      <w:r>
        <w:rPr>
          <w:rFonts w:ascii="Times New Roman" w:hAnsi="Times New Roman"/>
          <w:sz w:val="20"/>
          <w:szCs w:val="20"/>
        </w:rPr>
        <w:t>ation of</w:t>
      </w:r>
      <w:r w:rsidRPr="00116D03">
        <w:rPr>
          <w:rFonts w:ascii="Times New Roman" w:hAnsi="Times New Roman"/>
          <w:sz w:val="20"/>
          <w:szCs w:val="20"/>
        </w:rPr>
        <w:t xml:space="preserve"> development pathways that tackle</w:t>
      </w:r>
      <w:r>
        <w:rPr>
          <w:rFonts w:ascii="Times New Roman" w:hAnsi="Times New Roman"/>
          <w:sz w:val="20"/>
          <w:szCs w:val="20"/>
        </w:rPr>
        <w:t>d</w:t>
      </w:r>
      <w:r w:rsidRPr="00116D03">
        <w:rPr>
          <w:rFonts w:ascii="Times New Roman" w:hAnsi="Times New Roman"/>
          <w:sz w:val="20"/>
          <w:szCs w:val="20"/>
        </w:rPr>
        <w:t xml:space="preserve"> the connected issues of poverty, inequality and exclusion</w:t>
      </w:r>
      <w:r>
        <w:rPr>
          <w:rFonts w:ascii="Times New Roman" w:hAnsi="Times New Roman"/>
          <w:sz w:val="20"/>
          <w:szCs w:val="20"/>
        </w:rPr>
        <w:t xml:space="preserve">. </w:t>
      </w:r>
      <w:r w:rsidRPr="005217F4">
        <w:rPr>
          <w:rFonts w:ascii="Times New Roman" w:hAnsi="Times New Roman"/>
          <w:sz w:val="20"/>
          <w:szCs w:val="20"/>
        </w:rPr>
        <w:t xml:space="preserve">The </w:t>
      </w:r>
      <w:r w:rsidR="00E34290">
        <w:rPr>
          <w:rFonts w:ascii="Times New Roman" w:hAnsi="Times New Roman"/>
          <w:sz w:val="20"/>
          <w:szCs w:val="20"/>
        </w:rPr>
        <w:t>evaluation of the S</w:t>
      </w:r>
      <w:r>
        <w:rPr>
          <w:rFonts w:ascii="Times New Roman" w:hAnsi="Times New Roman"/>
          <w:sz w:val="20"/>
          <w:szCs w:val="20"/>
        </w:rPr>
        <w:t xml:space="preserve">trategic </w:t>
      </w:r>
      <w:r w:rsidR="00E34290">
        <w:rPr>
          <w:rFonts w:ascii="Times New Roman" w:hAnsi="Times New Roman"/>
          <w:sz w:val="20"/>
          <w:szCs w:val="20"/>
        </w:rPr>
        <w:t>P</w:t>
      </w:r>
      <w:r>
        <w:rPr>
          <w:rFonts w:ascii="Times New Roman" w:hAnsi="Times New Roman"/>
          <w:sz w:val="20"/>
          <w:szCs w:val="20"/>
        </w:rPr>
        <w:t>lan</w:t>
      </w:r>
      <w:r w:rsidRPr="005217F4">
        <w:rPr>
          <w:rFonts w:ascii="Times New Roman" w:hAnsi="Times New Roman"/>
          <w:sz w:val="20"/>
          <w:szCs w:val="20"/>
        </w:rPr>
        <w:t xml:space="preserve"> confirmed </w:t>
      </w:r>
      <w:r w:rsidR="008834E3">
        <w:rPr>
          <w:rFonts w:ascii="Times New Roman" w:hAnsi="Times New Roman"/>
          <w:sz w:val="20"/>
          <w:szCs w:val="20"/>
        </w:rPr>
        <w:t xml:space="preserve">that </w:t>
      </w:r>
      <w:r w:rsidRPr="005217F4">
        <w:rPr>
          <w:rFonts w:ascii="Times New Roman" w:hAnsi="Times New Roman"/>
          <w:sz w:val="20"/>
          <w:szCs w:val="20"/>
        </w:rPr>
        <w:t xml:space="preserve">UNDP </w:t>
      </w:r>
      <w:r w:rsidRPr="0000331E">
        <w:rPr>
          <w:rFonts w:ascii="Times New Roman" w:hAnsi="Times New Roman"/>
          <w:sz w:val="20"/>
          <w:szCs w:val="20"/>
        </w:rPr>
        <w:t>“</w:t>
      </w:r>
      <w:r w:rsidR="00FF76C1" w:rsidRPr="0000331E">
        <w:rPr>
          <w:rFonts w:ascii="Times New Roman" w:hAnsi="Times New Roman"/>
          <w:sz w:val="20"/>
          <w:szCs w:val="20"/>
        </w:rPr>
        <w:t>has embedd</w:t>
      </w:r>
      <w:r w:rsidR="00FF76C1" w:rsidRPr="005131C3">
        <w:rPr>
          <w:rFonts w:ascii="Times New Roman" w:hAnsi="Times New Roman"/>
          <w:sz w:val="20"/>
          <w:szCs w:val="20"/>
        </w:rPr>
        <w:t xml:space="preserve">ed a multidimensional perspective of poverty </w:t>
      </w:r>
      <w:r w:rsidR="00E34290">
        <w:rPr>
          <w:rFonts w:ascii="Times New Roman" w:hAnsi="Times New Roman"/>
          <w:sz w:val="20"/>
          <w:szCs w:val="20"/>
        </w:rPr>
        <w:t>… creating enabling environments to</w:t>
      </w:r>
      <w:r w:rsidR="00E34290" w:rsidRPr="005131C3">
        <w:rPr>
          <w:rFonts w:ascii="Times New Roman" w:hAnsi="Times New Roman"/>
          <w:sz w:val="20"/>
          <w:szCs w:val="20"/>
        </w:rPr>
        <w:t xml:space="preserve"> </w:t>
      </w:r>
      <w:r w:rsidR="00FF76C1" w:rsidRPr="005131C3">
        <w:rPr>
          <w:rFonts w:ascii="Times New Roman" w:hAnsi="Times New Roman"/>
          <w:sz w:val="20"/>
          <w:szCs w:val="20"/>
        </w:rPr>
        <w:t xml:space="preserve">help </w:t>
      </w:r>
      <w:r w:rsidR="00E34290">
        <w:rPr>
          <w:rFonts w:ascii="Times New Roman" w:hAnsi="Times New Roman"/>
          <w:sz w:val="20"/>
          <w:szCs w:val="20"/>
        </w:rPr>
        <w:t>G</w:t>
      </w:r>
      <w:r w:rsidR="00E34290" w:rsidRPr="005131C3">
        <w:rPr>
          <w:rFonts w:ascii="Times New Roman" w:hAnsi="Times New Roman"/>
          <w:sz w:val="20"/>
          <w:szCs w:val="20"/>
        </w:rPr>
        <w:t xml:space="preserve">overnments </w:t>
      </w:r>
      <w:r w:rsidR="00FF76C1" w:rsidRPr="005131C3">
        <w:rPr>
          <w:rFonts w:ascii="Times New Roman" w:hAnsi="Times New Roman"/>
          <w:sz w:val="20"/>
          <w:szCs w:val="20"/>
        </w:rPr>
        <w:t>develop pro-poor policies and expand</w:t>
      </w:r>
      <w:r w:rsidR="00E34290">
        <w:rPr>
          <w:rFonts w:ascii="Times New Roman" w:hAnsi="Times New Roman"/>
          <w:sz w:val="20"/>
          <w:szCs w:val="20"/>
        </w:rPr>
        <w:t>ing</w:t>
      </w:r>
      <w:r w:rsidR="00FF76C1" w:rsidRPr="005131C3">
        <w:rPr>
          <w:rFonts w:ascii="Times New Roman" w:hAnsi="Times New Roman"/>
          <w:sz w:val="20"/>
          <w:szCs w:val="20"/>
        </w:rPr>
        <w:t xml:space="preserve"> local capacities for pro-poor policy making and social protection</w:t>
      </w:r>
      <w:r w:rsidRPr="005131C3">
        <w:rPr>
          <w:rFonts w:ascii="Times New Roman" w:hAnsi="Times New Roman"/>
          <w:sz w:val="20"/>
          <w:szCs w:val="20"/>
        </w:rPr>
        <w:t>”</w:t>
      </w:r>
      <w:r w:rsidR="00426E59">
        <w:rPr>
          <w:rFonts w:ascii="Times New Roman" w:hAnsi="Times New Roman"/>
          <w:sz w:val="20"/>
          <w:szCs w:val="20"/>
        </w:rPr>
        <w:t>.</w:t>
      </w:r>
      <w:r w:rsidRPr="005131C3">
        <w:rPr>
          <w:rFonts w:ascii="Times New Roman" w:hAnsi="Times New Roman"/>
          <w:sz w:val="20"/>
          <w:szCs w:val="20"/>
        </w:rPr>
        <w:t xml:space="preserve"> </w:t>
      </w:r>
    </w:p>
    <w:p w:rsidR="00D6176C" w:rsidRPr="00D54000" w:rsidRDefault="00D6176C" w:rsidP="00E41B2E">
      <w:pPr>
        <w:shd w:val="clear" w:color="auto" w:fill="FFFFFF"/>
        <w:tabs>
          <w:tab w:val="left" w:pos="1080"/>
        </w:tabs>
        <w:spacing w:after="0" w:line="0" w:lineRule="atLeast"/>
        <w:jc w:val="both"/>
        <w:rPr>
          <w:rFonts w:ascii="Times New Roman" w:hAnsi="Times New Roman"/>
          <w:sz w:val="12"/>
          <w:szCs w:val="12"/>
        </w:rPr>
      </w:pPr>
    </w:p>
    <w:p w:rsidR="00D6176C" w:rsidRPr="00E34290" w:rsidRDefault="00D6176C" w:rsidP="00E41B2E">
      <w:pPr>
        <w:pStyle w:val="ListParagraph"/>
        <w:numPr>
          <w:ilvl w:val="0"/>
          <w:numId w:val="11"/>
        </w:numPr>
        <w:shd w:val="clear" w:color="auto" w:fill="FFFFFF"/>
        <w:tabs>
          <w:tab w:val="left" w:pos="1080"/>
        </w:tabs>
        <w:spacing w:after="0" w:line="0" w:lineRule="atLeast"/>
        <w:ind w:firstLine="0"/>
        <w:jc w:val="both"/>
        <w:rPr>
          <w:rFonts w:ascii="Times New Roman" w:hAnsi="Times New Roman"/>
          <w:sz w:val="20"/>
          <w:szCs w:val="20"/>
        </w:rPr>
      </w:pPr>
      <w:r w:rsidRPr="005131C3">
        <w:rPr>
          <w:rFonts w:ascii="Times New Roman" w:hAnsi="Times New Roman"/>
          <w:sz w:val="20"/>
          <w:szCs w:val="20"/>
        </w:rPr>
        <w:t xml:space="preserve">Performance was solid with </w:t>
      </w:r>
      <w:r w:rsidR="00E34290">
        <w:rPr>
          <w:rFonts w:ascii="Times New Roman" w:hAnsi="Times New Roman"/>
          <w:sz w:val="20"/>
          <w:szCs w:val="20"/>
        </w:rPr>
        <w:t xml:space="preserve">2017 targets met for </w:t>
      </w:r>
      <w:r w:rsidRPr="005131C3">
        <w:rPr>
          <w:rFonts w:ascii="Times New Roman" w:hAnsi="Times New Roman"/>
          <w:sz w:val="20"/>
          <w:szCs w:val="20"/>
        </w:rPr>
        <w:t xml:space="preserve">three of five outputs. </w:t>
      </w:r>
      <w:r w:rsidR="00E34290">
        <w:rPr>
          <w:rFonts w:ascii="Times New Roman" w:hAnsi="Times New Roman"/>
          <w:sz w:val="20"/>
          <w:szCs w:val="20"/>
        </w:rPr>
        <w:t>The target for o</w:t>
      </w:r>
      <w:r w:rsidR="00E34290" w:rsidRPr="005131C3">
        <w:rPr>
          <w:rFonts w:ascii="Times New Roman" w:hAnsi="Times New Roman"/>
          <w:sz w:val="20"/>
          <w:szCs w:val="20"/>
        </w:rPr>
        <w:t xml:space="preserve">utput </w:t>
      </w:r>
      <w:r w:rsidRPr="005131C3">
        <w:rPr>
          <w:rFonts w:ascii="Times New Roman" w:hAnsi="Times New Roman"/>
          <w:sz w:val="20"/>
          <w:szCs w:val="20"/>
        </w:rPr>
        <w:t xml:space="preserve">1.4 </w:t>
      </w:r>
      <w:r w:rsidR="00E34290">
        <w:rPr>
          <w:rFonts w:ascii="Times New Roman" w:hAnsi="Times New Roman"/>
          <w:sz w:val="20"/>
          <w:szCs w:val="20"/>
        </w:rPr>
        <w:t xml:space="preserve">was </w:t>
      </w:r>
      <w:r w:rsidRPr="005131C3">
        <w:rPr>
          <w:rFonts w:ascii="Times New Roman" w:hAnsi="Times New Roman"/>
          <w:sz w:val="20"/>
          <w:szCs w:val="20"/>
        </w:rPr>
        <w:t>missed by 4 per cent and only 80 per cent of the target</w:t>
      </w:r>
      <w:r w:rsidR="00E34290">
        <w:rPr>
          <w:rFonts w:ascii="Times New Roman" w:hAnsi="Times New Roman"/>
          <w:sz w:val="20"/>
          <w:szCs w:val="20"/>
        </w:rPr>
        <w:t xml:space="preserve"> for o</w:t>
      </w:r>
      <w:r w:rsidR="00E34290" w:rsidRPr="005131C3">
        <w:rPr>
          <w:rFonts w:ascii="Times New Roman" w:hAnsi="Times New Roman"/>
          <w:sz w:val="20"/>
          <w:szCs w:val="20"/>
        </w:rPr>
        <w:t>utput 1.2 on social protection</w:t>
      </w:r>
      <w:r w:rsidR="00E34290">
        <w:rPr>
          <w:rFonts w:ascii="Times New Roman" w:hAnsi="Times New Roman"/>
          <w:sz w:val="20"/>
          <w:szCs w:val="20"/>
        </w:rPr>
        <w:t xml:space="preserve"> was achieved</w:t>
      </w:r>
      <w:r w:rsidRPr="005131C3">
        <w:rPr>
          <w:rFonts w:ascii="Times New Roman" w:hAnsi="Times New Roman"/>
          <w:sz w:val="20"/>
          <w:szCs w:val="20"/>
        </w:rPr>
        <w:t xml:space="preserve">. Performance analysis suggests that enduring commitments from programme </w:t>
      </w:r>
      <w:r w:rsidR="00426E59">
        <w:rPr>
          <w:rFonts w:ascii="Times New Roman" w:hAnsi="Times New Roman"/>
          <w:sz w:val="20"/>
          <w:szCs w:val="20"/>
        </w:rPr>
        <w:t>G</w:t>
      </w:r>
      <w:r w:rsidRPr="005131C3">
        <w:rPr>
          <w:rFonts w:ascii="Times New Roman" w:hAnsi="Times New Roman"/>
          <w:sz w:val="20"/>
          <w:szCs w:val="20"/>
        </w:rPr>
        <w:t>overnments</w:t>
      </w:r>
      <w:r w:rsidR="00C95A4C">
        <w:rPr>
          <w:rFonts w:ascii="Times New Roman" w:hAnsi="Times New Roman"/>
          <w:sz w:val="20"/>
          <w:szCs w:val="20"/>
        </w:rPr>
        <w:t xml:space="preserve"> </w:t>
      </w:r>
      <w:r w:rsidRPr="005131C3">
        <w:rPr>
          <w:rFonts w:ascii="Times New Roman" w:hAnsi="Times New Roman"/>
          <w:sz w:val="20"/>
          <w:szCs w:val="20"/>
        </w:rPr>
        <w:t xml:space="preserve">and sustainable funding are critical for establishing and expanding social protection schemes. UNDP spent $4.5 billion on </w:t>
      </w:r>
      <w:r w:rsidR="00E34290">
        <w:rPr>
          <w:rFonts w:ascii="Times New Roman" w:hAnsi="Times New Roman"/>
          <w:sz w:val="20"/>
          <w:szCs w:val="20"/>
        </w:rPr>
        <w:t>o</w:t>
      </w:r>
      <w:r w:rsidR="00E34290" w:rsidRPr="005131C3">
        <w:rPr>
          <w:rFonts w:ascii="Times New Roman" w:hAnsi="Times New Roman"/>
          <w:sz w:val="20"/>
          <w:szCs w:val="20"/>
        </w:rPr>
        <w:t xml:space="preserve">utcome </w:t>
      </w:r>
      <w:r w:rsidRPr="005131C3">
        <w:rPr>
          <w:rFonts w:ascii="Times New Roman" w:hAnsi="Times New Roman"/>
          <w:sz w:val="20"/>
          <w:szCs w:val="20"/>
        </w:rPr>
        <w:t>1 between 2014</w:t>
      </w:r>
      <w:r w:rsidR="00E34290">
        <w:rPr>
          <w:rFonts w:ascii="Times New Roman" w:hAnsi="Times New Roman"/>
          <w:sz w:val="20"/>
          <w:szCs w:val="20"/>
        </w:rPr>
        <w:t xml:space="preserve"> and </w:t>
      </w:r>
      <w:r w:rsidRPr="005131C3">
        <w:rPr>
          <w:rFonts w:ascii="Times New Roman" w:hAnsi="Times New Roman"/>
          <w:sz w:val="20"/>
          <w:szCs w:val="20"/>
        </w:rPr>
        <w:t>2017 (26 per cent of total programme expenditure).</w:t>
      </w:r>
    </w:p>
    <w:p w:rsidR="00D6176C" w:rsidRPr="00D54000" w:rsidRDefault="00D6176C" w:rsidP="00E41B2E">
      <w:pPr>
        <w:shd w:val="clear" w:color="auto" w:fill="FFFFFF"/>
        <w:tabs>
          <w:tab w:val="left" w:pos="1080"/>
        </w:tabs>
        <w:spacing w:after="0" w:line="0" w:lineRule="atLeast"/>
        <w:jc w:val="both"/>
        <w:rPr>
          <w:rFonts w:ascii="Times New Roman" w:hAnsi="Times New Roman"/>
          <w:sz w:val="12"/>
          <w:szCs w:val="12"/>
        </w:rPr>
      </w:pPr>
    </w:p>
    <w:p w:rsidR="005131C3" w:rsidRPr="005131C3" w:rsidRDefault="00D6176C" w:rsidP="00E41B2E">
      <w:pPr>
        <w:pStyle w:val="ListParagraph"/>
        <w:numPr>
          <w:ilvl w:val="0"/>
          <w:numId w:val="11"/>
        </w:numPr>
        <w:shd w:val="clear" w:color="auto" w:fill="FFFFFF"/>
        <w:tabs>
          <w:tab w:val="left" w:pos="1080"/>
        </w:tabs>
        <w:spacing w:after="0" w:line="0" w:lineRule="atLeast"/>
        <w:ind w:firstLine="0"/>
        <w:jc w:val="both"/>
        <w:rPr>
          <w:rFonts w:ascii="Times New Roman" w:hAnsi="Times New Roman"/>
          <w:sz w:val="20"/>
          <w:szCs w:val="20"/>
        </w:rPr>
      </w:pPr>
      <w:r w:rsidRPr="00E34290">
        <w:rPr>
          <w:rFonts w:ascii="Times New Roman" w:hAnsi="Times New Roman"/>
          <w:sz w:val="20"/>
          <w:szCs w:val="20"/>
        </w:rPr>
        <w:t xml:space="preserve">In 2014-2017, UNDP support for employment and livelihoods in 120 countries helped 37.3 million people (51 per cent women) benefit from livelihood initiatives with </w:t>
      </w:r>
      <w:r w:rsidR="00F60A98">
        <w:rPr>
          <w:rFonts w:ascii="Times New Roman" w:hAnsi="Times New Roman"/>
          <w:sz w:val="20"/>
          <w:szCs w:val="20"/>
        </w:rPr>
        <w:t>3</w:t>
      </w:r>
      <w:r w:rsidR="00F60A98" w:rsidRPr="00E34290">
        <w:rPr>
          <w:rFonts w:ascii="Times New Roman" w:hAnsi="Times New Roman"/>
          <w:sz w:val="20"/>
          <w:szCs w:val="20"/>
        </w:rPr>
        <w:t xml:space="preserve"> </w:t>
      </w:r>
      <w:r w:rsidRPr="00E34290">
        <w:rPr>
          <w:rFonts w:ascii="Times New Roman" w:hAnsi="Times New Roman"/>
          <w:sz w:val="20"/>
          <w:szCs w:val="20"/>
        </w:rPr>
        <w:t xml:space="preserve">million new jobs (41 per cent for women) in 101 countries. </w:t>
      </w:r>
      <w:r w:rsidR="00A96408" w:rsidRPr="00E34290">
        <w:rPr>
          <w:rFonts w:ascii="Times New Roman" w:hAnsi="Times New Roman"/>
          <w:sz w:val="20"/>
          <w:szCs w:val="20"/>
        </w:rPr>
        <w:t xml:space="preserve">UNDP continued to support the Egyptian Social Fund for Development in its transition to ensure continuity and expand its mandate into the Micro, Small and Medium Enterprise </w:t>
      </w:r>
      <w:r w:rsidR="00F60A98">
        <w:rPr>
          <w:rFonts w:ascii="Times New Roman" w:hAnsi="Times New Roman"/>
          <w:sz w:val="20"/>
          <w:szCs w:val="20"/>
        </w:rPr>
        <w:t xml:space="preserve">(MSME) </w:t>
      </w:r>
      <w:r w:rsidR="00A96408" w:rsidRPr="00E34290">
        <w:rPr>
          <w:rFonts w:ascii="Times New Roman" w:hAnsi="Times New Roman"/>
          <w:sz w:val="20"/>
          <w:szCs w:val="20"/>
        </w:rPr>
        <w:t xml:space="preserve">Development Agency, which extended financial services to over 180,000 existing MSMEs, </w:t>
      </w:r>
      <w:r w:rsidR="00402CB8">
        <w:rPr>
          <w:rFonts w:ascii="Times New Roman" w:hAnsi="Times New Roman"/>
          <w:sz w:val="20"/>
          <w:szCs w:val="20"/>
        </w:rPr>
        <w:t>49 per cent</w:t>
      </w:r>
      <w:r w:rsidR="00F60A98">
        <w:rPr>
          <w:rFonts w:ascii="Times New Roman" w:hAnsi="Times New Roman"/>
          <w:sz w:val="20"/>
          <w:szCs w:val="20"/>
        </w:rPr>
        <w:t xml:space="preserve"> of them</w:t>
      </w:r>
      <w:r w:rsidR="00F60A98" w:rsidRPr="00E34290">
        <w:rPr>
          <w:rFonts w:ascii="Times New Roman" w:hAnsi="Times New Roman"/>
          <w:sz w:val="20"/>
          <w:szCs w:val="20"/>
        </w:rPr>
        <w:t xml:space="preserve"> </w:t>
      </w:r>
      <w:r w:rsidR="00A96408" w:rsidRPr="00E34290">
        <w:rPr>
          <w:rFonts w:ascii="Times New Roman" w:hAnsi="Times New Roman"/>
          <w:sz w:val="20"/>
          <w:szCs w:val="20"/>
        </w:rPr>
        <w:t xml:space="preserve">women-owned.  </w:t>
      </w:r>
      <w:r w:rsidRPr="005131C3">
        <w:rPr>
          <w:rFonts w:ascii="Times New Roman" w:hAnsi="Times New Roman"/>
          <w:sz w:val="20"/>
          <w:szCs w:val="20"/>
        </w:rPr>
        <w:t xml:space="preserve">Since its launch in 2013, YouthConnekt helped </w:t>
      </w:r>
      <w:r w:rsidR="00F60A98">
        <w:rPr>
          <w:rFonts w:ascii="Times New Roman" w:hAnsi="Times New Roman"/>
          <w:sz w:val="20"/>
          <w:szCs w:val="20"/>
        </w:rPr>
        <w:t>4</w:t>
      </w:r>
      <w:r w:rsidR="00F60A98" w:rsidRPr="005131C3">
        <w:rPr>
          <w:rFonts w:ascii="Times New Roman" w:hAnsi="Times New Roman"/>
          <w:sz w:val="20"/>
          <w:szCs w:val="20"/>
        </w:rPr>
        <w:t xml:space="preserve"> </w:t>
      </w:r>
      <w:r w:rsidRPr="005131C3">
        <w:rPr>
          <w:rFonts w:ascii="Times New Roman" w:hAnsi="Times New Roman"/>
          <w:sz w:val="20"/>
          <w:szCs w:val="20"/>
        </w:rPr>
        <w:t xml:space="preserve">million young people </w:t>
      </w:r>
      <w:r w:rsidR="00E442DD">
        <w:rPr>
          <w:rFonts w:ascii="Times New Roman" w:hAnsi="Times New Roman"/>
          <w:sz w:val="20"/>
          <w:szCs w:val="20"/>
        </w:rPr>
        <w:t xml:space="preserve">to participate </w:t>
      </w:r>
      <w:r w:rsidRPr="005131C3">
        <w:rPr>
          <w:rFonts w:ascii="Times New Roman" w:hAnsi="Times New Roman"/>
          <w:sz w:val="20"/>
          <w:szCs w:val="20"/>
        </w:rPr>
        <w:t xml:space="preserve">actively </w:t>
      </w:r>
      <w:r w:rsidR="00C95A4C" w:rsidRPr="005131C3">
        <w:rPr>
          <w:rFonts w:ascii="Times New Roman" w:hAnsi="Times New Roman"/>
          <w:sz w:val="20"/>
          <w:szCs w:val="20"/>
        </w:rPr>
        <w:t>in</w:t>
      </w:r>
      <w:r w:rsidRPr="005131C3">
        <w:rPr>
          <w:rFonts w:ascii="Times New Roman" w:hAnsi="Times New Roman"/>
          <w:sz w:val="20"/>
          <w:szCs w:val="20"/>
        </w:rPr>
        <w:t xml:space="preserve"> </w:t>
      </w:r>
      <w:r w:rsidRPr="00E34290">
        <w:rPr>
          <w:rFonts w:ascii="Times New Roman" w:hAnsi="Times New Roman"/>
          <w:sz w:val="20"/>
          <w:szCs w:val="20"/>
        </w:rPr>
        <w:t>Rwanda’s</w:t>
      </w:r>
      <w:r w:rsidRPr="005131C3">
        <w:rPr>
          <w:rFonts w:ascii="Times New Roman" w:hAnsi="Times New Roman"/>
          <w:sz w:val="20"/>
          <w:szCs w:val="20"/>
        </w:rPr>
        <w:t xml:space="preserve"> development through job creation, digital innovations, skills development and citizen engagement. In 2017, UNDP and the Government of Rwanda</w:t>
      </w:r>
      <w:r w:rsidRPr="00E34290">
        <w:rPr>
          <w:rFonts w:ascii="Times New Roman" w:hAnsi="Times New Roman"/>
          <w:sz w:val="20"/>
          <w:szCs w:val="20"/>
        </w:rPr>
        <w:t xml:space="preserve"> </w:t>
      </w:r>
      <w:r w:rsidR="00AF7B42" w:rsidRPr="005131C3">
        <w:rPr>
          <w:rFonts w:ascii="Times New Roman" w:hAnsi="Times New Roman"/>
          <w:sz w:val="20"/>
          <w:szCs w:val="20"/>
        </w:rPr>
        <w:t>expanded</w:t>
      </w:r>
      <w:r w:rsidRPr="005131C3">
        <w:rPr>
          <w:rFonts w:ascii="Times New Roman" w:hAnsi="Times New Roman"/>
          <w:sz w:val="20"/>
          <w:szCs w:val="20"/>
        </w:rPr>
        <w:t xml:space="preserve"> the YouthConnekt Initiative </w:t>
      </w:r>
      <w:r w:rsidR="00F60A98">
        <w:rPr>
          <w:rFonts w:ascii="Times New Roman" w:hAnsi="Times New Roman"/>
          <w:sz w:val="20"/>
          <w:szCs w:val="20"/>
        </w:rPr>
        <w:t xml:space="preserve">to </w:t>
      </w:r>
      <w:r w:rsidRPr="00E34290">
        <w:rPr>
          <w:rFonts w:ascii="Times New Roman" w:hAnsi="Times New Roman"/>
          <w:sz w:val="20"/>
          <w:szCs w:val="20"/>
        </w:rPr>
        <w:t>Congo</w:t>
      </w:r>
      <w:r w:rsidRPr="005131C3">
        <w:rPr>
          <w:rFonts w:ascii="Times New Roman" w:hAnsi="Times New Roman"/>
          <w:sz w:val="20"/>
          <w:szCs w:val="20"/>
        </w:rPr>
        <w:t xml:space="preserve">, </w:t>
      </w:r>
      <w:r w:rsidRPr="00E34290">
        <w:rPr>
          <w:rFonts w:ascii="Times New Roman" w:hAnsi="Times New Roman"/>
          <w:sz w:val="20"/>
          <w:szCs w:val="20"/>
        </w:rPr>
        <w:t xml:space="preserve">Democratic Republic of </w:t>
      </w:r>
      <w:r w:rsidR="00F60A98">
        <w:rPr>
          <w:rFonts w:ascii="Times New Roman" w:hAnsi="Times New Roman"/>
          <w:sz w:val="20"/>
          <w:szCs w:val="20"/>
        </w:rPr>
        <w:t xml:space="preserve">the </w:t>
      </w:r>
      <w:r w:rsidRPr="00E34290">
        <w:rPr>
          <w:rFonts w:ascii="Times New Roman" w:hAnsi="Times New Roman"/>
          <w:sz w:val="20"/>
          <w:szCs w:val="20"/>
        </w:rPr>
        <w:t>Congo</w:t>
      </w:r>
      <w:r w:rsidRPr="005131C3">
        <w:rPr>
          <w:rFonts w:ascii="Times New Roman" w:hAnsi="Times New Roman"/>
          <w:sz w:val="20"/>
          <w:szCs w:val="20"/>
        </w:rPr>
        <w:t xml:space="preserve">, </w:t>
      </w:r>
      <w:r w:rsidRPr="00E34290">
        <w:rPr>
          <w:rFonts w:ascii="Times New Roman" w:hAnsi="Times New Roman"/>
          <w:sz w:val="20"/>
          <w:szCs w:val="20"/>
        </w:rPr>
        <w:t>Liberia</w:t>
      </w:r>
      <w:r w:rsidRPr="005131C3">
        <w:rPr>
          <w:rFonts w:ascii="Times New Roman" w:hAnsi="Times New Roman"/>
          <w:sz w:val="20"/>
          <w:szCs w:val="20"/>
        </w:rPr>
        <w:t xml:space="preserve">, </w:t>
      </w:r>
      <w:r w:rsidRPr="00E34290">
        <w:rPr>
          <w:rFonts w:ascii="Times New Roman" w:hAnsi="Times New Roman"/>
          <w:sz w:val="20"/>
          <w:szCs w:val="20"/>
        </w:rPr>
        <w:t>Sierra Leone</w:t>
      </w:r>
      <w:r w:rsidRPr="005131C3">
        <w:rPr>
          <w:rFonts w:ascii="Times New Roman" w:hAnsi="Times New Roman"/>
          <w:sz w:val="20"/>
          <w:szCs w:val="20"/>
        </w:rPr>
        <w:t xml:space="preserve"> and </w:t>
      </w:r>
      <w:r w:rsidRPr="00E34290">
        <w:rPr>
          <w:rFonts w:ascii="Times New Roman" w:hAnsi="Times New Roman"/>
          <w:sz w:val="20"/>
          <w:szCs w:val="20"/>
        </w:rPr>
        <w:t>Uganda</w:t>
      </w:r>
      <w:r w:rsidRPr="005131C3">
        <w:rPr>
          <w:rFonts w:ascii="Times New Roman" w:hAnsi="Times New Roman"/>
          <w:sz w:val="20"/>
          <w:szCs w:val="20"/>
        </w:rPr>
        <w:t xml:space="preserve">.  </w:t>
      </w:r>
    </w:p>
    <w:p w:rsidR="005131C3" w:rsidRPr="00D54000" w:rsidRDefault="005131C3" w:rsidP="00E41B2E">
      <w:pPr>
        <w:pStyle w:val="ListParagraph"/>
        <w:shd w:val="clear" w:color="auto" w:fill="FFFFFF"/>
        <w:tabs>
          <w:tab w:val="left" w:pos="1080"/>
        </w:tabs>
        <w:spacing w:after="0" w:line="0" w:lineRule="atLeast"/>
        <w:jc w:val="both"/>
        <w:rPr>
          <w:rFonts w:ascii="Times New Roman" w:hAnsi="Times New Roman"/>
          <w:sz w:val="12"/>
          <w:szCs w:val="12"/>
        </w:rPr>
      </w:pPr>
    </w:p>
    <w:p w:rsidR="005131C3" w:rsidRPr="00BB06AF" w:rsidRDefault="00D6176C" w:rsidP="00E41B2E">
      <w:pPr>
        <w:pStyle w:val="ListParagraph"/>
        <w:numPr>
          <w:ilvl w:val="0"/>
          <w:numId w:val="11"/>
        </w:numPr>
        <w:tabs>
          <w:tab w:val="left" w:pos="450"/>
          <w:tab w:val="left" w:pos="1080"/>
        </w:tabs>
        <w:spacing w:after="0" w:line="240" w:lineRule="auto"/>
        <w:ind w:firstLine="0"/>
        <w:contextualSpacing w:val="0"/>
        <w:jc w:val="both"/>
        <w:rPr>
          <w:rFonts w:ascii="Times New Roman" w:hAnsi="Times New Roman"/>
          <w:sz w:val="20"/>
          <w:szCs w:val="20"/>
        </w:rPr>
      </w:pPr>
      <w:r w:rsidRPr="00F60A98">
        <w:rPr>
          <w:rFonts w:ascii="Times New Roman" w:hAnsi="Times New Roman"/>
          <w:sz w:val="20"/>
          <w:szCs w:val="20"/>
        </w:rPr>
        <w:t xml:space="preserve">UNDP supported 56 countries to access $285.5 million from vertical funds and bilateral donors for climate change mitigation, adaptation and supportive initiatives that contributed to meeting </w:t>
      </w:r>
      <w:r w:rsidR="00F60A98">
        <w:rPr>
          <w:rFonts w:ascii="Times New Roman" w:hAnsi="Times New Roman"/>
          <w:sz w:val="20"/>
          <w:szCs w:val="20"/>
        </w:rPr>
        <w:t>n</w:t>
      </w:r>
      <w:r w:rsidR="00F60A98" w:rsidRPr="00F60A98">
        <w:rPr>
          <w:rFonts w:ascii="Times New Roman" w:hAnsi="Times New Roman"/>
          <w:sz w:val="20"/>
          <w:szCs w:val="20"/>
        </w:rPr>
        <w:t xml:space="preserve">ationally </w:t>
      </w:r>
      <w:r w:rsidR="00F60A98">
        <w:rPr>
          <w:rFonts w:ascii="Times New Roman" w:hAnsi="Times New Roman"/>
          <w:sz w:val="20"/>
          <w:szCs w:val="20"/>
        </w:rPr>
        <w:t>d</w:t>
      </w:r>
      <w:r w:rsidR="00F60A98" w:rsidRPr="00F60A98">
        <w:rPr>
          <w:rFonts w:ascii="Times New Roman" w:hAnsi="Times New Roman"/>
          <w:sz w:val="20"/>
          <w:szCs w:val="20"/>
        </w:rPr>
        <w:t xml:space="preserve">etermined </w:t>
      </w:r>
      <w:r w:rsidR="00F60A98">
        <w:rPr>
          <w:rFonts w:ascii="Times New Roman" w:hAnsi="Times New Roman"/>
          <w:sz w:val="20"/>
          <w:szCs w:val="20"/>
        </w:rPr>
        <w:t>c</w:t>
      </w:r>
      <w:r w:rsidR="00F60A98" w:rsidRPr="00F60A98">
        <w:rPr>
          <w:rFonts w:ascii="Times New Roman" w:hAnsi="Times New Roman"/>
          <w:sz w:val="20"/>
          <w:szCs w:val="20"/>
        </w:rPr>
        <w:t xml:space="preserve">ontribution </w:t>
      </w:r>
      <w:r w:rsidRPr="00F60A98">
        <w:rPr>
          <w:rFonts w:ascii="Times New Roman" w:hAnsi="Times New Roman"/>
          <w:sz w:val="20"/>
          <w:szCs w:val="20"/>
        </w:rPr>
        <w:t xml:space="preserve">(NDC) targets. UNDP supported </w:t>
      </w:r>
      <w:r w:rsidR="00F60A98">
        <w:rPr>
          <w:rFonts w:ascii="Times New Roman" w:hAnsi="Times New Roman"/>
          <w:sz w:val="20"/>
          <w:szCs w:val="20"/>
        </w:rPr>
        <w:t>n</w:t>
      </w:r>
      <w:r w:rsidR="00F60A98" w:rsidRPr="00F60A98">
        <w:rPr>
          <w:rFonts w:ascii="Times New Roman" w:hAnsi="Times New Roman"/>
          <w:sz w:val="20"/>
          <w:szCs w:val="20"/>
        </w:rPr>
        <w:t xml:space="preserve">ational </w:t>
      </w:r>
      <w:r w:rsidR="00F60A98">
        <w:rPr>
          <w:rFonts w:ascii="Times New Roman" w:hAnsi="Times New Roman"/>
          <w:sz w:val="20"/>
          <w:szCs w:val="20"/>
        </w:rPr>
        <w:t>a</w:t>
      </w:r>
      <w:r w:rsidR="00F60A98" w:rsidRPr="00F60A98">
        <w:rPr>
          <w:rFonts w:ascii="Times New Roman" w:hAnsi="Times New Roman"/>
          <w:sz w:val="20"/>
          <w:szCs w:val="20"/>
        </w:rPr>
        <w:t xml:space="preserve">daptation </w:t>
      </w:r>
      <w:r w:rsidR="00F60A98">
        <w:rPr>
          <w:rFonts w:ascii="Times New Roman" w:hAnsi="Times New Roman"/>
          <w:sz w:val="20"/>
          <w:szCs w:val="20"/>
        </w:rPr>
        <w:t>p</w:t>
      </w:r>
      <w:r w:rsidR="00F60A98" w:rsidRPr="00F60A98">
        <w:rPr>
          <w:rFonts w:ascii="Times New Roman" w:hAnsi="Times New Roman"/>
          <w:sz w:val="20"/>
          <w:szCs w:val="20"/>
        </w:rPr>
        <w:t>lans</w:t>
      </w:r>
      <w:r w:rsidRPr="00F60A98">
        <w:rPr>
          <w:rFonts w:ascii="Times New Roman" w:hAnsi="Times New Roman"/>
          <w:sz w:val="20"/>
          <w:szCs w:val="20"/>
        </w:rPr>
        <w:t xml:space="preserve"> in 48 countries to strengthen medium</w:t>
      </w:r>
      <w:r w:rsidR="00F60A98">
        <w:rPr>
          <w:rFonts w:ascii="Times New Roman" w:hAnsi="Times New Roman"/>
          <w:sz w:val="20"/>
          <w:szCs w:val="20"/>
        </w:rPr>
        <w:t>-</w:t>
      </w:r>
      <w:r w:rsidRPr="00F60A98">
        <w:rPr>
          <w:rFonts w:ascii="Times New Roman" w:hAnsi="Times New Roman"/>
          <w:sz w:val="20"/>
          <w:szCs w:val="20"/>
        </w:rPr>
        <w:t xml:space="preserve"> to long-term climate change adaptation planning and </w:t>
      </w:r>
      <w:r w:rsidRPr="00BB06AF">
        <w:rPr>
          <w:rFonts w:ascii="Times New Roman" w:hAnsi="Times New Roman"/>
          <w:sz w:val="20"/>
          <w:szCs w:val="20"/>
        </w:rPr>
        <w:t xml:space="preserve">budgeting. Actions were complemented by activities that strengthened institutional frameworks and transparency mechanisms and established NDC implementation plans.  Lessons indicate </w:t>
      </w:r>
      <w:r w:rsidR="00F60A98">
        <w:rPr>
          <w:rFonts w:ascii="Times New Roman" w:hAnsi="Times New Roman"/>
          <w:sz w:val="20"/>
          <w:szCs w:val="20"/>
        </w:rPr>
        <w:t xml:space="preserve">that financing is </w:t>
      </w:r>
      <w:r w:rsidRPr="00BB06AF">
        <w:rPr>
          <w:rFonts w:ascii="Times New Roman" w:hAnsi="Times New Roman"/>
          <w:sz w:val="20"/>
          <w:szCs w:val="20"/>
        </w:rPr>
        <w:t xml:space="preserve">the most critical issue </w:t>
      </w:r>
      <w:r w:rsidR="00F60A98">
        <w:rPr>
          <w:rFonts w:ascii="Times New Roman" w:hAnsi="Times New Roman"/>
          <w:sz w:val="20"/>
          <w:szCs w:val="20"/>
        </w:rPr>
        <w:t xml:space="preserve">facing </w:t>
      </w:r>
      <w:r w:rsidRPr="00BB06AF">
        <w:rPr>
          <w:rFonts w:ascii="Times New Roman" w:hAnsi="Times New Roman"/>
          <w:sz w:val="20"/>
          <w:szCs w:val="20"/>
        </w:rPr>
        <w:t>countries</w:t>
      </w:r>
      <w:r w:rsidR="00F60A98">
        <w:rPr>
          <w:rFonts w:ascii="Times New Roman" w:hAnsi="Times New Roman"/>
          <w:sz w:val="20"/>
          <w:szCs w:val="20"/>
        </w:rPr>
        <w:t xml:space="preserve">, </w:t>
      </w:r>
      <w:r w:rsidRPr="00BB06AF">
        <w:rPr>
          <w:rFonts w:ascii="Times New Roman" w:hAnsi="Times New Roman"/>
          <w:sz w:val="20"/>
          <w:szCs w:val="20"/>
        </w:rPr>
        <w:t xml:space="preserve">not only </w:t>
      </w:r>
      <w:r w:rsidR="00F60A98">
        <w:rPr>
          <w:rFonts w:ascii="Times New Roman" w:hAnsi="Times New Roman"/>
          <w:sz w:val="20"/>
          <w:szCs w:val="20"/>
        </w:rPr>
        <w:t xml:space="preserve">for </w:t>
      </w:r>
      <w:r w:rsidRPr="00BB06AF">
        <w:rPr>
          <w:rFonts w:ascii="Times New Roman" w:hAnsi="Times New Roman"/>
          <w:sz w:val="20"/>
          <w:szCs w:val="20"/>
        </w:rPr>
        <w:t xml:space="preserve">costing and assessing needs but accessing “transformational” finance that shifts sectors and pivots economies. Under the </w:t>
      </w:r>
      <w:r w:rsidR="00F60A98">
        <w:rPr>
          <w:rFonts w:ascii="Times New Roman" w:hAnsi="Times New Roman"/>
          <w:sz w:val="20"/>
          <w:szCs w:val="20"/>
        </w:rPr>
        <w:t>S</w:t>
      </w:r>
      <w:r w:rsidRPr="00BB06AF">
        <w:rPr>
          <w:rFonts w:ascii="Times New Roman" w:hAnsi="Times New Roman"/>
          <w:sz w:val="20"/>
          <w:szCs w:val="20"/>
        </w:rPr>
        <w:t xml:space="preserve">trategic </w:t>
      </w:r>
      <w:r w:rsidR="00F60A98">
        <w:rPr>
          <w:rFonts w:ascii="Times New Roman" w:hAnsi="Times New Roman"/>
          <w:sz w:val="20"/>
          <w:szCs w:val="20"/>
        </w:rPr>
        <w:t>P</w:t>
      </w:r>
      <w:r w:rsidRPr="00BB06AF">
        <w:rPr>
          <w:rFonts w:ascii="Times New Roman" w:hAnsi="Times New Roman"/>
          <w:sz w:val="20"/>
          <w:szCs w:val="20"/>
        </w:rPr>
        <w:t>lan</w:t>
      </w:r>
      <w:r w:rsidR="00F60A98">
        <w:rPr>
          <w:rFonts w:ascii="Times New Roman" w:hAnsi="Times New Roman"/>
          <w:sz w:val="20"/>
          <w:szCs w:val="20"/>
        </w:rPr>
        <w:t>, 2018-2021</w:t>
      </w:r>
      <w:r w:rsidRPr="00BB06AF">
        <w:rPr>
          <w:rFonts w:ascii="Times New Roman" w:hAnsi="Times New Roman"/>
          <w:sz w:val="20"/>
          <w:szCs w:val="20"/>
        </w:rPr>
        <w:t xml:space="preserve"> UNDP will continue to help countries access, combine and sequence funding to meet NDC targets.</w:t>
      </w:r>
    </w:p>
    <w:p w:rsidR="005131C3" w:rsidRPr="00D54000" w:rsidRDefault="00D6176C" w:rsidP="00E41B2E">
      <w:pPr>
        <w:pStyle w:val="ListParagraph"/>
        <w:tabs>
          <w:tab w:val="left" w:pos="1080"/>
        </w:tabs>
        <w:rPr>
          <w:rFonts w:ascii="Times New Roman" w:hAnsi="Times New Roman"/>
          <w:sz w:val="12"/>
          <w:szCs w:val="12"/>
        </w:rPr>
      </w:pPr>
      <w:r w:rsidRPr="00BB06AF">
        <w:rPr>
          <w:rFonts w:ascii="Times New Roman" w:hAnsi="Times New Roman"/>
          <w:sz w:val="20"/>
          <w:szCs w:val="20"/>
        </w:rPr>
        <w:t xml:space="preserve"> </w:t>
      </w:r>
    </w:p>
    <w:p w:rsidR="00D6176C" w:rsidRPr="00BB06AF" w:rsidRDefault="001D02B5" w:rsidP="00E41B2E">
      <w:pPr>
        <w:pStyle w:val="ListParagraph"/>
        <w:numPr>
          <w:ilvl w:val="0"/>
          <w:numId w:val="11"/>
        </w:numPr>
        <w:tabs>
          <w:tab w:val="left" w:pos="450"/>
          <w:tab w:val="left" w:pos="1080"/>
        </w:tabs>
        <w:spacing w:after="0" w:line="0" w:lineRule="atLeast"/>
        <w:ind w:firstLine="0"/>
        <w:jc w:val="both"/>
        <w:rPr>
          <w:rFonts w:ascii="Times New Roman" w:eastAsiaTheme="minorEastAsia" w:hAnsi="Times New Roman"/>
          <w:sz w:val="20"/>
          <w:szCs w:val="20"/>
        </w:rPr>
      </w:pPr>
      <w:r>
        <w:rPr>
          <w:rFonts w:ascii="Times New Roman" w:hAnsi="Times New Roman"/>
          <w:sz w:val="20"/>
          <w:szCs w:val="20"/>
        </w:rPr>
        <w:t xml:space="preserve">UNDP supported </w:t>
      </w:r>
      <w:r w:rsidR="00324BC4" w:rsidRPr="00BB06AF">
        <w:rPr>
          <w:rFonts w:ascii="Times New Roman" w:hAnsi="Times New Roman"/>
          <w:sz w:val="20"/>
          <w:szCs w:val="20"/>
        </w:rPr>
        <w:t>840 vertical fund projects in 141</w:t>
      </w:r>
      <w:r w:rsidR="00D6176C" w:rsidRPr="00BB06AF">
        <w:rPr>
          <w:rFonts w:ascii="Times New Roman" w:hAnsi="Times New Roman"/>
          <w:sz w:val="20"/>
          <w:szCs w:val="20"/>
        </w:rPr>
        <w:t xml:space="preserve"> countries, representing an</w:t>
      </w:r>
      <w:r w:rsidR="00324BC4" w:rsidRPr="00BB06AF">
        <w:rPr>
          <w:rFonts w:ascii="Times New Roman" w:hAnsi="Times New Roman"/>
          <w:sz w:val="20"/>
          <w:szCs w:val="20"/>
        </w:rPr>
        <w:t xml:space="preserve"> investment of $3.6</w:t>
      </w:r>
      <w:r w:rsidR="00D6176C" w:rsidRPr="00BB06AF">
        <w:rPr>
          <w:rFonts w:ascii="Times New Roman" w:hAnsi="Times New Roman"/>
          <w:sz w:val="20"/>
          <w:szCs w:val="20"/>
        </w:rPr>
        <w:t xml:space="preserve"> billion. Grants helped secure an additional</w:t>
      </w:r>
      <w:r w:rsidR="00324BC4" w:rsidRPr="00BB06AF">
        <w:rPr>
          <w:rFonts w:ascii="Times New Roman" w:hAnsi="Times New Roman"/>
          <w:sz w:val="20"/>
          <w:szCs w:val="20"/>
        </w:rPr>
        <w:t xml:space="preserve"> $15</w:t>
      </w:r>
      <w:r w:rsidR="00D6176C" w:rsidRPr="00BB06AF">
        <w:rPr>
          <w:rFonts w:ascii="Times New Roman" w:hAnsi="Times New Roman"/>
          <w:sz w:val="20"/>
          <w:szCs w:val="20"/>
        </w:rPr>
        <w:t xml:space="preserve"> billion in co-financing. Overall,</w:t>
      </w:r>
      <w:r w:rsidR="00324BC4" w:rsidRPr="00BB06AF">
        <w:rPr>
          <w:rFonts w:ascii="Times New Roman" w:hAnsi="Times New Roman"/>
          <w:sz w:val="20"/>
          <w:szCs w:val="20"/>
        </w:rPr>
        <w:t xml:space="preserve"> $18.6</w:t>
      </w:r>
      <w:r w:rsidR="00D6176C" w:rsidRPr="00BB06AF">
        <w:rPr>
          <w:rFonts w:ascii="Times New Roman" w:hAnsi="Times New Roman"/>
          <w:sz w:val="20"/>
          <w:szCs w:val="20"/>
        </w:rPr>
        <w:t xml:space="preserve"> billion was invested in national environment and sustainable development priorities. Between 2014</w:t>
      </w:r>
      <w:r w:rsidR="00F60A98">
        <w:rPr>
          <w:rFonts w:ascii="Times New Roman" w:hAnsi="Times New Roman"/>
          <w:sz w:val="20"/>
          <w:szCs w:val="20"/>
        </w:rPr>
        <w:t xml:space="preserve"> and </w:t>
      </w:r>
      <w:r w:rsidR="00D6176C" w:rsidRPr="00BB06AF">
        <w:rPr>
          <w:rFonts w:ascii="Times New Roman" w:hAnsi="Times New Roman"/>
          <w:sz w:val="20"/>
          <w:szCs w:val="20"/>
        </w:rPr>
        <w:t>2017, UNDP</w:t>
      </w:r>
      <w:r w:rsidR="00140D1D">
        <w:rPr>
          <w:rFonts w:ascii="Times New Roman" w:hAnsi="Times New Roman"/>
          <w:sz w:val="20"/>
          <w:szCs w:val="20"/>
        </w:rPr>
        <w:t xml:space="preserve">-supported </w:t>
      </w:r>
      <w:r w:rsidR="00F60A98">
        <w:rPr>
          <w:rFonts w:ascii="Times New Roman" w:hAnsi="Times New Roman"/>
          <w:sz w:val="20"/>
          <w:szCs w:val="20"/>
        </w:rPr>
        <w:t xml:space="preserve">projects financed by the </w:t>
      </w:r>
      <w:r w:rsidR="00D6176C" w:rsidRPr="00F60A98">
        <w:rPr>
          <w:rFonts w:ascii="Times New Roman" w:hAnsi="Times New Roman"/>
          <w:sz w:val="20"/>
          <w:szCs w:val="20"/>
        </w:rPr>
        <w:t>Global Environment Facility</w:t>
      </w:r>
      <w:r w:rsidR="00D6176C" w:rsidRPr="00BB06AF">
        <w:rPr>
          <w:rFonts w:ascii="Times New Roman" w:hAnsi="Times New Roman"/>
          <w:sz w:val="20"/>
          <w:szCs w:val="20"/>
        </w:rPr>
        <w:t xml:space="preserve"> helped 1.4 billion people benefit from integrated water resource management measures across 27 transboundary waterbodies. More than 223 million people benefited from improved ecosystem services that sustained and protected their livelihoods, 27.6 million people profited from climate resilient livelihoods and risk management measures, and 6 million people from sustainable energy solutions and/or improved energy efficiency. In 2017, UNDP assisted </w:t>
      </w:r>
      <w:r w:rsidR="00D6176C" w:rsidRPr="008C5CB0">
        <w:rPr>
          <w:rFonts w:ascii="Times New Roman" w:hAnsi="Times New Roman"/>
          <w:sz w:val="20"/>
          <w:szCs w:val="20"/>
        </w:rPr>
        <w:t xml:space="preserve">Bosnia and Herzegovina, Colombia and Egypt </w:t>
      </w:r>
      <w:r w:rsidR="00D6176C" w:rsidRPr="00BB06AF">
        <w:rPr>
          <w:rFonts w:ascii="Times New Roman" w:hAnsi="Times New Roman"/>
          <w:sz w:val="20"/>
          <w:szCs w:val="20"/>
        </w:rPr>
        <w:t xml:space="preserve">in accessing $87.2 million to address climate change risks and reduce emissions, bringing the total number of UNDP-supported </w:t>
      </w:r>
      <w:r w:rsidR="00A7499B" w:rsidRPr="008C5CB0">
        <w:rPr>
          <w:rFonts w:ascii="Times New Roman" w:hAnsi="Times New Roman"/>
          <w:sz w:val="20"/>
          <w:szCs w:val="20"/>
        </w:rPr>
        <w:t>Global Climate Fund</w:t>
      </w:r>
      <w:r w:rsidR="00D6176C" w:rsidRPr="00BB06AF">
        <w:rPr>
          <w:rFonts w:ascii="Times New Roman" w:hAnsi="Times New Roman"/>
          <w:sz w:val="20"/>
          <w:szCs w:val="20"/>
        </w:rPr>
        <w:t xml:space="preserve"> proposals to 14 (worth $435 million). These projects are expected to increase resilience to climate change for 4.5 million direct and 65.7 million indirect beneficiaries while avoiding 22.5 million tons in </w:t>
      </w:r>
      <w:r w:rsidR="008C5CB0">
        <w:rPr>
          <w:rFonts w:ascii="Times New Roman" w:hAnsi="Times New Roman"/>
          <w:sz w:val="20"/>
          <w:szCs w:val="20"/>
        </w:rPr>
        <w:t>carbon dioxide</w:t>
      </w:r>
      <w:r w:rsidR="00D6176C" w:rsidRPr="00BB06AF">
        <w:rPr>
          <w:rFonts w:ascii="Times New Roman" w:hAnsi="Times New Roman"/>
          <w:sz w:val="20"/>
          <w:szCs w:val="20"/>
        </w:rPr>
        <w:t xml:space="preserve"> emissions. </w:t>
      </w:r>
      <w:r w:rsidR="00A13603" w:rsidRPr="00BB06AF">
        <w:rPr>
          <w:rFonts w:ascii="Times New Roman" w:hAnsi="Times New Roman"/>
          <w:sz w:val="20"/>
          <w:szCs w:val="20"/>
        </w:rPr>
        <w:t>From 2014</w:t>
      </w:r>
      <w:r w:rsidR="008C5CB0">
        <w:rPr>
          <w:rFonts w:ascii="Times New Roman" w:hAnsi="Times New Roman"/>
          <w:sz w:val="20"/>
          <w:szCs w:val="20"/>
        </w:rPr>
        <w:t xml:space="preserve"> to </w:t>
      </w:r>
      <w:r w:rsidR="00A13603" w:rsidRPr="00BB06AF">
        <w:rPr>
          <w:rFonts w:ascii="Times New Roman" w:hAnsi="Times New Roman"/>
          <w:sz w:val="20"/>
          <w:szCs w:val="20"/>
        </w:rPr>
        <w:t xml:space="preserve">2017, UNDP supported 49 countries to access $152 million from the </w:t>
      </w:r>
      <w:r w:rsidR="00A13603" w:rsidRPr="008C5CB0">
        <w:rPr>
          <w:rFonts w:ascii="Times New Roman" w:hAnsi="Times New Roman"/>
          <w:sz w:val="20"/>
          <w:szCs w:val="20"/>
        </w:rPr>
        <w:t>Multilateral Fund for the Implementation of the Montreal Protocol</w:t>
      </w:r>
      <w:r w:rsidR="00A13603" w:rsidRPr="00BB06AF">
        <w:rPr>
          <w:rFonts w:ascii="Times New Roman" w:hAnsi="Times New Roman"/>
          <w:sz w:val="20"/>
          <w:szCs w:val="20"/>
        </w:rPr>
        <w:t xml:space="preserve"> to protect the ozone layer and global climate, which will enable these countries to phase out 10,090 metric tonnes of </w:t>
      </w:r>
      <w:r w:rsidR="008C5CB0">
        <w:rPr>
          <w:rFonts w:ascii="Times New Roman" w:hAnsi="Times New Roman"/>
          <w:sz w:val="20"/>
          <w:szCs w:val="20"/>
        </w:rPr>
        <w:t>h</w:t>
      </w:r>
      <w:r w:rsidR="008C5CB0" w:rsidRPr="00BB06AF">
        <w:rPr>
          <w:rFonts w:ascii="Times New Roman" w:hAnsi="Times New Roman"/>
          <w:sz w:val="20"/>
          <w:szCs w:val="20"/>
        </w:rPr>
        <w:t xml:space="preserve">ydrochlorofluorocarbons </w:t>
      </w:r>
      <w:r w:rsidR="00A13603" w:rsidRPr="00BB06AF">
        <w:rPr>
          <w:rFonts w:ascii="Times New Roman" w:hAnsi="Times New Roman"/>
          <w:sz w:val="20"/>
          <w:szCs w:val="20"/>
        </w:rPr>
        <w:t xml:space="preserve">while avoiding 40.6 million tons in </w:t>
      </w:r>
      <w:r w:rsidR="008C5CB0">
        <w:rPr>
          <w:rFonts w:ascii="Times New Roman" w:hAnsi="Times New Roman"/>
          <w:sz w:val="20"/>
          <w:szCs w:val="20"/>
        </w:rPr>
        <w:t>carbon dioxide</w:t>
      </w:r>
      <w:r w:rsidR="00A13603" w:rsidRPr="00BB06AF">
        <w:rPr>
          <w:rFonts w:ascii="Times New Roman" w:hAnsi="Times New Roman"/>
          <w:sz w:val="20"/>
          <w:szCs w:val="20"/>
        </w:rPr>
        <w:t>-eq</w:t>
      </w:r>
      <w:r w:rsidR="008C5CB0">
        <w:rPr>
          <w:rFonts w:ascii="Times New Roman" w:hAnsi="Times New Roman"/>
          <w:sz w:val="20"/>
          <w:szCs w:val="20"/>
        </w:rPr>
        <w:t>uivalent</w:t>
      </w:r>
      <w:r w:rsidR="00A13603" w:rsidRPr="00BB06AF">
        <w:rPr>
          <w:rFonts w:ascii="Times New Roman" w:hAnsi="Times New Roman"/>
          <w:sz w:val="20"/>
          <w:szCs w:val="20"/>
        </w:rPr>
        <w:t xml:space="preserve"> emissions. In 2017, UNDP assisted 16 countries to access fast start funding to support early ratification of the Kigali Amendment on Hydrofluorocarbons (HFCs) and pilot HFC phase</w:t>
      </w:r>
      <w:r w:rsidR="008C5CB0">
        <w:rPr>
          <w:rFonts w:ascii="Times New Roman" w:hAnsi="Times New Roman"/>
          <w:sz w:val="20"/>
          <w:szCs w:val="20"/>
        </w:rPr>
        <w:t>-</w:t>
      </w:r>
      <w:r w:rsidR="00A13603" w:rsidRPr="00BB06AF">
        <w:rPr>
          <w:rFonts w:ascii="Times New Roman" w:hAnsi="Times New Roman"/>
          <w:sz w:val="20"/>
          <w:szCs w:val="20"/>
        </w:rPr>
        <w:t xml:space="preserve">down projects.  </w:t>
      </w:r>
    </w:p>
    <w:p w:rsidR="00E41B2E" w:rsidRDefault="00E41B2E">
      <w:pPr>
        <w:spacing w:after="0" w:line="240" w:lineRule="auto"/>
        <w:rPr>
          <w:rFonts w:ascii="Times New Roman" w:hAnsi="Times New Roman"/>
          <w:b/>
          <w:sz w:val="24"/>
          <w:szCs w:val="20"/>
        </w:rPr>
      </w:pPr>
      <w:r>
        <w:rPr>
          <w:rFonts w:ascii="Times New Roman" w:hAnsi="Times New Roman"/>
          <w:b/>
          <w:sz w:val="24"/>
          <w:szCs w:val="20"/>
        </w:rPr>
        <w:br w:type="page"/>
      </w:r>
    </w:p>
    <w:p w:rsidR="00D6176C" w:rsidRPr="003F5460" w:rsidRDefault="00D6176C" w:rsidP="00684775">
      <w:pPr>
        <w:spacing w:after="120" w:line="240" w:lineRule="auto"/>
        <w:jc w:val="both"/>
        <w:rPr>
          <w:rFonts w:ascii="Times New Roman" w:hAnsi="Times New Roman"/>
          <w:b/>
          <w:sz w:val="24"/>
          <w:szCs w:val="20"/>
        </w:rPr>
      </w:pPr>
      <w:r w:rsidRPr="003F5460">
        <w:rPr>
          <w:rFonts w:ascii="Times New Roman" w:hAnsi="Times New Roman"/>
          <w:b/>
          <w:sz w:val="24"/>
          <w:szCs w:val="20"/>
        </w:rPr>
        <w:lastRenderedPageBreak/>
        <w:t>Outcome 2. Stronger democratic governance to meet citizens’ expectations</w:t>
      </w:r>
    </w:p>
    <w:tbl>
      <w:tblPr>
        <w:tblW w:w="94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1"/>
        <w:gridCol w:w="1847"/>
        <w:gridCol w:w="943"/>
        <w:gridCol w:w="943"/>
        <w:gridCol w:w="943"/>
        <w:gridCol w:w="988"/>
        <w:gridCol w:w="988"/>
        <w:gridCol w:w="1165"/>
        <w:gridCol w:w="1165"/>
      </w:tblGrid>
      <w:tr w:rsidR="00D6176C" w:rsidRPr="00EE7DC1" w:rsidTr="005B6C71">
        <w:trPr>
          <w:trHeight w:val="303"/>
        </w:trPr>
        <w:tc>
          <w:tcPr>
            <w:tcW w:w="2278" w:type="dxa"/>
            <w:gridSpan w:val="2"/>
            <w:vMerge w:val="restart"/>
            <w:tcBorders>
              <w:top w:val="single" w:sz="12" w:space="0" w:color="auto"/>
            </w:tcBorders>
            <w:shd w:val="clear" w:color="auto" w:fill="F3F3F3"/>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Output</w:t>
            </w:r>
          </w:p>
        </w:tc>
        <w:tc>
          <w:tcPr>
            <w:tcW w:w="3817" w:type="dxa"/>
            <w:gridSpan w:val="4"/>
            <w:tcBorders>
              <w:top w:val="single" w:sz="12" w:space="0" w:color="auto"/>
              <w:bottom w:val="single" w:sz="8" w:space="0" w:color="auto"/>
            </w:tcBorders>
            <w:shd w:val="clear" w:color="auto" w:fill="F3F3F3"/>
            <w:vAlign w:val="bottom"/>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Performance against milestones</w:t>
            </w:r>
          </w:p>
        </w:tc>
        <w:tc>
          <w:tcPr>
            <w:tcW w:w="988" w:type="dxa"/>
            <w:vMerge w:val="restart"/>
            <w:tcBorders>
              <w:top w:val="single" w:sz="12" w:space="0" w:color="auto"/>
            </w:tcBorders>
            <w:shd w:val="clear" w:color="auto" w:fill="F3F3F3"/>
            <w:vAlign w:val="bottom"/>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Number of countries supported</w:t>
            </w:r>
          </w:p>
        </w:tc>
        <w:tc>
          <w:tcPr>
            <w:tcW w:w="1165" w:type="dxa"/>
            <w:vMerge w:val="restart"/>
            <w:tcBorders>
              <w:top w:val="single" w:sz="12"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Proportion of countries achieved target</w:t>
            </w:r>
          </w:p>
        </w:tc>
        <w:tc>
          <w:tcPr>
            <w:tcW w:w="1165" w:type="dxa"/>
            <w:vMerge w:val="restart"/>
            <w:tcBorders>
              <w:top w:val="single" w:sz="12" w:space="0" w:color="auto"/>
            </w:tcBorders>
            <w:shd w:val="clear" w:color="auto" w:fill="F3F3F3"/>
            <w:vAlign w:val="bottom"/>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2017 gender performance vs. overall</w:t>
            </w:r>
          </w:p>
        </w:tc>
      </w:tr>
      <w:tr w:rsidR="00D6176C" w:rsidRPr="00EE7DC1" w:rsidTr="005B6C71">
        <w:trPr>
          <w:trHeight w:val="340"/>
        </w:trPr>
        <w:tc>
          <w:tcPr>
            <w:tcW w:w="2278" w:type="dxa"/>
            <w:gridSpan w:val="2"/>
            <w:vMerge/>
            <w:tcBorders>
              <w:bottom w:val="single" w:sz="6" w:space="0" w:color="auto"/>
            </w:tcBorders>
            <w:shd w:val="clear" w:color="auto" w:fill="F3F3F3"/>
            <w:vAlign w:val="bottom"/>
          </w:tcPr>
          <w:p w:rsidR="00D6176C" w:rsidRPr="00EE7DC1" w:rsidRDefault="00D6176C" w:rsidP="005B6C71">
            <w:pPr>
              <w:spacing w:after="0"/>
              <w:jc w:val="both"/>
              <w:rPr>
                <w:rFonts w:ascii="Times New Roman" w:eastAsia="Times New Roman" w:hAnsi="Times New Roman"/>
                <w:b/>
                <w:bCs/>
                <w:sz w:val="16"/>
                <w:szCs w:val="16"/>
              </w:rPr>
            </w:pPr>
          </w:p>
        </w:tc>
        <w:tc>
          <w:tcPr>
            <w:tcW w:w="943" w:type="dxa"/>
            <w:tcBorders>
              <w:top w:val="single" w:sz="8" w:space="0" w:color="auto"/>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2014</w:t>
            </w:r>
          </w:p>
        </w:tc>
        <w:tc>
          <w:tcPr>
            <w:tcW w:w="943" w:type="dxa"/>
            <w:tcBorders>
              <w:top w:val="single" w:sz="8" w:space="0" w:color="auto"/>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2015</w:t>
            </w:r>
          </w:p>
        </w:tc>
        <w:tc>
          <w:tcPr>
            <w:tcW w:w="943" w:type="dxa"/>
            <w:tcBorders>
              <w:top w:val="single" w:sz="8" w:space="0" w:color="auto"/>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2016</w:t>
            </w:r>
          </w:p>
        </w:tc>
        <w:tc>
          <w:tcPr>
            <w:tcW w:w="988" w:type="dxa"/>
            <w:tcBorders>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2017</w:t>
            </w:r>
          </w:p>
        </w:tc>
        <w:tc>
          <w:tcPr>
            <w:tcW w:w="988" w:type="dxa"/>
            <w:vMerge/>
            <w:tcBorders>
              <w:bottom w:val="single" w:sz="6" w:space="0" w:color="auto"/>
            </w:tcBorders>
            <w:shd w:val="clear" w:color="auto" w:fill="F3F3F3"/>
            <w:vAlign w:val="bottom"/>
          </w:tcPr>
          <w:p w:rsidR="00D6176C" w:rsidRPr="00EE7DC1" w:rsidRDefault="00D6176C" w:rsidP="005B6C71">
            <w:pPr>
              <w:spacing w:after="0"/>
              <w:jc w:val="center"/>
              <w:rPr>
                <w:rFonts w:ascii="Times New Roman" w:eastAsia="Times New Roman" w:hAnsi="Times New Roman"/>
                <w:b/>
                <w:bCs/>
                <w:sz w:val="16"/>
                <w:szCs w:val="16"/>
              </w:rPr>
            </w:pPr>
          </w:p>
        </w:tc>
        <w:tc>
          <w:tcPr>
            <w:tcW w:w="1165" w:type="dxa"/>
            <w:vMerge/>
            <w:tcBorders>
              <w:bottom w:val="single" w:sz="6" w:space="0" w:color="auto"/>
            </w:tcBorders>
            <w:shd w:val="clear" w:color="auto" w:fill="F3F3F3"/>
          </w:tcPr>
          <w:p w:rsidR="00D6176C" w:rsidRPr="00EE7DC1" w:rsidRDefault="00D6176C" w:rsidP="005B6C71">
            <w:pPr>
              <w:spacing w:after="0"/>
              <w:jc w:val="center"/>
              <w:rPr>
                <w:rFonts w:ascii="Times New Roman" w:eastAsia="Times New Roman" w:hAnsi="Times New Roman"/>
                <w:b/>
                <w:bCs/>
                <w:sz w:val="16"/>
                <w:szCs w:val="16"/>
              </w:rPr>
            </w:pPr>
          </w:p>
        </w:tc>
        <w:tc>
          <w:tcPr>
            <w:tcW w:w="1165" w:type="dxa"/>
            <w:vMerge/>
            <w:tcBorders>
              <w:bottom w:val="single" w:sz="6" w:space="0" w:color="auto"/>
            </w:tcBorders>
            <w:shd w:val="clear" w:color="auto" w:fill="F3F3F3"/>
            <w:vAlign w:val="bottom"/>
          </w:tcPr>
          <w:p w:rsidR="00D6176C" w:rsidRPr="00EE7DC1" w:rsidRDefault="00D6176C" w:rsidP="005B6C71">
            <w:pPr>
              <w:spacing w:after="0"/>
              <w:jc w:val="center"/>
              <w:rPr>
                <w:rFonts w:ascii="Times New Roman" w:eastAsia="Times New Roman" w:hAnsi="Times New Roman"/>
                <w:b/>
                <w:bCs/>
                <w:sz w:val="16"/>
                <w:szCs w:val="16"/>
              </w:rPr>
            </w:pPr>
          </w:p>
        </w:tc>
      </w:tr>
      <w:tr w:rsidR="00D6176C" w:rsidRPr="00EE7DC1" w:rsidTr="005B6C71">
        <w:trPr>
          <w:trHeight w:val="255"/>
        </w:trPr>
        <w:tc>
          <w:tcPr>
            <w:tcW w:w="431" w:type="dxa"/>
            <w:tcBorders>
              <w:top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2.1</w:t>
            </w:r>
          </w:p>
        </w:tc>
        <w:tc>
          <w:tcPr>
            <w:tcW w:w="1847" w:type="dxa"/>
            <w:tcBorders>
              <w:top w:val="single" w:sz="6" w:space="0" w:color="auto"/>
            </w:tcBorders>
            <w:shd w:val="clear" w:color="auto" w:fill="auto"/>
            <w:vAlign w:val="center"/>
          </w:tcPr>
          <w:p w:rsidR="00D6176C" w:rsidRPr="00EE7DC1" w:rsidRDefault="00D6176C" w:rsidP="005B6C71">
            <w:pPr>
              <w:spacing w:after="0"/>
              <w:rPr>
                <w:rFonts w:ascii="Times New Roman" w:eastAsia="Times New Roman" w:hAnsi="Times New Roman"/>
                <w:b/>
                <w:bCs/>
                <w:sz w:val="16"/>
                <w:szCs w:val="16"/>
              </w:rPr>
            </w:pPr>
            <w:r w:rsidRPr="00EE7DC1">
              <w:rPr>
                <w:rFonts w:ascii="Times New Roman" w:hAnsi="Times New Roman"/>
                <w:color w:val="000000"/>
                <w:sz w:val="16"/>
                <w:szCs w:val="16"/>
              </w:rPr>
              <w:t>Parliaments, constitution-making bodies and electoral institutions</w:t>
            </w:r>
          </w:p>
        </w:tc>
        <w:tc>
          <w:tcPr>
            <w:tcW w:w="943" w:type="dxa"/>
            <w:tcBorders>
              <w:top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120%</w:t>
            </w:r>
          </w:p>
        </w:tc>
        <w:tc>
          <w:tcPr>
            <w:tcW w:w="943" w:type="dxa"/>
            <w:tcBorders>
              <w:top w:val="single" w:sz="6" w:space="0" w:color="auto"/>
              <w:bottom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104%</w:t>
            </w:r>
          </w:p>
        </w:tc>
        <w:tc>
          <w:tcPr>
            <w:tcW w:w="943" w:type="dxa"/>
            <w:tcBorders>
              <w:top w:val="single" w:sz="6" w:space="0" w:color="auto"/>
              <w:bottom w:val="single" w:sz="6" w:space="0" w:color="auto"/>
            </w:tcBorders>
            <w:shd w:val="clear" w:color="auto" w:fill="FFC00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95%</w:t>
            </w:r>
          </w:p>
        </w:tc>
        <w:tc>
          <w:tcPr>
            <w:tcW w:w="988" w:type="dxa"/>
            <w:tcBorders>
              <w:top w:val="single" w:sz="6" w:space="0" w:color="auto"/>
            </w:tcBorders>
            <w:shd w:val="clear" w:color="auto" w:fill="92D05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113%</w:t>
            </w:r>
          </w:p>
        </w:tc>
        <w:tc>
          <w:tcPr>
            <w:tcW w:w="988" w:type="dxa"/>
            <w:tcBorders>
              <w:top w:val="single" w:sz="6" w:space="0" w:color="auto"/>
            </w:tcBorders>
            <w:shd w:val="clear" w:color="auto" w:fill="auto"/>
            <w:noWrap/>
            <w:vAlign w:val="center"/>
            <w:hideMark/>
          </w:tcPr>
          <w:p w:rsidR="00D6176C" w:rsidRPr="00EE7DC1" w:rsidRDefault="00782554"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88</w:t>
            </w:r>
          </w:p>
        </w:tc>
        <w:tc>
          <w:tcPr>
            <w:tcW w:w="1165" w:type="dxa"/>
            <w:tcBorders>
              <w:top w:val="single" w:sz="6" w:space="0" w:color="auto"/>
            </w:tcBorders>
            <w:vAlign w:val="center"/>
          </w:tcPr>
          <w:p w:rsidR="00D6176C" w:rsidRPr="00EE7DC1" w:rsidRDefault="00D6176C" w:rsidP="005B6C71">
            <w:pPr>
              <w:spacing w:after="0"/>
              <w:jc w:val="center"/>
              <w:rPr>
                <w:rFonts w:ascii="Times New Roman" w:eastAsia="Times New Roman" w:hAnsi="Times New Roman"/>
                <w:b/>
                <w:iCs/>
                <w:color w:val="FF0000"/>
                <w:sz w:val="16"/>
                <w:szCs w:val="16"/>
              </w:rPr>
            </w:pPr>
            <w:r w:rsidRPr="00EE7DC1">
              <w:rPr>
                <w:rFonts w:ascii="Times New Roman" w:hAnsi="Times New Roman"/>
                <w:sz w:val="16"/>
                <w:szCs w:val="16"/>
              </w:rPr>
              <w:t>71%</w:t>
            </w:r>
          </w:p>
        </w:tc>
        <w:tc>
          <w:tcPr>
            <w:tcW w:w="1165" w:type="dxa"/>
            <w:tcBorders>
              <w:top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iCs/>
                <w:color w:val="00B050"/>
                <w:sz w:val="16"/>
                <w:szCs w:val="16"/>
              </w:rPr>
            </w:pPr>
            <w:r w:rsidRPr="00EE7DC1">
              <w:rPr>
                <w:rFonts w:ascii="Times New Roman" w:eastAsia="Times New Roman" w:hAnsi="Times New Roman"/>
                <w:b/>
                <w:iCs/>
                <w:color w:val="FF0000"/>
                <w:sz w:val="16"/>
                <w:szCs w:val="16"/>
              </w:rPr>
              <w:t xml:space="preserve">Lower </w:t>
            </w:r>
            <w:r w:rsidRPr="00EE7DC1">
              <w:rPr>
                <w:rFonts w:ascii="Times New Roman" w:eastAsia="Times New Roman" w:hAnsi="Times New Roman"/>
                <w:iCs/>
                <w:sz w:val="16"/>
                <w:szCs w:val="16"/>
              </w:rPr>
              <w:t>(102%)</w:t>
            </w:r>
          </w:p>
        </w:tc>
      </w:tr>
      <w:tr w:rsidR="00D6176C" w:rsidRPr="00EE7DC1" w:rsidTr="005B6C71">
        <w:trPr>
          <w:trHeight w:val="255"/>
        </w:trPr>
        <w:tc>
          <w:tcPr>
            <w:tcW w:w="431"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2.2</w:t>
            </w:r>
          </w:p>
        </w:tc>
        <w:tc>
          <w:tcPr>
            <w:tcW w:w="1847" w:type="dxa"/>
            <w:shd w:val="clear" w:color="auto" w:fill="auto"/>
            <w:vAlign w:val="center"/>
          </w:tcPr>
          <w:p w:rsidR="00D6176C" w:rsidRPr="00EE7DC1" w:rsidRDefault="00D6176C" w:rsidP="005B6C71">
            <w:pPr>
              <w:spacing w:after="0"/>
              <w:rPr>
                <w:rFonts w:ascii="Times New Roman" w:eastAsia="Times New Roman" w:hAnsi="Times New Roman"/>
                <w:b/>
                <w:bCs/>
                <w:sz w:val="16"/>
                <w:szCs w:val="16"/>
              </w:rPr>
            </w:pPr>
            <w:r w:rsidRPr="00EE7DC1">
              <w:rPr>
                <w:rFonts w:ascii="Times New Roman" w:hAnsi="Times New Roman"/>
                <w:color w:val="000000"/>
                <w:sz w:val="16"/>
                <w:szCs w:val="16"/>
              </w:rPr>
              <w:t>Anti-corruption</w:t>
            </w:r>
          </w:p>
        </w:tc>
        <w:tc>
          <w:tcPr>
            <w:tcW w:w="943" w:type="dxa"/>
            <w:tcBorders>
              <w:bottom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103%</w:t>
            </w:r>
          </w:p>
        </w:tc>
        <w:tc>
          <w:tcPr>
            <w:tcW w:w="943" w:type="dxa"/>
            <w:tcBorders>
              <w:top w:val="single" w:sz="6" w:space="0" w:color="auto"/>
              <w:bottom w:val="single" w:sz="6" w:space="0" w:color="auto"/>
            </w:tcBorders>
            <w:shd w:val="clear" w:color="auto" w:fill="FFC00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97%</w:t>
            </w:r>
          </w:p>
        </w:tc>
        <w:tc>
          <w:tcPr>
            <w:tcW w:w="943" w:type="dxa"/>
            <w:tcBorders>
              <w:top w:val="single" w:sz="6" w:space="0" w:color="auto"/>
              <w:bottom w:val="single" w:sz="6" w:space="0" w:color="auto"/>
            </w:tcBorders>
            <w:shd w:val="clear" w:color="000000" w:fill="82CA3F"/>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103%</w:t>
            </w:r>
          </w:p>
        </w:tc>
        <w:tc>
          <w:tcPr>
            <w:tcW w:w="988" w:type="dxa"/>
            <w:shd w:val="clear" w:color="auto" w:fill="FFC00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96%</w:t>
            </w:r>
          </w:p>
        </w:tc>
        <w:tc>
          <w:tcPr>
            <w:tcW w:w="988" w:type="dxa"/>
            <w:shd w:val="clear" w:color="auto" w:fill="auto"/>
            <w:noWrap/>
            <w:vAlign w:val="center"/>
            <w:hideMark/>
          </w:tcPr>
          <w:p w:rsidR="00D6176C" w:rsidRPr="00EE7DC1" w:rsidRDefault="00782554"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72</w:t>
            </w:r>
          </w:p>
        </w:tc>
        <w:tc>
          <w:tcPr>
            <w:tcW w:w="1165" w:type="dxa"/>
            <w:vAlign w:val="center"/>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hAnsi="Times New Roman"/>
                <w:sz w:val="16"/>
                <w:szCs w:val="16"/>
              </w:rPr>
              <w:t>75%</w:t>
            </w:r>
          </w:p>
        </w:tc>
        <w:tc>
          <w:tcPr>
            <w:tcW w:w="1165"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eastAsia="Times New Roman" w:hAnsi="Times New Roman"/>
                <w:iCs/>
                <w:sz w:val="16"/>
                <w:szCs w:val="16"/>
              </w:rPr>
              <w:t>n/a</w:t>
            </w:r>
          </w:p>
        </w:tc>
      </w:tr>
      <w:tr w:rsidR="00D6176C" w:rsidRPr="00EE7DC1" w:rsidTr="005B6C71">
        <w:trPr>
          <w:trHeight w:val="255"/>
        </w:trPr>
        <w:tc>
          <w:tcPr>
            <w:tcW w:w="431"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2.3</w:t>
            </w:r>
          </w:p>
        </w:tc>
        <w:tc>
          <w:tcPr>
            <w:tcW w:w="1847" w:type="dxa"/>
            <w:shd w:val="clear" w:color="auto" w:fill="auto"/>
            <w:vAlign w:val="center"/>
          </w:tcPr>
          <w:p w:rsidR="00D6176C" w:rsidRPr="00EE7DC1" w:rsidRDefault="00D6176C" w:rsidP="005B6C71">
            <w:pPr>
              <w:spacing w:after="0"/>
              <w:rPr>
                <w:rFonts w:ascii="Times New Roman" w:eastAsia="Times New Roman" w:hAnsi="Times New Roman"/>
                <w:b/>
                <w:bCs/>
                <w:sz w:val="16"/>
                <w:szCs w:val="16"/>
              </w:rPr>
            </w:pPr>
            <w:r w:rsidRPr="00EE7DC1">
              <w:rPr>
                <w:rFonts w:ascii="Times New Roman" w:hAnsi="Times New Roman"/>
                <w:color w:val="000000"/>
                <w:sz w:val="16"/>
                <w:szCs w:val="16"/>
              </w:rPr>
              <w:t>Human rights institutions</w:t>
            </w:r>
          </w:p>
        </w:tc>
        <w:tc>
          <w:tcPr>
            <w:tcW w:w="943" w:type="dxa"/>
            <w:tcBorders>
              <w:top w:val="single" w:sz="6" w:space="0" w:color="auto"/>
              <w:bottom w:val="single" w:sz="6" w:space="0" w:color="auto"/>
            </w:tcBorders>
            <w:shd w:val="clear" w:color="000000" w:fill="82CA3F"/>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109%</w:t>
            </w:r>
          </w:p>
        </w:tc>
        <w:tc>
          <w:tcPr>
            <w:tcW w:w="943" w:type="dxa"/>
            <w:tcBorders>
              <w:top w:val="single" w:sz="6" w:space="0" w:color="auto"/>
              <w:bottom w:val="single" w:sz="6" w:space="0" w:color="auto"/>
            </w:tcBorders>
            <w:shd w:val="clear" w:color="000000" w:fill="82CA3F"/>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106%</w:t>
            </w:r>
          </w:p>
        </w:tc>
        <w:tc>
          <w:tcPr>
            <w:tcW w:w="943" w:type="dxa"/>
            <w:tcBorders>
              <w:top w:val="single" w:sz="6" w:space="0" w:color="auto"/>
            </w:tcBorders>
            <w:shd w:val="clear" w:color="000000" w:fill="FFC00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98%</w:t>
            </w:r>
          </w:p>
        </w:tc>
        <w:tc>
          <w:tcPr>
            <w:tcW w:w="988" w:type="dxa"/>
            <w:shd w:val="clear" w:color="auto" w:fill="FFC00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94%</w:t>
            </w:r>
          </w:p>
        </w:tc>
        <w:tc>
          <w:tcPr>
            <w:tcW w:w="988" w:type="dxa"/>
            <w:shd w:val="clear" w:color="auto" w:fill="auto"/>
            <w:noWrap/>
            <w:vAlign w:val="center"/>
            <w:hideMark/>
          </w:tcPr>
          <w:p w:rsidR="00D6176C" w:rsidRPr="00EE7DC1" w:rsidRDefault="00782554"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58</w:t>
            </w:r>
          </w:p>
        </w:tc>
        <w:tc>
          <w:tcPr>
            <w:tcW w:w="1165" w:type="dxa"/>
            <w:vAlign w:val="center"/>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hAnsi="Times New Roman"/>
                <w:sz w:val="16"/>
                <w:szCs w:val="16"/>
              </w:rPr>
              <w:t>91%</w:t>
            </w:r>
          </w:p>
        </w:tc>
        <w:tc>
          <w:tcPr>
            <w:tcW w:w="1165"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eastAsia="Times New Roman" w:hAnsi="Times New Roman"/>
                <w:iCs/>
                <w:sz w:val="16"/>
                <w:szCs w:val="16"/>
              </w:rPr>
              <w:t>n/a</w:t>
            </w:r>
          </w:p>
        </w:tc>
      </w:tr>
      <w:tr w:rsidR="00D6176C" w:rsidRPr="00EE7DC1" w:rsidTr="005B6C71">
        <w:trPr>
          <w:trHeight w:val="255"/>
        </w:trPr>
        <w:tc>
          <w:tcPr>
            <w:tcW w:w="431"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2.4</w:t>
            </w:r>
          </w:p>
        </w:tc>
        <w:tc>
          <w:tcPr>
            <w:tcW w:w="1847" w:type="dxa"/>
            <w:shd w:val="clear" w:color="auto" w:fill="auto"/>
            <w:vAlign w:val="center"/>
          </w:tcPr>
          <w:p w:rsidR="00D6176C" w:rsidRPr="00EE7DC1" w:rsidRDefault="00D6176C" w:rsidP="005B6C71">
            <w:pPr>
              <w:spacing w:after="0"/>
              <w:rPr>
                <w:rFonts w:ascii="Times New Roman" w:eastAsia="Times New Roman" w:hAnsi="Times New Roman"/>
                <w:b/>
                <w:bCs/>
                <w:sz w:val="16"/>
                <w:szCs w:val="16"/>
              </w:rPr>
            </w:pPr>
            <w:r w:rsidRPr="00EE7DC1">
              <w:rPr>
                <w:rFonts w:ascii="Times New Roman" w:hAnsi="Times New Roman"/>
                <w:color w:val="000000"/>
                <w:sz w:val="16"/>
                <w:szCs w:val="16"/>
              </w:rPr>
              <w:t>Civil society engagement</w:t>
            </w:r>
          </w:p>
        </w:tc>
        <w:tc>
          <w:tcPr>
            <w:tcW w:w="943" w:type="dxa"/>
            <w:tcBorders>
              <w:top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100%</w:t>
            </w:r>
          </w:p>
        </w:tc>
        <w:tc>
          <w:tcPr>
            <w:tcW w:w="943" w:type="dxa"/>
            <w:tcBorders>
              <w:top w:val="single" w:sz="6" w:space="0" w:color="auto"/>
              <w:bottom w:val="single" w:sz="6" w:space="0" w:color="auto"/>
            </w:tcBorders>
            <w:shd w:val="clear" w:color="auto" w:fill="FFC00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95%</w:t>
            </w:r>
          </w:p>
        </w:tc>
        <w:tc>
          <w:tcPr>
            <w:tcW w:w="943" w:type="dxa"/>
            <w:shd w:val="clear" w:color="000000" w:fill="FFC00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90%</w:t>
            </w:r>
          </w:p>
        </w:tc>
        <w:tc>
          <w:tcPr>
            <w:tcW w:w="988" w:type="dxa"/>
            <w:shd w:val="clear" w:color="auto" w:fill="FFC00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94%</w:t>
            </w:r>
          </w:p>
        </w:tc>
        <w:tc>
          <w:tcPr>
            <w:tcW w:w="988" w:type="dxa"/>
            <w:shd w:val="clear" w:color="auto" w:fill="auto"/>
            <w:noWrap/>
            <w:vAlign w:val="center"/>
            <w:hideMark/>
          </w:tcPr>
          <w:p w:rsidR="00D6176C" w:rsidRPr="00EE7DC1" w:rsidRDefault="00782554"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80</w:t>
            </w:r>
          </w:p>
        </w:tc>
        <w:tc>
          <w:tcPr>
            <w:tcW w:w="1165" w:type="dxa"/>
            <w:vAlign w:val="center"/>
          </w:tcPr>
          <w:p w:rsidR="00D6176C" w:rsidRPr="00EE7DC1" w:rsidRDefault="00D6176C" w:rsidP="005B6C71">
            <w:pPr>
              <w:spacing w:after="0"/>
              <w:jc w:val="center"/>
              <w:rPr>
                <w:rFonts w:ascii="Times New Roman" w:eastAsia="Times New Roman" w:hAnsi="Times New Roman"/>
                <w:b/>
                <w:iCs/>
                <w:color w:val="FF0000"/>
                <w:sz w:val="16"/>
                <w:szCs w:val="16"/>
              </w:rPr>
            </w:pPr>
            <w:r w:rsidRPr="00EE7DC1">
              <w:rPr>
                <w:rFonts w:ascii="Times New Roman" w:hAnsi="Times New Roman"/>
                <w:sz w:val="16"/>
                <w:szCs w:val="16"/>
              </w:rPr>
              <w:t>81%</w:t>
            </w:r>
          </w:p>
        </w:tc>
        <w:tc>
          <w:tcPr>
            <w:tcW w:w="1165" w:type="dxa"/>
            <w:shd w:val="clear" w:color="auto" w:fill="auto"/>
            <w:noWrap/>
            <w:vAlign w:val="center"/>
            <w:hideMark/>
          </w:tcPr>
          <w:p w:rsidR="00D6176C" w:rsidRDefault="00D6176C" w:rsidP="005B6C71">
            <w:pPr>
              <w:spacing w:after="0"/>
              <w:jc w:val="center"/>
              <w:rPr>
                <w:rFonts w:ascii="Times New Roman" w:eastAsia="Times New Roman" w:hAnsi="Times New Roman"/>
                <w:iCs/>
                <w:sz w:val="16"/>
                <w:szCs w:val="16"/>
              </w:rPr>
            </w:pPr>
            <w:r w:rsidRPr="00EE7DC1">
              <w:rPr>
                <w:rFonts w:ascii="Times New Roman" w:eastAsia="Times New Roman" w:hAnsi="Times New Roman"/>
                <w:b/>
                <w:iCs/>
                <w:color w:val="FF0000"/>
                <w:sz w:val="16"/>
                <w:szCs w:val="16"/>
              </w:rPr>
              <w:t>Lower</w:t>
            </w:r>
            <w:r w:rsidRPr="00EE7DC1">
              <w:rPr>
                <w:rFonts w:ascii="Times New Roman" w:eastAsia="Times New Roman" w:hAnsi="Times New Roman"/>
                <w:iCs/>
                <w:sz w:val="16"/>
                <w:szCs w:val="16"/>
              </w:rPr>
              <w:t xml:space="preserve"> </w:t>
            </w:r>
          </w:p>
          <w:p w:rsidR="00D6176C" w:rsidRPr="00EE7DC1" w:rsidRDefault="00D6176C" w:rsidP="005B6C71">
            <w:pPr>
              <w:spacing w:after="0"/>
              <w:jc w:val="center"/>
              <w:rPr>
                <w:rFonts w:ascii="Times New Roman" w:eastAsia="Times New Roman" w:hAnsi="Times New Roman"/>
                <w:iCs/>
                <w:color w:val="FF0000"/>
                <w:sz w:val="16"/>
                <w:szCs w:val="16"/>
              </w:rPr>
            </w:pPr>
            <w:r w:rsidRPr="00EE7DC1">
              <w:rPr>
                <w:rFonts w:ascii="Times New Roman" w:eastAsia="Times New Roman" w:hAnsi="Times New Roman"/>
                <w:iCs/>
                <w:sz w:val="16"/>
                <w:szCs w:val="16"/>
              </w:rPr>
              <w:t>(89%)</w:t>
            </w:r>
          </w:p>
        </w:tc>
      </w:tr>
      <w:tr w:rsidR="00D6176C" w:rsidRPr="00EE7DC1" w:rsidTr="005B6C71">
        <w:trPr>
          <w:trHeight w:val="270"/>
        </w:trPr>
        <w:tc>
          <w:tcPr>
            <w:tcW w:w="431" w:type="dxa"/>
            <w:tcBorders>
              <w:bottom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2.5</w:t>
            </w:r>
          </w:p>
        </w:tc>
        <w:tc>
          <w:tcPr>
            <w:tcW w:w="1847" w:type="dxa"/>
            <w:tcBorders>
              <w:bottom w:val="single" w:sz="6" w:space="0" w:color="auto"/>
            </w:tcBorders>
            <w:shd w:val="clear" w:color="auto" w:fill="auto"/>
            <w:vAlign w:val="center"/>
          </w:tcPr>
          <w:p w:rsidR="00D6176C" w:rsidRPr="00EE7DC1" w:rsidRDefault="00D6176C" w:rsidP="005B6C71">
            <w:pPr>
              <w:spacing w:after="0"/>
              <w:rPr>
                <w:rFonts w:ascii="Times New Roman" w:eastAsia="Times New Roman" w:hAnsi="Times New Roman"/>
                <w:b/>
                <w:bCs/>
                <w:sz w:val="16"/>
                <w:szCs w:val="16"/>
              </w:rPr>
            </w:pPr>
            <w:r w:rsidRPr="00EE7DC1">
              <w:rPr>
                <w:rFonts w:ascii="Times New Roman" w:hAnsi="Times New Roman"/>
                <w:sz w:val="16"/>
                <w:szCs w:val="16"/>
              </w:rPr>
              <w:t>Natural resources and biodiversity/ecosystems</w:t>
            </w:r>
          </w:p>
        </w:tc>
        <w:tc>
          <w:tcPr>
            <w:tcW w:w="943" w:type="dxa"/>
            <w:tcBorders>
              <w:bottom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169%</w:t>
            </w:r>
          </w:p>
        </w:tc>
        <w:tc>
          <w:tcPr>
            <w:tcW w:w="943" w:type="dxa"/>
            <w:tcBorders>
              <w:top w:val="single" w:sz="6" w:space="0" w:color="auto"/>
              <w:bottom w:val="single" w:sz="6" w:space="0" w:color="auto"/>
            </w:tcBorders>
            <w:shd w:val="clear" w:color="000000" w:fill="82CA3F"/>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104%</w:t>
            </w:r>
          </w:p>
        </w:tc>
        <w:tc>
          <w:tcPr>
            <w:tcW w:w="943" w:type="dxa"/>
            <w:tcBorders>
              <w:bottom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100%</w:t>
            </w:r>
          </w:p>
        </w:tc>
        <w:tc>
          <w:tcPr>
            <w:tcW w:w="988" w:type="dxa"/>
            <w:tcBorders>
              <w:bottom w:val="single" w:sz="6" w:space="0" w:color="auto"/>
            </w:tcBorders>
            <w:shd w:val="clear" w:color="auto" w:fill="FFC00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96%</w:t>
            </w:r>
          </w:p>
        </w:tc>
        <w:tc>
          <w:tcPr>
            <w:tcW w:w="988" w:type="dxa"/>
            <w:tcBorders>
              <w:bottom w:val="single" w:sz="6" w:space="0" w:color="auto"/>
            </w:tcBorders>
            <w:shd w:val="clear" w:color="auto" w:fill="auto"/>
            <w:noWrap/>
            <w:vAlign w:val="center"/>
            <w:hideMark/>
          </w:tcPr>
          <w:p w:rsidR="00D6176C" w:rsidRPr="00EE7DC1" w:rsidRDefault="00782554"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73</w:t>
            </w:r>
          </w:p>
        </w:tc>
        <w:tc>
          <w:tcPr>
            <w:tcW w:w="1165" w:type="dxa"/>
            <w:tcBorders>
              <w:bottom w:val="single" w:sz="6" w:space="0" w:color="auto"/>
            </w:tcBorders>
            <w:vAlign w:val="center"/>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hAnsi="Times New Roman"/>
                <w:sz w:val="16"/>
                <w:szCs w:val="16"/>
              </w:rPr>
              <w:t>82%</w:t>
            </w:r>
          </w:p>
        </w:tc>
        <w:tc>
          <w:tcPr>
            <w:tcW w:w="1165" w:type="dxa"/>
            <w:tcBorders>
              <w:bottom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eastAsia="Times New Roman" w:hAnsi="Times New Roman"/>
                <w:iCs/>
                <w:sz w:val="16"/>
                <w:szCs w:val="16"/>
              </w:rPr>
              <w:t>n/a</w:t>
            </w:r>
          </w:p>
        </w:tc>
      </w:tr>
      <w:tr w:rsidR="00D6176C" w:rsidRPr="00EE7DC1" w:rsidTr="005B6C71">
        <w:trPr>
          <w:trHeight w:val="270"/>
        </w:trPr>
        <w:tc>
          <w:tcPr>
            <w:tcW w:w="431" w:type="dxa"/>
            <w:tcBorders>
              <w:top w:val="single" w:sz="6" w:space="0" w:color="auto"/>
              <w:bottom w:val="single" w:sz="6" w:space="0" w:color="auto"/>
            </w:tcBorders>
            <w:shd w:val="clear" w:color="auto" w:fill="auto"/>
            <w:noWrap/>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2.6</w:t>
            </w:r>
          </w:p>
        </w:tc>
        <w:tc>
          <w:tcPr>
            <w:tcW w:w="1847" w:type="dxa"/>
            <w:tcBorders>
              <w:top w:val="single" w:sz="6" w:space="0" w:color="auto"/>
              <w:bottom w:val="single" w:sz="6" w:space="0" w:color="auto"/>
            </w:tcBorders>
            <w:shd w:val="clear" w:color="auto" w:fill="auto"/>
            <w:vAlign w:val="center"/>
          </w:tcPr>
          <w:p w:rsidR="00D6176C" w:rsidRPr="00EE7DC1" w:rsidRDefault="00D6176C" w:rsidP="005B6C71">
            <w:pPr>
              <w:spacing w:after="0"/>
              <w:rPr>
                <w:rFonts w:ascii="Times New Roman" w:hAnsi="Times New Roman"/>
                <w:color w:val="000000"/>
                <w:sz w:val="16"/>
                <w:szCs w:val="16"/>
              </w:rPr>
            </w:pPr>
            <w:r w:rsidRPr="00EE7DC1">
              <w:rPr>
                <w:rFonts w:ascii="Times New Roman" w:hAnsi="Times New Roman"/>
                <w:color w:val="000000"/>
                <w:sz w:val="16"/>
                <w:szCs w:val="16"/>
              </w:rPr>
              <w:t>Discrimination and emerging issues</w:t>
            </w:r>
          </w:p>
        </w:tc>
        <w:tc>
          <w:tcPr>
            <w:tcW w:w="943" w:type="dxa"/>
            <w:tcBorders>
              <w:top w:val="single" w:sz="6" w:space="0" w:color="auto"/>
              <w:bottom w:val="single" w:sz="6" w:space="0" w:color="auto"/>
            </w:tcBorders>
            <w:shd w:val="clear" w:color="000000" w:fill="92D050"/>
            <w:noWrap/>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150%</w:t>
            </w:r>
          </w:p>
        </w:tc>
        <w:tc>
          <w:tcPr>
            <w:tcW w:w="943" w:type="dxa"/>
            <w:tcBorders>
              <w:top w:val="single" w:sz="6" w:space="0" w:color="auto"/>
              <w:bottom w:val="single" w:sz="6" w:space="0" w:color="auto"/>
            </w:tcBorders>
            <w:shd w:val="clear" w:color="000000" w:fill="82CA3F"/>
            <w:noWrap/>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122%</w:t>
            </w:r>
          </w:p>
        </w:tc>
        <w:tc>
          <w:tcPr>
            <w:tcW w:w="943" w:type="dxa"/>
            <w:tcBorders>
              <w:top w:val="single" w:sz="6" w:space="0" w:color="auto"/>
              <w:bottom w:val="single" w:sz="6" w:space="0" w:color="auto"/>
            </w:tcBorders>
            <w:shd w:val="clear" w:color="auto" w:fill="FFC000"/>
            <w:noWrap/>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86%</w:t>
            </w:r>
          </w:p>
        </w:tc>
        <w:tc>
          <w:tcPr>
            <w:tcW w:w="988" w:type="dxa"/>
            <w:tcBorders>
              <w:top w:val="single" w:sz="6" w:space="0" w:color="auto"/>
              <w:bottom w:val="single" w:sz="6" w:space="0" w:color="auto"/>
            </w:tcBorders>
            <w:shd w:val="clear" w:color="auto" w:fill="FFC00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94%</w:t>
            </w:r>
          </w:p>
        </w:tc>
        <w:tc>
          <w:tcPr>
            <w:tcW w:w="988" w:type="dxa"/>
            <w:tcBorders>
              <w:top w:val="single" w:sz="6" w:space="0" w:color="auto"/>
              <w:bottom w:val="single" w:sz="6" w:space="0" w:color="auto"/>
            </w:tcBorders>
            <w:shd w:val="clear" w:color="auto" w:fill="auto"/>
            <w:noWrap/>
            <w:vAlign w:val="center"/>
          </w:tcPr>
          <w:p w:rsidR="00D6176C" w:rsidRPr="00EE7DC1" w:rsidRDefault="00782554"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23</w:t>
            </w:r>
          </w:p>
        </w:tc>
        <w:tc>
          <w:tcPr>
            <w:tcW w:w="1165" w:type="dxa"/>
            <w:tcBorders>
              <w:top w:val="single" w:sz="6" w:space="0" w:color="auto"/>
              <w:bottom w:val="single" w:sz="6" w:space="0" w:color="auto"/>
            </w:tcBorders>
            <w:vAlign w:val="center"/>
          </w:tcPr>
          <w:p w:rsidR="00D6176C" w:rsidRPr="00EE7DC1" w:rsidRDefault="00D6176C" w:rsidP="005B6C71">
            <w:pPr>
              <w:spacing w:after="0"/>
              <w:jc w:val="center"/>
              <w:rPr>
                <w:rFonts w:ascii="Times New Roman" w:eastAsia="Times New Roman" w:hAnsi="Times New Roman"/>
                <w:b/>
                <w:iCs/>
                <w:color w:val="000000" w:themeColor="text1"/>
                <w:sz w:val="16"/>
                <w:szCs w:val="16"/>
              </w:rPr>
            </w:pPr>
            <w:r w:rsidRPr="00EE7DC1">
              <w:rPr>
                <w:rFonts w:ascii="Times New Roman" w:hAnsi="Times New Roman"/>
                <w:sz w:val="16"/>
                <w:szCs w:val="16"/>
              </w:rPr>
              <w:t>65%</w:t>
            </w:r>
          </w:p>
        </w:tc>
        <w:tc>
          <w:tcPr>
            <w:tcW w:w="1165" w:type="dxa"/>
            <w:tcBorders>
              <w:top w:val="single" w:sz="6" w:space="0" w:color="auto"/>
              <w:bottom w:val="single" w:sz="6" w:space="0" w:color="auto"/>
            </w:tcBorders>
            <w:shd w:val="clear" w:color="auto" w:fill="auto"/>
            <w:noWrap/>
            <w:vAlign w:val="center"/>
          </w:tcPr>
          <w:p w:rsidR="00D6176C" w:rsidRDefault="00D6176C" w:rsidP="005B6C71">
            <w:pPr>
              <w:spacing w:after="0"/>
              <w:jc w:val="center"/>
              <w:rPr>
                <w:rFonts w:ascii="Times New Roman" w:eastAsia="Times New Roman" w:hAnsi="Times New Roman"/>
                <w:iCs/>
                <w:color w:val="000000" w:themeColor="text1"/>
                <w:sz w:val="16"/>
                <w:szCs w:val="16"/>
              </w:rPr>
            </w:pPr>
            <w:r w:rsidRPr="00EE7DC1">
              <w:rPr>
                <w:rFonts w:ascii="Times New Roman" w:eastAsia="Times New Roman" w:hAnsi="Times New Roman"/>
                <w:b/>
                <w:iCs/>
                <w:color w:val="000000" w:themeColor="text1"/>
                <w:sz w:val="16"/>
                <w:szCs w:val="16"/>
              </w:rPr>
              <w:t>Same</w:t>
            </w:r>
            <w:r w:rsidRPr="00EE7DC1">
              <w:rPr>
                <w:rFonts w:ascii="Times New Roman" w:eastAsia="Times New Roman" w:hAnsi="Times New Roman"/>
                <w:iCs/>
                <w:color w:val="000000" w:themeColor="text1"/>
                <w:sz w:val="16"/>
                <w:szCs w:val="16"/>
              </w:rPr>
              <w:t xml:space="preserve">  </w:t>
            </w:r>
          </w:p>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eastAsia="Times New Roman" w:hAnsi="Times New Roman"/>
                <w:iCs/>
                <w:sz w:val="16"/>
                <w:szCs w:val="16"/>
              </w:rPr>
              <w:t>(94%)</w:t>
            </w:r>
          </w:p>
        </w:tc>
      </w:tr>
      <w:tr w:rsidR="00D6176C" w:rsidRPr="00EE7DC1" w:rsidTr="005B6C71">
        <w:trPr>
          <w:trHeight w:val="270"/>
        </w:trPr>
        <w:tc>
          <w:tcPr>
            <w:tcW w:w="9413" w:type="dxa"/>
            <w:gridSpan w:val="9"/>
            <w:tcBorders>
              <w:top w:val="single" w:sz="6" w:space="0" w:color="auto"/>
              <w:bottom w:val="single" w:sz="12" w:space="0" w:color="auto"/>
            </w:tcBorders>
            <w:vAlign w:val="center"/>
          </w:tcPr>
          <w:p w:rsidR="00D6176C" w:rsidRPr="00EE7DC1" w:rsidRDefault="00D6176C" w:rsidP="005B6C71">
            <w:pPr>
              <w:spacing w:after="0"/>
              <w:rPr>
                <w:rFonts w:ascii="Times New Roman" w:eastAsia="Times New Roman" w:hAnsi="Times New Roman"/>
                <w:b/>
                <w:iCs/>
                <w:color w:val="000000" w:themeColor="text1"/>
                <w:sz w:val="16"/>
                <w:szCs w:val="16"/>
              </w:rPr>
            </w:pPr>
            <w:r w:rsidRPr="00EE7DC1">
              <w:rPr>
                <w:rFonts w:ascii="Times New Roman" w:hAnsi="Times New Roman"/>
                <w:color w:val="000000"/>
                <w:sz w:val="16"/>
                <w:szCs w:val="16"/>
              </w:rPr>
              <w:t xml:space="preserve">Expenditure with gender equality as a ‘significant’ or ‘principal’ objective: </w:t>
            </w:r>
            <w:r w:rsidRPr="00AD1598">
              <w:rPr>
                <w:rFonts w:ascii="Times New Roman" w:hAnsi="Times New Roman"/>
                <w:color w:val="000000"/>
                <w:sz w:val="16"/>
                <w:szCs w:val="16"/>
              </w:rPr>
              <w:t>41%</w:t>
            </w:r>
          </w:p>
        </w:tc>
      </w:tr>
    </w:tbl>
    <w:p w:rsidR="00D6176C" w:rsidRPr="00EE7DC1" w:rsidRDefault="00D6176C" w:rsidP="00D54000">
      <w:pPr>
        <w:spacing w:after="120"/>
        <w:contextualSpacing/>
        <w:jc w:val="both"/>
        <w:rPr>
          <w:rFonts w:ascii="Times New Roman" w:hAnsi="Times New Roman"/>
          <w:b/>
          <w:sz w:val="16"/>
          <w:szCs w:val="16"/>
        </w:rPr>
      </w:pPr>
    </w:p>
    <w:p w:rsidR="00D6176C" w:rsidRPr="003F6326" w:rsidRDefault="00D6176C" w:rsidP="00D54000">
      <w:pPr>
        <w:pStyle w:val="ListParagraph"/>
        <w:numPr>
          <w:ilvl w:val="0"/>
          <w:numId w:val="11"/>
        </w:numPr>
        <w:tabs>
          <w:tab w:val="left" w:pos="1080"/>
        </w:tabs>
        <w:spacing w:after="0" w:line="240" w:lineRule="auto"/>
        <w:ind w:firstLine="0"/>
        <w:jc w:val="both"/>
        <w:rPr>
          <w:rStyle w:val="normaltextrun"/>
          <w:rFonts w:ascii="Times New Roman" w:hAnsi="Times New Roman"/>
          <w:sz w:val="20"/>
          <w:szCs w:val="20"/>
        </w:rPr>
      </w:pPr>
      <w:r w:rsidRPr="003F6326">
        <w:rPr>
          <w:rFonts w:ascii="Times New Roman" w:hAnsi="Times New Roman"/>
          <w:sz w:val="20"/>
          <w:szCs w:val="20"/>
        </w:rPr>
        <w:t xml:space="preserve">Under </w:t>
      </w:r>
      <w:r w:rsidR="008C5CB0">
        <w:rPr>
          <w:rFonts w:ascii="Times New Roman" w:hAnsi="Times New Roman"/>
          <w:sz w:val="20"/>
          <w:szCs w:val="20"/>
        </w:rPr>
        <w:t>o</w:t>
      </w:r>
      <w:r w:rsidRPr="003F6326">
        <w:rPr>
          <w:rFonts w:ascii="Times New Roman" w:hAnsi="Times New Roman"/>
          <w:sz w:val="20"/>
          <w:szCs w:val="20"/>
        </w:rPr>
        <w:t xml:space="preserve">utcome 2, </w:t>
      </w:r>
      <w:r w:rsidRPr="003F6326">
        <w:rPr>
          <w:rStyle w:val="normaltextrun"/>
          <w:rFonts w:ascii="Times New Roman" w:hAnsi="Times New Roman"/>
          <w:bCs/>
          <w:sz w:val="20"/>
          <w:szCs w:val="20"/>
        </w:rPr>
        <w:t xml:space="preserve">UNDP assisted countries in maintaining and securing democratic governance, a necessity for achieving all outcomes of the </w:t>
      </w:r>
      <w:r w:rsidR="008C5CB0">
        <w:rPr>
          <w:rStyle w:val="normaltextrun"/>
          <w:rFonts w:ascii="Times New Roman" w:hAnsi="Times New Roman"/>
          <w:bCs/>
          <w:sz w:val="20"/>
          <w:szCs w:val="20"/>
        </w:rPr>
        <w:t>S</w:t>
      </w:r>
      <w:r w:rsidR="008C5CB0" w:rsidRPr="003F6326">
        <w:rPr>
          <w:rStyle w:val="normaltextrun"/>
          <w:rFonts w:ascii="Times New Roman" w:hAnsi="Times New Roman"/>
          <w:bCs/>
          <w:sz w:val="20"/>
          <w:szCs w:val="20"/>
        </w:rPr>
        <w:t xml:space="preserve">trategic </w:t>
      </w:r>
      <w:r w:rsidR="008C5CB0">
        <w:rPr>
          <w:rStyle w:val="normaltextrun"/>
          <w:rFonts w:ascii="Times New Roman" w:hAnsi="Times New Roman"/>
          <w:bCs/>
          <w:sz w:val="20"/>
          <w:szCs w:val="20"/>
        </w:rPr>
        <w:t>P</w:t>
      </w:r>
      <w:r w:rsidR="008C5CB0" w:rsidRPr="003F6326">
        <w:rPr>
          <w:rStyle w:val="normaltextrun"/>
          <w:rFonts w:ascii="Times New Roman" w:hAnsi="Times New Roman"/>
          <w:bCs/>
          <w:sz w:val="20"/>
          <w:szCs w:val="20"/>
        </w:rPr>
        <w:t>lan</w:t>
      </w:r>
      <w:r w:rsidRPr="003F6326">
        <w:rPr>
          <w:rStyle w:val="normaltextrun"/>
          <w:rFonts w:ascii="Times New Roman" w:hAnsi="Times New Roman"/>
          <w:bCs/>
          <w:sz w:val="20"/>
          <w:szCs w:val="20"/>
        </w:rPr>
        <w:t xml:space="preserve">. This included </w:t>
      </w:r>
      <w:r w:rsidR="00A7499B">
        <w:rPr>
          <w:rStyle w:val="normaltextrun"/>
          <w:rFonts w:ascii="Times New Roman" w:hAnsi="Times New Roman"/>
          <w:bCs/>
          <w:sz w:val="20"/>
          <w:szCs w:val="20"/>
        </w:rPr>
        <w:t xml:space="preserve">support </w:t>
      </w:r>
      <w:r w:rsidR="008C5CB0">
        <w:rPr>
          <w:rStyle w:val="normaltextrun"/>
          <w:rFonts w:ascii="Times New Roman" w:hAnsi="Times New Roman"/>
          <w:bCs/>
          <w:sz w:val="20"/>
          <w:szCs w:val="20"/>
        </w:rPr>
        <w:t xml:space="preserve">for constitutional </w:t>
      </w:r>
      <w:r w:rsidRPr="003F6326">
        <w:rPr>
          <w:rStyle w:val="normaltextrun"/>
          <w:rFonts w:ascii="Times New Roman" w:hAnsi="Times New Roman"/>
          <w:bCs/>
          <w:sz w:val="20"/>
          <w:szCs w:val="20"/>
        </w:rPr>
        <w:t>reform</w:t>
      </w:r>
      <w:r w:rsidR="008C5CB0">
        <w:rPr>
          <w:rStyle w:val="normaltextrun"/>
          <w:rFonts w:ascii="Times New Roman" w:hAnsi="Times New Roman"/>
          <w:bCs/>
          <w:sz w:val="20"/>
          <w:szCs w:val="20"/>
        </w:rPr>
        <w:t>,</w:t>
      </w:r>
      <w:r w:rsidRPr="003F6326">
        <w:rPr>
          <w:rStyle w:val="normaltextrun"/>
          <w:rFonts w:ascii="Times New Roman" w:hAnsi="Times New Roman"/>
          <w:bCs/>
          <w:sz w:val="20"/>
          <w:szCs w:val="20"/>
        </w:rPr>
        <w:t xml:space="preserve"> organizing credible elections, strengthening parliaments and public institutions, reducing corruption and supporting inclusive participation to ensure </w:t>
      </w:r>
      <w:r w:rsidR="00426E59">
        <w:rPr>
          <w:rStyle w:val="normaltextrun"/>
          <w:rFonts w:ascii="Times New Roman" w:hAnsi="Times New Roman"/>
          <w:bCs/>
          <w:sz w:val="20"/>
          <w:szCs w:val="20"/>
        </w:rPr>
        <w:t xml:space="preserve">that </w:t>
      </w:r>
      <w:r w:rsidRPr="003F6326">
        <w:rPr>
          <w:rStyle w:val="normaltextrun"/>
          <w:rFonts w:ascii="Times New Roman" w:hAnsi="Times New Roman"/>
          <w:bCs/>
          <w:sz w:val="20"/>
          <w:szCs w:val="20"/>
        </w:rPr>
        <w:t xml:space="preserve">no one is left behind. The </w:t>
      </w:r>
      <w:r w:rsidR="008C5CB0">
        <w:rPr>
          <w:rStyle w:val="normaltextrun"/>
          <w:rFonts w:ascii="Times New Roman" w:hAnsi="Times New Roman"/>
          <w:bCs/>
          <w:sz w:val="20"/>
          <w:szCs w:val="20"/>
        </w:rPr>
        <w:t>evaluation of the S</w:t>
      </w:r>
      <w:r w:rsidR="008C5CB0" w:rsidRPr="003F6326">
        <w:rPr>
          <w:rStyle w:val="normaltextrun"/>
          <w:rFonts w:ascii="Times New Roman" w:hAnsi="Times New Roman"/>
          <w:bCs/>
          <w:sz w:val="20"/>
          <w:szCs w:val="20"/>
        </w:rPr>
        <w:t xml:space="preserve">trategic </w:t>
      </w:r>
      <w:r w:rsidR="008C5CB0">
        <w:rPr>
          <w:rStyle w:val="normaltextrun"/>
          <w:rFonts w:ascii="Times New Roman" w:hAnsi="Times New Roman"/>
          <w:bCs/>
          <w:sz w:val="20"/>
          <w:szCs w:val="20"/>
        </w:rPr>
        <w:t>P</w:t>
      </w:r>
      <w:r w:rsidR="008C5CB0" w:rsidRPr="003F6326">
        <w:rPr>
          <w:rStyle w:val="normaltextrun"/>
          <w:rFonts w:ascii="Times New Roman" w:hAnsi="Times New Roman"/>
          <w:bCs/>
          <w:sz w:val="20"/>
          <w:szCs w:val="20"/>
        </w:rPr>
        <w:t xml:space="preserve">lan </w:t>
      </w:r>
      <w:r w:rsidRPr="003F6326">
        <w:rPr>
          <w:rStyle w:val="normaltextrun"/>
          <w:rFonts w:ascii="Times New Roman" w:hAnsi="Times New Roman"/>
          <w:bCs/>
          <w:sz w:val="20"/>
          <w:szCs w:val="20"/>
        </w:rPr>
        <w:t>found that</w:t>
      </w:r>
      <w:r w:rsidR="0031033E" w:rsidRPr="003F6326">
        <w:rPr>
          <w:rStyle w:val="normaltextrun"/>
          <w:rFonts w:ascii="Times New Roman" w:hAnsi="Times New Roman"/>
          <w:bCs/>
          <w:sz w:val="20"/>
          <w:szCs w:val="20"/>
        </w:rPr>
        <w:t xml:space="preserve"> UNDP i</w:t>
      </w:r>
      <w:r w:rsidR="0031033E" w:rsidRPr="003F6326">
        <w:rPr>
          <w:rFonts w:ascii="Times New Roman" w:hAnsi="Times New Roman"/>
          <w:sz w:val="20"/>
          <w:szCs w:val="20"/>
        </w:rPr>
        <w:t xml:space="preserve">s well positioned in providing expert electoral support and is a global leader in the provision of parliamentary support.  </w:t>
      </w:r>
      <w:r w:rsidRPr="003F6326">
        <w:rPr>
          <w:rStyle w:val="normaltextrun"/>
          <w:rFonts w:ascii="Times New Roman" w:hAnsi="Times New Roman"/>
          <w:bCs/>
          <w:sz w:val="20"/>
          <w:szCs w:val="20"/>
        </w:rPr>
        <w:t xml:space="preserve"> </w:t>
      </w:r>
    </w:p>
    <w:p w:rsidR="00D6176C" w:rsidRPr="00D54000" w:rsidRDefault="00D6176C" w:rsidP="00D54000">
      <w:pPr>
        <w:pStyle w:val="ListParagraph"/>
        <w:tabs>
          <w:tab w:val="left" w:pos="450"/>
          <w:tab w:val="left" w:pos="1080"/>
        </w:tabs>
        <w:spacing w:after="0" w:line="0" w:lineRule="atLeast"/>
        <w:ind w:left="0"/>
        <w:jc w:val="both"/>
        <w:rPr>
          <w:rStyle w:val="normaltextrun"/>
          <w:rFonts w:ascii="Times New Roman" w:eastAsia="Calibri" w:hAnsi="Times New Roman"/>
          <w:bCs/>
          <w:sz w:val="12"/>
          <w:szCs w:val="12"/>
        </w:rPr>
      </w:pPr>
    </w:p>
    <w:p w:rsidR="00165DE4" w:rsidRPr="00165DE4" w:rsidRDefault="00D6176C" w:rsidP="00D54000">
      <w:pPr>
        <w:pStyle w:val="NormalWeb"/>
        <w:numPr>
          <w:ilvl w:val="0"/>
          <w:numId w:val="11"/>
        </w:numPr>
        <w:tabs>
          <w:tab w:val="left" w:pos="1080"/>
        </w:tabs>
        <w:spacing w:before="0" w:beforeAutospacing="0" w:after="0" w:afterAutospacing="0" w:line="0" w:lineRule="atLeast"/>
        <w:ind w:firstLine="0"/>
        <w:jc w:val="both"/>
        <w:rPr>
          <w:sz w:val="20"/>
          <w:szCs w:val="20"/>
        </w:rPr>
      </w:pPr>
      <w:r>
        <w:rPr>
          <w:rStyle w:val="normaltextrun"/>
          <w:rFonts w:eastAsia="Calibri"/>
          <w:bCs/>
          <w:sz w:val="20"/>
          <w:szCs w:val="20"/>
          <w:lang w:eastAsia="ja-JP"/>
        </w:rPr>
        <w:t xml:space="preserve">Performance under </w:t>
      </w:r>
      <w:r w:rsidR="008C5CB0">
        <w:rPr>
          <w:rStyle w:val="normaltextrun"/>
          <w:rFonts w:eastAsia="Calibri"/>
          <w:bCs/>
          <w:sz w:val="20"/>
          <w:szCs w:val="20"/>
          <w:lang w:eastAsia="ja-JP"/>
        </w:rPr>
        <w:t xml:space="preserve">outcome </w:t>
      </w:r>
      <w:r>
        <w:rPr>
          <w:rStyle w:val="normaltextrun"/>
          <w:rFonts w:eastAsia="Calibri"/>
          <w:bCs/>
          <w:sz w:val="20"/>
          <w:szCs w:val="20"/>
          <w:lang w:eastAsia="ja-JP"/>
        </w:rPr>
        <w:t xml:space="preserve">2 slipped </w:t>
      </w:r>
      <w:r w:rsidR="00140D1D">
        <w:rPr>
          <w:rStyle w:val="normaltextrun"/>
          <w:rFonts w:eastAsia="Calibri"/>
          <w:bCs/>
          <w:sz w:val="20"/>
          <w:szCs w:val="20"/>
          <w:lang w:eastAsia="ja-JP"/>
        </w:rPr>
        <w:t xml:space="preserve">slightly </w:t>
      </w:r>
      <w:r>
        <w:rPr>
          <w:rStyle w:val="normaltextrun"/>
          <w:rFonts w:eastAsia="Calibri"/>
          <w:bCs/>
          <w:sz w:val="20"/>
          <w:szCs w:val="20"/>
          <w:lang w:eastAsia="ja-JP"/>
        </w:rPr>
        <w:t>in 2017, with one output</w:t>
      </w:r>
      <w:r w:rsidR="00140D1D">
        <w:rPr>
          <w:rStyle w:val="normaltextrun"/>
          <w:rFonts w:eastAsia="Calibri"/>
          <w:bCs/>
          <w:sz w:val="20"/>
          <w:szCs w:val="20"/>
          <w:lang w:eastAsia="ja-JP"/>
        </w:rPr>
        <w:t xml:space="preserve"> meeting or </w:t>
      </w:r>
      <w:r>
        <w:rPr>
          <w:rStyle w:val="normaltextrun"/>
          <w:rFonts w:eastAsia="Calibri"/>
          <w:bCs/>
          <w:sz w:val="20"/>
          <w:szCs w:val="20"/>
          <w:lang w:eastAsia="ja-JP"/>
        </w:rPr>
        <w:t xml:space="preserve">exceeding its target (compared to </w:t>
      </w:r>
      <w:r w:rsidR="00140D1D">
        <w:rPr>
          <w:rStyle w:val="normaltextrun"/>
          <w:rFonts w:eastAsia="Calibri"/>
          <w:bCs/>
          <w:sz w:val="20"/>
          <w:szCs w:val="20"/>
          <w:lang w:eastAsia="ja-JP"/>
        </w:rPr>
        <w:t xml:space="preserve">two </w:t>
      </w:r>
      <w:r>
        <w:rPr>
          <w:rStyle w:val="normaltextrun"/>
          <w:rFonts w:eastAsia="Calibri"/>
          <w:bCs/>
          <w:sz w:val="20"/>
          <w:szCs w:val="20"/>
          <w:lang w:eastAsia="ja-JP"/>
        </w:rPr>
        <w:t>in 2016)</w:t>
      </w:r>
      <w:r w:rsidR="00140D1D">
        <w:rPr>
          <w:rStyle w:val="normaltextrun"/>
          <w:rFonts w:eastAsia="Calibri"/>
          <w:bCs/>
          <w:sz w:val="20"/>
          <w:szCs w:val="20"/>
          <w:lang w:eastAsia="ja-JP"/>
        </w:rPr>
        <w:t>, although f</w:t>
      </w:r>
      <w:r>
        <w:rPr>
          <w:rStyle w:val="normaltextrun"/>
          <w:rFonts w:eastAsia="Calibri"/>
          <w:bCs/>
          <w:sz w:val="20"/>
          <w:szCs w:val="20"/>
          <w:lang w:eastAsia="ja-JP"/>
        </w:rPr>
        <w:t xml:space="preserve">or the five outputs </w:t>
      </w:r>
      <w:r w:rsidR="005173FB">
        <w:rPr>
          <w:rStyle w:val="normaltextrun"/>
          <w:rFonts w:eastAsia="Calibri"/>
          <w:bCs/>
          <w:sz w:val="20"/>
          <w:szCs w:val="20"/>
          <w:lang w:eastAsia="ja-JP"/>
        </w:rPr>
        <w:t xml:space="preserve">for which the targets were </w:t>
      </w:r>
      <w:r>
        <w:rPr>
          <w:rStyle w:val="normaltextrun"/>
          <w:rFonts w:eastAsia="Calibri"/>
          <w:bCs/>
          <w:sz w:val="20"/>
          <w:szCs w:val="20"/>
          <w:lang w:eastAsia="ja-JP"/>
        </w:rPr>
        <w:t xml:space="preserve">missed, achievement was 94 per cent or higher. </w:t>
      </w:r>
      <w:r>
        <w:rPr>
          <w:rStyle w:val="normaltextrun"/>
          <w:rFonts w:eastAsia="Calibri"/>
          <w:bCs/>
          <w:sz w:val="20"/>
          <w:szCs w:val="20"/>
        </w:rPr>
        <w:t xml:space="preserve">Governance performance is associated with external factors, such as changes in government administration </w:t>
      </w:r>
      <w:r w:rsidRPr="00097B20">
        <w:rPr>
          <w:rStyle w:val="normaltextrun"/>
          <w:bCs/>
          <w:sz w:val="20"/>
          <w:szCs w:val="20"/>
        </w:rPr>
        <w:t>and supporting legislation. Between 2014</w:t>
      </w:r>
      <w:r w:rsidR="005173FB">
        <w:rPr>
          <w:rStyle w:val="normaltextrun"/>
          <w:bCs/>
          <w:sz w:val="20"/>
          <w:szCs w:val="20"/>
        </w:rPr>
        <w:t xml:space="preserve"> and </w:t>
      </w:r>
      <w:r w:rsidRPr="00097B20">
        <w:rPr>
          <w:rStyle w:val="normaltextrun"/>
          <w:bCs/>
          <w:sz w:val="20"/>
          <w:szCs w:val="20"/>
        </w:rPr>
        <w:t>2017, UNDP spent $2.1 billion (12 per cent of its total programme resources</w:t>
      </w:r>
      <w:r w:rsidR="00B528FF">
        <w:rPr>
          <w:rStyle w:val="normaltextrun"/>
          <w:bCs/>
          <w:sz w:val="20"/>
          <w:szCs w:val="20"/>
        </w:rPr>
        <w:t>)</w:t>
      </w:r>
      <w:r w:rsidR="005173FB">
        <w:rPr>
          <w:rStyle w:val="normaltextrun"/>
          <w:bCs/>
          <w:sz w:val="20"/>
          <w:szCs w:val="20"/>
        </w:rPr>
        <w:t xml:space="preserve"> on outcome 2</w:t>
      </w:r>
      <w:r w:rsidRPr="00097B20">
        <w:rPr>
          <w:rStyle w:val="normaltextrun"/>
          <w:bCs/>
          <w:sz w:val="20"/>
          <w:szCs w:val="20"/>
        </w:rPr>
        <w:t>.</w:t>
      </w:r>
    </w:p>
    <w:p w:rsidR="00165DE4" w:rsidRPr="00D54000" w:rsidRDefault="00165DE4" w:rsidP="00D54000">
      <w:pPr>
        <w:pStyle w:val="NormalWeb"/>
        <w:tabs>
          <w:tab w:val="left" w:pos="1080"/>
        </w:tabs>
        <w:spacing w:before="0" w:beforeAutospacing="0" w:after="0" w:afterAutospacing="0" w:line="0" w:lineRule="atLeast"/>
        <w:jc w:val="both"/>
        <w:rPr>
          <w:rStyle w:val="normaltextrun"/>
          <w:rFonts w:ascii="Cambria" w:eastAsia="Calibri" w:hAnsi="Cambria"/>
          <w:bCs/>
          <w:sz w:val="12"/>
          <w:szCs w:val="12"/>
          <w:lang w:eastAsia="ja-JP"/>
        </w:rPr>
      </w:pPr>
    </w:p>
    <w:p w:rsidR="00244286" w:rsidRPr="00F74FE7" w:rsidRDefault="005173FB" w:rsidP="00D54000">
      <w:pPr>
        <w:pStyle w:val="NormalWeb"/>
        <w:numPr>
          <w:ilvl w:val="0"/>
          <w:numId w:val="11"/>
        </w:numPr>
        <w:tabs>
          <w:tab w:val="left" w:pos="1080"/>
        </w:tabs>
        <w:spacing w:before="0" w:beforeAutospacing="0" w:after="0" w:afterAutospacing="0" w:line="0" w:lineRule="atLeast"/>
        <w:ind w:firstLine="0"/>
        <w:jc w:val="both"/>
        <w:rPr>
          <w:sz w:val="20"/>
          <w:szCs w:val="20"/>
          <w:lang w:val="en-US"/>
        </w:rPr>
      </w:pPr>
      <w:r>
        <w:rPr>
          <w:sz w:val="20"/>
          <w:szCs w:val="20"/>
        </w:rPr>
        <w:t>B</w:t>
      </w:r>
      <w:r w:rsidR="00975741" w:rsidRPr="005173FB">
        <w:rPr>
          <w:sz w:val="20"/>
          <w:szCs w:val="20"/>
        </w:rPr>
        <w:t>etween 2014</w:t>
      </w:r>
      <w:r>
        <w:rPr>
          <w:sz w:val="20"/>
          <w:szCs w:val="20"/>
        </w:rPr>
        <w:t xml:space="preserve"> and </w:t>
      </w:r>
      <w:r w:rsidR="00975741" w:rsidRPr="005173FB">
        <w:rPr>
          <w:sz w:val="20"/>
          <w:szCs w:val="20"/>
        </w:rPr>
        <w:t>2017</w:t>
      </w:r>
      <w:r>
        <w:rPr>
          <w:sz w:val="20"/>
          <w:szCs w:val="20"/>
        </w:rPr>
        <w:t xml:space="preserve">, </w:t>
      </w:r>
      <w:r w:rsidRPr="005173FB">
        <w:rPr>
          <w:sz w:val="20"/>
          <w:szCs w:val="20"/>
        </w:rPr>
        <w:t>UNDP support in 93 countries</w:t>
      </w:r>
      <w:r w:rsidR="00244286" w:rsidRPr="005173FB">
        <w:rPr>
          <w:sz w:val="20"/>
          <w:szCs w:val="20"/>
        </w:rPr>
        <w:t xml:space="preserve"> </w:t>
      </w:r>
      <w:r w:rsidR="00D6176C" w:rsidRPr="005173FB">
        <w:rPr>
          <w:sz w:val="20"/>
          <w:szCs w:val="20"/>
        </w:rPr>
        <w:t>strengthened the capacities of 57 parliaments, 49 electoral management bodies and 42 constitution</w:t>
      </w:r>
      <w:r>
        <w:rPr>
          <w:sz w:val="20"/>
          <w:szCs w:val="20"/>
        </w:rPr>
        <w:t>-</w:t>
      </w:r>
      <w:r w:rsidR="00D6176C" w:rsidRPr="005173FB">
        <w:rPr>
          <w:sz w:val="20"/>
          <w:szCs w:val="20"/>
        </w:rPr>
        <w:t>making bodies. UNDP support led to the registration of approximately 166 million electors and the participation of 304,442 women candidates in national elections.</w:t>
      </w:r>
      <w:r w:rsidR="00D6176C" w:rsidRPr="00F74FE7">
        <w:rPr>
          <w:sz w:val="20"/>
          <w:szCs w:val="20"/>
        </w:rPr>
        <w:t xml:space="preserve"> </w:t>
      </w:r>
      <w:r w:rsidR="00D6176C" w:rsidRPr="00F74FE7">
        <w:rPr>
          <w:sz w:val="20"/>
          <w:szCs w:val="20"/>
          <w:lang w:val="en-US"/>
        </w:rPr>
        <w:t xml:space="preserve">In the Democratic Republic of </w:t>
      </w:r>
      <w:r w:rsidR="00426E59">
        <w:rPr>
          <w:sz w:val="20"/>
          <w:szCs w:val="20"/>
          <w:lang w:val="en-US"/>
        </w:rPr>
        <w:t xml:space="preserve">the </w:t>
      </w:r>
      <w:r w:rsidR="00D6176C" w:rsidRPr="00F74FE7">
        <w:rPr>
          <w:sz w:val="20"/>
          <w:szCs w:val="20"/>
          <w:lang w:val="en-US"/>
        </w:rPr>
        <w:t>Congo, UNDP and</w:t>
      </w:r>
      <w:r w:rsidR="00D45F98" w:rsidRPr="00F74FE7">
        <w:rPr>
          <w:sz w:val="20"/>
          <w:szCs w:val="20"/>
          <w:lang w:val="en-US"/>
        </w:rPr>
        <w:t xml:space="preserve"> </w:t>
      </w:r>
      <w:r w:rsidR="00D45F98" w:rsidRPr="00F74FE7">
        <w:rPr>
          <w:sz w:val="20"/>
          <w:szCs w:val="20"/>
        </w:rPr>
        <w:t>the United Nations Organization Stabilization Mission in the Democratic Republic of the Congo</w:t>
      </w:r>
      <w:r w:rsidR="00D6176C" w:rsidRPr="00F74FE7">
        <w:rPr>
          <w:sz w:val="20"/>
          <w:szCs w:val="20"/>
          <w:lang w:val="en-US"/>
        </w:rPr>
        <w:t xml:space="preserve"> supported the National Independent Electoral Commission to complete the revision of the electoral register for 2018 elections. In partnership with </w:t>
      </w:r>
      <w:r>
        <w:rPr>
          <w:sz w:val="20"/>
          <w:szCs w:val="20"/>
          <w:lang w:val="en-US"/>
        </w:rPr>
        <w:t>the United Nations Entity for Gender Equality and the Empowerment of Women (</w:t>
      </w:r>
      <w:r w:rsidR="00D6176C" w:rsidRPr="00F74FE7">
        <w:rPr>
          <w:sz w:val="20"/>
          <w:szCs w:val="20"/>
          <w:lang w:val="en-US"/>
        </w:rPr>
        <w:t>UN</w:t>
      </w:r>
      <w:r>
        <w:rPr>
          <w:sz w:val="20"/>
          <w:szCs w:val="20"/>
          <w:lang w:val="en-US"/>
        </w:rPr>
        <w:t>-</w:t>
      </w:r>
      <w:r w:rsidR="00D6176C" w:rsidRPr="00F74FE7">
        <w:rPr>
          <w:sz w:val="20"/>
          <w:szCs w:val="20"/>
          <w:lang w:val="en-US"/>
        </w:rPr>
        <w:t>Women</w:t>
      </w:r>
      <w:r>
        <w:rPr>
          <w:sz w:val="20"/>
          <w:szCs w:val="20"/>
          <w:lang w:val="en-US"/>
        </w:rPr>
        <w:t>)</w:t>
      </w:r>
      <w:r w:rsidR="00D6176C" w:rsidRPr="00F74FE7">
        <w:rPr>
          <w:sz w:val="20"/>
          <w:szCs w:val="20"/>
          <w:lang w:val="en-US"/>
        </w:rPr>
        <w:t xml:space="preserve"> and the</w:t>
      </w:r>
      <w:r w:rsidR="00D45F98" w:rsidRPr="00F74FE7">
        <w:rPr>
          <w:sz w:val="20"/>
          <w:szCs w:val="20"/>
          <w:lang w:val="en-US"/>
        </w:rPr>
        <w:t xml:space="preserve"> </w:t>
      </w:r>
      <w:r w:rsidR="00D45F98" w:rsidRPr="00F74FE7">
        <w:rPr>
          <w:sz w:val="20"/>
          <w:szCs w:val="20"/>
        </w:rPr>
        <w:t>Organization for Security and Co-operation in Europe</w:t>
      </w:r>
      <w:r w:rsidR="00D6176C" w:rsidRPr="00F74FE7">
        <w:rPr>
          <w:sz w:val="20"/>
          <w:szCs w:val="20"/>
          <w:lang w:val="en-US"/>
        </w:rPr>
        <w:t xml:space="preserve"> Office for Democratic Institutions and Human Rights, UNDP supported peer-to-peer learning to increase women’s presence in politics in Armenia, Azerbaijan, Belarus, Georgia, Kazakhstan, Kyrgyzstan, </w:t>
      </w:r>
      <w:r>
        <w:rPr>
          <w:sz w:val="20"/>
          <w:szCs w:val="20"/>
          <w:lang w:val="en-US"/>
        </w:rPr>
        <w:t xml:space="preserve">Republic of </w:t>
      </w:r>
      <w:r w:rsidR="00D6176C" w:rsidRPr="00F74FE7">
        <w:rPr>
          <w:sz w:val="20"/>
          <w:szCs w:val="20"/>
          <w:lang w:val="en-US"/>
        </w:rPr>
        <w:t>Moldova, Tajikistan, Turkmenistan, Ukraine</w:t>
      </w:r>
      <w:r w:rsidR="00D6176C" w:rsidRPr="00097B20">
        <w:rPr>
          <w:sz w:val="20"/>
          <w:szCs w:val="20"/>
          <w:lang w:val="en-US"/>
        </w:rPr>
        <w:t xml:space="preserve"> and </w:t>
      </w:r>
      <w:r w:rsidR="00D6176C" w:rsidRPr="00F74FE7">
        <w:rPr>
          <w:sz w:val="20"/>
          <w:szCs w:val="20"/>
          <w:lang w:val="en-US"/>
        </w:rPr>
        <w:t>Uzbekistan.</w:t>
      </w:r>
    </w:p>
    <w:p w:rsidR="00244286" w:rsidRPr="00D54000" w:rsidRDefault="00244286" w:rsidP="00D54000">
      <w:pPr>
        <w:pStyle w:val="ListParagraph"/>
        <w:tabs>
          <w:tab w:val="left" w:pos="1080"/>
        </w:tabs>
        <w:rPr>
          <w:rFonts w:ascii="Times New Roman" w:hAnsi="Times New Roman"/>
          <w:sz w:val="12"/>
          <w:szCs w:val="12"/>
        </w:rPr>
      </w:pPr>
    </w:p>
    <w:p w:rsidR="00244286" w:rsidRPr="00F74FE7" w:rsidRDefault="00D6176C" w:rsidP="00D54000">
      <w:pPr>
        <w:pStyle w:val="ListParagraph"/>
        <w:numPr>
          <w:ilvl w:val="0"/>
          <w:numId w:val="11"/>
        </w:numPr>
        <w:tabs>
          <w:tab w:val="left" w:pos="1080"/>
        </w:tabs>
        <w:spacing w:after="0" w:line="240" w:lineRule="auto"/>
        <w:ind w:firstLine="0"/>
        <w:jc w:val="both"/>
        <w:rPr>
          <w:rFonts w:ascii="Times New Roman" w:hAnsi="Times New Roman"/>
          <w:i/>
          <w:iCs/>
          <w:sz w:val="20"/>
          <w:szCs w:val="20"/>
          <w:lang w:val="tr-TR"/>
        </w:rPr>
      </w:pPr>
      <w:r w:rsidRPr="005173FB">
        <w:rPr>
          <w:rFonts w:ascii="Times New Roman" w:hAnsi="Times New Roman"/>
          <w:sz w:val="20"/>
          <w:szCs w:val="20"/>
        </w:rPr>
        <w:t>Between 2014</w:t>
      </w:r>
      <w:r w:rsidR="005173FB">
        <w:rPr>
          <w:rFonts w:ascii="Times New Roman" w:hAnsi="Times New Roman"/>
          <w:sz w:val="20"/>
          <w:szCs w:val="20"/>
        </w:rPr>
        <w:t xml:space="preserve"> and </w:t>
      </w:r>
      <w:r w:rsidRPr="005173FB">
        <w:rPr>
          <w:rFonts w:ascii="Times New Roman" w:hAnsi="Times New Roman"/>
          <w:sz w:val="20"/>
          <w:szCs w:val="20"/>
        </w:rPr>
        <w:t>2017, UNDP supported 57 countries to enable institutions and systems to address awareness, prevention and enforcement of anti-corruption measures. A total of 118 new proposals were adopted to mitigate sector</w:t>
      </w:r>
      <w:r w:rsidR="005173FB">
        <w:rPr>
          <w:rFonts w:ascii="Times New Roman" w:hAnsi="Times New Roman"/>
          <w:sz w:val="20"/>
          <w:szCs w:val="20"/>
        </w:rPr>
        <w:t>-</w:t>
      </w:r>
      <w:r w:rsidRPr="005173FB">
        <w:rPr>
          <w:rFonts w:ascii="Times New Roman" w:hAnsi="Times New Roman"/>
          <w:sz w:val="20"/>
          <w:szCs w:val="20"/>
        </w:rPr>
        <w:t>specific corruption risks.</w:t>
      </w:r>
      <w:r w:rsidRPr="00F74FE7">
        <w:rPr>
          <w:rFonts w:ascii="Times New Roman" w:hAnsi="Times New Roman"/>
          <w:sz w:val="20"/>
          <w:szCs w:val="20"/>
        </w:rPr>
        <w:t xml:space="preserve"> The 2017 evaluation </w:t>
      </w:r>
      <w:r w:rsidR="00A16D28">
        <w:rPr>
          <w:rFonts w:ascii="Times New Roman" w:hAnsi="Times New Roman"/>
          <w:sz w:val="20"/>
          <w:szCs w:val="20"/>
        </w:rPr>
        <w:t>of</w:t>
      </w:r>
      <w:r w:rsidR="005173FB">
        <w:rPr>
          <w:rFonts w:ascii="Times New Roman" w:hAnsi="Times New Roman"/>
          <w:sz w:val="20"/>
          <w:szCs w:val="20"/>
        </w:rPr>
        <w:t xml:space="preserve"> the </w:t>
      </w:r>
      <w:r w:rsidRPr="00F74FE7">
        <w:rPr>
          <w:rFonts w:ascii="Times New Roman" w:hAnsi="Times New Roman"/>
          <w:sz w:val="20"/>
          <w:szCs w:val="20"/>
        </w:rPr>
        <w:t xml:space="preserve">UNDP </w:t>
      </w:r>
      <w:r w:rsidR="005173FB">
        <w:rPr>
          <w:rFonts w:ascii="Times New Roman" w:hAnsi="Times New Roman"/>
          <w:sz w:val="20"/>
          <w:szCs w:val="20"/>
        </w:rPr>
        <w:t>c</w:t>
      </w:r>
      <w:r w:rsidR="005173FB" w:rsidRPr="00F74FE7">
        <w:rPr>
          <w:rFonts w:ascii="Times New Roman" w:hAnsi="Times New Roman"/>
          <w:sz w:val="20"/>
          <w:szCs w:val="20"/>
        </w:rPr>
        <w:t xml:space="preserve">ontribution </w:t>
      </w:r>
      <w:r w:rsidRPr="00F74FE7">
        <w:rPr>
          <w:rFonts w:ascii="Times New Roman" w:hAnsi="Times New Roman"/>
          <w:sz w:val="20"/>
          <w:szCs w:val="20"/>
        </w:rPr>
        <w:t xml:space="preserve">to </w:t>
      </w:r>
      <w:r w:rsidR="005173FB">
        <w:rPr>
          <w:rFonts w:ascii="Times New Roman" w:hAnsi="Times New Roman"/>
          <w:sz w:val="20"/>
          <w:szCs w:val="20"/>
        </w:rPr>
        <w:t>a</w:t>
      </w:r>
      <w:r w:rsidR="005173FB" w:rsidRPr="00F74FE7">
        <w:rPr>
          <w:rFonts w:ascii="Times New Roman" w:hAnsi="Times New Roman"/>
          <w:sz w:val="20"/>
          <w:szCs w:val="20"/>
        </w:rPr>
        <w:t>nti</w:t>
      </w:r>
      <w:r w:rsidRPr="00F74FE7">
        <w:rPr>
          <w:rFonts w:ascii="Times New Roman" w:hAnsi="Times New Roman"/>
          <w:sz w:val="20"/>
          <w:szCs w:val="20"/>
        </w:rPr>
        <w:t>-</w:t>
      </w:r>
      <w:r w:rsidRPr="003C39AF">
        <w:rPr>
          <w:rFonts w:ascii="Times New Roman" w:hAnsi="Times New Roman"/>
          <w:sz w:val="20"/>
          <w:szCs w:val="20"/>
        </w:rPr>
        <w:t xml:space="preserve">corruption and </w:t>
      </w:r>
      <w:r w:rsidR="005173FB">
        <w:rPr>
          <w:rFonts w:ascii="Times New Roman" w:hAnsi="Times New Roman"/>
          <w:sz w:val="20"/>
          <w:szCs w:val="20"/>
        </w:rPr>
        <w:t>a</w:t>
      </w:r>
      <w:r w:rsidR="005173FB" w:rsidRPr="003C39AF">
        <w:rPr>
          <w:rFonts w:ascii="Times New Roman" w:hAnsi="Times New Roman"/>
          <w:sz w:val="20"/>
          <w:szCs w:val="20"/>
        </w:rPr>
        <w:t xml:space="preserve">ddressing </w:t>
      </w:r>
      <w:r w:rsidR="005173FB">
        <w:rPr>
          <w:rFonts w:ascii="Times New Roman" w:hAnsi="Times New Roman"/>
          <w:sz w:val="20"/>
          <w:szCs w:val="20"/>
        </w:rPr>
        <w:t>d</w:t>
      </w:r>
      <w:r w:rsidR="005173FB" w:rsidRPr="003C39AF">
        <w:rPr>
          <w:rFonts w:ascii="Times New Roman" w:hAnsi="Times New Roman"/>
          <w:sz w:val="20"/>
          <w:szCs w:val="20"/>
        </w:rPr>
        <w:t xml:space="preserve">rivers </w:t>
      </w:r>
      <w:r w:rsidRPr="003C39AF">
        <w:rPr>
          <w:rFonts w:ascii="Times New Roman" w:hAnsi="Times New Roman"/>
          <w:sz w:val="20"/>
          <w:szCs w:val="20"/>
        </w:rPr>
        <w:t xml:space="preserve">of </w:t>
      </w:r>
      <w:r w:rsidR="005173FB">
        <w:rPr>
          <w:rFonts w:ascii="Times New Roman" w:hAnsi="Times New Roman"/>
          <w:sz w:val="20"/>
          <w:szCs w:val="20"/>
        </w:rPr>
        <w:t>c</w:t>
      </w:r>
      <w:r w:rsidR="005173FB" w:rsidRPr="003C39AF">
        <w:rPr>
          <w:rFonts w:ascii="Times New Roman" w:hAnsi="Times New Roman"/>
          <w:sz w:val="20"/>
          <w:szCs w:val="20"/>
        </w:rPr>
        <w:t>orruption</w:t>
      </w:r>
      <w:r w:rsidR="00B528FF">
        <w:rPr>
          <w:rFonts w:ascii="Times New Roman" w:hAnsi="Times New Roman"/>
          <w:sz w:val="20"/>
          <w:szCs w:val="20"/>
        </w:rPr>
        <w:t xml:space="preserve"> (</w:t>
      </w:r>
      <w:hyperlink r:id="rId14" w:history="1">
        <w:r w:rsidR="00B528FF" w:rsidRPr="00426E59">
          <w:rPr>
            <w:rStyle w:val="Hyperlink"/>
            <w:rFonts w:ascii="Times New Roman" w:hAnsi="Times New Roman"/>
            <w:sz w:val="20"/>
            <w:szCs w:val="20"/>
          </w:rPr>
          <w:t>DP/2017/4</w:t>
        </w:r>
      </w:hyperlink>
      <w:r w:rsidR="00B528FF">
        <w:rPr>
          <w:rFonts w:ascii="Times New Roman" w:hAnsi="Times New Roman"/>
          <w:sz w:val="20"/>
          <w:szCs w:val="20"/>
        </w:rPr>
        <w:t>)</w:t>
      </w:r>
      <w:r w:rsidRPr="00A92A30">
        <w:rPr>
          <w:rFonts w:ascii="Times New Roman" w:hAnsi="Times New Roman"/>
          <w:sz w:val="20"/>
          <w:szCs w:val="20"/>
        </w:rPr>
        <w:t xml:space="preserve"> concluded that UNDP anti-corruption efforts had been significant, focusing on building national anti-corruption capacities, strengthening institutions and promoting corruption risk a</w:t>
      </w:r>
      <w:r w:rsidRPr="00097B20">
        <w:rPr>
          <w:rFonts w:ascii="Times New Roman" w:hAnsi="Times New Roman"/>
          <w:sz w:val="20"/>
          <w:szCs w:val="20"/>
        </w:rPr>
        <w:t>ssessments in some service delivery sectors.</w:t>
      </w:r>
      <w:r w:rsidR="00244286" w:rsidRPr="00097B20">
        <w:rPr>
          <w:rFonts w:ascii="Times New Roman" w:hAnsi="Times New Roman"/>
          <w:sz w:val="20"/>
          <w:szCs w:val="20"/>
        </w:rPr>
        <w:t xml:space="preserve">  </w:t>
      </w:r>
      <w:r w:rsidR="00244286" w:rsidRPr="00F74FE7">
        <w:rPr>
          <w:rFonts w:ascii="Times New Roman" w:hAnsi="Times New Roman"/>
          <w:i/>
          <w:iCs/>
          <w:sz w:val="20"/>
          <w:szCs w:val="20"/>
          <w:lang w:val="tr-TR"/>
        </w:rPr>
        <w:t xml:space="preserve"> </w:t>
      </w:r>
    </w:p>
    <w:p w:rsidR="00244286" w:rsidRPr="00D54000" w:rsidRDefault="00244286" w:rsidP="00D54000">
      <w:pPr>
        <w:tabs>
          <w:tab w:val="left" w:pos="1080"/>
        </w:tabs>
        <w:spacing w:after="0" w:line="0" w:lineRule="atLeast"/>
        <w:rPr>
          <w:rFonts w:ascii="Times New Roman" w:eastAsiaTheme="minorEastAsia" w:hAnsi="Times New Roman"/>
          <w:sz w:val="12"/>
          <w:szCs w:val="12"/>
          <w:lang w:val="tr-TR"/>
        </w:rPr>
      </w:pPr>
    </w:p>
    <w:p w:rsidR="00F94BD9" w:rsidRDefault="00D6176C" w:rsidP="00D54000">
      <w:pPr>
        <w:pStyle w:val="ListParagraph"/>
        <w:numPr>
          <w:ilvl w:val="0"/>
          <w:numId w:val="11"/>
        </w:numPr>
        <w:tabs>
          <w:tab w:val="left" w:pos="1080"/>
        </w:tabs>
        <w:spacing w:after="0" w:line="0" w:lineRule="atLeast"/>
        <w:ind w:firstLine="0"/>
        <w:jc w:val="both"/>
        <w:rPr>
          <w:rFonts w:ascii="Times New Roman" w:hAnsi="Times New Roman"/>
          <w:sz w:val="20"/>
          <w:szCs w:val="20"/>
          <w:lang w:val="en-US"/>
        </w:rPr>
      </w:pPr>
      <w:r w:rsidRPr="00562C16">
        <w:rPr>
          <w:rFonts w:ascii="Times New Roman" w:hAnsi="Times New Roman"/>
          <w:sz w:val="20"/>
          <w:szCs w:val="20"/>
          <w:lang w:val="en-US"/>
        </w:rPr>
        <w:t xml:space="preserve">UNDP continued to work with a range of partners to promote, protect and expand spaces </w:t>
      </w:r>
      <w:r w:rsidR="00562C16">
        <w:rPr>
          <w:rFonts w:ascii="Times New Roman" w:hAnsi="Times New Roman"/>
          <w:sz w:val="20"/>
          <w:szCs w:val="20"/>
          <w:lang w:val="en-US"/>
        </w:rPr>
        <w:t>for</w:t>
      </w:r>
      <w:r w:rsidR="00562C16" w:rsidRPr="00562C16">
        <w:rPr>
          <w:rFonts w:ascii="Times New Roman" w:hAnsi="Times New Roman"/>
          <w:sz w:val="20"/>
          <w:szCs w:val="20"/>
          <w:lang w:val="en-US"/>
        </w:rPr>
        <w:t xml:space="preserve"> </w:t>
      </w:r>
      <w:r w:rsidRPr="00562C16">
        <w:rPr>
          <w:rFonts w:ascii="Times New Roman" w:hAnsi="Times New Roman"/>
          <w:sz w:val="20"/>
          <w:szCs w:val="20"/>
          <w:lang w:val="en-US"/>
        </w:rPr>
        <w:t xml:space="preserve">active, free and meaningful citizen participation, including the inclusion of youth and </w:t>
      </w:r>
      <w:r w:rsidR="004F6BB4" w:rsidRPr="00562C16">
        <w:rPr>
          <w:rFonts w:ascii="Times New Roman" w:hAnsi="Times New Roman"/>
          <w:sz w:val="20"/>
          <w:szCs w:val="20"/>
          <w:lang w:val="en-US"/>
        </w:rPr>
        <w:t>people with disabilities.</w:t>
      </w:r>
      <w:r w:rsidRPr="00562C16">
        <w:rPr>
          <w:rFonts w:ascii="Times New Roman" w:hAnsi="Times New Roman"/>
          <w:sz w:val="20"/>
          <w:szCs w:val="20"/>
          <w:lang w:val="en-US"/>
        </w:rPr>
        <w:t xml:space="preserve"> In Viet Nam, UNDP supported survey-based government performance feedback systems to channel citizen voices</w:t>
      </w:r>
      <w:r w:rsidR="00C6013E" w:rsidRPr="00562C16">
        <w:rPr>
          <w:rFonts w:ascii="Times New Roman" w:hAnsi="Times New Roman"/>
          <w:sz w:val="20"/>
          <w:szCs w:val="20"/>
          <w:lang w:val="en-US"/>
        </w:rPr>
        <w:t xml:space="preserve"> </w:t>
      </w:r>
      <w:r w:rsidRPr="00562C16">
        <w:rPr>
          <w:rFonts w:ascii="Times New Roman" w:hAnsi="Times New Roman"/>
          <w:sz w:val="20"/>
          <w:szCs w:val="20"/>
          <w:lang w:val="en-US"/>
        </w:rPr>
        <w:t xml:space="preserve">and established a youth-led network for </w:t>
      </w:r>
      <w:r w:rsidR="00562C16">
        <w:rPr>
          <w:rFonts w:ascii="Times New Roman" w:hAnsi="Times New Roman"/>
          <w:sz w:val="20"/>
          <w:szCs w:val="20"/>
          <w:lang w:val="en-US"/>
        </w:rPr>
        <w:t xml:space="preserve">the Sustainable Development Goals </w:t>
      </w:r>
      <w:r w:rsidR="00426E59">
        <w:rPr>
          <w:rFonts w:ascii="Times New Roman" w:hAnsi="Times New Roman"/>
          <w:sz w:val="20"/>
          <w:szCs w:val="20"/>
          <w:lang w:val="en-US"/>
        </w:rPr>
        <w:t>which</w:t>
      </w:r>
      <w:r w:rsidRPr="00562C16">
        <w:rPr>
          <w:rFonts w:ascii="Times New Roman" w:hAnsi="Times New Roman"/>
          <w:sz w:val="20"/>
          <w:szCs w:val="20"/>
          <w:lang w:val="en-US"/>
        </w:rPr>
        <w:t xml:space="preserve"> has 45</w:t>
      </w:r>
      <w:r w:rsidR="00DF025A">
        <w:rPr>
          <w:rFonts w:ascii="Times New Roman" w:hAnsi="Times New Roman"/>
          <w:sz w:val="20"/>
          <w:szCs w:val="20"/>
          <w:lang w:val="en-US"/>
        </w:rPr>
        <w:t xml:space="preserve"> </w:t>
      </w:r>
      <w:r w:rsidRPr="00562C16">
        <w:rPr>
          <w:rFonts w:ascii="Times New Roman" w:hAnsi="Times New Roman"/>
          <w:sz w:val="20"/>
          <w:szCs w:val="20"/>
          <w:lang w:val="en-US"/>
        </w:rPr>
        <w:t xml:space="preserve">member organizations and reached over 9,000 individuals on </w:t>
      </w:r>
      <w:r w:rsidRPr="00562C16">
        <w:rPr>
          <w:rFonts w:ascii="Times New Roman" w:hAnsi="Times New Roman"/>
          <w:sz w:val="20"/>
          <w:szCs w:val="20"/>
          <w:lang w:val="en-US"/>
        </w:rPr>
        <w:lastRenderedPageBreak/>
        <w:t xml:space="preserve">social media. In the Arab States, </w:t>
      </w:r>
      <w:r w:rsidR="00562C16">
        <w:rPr>
          <w:rFonts w:ascii="Times New Roman" w:hAnsi="Times New Roman"/>
          <w:sz w:val="20"/>
          <w:szCs w:val="20"/>
          <w:lang w:val="en-US"/>
        </w:rPr>
        <w:t>“</w:t>
      </w:r>
      <w:r w:rsidRPr="00562C16">
        <w:rPr>
          <w:rFonts w:ascii="Times New Roman" w:hAnsi="Times New Roman"/>
          <w:sz w:val="20"/>
          <w:szCs w:val="20"/>
          <w:lang w:val="en-US"/>
        </w:rPr>
        <w:t>Shughel Shabab</w:t>
      </w:r>
      <w:r w:rsidR="00562C16">
        <w:rPr>
          <w:rFonts w:ascii="Times New Roman" w:hAnsi="Times New Roman"/>
          <w:sz w:val="20"/>
          <w:szCs w:val="20"/>
          <w:lang w:val="en-US"/>
        </w:rPr>
        <w:t>”</w:t>
      </w:r>
      <w:r w:rsidRPr="00562C16">
        <w:rPr>
          <w:rFonts w:ascii="Times New Roman" w:hAnsi="Times New Roman"/>
          <w:sz w:val="20"/>
          <w:szCs w:val="20"/>
          <w:lang w:val="en-US"/>
        </w:rPr>
        <w:t xml:space="preserve">, a regional campaign </w:t>
      </w:r>
      <w:r w:rsidR="00562C16">
        <w:rPr>
          <w:rFonts w:ascii="Times New Roman" w:hAnsi="Times New Roman"/>
          <w:sz w:val="20"/>
          <w:szCs w:val="20"/>
          <w:lang w:val="en-US"/>
        </w:rPr>
        <w:t xml:space="preserve">supported by UNDP and the United Nations Educational, Scientific and Cultural Organization (UNESCO) that is </w:t>
      </w:r>
      <w:r w:rsidRPr="00562C16">
        <w:rPr>
          <w:rFonts w:ascii="Times New Roman" w:hAnsi="Times New Roman"/>
          <w:sz w:val="20"/>
          <w:szCs w:val="20"/>
          <w:lang w:val="en-US"/>
        </w:rPr>
        <w:t>run by a group of young people from seven countries, advocate</w:t>
      </w:r>
      <w:r w:rsidR="005B7B6D" w:rsidRPr="00562C16">
        <w:rPr>
          <w:rFonts w:ascii="Times New Roman" w:hAnsi="Times New Roman"/>
          <w:sz w:val="20"/>
          <w:szCs w:val="20"/>
          <w:lang w:val="en-US"/>
        </w:rPr>
        <w:t>d</w:t>
      </w:r>
      <w:r w:rsidRPr="00562C16">
        <w:rPr>
          <w:rFonts w:ascii="Times New Roman" w:hAnsi="Times New Roman"/>
          <w:sz w:val="20"/>
          <w:szCs w:val="20"/>
          <w:lang w:val="en-US"/>
        </w:rPr>
        <w:t xml:space="preserve"> for youth inclusion in community peacebuilding and reached 11,000 youth followers. </w:t>
      </w:r>
      <w:bookmarkStart w:id="4" w:name="_Hlk510561339"/>
      <w:r w:rsidRPr="00562C16">
        <w:rPr>
          <w:rFonts w:ascii="Times New Roman" w:hAnsi="Times New Roman"/>
          <w:sz w:val="20"/>
          <w:szCs w:val="20"/>
          <w:lang w:val="en-US"/>
        </w:rPr>
        <w:t xml:space="preserve">In </w:t>
      </w:r>
      <w:r w:rsidRPr="00562C16">
        <w:rPr>
          <w:rFonts w:ascii="Times New Roman" w:hAnsi="Times New Roman"/>
          <w:bCs/>
          <w:sz w:val="20"/>
          <w:szCs w:val="20"/>
          <w:lang w:val="en-US"/>
        </w:rPr>
        <w:t>Tajikistan</w:t>
      </w:r>
      <w:r w:rsidRPr="00562C16">
        <w:rPr>
          <w:rFonts w:ascii="Times New Roman" w:hAnsi="Times New Roman"/>
          <w:sz w:val="20"/>
          <w:szCs w:val="20"/>
          <w:lang w:val="en-US"/>
        </w:rPr>
        <w:t>, UNDP</w:t>
      </w:r>
      <w:r w:rsidRPr="00093F46">
        <w:rPr>
          <w:rFonts w:ascii="Times New Roman" w:hAnsi="Times New Roman"/>
          <w:sz w:val="20"/>
          <w:szCs w:val="20"/>
          <w:lang w:val="en-US"/>
        </w:rPr>
        <w:t xml:space="preserve"> supported the adoption of the Convention on the Rights of Persons with Disabilities through high</w:t>
      </w:r>
      <w:r w:rsidR="00562C16">
        <w:rPr>
          <w:rFonts w:ascii="Times New Roman" w:hAnsi="Times New Roman"/>
          <w:sz w:val="20"/>
          <w:szCs w:val="20"/>
          <w:lang w:val="en-US"/>
        </w:rPr>
        <w:t>-</w:t>
      </w:r>
      <w:r w:rsidRPr="00093F46">
        <w:rPr>
          <w:rFonts w:ascii="Times New Roman" w:hAnsi="Times New Roman"/>
          <w:sz w:val="20"/>
          <w:szCs w:val="20"/>
          <w:lang w:val="en-US"/>
        </w:rPr>
        <w:t xml:space="preserve">level advocacy and analysis of the legislative, economic and functional implications of joining the Convention, leading to </w:t>
      </w:r>
      <w:r w:rsidR="00562C16">
        <w:rPr>
          <w:rFonts w:ascii="Times New Roman" w:hAnsi="Times New Roman"/>
          <w:sz w:val="20"/>
          <w:szCs w:val="20"/>
          <w:lang w:val="en-US"/>
        </w:rPr>
        <w:t xml:space="preserve">the inclusion of </w:t>
      </w:r>
      <w:r w:rsidRPr="00093F46">
        <w:rPr>
          <w:rFonts w:ascii="Times New Roman" w:hAnsi="Times New Roman"/>
          <w:sz w:val="20"/>
          <w:szCs w:val="20"/>
          <w:lang w:val="en-US"/>
        </w:rPr>
        <w:t xml:space="preserve">disability in the National Development Strategy. </w:t>
      </w:r>
      <w:bookmarkEnd w:id="4"/>
    </w:p>
    <w:p w:rsidR="00F74FE7" w:rsidRPr="00F74FE7" w:rsidRDefault="00F74FE7" w:rsidP="00F74FE7">
      <w:pPr>
        <w:spacing w:after="0" w:line="0" w:lineRule="atLeast"/>
        <w:jc w:val="both"/>
        <w:rPr>
          <w:rFonts w:ascii="Times New Roman" w:hAnsi="Times New Roman"/>
          <w:sz w:val="20"/>
          <w:szCs w:val="20"/>
          <w:lang w:val="en-US"/>
        </w:rPr>
      </w:pPr>
    </w:p>
    <w:p w:rsidR="00D6176C" w:rsidRDefault="00D6176C" w:rsidP="00684775">
      <w:pPr>
        <w:pStyle w:val="ListParagraph"/>
        <w:widowControl w:val="0"/>
        <w:spacing w:after="120" w:line="240" w:lineRule="auto"/>
        <w:ind w:left="0"/>
        <w:contextualSpacing w:val="0"/>
        <w:jc w:val="both"/>
        <w:rPr>
          <w:rFonts w:ascii="Times New Roman" w:hAnsi="Times New Roman"/>
          <w:b/>
          <w:sz w:val="24"/>
          <w:szCs w:val="20"/>
        </w:rPr>
      </w:pPr>
      <w:r w:rsidRPr="003F5460">
        <w:rPr>
          <w:rFonts w:ascii="Times New Roman" w:hAnsi="Times New Roman"/>
          <w:b/>
          <w:sz w:val="24"/>
          <w:szCs w:val="20"/>
        </w:rPr>
        <w:t>Outcome 3. Institutions enabled to deliver universal access to basic services</w:t>
      </w:r>
    </w:p>
    <w:tbl>
      <w:tblPr>
        <w:tblW w:w="94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1"/>
        <w:gridCol w:w="1847"/>
        <w:gridCol w:w="943"/>
        <w:gridCol w:w="943"/>
        <w:gridCol w:w="943"/>
        <w:gridCol w:w="988"/>
        <w:gridCol w:w="988"/>
        <w:gridCol w:w="1165"/>
        <w:gridCol w:w="1165"/>
      </w:tblGrid>
      <w:tr w:rsidR="00D6176C" w:rsidRPr="00EE7DC1" w:rsidTr="005B6C71">
        <w:trPr>
          <w:trHeight w:val="303"/>
        </w:trPr>
        <w:tc>
          <w:tcPr>
            <w:tcW w:w="2278" w:type="dxa"/>
            <w:gridSpan w:val="2"/>
            <w:vMerge w:val="restart"/>
            <w:tcBorders>
              <w:top w:val="single" w:sz="12" w:space="0" w:color="auto"/>
            </w:tcBorders>
            <w:shd w:val="clear" w:color="auto" w:fill="F3F3F3"/>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Output</w:t>
            </w:r>
          </w:p>
        </w:tc>
        <w:tc>
          <w:tcPr>
            <w:tcW w:w="3817" w:type="dxa"/>
            <w:gridSpan w:val="4"/>
            <w:tcBorders>
              <w:top w:val="single" w:sz="12" w:space="0" w:color="auto"/>
              <w:bottom w:val="single" w:sz="8" w:space="0" w:color="auto"/>
            </w:tcBorders>
            <w:shd w:val="clear" w:color="auto" w:fill="F3F3F3"/>
            <w:vAlign w:val="bottom"/>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Performance against milestones</w:t>
            </w:r>
          </w:p>
        </w:tc>
        <w:tc>
          <w:tcPr>
            <w:tcW w:w="988" w:type="dxa"/>
            <w:vMerge w:val="restart"/>
            <w:tcBorders>
              <w:top w:val="single" w:sz="12" w:space="0" w:color="auto"/>
            </w:tcBorders>
            <w:shd w:val="clear" w:color="auto" w:fill="F3F3F3"/>
            <w:vAlign w:val="bottom"/>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Number of countries supported</w:t>
            </w:r>
          </w:p>
        </w:tc>
        <w:tc>
          <w:tcPr>
            <w:tcW w:w="1165" w:type="dxa"/>
            <w:vMerge w:val="restart"/>
            <w:tcBorders>
              <w:top w:val="single" w:sz="12"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Proportion of countries achieved target</w:t>
            </w:r>
          </w:p>
        </w:tc>
        <w:tc>
          <w:tcPr>
            <w:tcW w:w="1165" w:type="dxa"/>
            <w:vMerge w:val="restart"/>
            <w:tcBorders>
              <w:top w:val="single" w:sz="12" w:space="0" w:color="auto"/>
            </w:tcBorders>
            <w:shd w:val="clear" w:color="auto" w:fill="F3F3F3"/>
            <w:vAlign w:val="bottom"/>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2017 gender performance vs. overall</w:t>
            </w:r>
          </w:p>
        </w:tc>
      </w:tr>
      <w:tr w:rsidR="00D6176C" w:rsidRPr="00EE7DC1" w:rsidTr="005B6C71">
        <w:trPr>
          <w:trHeight w:val="340"/>
        </w:trPr>
        <w:tc>
          <w:tcPr>
            <w:tcW w:w="2278" w:type="dxa"/>
            <w:gridSpan w:val="2"/>
            <w:vMerge/>
            <w:tcBorders>
              <w:bottom w:val="single" w:sz="6" w:space="0" w:color="auto"/>
            </w:tcBorders>
            <w:shd w:val="clear" w:color="auto" w:fill="F3F3F3"/>
            <w:vAlign w:val="bottom"/>
          </w:tcPr>
          <w:p w:rsidR="00D6176C" w:rsidRPr="00EE7DC1" w:rsidRDefault="00D6176C" w:rsidP="005B6C71">
            <w:pPr>
              <w:spacing w:after="0"/>
              <w:jc w:val="both"/>
              <w:rPr>
                <w:rFonts w:ascii="Times New Roman" w:eastAsia="Times New Roman" w:hAnsi="Times New Roman"/>
                <w:b/>
                <w:bCs/>
                <w:sz w:val="16"/>
                <w:szCs w:val="16"/>
              </w:rPr>
            </w:pPr>
          </w:p>
        </w:tc>
        <w:tc>
          <w:tcPr>
            <w:tcW w:w="943" w:type="dxa"/>
            <w:tcBorders>
              <w:top w:val="single" w:sz="8" w:space="0" w:color="auto"/>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2014</w:t>
            </w:r>
          </w:p>
        </w:tc>
        <w:tc>
          <w:tcPr>
            <w:tcW w:w="943" w:type="dxa"/>
            <w:tcBorders>
              <w:top w:val="single" w:sz="8" w:space="0" w:color="auto"/>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2015</w:t>
            </w:r>
          </w:p>
        </w:tc>
        <w:tc>
          <w:tcPr>
            <w:tcW w:w="943" w:type="dxa"/>
            <w:tcBorders>
              <w:top w:val="single" w:sz="8" w:space="0" w:color="auto"/>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2016</w:t>
            </w:r>
          </w:p>
        </w:tc>
        <w:tc>
          <w:tcPr>
            <w:tcW w:w="988" w:type="dxa"/>
            <w:tcBorders>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2017</w:t>
            </w:r>
          </w:p>
        </w:tc>
        <w:tc>
          <w:tcPr>
            <w:tcW w:w="988" w:type="dxa"/>
            <w:vMerge/>
            <w:tcBorders>
              <w:bottom w:val="single" w:sz="6" w:space="0" w:color="auto"/>
            </w:tcBorders>
            <w:shd w:val="clear" w:color="auto" w:fill="F3F3F3"/>
            <w:vAlign w:val="bottom"/>
          </w:tcPr>
          <w:p w:rsidR="00D6176C" w:rsidRPr="00EE7DC1" w:rsidRDefault="00D6176C" w:rsidP="005B6C71">
            <w:pPr>
              <w:spacing w:after="0"/>
              <w:jc w:val="center"/>
              <w:rPr>
                <w:rFonts w:ascii="Times New Roman" w:eastAsia="Times New Roman" w:hAnsi="Times New Roman"/>
                <w:b/>
                <w:bCs/>
                <w:sz w:val="16"/>
                <w:szCs w:val="16"/>
              </w:rPr>
            </w:pPr>
          </w:p>
        </w:tc>
        <w:tc>
          <w:tcPr>
            <w:tcW w:w="1165" w:type="dxa"/>
            <w:vMerge/>
            <w:tcBorders>
              <w:bottom w:val="single" w:sz="6" w:space="0" w:color="auto"/>
            </w:tcBorders>
            <w:shd w:val="clear" w:color="auto" w:fill="F3F3F3"/>
          </w:tcPr>
          <w:p w:rsidR="00D6176C" w:rsidRPr="00EE7DC1" w:rsidRDefault="00D6176C" w:rsidP="005B6C71">
            <w:pPr>
              <w:spacing w:after="0"/>
              <w:jc w:val="center"/>
              <w:rPr>
                <w:rFonts w:ascii="Times New Roman" w:eastAsia="Times New Roman" w:hAnsi="Times New Roman"/>
                <w:b/>
                <w:bCs/>
                <w:sz w:val="16"/>
                <w:szCs w:val="16"/>
              </w:rPr>
            </w:pPr>
          </w:p>
        </w:tc>
        <w:tc>
          <w:tcPr>
            <w:tcW w:w="1165" w:type="dxa"/>
            <w:vMerge/>
            <w:tcBorders>
              <w:bottom w:val="single" w:sz="6" w:space="0" w:color="auto"/>
            </w:tcBorders>
            <w:shd w:val="clear" w:color="auto" w:fill="F3F3F3"/>
            <w:vAlign w:val="bottom"/>
          </w:tcPr>
          <w:p w:rsidR="00D6176C" w:rsidRPr="00EE7DC1" w:rsidRDefault="00D6176C" w:rsidP="005B6C71">
            <w:pPr>
              <w:spacing w:after="0"/>
              <w:jc w:val="center"/>
              <w:rPr>
                <w:rFonts w:ascii="Times New Roman" w:eastAsia="Times New Roman" w:hAnsi="Times New Roman"/>
                <w:b/>
                <w:bCs/>
                <w:sz w:val="16"/>
                <w:szCs w:val="16"/>
              </w:rPr>
            </w:pPr>
          </w:p>
        </w:tc>
      </w:tr>
      <w:tr w:rsidR="00D6176C" w:rsidRPr="00EE7DC1" w:rsidTr="005B6C71">
        <w:trPr>
          <w:trHeight w:val="255"/>
        </w:trPr>
        <w:tc>
          <w:tcPr>
            <w:tcW w:w="431" w:type="dxa"/>
            <w:tcBorders>
              <w:top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3.1</w:t>
            </w:r>
          </w:p>
        </w:tc>
        <w:tc>
          <w:tcPr>
            <w:tcW w:w="1847" w:type="dxa"/>
            <w:tcBorders>
              <w:top w:val="single" w:sz="6" w:space="0" w:color="auto"/>
            </w:tcBorders>
            <w:shd w:val="clear" w:color="auto" w:fill="auto"/>
            <w:vAlign w:val="center"/>
          </w:tcPr>
          <w:p w:rsidR="00D6176C" w:rsidRPr="00EE7DC1" w:rsidRDefault="00D6176C" w:rsidP="005B6C71">
            <w:pPr>
              <w:spacing w:after="0"/>
              <w:rPr>
                <w:rFonts w:ascii="Times New Roman" w:eastAsia="Times New Roman" w:hAnsi="Times New Roman"/>
                <w:b/>
                <w:bCs/>
                <w:sz w:val="16"/>
                <w:szCs w:val="16"/>
              </w:rPr>
            </w:pPr>
            <w:r w:rsidRPr="00EE7DC1">
              <w:rPr>
                <w:rFonts w:ascii="Times New Roman" w:hAnsi="Times New Roman"/>
                <w:color w:val="000000"/>
                <w:sz w:val="16"/>
                <w:szCs w:val="16"/>
              </w:rPr>
              <w:t>National ownership of recovery and development processes</w:t>
            </w:r>
          </w:p>
        </w:tc>
        <w:tc>
          <w:tcPr>
            <w:tcW w:w="943" w:type="dxa"/>
            <w:tcBorders>
              <w:top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150%</w:t>
            </w:r>
          </w:p>
        </w:tc>
        <w:tc>
          <w:tcPr>
            <w:tcW w:w="943" w:type="dxa"/>
            <w:tcBorders>
              <w:top w:val="single" w:sz="6" w:space="0" w:color="auto"/>
              <w:bottom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103%</w:t>
            </w:r>
          </w:p>
        </w:tc>
        <w:tc>
          <w:tcPr>
            <w:tcW w:w="943" w:type="dxa"/>
            <w:tcBorders>
              <w:top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102%</w:t>
            </w:r>
          </w:p>
        </w:tc>
        <w:tc>
          <w:tcPr>
            <w:tcW w:w="988" w:type="dxa"/>
            <w:tcBorders>
              <w:top w:val="single" w:sz="6" w:space="0" w:color="auto"/>
            </w:tcBorders>
            <w:shd w:val="clear" w:color="auto" w:fill="FFC00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90%</w:t>
            </w:r>
          </w:p>
        </w:tc>
        <w:tc>
          <w:tcPr>
            <w:tcW w:w="988" w:type="dxa"/>
            <w:tcBorders>
              <w:top w:val="single" w:sz="6" w:space="0" w:color="auto"/>
            </w:tcBorders>
            <w:shd w:val="clear" w:color="auto" w:fill="auto"/>
            <w:noWrap/>
            <w:vAlign w:val="center"/>
            <w:hideMark/>
          </w:tcPr>
          <w:p w:rsidR="00D6176C" w:rsidRPr="00EE7DC1" w:rsidRDefault="00802B98"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33</w:t>
            </w:r>
          </w:p>
        </w:tc>
        <w:tc>
          <w:tcPr>
            <w:tcW w:w="1165" w:type="dxa"/>
            <w:tcBorders>
              <w:top w:val="single" w:sz="6" w:space="0" w:color="auto"/>
            </w:tcBorders>
            <w:vAlign w:val="center"/>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hAnsi="Times New Roman"/>
                <w:sz w:val="16"/>
                <w:szCs w:val="16"/>
              </w:rPr>
              <w:t>67%</w:t>
            </w:r>
          </w:p>
        </w:tc>
        <w:tc>
          <w:tcPr>
            <w:tcW w:w="1165" w:type="dxa"/>
            <w:tcBorders>
              <w:top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eastAsia="Times New Roman" w:hAnsi="Times New Roman"/>
                <w:iCs/>
                <w:sz w:val="16"/>
                <w:szCs w:val="16"/>
              </w:rPr>
              <w:t>n/a</w:t>
            </w:r>
          </w:p>
        </w:tc>
      </w:tr>
      <w:tr w:rsidR="00D6176C" w:rsidRPr="00EE7DC1" w:rsidTr="005B6C71">
        <w:trPr>
          <w:trHeight w:val="255"/>
        </w:trPr>
        <w:tc>
          <w:tcPr>
            <w:tcW w:w="431"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3.2</w:t>
            </w:r>
          </w:p>
        </w:tc>
        <w:tc>
          <w:tcPr>
            <w:tcW w:w="1847" w:type="dxa"/>
            <w:shd w:val="clear" w:color="auto" w:fill="auto"/>
            <w:vAlign w:val="center"/>
          </w:tcPr>
          <w:p w:rsidR="00D6176C" w:rsidRPr="00EE7DC1" w:rsidRDefault="00D6176C" w:rsidP="005B6C71">
            <w:pPr>
              <w:spacing w:after="0"/>
              <w:rPr>
                <w:rFonts w:ascii="Times New Roman" w:eastAsia="Times New Roman" w:hAnsi="Times New Roman"/>
                <w:b/>
                <w:bCs/>
                <w:sz w:val="16"/>
                <w:szCs w:val="16"/>
              </w:rPr>
            </w:pPr>
            <w:r w:rsidRPr="00EE7DC1">
              <w:rPr>
                <w:rFonts w:ascii="Times New Roman" w:hAnsi="Times New Roman"/>
                <w:color w:val="000000"/>
                <w:sz w:val="16"/>
                <w:szCs w:val="16"/>
              </w:rPr>
              <w:t>Subnational capacity for basic services delivery</w:t>
            </w:r>
          </w:p>
        </w:tc>
        <w:tc>
          <w:tcPr>
            <w:tcW w:w="943" w:type="dxa"/>
            <w:tcBorders>
              <w:bottom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105%</w:t>
            </w:r>
          </w:p>
        </w:tc>
        <w:tc>
          <w:tcPr>
            <w:tcW w:w="943" w:type="dxa"/>
            <w:tcBorders>
              <w:top w:val="single" w:sz="6" w:space="0" w:color="auto"/>
              <w:bottom w:val="single" w:sz="6" w:space="0" w:color="auto"/>
            </w:tcBorders>
            <w:shd w:val="clear" w:color="auto" w:fill="FFC00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98%</w:t>
            </w:r>
          </w:p>
        </w:tc>
        <w:tc>
          <w:tcPr>
            <w:tcW w:w="943" w:type="dxa"/>
            <w:shd w:val="clear" w:color="000000" w:fill="FFC00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96%</w:t>
            </w:r>
          </w:p>
        </w:tc>
        <w:tc>
          <w:tcPr>
            <w:tcW w:w="988" w:type="dxa"/>
            <w:shd w:val="clear" w:color="auto" w:fill="FFC00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90%</w:t>
            </w:r>
          </w:p>
        </w:tc>
        <w:tc>
          <w:tcPr>
            <w:tcW w:w="988" w:type="dxa"/>
            <w:shd w:val="clear" w:color="auto" w:fill="auto"/>
            <w:noWrap/>
            <w:vAlign w:val="center"/>
            <w:hideMark/>
          </w:tcPr>
          <w:p w:rsidR="00D6176C" w:rsidRPr="00EE7DC1" w:rsidRDefault="00802B98"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79</w:t>
            </w:r>
          </w:p>
        </w:tc>
        <w:tc>
          <w:tcPr>
            <w:tcW w:w="1165" w:type="dxa"/>
            <w:vAlign w:val="center"/>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hAnsi="Times New Roman"/>
                <w:sz w:val="16"/>
                <w:szCs w:val="16"/>
              </w:rPr>
              <w:t>90%</w:t>
            </w:r>
          </w:p>
        </w:tc>
        <w:tc>
          <w:tcPr>
            <w:tcW w:w="1165"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eastAsia="Times New Roman" w:hAnsi="Times New Roman"/>
                <w:iCs/>
                <w:sz w:val="16"/>
                <w:szCs w:val="16"/>
              </w:rPr>
              <w:t>n/a</w:t>
            </w:r>
          </w:p>
        </w:tc>
      </w:tr>
      <w:tr w:rsidR="00D6176C" w:rsidRPr="00EE7DC1" w:rsidTr="005B6C71">
        <w:trPr>
          <w:trHeight w:val="255"/>
        </w:trPr>
        <w:tc>
          <w:tcPr>
            <w:tcW w:w="431"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3.3</w:t>
            </w:r>
          </w:p>
        </w:tc>
        <w:tc>
          <w:tcPr>
            <w:tcW w:w="1847" w:type="dxa"/>
            <w:shd w:val="clear" w:color="auto" w:fill="auto"/>
            <w:vAlign w:val="center"/>
          </w:tcPr>
          <w:p w:rsidR="00D6176C" w:rsidRPr="00EE7DC1" w:rsidRDefault="00D6176C" w:rsidP="005B6C71">
            <w:pPr>
              <w:spacing w:after="0"/>
              <w:rPr>
                <w:rFonts w:ascii="Times New Roman" w:eastAsia="Times New Roman" w:hAnsi="Times New Roman"/>
                <w:b/>
                <w:bCs/>
                <w:sz w:val="16"/>
                <w:szCs w:val="16"/>
              </w:rPr>
            </w:pPr>
            <w:r w:rsidRPr="00EE7DC1">
              <w:rPr>
                <w:rFonts w:ascii="Times New Roman" w:hAnsi="Times New Roman"/>
                <w:color w:val="000000"/>
                <w:sz w:val="16"/>
                <w:szCs w:val="16"/>
              </w:rPr>
              <w:t>HIV and related services</w:t>
            </w:r>
          </w:p>
        </w:tc>
        <w:tc>
          <w:tcPr>
            <w:tcW w:w="943" w:type="dxa"/>
            <w:tcBorders>
              <w:top w:val="single" w:sz="6" w:space="0" w:color="auto"/>
              <w:bottom w:val="single" w:sz="6" w:space="0" w:color="auto"/>
            </w:tcBorders>
            <w:shd w:val="clear" w:color="000000" w:fill="82CA3F"/>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108%</w:t>
            </w:r>
          </w:p>
        </w:tc>
        <w:tc>
          <w:tcPr>
            <w:tcW w:w="943" w:type="dxa"/>
            <w:tcBorders>
              <w:top w:val="single" w:sz="6" w:space="0" w:color="auto"/>
              <w:bottom w:val="single" w:sz="6" w:space="0" w:color="auto"/>
            </w:tcBorders>
            <w:shd w:val="clear" w:color="000000" w:fill="82CA3F"/>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101%</w:t>
            </w:r>
          </w:p>
        </w:tc>
        <w:tc>
          <w:tcPr>
            <w:tcW w:w="943" w:type="dxa"/>
            <w:tcBorders>
              <w:bottom w:val="single" w:sz="6" w:space="0" w:color="auto"/>
            </w:tcBorders>
            <w:shd w:val="clear" w:color="000000" w:fill="FFC00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96%</w:t>
            </w:r>
          </w:p>
        </w:tc>
        <w:tc>
          <w:tcPr>
            <w:tcW w:w="988" w:type="dxa"/>
            <w:shd w:val="clear" w:color="auto" w:fill="92D05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135%</w:t>
            </w:r>
          </w:p>
        </w:tc>
        <w:tc>
          <w:tcPr>
            <w:tcW w:w="988" w:type="dxa"/>
            <w:shd w:val="clear" w:color="auto" w:fill="auto"/>
            <w:noWrap/>
            <w:vAlign w:val="center"/>
            <w:hideMark/>
          </w:tcPr>
          <w:p w:rsidR="00D6176C" w:rsidRPr="00EE7DC1" w:rsidRDefault="00802B98"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60</w:t>
            </w:r>
          </w:p>
        </w:tc>
        <w:tc>
          <w:tcPr>
            <w:tcW w:w="1165" w:type="dxa"/>
            <w:vAlign w:val="center"/>
          </w:tcPr>
          <w:p w:rsidR="00D6176C" w:rsidRPr="00EE7DC1" w:rsidRDefault="00D6176C" w:rsidP="005B6C71">
            <w:pPr>
              <w:spacing w:after="0"/>
              <w:jc w:val="center"/>
              <w:rPr>
                <w:rFonts w:ascii="Times New Roman" w:eastAsia="Times New Roman" w:hAnsi="Times New Roman"/>
                <w:b/>
                <w:bCs/>
                <w:iCs/>
                <w:color w:val="FF0000"/>
                <w:sz w:val="16"/>
                <w:szCs w:val="16"/>
              </w:rPr>
            </w:pPr>
            <w:r w:rsidRPr="00EE7DC1">
              <w:rPr>
                <w:rFonts w:ascii="Times New Roman" w:hAnsi="Times New Roman"/>
                <w:sz w:val="16"/>
                <w:szCs w:val="16"/>
              </w:rPr>
              <w:t>70%</w:t>
            </w:r>
          </w:p>
        </w:tc>
        <w:tc>
          <w:tcPr>
            <w:tcW w:w="1165"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iCs/>
                <w:color w:val="FF0000"/>
                <w:sz w:val="16"/>
                <w:szCs w:val="16"/>
              </w:rPr>
            </w:pPr>
            <w:r w:rsidRPr="00EE7DC1">
              <w:rPr>
                <w:rFonts w:ascii="Times New Roman" w:eastAsia="Times New Roman" w:hAnsi="Times New Roman"/>
                <w:b/>
                <w:bCs/>
                <w:iCs/>
                <w:color w:val="FF0000"/>
                <w:sz w:val="16"/>
                <w:szCs w:val="16"/>
              </w:rPr>
              <w:t>Lower</w:t>
            </w:r>
          </w:p>
          <w:p w:rsidR="00D6176C" w:rsidRPr="00EE7DC1" w:rsidRDefault="00D6176C" w:rsidP="005B6C71">
            <w:pPr>
              <w:spacing w:after="0"/>
              <w:jc w:val="center"/>
              <w:rPr>
                <w:rFonts w:ascii="Times New Roman" w:eastAsia="Times New Roman" w:hAnsi="Times New Roman"/>
                <w:bCs/>
                <w:iCs/>
                <w:color w:val="000000" w:themeColor="text1"/>
                <w:sz w:val="16"/>
                <w:szCs w:val="16"/>
              </w:rPr>
            </w:pPr>
            <w:r w:rsidRPr="00EE7DC1">
              <w:rPr>
                <w:rFonts w:ascii="Times New Roman" w:eastAsia="Times New Roman" w:hAnsi="Times New Roman"/>
                <w:bCs/>
                <w:iCs/>
                <w:color w:val="000000" w:themeColor="text1"/>
                <w:sz w:val="16"/>
                <w:szCs w:val="16"/>
              </w:rPr>
              <w:t>(116%)</w:t>
            </w:r>
          </w:p>
        </w:tc>
      </w:tr>
      <w:tr w:rsidR="00D6176C" w:rsidRPr="00EE7DC1" w:rsidTr="005B6C71">
        <w:trPr>
          <w:trHeight w:val="255"/>
        </w:trPr>
        <w:tc>
          <w:tcPr>
            <w:tcW w:w="431" w:type="dxa"/>
            <w:tcBorders>
              <w:bottom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3.4</w:t>
            </w:r>
          </w:p>
        </w:tc>
        <w:tc>
          <w:tcPr>
            <w:tcW w:w="1847" w:type="dxa"/>
            <w:tcBorders>
              <w:bottom w:val="single" w:sz="6" w:space="0" w:color="auto"/>
            </w:tcBorders>
            <w:shd w:val="clear" w:color="auto" w:fill="auto"/>
            <w:vAlign w:val="center"/>
          </w:tcPr>
          <w:p w:rsidR="00D6176C" w:rsidRPr="00EE7DC1" w:rsidRDefault="00D6176C" w:rsidP="005B6C71">
            <w:pPr>
              <w:spacing w:after="0"/>
              <w:rPr>
                <w:rFonts w:ascii="Times New Roman" w:eastAsia="Times New Roman" w:hAnsi="Times New Roman"/>
                <w:b/>
                <w:bCs/>
                <w:sz w:val="16"/>
                <w:szCs w:val="16"/>
              </w:rPr>
            </w:pPr>
            <w:r w:rsidRPr="00EE7DC1">
              <w:rPr>
                <w:rFonts w:ascii="Times New Roman" w:hAnsi="Times New Roman"/>
                <w:color w:val="000000"/>
                <w:sz w:val="16"/>
                <w:szCs w:val="16"/>
              </w:rPr>
              <w:t>Rule of law/access to justice</w:t>
            </w:r>
          </w:p>
        </w:tc>
        <w:tc>
          <w:tcPr>
            <w:tcW w:w="943" w:type="dxa"/>
            <w:tcBorders>
              <w:top w:val="single" w:sz="6" w:space="0" w:color="auto"/>
              <w:bottom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208%</w:t>
            </w:r>
          </w:p>
        </w:tc>
        <w:tc>
          <w:tcPr>
            <w:tcW w:w="943" w:type="dxa"/>
            <w:tcBorders>
              <w:top w:val="single" w:sz="6" w:space="0" w:color="auto"/>
              <w:bottom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156%</w:t>
            </w:r>
          </w:p>
        </w:tc>
        <w:tc>
          <w:tcPr>
            <w:tcW w:w="943" w:type="dxa"/>
            <w:tcBorders>
              <w:top w:val="single" w:sz="6" w:space="0" w:color="auto"/>
              <w:bottom w:val="single" w:sz="6" w:space="0" w:color="auto"/>
            </w:tcBorders>
            <w:shd w:val="clear" w:color="000000" w:fill="82CA3F"/>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133%</w:t>
            </w:r>
          </w:p>
        </w:tc>
        <w:tc>
          <w:tcPr>
            <w:tcW w:w="988" w:type="dxa"/>
            <w:tcBorders>
              <w:bottom w:val="single" w:sz="6" w:space="0" w:color="auto"/>
            </w:tcBorders>
            <w:shd w:val="clear" w:color="auto" w:fill="92D05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117%</w:t>
            </w:r>
          </w:p>
        </w:tc>
        <w:tc>
          <w:tcPr>
            <w:tcW w:w="988" w:type="dxa"/>
            <w:tcBorders>
              <w:bottom w:val="single" w:sz="6" w:space="0" w:color="auto"/>
            </w:tcBorders>
            <w:shd w:val="clear" w:color="auto" w:fill="auto"/>
            <w:noWrap/>
            <w:vAlign w:val="center"/>
            <w:hideMark/>
          </w:tcPr>
          <w:p w:rsidR="00D6176C" w:rsidRPr="00EE7DC1" w:rsidRDefault="00802B98"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47</w:t>
            </w:r>
          </w:p>
        </w:tc>
        <w:tc>
          <w:tcPr>
            <w:tcW w:w="1165" w:type="dxa"/>
            <w:tcBorders>
              <w:bottom w:val="single" w:sz="6" w:space="0" w:color="auto"/>
            </w:tcBorders>
            <w:vAlign w:val="center"/>
          </w:tcPr>
          <w:p w:rsidR="00D6176C" w:rsidRPr="00EE7DC1" w:rsidRDefault="00D6176C" w:rsidP="005B6C71">
            <w:pPr>
              <w:spacing w:after="0"/>
              <w:jc w:val="center"/>
              <w:rPr>
                <w:rFonts w:ascii="Times New Roman" w:eastAsia="Times New Roman" w:hAnsi="Times New Roman"/>
                <w:b/>
                <w:iCs/>
                <w:color w:val="FF0000"/>
                <w:sz w:val="16"/>
                <w:szCs w:val="16"/>
              </w:rPr>
            </w:pPr>
            <w:r w:rsidRPr="00EE7DC1">
              <w:rPr>
                <w:rFonts w:ascii="Times New Roman" w:hAnsi="Times New Roman"/>
                <w:sz w:val="16"/>
                <w:szCs w:val="16"/>
              </w:rPr>
              <w:t>70%</w:t>
            </w:r>
          </w:p>
        </w:tc>
        <w:tc>
          <w:tcPr>
            <w:tcW w:w="1165" w:type="dxa"/>
            <w:tcBorders>
              <w:bottom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iCs/>
                <w:color w:val="FF0000"/>
                <w:sz w:val="16"/>
                <w:szCs w:val="16"/>
              </w:rPr>
            </w:pPr>
            <w:r w:rsidRPr="00EE7DC1">
              <w:rPr>
                <w:rFonts w:ascii="Times New Roman" w:eastAsia="Times New Roman" w:hAnsi="Times New Roman"/>
                <w:b/>
                <w:iCs/>
                <w:color w:val="FF0000"/>
                <w:sz w:val="16"/>
                <w:szCs w:val="16"/>
              </w:rPr>
              <w:t>Lower</w:t>
            </w:r>
            <w:r w:rsidRPr="00EE7DC1">
              <w:rPr>
                <w:rFonts w:ascii="Times New Roman" w:eastAsia="Times New Roman" w:hAnsi="Times New Roman"/>
                <w:iCs/>
                <w:sz w:val="16"/>
                <w:szCs w:val="16"/>
              </w:rPr>
              <w:t xml:space="preserve"> (105%)</w:t>
            </w:r>
          </w:p>
        </w:tc>
      </w:tr>
      <w:tr w:rsidR="00D6176C" w:rsidRPr="00EE7DC1" w:rsidTr="005B6C71">
        <w:trPr>
          <w:trHeight w:val="270"/>
        </w:trPr>
        <w:tc>
          <w:tcPr>
            <w:tcW w:w="431" w:type="dxa"/>
            <w:tcBorders>
              <w:top w:val="single" w:sz="6" w:space="0" w:color="auto"/>
              <w:bottom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3.5</w:t>
            </w:r>
          </w:p>
        </w:tc>
        <w:tc>
          <w:tcPr>
            <w:tcW w:w="1847" w:type="dxa"/>
            <w:tcBorders>
              <w:top w:val="single" w:sz="6" w:space="0" w:color="auto"/>
              <w:bottom w:val="single" w:sz="6" w:space="0" w:color="auto"/>
            </w:tcBorders>
            <w:shd w:val="clear" w:color="auto" w:fill="auto"/>
            <w:vAlign w:val="center"/>
          </w:tcPr>
          <w:p w:rsidR="00D6176C" w:rsidRPr="00EE7DC1" w:rsidRDefault="00D6176C" w:rsidP="005B6C71">
            <w:pPr>
              <w:spacing w:after="0"/>
              <w:rPr>
                <w:rFonts w:ascii="Times New Roman" w:eastAsia="Times New Roman" w:hAnsi="Times New Roman"/>
                <w:b/>
                <w:bCs/>
                <w:sz w:val="16"/>
                <w:szCs w:val="16"/>
              </w:rPr>
            </w:pPr>
            <w:r w:rsidRPr="00EE7DC1">
              <w:rPr>
                <w:rFonts w:ascii="Times New Roman" w:hAnsi="Times New Roman"/>
                <w:sz w:val="16"/>
                <w:szCs w:val="16"/>
              </w:rPr>
              <w:t>Citizen security</w:t>
            </w:r>
          </w:p>
        </w:tc>
        <w:tc>
          <w:tcPr>
            <w:tcW w:w="943" w:type="dxa"/>
            <w:tcBorders>
              <w:top w:val="single" w:sz="6" w:space="0" w:color="auto"/>
              <w:bottom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133%</w:t>
            </w:r>
          </w:p>
        </w:tc>
        <w:tc>
          <w:tcPr>
            <w:tcW w:w="943" w:type="dxa"/>
            <w:tcBorders>
              <w:top w:val="single" w:sz="6" w:space="0" w:color="auto"/>
              <w:bottom w:val="single" w:sz="6" w:space="0" w:color="auto"/>
            </w:tcBorders>
            <w:shd w:val="clear" w:color="000000" w:fill="82CA3F"/>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126%</w:t>
            </w:r>
          </w:p>
        </w:tc>
        <w:tc>
          <w:tcPr>
            <w:tcW w:w="943" w:type="dxa"/>
            <w:tcBorders>
              <w:top w:val="single" w:sz="6" w:space="0" w:color="auto"/>
              <w:bottom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101%</w:t>
            </w:r>
          </w:p>
        </w:tc>
        <w:tc>
          <w:tcPr>
            <w:tcW w:w="988" w:type="dxa"/>
            <w:tcBorders>
              <w:top w:val="single" w:sz="6" w:space="0" w:color="auto"/>
              <w:bottom w:val="single" w:sz="6" w:space="0" w:color="auto"/>
            </w:tcBorders>
            <w:shd w:val="clear" w:color="auto" w:fill="FFC00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92%</w:t>
            </w:r>
          </w:p>
        </w:tc>
        <w:tc>
          <w:tcPr>
            <w:tcW w:w="988" w:type="dxa"/>
            <w:tcBorders>
              <w:top w:val="single" w:sz="6" w:space="0" w:color="auto"/>
              <w:bottom w:val="single" w:sz="6" w:space="0" w:color="auto"/>
            </w:tcBorders>
            <w:shd w:val="clear" w:color="auto" w:fill="auto"/>
            <w:noWrap/>
            <w:vAlign w:val="center"/>
            <w:hideMark/>
          </w:tcPr>
          <w:p w:rsidR="00D6176C" w:rsidRPr="00EE7DC1" w:rsidRDefault="00802B98"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38</w:t>
            </w:r>
          </w:p>
        </w:tc>
        <w:tc>
          <w:tcPr>
            <w:tcW w:w="1165" w:type="dxa"/>
            <w:tcBorders>
              <w:top w:val="single" w:sz="6" w:space="0" w:color="auto"/>
              <w:bottom w:val="single" w:sz="6" w:space="0" w:color="auto"/>
            </w:tcBorders>
            <w:vAlign w:val="center"/>
          </w:tcPr>
          <w:p w:rsidR="00D6176C" w:rsidRPr="00EE7DC1" w:rsidRDefault="00D6176C" w:rsidP="005B6C71">
            <w:pPr>
              <w:spacing w:after="0"/>
              <w:jc w:val="center"/>
              <w:rPr>
                <w:rFonts w:ascii="Times New Roman" w:eastAsia="Times New Roman" w:hAnsi="Times New Roman"/>
                <w:b/>
                <w:iCs/>
                <w:color w:val="FF0000"/>
                <w:sz w:val="16"/>
                <w:szCs w:val="16"/>
              </w:rPr>
            </w:pPr>
            <w:r w:rsidRPr="00EE7DC1">
              <w:rPr>
                <w:rFonts w:ascii="Times New Roman" w:hAnsi="Times New Roman"/>
                <w:sz w:val="16"/>
                <w:szCs w:val="16"/>
              </w:rPr>
              <w:t>84%</w:t>
            </w:r>
          </w:p>
        </w:tc>
        <w:tc>
          <w:tcPr>
            <w:tcW w:w="1165" w:type="dxa"/>
            <w:tcBorders>
              <w:top w:val="single" w:sz="6" w:space="0" w:color="auto"/>
              <w:bottom w:val="single" w:sz="6" w:space="0" w:color="auto"/>
            </w:tcBorders>
            <w:shd w:val="clear" w:color="auto" w:fill="auto"/>
            <w:noWrap/>
            <w:vAlign w:val="center"/>
            <w:hideMark/>
          </w:tcPr>
          <w:p w:rsidR="00D6176C" w:rsidRDefault="00D6176C" w:rsidP="005B6C71">
            <w:pPr>
              <w:spacing w:after="0"/>
              <w:jc w:val="center"/>
              <w:rPr>
                <w:rFonts w:ascii="Times New Roman" w:eastAsia="Times New Roman" w:hAnsi="Times New Roman"/>
                <w:iCs/>
                <w:color w:val="00B050"/>
                <w:sz w:val="16"/>
                <w:szCs w:val="16"/>
              </w:rPr>
            </w:pPr>
            <w:r w:rsidRPr="00EE7DC1">
              <w:rPr>
                <w:rFonts w:ascii="Times New Roman" w:eastAsia="Times New Roman" w:hAnsi="Times New Roman"/>
                <w:b/>
                <w:iCs/>
                <w:color w:val="FF0000"/>
                <w:sz w:val="16"/>
                <w:szCs w:val="16"/>
              </w:rPr>
              <w:t>Lower</w:t>
            </w:r>
            <w:r w:rsidRPr="00EE7DC1">
              <w:rPr>
                <w:rFonts w:ascii="Times New Roman" w:eastAsia="Times New Roman" w:hAnsi="Times New Roman"/>
                <w:iCs/>
                <w:color w:val="00B050"/>
                <w:sz w:val="16"/>
                <w:szCs w:val="16"/>
              </w:rPr>
              <w:t xml:space="preserve"> </w:t>
            </w:r>
          </w:p>
          <w:p w:rsidR="00D6176C" w:rsidRPr="00EE7DC1" w:rsidRDefault="00D6176C" w:rsidP="005B6C71">
            <w:pPr>
              <w:spacing w:after="0"/>
              <w:jc w:val="center"/>
              <w:rPr>
                <w:rFonts w:ascii="Times New Roman" w:eastAsia="Times New Roman" w:hAnsi="Times New Roman"/>
                <w:iCs/>
                <w:color w:val="00B050"/>
                <w:sz w:val="16"/>
                <w:szCs w:val="16"/>
              </w:rPr>
            </w:pPr>
            <w:r w:rsidRPr="00EE7DC1">
              <w:rPr>
                <w:rFonts w:ascii="Times New Roman" w:eastAsia="Times New Roman" w:hAnsi="Times New Roman"/>
                <w:iCs/>
                <w:sz w:val="16"/>
                <w:szCs w:val="16"/>
              </w:rPr>
              <w:t>(85%)</w:t>
            </w:r>
          </w:p>
        </w:tc>
      </w:tr>
      <w:tr w:rsidR="00D6176C" w:rsidRPr="00EE7DC1" w:rsidTr="005B6C71">
        <w:trPr>
          <w:trHeight w:val="270"/>
        </w:trPr>
        <w:tc>
          <w:tcPr>
            <w:tcW w:w="9413" w:type="dxa"/>
            <w:gridSpan w:val="9"/>
            <w:tcBorders>
              <w:top w:val="single" w:sz="6" w:space="0" w:color="auto"/>
              <w:bottom w:val="single" w:sz="12" w:space="0" w:color="auto"/>
            </w:tcBorders>
            <w:vAlign w:val="center"/>
          </w:tcPr>
          <w:p w:rsidR="00D6176C" w:rsidRPr="00EE7DC1" w:rsidRDefault="00D6176C" w:rsidP="005B6C71">
            <w:pPr>
              <w:spacing w:after="0"/>
              <w:rPr>
                <w:rFonts w:ascii="Times New Roman" w:eastAsia="Times New Roman" w:hAnsi="Times New Roman"/>
                <w:iCs/>
                <w:color w:val="FF0000"/>
                <w:sz w:val="16"/>
                <w:szCs w:val="16"/>
              </w:rPr>
            </w:pPr>
            <w:r w:rsidRPr="00EE7DC1">
              <w:rPr>
                <w:rFonts w:ascii="Times New Roman" w:eastAsia="Times New Roman" w:hAnsi="Times New Roman"/>
                <w:iCs/>
                <w:color w:val="000000" w:themeColor="text1"/>
                <w:sz w:val="16"/>
                <w:szCs w:val="16"/>
              </w:rPr>
              <w:t>Expenditure with gender equality as a ‘significant’ or ‘principal’ objective</w:t>
            </w:r>
            <w:r w:rsidRPr="00C90343">
              <w:rPr>
                <w:rFonts w:ascii="Times New Roman" w:eastAsia="Times New Roman" w:hAnsi="Times New Roman"/>
                <w:iCs/>
                <w:color w:val="000000" w:themeColor="text1"/>
                <w:sz w:val="16"/>
                <w:szCs w:val="16"/>
              </w:rPr>
              <w:t>: 31%</w:t>
            </w:r>
          </w:p>
        </w:tc>
      </w:tr>
    </w:tbl>
    <w:p w:rsidR="00D6176C" w:rsidRDefault="00D6176C" w:rsidP="00D6176C">
      <w:pPr>
        <w:pStyle w:val="ListParagraph"/>
        <w:tabs>
          <w:tab w:val="left" w:pos="450"/>
        </w:tabs>
        <w:spacing w:after="0" w:line="240" w:lineRule="auto"/>
        <w:ind w:left="0"/>
        <w:jc w:val="both"/>
        <w:rPr>
          <w:rFonts w:ascii="Times New Roman" w:hAnsi="Times New Roman"/>
          <w:b/>
          <w:sz w:val="16"/>
          <w:szCs w:val="16"/>
        </w:rPr>
      </w:pPr>
    </w:p>
    <w:p w:rsidR="00D6176C" w:rsidRDefault="00D6176C" w:rsidP="00D54000">
      <w:pPr>
        <w:pStyle w:val="ListParagraph"/>
        <w:numPr>
          <w:ilvl w:val="0"/>
          <w:numId w:val="11"/>
        </w:numPr>
        <w:tabs>
          <w:tab w:val="left" w:pos="450"/>
          <w:tab w:val="left" w:pos="1080"/>
        </w:tabs>
        <w:spacing w:after="0" w:line="240" w:lineRule="auto"/>
        <w:ind w:firstLine="0"/>
        <w:jc w:val="both"/>
        <w:rPr>
          <w:rFonts w:ascii="Times New Roman" w:hAnsi="Times New Roman"/>
          <w:sz w:val="20"/>
          <w:szCs w:val="20"/>
        </w:rPr>
      </w:pPr>
      <w:r>
        <w:rPr>
          <w:rFonts w:ascii="Times New Roman" w:hAnsi="Times New Roman"/>
          <w:sz w:val="20"/>
          <w:szCs w:val="20"/>
        </w:rPr>
        <w:t xml:space="preserve">UNDP supported government functions, including in post-conflict settings, to lead development processes, deliver basic services, build local government capabilities, increase opportunities for women and men to access quality legal services and reinforce citizen security.  </w:t>
      </w:r>
    </w:p>
    <w:p w:rsidR="00D6176C" w:rsidRPr="00D54000" w:rsidRDefault="00D6176C" w:rsidP="00D54000">
      <w:pPr>
        <w:pStyle w:val="ListParagraph"/>
        <w:tabs>
          <w:tab w:val="left" w:pos="450"/>
          <w:tab w:val="left" w:pos="1080"/>
        </w:tabs>
        <w:spacing w:after="0" w:line="240" w:lineRule="auto"/>
        <w:ind w:left="0"/>
        <w:jc w:val="both"/>
        <w:rPr>
          <w:rFonts w:ascii="Times New Roman" w:hAnsi="Times New Roman"/>
          <w:sz w:val="12"/>
          <w:szCs w:val="12"/>
        </w:rPr>
      </w:pPr>
    </w:p>
    <w:p w:rsidR="00D6176C" w:rsidRPr="003F5460" w:rsidRDefault="00D6176C" w:rsidP="00D54000">
      <w:pPr>
        <w:pStyle w:val="ListParagraph"/>
        <w:numPr>
          <w:ilvl w:val="0"/>
          <w:numId w:val="11"/>
        </w:numPr>
        <w:tabs>
          <w:tab w:val="left" w:pos="450"/>
          <w:tab w:val="left" w:pos="1080"/>
        </w:tabs>
        <w:spacing w:after="0" w:line="240" w:lineRule="auto"/>
        <w:ind w:firstLine="0"/>
        <w:jc w:val="both"/>
        <w:rPr>
          <w:u w:val="single"/>
        </w:rPr>
      </w:pPr>
      <w:r>
        <w:rPr>
          <w:rFonts w:ascii="Times New Roman" w:hAnsi="Times New Roman"/>
          <w:sz w:val="20"/>
          <w:szCs w:val="20"/>
        </w:rPr>
        <w:t xml:space="preserve">Performance under </w:t>
      </w:r>
      <w:r w:rsidR="00562C16">
        <w:rPr>
          <w:rFonts w:ascii="Times New Roman" w:hAnsi="Times New Roman"/>
          <w:sz w:val="20"/>
          <w:szCs w:val="20"/>
        </w:rPr>
        <w:t xml:space="preserve">outcome </w:t>
      </w:r>
      <w:r>
        <w:rPr>
          <w:rFonts w:ascii="Times New Roman" w:hAnsi="Times New Roman"/>
          <w:sz w:val="20"/>
          <w:szCs w:val="20"/>
        </w:rPr>
        <w:t xml:space="preserve">3 declined slightly. UNDP exceeded the target for two outputs (compared to three in 2016) </w:t>
      </w:r>
      <w:r w:rsidR="00562C16">
        <w:rPr>
          <w:rFonts w:ascii="Times New Roman" w:hAnsi="Times New Roman"/>
          <w:sz w:val="20"/>
          <w:szCs w:val="20"/>
        </w:rPr>
        <w:t xml:space="preserve">and missed the targets for </w:t>
      </w:r>
      <w:r>
        <w:rPr>
          <w:rFonts w:ascii="Times New Roman" w:hAnsi="Times New Roman"/>
          <w:sz w:val="20"/>
          <w:szCs w:val="20"/>
        </w:rPr>
        <w:t>three outputs by 10 per cent</w:t>
      </w:r>
      <w:r w:rsidR="003A7EED">
        <w:rPr>
          <w:rFonts w:ascii="Times New Roman" w:hAnsi="Times New Roman"/>
          <w:sz w:val="20"/>
          <w:szCs w:val="20"/>
        </w:rPr>
        <w:t xml:space="preserve"> or less</w:t>
      </w:r>
      <w:r>
        <w:rPr>
          <w:rFonts w:ascii="Times New Roman" w:hAnsi="Times New Roman"/>
          <w:sz w:val="20"/>
          <w:szCs w:val="20"/>
        </w:rPr>
        <w:t xml:space="preserve">. </w:t>
      </w:r>
      <w:r w:rsidR="003E1A24">
        <w:rPr>
          <w:rFonts w:ascii="Times New Roman" w:hAnsi="Times New Roman"/>
          <w:sz w:val="20"/>
          <w:szCs w:val="20"/>
        </w:rPr>
        <w:t>As noted by t</w:t>
      </w:r>
      <w:r>
        <w:rPr>
          <w:rFonts w:ascii="Times New Roman" w:hAnsi="Times New Roman"/>
          <w:sz w:val="20"/>
          <w:szCs w:val="20"/>
        </w:rPr>
        <w:t xml:space="preserve">he </w:t>
      </w:r>
      <w:r w:rsidR="00562C16">
        <w:rPr>
          <w:rFonts w:ascii="Times New Roman" w:hAnsi="Times New Roman"/>
          <w:sz w:val="20"/>
          <w:szCs w:val="20"/>
        </w:rPr>
        <w:t>evaluation of the Strategic Plan</w:t>
      </w:r>
      <w:r w:rsidR="00AE77D3">
        <w:rPr>
          <w:rFonts w:ascii="Times New Roman" w:hAnsi="Times New Roman"/>
          <w:sz w:val="20"/>
          <w:szCs w:val="20"/>
        </w:rPr>
        <w:t>, while</w:t>
      </w:r>
      <w:r>
        <w:rPr>
          <w:rFonts w:ascii="Times New Roman" w:hAnsi="Times New Roman"/>
          <w:sz w:val="20"/>
          <w:szCs w:val="20"/>
        </w:rPr>
        <w:t xml:space="preserve"> “In the early stages of crisis recovery, UNDP capacity-building support has helped to stabilize national institutions by working successfully with government partn</w:t>
      </w:r>
      <w:r w:rsidR="00FF76C1">
        <w:rPr>
          <w:rFonts w:ascii="Times New Roman" w:hAnsi="Times New Roman"/>
          <w:sz w:val="20"/>
          <w:szCs w:val="20"/>
        </w:rPr>
        <w:t>ers to address immediate needs”</w:t>
      </w:r>
      <w:r w:rsidR="00AE77D3">
        <w:rPr>
          <w:rFonts w:ascii="Times New Roman" w:hAnsi="Times New Roman"/>
          <w:sz w:val="20"/>
          <w:szCs w:val="20"/>
        </w:rPr>
        <w:t xml:space="preserve"> it also found </w:t>
      </w:r>
      <w:r w:rsidR="00FF76C1">
        <w:rPr>
          <w:rFonts w:ascii="Times New Roman" w:hAnsi="Times New Roman"/>
          <w:sz w:val="20"/>
          <w:szCs w:val="20"/>
        </w:rPr>
        <w:t xml:space="preserve">that </w:t>
      </w:r>
      <w:r>
        <w:rPr>
          <w:rFonts w:ascii="Times New Roman" w:hAnsi="Times New Roman"/>
          <w:sz w:val="20"/>
          <w:szCs w:val="20"/>
        </w:rPr>
        <w:t>“funding and operational constraints often limit progress during the longer transitional phase back to peaceful development, impeding national efforts to address the structural causes of conflict.” Outcome 3 was the largest outcome in terms of expenditure, accounting for $5.8 billion (34 per cent of programme resources</w:t>
      </w:r>
      <w:r w:rsidR="007F069B">
        <w:rPr>
          <w:rFonts w:ascii="Times New Roman" w:hAnsi="Times New Roman"/>
          <w:sz w:val="20"/>
          <w:szCs w:val="20"/>
        </w:rPr>
        <w:t>)</w:t>
      </w:r>
      <w:r>
        <w:rPr>
          <w:rFonts w:ascii="Times New Roman" w:hAnsi="Times New Roman"/>
          <w:sz w:val="20"/>
          <w:szCs w:val="20"/>
        </w:rPr>
        <w:t xml:space="preserve">.     </w:t>
      </w:r>
    </w:p>
    <w:p w:rsidR="00D6176C" w:rsidRPr="00D54000" w:rsidRDefault="00D6176C" w:rsidP="00D54000">
      <w:pPr>
        <w:pStyle w:val="ListParagraph"/>
        <w:tabs>
          <w:tab w:val="left" w:pos="360"/>
          <w:tab w:val="left" w:pos="1080"/>
        </w:tabs>
        <w:spacing w:after="0" w:line="0" w:lineRule="atLeast"/>
        <w:ind w:left="0"/>
        <w:contextualSpacing w:val="0"/>
        <w:jc w:val="both"/>
        <w:rPr>
          <w:rFonts w:ascii="Times New Roman" w:hAnsi="Times New Roman"/>
          <w:sz w:val="12"/>
          <w:szCs w:val="12"/>
        </w:rPr>
      </w:pPr>
    </w:p>
    <w:p w:rsidR="00D6176C" w:rsidRPr="00316C26" w:rsidRDefault="00D6176C" w:rsidP="00D54000">
      <w:pPr>
        <w:pStyle w:val="ListParagraph"/>
        <w:numPr>
          <w:ilvl w:val="0"/>
          <w:numId w:val="11"/>
        </w:numPr>
        <w:tabs>
          <w:tab w:val="left" w:pos="1080"/>
        </w:tabs>
        <w:spacing w:after="0" w:line="240" w:lineRule="auto"/>
        <w:ind w:firstLine="0"/>
        <w:jc w:val="both"/>
        <w:rPr>
          <w:rFonts w:ascii="Times New Roman" w:eastAsiaTheme="minorHAnsi" w:hAnsi="Times New Roman"/>
          <w:sz w:val="20"/>
          <w:szCs w:val="20"/>
          <w:lang w:val="en-US"/>
        </w:rPr>
      </w:pPr>
      <w:r w:rsidRPr="007F069B">
        <w:rPr>
          <w:rFonts w:ascii="Times New Roman" w:hAnsi="Times New Roman"/>
          <w:sz w:val="20"/>
          <w:szCs w:val="20"/>
        </w:rPr>
        <w:t xml:space="preserve">Throughout 2014-2017, UNDP supported initiatives to strengthen core government functions to ensure national ownership of recovery and development processes in 27 countries. This enabled 14 countries to strengthen civil service management and 12 countries to strengthen local governance mechanisms. UNDP support helped subnational governments/administrations in 60 countries improve their capacities for planning, budgeting and/or monitoring basic service delivery. </w:t>
      </w:r>
      <w:r w:rsidRPr="00316C26">
        <w:rPr>
          <w:rFonts w:ascii="Times New Roman" w:hAnsi="Times New Roman"/>
          <w:sz w:val="20"/>
          <w:szCs w:val="20"/>
        </w:rPr>
        <w:t xml:space="preserve">In 2017, UNDP led the first ever </w:t>
      </w:r>
      <w:r>
        <w:rPr>
          <w:rFonts w:ascii="Times New Roman" w:hAnsi="Times New Roman"/>
          <w:sz w:val="20"/>
          <w:szCs w:val="20"/>
        </w:rPr>
        <w:t>United Nations</w:t>
      </w:r>
      <w:r w:rsidRPr="00316C26">
        <w:rPr>
          <w:rFonts w:ascii="Times New Roman" w:hAnsi="Times New Roman"/>
          <w:sz w:val="20"/>
          <w:szCs w:val="20"/>
        </w:rPr>
        <w:t>–World Bank assessment framework on core government functions under the U</w:t>
      </w:r>
      <w:r>
        <w:rPr>
          <w:rFonts w:ascii="Times New Roman" w:hAnsi="Times New Roman"/>
          <w:sz w:val="20"/>
          <w:szCs w:val="20"/>
        </w:rPr>
        <w:t xml:space="preserve">nited </w:t>
      </w:r>
      <w:r w:rsidRPr="00316C26">
        <w:rPr>
          <w:rFonts w:ascii="Times New Roman" w:hAnsi="Times New Roman"/>
          <w:sz w:val="20"/>
          <w:szCs w:val="20"/>
        </w:rPr>
        <w:t>N</w:t>
      </w:r>
      <w:r>
        <w:rPr>
          <w:rFonts w:ascii="Times New Roman" w:hAnsi="Times New Roman"/>
          <w:sz w:val="20"/>
          <w:szCs w:val="20"/>
        </w:rPr>
        <w:t>ations</w:t>
      </w:r>
      <w:r w:rsidRPr="00316C26">
        <w:rPr>
          <w:rFonts w:ascii="Times New Roman" w:hAnsi="Times New Roman"/>
          <w:sz w:val="20"/>
          <w:szCs w:val="20"/>
        </w:rPr>
        <w:t xml:space="preserve"> Inter</w:t>
      </w:r>
      <w:r w:rsidR="007F069B">
        <w:rPr>
          <w:rFonts w:ascii="Times New Roman" w:hAnsi="Times New Roman"/>
          <w:sz w:val="20"/>
          <w:szCs w:val="20"/>
        </w:rPr>
        <w:t>-A</w:t>
      </w:r>
      <w:r w:rsidR="007F069B" w:rsidRPr="00316C26">
        <w:rPr>
          <w:rFonts w:ascii="Times New Roman" w:hAnsi="Times New Roman"/>
          <w:sz w:val="20"/>
          <w:szCs w:val="20"/>
        </w:rPr>
        <w:t xml:space="preserve">gency </w:t>
      </w:r>
      <w:r w:rsidRPr="00316C26">
        <w:rPr>
          <w:rFonts w:ascii="Times New Roman" w:hAnsi="Times New Roman"/>
          <w:sz w:val="20"/>
          <w:szCs w:val="20"/>
        </w:rPr>
        <w:t>Platform on Core Government Functions</w:t>
      </w:r>
      <w:r w:rsidR="00B528FF">
        <w:rPr>
          <w:rFonts w:ascii="Times New Roman" w:hAnsi="Times New Roman"/>
          <w:sz w:val="20"/>
          <w:szCs w:val="20"/>
        </w:rPr>
        <w:t>,</w:t>
      </w:r>
      <w:r w:rsidRPr="00316C26">
        <w:rPr>
          <w:rFonts w:ascii="Times New Roman" w:hAnsi="Times New Roman"/>
          <w:sz w:val="20"/>
          <w:szCs w:val="20"/>
        </w:rPr>
        <w:t xml:space="preserve"> with the aim to restore basic government functions in fragile and conflict-affected countries including</w:t>
      </w:r>
      <w:r>
        <w:rPr>
          <w:rFonts w:ascii="Times New Roman" w:hAnsi="Times New Roman"/>
          <w:sz w:val="20"/>
          <w:szCs w:val="20"/>
        </w:rPr>
        <w:t xml:space="preserve"> the</w:t>
      </w:r>
      <w:r w:rsidRPr="00316C26">
        <w:rPr>
          <w:rFonts w:ascii="Times New Roman" w:hAnsi="Times New Roman"/>
          <w:sz w:val="20"/>
          <w:szCs w:val="20"/>
        </w:rPr>
        <w:t xml:space="preserve"> </w:t>
      </w:r>
      <w:r w:rsidRPr="007F069B">
        <w:rPr>
          <w:rFonts w:ascii="Times New Roman" w:hAnsi="Times New Roman"/>
          <w:sz w:val="20"/>
          <w:szCs w:val="20"/>
        </w:rPr>
        <w:t>Central African Republic, Libya, Somalia and Yemen.</w:t>
      </w:r>
      <w:r w:rsidRPr="007F069B">
        <w:rPr>
          <w:rFonts w:ascii="Times New Roman" w:eastAsiaTheme="minorHAnsi" w:hAnsi="Times New Roman"/>
          <w:sz w:val="20"/>
          <w:szCs w:val="20"/>
          <w:lang w:val="en-US"/>
        </w:rPr>
        <w:t xml:space="preserve"> </w:t>
      </w:r>
      <w:r w:rsidRPr="007F069B">
        <w:rPr>
          <w:rFonts w:ascii="Times New Roman" w:hAnsi="Times New Roman"/>
          <w:sz w:val="20"/>
          <w:szCs w:val="20"/>
        </w:rPr>
        <w:t>In Somalia,</w:t>
      </w:r>
      <w:r w:rsidRPr="00316C26">
        <w:rPr>
          <w:rFonts w:ascii="Times New Roman" w:hAnsi="Times New Roman"/>
          <w:sz w:val="20"/>
          <w:szCs w:val="20"/>
        </w:rPr>
        <w:t xml:space="preserve"> </w:t>
      </w:r>
      <w:r w:rsidRPr="00316C26">
        <w:rPr>
          <w:rFonts w:ascii="Times New Roman" w:hAnsi="Times New Roman"/>
          <w:sz w:val="20"/>
          <w:szCs w:val="20"/>
          <w:lang w:eastAsia="fr-CA"/>
        </w:rPr>
        <w:t xml:space="preserve">UNDP supported the development of a new federal </w:t>
      </w:r>
      <w:r w:rsidR="007F069B">
        <w:rPr>
          <w:rFonts w:ascii="Times New Roman" w:hAnsi="Times New Roman"/>
          <w:sz w:val="20"/>
          <w:szCs w:val="20"/>
          <w:lang w:eastAsia="fr-CA"/>
        </w:rPr>
        <w:t>c</w:t>
      </w:r>
      <w:r w:rsidR="007F069B" w:rsidRPr="00316C26">
        <w:rPr>
          <w:rFonts w:ascii="Times New Roman" w:hAnsi="Times New Roman"/>
          <w:sz w:val="20"/>
          <w:szCs w:val="20"/>
          <w:lang w:eastAsia="fr-CA"/>
        </w:rPr>
        <w:t xml:space="preserve">ivil </w:t>
      </w:r>
      <w:r w:rsidR="007F069B">
        <w:rPr>
          <w:rFonts w:ascii="Times New Roman" w:hAnsi="Times New Roman"/>
          <w:sz w:val="20"/>
          <w:szCs w:val="20"/>
          <w:lang w:eastAsia="fr-CA"/>
        </w:rPr>
        <w:t>s</w:t>
      </w:r>
      <w:r w:rsidR="007F069B" w:rsidRPr="00316C26">
        <w:rPr>
          <w:rFonts w:ascii="Times New Roman" w:hAnsi="Times New Roman"/>
          <w:sz w:val="20"/>
          <w:szCs w:val="20"/>
          <w:lang w:eastAsia="fr-CA"/>
        </w:rPr>
        <w:t xml:space="preserve">ervice </w:t>
      </w:r>
      <w:r w:rsidR="007F069B">
        <w:rPr>
          <w:rFonts w:ascii="Times New Roman" w:hAnsi="Times New Roman"/>
          <w:sz w:val="20"/>
          <w:szCs w:val="20"/>
          <w:lang w:eastAsia="fr-CA"/>
        </w:rPr>
        <w:t>l</w:t>
      </w:r>
      <w:r w:rsidR="007F069B" w:rsidRPr="00316C26">
        <w:rPr>
          <w:rFonts w:ascii="Times New Roman" w:hAnsi="Times New Roman"/>
          <w:sz w:val="20"/>
          <w:szCs w:val="20"/>
          <w:lang w:eastAsia="fr-CA"/>
        </w:rPr>
        <w:t xml:space="preserve">aw </w:t>
      </w:r>
      <w:r w:rsidRPr="00316C26">
        <w:rPr>
          <w:rFonts w:ascii="Times New Roman" w:hAnsi="Times New Roman"/>
          <w:sz w:val="20"/>
          <w:szCs w:val="20"/>
          <w:lang w:eastAsia="fr-CA"/>
        </w:rPr>
        <w:t>and helped in</w:t>
      </w:r>
      <w:r w:rsidRPr="00316C26">
        <w:rPr>
          <w:rFonts w:ascii="Times New Roman" w:hAnsi="Times New Roman"/>
          <w:sz w:val="20"/>
          <w:szCs w:val="20"/>
        </w:rPr>
        <w:t xml:space="preserve">itiate the development of a </w:t>
      </w:r>
      <w:r w:rsidR="007F069B">
        <w:rPr>
          <w:rFonts w:ascii="Times New Roman" w:hAnsi="Times New Roman"/>
          <w:sz w:val="20"/>
          <w:szCs w:val="20"/>
        </w:rPr>
        <w:t>p</w:t>
      </w:r>
      <w:r w:rsidR="007F069B" w:rsidRPr="00316C26">
        <w:rPr>
          <w:rFonts w:ascii="Times New Roman" w:hAnsi="Times New Roman"/>
          <w:sz w:val="20"/>
          <w:szCs w:val="20"/>
        </w:rPr>
        <w:t xml:space="preserve">ublic </w:t>
      </w:r>
      <w:r w:rsidR="007F069B">
        <w:rPr>
          <w:rFonts w:ascii="Times New Roman" w:hAnsi="Times New Roman"/>
          <w:sz w:val="20"/>
          <w:szCs w:val="20"/>
        </w:rPr>
        <w:t>s</w:t>
      </w:r>
      <w:r w:rsidR="007F069B" w:rsidRPr="00316C26">
        <w:rPr>
          <w:rFonts w:ascii="Times New Roman" w:hAnsi="Times New Roman"/>
          <w:sz w:val="20"/>
          <w:szCs w:val="20"/>
        </w:rPr>
        <w:t xml:space="preserve">ervice </w:t>
      </w:r>
      <w:r w:rsidR="007F069B">
        <w:rPr>
          <w:rFonts w:ascii="Times New Roman" w:hAnsi="Times New Roman"/>
          <w:sz w:val="20"/>
          <w:szCs w:val="20"/>
        </w:rPr>
        <w:t>p</w:t>
      </w:r>
      <w:r w:rsidR="007F069B" w:rsidRPr="00316C26">
        <w:rPr>
          <w:rFonts w:ascii="Times New Roman" w:hAnsi="Times New Roman"/>
          <w:sz w:val="20"/>
          <w:szCs w:val="20"/>
        </w:rPr>
        <w:t xml:space="preserve">erformance </w:t>
      </w:r>
      <w:r w:rsidR="007F069B">
        <w:rPr>
          <w:rFonts w:ascii="Times New Roman" w:hAnsi="Times New Roman"/>
          <w:sz w:val="20"/>
          <w:szCs w:val="20"/>
        </w:rPr>
        <w:t>m</w:t>
      </w:r>
      <w:r w:rsidR="007F069B" w:rsidRPr="00316C26">
        <w:rPr>
          <w:rFonts w:ascii="Times New Roman" w:hAnsi="Times New Roman"/>
          <w:sz w:val="20"/>
          <w:szCs w:val="20"/>
        </w:rPr>
        <w:t xml:space="preserve">anagement </w:t>
      </w:r>
      <w:r w:rsidR="007F069B">
        <w:rPr>
          <w:rFonts w:ascii="Times New Roman" w:hAnsi="Times New Roman"/>
          <w:sz w:val="20"/>
          <w:szCs w:val="20"/>
        </w:rPr>
        <w:t>f</w:t>
      </w:r>
      <w:r w:rsidR="007F069B" w:rsidRPr="00316C26">
        <w:rPr>
          <w:rFonts w:ascii="Times New Roman" w:hAnsi="Times New Roman"/>
          <w:sz w:val="20"/>
          <w:szCs w:val="20"/>
        </w:rPr>
        <w:t>ramework</w:t>
      </w:r>
      <w:r w:rsidRPr="00316C26">
        <w:rPr>
          <w:rFonts w:ascii="Times New Roman" w:hAnsi="Times New Roman"/>
          <w:sz w:val="20"/>
          <w:szCs w:val="20"/>
        </w:rPr>
        <w:t xml:space="preserve">.  </w:t>
      </w:r>
    </w:p>
    <w:p w:rsidR="00D6176C" w:rsidRPr="00D54000" w:rsidRDefault="00D6176C" w:rsidP="00D54000">
      <w:pPr>
        <w:tabs>
          <w:tab w:val="left" w:pos="1080"/>
        </w:tabs>
        <w:spacing w:after="0" w:line="240" w:lineRule="auto"/>
        <w:jc w:val="both"/>
        <w:rPr>
          <w:rFonts w:ascii="Times New Roman" w:hAnsi="Times New Roman"/>
          <w:bCs/>
          <w:sz w:val="12"/>
          <w:szCs w:val="12"/>
        </w:rPr>
      </w:pPr>
    </w:p>
    <w:p w:rsidR="00D6176C" w:rsidRPr="007F069B" w:rsidRDefault="00D6176C" w:rsidP="00D54000">
      <w:pPr>
        <w:pStyle w:val="ListParagraph"/>
        <w:numPr>
          <w:ilvl w:val="0"/>
          <w:numId w:val="11"/>
        </w:numPr>
        <w:tabs>
          <w:tab w:val="left" w:pos="1080"/>
        </w:tabs>
        <w:spacing w:after="0" w:line="240" w:lineRule="auto"/>
        <w:ind w:firstLine="0"/>
        <w:jc w:val="both"/>
        <w:rPr>
          <w:rFonts w:ascii="Times New Roman" w:hAnsi="Times New Roman"/>
          <w:sz w:val="20"/>
          <w:szCs w:val="20"/>
        </w:rPr>
      </w:pPr>
      <w:r w:rsidRPr="007F069B">
        <w:rPr>
          <w:rFonts w:ascii="Times New Roman" w:hAnsi="Times New Roman"/>
          <w:sz w:val="20"/>
          <w:szCs w:val="20"/>
        </w:rPr>
        <w:t xml:space="preserve">UNDP supported the functions, financing and capacity of rule of law in 48 countries, which led to more </w:t>
      </w:r>
      <w:r w:rsidR="00D64B12" w:rsidRPr="007F069B">
        <w:rPr>
          <w:rFonts w:ascii="Times New Roman" w:hAnsi="Times New Roman"/>
          <w:sz w:val="20"/>
          <w:szCs w:val="20"/>
        </w:rPr>
        <w:t xml:space="preserve">than </w:t>
      </w:r>
      <w:r w:rsidRPr="007F069B">
        <w:rPr>
          <w:rFonts w:ascii="Times New Roman" w:hAnsi="Times New Roman"/>
          <w:sz w:val="20"/>
          <w:szCs w:val="20"/>
        </w:rPr>
        <w:t xml:space="preserve">1.27 million women and 1.24 million men having access to legal aid services. In partnership with the United Nations Department of Peacekeeping Operations, UNDP co-led coherence of rule of law efforts across the United Nations system through the Global Focal Point for Police, Justice and Corrections, which provided integrated </w:t>
      </w:r>
      <w:r w:rsidR="007F069B" w:rsidRPr="007F069B">
        <w:rPr>
          <w:rFonts w:ascii="Times New Roman" w:hAnsi="Times New Roman"/>
          <w:sz w:val="20"/>
          <w:szCs w:val="20"/>
        </w:rPr>
        <w:t xml:space="preserve">joint </w:t>
      </w:r>
      <w:r w:rsidRPr="007F069B">
        <w:rPr>
          <w:rFonts w:ascii="Times New Roman" w:hAnsi="Times New Roman"/>
          <w:sz w:val="20"/>
          <w:szCs w:val="20"/>
        </w:rPr>
        <w:t>support to 10 countries.</w:t>
      </w:r>
      <w:r w:rsidR="00E01775" w:rsidRPr="007F069B">
        <w:rPr>
          <w:rFonts w:ascii="Times New Roman" w:hAnsi="Times New Roman"/>
          <w:sz w:val="20"/>
          <w:szCs w:val="20"/>
        </w:rPr>
        <w:t xml:space="preserve"> </w:t>
      </w:r>
      <w:r w:rsidRPr="007F069B">
        <w:rPr>
          <w:rFonts w:ascii="Times New Roman" w:hAnsi="Times New Roman"/>
          <w:sz w:val="20"/>
          <w:szCs w:val="20"/>
        </w:rPr>
        <w:t xml:space="preserve">In Afghanistan, UNDP </w:t>
      </w:r>
      <w:r w:rsidRPr="00316C26">
        <w:rPr>
          <w:rFonts w:ascii="Times New Roman" w:hAnsi="Times New Roman"/>
          <w:sz w:val="20"/>
          <w:szCs w:val="20"/>
        </w:rPr>
        <w:t>support</w:t>
      </w:r>
      <w:r>
        <w:rPr>
          <w:rFonts w:ascii="Times New Roman" w:hAnsi="Times New Roman"/>
          <w:sz w:val="20"/>
          <w:szCs w:val="20"/>
        </w:rPr>
        <w:t>ed</w:t>
      </w:r>
      <w:r w:rsidRPr="00316C26">
        <w:rPr>
          <w:rFonts w:ascii="Times New Roman" w:hAnsi="Times New Roman"/>
          <w:sz w:val="20"/>
          <w:szCs w:val="20"/>
        </w:rPr>
        <w:t xml:space="preserve"> legal aid schemes by the Ministry of Justice and </w:t>
      </w:r>
      <w:r w:rsidR="00B528FF">
        <w:rPr>
          <w:rFonts w:ascii="Times New Roman" w:hAnsi="Times New Roman"/>
          <w:sz w:val="20"/>
          <w:szCs w:val="20"/>
        </w:rPr>
        <w:t xml:space="preserve">the </w:t>
      </w:r>
      <w:r w:rsidRPr="00316C26">
        <w:rPr>
          <w:rFonts w:ascii="Times New Roman" w:hAnsi="Times New Roman"/>
          <w:sz w:val="20"/>
          <w:szCs w:val="20"/>
        </w:rPr>
        <w:t xml:space="preserve">Afghanistan </w:t>
      </w:r>
      <w:r w:rsidRPr="00316C26">
        <w:rPr>
          <w:rFonts w:ascii="Times New Roman" w:hAnsi="Times New Roman"/>
          <w:sz w:val="20"/>
          <w:szCs w:val="20"/>
        </w:rPr>
        <w:lastRenderedPageBreak/>
        <w:t xml:space="preserve">Independent Bar Association and </w:t>
      </w:r>
      <w:r>
        <w:rPr>
          <w:rFonts w:ascii="Times New Roman" w:hAnsi="Times New Roman"/>
          <w:sz w:val="20"/>
          <w:szCs w:val="20"/>
        </w:rPr>
        <w:t xml:space="preserve">provided </w:t>
      </w:r>
      <w:r w:rsidRPr="00316C26">
        <w:rPr>
          <w:rFonts w:ascii="Times New Roman" w:hAnsi="Times New Roman"/>
          <w:sz w:val="20"/>
          <w:szCs w:val="20"/>
        </w:rPr>
        <w:t xml:space="preserve">assistance to </w:t>
      </w:r>
      <w:r w:rsidR="007F069B">
        <w:rPr>
          <w:rFonts w:ascii="Times New Roman" w:hAnsi="Times New Roman"/>
          <w:sz w:val="20"/>
          <w:szCs w:val="20"/>
        </w:rPr>
        <w:t>f</w:t>
      </w:r>
      <w:r w:rsidR="007F069B" w:rsidRPr="00316C26">
        <w:rPr>
          <w:rFonts w:ascii="Times New Roman" w:hAnsi="Times New Roman"/>
          <w:sz w:val="20"/>
          <w:szCs w:val="20"/>
        </w:rPr>
        <w:t xml:space="preserve">amily </w:t>
      </w:r>
      <w:r w:rsidR="007F069B">
        <w:rPr>
          <w:rFonts w:ascii="Times New Roman" w:hAnsi="Times New Roman"/>
          <w:sz w:val="20"/>
          <w:szCs w:val="20"/>
        </w:rPr>
        <w:t>r</w:t>
      </w:r>
      <w:r w:rsidR="007F069B" w:rsidRPr="00316C26">
        <w:rPr>
          <w:rFonts w:ascii="Times New Roman" w:hAnsi="Times New Roman"/>
          <w:sz w:val="20"/>
          <w:szCs w:val="20"/>
        </w:rPr>
        <w:t xml:space="preserve">esponse </w:t>
      </w:r>
      <w:r w:rsidR="007F069B">
        <w:rPr>
          <w:rFonts w:ascii="Times New Roman" w:hAnsi="Times New Roman"/>
          <w:sz w:val="20"/>
          <w:szCs w:val="20"/>
        </w:rPr>
        <w:t>u</w:t>
      </w:r>
      <w:r w:rsidR="007F069B" w:rsidRPr="00316C26">
        <w:rPr>
          <w:rFonts w:ascii="Times New Roman" w:hAnsi="Times New Roman"/>
          <w:sz w:val="20"/>
          <w:szCs w:val="20"/>
        </w:rPr>
        <w:t>nits</w:t>
      </w:r>
      <w:r w:rsidR="007F069B">
        <w:rPr>
          <w:rFonts w:ascii="Times New Roman" w:hAnsi="Times New Roman"/>
          <w:sz w:val="20"/>
          <w:szCs w:val="20"/>
        </w:rPr>
        <w:t xml:space="preserve"> </w:t>
      </w:r>
      <w:r>
        <w:rPr>
          <w:rFonts w:ascii="Times New Roman" w:hAnsi="Times New Roman"/>
          <w:sz w:val="20"/>
          <w:szCs w:val="20"/>
        </w:rPr>
        <w:t>that</w:t>
      </w:r>
      <w:r w:rsidRPr="00316C26">
        <w:rPr>
          <w:rFonts w:ascii="Times New Roman" w:hAnsi="Times New Roman"/>
          <w:sz w:val="20"/>
          <w:szCs w:val="20"/>
        </w:rPr>
        <w:t xml:space="preserve"> increased access to legal aid to </w:t>
      </w:r>
      <w:r>
        <w:rPr>
          <w:rFonts w:ascii="Times New Roman" w:hAnsi="Times New Roman"/>
          <w:sz w:val="20"/>
          <w:szCs w:val="20"/>
        </w:rPr>
        <w:t>marginalized</w:t>
      </w:r>
      <w:r w:rsidRPr="00316C26">
        <w:rPr>
          <w:rFonts w:ascii="Times New Roman" w:hAnsi="Times New Roman"/>
          <w:sz w:val="20"/>
          <w:szCs w:val="20"/>
        </w:rPr>
        <w:t xml:space="preserve"> men and women</w:t>
      </w:r>
      <w:r>
        <w:rPr>
          <w:rFonts w:ascii="Times New Roman" w:hAnsi="Times New Roman"/>
          <w:sz w:val="20"/>
          <w:szCs w:val="20"/>
        </w:rPr>
        <w:t xml:space="preserve"> (</w:t>
      </w:r>
      <w:r w:rsidRPr="00316C26">
        <w:rPr>
          <w:rFonts w:ascii="Times New Roman" w:hAnsi="Times New Roman"/>
          <w:sz w:val="20"/>
          <w:szCs w:val="20"/>
        </w:rPr>
        <w:t>includ</w:t>
      </w:r>
      <w:r w:rsidR="007F069B">
        <w:rPr>
          <w:rFonts w:ascii="Times New Roman" w:hAnsi="Times New Roman"/>
          <w:sz w:val="20"/>
          <w:szCs w:val="20"/>
        </w:rPr>
        <w:t>ing</w:t>
      </w:r>
      <w:r w:rsidRPr="00316C26">
        <w:rPr>
          <w:rFonts w:ascii="Times New Roman" w:hAnsi="Times New Roman"/>
          <w:sz w:val="20"/>
          <w:szCs w:val="20"/>
        </w:rPr>
        <w:t xml:space="preserve"> legal services for survivors of gender-based violence</w:t>
      </w:r>
      <w:r>
        <w:rPr>
          <w:rFonts w:ascii="Times New Roman" w:hAnsi="Times New Roman"/>
          <w:sz w:val="20"/>
          <w:szCs w:val="20"/>
        </w:rPr>
        <w:t>)</w:t>
      </w:r>
      <w:r w:rsidRPr="00316C26">
        <w:rPr>
          <w:rFonts w:ascii="Times New Roman" w:hAnsi="Times New Roman"/>
          <w:sz w:val="20"/>
          <w:szCs w:val="20"/>
        </w:rPr>
        <w:t>. In 2017, 3,351</w:t>
      </w:r>
      <w:r>
        <w:rPr>
          <w:rFonts w:ascii="Times New Roman" w:hAnsi="Times New Roman"/>
          <w:sz w:val="20"/>
          <w:szCs w:val="20"/>
        </w:rPr>
        <w:t xml:space="preserve"> people</w:t>
      </w:r>
      <w:r w:rsidRPr="00316C26">
        <w:rPr>
          <w:rFonts w:ascii="Times New Roman" w:hAnsi="Times New Roman"/>
          <w:sz w:val="20"/>
          <w:szCs w:val="20"/>
        </w:rPr>
        <w:t xml:space="preserve"> (617 female</w:t>
      </w:r>
      <w:r w:rsidR="007F069B">
        <w:rPr>
          <w:rFonts w:ascii="Times New Roman" w:hAnsi="Times New Roman"/>
          <w:sz w:val="20"/>
          <w:szCs w:val="20"/>
        </w:rPr>
        <w:t>s</w:t>
      </w:r>
      <w:r w:rsidRPr="00316C26">
        <w:rPr>
          <w:rFonts w:ascii="Times New Roman" w:hAnsi="Times New Roman"/>
          <w:sz w:val="20"/>
          <w:szCs w:val="20"/>
        </w:rPr>
        <w:t xml:space="preserve">) </w:t>
      </w:r>
      <w:r>
        <w:rPr>
          <w:rFonts w:ascii="Times New Roman" w:hAnsi="Times New Roman"/>
          <w:sz w:val="20"/>
          <w:szCs w:val="20"/>
        </w:rPr>
        <w:t>accessed</w:t>
      </w:r>
      <w:r w:rsidRPr="00316C26">
        <w:rPr>
          <w:rFonts w:ascii="Times New Roman" w:hAnsi="Times New Roman"/>
          <w:sz w:val="20"/>
          <w:szCs w:val="20"/>
        </w:rPr>
        <w:t xml:space="preserve"> legal aid services from the Legal Aid Grant Facility</w:t>
      </w:r>
      <w:r w:rsidR="00D7019C">
        <w:rPr>
          <w:rFonts w:ascii="Times New Roman" w:hAnsi="Times New Roman"/>
          <w:sz w:val="20"/>
          <w:szCs w:val="20"/>
        </w:rPr>
        <w:t>.</w:t>
      </w:r>
      <w:r w:rsidRPr="00316C26">
        <w:rPr>
          <w:rFonts w:ascii="Times New Roman" w:hAnsi="Times New Roman"/>
          <w:sz w:val="20"/>
          <w:szCs w:val="20"/>
        </w:rPr>
        <w:t xml:space="preserve"> In </w:t>
      </w:r>
      <w:r w:rsidRPr="007F069B">
        <w:rPr>
          <w:rFonts w:ascii="Times New Roman" w:hAnsi="Times New Roman"/>
          <w:sz w:val="20"/>
          <w:szCs w:val="20"/>
        </w:rPr>
        <w:t xml:space="preserve">Turkey, UNDP supported training </w:t>
      </w:r>
      <w:r w:rsidR="007F069B">
        <w:rPr>
          <w:rFonts w:ascii="Times New Roman" w:hAnsi="Times New Roman"/>
          <w:sz w:val="20"/>
          <w:szCs w:val="20"/>
        </w:rPr>
        <w:t>of</w:t>
      </w:r>
      <w:r w:rsidR="007F069B" w:rsidRPr="007F069B">
        <w:rPr>
          <w:rFonts w:ascii="Times New Roman" w:hAnsi="Times New Roman"/>
          <w:sz w:val="20"/>
          <w:szCs w:val="20"/>
        </w:rPr>
        <w:t xml:space="preserve"> </w:t>
      </w:r>
      <w:r w:rsidRPr="007F069B">
        <w:rPr>
          <w:rFonts w:ascii="Times New Roman" w:hAnsi="Times New Roman"/>
          <w:sz w:val="20"/>
          <w:szCs w:val="20"/>
        </w:rPr>
        <w:t>250 new female police cadets</w:t>
      </w:r>
      <w:r w:rsidR="007F069B">
        <w:rPr>
          <w:rFonts w:ascii="Times New Roman" w:hAnsi="Times New Roman"/>
          <w:sz w:val="20"/>
          <w:szCs w:val="20"/>
        </w:rPr>
        <w:t>,</w:t>
      </w:r>
      <w:r w:rsidRPr="007F069B">
        <w:rPr>
          <w:rFonts w:ascii="Times New Roman" w:hAnsi="Times New Roman"/>
          <w:sz w:val="20"/>
          <w:szCs w:val="20"/>
        </w:rPr>
        <w:t xml:space="preserve"> bring</w:t>
      </w:r>
      <w:r w:rsidR="007F069B">
        <w:rPr>
          <w:rFonts w:ascii="Times New Roman" w:hAnsi="Times New Roman"/>
          <w:sz w:val="20"/>
          <w:szCs w:val="20"/>
        </w:rPr>
        <w:t>ing</w:t>
      </w:r>
      <w:r w:rsidRPr="007F069B">
        <w:rPr>
          <w:rFonts w:ascii="Times New Roman" w:hAnsi="Times New Roman"/>
          <w:sz w:val="20"/>
          <w:szCs w:val="20"/>
        </w:rPr>
        <w:t xml:space="preserve"> the total of female officers to 3,155, a</w:t>
      </w:r>
      <w:r w:rsidR="007F069B">
        <w:rPr>
          <w:rFonts w:ascii="Times New Roman" w:hAnsi="Times New Roman"/>
          <w:sz w:val="20"/>
          <w:szCs w:val="20"/>
        </w:rPr>
        <w:t>n increase of</w:t>
      </w:r>
      <w:r w:rsidRPr="007F069B">
        <w:rPr>
          <w:rFonts w:ascii="Times New Roman" w:hAnsi="Times New Roman"/>
          <w:sz w:val="20"/>
          <w:szCs w:val="20"/>
        </w:rPr>
        <w:t xml:space="preserve"> 28 per cent since 2016. </w:t>
      </w:r>
    </w:p>
    <w:p w:rsidR="00D6176C" w:rsidRPr="00D54000" w:rsidRDefault="00D6176C" w:rsidP="00D54000">
      <w:pPr>
        <w:tabs>
          <w:tab w:val="left" w:pos="1080"/>
        </w:tabs>
        <w:spacing w:after="0" w:line="240" w:lineRule="auto"/>
        <w:jc w:val="both"/>
        <w:rPr>
          <w:rFonts w:ascii="Times New Roman" w:hAnsi="Times New Roman"/>
          <w:bCs/>
          <w:sz w:val="12"/>
          <w:szCs w:val="12"/>
        </w:rPr>
      </w:pPr>
    </w:p>
    <w:p w:rsidR="00D6176C" w:rsidRPr="00F74FE7" w:rsidRDefault="00D6176C" w:rsidP="00D54000">
      <w:pPr>
        <w:pStyle w:val="ListParagraph"/>
        <w:numPr>
          <w:ilvl w:val="0"/>
          <w:numId w:val="11"/>
        </w:numPr>
        <w:tabs>
          <w:tab w:val="left" w:pos="1080"/>
        </w:tabs>
        <w:spacing w:after="0" w:line="0" w:lineRule="atLeast"/>
        <w:ind w:firstLine="0"/>
        <w:jc w:val="both"/>
        <w:rPr>
          <w:rFonts w:ascii="Times New Roman" w:hAnsi="Times New Roman"/>
          <w:sz w:val="20"/>
          <w:szCs w:val="20"/>
        </w:rPr>
      </w:pPr>
      <w:bookmarkStart w:id="5" w:name="_Hlk509746816"/>
      <w:r w:rsidRPr="007F069B">
        <w:rPr>
          <w:rFonts w:ascii="Times New Roman" w:hAnsi="Times New Roman"/>
          <w:sz w:val="20"/>
          <w:szCs w:val="20"/>
        </w:rPr>
        <w:t>Through a partnership with the Global Fund</w:t>
      </w:r>
      <w:r w:rsidR="00342490">
        <w:rPr>
          <w:rFonts w:ascii="Times New Roman" w:hAnsi="Times New Roman"/>
          <w:sz w:val="20"/>
          <w:szCs w:val="20"/>
        </w:rPr>
        <w:t xml:space="preserve"> to Fight AIDS, Tuberculosis and Malaria</w:t>
      </w:r>
      <w:r w:rsidRPr="007F069B">
        <w:rPr>
          <w:rFonts w:ascii="Times New Roman" w:hAnsi="Times New Roman"/>
          <w:sz w:val="20"/>
          <w:szCs w:val="20"/>
        </w:rPr>
        <w:t>, UNDP support to national institutions, systems, laws and policies strengthened the equitable, accountable and effective delivery of HIV</w:t>
      </w:r>
      <w:r w:rsidR="00342490">
        <w:rPr>
          <w:rFonts w:ascii="Times New Roman" w:hAnsi="Times New Roman"/>
          <w:sz w:val="20"/>
          <w:szCs w:val="20"/>
        </w:rPr>
        <w:t>-</w:t>
      </w:r>
      <w:r w:rsidRPr="007F069B">
        <w:rPr>
          <w:rFonts w:ascii="Times New Roman" w:hAnsi="Times New Roman"/>
          <w:sz w:val="20"/>
          <w:szCs w:val="20"/>
        </w:rPr>
        <w:t>related services in 41 countries.</w:t>
      </w:r>
      <w:r w:rsidRPr="00244286">
        <w:rPr>
          <w:rFonts w:ascii="Times New Roman" w:hAnsi="Times New Roman"/>
          <w:b/>
          <w:sz w:val="20"/>
          <w:szCs w:val="20"/>
        </w:rPr>
        <w:t xml:space="preserve"> </w:t>
      </w:r>
      <w:r w:rsidRPr="00F74FE7">
        <w:rPr>
          <w:rFonts w:ascii="Times New Roman" w:hAnsi="Times New Roman"/>
          <w:sz w:val="20"/>
          <w:szCs w:val="20"/>
        </w:rPr>
        <w:t>The Global Fund collaboration helped 2.1 million people to receive HIV treatment in 2017. Between 2014</w:t>
      </w:r>
      <w:r w:rsidR="00342490">
        <w:rPr>
          <w:rFonts w:ascii="Times New Roman" w:hAnsi="Times New Roman"/>
          <w:sz w:val="20"/>
          <w:szCs w:val="20"/>
        </w:rPr>
        <w:t xml:space="preserve"> and </w:t>
      </w:r>
      <w:r w:rsidRPr="00F74FE7">
        <w:rPr>
          <w:rFonts w:ascii="Times New Roman" w:hAnsi="Times New Roman"/>
          <w:sz w:val="20"/>
          <w:szCs w:val="20"/>
        </w:rPr>
        <w:t xml:space="preserve">2017, 20.8 million people received HIV counselling and testing and 418,000 pregnant women received treatment to prevent mother-to-child-transmission of HIV. Upwards of 116,000 tuberculosis cases were </w:t>
      </w:r>
      <w:r w:rsidR="00426E59">
        <w:rPr>
          <w:rFonts w:ascii="Times New Roman" w:hAnsi="Times New Roman"/>
          <w:sz w:val="20"/>
          <w:szCs w:val="20"/>
        </w:rPr>
        <w:t xml:space="preserve">treated </w:t>
      </w:r>
      <w:r w:rsidRPr="00F74FE7">
        <w:rPr>
          <w:rFonts w:ascii="Times New Roman" w:hAnsi="Times New Roman"/>
          <w:sz w:val="20"/>
          <w:szCs w:val="20"/>
        </w:rPr>
        <w:t>successfully and 24 million mosquito nets were distributed to protect families against malaria. UNDP-managed Global Fund grants supported the training of 125,000 doctors, nurses and community health workers, and provided care and support services for 193,000 people affected by HIV, tuberculosis and malaria. This partnership has contributed directly to improving the ability of individuals to live fuller and more productive lives, generating social and economic benefits.</w:t>
      </w:r>
    </w:p>
    <w:bookmarkEnd w:id="5"/>
    <w:p w:rsidR="00FF76C1" w:rsidRPr="00A716A0" w:rsidRDefault="00FF76C1" w:rsidP="00D6176C">
      <w:pPr>
        <w:pStyle w:val="ListParagraph"/>
        <w:widowControl w:val="0"/>
        <w:spacing w:after="0" w:line="240" w:lineRule="auto"/>
        <w:ind w:left="0"/>
        <w:contextualSpacing w:val="0"/>
        <w:jc w:val="both"/>
        <w:rPr>
          <w:rFonts w:ascii="Times New Roman" w:hAnsi="Times New Roman"/>
          <w:b/>
          <w:sz w:val="12"/>
          <w:szCs w:val="12"/>
        </w:rPr>
      </w:pPr>
    </w:p>
    <w:p w:rsidR="00D6176C" w:rsidRDefault="00D6176C" w:rsidP="00684775">
      <w:pPr>
        <w:pStyle w:val="ListParagraph"/>
        <w:widowControl w:val="0"/>
        <w:spacing w:after="120" w:line="240" w:lineRule="auto"/>
        <w:ind w:left="0"/>
        <w:contextualSpacing w:val="0"/>
        <w:jc w:val="both"/>
        <w:rPr>
          <w:rFonts w:ascii="Times New Roman" w:hAnsi="Times New Roman"/>
          <w:b/>
          <w:sz w:val="24"/>
          <w:szCs w:val="20"/>
        </w:rPr>
      </w:pPr>
      <w:r w:rsidRPr="003F5460">
        <w:rPr>
          <w:rFonts w:ascii="Times New Roman" w:hAnsi="Times New Roman"/>
          <w:b/>
          <w:sz w:val="24"/>
          <w:szCs w:val="20"/>
        </w:rPr>
        <w:t>Outcome 4. Gender equality and women’s empowerment</w:t>
      </w:r>
    </w:p>
    <w:tbl>
      <w:tblPr>
        <w:tblW w:w="94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02"/>
        <w:gridCol w:w="1733"/>
        <w:gridCol w:w="990"/>
        <w:gridCol w:w="990"/>
        <w:gridCol w:w="900"/>
        <w:gridCol w:w="900"/>
        <w:gridCol w:w="1080"/>
        <w:gridCol w:w="1170"/>
        <w:gridCol w:w="1170"/>
      </w:tblGrid>
      <w:tr w:rsidR="00D6176C" w:rsidRPr="00EE7DC1" w:rsidTr="005B6C71">
        <w:trPr>
          <w:trHeight w:val="303"/>
        </w:trPr>
        <w:tc>
          <w:tcPr>
            <w:tcW w:w="2235" w:type="dxa"/>
            <w:gridSpan w:val="2"/>
            <w:vMerge w:val="restart"/>
            <w:shd w:val="clear" w:color="auto" w:fill="F3F3F3"/>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Output</w:t>
            </w:r>
          </w:p>
        </w:tc>
        <w:tc>
          <w:tcPr>
            <w:tcW w:w="3780" w:type="dxa"/>
            <w:gridSpan w:val="4"/>
            <w:shd w:val="clear" w:color="auto" w:fill="F3F3F3"/>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Performance against milestones</w:t>
            </w:r>
          </w:p>
        </w:tc>
        <w:tc>
          <w:tcPr>
            <w:tcW w:w="1080" w:type="dxa"/>
            <w:vMerge w:val="restart"/>
            <w:shd w:val="clear" w:color="auto" w:fill="F3F3F3"/>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Number of countries supported</w:t>
            </w:r>
          </w:p>
        </w:tc>
        <w:tc>
          <w:tcPr>
            <w:tcW w:w="1170" w:type="dxa"/>
            <w:vMerge w:val="restart"/>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Proportion of countries achieved target</w:t>
            </w:r>
          </w:p>
        </w:tc>
        <w:tc>
          <w:tcPr>
            <w:tcW w:w="1170" w:type="dxa"/>
            <w:vMerge w:val="restart"/>
            <w:shd w:val="clear" w:color="auto" w:fill="F3F3F3"/>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2017 gender performance vs. overall</w:t>
            </w:r>
          </w:p>
        </w:tc>
      </w:tr>
      <w:tr w:rsidR="00D6176C" w:rsidRPr="00EE7DC1" w:rsidTr="005B6C71">
        <w:trPr>
          <w:trHeight w:val="340"/>
        </w:trPr>
        <w:tc>
          <w:tcPr>
            <w:tcW w:w="2235" w:type="dxa"/>
            <w:gridSpan w:val="2"/>
            <w:vMerge/>
            <w:shd w:val="clear" w:color="auto" w:fill="F3F3F3"/>
            <w:vAlign w:val="bottom"/>
          </w:tcPr>
          <w:p w:rsidR="00D6176C" w:rsidRPr="00EE7DC1" w:rsidRDefault="00D6176C" w:rsidP="005B6C71">
            <w:pPr>
              <w:spacing w:after="0"/>
              <w:jc w:val="center"/>
              <w:rPr>
                <w:rFonts w:ascii="Times New Roman" w:eastAsia="Times New Roman" w:hAnsi="Times New Roman"/>
                <w:b/>
                <w:bCs/>
                <w:sz w:val="16"/>
                <w:szCs w:val="16"/>
              </w:rPr>
            </w:pPr>
          </w:p>
        </w:tc>
        <w:tc>
          <w:tcPr>
            <w:tcW w:w="990" w:type="dxa"/>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2014</w:t>
            </w:r>
          </w:p>
        </w:tc>
        <w:tc>
          <w:tcPr>
            <w:tcW w:w="990" w:type="dxa"/>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2015</w:t>
            </w:r>
          </w:p>
        </w:tc>
        <w:tc>
          <w:tcPr>
            <w:tcW w:w="900" w:type="dxa"/>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2016</w:t>
            </w:r>
          </w:p>
        </w:tc>
        <w:tc>
          <w:tcPr>
            <w:tcW w:w="900" w:type="dxa"/>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2017</w:t>
            </w:r>
          </w:p>
        </w:tc>
        <w:tc>
          <w:tcPr>
            <w:tcW w:w="1080" w:type="dxa"/>
            <w:vMerge/>
            <w:shd w:val="clear" w:color="auto" w:fill="F3F3F3"/>
            <w:vAlign w:val="bottom"/>
          </w:tcPr>
          <w:p w:rsidR="00D6176C" w:rsidRPr="00EE7DC1" w:rsidRDefault="00D6176C" w:rsidP="005B6C71">
            <w:pPr>
              <w:spacing w:after="0"/>
              <w:jc w:val="center"/>
              <w:rPr>
                <w:rFonts w:ascii="Times New Roman" w:eastAsia="Times New Roman" w:hAnsi="Times New Roman"/>
                <w:b/>
                <w:bCs/>
                <w:sz w:val="16"/>
                <w:szCs w:val="16"/>
              </w:rPr>
            </w:pPr>
          </w:p>
        </w:tc>
        <w:tc>
          <w:tcPr>
            <w:tcW w:w="1170" w:type="dxa"/>
            <w:vMerge/>
            <w:shd w:val="clear" w:color="auto" w:fill="F3F3F3"/>
          </w:tcPr>
          <w:p w:rsidR="00D6176C" w:rsidRPr="00EE7DC1" w:rsidRDefault="00D6176C" w:rsidP="005B6C71">
            <w:pPr>
              <w:spacing w:after="0"/>
              <w:jc w:val="center"/>
              <w:rPr>
                <w:rFonts w:ascii="Times New Roman" w:eastAsia="Times New Roman" w:hAnsi="Times New Roman"/>
                <w:b/>
                <w:bCs/>
                <w:sz w:val="16"/>
                <w:szCs w:val="16"/>
              </w:rPr>
            </w:pPr>
          </w:p>
        </w:tc>
        <w:tc>
          <w:tcPr>
            <w:tcW w:w="1170" w:type="dxa"/>
            <w:vMerge/>
            <w:shd w:val="clear" w:color="auto" w:fill="F3F3F3"/>
            <w:vAlign w:val="bottom"/>
          </w:tcPr>
          <w:p w:rsidR="00D6176C" w:rsidRPr="00EE7DC1" w:rsidRDefault="00D6176C" w:rsidP="005B6C71">
            <w:pPr>
              <w:spacing w:after="0"/>
              <w:jc w:val="center"/>
              <w:rPr>
                <w:rFonts w:ascii="Times New Roman" w:eastAsia="Times New Roman" w:hAnsi="Times New Roman"/>
                <w:b/>
                <w:bCs/>
                <w:sz w:val="16"/>
                <w:szCs w:val="16"/>
              </w:rPr>
            </w:pPr>
          </w:p>
        </w:tc>
      </w:tr>
      <w:tr w:rsidR="00D6176C" w:rsidRPr="00EE7DC1" w:rsidTr="005B6C71">
        <w:trPr>
          <w:trHeight w:val="255"/>
        </w:trPr>
        <w:tc>
          <w:tcPr>
            <w:tcW w:w="502"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4.1</w:t>
            </w:r>
          </w:p>
        </w:tc>
        <w:tc>
          <w:tcPr>
            <w:tcW w:w="1733" w:type="dxa"/>
            <w:shd w:val="clear" w:color="auto" w:fill="auto"/>
            <w:vAlign w:val="center"/>
          </w:tcPr>
          <w:p w:rsidR="00D6176C" w:rsidRPr="00EE7DC1" w:rsidRDefault="00D6176C" w:rsidP="005B6C71">
            <w:pPr>
              <w:spacing w:after="0"/>
              <w:rPr>
                <w:rFonts w:ascii="Times New Roman" w:eastAsia="Times New Roman" w:hAnsi="Times New Roman"/>
                <w:b/>
                <w:bCs/>
                <w:sz w:val="16"/>
                <w:szCs w:val="16"/>
              </w:rPr>
            </w:pPr>
            <w:r w:rsidRPr="00EE7DC1">
              <w:rPr>
                <w:rFonts w:ascii="Times New Roman" w:hAnsi="Times New Roman"/>
                <w:color w:val="000000"/>
                <w:sz w:val="16"/>
                <w:szCs w:val="16"/>
              </w:rPr>
              <w:t>Women’s economic empowerment</w:t>
            </w:r>
          </w:p>
        </w:tc>
        <w:tc>
          <w:tcPr>
            <w:tcW w:w="990" w:type="dxa"/>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100%</w:t>
            </w:r>
          </w:p>
        </w:tc>
        <w:tc>
          <w:tcPr>
            <w:tcW w:w="990" w:type="dxa"/>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100%</w:t>
            </w:r>
          </w:p>
        </w:tc>
        <w:tc>
          <w:tcPr>
            <w:tcW w:w="900" w:type="dxa"/>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100%</w:t>
            </w:r>
          </w:p>
        </w:tc>
        <w:tc>
          <w:tcPr>
            <w:tcW w:w="900" w:type="dxa"/>
            <w:shd w:val="clear" w:color="auto" w:fill="FFC00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96%</w:t>
            </w:r>
          </w:p>
        </w:tc>
        <w:tc>
          <w:tcPr>
            <w:tcW w:w="1080" w:type="dxa"/>
            <w:shd w:val="clear" w:color="auto" w:fill="auto"/>
            <w:noWrap/>
            <w:vAlign w:val="center"/>
            <w:hideMark/>
          </w:tcPr>
          <w:p w:rsidR="00D6176C" w:rsidRPr="00EE7DC1" w:rsidRDefault="00802B98"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16</w:t>
            </w:r>
          </w:p>
        </w:tc>
        <w:tc>
          <w:tcPr>
            <w:tcW w:w="1170" w:type="dxa"/>
            <w:vAlign w:val="center"/>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hAnsi="Times New Roman"/>
                <w:sz w:val="16"/>
                <w:szCs w:val="16"/>
              </w:rPr>
              <w:t>88%</w:t>
            </w:r>
          </w:p>
        </w:tc>
        <w:tc>
          <w:tcPr>
            <w:tcW w:w="1170"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eastAsia="Times New Roman" w:hAnsi="Times New Roman"/>
                <w:iCs/>
                <w:sz w:val="16"/>
                <w:szCs w:val="16"/>
              </w:rPr>
              <w:t>Same</w:t>
            </w:r>
          </w:p>
        </w:tc>
      </w:tr>
      <w:tr w:rsidR="00D6176C" w:rsidRPr="00EE7DC1" w:rsidTr="005B6C71">
        <w:trPr>
          <w:trHeight w:val="255"/>
        </w:trPr>
        <w:tc>
          <w:tcPr>
            <w:tcW w:w="502"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4.2</w:t>
            </w:r>
          </w:p>
        </w:tc>
        <w:tc>
          <w:tcPr>
            <w:tcW w:w="1733" w:type="dxa"/>
            <w:shd w:val="clear" w:color="auto" w:fill="auto"/>
            <w:vAlign w:val="center"/>
          </w:tcPr>
          <w:p w:rsidR="00D6176C" w:rsidRPr="00EE7DC1" w:rsidRDefault="00D6176C" w:rsidP="005B6C71">
            <w:pPr>
              <w:spacing w:after="0"/>
              <w:rPr>
                <w:rFonts w:ascii="Times New Roman" w:eastAsia="Times New Roman" w:hAnsi="Times New Roman"/>
                <w:b/>
                <w:bCs/>
                <w:sz w:val="16"/>
                <w:szCs w:val="16"/>
              </w:rPr>
            </w:pPr>
            <w:r w:rsidRPr="00EE7DC1">
              <w:rPr>
                <w:rFonts w:ascii="Times New Roman" w:hAnsi="Times New Roman"/>
                <w:color w:val="000000"/>
                <w:sz w:val="16"/>
                <w:szCs w:val="16"/>
              </w:rPr>
              <w:t>Sexual and gender-based violence</w:t>
            </w:r>
          </w:p>
        </w:tc>
        <w:tc>
          <w:tcPr>
            <w:tcW w:w="990" w:type="dxa"/>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192%</w:t>
            </w:r>
          </w:p>
        </w:tc>
        <w:tc>
          <w:tcPr>
            <w:tcW w:w="990" w:type="dxa"/>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114%</w:t>
            </w:r>
          </w:p>
        </w:tc>
        <w:tc>
          <w:tcPr>
            <w:tcW w:w="900" w:type="dxa"/>
            <w:shd w:val="clear" w:color="000000" w:fill="FFC00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95%</w:t>
            </w:r>
          </w:p>
        </w:tc>
        <w:tc>
          <w:tcPr>
            <w:tcW w:w="900" w:type="dxa"/>
            <w:shd w:val="clear" w:color="auto" w:fill="FFC00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95%</w:t>
            </w:r>
          </w:p>
        </w:tc>
        <w:tc>
          <w:tcPr>
            <w:tcW w:w="1080" w:type="dxa"/>
            <w:shd w:val="clear" w:color="auto" w:fill="auto"/>
            <w:noWrap/>
            <w:vAlign w:val="center"/>
            <w:hideMark/>
          </w:tcPr>
          <w:p w:rsidR="00D6176C" w:rsidRPr="00EE7DC1" w:rsidRDefault="00802B98"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14</w:t>
            </w:r>
          </w:p>
        </w:tc>
        <w:tc>
          <w:tcPr>
            <w:tcW w:w="1170" w:type="dxa"/>
            <w:vAlign w:val="center"/>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hAnsi="Times New Roman"/>
                <w:sz w:val="16"/>
                <w:szCs w:val="16"/>
              </w:rPr>
              <w:t>78%</w:t>
            </w:r>
          </w:p>
        </w:tc>
        <w:tc>
          <w:tcPr>
            <w:tcW w:w="1170"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eastAsia="Times New Roman" w:hAnsi="Times New Roman"/>
                <w:iCs/>
                <w:sz w:val="16"/>
                <w:szCs w:val="16"/>
              </w:rPr>
              <w:t>Same</w:t>
            </w:r>
          </w:p>
        </w:tc>
      </w:tr>
      <w:tr w:rsidR="00D6176C" w:rsidRPr="00EE7DC1" w:rsidTr="005B6C71">
        <w:trPr>
          <w:trHeight w:val="255"/>
        </w:trPr>
        <w:tc>
          <w:tcPr>
            <w:tcW w:w="502"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4.3</w:t>
            </w:r>
          </w:p>
        </w:tc>
        <w:tc>
          <w:tcPr>
            <w:tcW w:w="1733" w:type="dxa"/>
            <w:shd w:val="clear" w:color="auto" w:fill="auto"/>
            <w:vAlign w:val="center"/>
          </w:tcPr>
          <w:p w:rsidR="00D6176C" w:rsidRPr="00EE7DC1" w:rsidRDefault="00D6176C" w:rsidP="005B6C71">
            <w:pPr>
              <w:spacing w:after="0"/>
              <w:rPr>
                <w:rFonts w:ascii="Times New Roman" w:eastAsia="Times New Roman" w:hAnsi="Times New Roman"/>
                <w:b/>
                <w:bCs/>
                <w:sz w:val="16"/>
                <w:szCs w:val="16"/>
              </w:rPr>
            </w:pPr>
            <w:r w:rsidRPr="00EE7DC1">
              <w:rPr>
                <w:rFonts w:ascii="Times New Roman" w:hAnsi="Times New Roman"/>
                <w:color w:val="000000"/>
                <w:sz w:val="16"/>
                <w:szCs w:val="16"/>
              </w:rPr>
              <w:t>Gender evidence</w:t>
            </w:r>
          </w:p>
        </w:tc>
        <w:tc>
          <w:tcPr>
            <w:tcW w:w="990" w:type="dxa"/>
            <w:shd w:val="clear" w:color="000000" w:fill="FF000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50%</w:t>
            </w:r>
          </w:p>
        </w:tc>
        <w:tc>
          <w:tcPr>
            <w:tcW w:w="990" w:type="dxa"/>
            <w:shd w:val="clear" w:color="000000" w:fill="82CA3F"/>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100%</w:t>
            </w:r>
          </w:p>
        </w:tc>
        <w:tc>
          <w:tcPr>
            <w:tcW w:w="900" w:type="dxa"/>
            <w:shd w:val="clear" w:color="000000" w:fill="82CA3F"/>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100%</w:t>
            </w:r>
          </w:p>
        </w:tc>
        <w:tc>
          <w:tcPr>
            <w:tcW w:w="900" w:type="dxa"/>
            <w:shd w:val="clear" w:color="auto" w:fill="FFC00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83%</w:t>
            </w:r>
          </w:p>
        </w:tc>
        <w:tc>
          <w:tcPr>
            <w:tcW w:w="1080" w:type="dxa"/>
            <w:shd w:val="clear" w:color="auto" w:fill="auto"/>
            <w:noWrap/>
            <w:vAlign w:val="center"/>
            <w:hideMark/>
          </w:tcPr>
          <w:p w:rsidR="00D6176C" w:rsidRPr="00EE7DC1" w:rsidRDefault="00802B98"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12</w:t>
            </w:r>
          </w:p>
        </w:tc>
        <w:tc>
          <w:tcPr>
            <w:tcW w:w="1170" w:type="dxa"/>
            <w:vAlign w:val="center"/>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hAnsi="Times New Roman"/>
                <w:sz w:val="16"/>
                <w:szCs w:val="16"/>
              </w:rPr>
              <w:t>83%</w:t>
            </w:r>
          </w:p>
        </w:tc>
        <w:tc>
          <w:tcPr>
            <w:tcW w:w="1170"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eastAsia="Times New Roman" w:hAnsi="Times New Roman"/>
                <w:iCs/>
                <w:sz w:val="16"/>
                <w:szCs w:val="16"/>
              </w:rPr>
              <w:t>Same</w:t>
            </w:r>
          </w:p>
        </w:tc>
      </w:tr>
      <w:tr w:rsidR="00D6176C" w:rsidRPr="00EE7DC1" w:rsidTr="005B6C71">
        <w:trPr>
          <w:trHeight w:val="255"/>
        </w:trPr>
        <w:tc>
          <w:tcPr>
            <w:tcW w:w="502"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4.4</w:t>
            </w:r>
          </w:p>
        </w:tc>
        <w:tc>
          <w:tcPr>
            <w:tcW w:w="1733" w:type="dxa"/>
            <w:shd w:val="clear" w:color="auto" w:fill="auto"/>
            <w:vAlign w:val="center"/>
          </w:tcPr>
          <w:p w:rsidR="00D6176C" w:rsidRPr="00EE7DC1" w:rsidRDefault="00D6176C" w:rsidP="005B6C71">
            <w:pPr>
              <w:spacing w:after="0"/>
              <w:rPr>
                <w:rFonts w:ascii="Times New Roman" w:eastAsia="Times New Roman" w:hAnsi="Times New Roman"/>
                <w:b/>
                <w:bCs/>
                <w:sz w:val="16"/>
                <w:szCs w:val="16"/>
              </w:rPr>
            </w:pPr>
            <w:r w:rsidRPr="00EE7DC1">
              <w:rPr>
                <w:rFonts w:ascii="Times New Roman" w:hAnsi="Times New Roman"/>
                <w:color w:val="000000"/>
                <w:sz w:val="16"/>
                <w:szCs w:val="16"/>
              </w:rPr>
              <w:t>Women’s participation in decision-making</w:t>
            </w:r>
          </w:p>
        </w:tc>
        <w:tc>
          <w:tcPr>
            <w:tcW w:w="990" w:type="dxa"/>
            <w:shd w:val="clear" w:color="auto" w:fill="FFC00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86%</w:t>
            </w:r>
          </w:p>
        </w:tc>
        <w:tc>
          <w:tcPr>
            <w:tcW w:w="990" w:type="dxa"/>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105%</w:t>
            </w:r>
          </w:p>
        </w:tc>
        <w:tc>
          <w:tcPr>
            <w:tcW w:w="900" w:type="dxa"/>
            <w:shd w:val="clear" w:color="000000" w:fill="82CA3F"/>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108%</w:t>
            </w:r>
          </w:p>
        </w:tc>
        <w:tc>
          <w:tcPr>
            <w:tcW w:w="900" w:type="dxa"/>
            <w:shd w:val="clear" w:color="auto" w:fill="92D05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101%</w:t>
            </w:r>
          </w:p>
        </w:tc>
        <w:tc>
          <w:tcPr>
            <w:tcW w:w="1080" w:type="dxa"/>
            <w:shd w:val="clear" w:color="auto" w:fill="auto"/>
            <w:noWrap/>
            <w:vAlign w:val="center"/>
            <w:hideMark/>
          </w:tcPr>
          <w:p w:rsidR="00D6176C" w:rsidRPr="00EE7DC1" w:rsidRDefault="00802B98"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24</w:t>
            </w:r>
          </w:p>
        </w:tc>
        <w:tc>
          <w:tcPr>
            <w:tcW w:w="1170" w:type="dxa"/>
            <w:vAlign w:val="center"/>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hAnsi="Times New Roman"/>
                <w:sz w:val="16"/>
                <w:szCs w:val="16"/>
              </w:rPr>
              <w:t>68%</w:t>
            </w:r>
          </w:p>
        </w:tc>
        <w:tc>
          <w:tcPr>
            <w:tcW w:w="1170"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eastAsia="Times New Roman" w:hAnsi="Times New Roman"/>
                <w:iCs/>
                <w:sz w:val="16"/>
                <w:szCs w:val="16"/>
              </w:rPr>
              <w:t>Same</w:t>
            </w:r>
          </w:p>
        </w:tc>
      </w:tr>
      <w:tr w:rsidR="00D6176C" w:rsidRPr="00EE7DC1" w:rsidTr="005B6C71">
        <w:trPr>
          <w:trHeight w:val="255"/>
        </w:trPr>
        <w:tc>
          <w:tcPr>
            <w:tcW w:w="9435" w:type="dxa"/>
            <w:gridSpan w:val="9"/>
          </w:tcPr>
          <w:p w:rsidR="00D6176C" w:rsidRPr="00EE7DC1" w:rsidRDefault="00D6176C" w:rsidP="005B6C71">
            <w:pPr>
              <w:spacing w:after="0"/>
              <w:rPr>
                <w:rFonts w:ascii="Times New Roman" w:eastAsia="Times New Roman" w:hAnsi="Times New Roman"/>
                <w:iCs/>
                <w:sz w:val="16"/>
                <w:szCs w:val="16"/>
              </w:rPr>
            </w:pPr>
            <w:r w:rsidRPr="00EE7DC1">
              <w:rPr>
                <w:rFonts w:ascii="Times New Roman" w:hAnsi="Times New Roman"/>
                <w:color w:val="000000"/>
                <w:sz w:val="16"/>
                <w:szCs w:val="16"/>
              </w:rPr>
              <w:t xml:space="preserve">Expenditure with gender equality as a ‘significant’ or ‘principal’ objective: </w:t>
            </w:r>
            <w:r w:rsidRPr="00B214D0">
              <w:rPr>
                <w:rFonts w:ascii="Times New Roman" w:hAnsi="Times New Roman"/>
                <w:color w:val="000000"/>
                <w:sz w:val="16"/>
                <w:szCs w:val="16"/>
              </w:rPr>
              <w:t>96%</w:t>
            </w:r>
          </w:p>
        </w:tc>
      </w:tr>
    </w:tbl>
    <w:p w:rsidR="00D6176C" w:rsidRDefault="00D6176C" w:rsidP="00D6176C">
      <w:pPr>
        <w:pStyle w:val="ListParagraph"/>
        <w:widowControl w:val="0"/>
        <w:spacing w:after="0" w:line="240" w:lineRule="auto"/>
        <w:ind w:left="0" w:right="-6"/>
        <w:contextualSpacing w:val="0"/>
        <w:jc w:val="both"/>
        <w:rPr>
          <w:rFonts w:ascii="Times New Roman" w:hAnsi="Times New Roman"/>
          <w:b/>
          <w:noProof/>
          <w:sz w:val="20"/>
          <w:szCs w:val="20"/>
        </w:rPr>
      </w:pPr>
    </w:p>
    <w:p w:rsidR="00D6176C" w:rsidRDefault="00D6176C" w:rsidP="00D54000">
      <w:pPr>
        <w:pStyle w:val="ListParagraph"/>
        <w:numPr>
          <w:ilvl w:val="0"/>
          <w:numId w:val="11"/>
        </w:numPr>
        <w:tabs>
          <w:tab w:val="left" w:pos="450"/>
          <w:tab w:val="left" w:pos="1080"/>
        </w:tabs>
        <w:spacing w:after="0" w:line="240" w:lineRule="auto"/>
        <w:ind w:firstLine="0"/>
        <w:jc w:val="both"/>
        <w:rPr>
          <w:rFonts w:ascii="Times New Roman" w:hAnsi="Times New Roman"/>
          <w:b/>
          <w:noProof/>
          <w:sz w:val="20"/>
          <w:szCs w:val="20"/>
        </w:rPr>
      </w:pPr>
      <w:r>
        <w:rPr>
          <w:rFonts w:ascii="Times New Roman" w:hAnsi="Times New Roman"/>
          <w:sz w:val="20"/>
          <w:szCs w:val="20"/>
        </w:rPr>
        <w:t xml:space="preserve">Under </w:t>
      </w:r>
      <w:r w:rsidR="00342490">
        <w:rPr>
          <w:rFonts w:ascii="Times New Roman" w:hAnsi="Times New Roman"/>
          <w:sz w:val="20"/>
          <w:szCs w:val="20"/>
        </w:rPr>
        <w:t xml:space="preserve">outcome </w:t>
      </w:r>
      <w:r w:rsidRPr="006B61C3">
        <w:rPr>
          <w:rFonts w:ascii="Times New Roman" w:hAnsi="Times New Roman"/>
          <w:sz w:val="20"/>
          <w:szCs w:val="20"/>
        </w:rPr>
        <w:t>4</w:t>
      </w:r>
      <w:r>
        <w:rPr>
          <w:rFonts w:ascii="Times New Roman" w:hAnsi="Times New Roman"/>
          <w:sz w:val="20"/>
          <w:szCs w:val="20"/>
        </w:rPr>
        <w:t xml:space="preserve">, UNDP addressed specific bottlenecks to gender equality and women’s empowerment.  Performance under </w:t>
      </w:r>
      <w:r w:rsidR="00342490">
        <w:rPr>
          <w:rFonts w:ascii="Times New Roman" w:hAnsi="Times New Roman"/>
          <w:sz w:val="20"/>
          <w:szCs w:val="20"/>
        </w:rPr>
        <w:t xml:space="preserve">outcome </w:t>
      </w:r>
      <w:r>
        <w:rPr>
          <w:rFonts w:ascii="Times New Roman" w:hAnsi="Times New Roman"/>
          <w:sz w:val="20"/>
          <w:szCs w:val="20"/>
        </w:rPr>
        <w:t xml:space="preserve">4 declined in 2017, with </w:t>
      </w:r>
      <w:r w:rsidR="00342490">
        <w:rPr>
          <w:rFonts w:ascii="Times New Roman" w:hAnsi="Times New Roman"/>
          <w:sz w:val="20"/>
          <w:szCs w:val="20"/>
        </w:rPr>
        <w:t xml:space="preserve">the 2017 targets missed for </w:t>
      </w:r>
      <w:r>
        <w:rPr>
          <w:rFonts w:ascii="Times New Roman" w:hAnsi="Times New Roman"/>
          <w:sz w:val="20"/>
          <w:szCs w:val="20"/>
        </w:rPr>
        <w:t xml:space="preserve">three of four outputs. Financial resource constraints </w:t>
      </w:r>
      <w:r w:rsidR="00734DA8">
        <w:rPr>
          <w:rFonts w:ascii="Times New Roman" w:hAnsi="Times New Roman"/>
          <w:sz w:val="20"/>
          <w:szCs w:val="20"/>
        </w:rPr>
        <w:t xml:space="preserve">were a key factor with 2017 </w:t>
      </w:r>
      <w:r w:rsidR="00734DA8" w:rsidRPr="003F5460">
        <w:rPr>
          <w:rFonts w:ascii="Times New Roman" w:hAnsi="Times New Roman"/>
          <w:sz w:val="20"/>
          <w:szCs w:val="20"/>
        </w:rPr>
        <w:t xml:space="preserve">expenditure </w:t>
      </w:r>
      <w:r w:rsidR="00734DA8">
        <w:rPr>
          <w:rFonts w:ascii="Times New Roman" w:hAnsi="Times New Roman"/>
          <w:sz w:val="20"/>
          <w:szCs w:val="20"/>
        </w:rPr>
        <w:t>reflecting a decline of</w:t>
      </w:r>
      <w:r w:rsidR="00734DA8" w:rsidRPr="003F5460">
        <w:rPr>
          <w:rFonts w:ascii="Times New Roman" w:hAnsi="Times New Roman"/>
          <w:sz w:val="20"/>
          <w:szCs w:val="20"/>
        </w:rPr>
        <w:t xml:space="preserve"> 45 per cent compared to </w:t>
      </w:r>
      <w:r w:rsidR="00734DA8">
        <w:rPr>
          <w:rFonts w:ascii="Times New Roman" w:hAnsi="Times New Roman"/>
          <w:sz w:val="20"/>
          <w:szCs w:val="20"/>
        </w:rPr>
        <w:t xml:space="preserve">2014.  </w:t>
      </w:r>
      <w:r>
        <w:rPr>
          <w:rFonts w:ascii="Times New Roman" w:hAnsi="Times New Roman"/>
          <w:sz w:val="20"/>
          <w:szCs w:val="20"/>
        </w:rPr>
        <w:t xml:space="preserve"> In 2014-2017, UNDP spent $100 million (0.6 per cent of total programme resources)</w:t>
      </w:r>
      <w:r w:rsidR="00734DA8">
        <w:rPr>
          <w:rFonts w:ascii="Times New Roman" w:hAnsi="Times New Roman"/>
          <w:sz w:val="20"/>
          <w:szCs w:val="20"/>
        </w:rPr>
        <w:t xml:space="preserve"> on outcome 4</w:t>
      </w:r>
      <w:r>
        <w:rPr>
          <w:rFonts w:ascii="Times New Roman" w:hAnsi="Times New Roman"/>
          <w:sz w:val="20"/>
          <w:szCs w:val="20"/>
        </w:rPr>
        <w:t xml:space="preserve">.  </w:t>
      </w:r>
      <w:r w:rsidRPr="003F5460">
        <w:rPr>
          <w:rFonts w:ascii="Times New Roman" w:hAnsi="Times New Roman"/>
          <w:sz w:val="20"/>
          <w:szCs w:val="20"/>
        </w:rPr>
        <w:t xml:space="preserve">  </w:t>
      </w:r>
    </w:p>
    <w:p w:rsidR="00D6176C" w:rsidRPr="00D54000" w:rsidRDefault="00D6176C" w:rsidP="00D54000">
      <w:pPr>
        <w:pStyle w:val="ListParagraph"/>
        <w:tabs>
          <w:tab w:val="left" w:pos="450"/>
          <w:tab w:val="left" w:pos="1080"/>
        </w:tabs>
        <w:spacing w:after="0" w:line="240" w:lineRule="auto"/>
        <w:ind w:left="0"/>
        <w:jc w:val="both"/>
        <w:rPr>
          <w:rFonts w:ascii="Times New Roman" w:hAnsi="Times New Roman"/>
          <w:sz w:val="12"/>
          <w:szCs w:val="12"/>
        </w:rPr>
      </w:pPr>
    </w:p>
    <w:p w:rsidR="00D6176C" w:rsidRPr="00F74FE7" w:rsidRDefault="00D6176C" w:rsidP="00D54000">
      <w:pPr>
        <w:pStyle w:val="ListParagraph"/>
        <w:numPr>
          <w:ilvl w:val="0"/>
          <w:numId w:val="11"/>
        </w:numPr>
        <w:tabs>
          <w:tab w:val="left" w:pos="1080"/>
        </w:tabs>
        <w:spacing w:after="0" w:line="0" w:lineRule="atLeast"/>
        <w:ind w:firstLine="0"/>
        <w:jc w:val="both"/>
        <w:rPr>
          <w:rFonts w:ascii="Times New Roman" w:hAnsi="Times New Roman"/>
          <w:b/>
          <w:i/>
          <w:sz w:val="20"/>
          <w:szCs w:val="20"/>
        </w:rPr>
      </w:pPr>
      <w:r w:rsidRPr="00424CD4" w:rsidDel="005A02A0">
        <w:rPr>
          <w:rFonts w:ascii="Times New Roman" w:hAnsi="Times New Roman"/>
          <w:sz w:val="20"/>
          <w:szCs w:val="20"/>
        </w:rPr>
        <w:t xml:space="preserve">That said, </w:t>
      </w:r>
      <w:r w:rsidR="00342490">
        <w:rPr>
          <w:rFonts w:ascii="Times New Roman" w:hAnsi="Times New Roman"/>
          <w:sz w:val="20"/>
          <w:szCs w:val="20"/>
        </w:rPr>
        <w:t>o</w:t>
      </w:r>
      <w:r w:rsidR="00342490" w:rsidRPr="00342490" w:rsidDel="005A02A0">
        <w:rPr>
          <w:rFonts w:ascii="Times New Roman" w:hAnsi="Times New Roman"/>
          <w:sz w:val="20"/>
          <w:szCs w:val="20"/>
        </w:rPr>
        <w:t xml:space="preserve">utcome </w:t>
      </w:r>
      <w:r w:rsidRPr="00342490" w:rsidDel="005A02A0">
        <w:rPr>
          <w:rFonts w:ascii="Times New Roman" w:hAnsi="Times New Roman"/>
          <w:sz w:val="20"/>
          <w:szCs w:val="20"/>
        </w:rPr>
        <w:t xml:space="preserve">4 does not represent all UNDP efforts to promote gender equality and empower women. </w:t>
      </w:r>
      <w:r w:rsidRPr="00424CD4" w:rsidDel="005A02A0">
        <w:rPr>
          <w:rFonts w:ascii="Times New Roman" w:hAnsi="Times New Roman"/>
          <w:sz w:val="20"/>
          <w:szCs w:val="20"/>
        </w:rPr>
        <w:t xml:space="preserve">Throughout the </w:t>
      </w:r>
      <w:r w:rsidR="00342490">
        <w:rPr>
          <w:rFonts w:ascii="Times New Roman" w:hAnsi="Times New Roman"/>
          <w:sz w:val="20"/>
          <w:szCs w:val="20"/>
        </w:rPr>
        <w:t>S</w:t>
      </w:r>
      <w:r w:rsidR="00342490" w:rsidRPr="00424CD4" w:rsidDel="005A02A0">
        <w:rPr>
          <w:rFonts w:ascii="Times New Roman" w:hAnsi="Times New Roman"/>
          <w:sz w:val="20"/>
          <w:szCs w:val="20"/>
        </w:rPr>
        <w:t xml:space="preserve">trategic </w:t>
      </w:r>
      <w:r w:rsidR="00342490">
        <w:rPr>
          <w:rFonts w:ascii="Times New Roman" w:hAnsi="Times New Roman"/>
          <w:sz w:val="20"/>
          <w:szCs w:val="20"/>
        </w:rPr>
        <w:t>P</w:t>
      </w:r>
      <w:r w:rsidR="00342490" w:rsidRPr="00424CD4" w:rsidDel="005A02A0">
        <w:rPr>
          <w:rFonts w:ascii="Times New Roman" w:hAnsi="Times New Roman"/>
          <w:sz w:val="20"/>
          <w:szCs w:val="20"/>
        </w:rPr>
        <w:t xml:space="preserve">lan </w:t>
      </w:r>
      <w:r w:rsidRPr="00424CD4" w:rsidDel="005A02A0">
        <w:rPr>
          <w:rFonts w:ascii="Times New Roman" w:hAnsi="Times New Roman"/>
          <w:sz w:val="20"/>
          <w:szCs w:val="20"/>
        </w:rPr>
        <w:t xml:space="preserve">period, gender </w:t>
      </w:r>
      <w:r w:rsidR="003F466B" w:rsidDel="005A02A0">
        <w:rPr>
          <w:rFonts w:ascii="Times New Roman" w:hAnsi="Times New Roman"/>
          <w:sz w:val="20"/>
          <w:szCs w:val="20"/>
        </w:rPr>
        <w:t xml:space="preserve">work took place across </w:t>
      </w:r>
      <w:r w:rsidRPr="00424CD4" w:rsidDel="005A02A0">
        <w:rPr>
          <w:rFonts w:ascii="Times New Roman" w:hAnsi="Times New Roman"/>
          <w:sz w:val="20"/>
          <w:szCs w:val="20"/>
        </w:rPr>
        <w:t xml:space="preserve">all outcomes with </w:t>
      </w:r>
      <w:r w:rsidR="00CC6DF1" w:rsidDel="005A02A0">
        <w:rPr>
          <w:rFonts w:ascii="Times New Roman" w:hAnsi="Times New Roman"/>
          <w:sz w:val="20"/>
          <w:szCs w:val="20"/>
        </w:rPr>
        <w:t xml:space="preserve">most results reported under </w:t>
      </w:r>
      <w:r w:rsidR="00342490">
        <w:rPr>
          <w:rFonts w:ascii="Times New Roman" w:hAnsi="Times New Roman"/>
          <w:sz w:val="20"/>
          <w:szCs w:val="20"/>
        </w:rPr>
        <w:t>o</w:t>
      </w:r>
      <w:r w:rsidR="00342490" w:rsidDel="005A02A0">
        <w:rPr>
          <w:rFonts w:ascii="Times New Roman" w:hAnsi="Times New Roman"/>
          <w:sz w:val="20"/>
          <w:szCs w:val="20"/>
        </w:rPr>
        <w:t xml:space="preserve">utcomes </w:t>
      </w:r>
      <w:r w:rsidR="00CC6DF1" w:rsidDel="005A02A0">
        <w:rPr>
          <w:rFonts w:ascii="Times New Roman" w:hAnsi="Times New Roman"/>
          <w:sz w:val="20"/>
          <w:szCs w:val="20"/>
        </w:rPr>
        <w:t xml:space="preserve">1 (sustainable livelihoods) and 2 (governance). Additionally, significant results have been reported </w:t>
      </w:r>
      <w:r w:rsidR="006934D7" w:rsidDel="005A02A0">
        <w:rPr>
          <w:rFonts w:ascii="Times New Roman" w:hAnsi="Times New Roman"/>
          <w:sz w:val="20"/>
          <w:szCs w:val="20"/>
        </w:rPr>
        <w:t xml:space="preserve">on efforts to enhance </w:t>
      </w:r>
      <w:r w:rsidR="0027415B" w:rsidDel="005A02A0">
        <w:rPr>
          <w:rFonts w:ascii="Times New Roman" w:hAnsi="Times New Roman"/>
          <w:sz w:val="20"/>
          <w:szCs w:val="20"/>
        </w:rPr>
        <w:t>women</w:t>
      </w:r>
      <w:r w:rsidR="006934D7" w:rsidDel="005A02A0">
        <w:rPr>
          <w:rFonts w:ascii="Times New Roman" w:hAnsi="Times New Roman"/>
          <w:sz w:val="20"/>
          <w:szCs w:val="20"/>
        </w:rPr>
        <w:t xml:space="preserve"> in leadership role</w:t>
      </w:r>
      <w:r w:rsidR="0027415B" w:rsidDel="005A02A0">
        <w:rPr>
          <w:rFonts w:ascii="Times New Roman" w:hAnsi="Times New Roman"/>
          <w:sz w:val="20"/>
          <w:szCs w:val="20"/>
        </w:rPr>
        <w:t xml:space="preserve">s </w:t>
      </w:r>
      <w:r w:rsidR="00F74FE7" w:rsidDel="005A02A0">
        <w:rPr>
          <w:rFonts w:ascii="Times New Roman" w:hAnsi="Times New Roman"/>
          <w:sz w:val="20"/>
          <w:szCs w:val="20"/>
        </w:rPr>
        <w:t>and prevent</w:t>
      </w:r>
      <w:r w:rsidR="00CC6DF1" w:rsidDel="005A02A0">
        <w:rPr>
          <w:rFonts w:ascii="Times New Roman" w:hAnsi="Times New Roman"/>
          <w:sz w:val="20"/>
          <w:szCs w:val="20"/>
        </w:rPr>
        <w:t xml:space="preserve"> </w:t>
      </w:r>
      <w:r w:rsidR="006934D7" w:rsidDel="005A02A0">
        <w:rPr>
          <w:rFonts w:ascii="Times New Roman" w:hAnsi="Times New Roman"/>
          <w:sz w:val="20"/>
          <w:szCs w:val="20"/>
        </w:rPr>
        <w:t>gender</w:t>
      </w:r>
      <w:r w:rsidRPr="00424CD4" w:rsidDel="005A02A0">
        <w:rPr>
          <w:rFonts w:ascii="Times New Roman" w:hAnsi="Times New Roman"/>
          <w:sz w:val="20"/>
          <w:szCs w:val="20"/>
        </w:rPr>
        <w:t>-based violence</w:t>
      </w:r>
      <w:r w:rsidRPr="00424CD4">
        <w:rPr>
          <w:rFonts w:ascii="Times New Roman" w:hAnsi="Times New Roman"/>
          <w:sz w:val="20"/>
          <w:szCs w:val="20"/>
        </w:rPr>
        <w:t xml:space="preserve">.   </w:t>
      </w:r>
    </w:p>
    <w:p w:rsidR="00997551" w:rsidRPr="00D54000" w:rsidRDefault="00997551" w:rsidP="00D54000">
      <w:pPr>
        <w:pStyle w:val="ListParagraph"/>
        <w:tabs>
          <w:tab w:val="left" w:pos="1080"/>
        </w:tabs>
        <w:rPr>
          <w:rFonts w:ascii="Times New Roman" w:hAnsi="Times New Roman"/>
          <w:sz w:val="12"/>
          <w:szCs w:val="12"/>
        </w:rPr>
      </w:pPr>
    </w:p>
    <w:p w:rsidR="001B6B2C" w:rsidRPr="00F74FE7" w:rsidRDefault="00997551" w:rsidP="00D54000">
      <w:pPr>
        <w:pStyle w:val="ListParagraph"/>
        <w:numPr>
          <w:ilvl w:val="0"/>
          <w:numId w:val="11"/>
        </w:numPr>
        <w:tabs>
          <w:tab w:val="left" w:pos="1080"/>
        </w:tabs>
        <w:spacing w:after="0" w:line="0" w:lineRule="atLeast"/>
        <w:ind w:firstLine="0"/>
        <w:jc w:val="both"/>
        <w:rPr>
          <w:rFonts w:ascii="Times New Roman" w:eastAsia="Calibri" w:hAnsi="Times New Roman"/>
          <w:sz w:val="20"/>
          <w:szCs w:val="20"/>
        </w:rPr>
      </w:pPr>
      <w:bookmarkStart w:id="6" w:name="_Hlk511752686"/>
      <w:r w:rsidRPr="00342490">
        <w:rPr>
          <w:rStyle w:val="normaltextrun"/>
          <w:rFonts w:ascii="Times New Roman" w:hAnsi="Times New Roman"/>
          <w:bCs/>
          <w:sz w:val="20"/>
          <w:szCs w:val="20"/>
        </w:rPr>
        <w:t>Over the four years, UNDP has progressively mainstreamed gender equality and women’s empowerment</w:t>
      </w:r>
      <w:r w:rsidRPr="00342490">
        <w:rPr>
          <w:rFonts w:ascii="Times New Roman" w:hAnsi="Times New Roman"/>
          <w:sz w:val="20"/>
          <w:szCs w:val="20"/>
        </w:rPr>
        <w:t xml:space="preserve"> </w:t>
      </w:r>
      <w:r w:rsidRPr="00F74FE7">
        <w:rPr>
          <w:rFonts w:ascii="Times New Roman" w:hAnsi="Times New Roman"/>
          <w:sz w:val="20"/>
          <w:szCs w:val="20"/>
        </w:rPr>
        <w:t xml:space="preserve">as evidenced by the </w:t>
      </w:r>
      <w:r w:rsidR="004A7AAD">
        <w:rPr>
          <w:rFonts w:ascii="Times New Roman" w:hAnsi="Times New Roman"/>
          <w:sz w:val="20"/>
          <w:szCs w:val="20"/>
        </w:rPr>
        <w:t>g</w:t>
      </w:r>
      <w:r w:rsidR="004A7AAD" w:rsidRPr="00F74FE7">
        <w:rPr>
          <w:rFonts w:ascii="Times New Roman" w:hAnsi="Times New Roman"/>
          <w:sz w:val="20"/>
          <w:szCs w:val="20"/>
        </w:rPr>
        <w:t xml:space="preserve">ender </w:t>
      </w:r>
      <w:r w:rsidR="004A7AAD">
        <w:rPr>
          <w:rFonts w:ascii="Times New Roman" w:hAnsi="Times New Roman"/>
          <w:sz w:val="20"/>
          <w:szCs w:val="20"/>
        </w:rPr>
        <w:t>m</w:t>
      </w:r>
      <w:r w:rsidR="004A7AAD" w:rsidRPr="00F74FE7">
        <w:rPr>
          <w:rFonts w:ascii="Times New Roman" w:hAnsi="Times New Roman"/>
          <w:sz w:val="20"/>
          <w:szCs w:val="20"/>
        </w:rPr>
        <w:t xml:space="preserve">arker </w:t>
      </w:r>
      <w:r w:rsidRPr="003C39AF">
        <w:rPr>
          <w:rFonts w:ascii="Times New Roman" w:hAnsi="Times New Roman"/>
          <w:sz w:val="20"/>
          <w:szCs w:val="20"/>
        </w:rPr>
        <w:t>ratings (</w:t>
      </w:r>
      <w:r w:rsidR="004A7AAD">
        <w:rPr>
          <w:rFonts w:ascii="Times New Roman" w:hAnsi="Times New Roman"/>
          <w:sz w:val="20"/>
          <w:szCs w:val="20"/>
        </w:rPr>
        <w:t>f</w:t>
      </w:r>
      <w:r w:rsidR="004A7AAD" w:rsidRPr="003C39AF">
        <w:rPr>
          <w:rFonts w:ascii="Times New Roman" w:hAnsi="Times New Roman"/>
          <w:sz w:val="20"/>
          <w:szCs w:val="20"/>
        </w:rPr>
        <w:t xml:space="preserve">igure </w:t>
      </w:r>
      <w:r w:rsidR="004A7AAD">
        <w:rPr>
          <w:rFonts w:ascii="Times New Roman" w:hAnsi="Times New Roman"/>
          <w:sz w:val="20"/>
          <w:szCs w:val="20"/>
        </w:rPr>
        <w:t>2</w:t>
      </w:r>
      <w:r w:rsidRPr="003C39AF">
        <w:rPr>
          <w:rFonts w:ascii="Times New Roman" w:hAnsi="Times New Roman"/>
          <w:sz w:val="20"/>
          <w:szCs w:val="20"/>
        </w:rPr>
        <w:t>).  In 2017, 44</w:t>
      </w:r>
      <w:r w:rsidRPr="00F74FE7">
        <w:rPr>
          <w:rFonts w:ascii="Times New Roman" w:hAnsi="Times New Roman"/>
          <w:sz w:val="20"/>
          <w:szCs w:val="20"/>
        </w:rPr>
        <w:t xml:space="preserve"> per cent of programme expenditure had gender equality as a significant objec</w:t>
      </w:r>
      <w:r w:rsidRPr="003C39AF">
        <w:rPr>
          <w:rFonts w:ascii="Times New Roman" w:hAnsi="Times New Roman"/>
          <w:sz w:val="20"/>
          <w:szCs w:val="20"/>
        </w:rPr>
        <w:t xml:space="preserve">tive (GEN2), </w:t>
      </w:r>
      <w:r w:rsidR="000178B1">
        <w:rPr>
          <w:rFonts w:ascii="Times New Roman" w:hAnsi="Times New Roman"/>
          <w:sz w:val="20"/>
          <w:szCs w:val="20"/>
        </w:rPr>
        <w:t>an</w:t>
      </w:r>
      <w:r w:rsidRPr="003C39AF">
        <w:rPr>
          <w:rFonts w:ascii="Times New Roman" w:hAnsi="Times New Roman"/>
          <w:sz w:val="20"/>
          <w:szCs w:val="20"/>
        </w:rPr>
        <w:t xml:space="preserve"> increase from</w:t>
      </w:r>
      <w:r w:rsidRPr="00F74FE7">
        <w:rPr>
          <w:rFonts w:ascii="Times New Roman" w:hAnsi="Times New Roman"/>
          <w:sz w:val="20"/>
          <w:szCs w:val="20"/>
        </w:rPr>
        <w:t xml:space="preserve"> </w:t>
      </w:r>
      <w:r w:rsidR="000178B1">
        <w:rPr>
          <w:rFonts w:ascii="Times New Roman" w:hAnsi="Times New Roman"/>
          <w:sz w:val="20"/>
          <w:szCs w:val="20"/>
        </w:rPr>
        <w:t xml:space="preserve">29 </w:t>
      </w:r>
      <w:r w:rsidRPr="00F74FE7">
        <w:rPr>
          <w:rFonts w:ascii="Times New Roman" w:hAnsi="Times New Roman"/>
          <w:sz w:val="20"/>
          <w:szCs w:val="20"/>
        </w:rPr>
        <w:t>per cent in</w:t>
      </w:r>
      <w:r w:rsidR="000178B1">
        <w:rPr>
          <w:rFonts w:ascii="Times New Roman" w:hAnsi="Times New Roman"/>
          <w:sz w:val="20"/>
          <w:szCs w:val="20"/>
        </w:rPr>
        <w:t xml:space="preserve"> 2014. </w:t>
      </w:r>
      <w:r w:rsidR="00B9722E">
        <w:rPr>
          <w:rFonts w:ascii="Times New Roman" w:hAnsi="Times New Roman"/>
          <w:sz w:val="20"/>
          <w:szCs w:val="20"/>
        </w:rPr>
        <w:t>G</w:t>
      </w:r>
      <w:r w:rsidRPr="00F74FE7">
        <w:rPr>
          <w:rFonts w:ascii="Times New Roman" w:hAnsi="Times New Roman"/>
          <w:sz w:val="20"/>
          <w:szCs w:val="20"/>
        </w:rPr>
        <w:t>ende</w:t>
      </w:r>
      <w:r w:rsidRPr="003C39AF">
        <w:rPr>
          <w:rFonts w:ascii="Times New Roman" w:hAnsi="Times New Roman"/>
          <w:sz w:val="20"/>
          <w:szCs w:val="20"/>
        </w:rPr>
        <w:t>r</w:t>
      </w:r>
      <w:r w:rsidR="004A7AAD">
        <w:rPr>
          <w:rFonts w:ascii="Times New Roman" w:hAnsi="Times New Roman"/>
          <w:sz w:val="20"/>
          <w:szCs w:val="20"/>
        </w:rPr>
        <w:t>-</w:t>
      </w:r>
      <w:r w:rsidRPr="003C39AF">
        <w:rPr>
          <w:rFonts w:ascii="Times New Roman" w:hAnsi="Times New Roman"/>
          <w:sz w:val="20"/>
          <w:szCs w:val="20"/>
        </w:rPr>
        <w:t>specific interventions (GEN3)</w:t>
      </w:r>
      <w:r w:rsidR="00B9722E">
        <w:rPr>
          <w:rFonts w:ascii="Times New Roman" w:hAnsi="Times New Roman"/>
          <w:sz w:val="20"/>
          <w:szCs w:val="20"/>
        </w:rPr>
        <w:t xml:space="preserve"> have remained static and more work is required</w:t>
      </w:r>
      <w:r w:rsidRPr="003C39AF">
        <w:rPr>
          <w:rFonts w:ascii="Times New Roman" w:hAnsi="Times New Roman"/>
          <w:sz w:val="20"/>
          <w:szCs w:val="20"/>
        </w:rPr>
        <w:t xml:space="preserve">.  </w:t>
      </w:r>
      <w:r w:rsidRPr="00F74FE7">
        <w:rPr>
          <w:rFonts w:ascii="Times New Roman" w:hAnsi="Times New Roman"/>
          <w:sz w:val="20"/>
          <w:szCs w:val="20"/>
        </w:rPr>
        <w:t xml:space="preserve">UNDP will further strengthen its implementation of gender policies and gender mainstreaming in all programmatic areas </w:t>
      </w:r>
      <w:r w:rsidR="0069040C">
        <w:rPr>
          <w:rFonts w:ascii="Times New Roman" w:hAnsi="Times New Roman"/>
          <w:sz w:val="20"/>
          <w:szCs w:val="20"/>
        </w:rPr>
        <w:t xml:space="preserve">through the </w:t>
      </w:r>
      <w:r w:rsidRPr="00F74FE7">
        <w:rPr>
          <w:rFonts w:ascii="Times New Roman" w:hAnsi="Times New Roman"/>
          <w:sz w:val="20"/>
          <w:szCs w:val="20"/>
        </w:rPr>
        <w:t>gender equality signature solution in the</w:t>
      </w:r>
      <w:r w:rsidR="0069040C">
        <w:rPr>
          <w:rFonts w:ascii="Times New Roman" w:hAnsi="Times New Roman"/>
          <w:sz w:val="20"/>
          <w:szCs w:val="20"/>
        </w:rPr>
        <w:t xml:space="preserve"> </w:t>
      </w:r>
      <w:r w:rsidR="004A7AAD">
        <w:rPr>
          <w:rFonts w:ascii="Times New Roman" w:hAnsi="Times New Roman"/>
          <w:sz w:val="20"/>
          <w:szCs w:val="20"/>
        </w:rPr>
        <w:t>S</w:t>
      </w:r>
      <w:r w:rsidR="004A7AAD" w:rsidRPr="00F74FE7">
        <w:rPr>
          <w:rFonts w:ascii="Times New Roman" w:hAnsi="Times New Roman"/>
          <w:sz w:val="20"/>
          <w:szCs w:val="20"/>
        </w:rPr>
        <w:t xml:space="preserve">trategic </w:t>
      </w:r>
      <w:r w:rsidR="004A7AAD">
        <w:rPr>
          <w:rFonts w:ascii="Times New Roman" w:hAnsi="Times New Roman"/>
          <w:sz w:val="20"/>
          <w:szCs w:val="20"/>
        </w:rPr>
        <w:t>P</w:t>
      </w:r>
      <w:r w:rsidR="004A7AAD" w:rsidRPr="00F74FE7">
        <w:rPr>
          <w:rFonts w:ascii="Times New Roman" w:hAnsi="Times New Roman"/>
          <w:sz w:val="20"/>
          <w:szCs w:val="20"/>
        </w:rPr>
        <w:t>lan</w:t>
      </w:r>
      <w:r w:rsidR="004A7AAD">
        <w:rPr>
          <w:rFonts w:ascii="Times New Roman" w:hAnsi="Times New Roman"/>
          <w:sz w:val="20"/>
          <w:szCs w:val="20"/>
        </w:rPr>
        <w:t xml:space="preserve"> </w:t>
      </w:r>
      <w:r w:rsidR="0069040C">
        <w:rPr>
          <w:rFonts w:ascii="Times New Roman" w:hAnsi="Times New Roman"/>
          <w:sz w:val="20"/>
          <w:szCs w:val="20"/>
        </w:rPr>
        <w:t>2018-2021</w:t>
      </w:r>
      <w:r w:rsidRPr="00F74FE7">
        <w:rPr>
          <w:rFonts w:ascii="Times New Roman" w:hAnsi="Times New Roman"/>
          <w:sz w:val="20"/>
          <w:szCs w:val="20"/>
        </w:rPr>
        <w:t xml:space="preserve">. </w:t>
      </w:r>
      <w:bookmarkEnd w:id="6"/>
    </w:p>
    <w:p w:rsidR="00237B18" w:rsidRDefault="00237B18" w:rsidP="00BB06AF">
      <w:pPr>
        <w:pStyle w:val="ListParagraph"/>
        <w:tabs>
          <w:tab w:val="left" w:pos="450"/>
        </w:tabs>
        <w:spacing w:after="0" w:line="240" w:lineRule="auto"/>
        <w:ind w:left="0"/>
        <w:rPr>
          <w:rFonts w:ascii="Times New Roman" w:hAnsi="Times New Roman"/>
          <w:b/>
          <w:sz w:val="20"/>
          <w:szCs w:val="20"/>
        </w:rPr>
      </w:pPr>
    </w:p>
    <w:p w:rsidR="00684775" w:rsidRDefault="00684775">
      <w:pPr>
        <w:spacing w:after="0" w:line="240" w:lineRule="auto"/>
        <w:rPr>
          <w:rFonts w:ascii="Times New Roman" w:eastAsia="Times New Roman" w:hAnsi="Times New Roman"/>
          <w:b/>
          <w:sz w:val="20"/>
          <w:szCs w:val="20"/>
          <w:lang w:eastAsia="ja-JP"/>
        </w:rPr>
      </w:pPr>
      <w:r>
        <w:rPr>
          <w:rFonts w:ascii="Times New Roman" w:hAnsi="Times New Roman"/>
          <w:b/>
          <w:sz w:val="20"/>
          <w:szCs w:val="20"/>
        </w:rPr>
        <w:br w:type="page"/>
      </w:r>
    </w:p>
    <w:p w:rsidR="00EB0F3C" w:rsidRDefault="00EB0F3C" w:rsidP="00EB0F3C">
      <w:pPr>
        <w:pStyle w:val="ListParagraph"/>
        <w:tabs>
          <w:tab w:val="left" w:pos="450"/>
        </w:tabs>
        <w:spacing w:after="0" w:line="240" w:lineRule="auto"/>
        <w:ind w:left="0"/>
        <w:jc w:val="center"/>
        <w:rPr>
          <w:rFonts w:ascii="Times New Roman" w:hAnsi="Times New Roman"/>
          <w:sz w:val="20"/>
          <w:szCs w:val="20"/>
        </w:rPr>
      </w:pPr>
      <w:r>
        <w:rPr>
          <w:rFonts w:ascii="Times New Roman" w:hAnsi="Times New Roman"/>
          <w:b/>
          <w:sz w:val="20"/>
          <w:szCs w:val="20"/>
        </w:rPr>
        <w:lastRenderedPageBreak/>
        <w:t>F</w:t>
      </w:r>
      <w:r w:rsidRPr="002A68F7">
        <w:rPr>
          <w:rFonts w:ascii="Times New Roman" w:hAnsi="Times New Roman"/>
          <w:b/>
          <w:sz w:val="20"/>
          <w:szCs w:val="20"/>
        </w:rPr>
        <w:t xml:space="preserve">igure </w:t>
      </w:r>
      <w:r w:rsidR="00F901EC">
        <w:rPr>
          <w:rFonts w:ascii="Times New Roman" w:hAnsi="Times New Roman"/>
          <w:b/>
          <w:sz w:val="20"/>
          <w:szCs w:val="20"/>
        </w:rPr>
        <w:t>2</w:t>
      </w:r>
      <w:r w:rsidR="004A7AAD">
        <w:rPr>
          <w:rFonts w:ascii="Times New Roman" w:hAnsi="Times New Roman"/>
          <w:b/>
          <w:sz w:val="20"/>
          <w:szCs w:val="20"/>
        </w:rPr>
        <w:t>.</w:t>
      </w:r>
      <w:r w:rsidR="004A7AAD">
        <w:rPr>
          <w:rFonts w:ascii="Times New Roman" w:hAnsi="Times New Roman"/>
          <w:sz w:val="20"/>
          <w:szCs w:val="20"/>
        </w:rPr>
        <w:t xml:space="preserve"> </w:t>
      </w:r>
      <w:r w:rsidRPr="009A0ED1">
        <w:rPr>
          <w:rFonts w:ascii="Times New Roman" w:hAnsi="Times New Roman"/>
          <w:b/>
          <w:sz w:val="20"/>
          <w:szCs w:val="20"/>
        </w:rPr>
        <w:t xml:space="preserve">Gender </w:t>
      </w:r>
      <w:r w:rsidR="004A7AAD">
        <w:rPr>
          <w:rFonts w:ascii="Times New Roman" w:hAnsi="Times New Roman"/>
          <w:b/>
          <w:sz w:val="20"/>
          <w:szCs w:val="20"/>
        </w:rPr>
        <w:t>m</w:t>
      </w:r>
      <w:r w:rsidR="004A7AAD" w:rsidRPr="009A0ED1">
        <w:rPr>
          <w:rFonts w:ascii="Times New Roman" w:hAnsi="Times New Roman"/>
          <w:b/>
          <w:sz w:val="20"/>
          <w:szCs w:val="20"/>
        </w:rPr>
        <w:t xml:space="preserve">arker </w:t>
      </w:r>
      <w:r w:rsidRPr="009A0ED1">
        <w:rPr>
          <w:rFonts w:ascii="Times New Roman" w:hAnsi="Times New Roman"/>
          <w:b/>
          <w:sz w:val="20"/>
          <w:szCs w:val="20"/>
        </w:rPr>
        <w:t>trend</w:t>
      </w:r>
      <w:r w:rsidR="004A7AAD">
        <w:rPr>
          <w:rFonts w:ascii="Times New Roman" w:hAnsi="Times New Roman"/>
          <w:b/>
          <w:sz w:val="20"/>
          <w:szCs w:val="20"/>
        </w:rPr>
        <w:t>,</w:t>
      </w:r>
      <w:r w:rsidRPr="009A0ED1">
        <w:rPr>
          <w:rFonts w:ascii="Times New Roman" w:hAnsi="Times New Roman"/>
          <w:b/>
          <w:sz w:val="20"/>
          <w:szCs w:val="20"/>
        </w:rPr>
        <w:t xml:space="preserve"> 2014-2017</w:t>
      </w:r>
      <w:r>
        <w:rPr>
          <w:rStyle w:val="FootnoteReference"/>
          <w:rFonts w:ascii="Times New Roman" w:hAnsi="Times New Roman"/>
          <w:sz w:val="20"/>
          <w:szCs w:val="20"/>
        </w:rPr>
        <w:footnoteReference w:id="9"/>
      </w:r>
    </w:p>
    <w:p w:rsidR="002606DB" w:rsidRDefault="00901371" w:rsidP="00F74FE7">
      <w:pPr>
        <w:pStyle w:val="ListParagraph"/>
        <w:tabs>
          <w:tab w:val="left" w:pos="450"/>
        </w:tabs>
        <w:spacing w:after="0" w:line="240" w:lineRule="auto"/>
        <w:ind w:left="0"/>
        <w:jc w:val="center"/>
        <w:rPr>
          <w:noProof/>
        </w:rPr>
      </w:pPr>
      <w:r>
        <w:rPr>
          <w:noProof/>
          <w:lang w:val="en-US" w:eastAsia="en-US"/>
        </w:rPr>
        <w:drawing>
          <wp:inline distT="0" distB="0" distL="0" distR="0" wp14:anchorId="6BA0592A" wp14:editId="0189A1D0">
            <wp:extent cx="3736137" cy="2580516"/>
            <wp:effectExtent l="0" t="0" r="17145" b="10795"/>
            <wp:docPr id="1" name="Chart 1">
              <a:extLst xmlns:a="http://schemas.openxmlformats.org/drawingml/2006/main">
                <a:ext uri="{FF2B5EF4-FFF2-40B4-BE49-F238E27FC236}">
                  <a16:creationId xmlns:a16="http://schemas.microsoft.com/office/drawing/2014/main" id="{A1966E8F-BF33-406C-AD67-CD55C68A45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B34E6" w:rsidRDefault="000B34E6" w:rsidP="00F74FE7">
      <w:pPr>
        <w:pStyle w:val="ListParagraph"/>
        <w:tabs>
          <w:tab w:val="left" w:pos="450"/>
        </w:tabs>
        <w:spacing w:after="0" w:line="240" w:lineRule="auto"/>
        <w:ind w:left="0"/>
        <w:jc w:val="center"/>
        <w:rPr>
          <w:noProof/>
        </w:rPr>
      </w:pPr>
    </w:p>
    <w:p w:rsidR="00D6176C" w:rsidRPr="00F74FE7" w:rsidRDefault="00D6176C" w:rsidP="00D54000">
      <w:pPr>
        <w:pStyle w:val="ListParagraph"/>
        <w:numPr>
          <w:ilvl w:val="0"/>
          <w:numId w:val="11"/>
        </w:numPr>
        <w:tabs>
          <w:tab w:val="left" w:pos="450"/>
          <w:tab w:val="left" w:pos="1080"/>
        </w:tabs>
        <w:spacing w:after="0" w:line="240" w:lineRule="auto"/>
        <w:ind w:firstLine="0"/>
        <w:jc w:val="both"/>
        <w:rPr>
          <w:rFonts w:ascii="Calibri" w:hAnsi="Calibri"/>
          <w:sz w:val="20"/>
          <w:szCs w:val="20"/>
          <w:lang w:val="tr-TR"/>
        </w:rPr>
      </w:pPr>
      <w:r w:rsidRPr="004A7AAD">
        <w:rPr>
          <w:rFonts w:ascii="Times New Roman" w:hAnsi="Times New Roman"/>
          <w:sz w:val="20"/>
          <w:szCs w:val="20"/>
          <w:lang w:val="en-US"/>
        </w:rPr>
        <w:t>In 2014-2017, UNDP supported 41 countries in improving national capacities to promote and increase the participation and leadership of women in decision</w:t>
      </w:r>
      <w:r w:rsidR="004A7AAD">
        <w:rPr>
          <w:rFonts w:ascii="Times New Roman" w:hAnsi="Times New Roman"/>
          <w:sz w:val="20"/>
          <w:szCs w:val="20"/>
          <w:lang w:val="en-US"/>
        </w:rPr>
        <w:t>-</w:t>
      </w:r>
      <w:r w:rsidRPr="004A7AAD">
        <w:rPr>
          <w:rFonts w:ascii="Times New Roman" w:hAnsi="Times New Roman"/>
          <w:sz w:val="20"/>
          <w:szCs w:val="20"/>
          <w:lang w:val="en-US"/>
        </w:rPr>
        <w:t xml:space="preserve">making roles. This strengthened 74 existing laws and policies and introduced 46 new ones. The number of women who benefited from private and/or public measures to support women’s preparedness for leadership and decision-making reached 30,789. In Nepal, UNDP supported the Election Commission in reaching 52,268 potential female candidates, of whom 4,000 were nominated to run for elections and 1,011 were elected to political positions. </w:t>
      </w:r>
      <w:r w:rsidRPr="004A7AAD">
        <w:rPr>
          <w:rFonts w:ascii="Times New Roman" w:hAnsi="Times New Roman"/>
          <w:iCs/>
          <w:sz w:val="20"/>
          <w:szCs w:val="20"/>
        </w:rPr>
        <w:t xml:space="preserve">In the ​​Democratic Republic of </w:t>
      </w:r>
      <w:r w:rsidR="00B528FF">
        <w:rPr>
          <w:rFonts w:ascii="Times New Roman" w:hAnsi="Times New Roman"/>
          <w:iCs/>
          <w:sz w:val="20"/>
          <w:szCs w:val="20"/>
        </w:rPr>
        <w:t xml:space="preserve">the </w:t>
      </w:r>
      <w:r w:rsidRPr="004A7AAD">
        <w:rPr>
          <w:rFonts w:ascii="Times New Roman" w:hAnsi="Times New Roman"/>
          <w:iCs/>
          <w:sz w:val="20"/>
          <w:szCs w:val="20"/>
        </w:rPr>
        <w:t xml:space="preserve">Congo, an evaluation of </w:t>
      </w:r>
      <w:r w:rsidR="007770D0">
        <w:rPr>
          <w:rFonts w:ascii="Times New Roman" w:hAnsi="Times New Roman"/>
          <w:iCs/>
          <w:sz w:val="20"/>
          <w:szCs w:val="20"/>
        </w:rPr>
        <w:t xml:space="preserve">work supported by </w:t>
      </w:r>
      <w:r w:rsidRPr="004A7AAD">
        <w:rPr>
          <w:rFonts w:ascii="Times New Roman" w:hAnsi="Times New Roman"/>
          <w:iCs/>
          <w:sz w:val="20"/>
          <w:szCs w:val="20"/>
        </w:rPr>
        <w:t xml:space="preserve">UNDP, </w:t>
      </w:r>
      <w:r w:rsidR="007770D0">
        <w:rPr>
          <w:rFonts w:ascii="Times New Roman" w:hAnsi="Times New Roman"/>
          <w:iCs/>
          <w:sz w:val="20"/>
          <w:szCs w:val="20"/>
        </w:rPr>
        <w:t>UNESCO and the United Nations Population Fund (</w:t>
      </w:r>
      <w:r w:rsidRPr="004A7AAD">
        <w:rPr>
          <w:rFonts w:ascii="Times New Roman" w:hAnsi="Times New Roman"/>
          <w:iCs/>
          <w:sz w:val="20"/>
          <w:szCs w:val="20"/>
        </w:rPr>
        <w:t>UNFPA</w:t>
      </w:r>
      <w:r w:rsidR="007770D0">
        <w:rPr>
          <w:rFonts w:ascii="Times New Roman" w:hAnsi="Times New Roman"/>
          <w:iCs/>
          <w:sz w:val="20"/>
          <w:szCs w:val="20"/>
        </w:rPr>
        <w:t>)</w:t>
      </w:r>
      <w:r w:rsidRPr="004A7AAD">
        <w:rPr>
          <w:rFonts w:ascii="Times New Roman" w:hAnsi="Times New Roman"/>
          <w:iCs/>
          <w:sz w:val="20"/>
          <w:szCs w:val="20"/>
        </w:rPr>
        <w:t xml:space="preserve"> revealed an 88 per cent decrease in </w:t>
      </w:r>
      <w:r w:rsidR="007770D0">
        <w:rPr>
          <w:rFonts w:ascii="Times New Roman" w:hAnsi="Times New Roman"/>
          <w:iCs/>
          <w:sz w:val="20"/>
          <w:szCs w:val="20"/>
        </w:rPr>
        <w:t xml:space="preserve">the number of </w:t>
      </w:r>
      <w:r w:rsidRPr="004A7AAD">
        <w:rPr>
          <w:rFonts w:ascii="Times New Roman" w:hAnsi="Times New Roman"/>
          <w:iCs/>
          <w:sz w:val="20"/>
          <w:szCs w:val="20"/>
        </w:rPr>
        <w:t>sexual and gender</w:t>
      </w:r>
      <w:r w:rsidR="007770D0">
        <w:rPr>
          <w:rFonts w:ascii="Times New Roman" w:hAnsi="Times New Roman"/>
          <w:iCs/>
          <w:sz w:val="20"/>
          <w:szCs w:val="20"/>
        </w:rPr>
        <w:t>-</w:t>
      </w:r>
      <w:r w:rsidRPr="004A7AAD">
        <w:rPr>
          <w:rFonts w:ascii="Times New Roman" w:hAnsi="Times New Roman"/>
          <w:iCs/>
          <w:sz w:val="20"/>
          <w:szCs w:val="20"/>
        </w:rPr>
        <w:t xml:space="preserve">based violence (SGBV) cases, from 15,532 in 2013 to 1,734 in 2017. In South Sudan, UNDP supported improved access to justice for vulnerable groups </w:t>
      </w:r>
      <w:r w:rsidR="007770D0">
        <w:rPr>
          <w:rFonts w:ascii="Times New Roman" w:hAnsi="Times New Roman"/>
          <w:iCs/>
          <w:sz w:val="20"/>
          <w:szCs w:val="20"/>
        </w:rPr>
        <w:t>through which</w:t>
      </w:r>
      <w:r w:rsidR="007770D0" w:rsidRPr="004A7AAD">
        <w:rPr>
          <w:rFonts w:ascii="Times New Roman" w:hAnsi="Times New Roman"/>
          <w:iCs/>
          <w:sz w:val="20"/>
          <w:szCs w:val="20"/>
        </w:rPr>
        <w:t xml:space="preserve"> </w:t>
      </w:r>
      <w:r w:rsidRPr="004A7AAD">
        <w:rPr>
          <w:rFonts w:ascii="Times New Roman" w:hAnsi="Times New Roman"/>
          <w:iCs/>
          <w:sz w:val="20"/>
          <w:szCs w:val="20"/>
        </w:rPr>
        <w:t xml:space="preserve">1,573 (584 female) marginalized people received legal aid services and </w:t>
      </w:r>
      <w:r w:rsidR="00F702FC" w:rsidRPr="004A7AAD">
        <w:rPr>
          <w:rFonts w:ascii="Times New Roman" w:hAnsi="Times New Roman"/>
          <w:iCs/>
          <w:sz w:val="20"/>
          <w:szCs w:val="20"/>
        </w:rPr>
        <w:t xml:space="preserve">over </w:t>
      </w:r>
      <w:r w:rsidRPr="004A7AAD">
        <w:rPr>
          <w:rFonts w:ascii="Times New Roman" w:hAnsi="Times New Roman"/>
          <w:iCs/>
          <w:sz w:val="20"/>
          <w:szCs w:val="20"/>
        </w:rPr>
        <w:t>247 SGBV survivors received psychosocial care f</w:t>
      </w:r>
      <w:r w:rsidRPr="00F74FE7">
        <w:rPr>
          <w:rFonts w:ascii="Times New Roman" w:hAnsi="Times New Roman"/>
          <w:iCs/>
          <w:sz w:val="20"/>
          <w:szCs w:val="20"/>
        </w:rPr>
        <w:t>rom police special protection units</w:t>
      </w:r>
      <w:r w:rsidRPr="00F74FE7">
        <w:rPr>
          <w:iCs/>
          <w:sz w:val="20"/>
          <w:szCs w:val="20"/>
        </w:rPr>
        <w:t xml:space="preserve">. </w:t>
      </w:r>
    </w:p>
    <w:p w:rsidR="00D6176C" w:rsidRPr="005A1C13" w:rsidRDefault="00D6176C" w:rsidP="00D6176C">
      <w:pPr>
        <w:pStyle w:val="Default"/>
        <w:spacing w:line="0" w:lineRule="atLeast"/>
        <w:jc w:val="both"/>
        <w:rPr>
          <w:rFonts w:ascii="Times New Roman" w:eastAsia="Times New Roman" w:hAnsi="Times New Roman" w:cs="Times New Roman"/>
          <w:iCs/>
          <w:color w:val="auto"/>
          <w:sz w:val="12"/>
          <w:szCs w:val="12"/>
        </w:rPr>
      </w:pPr>
    </w:p>
    <w:p w:rsidR="00D6176C" w:rsidRDefault="00D6176C" w:rsidP="00D54000">
      <w:pPr>
        <w:pStyle w:val="ListParagraph"/>
        <w:widowControl w:val="0"/>
        <w:spacing w:after="120" w:line="240" w:lineRule="auto"/>
        <w:ind w:left="0" w:right="-6"/>
        <w:contextualSpacing w:val="0"/>
        <w:jc w:val="both"/>
        <w:rPr>
          <w:rFonts w:ascii="Times New Roman" w:hAnsi="Times New Roman"/>
          <w:b/>
          <w:sz w:val="24"/>
          <w:szCs w:val="20"/>
        </w:rPr>
      </w:pPr>
      <w:r w:rsidRPr="003F5460">
        <w:rPr>
          <w:rFonts w:ascii="Times New Roman" w:hAnsi="Times New Roman"/>
          <w:b/>
          <w:sz w:val="24"/>
          <w:szCs w:val="20"/>
        </w:rPr>
        <w:t xml:space="preserve">Outcome 5. </w:t>
      </w:r>
      <w:r>
        <w:rPr>
          <w:rFonts w:ascii="Times New Roman" w:hAnsi="Times New Roman"/>
          <w:b/>
          <w:sz w:val="24"/>
          <w:szCs w:val="20"/>
        </w:rPr>
        <w:t>Conflict and d</w:t>
      </w:r>
      <w:r w:rsidRPr="003F5460">
        <w:rPr>
          <w:rFonts w:ascii="Times New Roman" w:hAnsi="Times New Roman"/>
          <w:b/>
          <w:sz w:val="24"/>
          <w:szCs w:val="20"/>
        </w:rPr>
        <w:t xml:space="preserve">isaster prevention and risk management </w:t>
      </w:r>
    </w:p>
    <w:tbl>
      <w:tblPr>
        <w:tblW w:w="94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1"/>
        <w:gridCol w:w="1847"/>
        <w:gridCol w:w="943"/>
        <w:gridCol w:w="943"/>
        <w:gridCol w:w="943"/>
        <w:gridCol w:w="988"/>
        <w:gridCol w:w="988"/>
        <w:gridCol w:w="1165"/>
        <w:gridCol w:w="1165"/>
      </w:tblGrid>
      <w:tr w:rsidR="00D6176C" w:rsidRPr="00EE7DC1" w:rsidTr="005B6C71">
        <w:trPr>
          <w:trHeight w:val="303"/>
        </w:trPr>
        <w:tc>
          <w:tcPr>
            <w:tcW w:w="2278" w:type="dxa"/>
            <w:gridSpan w:val="2"/>
            <w:vMerge w:val="restart"/>
            <w:tcBorders>
              <w:top w:val="single" w:sz="12" w:space="0" w:color="auto"/>
            </w:tcBorders>
            <w:shd w:val="clear" w:color="auto" w:fill="F3F3F3"/>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Output</w:t>
            </w:r>
          </w:p>
        </w:tc>
        <w:tc>
          <w:tcPr>
            <w:tcW w:w="3817" w:type="dxa"/>
            <w:gridSpan w:val="4"/>
            <w:tcBorders>
              <w:top w:val="single" w:sz="12" w:space="0" w:color="auto"/>
              <w:bottom w:val="single" w:sz="8" w:space="0" w:color="auto"/>
            </w:tcBorders>
            <w:shd w:val="clear" w:color="auto" w:fill="F3F3F3"/>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Performance against milestones</w:t>
            </w:r>
          </w:p>
        </w:tc>
        <w:tc>
          <w:tcPr>
            <w:tcW w:w="988" w:type="dxa"/>
            <w:vMerge w:val="restart"/>
            <w:tcBorders>
              <w:top w:val="single" w:sz="12" w:space="0" w:color="auto"/>
            </w:tcBorders>
            <w:shd w:val="clear" w:color="auto" w:fill="F3F3F3"/>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Number of countries supported</w:t>
            </w:r>
          </w:p>
        </w:tc>
        <w:tc>
          <w:tcPr>
            <w:tcW w:w="1165" w:type="dxa"/>
            <w:vMerge w:val="restart"/>
            <w:tcBorders>
              <w:top w:val="single" w:sz="12"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Proportion of countries achieved target</w:t>
            </w:r>
          </w:p>
        </w:tc>
        <w:tc>
          <w:tcPr>
            <w:tcW w:w="1165" w:type="dxa"/>
            <w:vMerge w:val="restart"/>
            <w:tcBorders>
              <w:top w:val="single" w:sz="12" w:space="0" w:color="auto"/>
            </w:tcBorders>
            <w:shd w:val="clear" w:color="auto" w:fill="F3F3F3"/>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2017 gender performance vs. overall</w:t>
            </w:r>
          </w:p>
        </w:tc>
      </w:tr>
      <w:tr w:rsidR="00D6176C" w:rsidRPr="00EE7DC1" w:rsidTr="005B6C71">
        <w:trPr>
          <w:trHeight w:val="340"/>
        </w:trPr>
        <w:tc>
          <w:tcPr>
            <w:tcW w:w="2278" w:type="dxa"/>
            <w:gridSpan w:val="2"/>
            <w:vMerge/>
            <w:tcBorders>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p>
        </w:tc>
        <w:tc>
          <w:tcPr>
            <w:tcW w:w="943" w:type="dxa"/>
            <w:tcBorders>
              <w:top w:val="single" w:sz="8" w:space="0" w:color="auto"/>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2014</w:t>
            </w:r>
          </w:p>
        </w:tc>
        <w:tc>
          <w:tcPr>
            <w:tcW w:w="943" w:type="dxa"/>
            <w:tcBorders>
              <w:top w:val="single" w:sz="8" w:space="0" w:color="auto"/>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2015</w:t>
            </w:r>
          </w:p>
        </w:tc>
        <w:tc>
          <w:tcPr>
            <w:tcW w:w="943" w:type="dxa"/>
            <w:tcBorders>
              <w:top w:val="single" w:sz="8" w:space="0" w:color="auto"/>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2016</w:t>
            </w:r>
          </w:p>
        </w:tc>
        <w:tc>
          <w:tcPr>
            <w:tcW w:w="988" w:type="dxa"/>
            <w:tcBorders>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2017</w:t>
            </w:r>
          </w:p>
        </w:tc>
        <w:tc>
          <w:tcPr>
            <w:tcW w:w="988" w:type="dxa"/>
            <w:vMerge/>
            <w:tcBorders>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p>
        </w:tc>
        <w:tc>
          <w:tcPr>
            <w:tcW w:w="1165" w:type="dxa"/>
            <w:vMerge/>
            <w:tcBorders>
              <w:bottom w:val="single" w:sz="6" w:space="0" w:color="auto"/>
            </w:tcBorders>
            <w:shd w:val="clear" w:color="auto" w:fill="F3F3F3"/>
          </w:tcPr>
          <w:p w:rsidR="00D6176C" w:rsidRPr="00EE7DC1" w:rsidRDefault="00D6176C" w:rsidP="005B6C71">
            <w:pPr>
              <w:spacing w:after="0"/>
              <w:jc w:val="center"/>
              <w:rPr>
                <w:rFonts w:ascii="Times New Roman" w:eastAsia="Times New Roman" w:hAnsi="Times New Roman"/>
                <w:b/>
                <w:bCs/>
                <w:sz w:val="16"/>
                <w:szCs w:val="16"/>
              </w:rPr>
            </w:pPr>
          </w:p>
        </w:tc>
        <w:tc>
          <w:tcPr>
            <w:tcW w:w="1165" w:type="dxa"/>
            <w:vMerge/>
            <w:tcBorders>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p>
        </w:tc>
      </w:tr>
      <w:tr w:rsidR="00D6176C" w:rsidRPr="00EE7DC1" w:rsidTr="005B6C71">
        <w:trPr>
          <w:trHeight w:val="255"/>
        </w:trPr>
        <w:tc>
          <w:tcPr>
            <w:tcW w:w="431" w:type="dxa"/>
            <w:tcBorders>
              <w:top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5.1</w:t>
            </w:r>
          </w:p>
        </w:tc>
        <w:tc>
          <w:tcPr>
            <w:tcW w:w="1847" w:type="dxa"/>
            <w:tcBorders>
              <w:top w:val="single" w:sz="6" w:space="0" w:color="auto"/>
            </w:tcBorders>
            <w:shd w:val="clear" w:color="auto" w:fill="auto"/>
            <w:vAlign w:val="center"/>
          </w:tcPr>
          <w:p w:rsidR="00D6176C" w:rsidRPr="00EE7DC1" w:rsidRDefault="00D6176C" w:rsidP="005B6C71">
            <w:pPr>
              <w:spacing w:after="0"/>
              <w:rPr>
                <w:rFonts w:ascii="Times New Roman" w:eastAsia="Times New Roman" w:hAnsi="Times New Roman"/>
                <w:b/>
                <w:bCs/>
                <w:sz w:val="16"/>
                <w:szCs w:val="16"/>
              </w:rPr>
            </w:pPr>
            <w:r w:rsidRPr="00EE7DC1">
              <w:rPr>
                <w:rFonts w:ascii="Times New Roman" w:hAnsi="Times New Roman"/>
                <w:color w:val="000000"/>
                <w:sz w:val="16"/>
                <w:szCs w:val="16"/>
              </w:rPr>
              <w:t>Mechanisms to assess natural/man-made risks</w:t>
            </w:r>
          </w:p>
        </w:tc>
        <w:tc>
          <w:tcPr>
            <w:tcW w:w="943" w:type="dxa"/>
            <w:tcBorders>
              <w:top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128%</w:t>
            </w:r>
          </w:p>
        </w:tc>
        <w:tc>
          <w:tcPr>
            <w:tcW w:w="943" w:type="dxa"/>
            <w:tcBorders>
              <w:top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115%</w:t>
            </w:r>
          </w:p>
        </w:tc>
        <w:tc>
          <w:tcPr>
            <w:tcW w:w="943" w:type="dxa"/>
            <w:tcBorders>
              <w:top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103%</w:t>
            </w:r>
          </w:p>
        </w:tc>
        <w:tc>
          <w:tcPr>
            <w:tcW w:w="988" w:type="dxa"/>
            <w:tcBorders>
              <w:top w:val="single" w:sz="6" w:space="0" w:color="auto"/>
            </w:tcBorders>
            <w:shd w:val="clear" w:color="auto" w:fill="92D05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134%</w:t>
            </w:r>
          </w:p>
        </w:tc>
        <w:tc>
          <w:tcPr>
            <w:tcW w:w="988" w:type="dxa"/>
            <w:tcBorders>
              <w:top w:val="single" w:sz="6" w:space="0" w:color="auto"/>
            </w:tcBorders>
            <w:shd w:val="clear" w:color="auto" w:fill="auto"/>
            <w:noWrap/>
            <w:vAlign w:val="center"/>
            <w:hideMark/>
          </w:tcPr>
          <w:p w:rsidR="00D6176C" w:rsidRPr="00EE7DC1" w:rsidRDefault="00D52C71"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51</w:t>
            </w:r>
          </w:p>
        </w:tc>
        <w:tc>
          <w:tcPr>
            <w:tcW w:w="1165" w:type="dxa"/>
            <w:tcBorders>
              <w:top w:val="single" w:sz="6" w:space="0" w:color="auto"/>
            </w:tcBorders>
            <w:vAlign w:val="center"/>
          </w:tcPr>
          <w:p w:rsidR="00D6176C" w:rsidRPr="00EE7DC1" w:rsidRDefault="00D6176C" w:rsidP="005B6C71">
            <w:pPr>
              <w:spacing w:after="0"/>
              <w:jc w:val="center"/>
              <w:rPr>
                <w:rFonts w:ascii="Times New Roman" w:eastAsia="Times New Roman" w:hAnsi="Times New Roman"/>
                <w:b/>
                <w:iCs/>
                <w:color w:val="FF0000"/>
                <w:sz w:val="16"/>
                <w:szCs w:val="16"/>
              </w:rPr>
            </w:pPr>
            <w:r w:rsidRPr="00EE7DC1">
              <w:rPr>
                <w:rFonts w:ascii="Times New Roman" w:hAnsi="Times New Roman"/>
                <w:sz w:val="16"/>
                <w:szCs w:val="16"/>
              </w:rPr>
              <w:t>86%</w:t>
            </w:r>
          </w:p>
        </w:tc>
        <w:tc>
          <w:tcPr>
            <w:tcW w:w="1165" w:type="dxa"/>
            <w:tcBorders>
              <w:top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iCs/>
                <w:color w:val="FF0000"/>
                <w:sz w:val="16"/>
                <w:szCs w:val="16"/>
              </w:rPr>
            </w:pPr>
            <w:r w:rsidRPr="00EE7DC1">
              <w:rPr>
                <w:rFonts w:ascii="Times New Roman" w:eastAsia="Times New Roman" w:hAnsi="Times New Roman"/>
                <w:b/>
                <w:iCs/>
                <w:color w:val="FF0000"/>
                <w:sz w:val="16"/>
                <w:szCs w:val="16"/>
              </w:rPr>
              <w:t>Lower</w:t>
            </w:r>
            <w:r w:rsidRPr="00EE7DC1">
              <w:rPr>
                <w:rFonts w:ascii="Times New Roman" w:eastAsia="Times New Roman" w:hAnsi="Times New Roman"/>
                <w:iCs/>
                <w:sz w:val="16"/>
                <w:szCs w:val="16"/>
              </w:rPr>
              <w:t xml:space="preserve"> (108%)</w:t>
            </w:r>
          </w:p>
        </w:tc>
      </w:tr>
      <w:tr w:rsidR="00D6176C" w:rsidRPr="00EE7DC1" w:rsidTr="005B6C71">
        <w:trPr>
          <w:trHeight w:val="255"/>
        </w:trPr>
        <w:tc>
          <w:tcPr>
            <w:tcW w:w="431"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5.2</w:t>
            </w:r>
          </w:p>
        </w:tc>
        <w:tc>
          <w:tcPr>
            <w:tcW w:w="1847" w:type="dxa"/>
            <w:shd w:val="clear" w:color="auto" w:fill="auto"/>
            <w:vAlign w:val="center"/>
          </w:tcPr>
          <w:p w:rsidR="00D6176C" w:rsidRPr="00EE7DC1" w:rsidRDefault="00D6176C" w:rsidP="005B6C71">
            <w:pPr>
              <w:spacing w:after="0"/>
              <w:rPr>
                <w:rFonts w:ascii="Times New Roman" w:eastAsia="Times New Roman" w:hAnsi="Times New Roman"/>
                <w:b/>
                <w:bCs/>
                <w:sz w:val="16"/>
                <w:szCs w:val="16"/>
              </w:rPr>
            </w:pPr>
            <w:r w:rsidRPr="00EE7DC1">
              <w:rPr>
                <w:rFonts w:ascii="Times New Roman" w:hAnsi="Times New Roman"/>
                <w:color w:val="000000"/>
                <w:sz w:val="16"/>
                <w:szCs w:val="16"/>
              </w:rPr>
              <w:t>Disaster and climate risk management</w:t>
            </w:r>
          </w:p>
        </w:tc>
        <w:tc>
          <w:tcPr>
            <w:tcW w:w="943" w:type="dxa"/>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117%</w:t>
            </w:r>
          </w:p>
        </w:tc>
        <w:tc>
          <w:tcPr>
            <w:tcW w:w="943" w:type="dxa"/>
            <w:tcBorders>
              <w:bottom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106%</w:t>
            </w:r>
          </w:p>
        </w:tc>
        <w:tc>
          <w:tcPr>
            <w:tcW w:w="943" w:type="dxa"/>
            <w:tcBorders>
              <w:bottom w:val="single" w:sz="6" w:space="0" w:color="auto"/>
            </w:tcBorders>
            <w:shd w:val="clear" w:color="000000" w:fill="FFC00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95%</w:t>
            </w:r>
          </w:p>
        </w:tc>
        <w:tc>
          <w:tcPr>
            <w:tcW w:w="988" w:type="dxa"/>
            <w:shd w:val="clear" w:color="auto" w:fill="FFC00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95%</w:t>
            </w:r>
          </w:p>
        </w:tc>
        <w:tc>
          <w:tcPr>
            <w:tcW w:w="988" w:type="dxa"/>
            <w:shd w:val="clear" w:color="auto" w:fill="auto"/>
            <w:noWrap/>
            <w:vAlign w:val="center"/>
            <w:hideMark/>
          </w:tcPr>
          <w:p w:rsidR="00D6176C" w:rsidRPr="00EE7DC1" w:rsidRDefault="00D52C71"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64</w:t>
            </w:r>
          </w:p>
        </w:tc>
        <w:tc>
          <w:tcPr>
            <w:tcW w:w="1165" w:type="dxa"/>
            <w:vAlign w:val="center"/>
          </w:tcPr>
          <w:p w:rsidR="00D6176C" w:rsidRPr="00EE7DC1" w:rsidRDefault="00D6176C" w:rsidP="005B6C71">
            <w:pPr>
              <w:spacing w:after="0"/>
              <w:jc w:val="center"/>
              <w:rPr>
                <w:rFonts w:ascii="Times New Roman" w:eastAsia="Times New Roman" w:hAnsi="Times New Roman"/>
                <w:b/>
                <w:iCs/>
                <w:color w:val="00B050"/>
                <w:sz w:val="16"/>
                <w:szCs w:val="16"/>
              </w:rPr>
            </w:pPr>
            <w:r w:rsidRPr="00EE7DC1">
              <w:rPr>
                <w:rFonts w:ascii="Times New Roman" w:hAnsi="Times New Roman"/>
                <w:sz w:val="16"/>
                <w:szCs w:val="16"/>
              </w:rPr>
              <w:t>79%</w:t>
            </w:r>
          </w:p>
        </w:tc>
        <w:tc>
          <w:tcPr>
            <w:tcW w:w="1165"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eastAsia="Times New Roman" w:hAnsi="Times New Roman"/>
                <w:b/>
                <w:iCs/>
                <w:color w:val="00B050"/>
                <w:sz w:val="16"/>
                <w:szCs w:val="16"/>
              </w:rPr>
              <w:t>Higher</w:t>
            </w:r>
            <w:r w:rsidRPr="00EE7DC1">
              <w:rPr>
                <w:rFonts w:ascii="Times New Roman" w:eastAsia="Times New Roman" w:hAnsi="Times New Roman"/>
                <w:iCs/>
                <w:color w:val="00B050"/>
                <w:sz w:val="16"/>
                <w:szCs w:val="16"/>
              </w:rPr>
              <w:t xml:space="preserve"> </w:t>
            </w:r>
            <w:r w:rsidRPr="00EE7DC1">
              <w:rPr>
                <w:rFonts w:ascii="Times New Roman" w:eastAsia="Times New Roman" w:hAnsi="Times New Roman"/>
                <w:iCs/>
                <w:sz w:val="16"/>
                <w:szCs w:val="16"/>
              </w:rPr>
              <w:t>(105%)</w:t>
            </w:r>
          </w:p>
        </w:tc>
      </w:tr>
      <w:tr w:rsidR="00D6176C" w:rsidRPr="00EE7DC1" w:rsidTr="005B6C71">
        <w:trPr>
          <w:trHeight w:val="255"/>
        </w:trPr>
        <w:tc>
          <w:tcPr>
            <w:tcW w:w="431"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5.3</w:t>
            </w:r>
          </w:p>
        </w:tc>
        <w:tc>
          <w:tcPr>
            <w:tcW w:w="1847" w:type="dxa"/>
            <w:shd w:val="clear" w:color="auto" w:fill="auto"/>
            <w:vAlign w:val="center"/>
          </w:tcPr>
          <w:p w:rsidR="00D6176C" w:rsidRPr="00EE7DC1" w:rsidRDefault="00D6176C" w:rsidP="005B6C71">
            <w:pPr>
              <w:spacing w:after="0"/>
              <w:rPr>
                <w:rFonts w:ascii="Times New Roman" w:eastAsia="Times New Roman" w:hAnsi="Times New Roman"/>
                <w:b/>
                <w:bCs/>
                <w:sz w:val="16"/>
                <w:szCs w:val="16"/>
              </w:rPr>
            </w:pPr>
            <w:r w:rsidRPr="00EE7DC1">
              <w:rPr>
                <w:rFonts w:ascii="Times New Roman" w:hAnsi="Times New Roman"/>
                <w:color w:val="000000"/>
                <w:sz w:val="16"/>
                <w:szCs w:val="16"/>
              </w:rPr>
              <w:t>Gender-responsive disaster/climate risk management</w:t>
            </w:r>
          </w:p>
        </w:tc>
        <w:tc>
          <w:tcPr>
            <w:tcW w:w="943" w:type="dxa"/>
            <w:shd w:val="clear" w:color="000000" w:fill="FFC00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99%</w:t>
            </w:r>
          </w:p>
        </w:tc>
        <w:tc>
          <w:tcPr>
            <w:tcW w:w="943" w:type="dxa"/>
            <w:tcBorders>
              <w:top w:val="single" w:sz="6" w:space="0" w:color="auto"/>
              <w:bottom w:val="single" w:sz="6" w:space="0" w:color="auto"/>
            </w:tcBorders>
            <w:shd w:val="clear" w:color="000000" w:fill="82CA3F"/>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109%</w:t>
            </w:r>
          </w:p>
        </w:tc>
        <w:tc>
          <w:tcPr>
            <w:tcW w:w="943" w:type="dxa"/>
            <w:tcBorders>
              <w:top w:val="single" w:sz="6" w:space="0" w:color="auto"/>
              <w:bottom w:val="single" w:sz="6" w:space="0" w:color="auto"/>
            </w:tcBorders>
            <w:shd w:val="clear" w:color="000000" w:fill="82CA3F"/>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111%</w:t>
            </w:r>
          </w:p>
        </w:tc>
        <w:tc>
          <w:tcPr>
            <w:tcW w:w="988" w:type="dxa"/>
            <w:shd w:val="clear" w:color="auto" w:fill="92D05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111%</w:t>
            </w:r>
          </w:p>
        </w:tc>
        <w:tc>
          <w:tcPr>
            <w:tcW w:w="988" w:type="dxa"/>
            <w:shd w:val="clear" w:color="auto" w:fill="auto"/>
            <w:noWrap/>
            <w:vAlign w:val="center"/>
            <w:hideMark/>
          </w:tcPr>
          <w:p w:rsidR="00D6176C" w:rsidRPr="00EE7DC1" w:rsidRDefault="00D52C71"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20</w:t>
            </w:r>
          </w:p>
        </w:tc>
        <w:tc>
          <w:tcPr>
            <w:tcW w:w="1165" w:type="dxa"/>
            <w:vAlign w:val="center"/>
          </w:tcPr>
          <w:p w:rsidR="00D6176C" w:rsidRPr="00EE7DC1" w:rsidRDefault="00D6176C" w:rsidP="005B6C71">
            <w:pPr>
              <w:spacing w:after="0"/>
              <w:jc w:val="center"/>
              <w:rPr>
                <w:rFonts w:ascii="Times New Roman" w:eastAsia="Times New Roman" w:hAnsi="Times New Roman"/>
                <w:b/>
                <w:iCs/>
                <w:color w:val="FF0000"/>
                <w:sz w:val="16"/>
                <w:szCs w:val="16"/>
              </w:rPr>
            </w:pPr>
            <w:r w:rsidRPr="00EE7DC1">
              <w:rPr>
                <w:rFonts w:ascii="Times New Roman" w:hAnsi="Times New Roman"/>
                <w:sz w:val="16"/>
                <w:szCs w:val="16"/>
              </w:rPr>
              <w:t>61%</w:t>
            </w:r>
          </w:p>
        </w:tc>
        <w:tc>
          <w:tcPr>
            <w:tcW w:w="1165"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iCs/>
                <w:color w:val="FF0000"/>
                <w:sz w:val="16"/>
                <w:szCs w:val="16"/>
              </w:rPr>
            </w:pPr>
            <w:r w:rsidRPr="00EE7DC1">
              <w:rPr>
                <w:rFonts w:ascii="Times New Roman" w:eastAsia="Times New Roman" w:hAnsi="Times New Roman"/>
                <w:b/>
                <w:iCs/>
                <w:color w:val="FF0000"/>
                <w:sz w:val="16"/>
                <w:szCs w:val="16"/>
              </w:rPr>
              <w:t>Lower</w:t>
            </w:r>
            <w:r w:rsidRPr="00EE7DC1">
              <w:rPr>
                <w:rFonts w:ascii="Times New Roman" w:eastAsia="Times New Roman" w:hAnsi="Times New Roman"/>
                <w:iCs/>
                <w:sz w:val="16"/>
                <w:szCs w:val="16"/>
              </w:rPr>
              <w:t xml:space="preserve"> (109%)</w:t>
            </w:r>
          </w:p>
        </w:tc>
      </w:tr>
      <w:tr w:rsidR="00D6176C" w:rsidRPr="00EE7DC1" w:rsidTr="005B6C71">
        <w:trPr>
          <w:trHeight w:val="255"/>
        </w:trPr>
        <w:tc>
          <w:tcPr>
            <w:tcW w:w="431"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5.4</w:t>
            </w:r>
          </w:p>
        </w:tc>
        <w:tc>
          <w:tcPr>
            <w:tcW w:w="1847" w:type="dxa"/>
            <w:shd w:val="clear" w:color="auto" w:fill="auto"/>
            <w:vAlign w:val="center"/>
          </w:tcPr>
          <w:p w:rsidR="00D6176C" w:rsidRPr="00EE7DC1" w:rsidRDefault="00D6176C" w:rsidP="005B6C71">
            <w:pPr>
              <w:spacing w:after="0"/>
              <w:rPr>
                <w:rFonts w:ascii="Times New Roman" w:eastAsia="Times New Roman" w:hAnsi="Times New Roman"/>
                <w:b/>
                <w:bCs/>
                <w:sz w:val="16"/>
                <w:szCs w:val="16"/>
              </w:rPr>
            </w:pPr>
            <w:r w:rsidRPr="00EE7DC1">
              <w:rPr>
                <w:rFonts w:ascii="Times New Roman" w:hAnsi="Times New Roman"/>
                <w:color w:val="000000"/>
                <w:sz w:val="16"/>
                <w:szCs w:val="16"/>
              </w:rPr>
              <w:t>Natural hazard preparedness</w:t>
            </w:r>
          </w:p>
        </w:tc>
        <w:tc>
          <w:tcPr>
            <w:tcW w:w="943" w:type="dxa"/>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119%</w:t>
            </w:r>
          </w:p>
        </w:tc>
        <w:tc>
          <w:tcPr>
            <w:tcW w:w="943" w:type="dxa"/>
            <w:tcBorders>
              <w:top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118%</w:t>
            </w:r>
          </w:p>
        </w:tc>
        <w:tc>
          <w:tcPr>
            <w:tcW w:w="943" w:type="dxa"/>
            <w:tcBorders>
              <w:top w:val="single" w:sz="6" w:space="0" w:color="auto"/>
              <w:bottom w:val="single" w:sz="6" w:space="0" w:color="auto"/>
            </w:tcBorders>
            <w:shd w:val="clear" w:color="000000" w:fill="82CA3F"/>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101%</w:t>
            </w:r>
          </w:p>
        </w:tc>
        <w:tc>
          <w:tcPr>
            <w:tcW w:w="988" w:type="dxa"/>
            <w:shd w:val="clear" w:color="auto" w:fill="92D05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126%</w:t>
            </w:r>
          </w:p>
        </w:tc>
        <w:tc>
          <w:tcPr>
            <w:tcW w:w="988" w:type="dxa"/>
            <w:shd w:val="clear" w:color="auto" w:fill="auto"/>
            <w:noWrap/>
            <w:vAlign w:val="center"/>
            <w:hideMark/>
          </w:tcPr>
          <w:p w:rsidR="00D6176C" w:rsidRPr="00EE7DC1" w:rsidRDefault="00D434F0"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49</w:t>
            </w:r>
          </w:p>
        </w:tc>
        <w:tc>
          <w:tcPr>
            <w:tcW w:w="1165" w:type="dxa"/>
            <w:vAlign w:val="center"/>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hAnsi="Times New Roman"/>
                <w:sz w:val="16"/>
                <w:szCs w:val="16"/>
              </w:rPr>
              <w:t>69%</w:t>
            </w:r>
          </w:p>
        </w:tc>
        <w:tc>
          <w:tcPr>
            <w:tcW w:w="1165"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eastAsia="Times New Roman" w:hAnsi="Times New Roman"/>
                <w:iCs/>
                <w:sz w:val="16"/>
                <w:szCs w:val="16"/>
              </w:rPr>
              <w:t>n/a</w:t>
            </w:r>
          </w:p>
        </w:tc>
      </w:tr>
      <w:tr w:rsidR="00D6176C" w:rsidRPr="00EE7DC1" w:rsidTr="005B6C71">
        <w:trPr>
          <w:trHeight w:val="270"/>
        </w:trPr>
        <w:tc>
          <w:tcPr>
            <w:tcW w:w="431" w:type="dxa"/>
            <w:tcBorders>
              <w:bottom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5.5</w:t>
            </w:r>
          </w:p>
        </w:tc>
        <w:tc>
          <w:tcPr>
            <w:tcW w:w="1847" w:type="dxa"/>
            <w:tcBorders>
              <w:bottom w:val="single" w:sz="6" w:space="0" w:color="auto"/>
            </w:tcBorders>
            <w:shd w:val="clear" w:color="auto" w:fill="auto"/>
            <w:vAlign w:val="center"/>
          </w:tcPr>
          <w:p w:rsidR="00D6176C" w:rsidRPr="00EE7DC1" w:rsidRDefault="00D6176C" w:rsidP="005B6C71">
            <w:pPr>
              <w:spacing w:after="0"/>
              <w:rPr>
                <w:rFonts w:ascii="Times New Roman" w:eastAsia="Times New Roman" w:hAnsi="Times New Roman"/>
                <w:b/>
                <w:bCs/>
                <w:sz w:val="16"/>
                <w:szCs w:val="16"/>
              </w:rPr>
            </w:pPr>
            <w:r w:rsidRPr="00EE7DC1">
              <w:rPr>
                <w:rFonts w:ascii="Times New Roman" w:hAnsi="Times New Roman"/>
                <w:sz w:val="16"/>
                <w:szCs w:val="16"/>
              </w:rPr>
              <w:t>Peaceful management of conflicts</w:t>
            </w:r>
          </w:p>
        </w:tc>
        <w:tc>
          <w:tcPr>
            <w:tcW w:w="943" w:type="dxa"/>
            <w:tcBorders>
              <w:bottom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162%</w:t>
            </w:r>
          </w:p>
        </w:tc>
        <w:tc>
          <w:tcPr>
            <w:tcW w:w="943" w:type="dxa"/>
            <w:tcBorders>
              <w:bottom w:val="single" w:sz="6" w:space="0" w:color="auto"/>
            </w:tcBorders>
            <w:shd w:val="clear" w:color="000000" w:fill="FFC00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98%</w:t>
            </w:r>
          </w:p>
        </w:tc>
        <w:tc>
          <w:tcPr>
            <w:tcW w:w="943" w:type="dxa"/>
            <w:tcBorders>
              <w:top w:val="single" w:sz="6" w:space="0" w:color="auto"/>
              <w:bottom w:val="single" w:sz="6" w:space="0" w:color="auto"/>
            </w:tcBorders>
            <w:shd w:val="clear" w:color="auto" w:fill="FFC00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98%</w:t>
            </w:r>
          </w:p>
        </w:tc>
        <w:tc>
          <w:tcPr>
            <w:tcW w:w="988" w:type="dxa"/>
            <w:tcBorders>
              <w:bottom w:val="single" w:sz="6" w:space="0" w:color="auto"/>
            </w:tcBorders>
            <w:shd w:val="clear" w:color="auto" w:fill="FFC00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96%</w:t>
            </w:r>
          </w:p>
        </w:tc>
        <w:tc>
          <w:tcPr>
            <w:tcW w:w="988" w:type="dxa"/>
            <w:tcBorders>
              <w:bottom w:val="single" w:sz="6" w:space="0" w:color="auto"/>
            </w:tcBorders>
            <w:shd w:val="clear" w:color="auto" w:fill="auto"/>
            <w:noWrap/>
            <w:vAlign w:val="center"/>
            <w:hideMark/>
          </w:tcPr>
          <w:p w:rsidR="00D6176C" w:rsidRPr="00EE7DC1" w:rsidRDefault="00D434F0"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46</w:t>
            </w:r>
          </w:p>
        </w:tc>
        <w:tc>
          <w:tcPr>
            <w:tcW w:w="1165" w:type="dxa"/>
            <w:tcBorders>
              <w:bottom w:val="single" w:sz="6" w:space="0" w:color="auto"/>
            </w:tcBorders>
            <w:vAlign w:val="center"/>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hAnsi="Times New Roman"/>
                <w:sz w:val="16"/>
                <w:szCs w:val="16"/>
              </w:rPr>
              <w:t>81%</w:t>
            </w:r>
          </w:p>
        </w:tc>
        <w:tc>
          <w:tcPr>
            <w:tcW w:w="1165" w:type="dxa"/>
            <w:tcBorders>
              <w:bottom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eastAsia="Times New Roman" w:hAnsi="Times New Roman"/>
                <w:iCs/>
                <w:sz w:val="16"/>
                <w:szCs w:val="16"/>
              </w:rPr>
              <w:t>n/a</w:t>
            </w:r>
          </w:p>
        </w:tc>
      </w:tr>
      <w:tr w:rsidR="00D6176C" w:rsidRPr="00EE7DC1" w:rsidTr="005B6C71">
        <w:trPr>
          <w:trHeight w:val="270"/>
        </w:trPr>
        <w:tc>
          <w:tcPr>
            <w:tcW w:w="431" w:type="dxa"/>
            <w:tcBorders>
              <w:top w:val="single" w:sz="6" w:space="0" w:color="auto"/>
              <w:bottom w:val="single" w:sz="6" w:space="0" w:color="auto"/>
            </w:tcBorders>
            <w:shd w:val="clear" w:color="auto" w:fill="auto"/>
            <w:noWrap/>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5.6</w:t>
            </w:r>
          </w:p>
        </w:tc>
        <w:tc>
          <w:tcPr>
            <w:tcW w:w="1847" w:type="dxa"/>
            <w:tcBorders>
              <w:top w:val="single" w:sz="6" w:space="0" w:color="auto"/>
              <w:bottom w:val="single" w:sz="6" w:space="0" w:color="auto"/>
            </w:tcBorders>
            <w:shd w:val="clear" w:color="auto" w:fill="auto"/>
            <w:vAlign w:val="center"/>
          </w:tcPr>
          <w:p w:rsidR="00D6176C" w:rsidRPr="00EE7DC1" w:rsidRDefault="00D6176C" w:rsidP="005B6C71">
            <w:pPr>
              <w:spacing w:after="0"/>
              <w:rPr>
                <w:rFonts w:ascii="Times New Roman" w:hAnsi="Times New Roman"/>
                <w:color w:val="000000"/>
                <w:sz w:val="16"/>
                <w:szCs w:val="16"/>
              </w:rPr>
            </w:pPr>
            <w:r w:rsidRPr="00EE7DC1">
              <w:rPr>
                <w:rFonts w:ascii="Times New Roman" w:hAnsi="Times New Roman"/>
                <w:color w:val="000000"/>
                <w:sz w:val="16"/>
                <w:szCs w:val="16"/>
              </w:rPr>
              <w:t>Consensus-building around contested priorities</w:t>
            </w:r>
          </w:p>
        </w:tc>
        <w:tc>
          <w:tcPr>
            <w:tcW w:w="943" w:type="dxa"/>
            <w:tcBorders>
              <w:top w:val="single" w:sz="6" w:space="0" w:color="auto"/>
              <w:bottom w:val="single" w:sz="6" w:space="0" w:color="auto"/>
            </w:tcBorders>
            <w:shd w:val="clear" w:color="000000" w:fill="92D050"/>
            <w:noWrap/>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100%</w:t>
            </w:r>
          </w:p>
        </w:tc>
        <w:tc>
          <w:tcPr>
            <w:tcW w:w="943" w:type="dxa"/>
            <w:tcBorders>
              <w:top w:val="single" w:sz="6" w:space="0" w:color="auto"/>
              <w:bottom w:val="single" w:sz="6" w:space="0" w:color="auto"/>
            </w:tcBorders>
            <w:shd w:val="clear" w:color="000000" w:fill="82CA3F"/>
            <w:noWrap/>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106%</w:t>
            </w:r>
          </w:p>
        </w:tc>
        <w:tc>
          <w:tcPr>
            <w:tcW w:w="943" w:type="dxa"/>
            <w:tcBorders>
              <w:top w:val="single" w:sz="6" w:space="0" w:color="auto"/>
              <w:bottom w:val="single" w:sz="6" w:space="0" w:color="auto"/>
            </w:tcBorders>
            <w:shd w:val="clear" w:color="000000" w:fill="92D050"/>
            <w:noWrap/>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111%</w:t>
            </w:r>
          </w:p>
        </w:tc>
        <w:tc>
          <w:tcPr>
            <w:tcW w:w="988" w:type="dxa"/>
            <w:tcBorders>
              <w:top w:val="single" w:sz="6" w:space="0" w:color="auto"/>
              <w:bottom w:val="single" w:sz="6" w:space="0" w:color="auto"/>
            </w:tcBorders>
            <w:shd w:val="clear" w:color="auto" w:fill="92D05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100%</w:t>
            </w:r>
          </w:p>
        </w:tc>
        <w:tc>
          <w:tcPr>
            <w:tcW w:w="988" w:type="dxa"/>
            <w:tcBorders>
              <w:top w:val="single" w:sz="6" w:space="0" w:color="auto"/>
              <w:bottom w:val="single" w:sz="6" w:space="0" w:color="auto"/>
            </w:tcBorders>
            <w:shd w:val="clear" w:color="auto" w:fill="auto"/>
            <w:noWrap/>
            <w:vAlign w:val="center"/>
          </w:tcPr>
          <w:p w:rsidR="00D6176C" w:rsidRPr="00EE7DC1" w:rsidRDefault="00D434F0"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22</w:t>
            </w:r>
          </w:p>
        </w:tc>
        <w:tc>
          <w:tcPr>
            <w:tcW w:w="1165" w:type="dxa"/>
            <w:tcBorders>
              <w:top w:val="single" w:sz="6" w:space="0" w:color="auto"/>
              <w:bottom w:val="single" w:sz="6" w:space="0" w:color="auto"/>
            </w:tcBorders>
            <w:vAlign w:val="center"/>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hAnsi="Times New Roman"/>
                <w:sz w:val="16"/>
                <w:szCs w:val="16"/>
              </w:rPr>
              <w:t>100%</w:t>
            </w:r>
          </w:p>
        </w:tc>
        <w:tc>
          <w:tcPr>
            <w:tcW w:w="1165" w:type="dxa"/>
            <w:tcBorders>
              <w:top w:val="single" w:sz="6" w:space="0" w:color="auto"/>
              <w:bottom w:val="single" w:sz="6" w:space="0" w:color="auto"/>
            </w:tcBorders>
            <w:shd w:val="clear" w:color="auto" w:fill="auto"/>
            <w:noWrap/>
            <w:vAlign w:val="center"/>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eastAsia="Times New Roman" w:hAnsi="Times New Roman"/>
                <w:iCs/>
                <w:sz w:val="16"/>
                <w:szCs w:val="16"/>
              </w:rPr>
              <w:t>n/a</w:t>
            </w:r>
          </w:p>
        </w:tc>
      </w:tr>
      <w:tr w:rsidR="00D6176C" w:rsidRPr="00EE7DC1" w:rsidTr="005B6C71">
        <w:trPr>
          <w:trHeight w:val="270"/>
        </w:trPr>
        <w:tc>
          <w:tcPr>
            <w:tcW w:w="9413" w:type="dxa"/>
            <w:gridSpan w:val="9"/>
            <w:tcBorders>
              <w:top w:val="single" w:sz="6" w:space="0" w:color="auto"/>
              <w:bottom w:val="single" w:sz="12" w:space="0" w:color="auto"/>
            </w:tcBorders>
            <w:vAlign w:val="center"/>
          </w:tcPr>
          <w:p w:rsidR="00D6176C" w:rsidRPr="00EE7DC1" w:rsidRDefault="00D6176C" w:rsidP="005B6C71">
            <w:pPr>
              <w:spacing w:after="0"/>
              <w:rPr>
                <w:rFonts w:ascii="Times New Roman" w:eastAsia="Times New Roman" w:hAnsi="Times New Roman"/>
                <w:iCs/>
                <w:sz w:val="16"/>
                <w:szCs w:val="16"/>
              </w:rPr>
            </w:pPr>
            <w:r w:rsidRPr="00EE7DC1">
              <w:rPr>
                <w:rFonts w:ascii="Times New Roman" w:hAnsi="Times New Roman"/>
                <w:color w:val="000000"/>
                <w:sz w:val="16"/>
                <w:szCs w:val="16"/>
              </w:rPr>
              <w:t xml:space="preserve">Expenditure with gender equality as a ‘significant’ or ‘principal’ objective: </w:t>
            </w:r>
            <w:r w:rsidRPr="00086A7B">
              <w:rPr>
                <w:rFonts w:ascii="Times New Roman" w:hAnsi="Times New Roman"/>
                <w:color w:val="000000"/>
                <w:sz w:val="16"/>
                <w:szCs w:val="16"/>
              </w:rPr>
              <w:t>34%</w:t>
            </w:r>
          </w:p>
        </w:tc>
      </w:tr>
    </w:tbl>
    <w:p w:rsidR="00D6176C" w:rsidRPr="00EE7DC1" w:rsidRDefault="00D6176C" w:rsidP="00D6176C">
      <w:pPr>
        <w:pStyle w:val="ListParagraph"/>
        <w:widowControl w:val="0"/>
        <w:spacing w:after="0" w:line="240" w:lineRule="auto"/>
        <w:ind w:left="0"/>
        <w:contextualSpacing w:val="0"/>
        <w:jc w:val="both"/>
        <w:rPr>
          <w:rFonts w:ascii="Times New Roman" w:hAnsi="Times New Roman"/>
          <w:b/>
          <w:sz w:val="16"/>
          <w:szCs w:val="16"/>
          <w:highlight w:val="yellow"/>
        </w:rPr>
      </w:pPr>
    </w:p>
    <w:p w:rsidR="00D6176C" w:rsidRDefault="00D6176C" w:rsidP="00D54000">
      <w:pPr>
        <w:pStyle w:val="ListParagraph"/>
        <w:numPr>
          <w:ilvl w:val="0"/>
          <w:numId w:val="11"/>
        </w:numPr>
        <w:tabs>
          <w:tab w:val="left" w:pos="450"/>
          <w:tab w:val="left" w:pos="1080"/>
        </w:tabs>
        <w:spacing w:after="0" w:line="240" w:lineRule="auto"/>
        <w:ind w:firstLine="0"/>
        <w:jc w:val="both"/>
        <w:rPr>
          <w:rFonts w:ascii="Times New Roman" w:hAnsi="Times New Roman"/>
          <w:sz w:val="20"/>
          <w:szCs w:val="20"/>
        </w:rPr>
      </w:pPr>
      <w:r>
        <w:rPr>
          <w:rFonts w:ascii="Times New Roman" w:hAnsi="Times New Roman"/>
          <w:sz w:val="20"/>
          <w:szCs w:val="20"/>
        </w:rPr>
        <w:lastRenderedPageBreak/>
        <w:t>UNDP supported resilience</w:t>
      </w:r>
      <w:r w:rsidR="007770D0">
        <w:rPr>
          <w:rFonts w:ascii="Times New Roman" w:hAnsi="Times New Roman"/>
          <w:sz w:val="20"/>
          <w:szCs w:val="20"/>
        </w:rPr>
        <w:t>-</w:t>
      </w:r>
      <w:r>
        <w:rPr>
          <w:rFonts w:ascii="Times New Roman" w:hAnsi="Times New Roman"/>
          <w:sz w:val="20"/>
          <w:szCs w:val="20"/>
        </w:rPr>
        <w:t>building by</w:t>
      </w:r>
      <w:r w:rsidDel="00234656">
        <w:rPr>
          <w:rFonts w:ascii="Times New Roman" w:hAnsi="Times New Roman"/>
          <w:sz w:val="20"/>
          <w:szCs w:val="20"/>
        </w:rPr>
        <w:t xml:space="preserve"> </w:t>
      </w:r>
      <w:r>
        <w:rPr>
          <w:rFonts w:ascii="Times New Roman" w:hAnsi="Times New Roman"/>
          <w:sz w:val="20"/>
          <w:szCs w:val="20"/>
        </w:rPr>
        <w:t>supporting</w:t>
      </w:r>
      <w:r w:rsidR="007770D0">
        <w:rPr>
          <w:rFonts w:ascii="Times New Roman" w:hAnsi="Times New Roman"/>
          <w:sz w:val="20"/>
          <w:szCs w:val="20"/>
        </w:rPr>
        <w:t>:</w:t>
      </w:r>
      <w:r>
        <w:rPr>
          <w:rFonts w:ascii="Times New Roman" w:hAnsi="Times New Roman"/>
          <w:sz w:val="20"/>
          <w:szCs w:val="20"/>
        </w:rPr>
        <w:t xml:space="preserve"> disaster risk assessments, policies and long-term planning and investment frameworks</w:t>
      </w:r>
      <w:r w:rsidR="007770D0">
        <w:rPr>
          <w:rFonts w:ascii="Times New Roman" w:hAnsi="Times New Roman"/>
          <w:sz w:val="20"/>
          <w:szCs w:val="20"/>
        </w:rPr>
        <w:t xml:space="preserve">; </w:t>
      </w:r>
      <w:r w:rsidRPr="006B61C3">
        <w:rPr>
          <w:rFonts w:ascii="Times New Roman" w:hAnsi="Times New Roman"/>
          <w:sz w:val="20"/>
          <w:szCs w:val="20"/>
        </w:rPr>
        <w:t>policy frameworks and institutional mechanisms at the national and subnational levels</w:t>
      </w:r>
      <w:r w:rsidR="00A7499B">
        <w:rPr>
          <w:rFonts w:ascii="Times New Roman" w:hAnsi="Times New Roman"/>
          <w:sz w:val="20"/>
          <w:szCs w:val="20"/>
        </w:rPr>
        <w:t xml:space="preserve"> for</w:t>
      </w:r>
      <w:r>
        <w:rPr>
          <w:rFonts w:ascii="Times New Roman" w:hAnsi="Times New Roman"/>
          <w:sz w:val="20"/>
          <w:szCs w:val="20"/>
        </w:rPr>
        <w:t xml:space="preserve"> </w:t>
      </w:r>
      <w:r w:rsidRPr="006B61C3">
        <w:rPr>
          <w:rFonts w:ascii="Times New Roman" w:hAnsi="Times New Roman"/>
          <w:sz w:val="20"/>
          <w:szCs w:val="20"/>
        </w:rPr>
        <w:t>the peaceful management of emerging and recurring conflicts</w:t>
      </w:r>
      <w:r w:rsidR="007770D0">
        <w:rPr>
          <w:rFonts w:ascii="Times New Roman" w:hAnsi="Times New Roman"/>
          <w:sz w:val="20"/>
          <w:szCs w:val="20"/>
        </w:rPr>
        <w:t>;</w:t>
      </w:r>
      <w:r w:rsidR="007770D0" w:rsidRPr="006B61C3">
        <w:rPr>
          <w:rFonts w:ascii="Times New Roman" w:hAnsi="Times New Roman"/>
          <w:sz w:val="20"/>
          <w:szCs w:val="20"/>
        </w:rPr>
        <w:t xml:space="preserve"> </w:t>
      </w:r>
      <w:r w:rsidRPr="006B61C3">
        <w:rPr>
          <w:rFonts w:ascii="Times New Roman" w:hAnsi="Times New Roman"/>
          <w:sz w:val="20"/>
          <w:szCs w:val="20"/>
        </w:rPr>
        <w:t xml:space="preserve">and </w:t>
      </w:r>
      <w:r>
        <w:rPr>
          <w:rFonts w:ascii="Times New Roman" w:hAnsi="Times New Roman"/>
          <w:sz w:val="20"/>
          <w:szCs w:val="20"/>
        </w:rPr>
        <w:t xml:space="preserve">implementation of </w:t>
      </w:r>
      <w:r w:rsidRPr="006B61C3">
        <w:rPr>
          <w:rFonts w:ascii="Times New Roman" w:hAnsi="Times New Roman"/>
          <w:sz w:val="20"/>
          <w:szCs w:val="20"/>
        </w:rPr>
        <w:t xml:space="preserve">mechanisms for consensus-building </w:t>
      </w:r>
      <w:r>
        <w:rPr>
          <w:rFonts w:ascii="Times New Roman" w:hAnsi="Times New Roman"/>
          <w:sz w:val="20"/>
          <w:szCs w:val="20"/>
        </w:rPr>
        <w:t>on</w:t>
      </w:r>
      <w:r w:rsidRPr="006B61C3">
        <w:rPr>
          <w:rFonts w:ascii="Times New Roman" w:hAnsi="Times New Roman"/>
          <w:sz w:val="20"/>
          <w:szCs w:val="20"/>
        </w:rPr>
        <w:t xml:space="preserve"> contested prioritie</w:t>
      </w:r>
      <w:r w:rsidRPr="00707117">
        <w:rPr>
          <w:rFonts w:ascii="Times New Roman" w:hAnsi="Times New Roman"/>
          <w:sz w:val="20"/>
          <w:szCs w:val="20"/>
        </w:rPr>
        <w:t>s</w:t>
      </w:r>
      <w:r w:rsidRPr="006B61C3">
        <w:rPr>
          <w:rFonts w:ascii="Times New Roman" w:hAnsi="Times New Roman"/>
          <w:sz w:val="20"/>
          <w:szCs w:val="20"/>
        </w:rPr>
        <w:t xml:space="preserve">.  </w:t>
      </w:r>
    </w:p>
    <w:p w:rsidR="00D6176C" w:rsidRPr="00D54000" w:rsidRDefault="00D6176C" w:rsidP="00D54000">
      <w:pPr>
        <w:pStyle w:val="ListParagraph"/>
        <w:tabs>
          <w:tab w:val="left" w:pos="450"/>
          <w:tab w:val="left" w:pos="1080"/>
        </w:tabs>
        <w:spacing w:after="0" w:line="240" w:lineRule="auto"/>
        <w:ind w:left="0"/>
        <w:jc w:val="both"/>
        <w:rPr>
          <w:rFonts w:ascii="Times New Roman" w:hAnsi="Times New Roman"/>
          <w:sz w:val="12"/>
          <w:szCs w:val="12"/>
        </w:rPr>
      </w:pPr>
    </w:p>
    <w:p w:rsidR="00D6176C" w:rsidRDefault="00D6176C" w:rsidP="00D54000">
      <w:pPr>
        <w:pStyle w:val="ListParagraph"/>
        <w:numPr>
          <w:ilvl w:val="0"/>
          <w:numId w:val="11"/>
        </w:numPr>
        <w:tabs>
          <w:tab w:val="left" w:pos="450"/>
          <w:tab w:val="left" w:pos="1080"/>
        </w:tabs>
        <w:spacing w:after="0" w:line="240" w:lineRule="auto"/>
        <w:ind w:firstLine="0"/>
        <w:jc w:val="both"/>
        <w:rPr>
          <w:rFonts w:ascii="Times New Roman" w:hAnsi="Times New Roman"/>
          <w:sz w:val="20"/>
          <w:szCs w:val="20"/>
        </w:rPr>
      </w:pPr>
      <w:r>
        <w:rPr>
          <w:rFonts w:ascii="Times New Roman" w:hAnsi="Times New Roman"/>
          <w:sz w:val="20"/>
          <w:szCs w:val="20"/>
        </w:rPr>
        <w:t xml:space="preserve">UNDP showed strong </w:t>
      </w:r>
      <w:r w:rsidRPr="003F5460">
        <w:rPr>
          <w:rFonts w:ascii="Times New Roman" w:hAnsi="Times New Roman"/>
          <w:sz w:val="20"/>
          <w:szCs w:val="20"/>
        </w:rPr>
        <w:t xml:space="preserve">performance under </w:t>
      </w:r>
      <w:r w:rsidR="007770D0">
        <w:rPr>
          <w:rFonts w:ascii="Times New Roman" w:hAnsi="Times New Roman"/>
          <w:sz w:val="20"/>
          <w:szCs w:val="20"/>
        </w:rPr>
        <w:t>o</w:t>
      </w:r>
      <w:r w:rsidR="007770D0" w:rsidRPr="003F5460">
        <w:rPr>
          <w:rFonts w:ascii="Times New Roman" w:hAnsi="Times New Roman"/>
          <w:sz w:val="20"/>
          <w:szCs w:val="20"/>
        </w:rPr>
        <w:t xml:space="preserve">utcome </w:t>
      </w:r>
      <w:r w:rsidRPr="003F5460">
        <w:rPr>
          <w:rFonts w:ascii="Times New Roman" w:hAnsi="Times New Roman"/>
          <w:sz w:val="20"/>
          <w:szCs w:val="20"/>
        </w:rPr>
        <w:t>5</w:t>
      </w:r>
      <w:r w:rsidR="007770D0">
        <w:rPr>
          <w:rFonts w:ascii="Times New Roman" w:hAnsi="Times New Roman"/>
          <w:sz w:val="20"/>
          <w:szCs w:val="20"/>
        </w:rPr>
        <w:t xml:space="preserve">, exceeding the targets for </w:t>
      </w:r>
      <w:r w:rsidRPr="003F5460">
        <w:rPr>
          <w:rFonts w:ascii="Times New Roman" w:hAnsi="Times New Roman"/>
          <w:sz w:val="20"/>
          <w:szCs w:val="20"/>
        </w:rPr>
        <w:t>four of six outputs</w:t>
      </w:r>
      <w:r w:rsidR="00BA5C8B">
        <w:rPr>
          <w:rFonts w:ascii="Times New Roman" w:hAnsi="Times New Roman"/>
          <w:sz w:val="20"/>
          <w:szCs w:val="20"/>
        </w:rPr>
        <w:t xml:space="preserve">. </w:t>
      </w:r>
      <w:r w:rsidR="0041448B">
        <w:rPr>
          <w:rFonts w:ascii="Times New Roman" w:hAnsi="Times New Roman"/>
          <w:sz w:val="20"/>
          <w:szCs w:val="20"/>
        </w:rPr>
        <w:t xml:space="preserve">The targets for outputs </w:t>
      </w:r>
      <w:r w:rsidR="00BA5C8B">
        <w:rPr>
          <w:rFonts w:ascii="Times New Roman" w:hAnsi="Times New Roman"/>
          <w:sz w:val="20"/>
          <w:szCs w:val="20"/>
        </w:rPr>
        <w:t xml:space="preserve">5.2 and 5.5 </w:t>
      </w:r>
      <w:r w:rsidR="0041448B">
        <w:rPr>
          <w:rFonts w:ascii="Times New Roman" w:hAnsi="Times New Roman"/>
          <w:sz w:val="20"/>
          <w:szCs w:val="20"/>
        </w:rPr>
        <w:t xml:space="preserve">were </w:t>
      </w:r>
      <w:r w:rsidR="00BA5C8B">
        <w:rPr>
          <w:rFonts w:ascii="Times New Roman" w:hAnsi="Times New Roman"/>
          <w:sz w:val="20"/>
          <w:szCs w:val="20"/>
        </w:rPr>
        <w:t xml:space="preserve">missed by </w:t>
      </w:r>
      <w:r w:rsidR="001138E1">
        <w:rPr>
          <w:rFonts w:ascii="Times New Roman" w:hAnsi="Times New Roman"/>
          <w:sz w:val="20"/>
          <w:szCs w:val="20"/>
        </w:rPr>
        <w:t xml:space="preserve">only </w:t>
      </w:r>
      <w:r w:rsidR="00BA5C8B">
        <w:rPr>
          <w:rFonts w:ascii="Times New Roman" w:hAnsi="Times New Roman"/>
          <w:sz w:val="20"/>
          <w:szCs w:val="20"/>
        </w:rPr>
        <w:t>5 per</w:t>
      </w:r>
      <w:r w:rsidR="00426E59">
        <w:rPr>
          <w:rFonts w:ascii="Times New Roman" w:hAnsi="Times New Roman"/>
          <w:sz w:val="20"/>
          <w:szCs w:val="20"/>
        </w:rPr>
        <w:t xml:space="preserve"> </w:t>
      </w:r>
      <w:r w:rsidR="00BA5C8B">
        <w:rPr>
          <w:rFonts w:ascii="Times New Roman" w:hAnsi="Times New Roman"/>
          <w:sz w:val="20"/>
          <w:szCs w:val="20"/>
        </w:rPr>
        <w:t xml:space="preserve">cent or less.  </w:t>
      </w:r>
      <w:r>
        <w:rPr>
          <w:rFonts w:ascii="Times New Roman" w:hAnsi="Times New Roman"/>
          <w:sz w:val="20"/>
          <w:szCs w:val="20"/>
        </w:rPr>
        <w:t xml:space="preserve">The </w:t>
      </w:r>
      <w:r w:rsidR="0041448B">
        <w:rPr>
          <w:rFonts w:ascii="Times New Roman" w:hAnsi="Times New Roman"/>
          <w:sz w:val="20"/>
          <w:szCs w:val="20"/>
        </w:rPr>
        <w:t xml:space="preserve">evaluation of the Strategic Plan </w:t>
      </w:r>
      <w:r>
        <w:rPr>
          <w:rFonts w:ascii="Times New Roman" w:hAnsi="Times New Roman"/>
          <w:sz w:val="20"/>
          <w:szCs w:val="20"/>
        </w:rPr>
        <w:t xml:space="preserve">confirmed that UNDP provided valuable services to national partners on disaster risk reduction strategies and was well positioned to develop contextual analyses at the country level. UNDP spent $959 million </w:t>
      </w:r>
      <w:r w:rsidR="0041448B">
        <w:rPr>
          <w:rFonts w:ascii="Times New Roman" w:hAnsi="Times New Roman"/>
          <w:sz w:val="20"/>
          <w:szCs w:val="20"/>
        </w:rPr>
        <w:t xml:space="preserve">on outcome 5 </w:t>
      </w:r>
      <w:r>
        <w:rPr>
          <w:rFonts w:ascii="Times New Roman" w:hAnsi="Times New Roman"/>
          <w:sz w:val="20"/>
          <w:szCs w:val="20"/>
        </w:rPr>
        <w:t>in 2014-2017</w:t>
      </w:r>
      <w:r w:rsidR="0041448B">
        <w:rPr>
          <w:rFonts w:ascii="Times New Roman" w:hAnsi="Times New Roman"/>
          <w:sz w:val="20"/>
          <w:szCs w:val="20"/>
        </w:rPr>
        <w:t xml:space="preserve"> (6</w:t>
      </w:r>
      <w:r>
        <w:rPr>
          <w:rFonts w:ascii="Times New Roman" w:hAnsi="Times New Roman"/>
          <w:sz w:val="20"/>
          <w:szCs w:val="20"/>
        </w:rPr>
        <w:t xml:space="preserve"> per cent of total programme expenditure</w:t>
      </w:r>
      <w:r w:rsidR="0041448B">
        <w:rPr>
          <w:rFonts w:ascii="Times New Roman" w:hAnsi="Times New Roman"/>
          <w:sz w:val="20"/>
          <w:szCs w:val="20"/>
        </w:rPr>
        <w:t>)</w:t>
      </w:r>
      <w:r>
        <w:rPr>
          <w:rFonts w:ascii="Times New Roman" w:hAnsi="Times New Roman"/>
          <w:sz w:val="20"/>
          <w:szCs w:val="20"/>
        </w:rPr>
        <w:t xml:space="preserve">.  </w:t>
      </w:r>
      <w:r w:rsidRPr="003F5460">
        <w:rPr>
          <w:rFonts w:ascii="Times New Roman" w:hAnsi="Times New Roman"/>
          <w:sz w:val="20"/>
          <w:szCs w:val="20"/>
        </w:rPr>
        <w:t xml:space="preserve">  </w:t>
      </w:r>
    </w:p>
    <w:p w:rsidR="00D6176C" w:rsidRPr="00D54000" w:rsidRDefault="00D6176C" w:rsidP="00D54000">
      <w:pPr>
        <w:pStyle w:val="ListParagraph"/>
        <w:tabs>
          <w:tab w:val="left" w:pos="360"/>
          <w:tab w:val="left" w:pos="1080"/>
        </w:tabs>
        <w:spacing w:after="0" w:line="240" w:lineRule="auto"/>
        <w:ind w:left="0"/>
        <w:jc w:val="both"/>
        <w:rPr>
          <w:rFonts w:ascii="Times New Roman" w:hAnsi="Times New Roman"/>
          <w:sz w:val="12"/>
          <w:szCs w:val="12"/>
        </w:rPr>
      </w:pPr>
    </w:p>
    <w:p w:rsidR="00D6176C" w:rsidRPr="0041448B" w:rsidRDefault="00D6176C" w:rsidP="00D54000">
      <w:pPr>
        <w:pStyle w:val="ListParagraph"/>
        <w:numPr>
          <w:ilvl w:val="0"/>
          <w:numId w:val="11"/>
        </w:numPr>
        <w:tabs>
          <w:tab w:val="left" w:pos="1080"/>
        </w:tabs>
        <w:spacing w:after="0" w:line="0" w:lineRule="atLeast"/>
        <w:ind w:firstLine="0"/>
        <w:jc w:val="both"/>
        <w:rPr>
          <w:rFonts w:ascii="Times New Roman" w:hAnsi="Times New Roman"/>
          <w:sz w:val="20"/>
          <w:szCs w:val="20"/>
        </w:rPr>
      </w:pPr>
      <w:bookmarkStart w:id="7" w:name="_Hlk510710822"/>
      <w:r w:rsidRPr="0041448B">
        <w:rPr>
          <w:rFonts w:ascii="Times New Roman" w:hAnsi="Times New Roman"/>
          <w:sz w:val="20"/>
          <w:szCs w:val="20"/>
        </w:rPr>
        <w:t xml:space="preserve">UNDP supported 43 countries </w:t>
      </w:r>
      <w:r w:rsidR="0041448B">
        <w:rPr>
          <w:rFonts w:ascii="Times New Roman" w:hAnsi="Times New Roman"/>
          <w:sz w:val="20"/>
          <w:szCs w:val="20"/>
        </w:rPr>
        <w:t>to</w:t>
      </w:r>
      <w:r w:rsidR="0041448B" w:rsidRPr="0041448B">
        <w:rPr>
          <w:rFonts w:ascii="Times New Roman" w:hAnsi="Times New Roman"/>
          <w:sz w:val="20"/>
          <w:szCs w:val="20"/>
        </w:rPr>
        <w:t xml:space="preserve"> </w:t>
      </w:r>
      <w:r w:rsidRPr="0041448B">
        <w:rPr>
          <w:rFonts w:ascii="Times New Roman" w:hAnsi="Times New Roman"/>
          <w:sz w:val="20"/>
          <w:szCs w:val="20"/>
        </w:rPr>
        <w:t xml:space="preserve">strengthen capacities for assessing natural and man-made risks, including the development of 899 plans and programmes (48 per cent </w:t>
      </w:r>
      <w:r w:rsidR="0041448B">
        <w:rPr>
          <w:rFonts w:ascii="Times New Roman" w:hAnsi="Times New Roman"/>
          <w:sz w:val="20"/>
          <w:szCs w:val="20"/>
        </w:rPr>
        <w:t xml:space="preserve">of them </w:t>
      </w:r>
      <w:r w:rsidRPr="0041448B">
        <w:rPr>
          <w:rFonts w:ascii="Times New Roman" w:hAnsi="Times New Roman"/>
          <w:sz w:val="20"/>
          <w:szCs w:val="20"/>
        </w:rPr>
        <w:t>gender</w:t>
      </w:r>
      <w:r w:rsidR="0041448B">
        <w:rPr>
          <w:rFonts w:ascii="Times New Roman" w:hAnsi="Times New Roman"/>
          <w:sz w:val="20"/>
          <w:szCs w:val="20"/>
        </w:rPr>
        <w:t>-</w:t>
      </w:r>
      <w:r w:rsidRPr="0041448B">
        <w:rPr>
          <w:rFonts w:ascii="Times New Roman" w:hAnsi="Times New Roman"/>
          <w:sz w:val="20"/>
          <w:szCs w:val="20"/>
        </w:rPr>
        <w:t xml:space="preserve">responsive) that included multi-hazard national and subnational disaster and climate risk assessments. UNDP helped establish 321 end-to-end early warning systems in 37 countries. </w:t>
      </w:r>
      <w:r w:rsidRPr="0041448B">
        <w:rPr>
          <w:rFonts w:ascii="Times New Roman" w:hAnsi="Times New Roman"/>
          <w:bCs/>
          <w:sz w:val="20"/>
          <w:szCs w:val="20"/>
        </w:rPr>
        <w:t>In the Asia</w:t>
      </w:r>
      <w:r w:rsidR="00712605">
        <w:rPr>
          <w:rFonts w:ascii="Times New Roman" w:hAnsi="Times New Roman"/>
          <w:bCs/>
          <w:sz w:val="20"/>
          <w:szCs w:val="20"/>
        </w:rPr>
        <w:t>-</w:t>
      </w:r>
      <w:r w:rsidRPr="0041448B">
        <w:rPr>
          <w:rFonts w:ascii="Times New Roman" w:hAnsi="Times New Roman"/>
          <w:bCs/>
          <w:sz w:val="20"/>
          <w:szCs w:val="20"/>
        </w:rPr>
        <w:t>Pacific region</w:t>
      </w:r>
      <w:r w:rsidR="0041448B">
        <w:rPr>
          <w:rFonts w:ascii="Times New Roman" w:hAnsi="Times New Roman"/>
          <w:bCs/>
          <w:sz w:val="20"/>
          <w:szCs w:val="20"/>
        </w:rPr>
        <w:t>,</w:t>
      </w:r>
      <w:r w:rsidRPr="0041448B">
        <w:rPr>
          <w:rFonts w:ascii="Times New Roman" w:hAnsi="Times New Roman"/>
          <w:bCs/>
          <w:sz w:val="20"/>
          <w:szCs w:val="20"/>
        </w:rPr>
        <w:t xml:space="preserve"> </w:t>
      </w:r>
      <w:r w:rsidRPr="0041448B">
        <w:rPr>
          <w:rFonts w:ascii="Times New Roman" w:hAnsi="Times New Roman"/>
          <w:sz w:val="20"/>
          <w:szCs w:val="20"/>
        </w:rPr>
        <w:t>the #90drills</w:t>
      </w:r>
      <w:r w:rsidR="0041448B">
        <w:rPr>
          <w:rFonts w:ascii="Times New Roman" w:hAnsi="Times New Roman"/>
          <w:sz w:val="20"/>
          <w:szCs w:val="20"/>
        </w:rPr>
        <w:t xml:space="preserve"> project</w:t>
      </w:r>
      <w:r w:rsidRPr="0041448B">
        <w:rPr>
          <w:rFonts w:ascii="Times New Roman" w:hAnsi="Times New Roman"/>
          <w:sz w:val="20"/>
          <w:szCs w:val="20"/>
        </w:rPr>
        <w:t xml:space="preserve"> raised awareness and fostered tsunami preparedness in 90 schools in 18 participating countries, reaching more than 33,000 students, teachers and administrators. </w:t>
      </w:r>
      <w:r w:rsidRPr="0041448B">
        <w:rPr>
          <w:rFonts w:ascii="Times New Roman" w:hAnsi="Times New Roman"/>
          <w:color w:val="000000"/>
          <w:sz w:val="20"/>
          <w:szCs w:val="20"/>
        </w:rPr>
        <w:t xml:space="preserve">In Kenya, </w:t>
      </w:r>
      <w:r w:rsidR="0041448B">
        <w:rPr>
          <w:rFonts w:ascii="Times New Roman" w:hAnsi="Times New Roman"/>
          <w:color w:val="000000"/>
          <w:sz w:val="20"/>
          <w:szCs w:val="20"/>
        </w:rPr>
        <w:t>e</w:t>
      </w:r>
      <w:r w:rsidR="0041448B" w:rsidRPr="0041448B">
        <w:rPr>
          <w:rFonts w:ascii="Times New Roman" w:hAnsi="Times New Roman"/>
          <w:color w:val="000000"/>
          <w:sz w:val="20"/>
          <w:szCs w:val="20"/>
        </w:rPr>
        <w:t xml:space="preserve">arly </w:t>
      </w:r>
      <w:r w:rsidR="0041448B">
        <w:rPr>
          <w:rFonts w:ascii="Times New Roman" w:hAnsi="Times New Roman"/>
          <w:color w:val="000000"/>
          <w:sz w:val="20"/>
          <w:szCs w:val="20"/>
        </w:rPr>
        <w:t>w</w:t>
      </w:r>
      <w:r w:rsidR="0041448B" w:rsidRPr="0041448B">
        <w:rPr>
          <w:rFonts w:ascii="Times New Roman" w:hAnsi="Times New Roman"/>
          <w:color w:val="000000"/>
          <w:sz w:val="20"/>
          <w:szCs w:val="20"/>
        </w:rPr>
        <w:t xml:space="preserve">arning </w:t>
      </w:r>
      <w:r w:rsidRPr="0041448B">
        <w:rPr>
          <w:rFonts w:ascii="Times New Roman" w:hAnsi="Times New Roman"/>
          <w:color w:val="000000"/>
          <w:sz w:val="20"/>
          <w:szCs w:val="20"/>
        </w:rPr>
        <w:t xml:space="preserve">and </w:t>
      </w:r>
      <w:r w:rsidR="0041448B">
        <w:rPr>
          <w:rFonts w:ascii="Times New Roman" w:hAnsi="Times New Roman"/>
          <w:color w:val="000000"/>
          <w:sz w:val="20"/>
          <w:szCs w:val="20"/>
        </w:rPr>
        <w:t>r</w:t>
      </w:r>
      <w:r w:rsidR="0041448B" w:rsidRPr="0041448B">
        <w:rPr>
          <w:rFonts w:ascii="Times New Roman" w:hAnsi="Times New Roman"/>
          <w:color w:val="000000"/>
          <w:sz w:val="20"/>
          <w:szCs w:val="20"/>
        </w:rPr>
        <w:t xml:space="preserve">esponse </w:t>
      </w:r>
      <w:r w:rsidR="0041448B">
        <w:rPr>
          <w:rFonts w:ascii="Times New Roman" w:hAnsi="Times New Roman"/>
          <w:color w:val="000000"/>
          <w:sz w:val="20"/>
          <w:szCs w:val="20"/>
        </w:rPr>
        <w:t>s</w:t>
      </w:r>
      <w:r w:rsidR="0041448B" w:rsidRPr="0041448B">
        <w:rPr>
          <w:rFonts w:ascii="Times New Roman" w:hAnsi="Times New Roman"/>
          <w:color w:val="000000"/>
          <w:sz w:val="20"/>
          <w:szCs w:val="20"/>
        </w:rPr>
        <w:t xml:space="preserve">ystems </w:t>
      </w:r>
      <w:r w:rsidRPr="0041448B">
        <w:rPr>
          <w:rFonts w:ascii="Times New Roman" w:hAnsi="Times New Roman"/>
          <w:color w:val="000000"/>
          <w:sz w:val="20"/>
          <w:szCs w:val="20"/>
        </w:rPr>
        <w:t>were established in 23 counties, result</w:t>
      </w:r>
      <w:r w:rsidR="0041448B">
        <w:rPr>
          <w:rFonts w:ascii="Times New Roman" w:hAnsi="Times New Roman"/>
          <w:color w:val="000000"/>
          <w:sz w:val="20"/>
          <w:szCs w:val="20"/>
        </w:rPr>
        <w:t>ing</w:t>
      </w:r>
      <w:r w:rsidRPr="0041448B">
        <w:rPr>
          <w:rFonts w:ascii="Times New Roman" w:hAnsi="Times New Roman"/>
          <w:color w:val="000000"/>
          <w:sz w:val="20"/>
          <w:szCs w:val="20"/>
        </w:rPr>
        <w:t xml:space="preserve"> in 1,500 households (379,000 beneficiaries) </w:t>
      </w:r>
      <w:r w:rsidR="0041448B" w:rsidRPr="0041448B">
        <w:rPr>
          <w:rFonts w:ascii="Times New Roman" w:hAnsi="Times New Roman"/>
          <w:color w:val="000000"/>
          <w:sz w:val="20"/>
          <w:szCs w:val="20"/>
        </w:rPr>
        <w:t>benefit</w:t>
      </w:r>
      <w:r w:rsidR="0041448B">
        <w:rPr>
          <w:rFonts w:ascii="Times New Roman" w:hAnsi="Times New Roman"/>
          <w:color w:val="000000"/>
          <w:sz w:val="20"/>
          <w:szCs w:val="20"/>
        </w:rPr>
        <w:t>ing</w:t>
      </w:r>
      <w:r w:rsidR="0041448B" w:rsidRPr="0041448B">
        <w:rPr>
          <w:rFonts w:ascii="Times New Roman" w:hAnsi="Times New Roman"/>
          <w:color w:val="000000"/>
          <w:sz w:val="20"/>
          <w:szCs w:val="20"/>
        </w:rPr>
        <w:t xml:space="preserve"> </w:t>
      </w:r>
      <w:r w:rsidRPr="0041448B">
        <w:rPr>
          <w:rFonts w:ascii="Times New Roman" w:hAnsi="Times New Roman"/>
          <w:color w:val="000000"/>
          <w:sz w:val="20"/>
          <w:szCs w:val="20"/>
        </w:rPr>
        <w:t xml:space="preserve">from subnational resilience to climatic and other shocks. </w:t>
      </w:r>
    </w:p>
    <w:p w:rsidR="00D6176C" w:rsidRPr="00D54000" w:rsidRDefault="00D6176C" w:rsidP="00D54000">
      <w:pPr>
        <w:tabs>
          <w:tab w:val="left" w:pos="1080"/>
        </w:tabs>
        <w:spacing w:after="0" w:line="240" w:lineRule="auto"/>
        <w:jc w:val="both"/>
        <w:rPr>
          <w:rFonts w:ascii="Times New Roman" w:hAnsi="Times New Roman"/>
          <w:color w:val="000000"/>
          <w:sz w:val="12"/>
          <w:szCs w:val="12"/>
        </w:rPr>
      </w:pPr>
    </w:p>
    <w:bookmarkEnd w:id="7"/>
    <w:p w:rsidR="00D6176C" w:rsidRPr="007213BA" w:rsidRDefault="00D6176C" w:rsidP="00D54000">
      <w:pPr>
        <w:pStyle w:val="ListParagraph"/>
        <w:numPr>
          <w:ilvl w:val="0"/>
          <w:numId w:val="11"/>
        </w:numPr>
        <w:tabs>
          <w:tab w:val="left" w:pos="1080"/>
        </w:tabs>
        <w:spacing w:after="0" w:line="240" w:lineRule="auto"/>
        <w:ind w:firstLine="0"/>
        <w:jc w:val="both"/>
        <w:rPr>
          <w:rFonts w:ascii="Times New Roman" w:hAnsi="Times New Roman"/>
          <w:sz w:val="20"/>
          <w:szCs w:val="20"/>
        </w:rPr>
      </w:pPr>
      <w:r w:rsidRPr="0041448B">
        <w:rPr>
          <w:rFonts w:ascii="Times New Roman" w:hAnsi="Times New Roman"/>
          <w:sz w:val="20"/>
          <w:szCs w:val="20"/>
        </w:rPr>
        <w:t xml:space="preserve">UNDP supported 30 countries in consensus-building measures. In Togo, UNDP supported women </w:t>
      </w:r>
      <w:r w:rsidRPr="007213BA">
        <w:rPr>
          <w:rFonts w:ascii="Times New Roman" w:hAnsi="Times New Roman"/>
          <w:sz w:val="20"/>
          <w:szCs w:val="20"/>
        </w:rPr>
        <w:t>mediators in 37 local peace committees that were established across the country to prevent the escalation of violen</w:t>
      </w:r>
      <w:r>
        <w:rPr>
          <w:rFonts w:ascii="Times New Roman" w:hAnsi="Times New Roman"/>
          <w:sz w:val="20"/>
          <w:szCs w:val="20"/>
        </w:rPr>
        <w:t>ce</w:t>
      </w:r>
      <w:r w:rsidRPr="007213BA">
        <w:rPr>
          <w:rFonts w:ascii="Times New Roman" w:hAnsi="Times New Roman"/>
          <w:sz w:val="20"/>
          <w:szCs w:val="20"/>
        </w:rPr>
        <w:t>. Overall, efforts resulted in a significant improvement of women’s engagement in decision</w:t>
      </w:r>
      <w:r w:rsidR="0041448B">
        <w:rPr>
          <w:rFonts w:ascii="Times New Roman" w:hAnsi="Times New Roman"/>
          <w:sz w:val="20"/>
          <w:szCs w:val="20"/>
        </w:rPr>
        <w:t>-</w:t>
      </w:r>
      <w:r w:rsidRPr="007213BA">
        <w:rPr>
          <w:rFonts w:ascii="Times New Roman" w:hAnsi="Times New Roman"/>
          <w:sz w:val="20"/>
          <w:szCs w:val="20"/>
        </w:rPr>
        <w:t>making, mediation and other conflict</w:t>
      </w:r>
      <w:r w:rsidR="00712605">
        <w:rPr>
          <w:rFonts w:ascii="Times New Roman" w:hAnsi="Times New Roman"/>
          <w:sz w:val="20"/>
          <w:szCs w:val="20"/>
        </w:rPr>
        <w:t>-</w:t>
      </w:r>
      <w:r w:rsidRPr="007213BA">
        <w:rPr>
          <w:rFonts w:ascii="Times New Roman" w:hAnsi="Times New Roman"/>
          <w:sz w:val="20"/>
          <w:szCs w:val="20"/>
        </w:rPr>
        <w:t>prevention processes at the local and national level</w:t>
      </w:r>
      <w:r>
        <w:rPr>
          <w:rFonts w:ascii="Times New Roman" w:hAnsi="Times New Roman"/>
          <w:sz w:val="20"/>
          <w:szCs w:val="20"/>
        </w:rPr>
        <w:t>s</w:t>
      </w:r>
      <w:r w:rsidRPr="007213BA">
        <w:rPr>
          <w:rFonts w:ascii="Times New Roman" w:hAnsi="Times New Roman"/>
          <w:sz w:val="20"/>
          <w:szCs w:val="20"/>
        </w:rPr>
        <w:t>.</w:t>
      </w:r>
    </w:p>
    <w:p w:rsidR="00D6176C" w:rsidRPr="00D54000" w:rsidRDefault="00D6176C" w:rsidP="00D54000">
      <w:pPr>
        <w:tabs>
          <w:tab w:val="left" w:pos="1080"/>
        </w:tabs>
        <w:spacing w:after="0" w:line="240" w:lineRule="auto"/>
        <w:jc w:val="both"/>
        <w:rPr>
          <w:rFonts w:ascii="Times New Roman" w:hAnsi="Times New Roman"/>
          <w:sz w:val="12"/>
          <w:szCs w:val="12"/>
        </w:rPr>
      </w:pPr>
    </w:p>
    <w:p w:rsidR="00D6176C" w:rsidRPr="00CF6801" w:rsidRDefault="00D6176C" w:rsidP="00D54000">
      <w:pPr>
        <w:pStyle w:val="ListParagraph"/>
        <w:numPr>
          <w:ilvl w:val="0"/>
          <w:numId w:val="11"/>
        </w:numPr>
        <w:tabs>
          <w:tab w:val="left" w:pos="1080"/>
        </w:tabs>
        <w:spacing w:after="0" w:line="240" w:lineRule="auto"/>
        <w:ind w:firstLine="0"/>
        <w:jc w:val="both"/>
        <w:rPr>
          <w:rFonts w:ascii="Times New Roman" w:hAnsi="Times New Roman"/>
          <w:sz w:val="20"/>
          <w:szCs w:val="20"/>
        </w:rPr>
      </w:pPr>
      <w:r w:rsidRPr="0041448B">
        <w:rPr>
          <w:rFonts w:ascii="Times New Roman" w:hAnsi="Times New Roman"/>
          <w:sz w:val="20"/>
          <w:szCs w:val="20"/>
        </w:rPr>
        <w:t xml:space="preserve">UNDP </w:t>
      </w:r>
      <w:r w:rsidR="00B528FF">
        <w:rPr>
          <w:rFonts w:ascii="Times New Roman" w:hAnsi="Times New Roman"/>
          <w:sz w:val="20"/>
          <w:szCs w:val="20"/>
        </w:rPr>
        <w:t xml:space="preserve">also </w:t>
      </w:r>
      <w:r w:rsidRPr="0041448B">
        <w:rPr>
          <w:rFonts w:ascii="Times New Roman" w:hAnsi="Times New Roman"/>
          <w:sz w:val="20"/>
          <w:szCs w:val="20"/>
        </w:rPr>
        <w:t>supported conflict prevention, working with 25 countries to improve sustainable national and local human and financial capacities to address emerging and/or recurring conflicts. Efforts included helping</w:t>
      </w:r>
      <w:r w:rsidR="00712605">
        <w:rPr>
          <w:rFonts w:ascii="Times New Roman" w:hAnsi="Times New Roman"/>
          <w:sz w:val="20"/>
          <w:szCs w:val="20"/>
        </w:rPr>
        <w:t xml:space="preserve"> to</w:t>
      </w:r>
      <w:r w:rsidRPr="0041448B">
        <w:rPr>
          <w:rFonts w:ascii="Times New Roman" w:hAnsi="Times New Roman"/>
          <w:sz w:val="20"/>
          <w:szCs w:val="20"/>
        </w:rPr>
        <w:t xml:space="preserve"> address the root causes of violent extremism. In Malawi, a joint </w:t>
      </w:r>
      <w:r w:rsidR="0041448B">
        <w:rPr>
          <w:rFonts w:ascii="Times New Roman" w:hAnsi="Times New Roman"/>
          <w:sz w:val="20"/>
          <w:szCs w:val="20"/>
        </w:rPr>
        <w:t xml:space="preserve">programme supported by </w:t>
      </w:r>
      <w:r w:rsidRPr="0041448B">
        <w:rPr>
          <w:rFonts w:ascii="Times New Roman" w:hAnsi="Times New Roman"/>
          <w:sz w:val="20"/>
          <w:szCs w:val="20"/>
        </w:rPr>
        <w:t>UNDP</w:t>
      </w:r>
      <w:r w:rsidR="0041448B">
        <w:rPr>
          <w:rFonts w:ascii="Times New Roman" w:hAnsi="Times New Roman"/>
          <w:sz w:val="20"/>
          <w:szCs w:val="20"/>
        </w:rPr>
        <w:t xml:space="preserve"> and the United Nations Department of Political Affairs </w:t>
      </w:r>
      <w:r w:rsidRPr="0041448B">
        <w:rPr>
          <w:rFonts w:ascii="Times New Roman" w:hAnsi="Times New Roman"/>
          <w:sz w:val="20"/>
          <w:szCs w:val="20"/>
        </w:rPr>
        <w:t xml:space="preserve">assisted the </w:t>
      </w:r>
      <w:r w:rsidR="00982DA0">
        <w:rPr>
          <w:rFonts w:ascii="Times New Roman" w:hAnsi="Times New Roman"/>
          <w:sz w:val="20"/>
          <w:szCs w:val="20"/>
        </w:rPr>
        <w:t>G</w:t>
      </w:r>
      <w:r w:rsidR="00982DA0" w:rsidRPr="0041448B">
        <w:rPr>
          <w:rFonts w:ascii="Times New Roman" w:hAnsi="Times New Roman"/>
          <w:sz w:val="20"/>
          <w:szCs w:val="20"/>
        </w:rPr>
        <w:t xml:space="preserve">overnment </w:t>
      </w:r>
      <w:r w:rsidRPr="0041448B">
        <w:rPr>
          <w:rFonts w:ascii="Times New Roman" w:hAnsi="Times New Roman"/>
          <w:sz w:val="20"/>
          <w:szCs w:val="20"/>
        </w:rPr>
        <w:t xml:space="preserve">in establishing a National Peace Architecture, launching the National Peace Policy and creating processes that enabled women and youth to play a constructive role in monitoring and mediating conflict. </w:t>
      </w:r>
      <w:r w:rsidRPr="0041448B">
        <w:rPr>
          <w:rFonts w:ascii="Times New Roman" w:hAnsi="Times New Roman"/>
          <w:bCs/>
          <w:sz w:val="20"/>
          <w:szCs w:val="20"/>
        </w:rPr>
        <w:t xml:space="preserve">Given its transboundary nature, UNDP undertook a landmark study on the root causes of violent extremism, </w:t>
      </w:r>
      <w:hyperlink r:id="rId16" w:history="1">
        <w:r w:rsidRPr="00EC14B7">
          <w:rPr>
            <w:rStyle w:val="Hyperlink"/>
            <w:rFonts w:ascii="Times New Roman" w:hAnsi="Times New Roman"/>
            <w:bCs/>
            <w:i/>
            <w:sz w:val="20"/>
            <w:szCs w:val="20"/>
          </w:rPr>
          <w:t>Journey to Extremism in Africa</w:t>
        </w:r>
      </w:hyperlink>
      <w:r w:rsidRPr="0041448B">
        <w:rPr>
          <w:rFonts w:ascii="Times New Roman" w:hAnsi="Times New Roman"/>
          <w:bCs/>
          <w:sz w:val="20"/>
          <w:szCs w:val="20"/>
        </w:rPr>
        <w:t xml:space="preserve">, which drew substantial attention from global </w:t>
      </w:r>
      <w:r w:rsidRPr="00CF6801">
        <w:rPr>
          <w:rFonts w:ascii="Times New Roman" w:hAnsi="Times New Roman"/>
          <w:bCs/>
          <w:sz w:val="20"/>
          <w:szCs w:val="20"/>
        </w:rPr>
        <w:t xml:space="preserve">media, reaching 450 million </w:t>
      </w:r>
      <w:r>
        <w:rPr>
          <w:rFonts w:ascii="Times New Roman" w:hAnsi="Times New Roman"/>
          <w:bCs/>
          <w:sz w:val="20"/>
          <w:szCs w:val="20"/>
        </w:rPr>
        <w:t>people</w:t>
      </w:r>
      <w:r w:rsidRPr="00CF6801">
        <w:rPr>
          <w:rFonts w:ascii="Times New Roman" w:hAnsi="Times New Roman"/>
          <w:bCs/>
          <w:sz w:val="20"/>
          <w:szCs w:val="20"/>
        </w:rPr>
        <w:t xml:space="preserve"> worldwide. </w:t>
      </w:r>
      <w:r>
        <w:rPr>
          <w:rFonts w:ascii="Times New Roman" w:hAnsi="Times New Roman"/>
          <w:bCs/>
          <w:sz w:val="20"/>
          <w:szCs w:val="20"/>
        </w:rPr>
        <w:t>B</w:t>
      </w:r>
      <w:r w:rsidRPr="00CF6801">
        <w:rPr>
          <w:rFonts w:ascii="Times New Roman" w:hAnsi="Times New Roman"/>
          <w:bCs/>
          <w:sz w:val="20"/>
          <w:szCs w:val="20"/>
        </w:rPr>
        <w:t>ased on interviews with recruits</w:t>
      </w:r>
      <w:r>
        <w:rPr>
          <w:rFonts w:ascii="Times New Roman" w:hAnsi="Times New Roman"/>
          <w:bCs/>
          <w:sz w:val="20"/>
          <w:szCs w:val="20"/>
        </w:rPr>
        <w:t>, t</w:t>
      </w:r>
      <w:r w:rsidRPr="00CF6801">
        <w:rPr>
          <w:rFonts w:ascii="Times New Roman" w:hAnsi="Times New Roman"/>
          <w:bCs/>
          <w:sz w:val="20"/>
          <w:szCs w:val="20"/>
        </w:rPr>
        <w:t xml:space="preserve">he report identified </w:t>
      </w:r>
      <w:r>
        <w:rPr>
          <w:rFonts w:ascii="Times New Roman" w:hAnsi="Times New Roman"/>
          <w:bCs/>
          <w:sz w:val="20"/>
          <w:szCs w:val="20"/>
        </w:rPr>
        <w:t>reasons why individuals</w:t>
      </w:r>
      <w:r w:rsidRPr="00CF6801">
        <w:rPr>
          <w:rFonts w:ascii="Times New Roman" w:hAnsi="Times New Roman"/>
          <w:bCs/>
          <w:sz w:val="20"/>
          <w:szCs w:val="20"/>
        </w:rPr>
        <w:t xml:space="preserve"> join radical groups. The report was </w:t>
      </w:r>
      <w:r>
        <w:rPr>
          <w:rFonts w:ascii="Times New Roman" w:hAnsi="Times New Roman"/>
          <w:bCs/>
          <w:sz w:val="20"/>
          <w:szCs w:val="20"/>
        </w:rPr>
        <w:t>digitized</w:t>
      </w:r>
      <w:r w:rsidRPr="00CF6801">
        <w:rPr>
          <w:rFonts w:ascii="Times New Roman" w:hAnsi="Times New Roman"/>
          <w:bCs/>
          <w:sz w:val="20"/>
          <w:szCs w:val="20"/>
        </w:rPr>
        <w:t xml:space="preserve">, </w:t>
      </w:r>
      <w:r>
        <w:rPr>
          <w:rFonts w:ascii="Times New Roman" w:hAnsi="Times New Roman"/>
          <w:bCs/>
          <w:sz w:val="20"/>
          <w:szCs w:val="20"/>
        </w:rPr>
        <w:t xml:space="preserve">and promoted through </w:t>
      </w:r>
      <w:r w:rsidRPr="00CF6801">
        <w:rPr>
          <w:rFonts w:ascii="Times New Roman" w:hAnsi="Times New Roman"/>
          <w:bCs/>
          <w:sz w:val="20"/>
          <w:szCs w:val="20"/>
        </w:rPr>
        <w:t xml:space="preserve">a video series, an exhibit at the </w:t>
      </w:r>
      <w:r w:rsidRPr="00424CD4">
        <w:rPr>
          <w:rFonts w:ascii="Times New Roman" w:hAnsi="Times New Roman"/>
          <w:bCs/>
          <w:sz w:val="20"/>
          <w:szCs w:val="20"/>
        </w:rPr>
        <w:t>Photoville Festival</w:t>
      </w:r>
      <w:r>
        <w:rPr>
          <w:rFonts w:ascii="Times New Roman" w:hAnsi="Times New Roman"/>
          <w:bCs/>
          <w:sz w:val="20"/>
          <w:szCs w:val="20"/>
        </w:rPr>
        <w:t xml:space="preserve"> </w:t>
      </w:r>
      <w:r w:rsidRPr="00CF6801">
        <w:rPr>
          <w:rFonts w:ascii="Times New Roman" w:hAnsi="Times New Roman"/>
          <w:bCs/>
          <w:sz w:val="20"/>
          <w:szCs w:val="20"/>
        </w:rPr>
        <w:t xml:space="preserve">and a website featuring stories from survivors of extremist violence. </w:t>
      </w:r>
    </w:p>
    <w:p w:rsidR="00D6176C" w:rsidRPr="00E47ED4" w:rsidRDefault="00D6176C" w:rsidP="00D6176C">
      <w:pPr>
        <w:spacing w:after="0" w:line="240" w:lineRule="auto"/>
        <w:jc w:val="both"/>
        <w:rPr>
          <w:rFonts w:ascii="Times New Roman" w:hAnsi="Times New Roman"/>
          <w:sz w:val="20"/>
          <w:szCs w:val="20"/>
        </w:rPr>
      </w:pPr>
    </w:p>
    <w:p w:rsidR="00D6176C" w:rsidRPr="003F5460" w:rsidRDefault="00D6176C" w:rsidP="00684775">
      <w:pPr>
        <w:pStyle w:val="ListParagraph"/>
        <w:widowControl w:val="0"/>
        <w:tabs>
          <w:tab w:val="left" w:pos="360"/>
        </w:tabs>
        <w:spacing w:after="120" w:line="240" w:lineRule="auto"/>
        <w:ind w:left="0"/>
        <w:jc w:val="both"/>
        <w:rPr>
          <w:rFonts w:ascii="Times New Roman" w:hAnsi="Times New Roman"/>
          <w:b/>
          <w:sz w:val="24"/>
          <w:szCs w:val="20"/>
        </w:rPr>
      </w:pPr>
      <w:r w:rsidRPr="003F5460">
        <w:rPr>
          <w:rFonts w:ascii="Times New Roman" w:hAnsi="Times New Roman"/>
          <w:b/>
          <w:sz w:val="24"/>
          <w:szCs w:val="20"/>
        </w:rPr>
        <w:t xml:space="preserve">Outcome 6. Early recovery and rapid return to sustainable development pathways </w:t>
      </w:r>
    </w:p>
    <w:tbl>
      <w:tblPr>
        <w:tblW w:w="94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1"/>
        <w:gridCol w:w="1847"/>
        <w:gridCol w:w="943"/>
        <w:gridCol w:w="943"/>
        <w:gridCol w:w="943"/>
        <w:gridCol w:w="988"/>
        <w:gridCol w:w="988"/>
        <w:gridCol w:w="1165"/>
        <w:gridCol w:w="1165"/>
      </w:tblGrid>
      <w:tr w:rsidR="00D6176C" w:rsidRPr="00EE7DC1" w:rsidTr="005B6C71">
        <w:trPr>
          <w:trHeight w:val="303"/>
        </w:trPr>
        <w:tc>
          <w:tcPr>
            <w:tcW w:w="2278" w:type="dxa"/>
            <w:gridSpan w:val="2"/>
            <w:vMerge w:val="restart"/>
            <w:tcBorders>
              <w:top w:val="single" w:sz="12" w:space="0" w:color="auto"/>
            </w:tcBorders>
            <w:shd w:val="clear" w:color="auto" w:fill="F3F3F3"/>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Output</w:t>
            </w:r>
          </w:p>
        </w:tc>
        <w:tc>
          <w:tcPr>
            <w:tcW w:w="3817" w:type="dxa"/>
            <w:gridSpan w:val="4"/>
            <w:tcBorders>
              <w:top w:val="single" w:sz="12" w:space="0" w:color="auto"/>
              <w:bottom w:val="single" w:sz="8" w:space="0" w:color="auto"/>
            </w:tcBorders>
            <w:shd w:val="clear" w:color="auto" w:fill="F3F3F3"/>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Performance against milestones</w:t>
            </w:r>
          </w:p>
        </w:tc>
        <w:tc>
          <w:tcPr>
            <w:tcW w:w="988" w:type="dxa"/>
            <w:vMerge w:val="restart"/>
            <w:tcBorders>
              <w:top w:val="single" w:sz="12" w:space="0" w:color="auto"/>
            </w:tcBorders>
            <w:shd w:val="clear" w:color="auto" w:fill="F3F3F3"/>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Number of countries supported</w:t>
            </w:r>
          </w:p>
        </w:tc>
        <w:tc>
          <w:tcPr>
            <w:tcW w:w="1165" w:type="dxa"/>
            <w:vMerge w:val="restart"/>
            <w:tcBorders>
              <w:top w:val="single" w:sz="12"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Proportion of countries achieved target</w:t>
            </w:r>
          </w:p>
        </w:tc>
        <w:tc>
          <w:tcPr>
            <w:tcW w:w="1165" w:type="dxa"/>
            <w:vMerge w:val="restart"/>
            <w:tcBorders>
              <w:top w:val="single" w:sz="12" w:space="0" w:color="auto"/>
            </w:tcBorders>
            <w:shd w:val="clear" w:color="auto" w:fill="F3F3F3"/>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2017 gender performance vs. overall</w:t>
            </w:r>
          </w:p>
        </w:tc>
      </w:tr>
      <w:tr w:rsidR="00D6176C" w:rsidRPr="00EE7DC1" w:rsidTr="005B6C71">
        <w:trPr>
          <w:trHeight w:val="340"/>
        </w:trPr>
        <w:tc>
          <w:tcPr>
            <w:tcW w:w="2278" w:type="dxa"/>
            <w:gridSpan w:val="2"/>
            <w:vMerge/>
            <w:tcBorders>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p>
        </w:tc>
        <w:tc>
          <w:tcPr>
            <w:tcW w:w="943" w:type="dxa"/>
            <w:tcBorders>
              <w:top w:val="single" w:sz="8" w:space="0" w:color="auto"/>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2014</w:t>
            </w:r>
          </w:p>
        </w:tc>
        <w:tc>
          <w:tcPr>
            <w:tcW w:w="943" w:type="dxa"/>
            <w:tcBorders>
              <w:top w:val="single" w:sz="8" w:space="0" w:color="auto"/>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2015</w:t>
            </w:r>
          </w:p>
        </w:tc>
        <w:tc>
          <w:tcPr>
            <w:tcW w:w="943" w:type="dxa"/>
            <w:tcBorders>
              <w:top w:val="single" w:sz="8" w:space="0" w:color="auto"/>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2016</w:t>
            </w:r>
          </w:p>
        </w:tc>
        <w:tc>
          <w:tcPr>
            <w:tcW w:w="988" w:type="dxa"/>
            <w:tcBorders>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2017</w:t>
            </w:r>
          </w:p>
        </w:tc>
        <w:tc>
          <w:tcPr>
            <w:tcW w:w="988" w:type="dxa"/>
            <w:vMerge/>
            <w:tcBorders>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p>
        </w:tc>
        <w:tc>
          <w:tcPr>
            <w:tcW w:w="1165" w:type="dxa"/>
            <w:vMerge/>
            <w:tcBorders>
              <w:bottom w:val="single" w:sz="6" w:space="0" w:color="auto"/>
            </w:tcBorders>
            <w:shd w:val="clear" w:color="auto" w:fill="F3F3F3"/>
          </w:tcPr>
          <w:p w:rsidR="00D6176C" w:rsidRPr="00EE7DC1" w:rsidRDefault="00D6176C" w:rsidP="005B6C71">
            <w:pPr>
              <w:spacing w:after="0"/>
              <w:jc w:val="center"/>
              <w:rPr>
                <w:rFonts w:ascii="Times New Roman" w:eastAsia="Times New Roman" w:hAnsi="Times New Roman"/>
                <w:b/>
                <w:bCs/>
                <w:sz w:val="16"/>
                <w:szCs w:val="16"/>
              </w:rPr>
            </w:pPr>
          </w:p>
        </w:tc>
        <w:tc>
          <w:tcPr>
            <w:tcW w:w="1165" w:type="dxa"/>
            <w:vMerge/>
            <w:tcBorders>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p>
        </w:tc>
      </w:tr>
      <w:tr w:rsidR="00D6176C" w:rsidRPr="00EE7DC1" w:rsidTr="005B6C71">
        <w:trPr>
          <w:trHeight w:val="255"/>
        </w:trPr>
        <w:tc>
          <w:tcPr>
            <w:tcW w:w="431" w:type="dxa"/>
            <w:tcBorders>
              <w:top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6.1</w:t>
            </w:r>
          </w:p>
        </w:tc>
        <w:tc>
          <w:tcPr>
            <w:tcW w:w="1847" w:type="dxa"/>
            <w:tcBorders>
              <w:top w:val="single" w:sz="6" w:space="0" w:color="auto"/>
            </w:tcBorders>
            <w:shd w:val="clear" w:color="auto" w:fill="auto"/>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hAnsi="Times New Roman"/>
                <w:sz w:val="16"/>
                <w:szCs w:val="16"/>
              </w:rPr>
              <w:t>Early economic revitalization</w:t>
            </w:r>
          </w:p>
        </w:tc>
        <w:tc>
          <w:tcPr>
            <w:tcW w:w="943" w:type="dxa"/>
            <w:tcBorders>
              <w:top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139%</w:t>
            </w:r>
          </w:p>
        </w:tc>
        <w:tc>
          <w:tcPr>
            <w:tcW w:w="943" w:type="dxa"/>
            <w:tcBorders>
              <w:top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103%</w:t>
            </w:r>
          </w:p>
        </w:tc>
        <w:tc>
          <w:tcPr>
            <w:tcW w:w="943" w:type="dxa"/>
            <w:tcBorders>
              <w:top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127%</w:t>
            </w:r>
          </w:p>
        </w:tc>
        <w:tc>
          <w:tcPr>
            <w:tcW w:w="988" w:type="dxa"/>
            <w:tcBorders>
              <w:top w:val="single" w:sz="6" w:space="0" w:color="auto"/>
            </w:tcBorders>
            <w:shd w:val="clear" w:color="auto" w:fill="92D05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168%</w:t>
            </w:r>
          </w:p>
        </w:tc>
        <w:tc>
          <w:tcPr>
            <w:tcW w:w="988" w:type="dxa"/>
            <w:tcBorders>
              <w:top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30</w:t>
            </w:r>
          </w:p>
        </w:tc>
        <w:tc>
          <w:tcPr>
            <w:tcW w:w="1165" w:type="dxa"/>
            <w:tcBorders>
              <w:top w:val="single" w:sz="6" w:space="0" w:color="auto"/>
            </w:tcBorders>
            <w:vAlign w:val="center"/>
          </w:tcPr>
          <w:p w:rsidR="00D6176C" w:rsidRPr="00EE7DC1" w:rsidRDefault="00D6176C" w:rsidP="005B6C71">
            <w:pPr>
              <w:spacing w:after="0"/>
              <w:jc w:val="center"/>
              <w:rPr>
                <w:rFonts w:ascii="Times New Roman" w:eastAsia="Times New Roman" w:hAnsi="Times New Roman"/>
                <w:b/>
                <w:iCs/>
                <w:color w:val="008000"/>
                <w:sz w:val="16"/>
                <w:szCs w:val="16"/>
              </w:rPr>
            </w:pPr>
            <w:r w:rsidRPr="00EE7DC1">
              <w:rPr>
                <w:rFonts w:ascii="Times New Roman" w:hAnsi="Times New Roman"/>
                <w:sz w:val="16"/>
                <w:szCs w:val="16"/>
              </w:rPr>
              <w:t>89%</w:t>
            </w:r>
          </w:p>
        </w:tc>
        <w:tc>
          <w:tcPr>
            <w:tcW w:w="1165" w:type="dxa"/>
            <w:tcBorders>
              <w:top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eastAsia="Times New Roman" w:hAnsi="Times New Roman"/>
                <w:b/>
                <w:iCs/>
                <w:color w:val="008000"/>
                <w:sz w:val="16"/>
                <w:szCs w:val="16"/>
              </w:rPr>
              <w:t>Higher</w:t>
            </w:r>
            <w:r w:rsidRPr="00EE7DC1">
              <w:rPr>
                <w:rFonts w:ascii="Times New Roman" w:eastAsia="Times New Roman" w:hAnsi="Times New Roman"/>
                <w:iCs/>
                <w:sz w:val="16"/>
                <w:szCs w:val="16"/>
              </w:rPr>
              <w:t xml:space="preserve"> (214%)</w:t>
            </w:r>
          </w:p>
        </w:tc>
      </w:tr>
      <w:tr w:rsidR="00D6176C" w:rsidRPr="00EE7DC1" w:rsidTr="005B6C71">
        <w:trPr>
          <w:trHeight w:val="255"/>
        </w:trPr>
        <w:tc>
          <w:tcPr>
            <w:tcW w:w="431"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6.2</w:t>
            </w:r>
          </w:p>
        </w:tc>
        <w:tc>
          <w:tcPr>
            <w:tcW w:w="1847" w:type="dxa"/>
            <w:shd w:val="clear" w:color="auto" w:fill="auto"/>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hAnsi="Times New Roman"/>
                <w:sz w:val="16"/>
                <w:szCs w:val="16"/>
              </w:rPr>
              <w:t>Capacities for early recovery efforts</w:t>
            </w:r>
          </w:p>
        </w:tc>
        <w:tc>
          <w:tcPr>
            <w:tcW w:w="943" w:type="dxa"/>
            <w:tcBorders>
              <w:bottom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100%</w:t>
            </w:r>
          </w:p>
        </w:tc>
        <w:tc>
          <w:tcPr>
            <w:tcW w:w="943" w:type="dxa"/>
            <w:tcBorders>
              <w:bottom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109%</w:t>
            </w:r>
          </w:p>
        </w:tc>
        <w:tc>
          <w:tcPr>
            <w:tcW w:w="943" w:type="dxa"/>
            <w:tcBorders>
              <w:bottom w:val="single" w:sz="6" w:space="0" w:color="auto"/>
            </w:tcBorders>
            <w:shd w:val="clear" w:color="000000" w:fill="FFC00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99%</w:t>
            </w:r>
          </w:p>
        </w:tc>
        <w:tc>
          <w:tcPr>
            <w:tcW w:w="988" w:type="dxa"/>
            <w:shd w:val="clear" w:color="auto" w:fill="FFC00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92%</w:t>
            </w:r>
          </w:p>
        </w:tc>
        <w:tc>
          <w:tcPr>
            <w:tcW w:w="988" w:type="dxa"/>
            <w:shd w:val="clear" w:color="auto" w:fill="auto"/>
            <w:noWrap/>
            <w:vAlign w:val="center"/>
            <w:hideMark/>
          </w:tcPr>
          <w:p w:rsidR="00D6176C" w:rsidRPr="00EE7DC1" w:rsidRDefault="00D434F0"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23</w:t>
            </w:r>
          </w:p>
        </w:tc>
        <w:tc>
          <w:tcPr>
            <w:tcW w:w="1165" w:type="dxa"/>
            <w:vAlign w:val="center"/>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hAnsi="Times New Roman"/>
                <w:sz w:val="16"/>
                <w:szCs w:val="16"/>
              </w:rPr>
              <w:t>88%</w:t>
            </w:r>
          </w:p>
        </w:tc>
        <w:tc>
          <w:tcPr>
            <w:tcW w:w="1165"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eastAsia="Times New Roman" w:hAnsi="Times New Roman"/>
                <w:iCs/>
                <w:sz w:val="16"/>
                <w:szCs w:val="16"/>
              </w:rPr>
              <w:t>n/a</w:t>
            </w:r>
          </w:p>
        </w:tc>
      </w:tr>
      <w:tr w:rsidR="00D6176C" w:rsidRPr="00EE7DC1" w:rsidTr="005B6C71">
        <w:trPr>
          <w:trHeight w:val="255"/>
        </w:trPr>
        <w:tc>
          <w:tcPr>
            <w:tcW w:w="431" w:type="dxa"/>
            <w:tcBorders>
              <w:bottom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6.3</w:t>
            </w:r>
          </w:p>
        </w:tc>
        <w:tc>
          <w:tcPr>
            <w:tcW w:w="1847" w:type="dxa"/>
            <w:tcBorders>
              <w:bottom w:val="single" w:sz="6" w:space="0" w:color="auto"/>
            </w:tcBorders>
            <w:shd w:val="clear" w:color="auto" w:fill="auto"/>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hAnsi="Times New Roman"/>
                <w:sz w:val="16"/>
                <w:szCs w:val="16"/>
              </w:rPr>
              <w:t>Innovative partnerships in early recovery</w:t>
            </w:r>
          </w:p>
        </w:tc>
        <w:tc>
          <w:tcPr>
            <w:tcW w:w="943" w:type="dxa"/>
            <w:tcBorders>
              <w:top w:val="single" w:sz="6" w:space="0" w:color="auto"/>
              <w:bottom w:val="single" w:sz="6" w:space="0" w:color="auto"/>
            </w:tcBorders>
            <w:shd w:val="clear" w:color="auto" w:fill="FFC00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85%</w:t>
            </w:r>
          </w:p>
        </w:tc>
        <w:tc>
          <w:tcPr>
            <w:tcW w:w="943" w:type="dxa"/>
            <w:tcBorders>
              <w:top w:val="single" w:sz="6" w:space="0" w:color="auto"/>
              <w:bottom w:val="single" w:sz="6" w:space="0" w:color="auto"/>
            </w:tcBorders>
            <w:shd w:val="clear" w:color="000000" w:fill="82CA3F"/>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103%</w:t>
            </w:r>
          </w:p>
        </w:tc>
        <w:tc>
          <w:tcPr>
            <w:tcW w:w="943" w:type="dxa"/>
            <w:tcBorders>
              <w:top w:val="single" w:sz="6" w:space="0" w:color="auto"/>
              <w:bottom w:val="single" w:sz="6" w:space="0" w:color="auto"/>
            </w:tcBorders>
            <w:shd w:val="clear" w:color="000000" w:fill="82CA3F"/>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139%</w:t>
            </w:r>
          </w:p>
        </w:tc>
        <w:tc>
          <w:tcPr>
            <w:tcW w:w="988" w:type="dxa"/>
            <w:tcBorders>
              <w:bottom w:val="single" w:sz="6" w:space="0" w:color="auto"/>
            </w:tcBorders>
            <w:shd w:val="clear" w:color="auto" w:fill="92D05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123%</w:t>
            </w:r>
          </w:p>
        </w:tc>
        <w:tc>
          <w:tcPr>
            <w:tcW w:w="988" w:type="dxa"/>
            <w:tcBorders>
              <w:bottom w:val="single" w:sz="6" w:space="0" w:color="auto"/>
            </w:tcBorders>
            <w:shd w:val="clear" w:color="auto" w:fill="auto"/>
            <w:noWrap/>
            <w:vAlign w:val="center"/>
            <w:hideMark/>
          </w:tcPr>
          <w:p w:rsidR="00D6176C" w:rsidRPr="00EE7DC1" w:rsidRDefault="00D434F0"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4</w:t>
            </w:r>
          </w:p>
        </w:tc>
        <w:tc>
          <w:tcPr>
            <w:tcW w:w="1165" w:type="dxa"/>
            <w:tcBorders>
              <w:bottom w:val="single" w:sz="6" w:space="0" w:color="auto"/>
            </w:tcBorders>
            <w:vAlign w:val="center"/>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hAnsi="Times New Roman"/>
                <w:sz w:val="16"/>
                <w:szCs w:val="16"/>
              </w:rPr>
              <w:t>50%</w:t>
            </w:r>
          </w:p>
        </w:tc>
        <w:tc>
          <w:tcPr>
            <w:tcW w:w="1165" w:type="dxa"/>
            <w:tcBorders>
              <w:bottom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eastAsia="Times New Roman" w:hAnsi="Times New Roman"/>
                <w:iCs/>
                <w:sz w:val="16"/>
                <w:szCs w:val="16"/>
              </w:rPr>
              <w:t>n/a</w:t>
            </w:r>
          </w:p>
        </w:tc>
      </w:tr>
      <w:tr w:rsidR="00D6176C" w:rsidRPr="00EE7DC1" w:rsidTr="005B6C71">
        <w:trPr>
          <w:trHeight w:val="255"/>
        </w:trPr>
        <w:tc>
          <w:tcPr>
            <w:tcW w:w="431" w:type="dxa"/>
            <w:tcBorders>
              <w:top w:val="single" w:sz="6" w:space="0" w:color="auto"/>
              <w:bottom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6.4</w:t>
            </w:r>
          </w:p>
        </w:tc>
        <w:tc>
          <w:tcPr>
            <w:tcW w:w="1847" w:type="dxa"/>
            <w:tcBorders>
              <w:top w:val="single" w:sz="6" w:space="0" w:color="auto"/>
              <w:bottom w:val="single" w:sz="6" w:space="0" w:color="auto"/>
            </w:tcBorders>
            <w:shd w:val="clear" w:color="auto" w:fill="auto"/>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hAnsi="Times New Roman"/>
                <w:sz w:val="16"/>
                <w:szCs w:val="16"/>
              </w:rPr>
              <w:t>Social cohesion and trust</w:t>
            </w:r>
          </w:p>
        </w:tc>
        <w:tc>
          <w:tcPr>
            <w:tcW w:w="943" w:type="dxa"/>
            <w:tcBorders>
              <w:top w:val="single" w:sz="6" w:space="0" w:color="auto"/>
              <w:bottom w:val="single" w:sz="6" w:space="0" w:color="auto"/>
            </w:tcBorders>
            <w:shd w:val="clear" w:color="000000" w:fill="82CA3F"/>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150%</w:t>
            </w:r>
          </w:p>
        </w:tc>
        <w:tc>
          <w:tcPr>
            <w:tcW w:w="943" w:type="dxa"/>
            <w:tcBorders>
              <w:top w:val="single" w:sz="6" w:space="0" w:color="auto"/>
              <w:bottom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126%</w:t>
            </w:r>
          </w:p>
        </w:tc>
        <w:tc>
          <w:tcPr>
            <w:tcW w:w="943" w:type="dxa"/>
            <w:tcBorders>
              <w:top w:val="single" w:sz="6" w:space="0" w:color="auto"/>
              <w:bottom w:val="single" w:sz="6" w:space="0" w:color="auto"/>
            </w:tcBorders>
            <w:shd w:val="clear" w:color="000000" w:fill="82CA3F"/>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102%</w:t>
            </w:r>
          </w:p>
        </w:tc>
        <w:tc>
          <w:tcPr>
            <w:tcW w:w="988" w:type="dxa"/>
            <w:tcBorders>
              <w:top w:val="single" w:sz="6" w:space="0" w:color="auto"/>
              <w:bottom w:val="single" w:sz="6" w:space="0" w:color="auto"/>
            </w:tcBorders>
            <w:shd w:val="clear" w:color="auto" w:fill="FFC00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96%</w:t>
            </w:r>
          </w:p>
        </w:tc>
        <w:tc>
          <w:tcPr>
            <w:tcW w:w="988" w:type="dxa"/>
            <w:tcBorders>
              <w:top w:val="single" w:sz="6" w:space="0" w:color="auto"/>
              <w:bottom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21</w:t>
            </w:r>
          </w:p>
        </w:tc>
        <w:tc>
          <w:tcPr>
            <w:tcW w:w="1165" w:type="dxa"/>
            <w:tcBorders>
              <w:top w:val="single" w:sz="6" w:space="0" w:color="auto"/>
              <w:bottom w:val="single" w:sz="6" w:space="0" w:color="auto"/>
            </w:tcBorders>
            <w:vAlign w:val="center"/>
          </w:tcPr>
          <w:p w:rsidR="00D6176C" w:rsidRPr="00EE7DC1" w:rsidRDefault="00D6176C" w:rsidP="005B6C71">
            <w:pPr>
              <w:spacing w:after="0"/>
              <w:jc w:val="center"/>
              <w:rPr>
                <w:rFonts w:ascii="Times New Roman" w:eastAsia="Times New Roman" w:hAnsi="Times New Roman"/>
                <w:b/>
                <w:bCs/>
                <w:iCs/>
                <w:color w:val="00B050"/>
                <w:sz w:val="16"/>
                <w:szCs w:val="16"/>
              </w:rPr>
            </w:pPr>
            <w:r w:rsidRPr="00EE7DC1">
              <w:rPr>
                <w:rFonts w:ascii="Times New Roman" w:hAnsi="Times New Roman"/>
                <w:sz w:val="16"/>
                <w:szCs w:val="16"/>
              </w:rPr>
              <w:t>90%</w:t>
            </w:r>
          </w:p>
        </w:tc>
        <w:tc>
          <w:tcPr>
            <w:tcW w:w="1165" w:type="dxa"/>
            <w:tcBorders>
              <w:top w:val="single" w:sz="6" w:space="0" w:color="auto"/>
              <w:bottom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eastAsia="Times New Roman" w:hAnsi="Times New Roman"/>
                <w:b/>
                <w:bCs/>
                <w:iCs/>
                <w:color w:val="00B050"/>
                <w:sz w:val="16"/>
                <w:szCs w:val="16"/>
              </w:rPr>
              <w:t xml:space="preserve">Higher </w:t>
            </w:r>
            <w:r w:rsidRPr="00EE7DC1">
              <w:rPr>
                <w:rFonts w:ascii="Times New Roman" w:eastAsia="Times New Roman" w:hAnsi="Times New Roman"/>
                <w:iCs/>
                <w:sz w:val="16"/>
                <w:szCs w:val="16"/>
              </w:rPr>
              <w:t>(100%)</w:t>
            </w:r>
          </w:p>
        </w:tc>
      </w:tr>
      <w:tr w:rsidR="00D6176C" w:rsidRPr="00EE7DC1" w:rsidTr="005B6C71">
        <w:trPr>
          <w:trHeight w:val="255"/>
        </w:trPr>
        <w:tc>
          <w:tcPr>
            <w:tcW w:w="9413" w:type="dxa"/>
            <w:gridSpan w:val="9"/>
            <w:tcBorders>
              <w:top w:val="single" w:sz="6" w:space="0" w:color="auto"/>
              <w:bottom w:val="single" w:sz="12" w:space="0" w:color="auto"/>
            </w:tcBorders>
            <w:vAlign w:val="center"/>
          </w:tcPr>
          <w:p w:rsidR="00D6176C" w:rsidRPr="00EE7DC1" w:rsidRDefault="00D6176C" w:rsidP="005B6C71">
            <w:pPr>
              <w:spacing w:after="0"/>
              <w:rPr>
                <w:rFonts w:ascii="Times New Roman" w:eastAsia="Times New Roman" w:hAnsi="Times New Roman"/>
                <w:b/>
                <w:bCs/>
                <w:iCs/>
                <w:color w:val="00B050"/>
                <w:sz w:val="16"/>
                <w:szCs w:val="16"/>
              </w:rPr>
            </w:pPr>
            <w:r w:rsidRPr="00EE7DC1">
              <w:rPr>
                <w:rFonts w:ascii="Times New Roman" w:hAnsi="Times New Roman"/>
                <w:color w:val="000000"/>
                <w:sz w:val="16"/>
                <w:szCs w:val="16"/>
              </w:rPr>
              <w:t xml:space="preserve">Expenditure with gender equality as a ‘significant’ or ‘principal’ objective: </w:t>
            </w:r>
            <w:r w:rsidRPr="00196849">
              <w:rPr>
                <w:rFonts w:ascii="Times New Roman" w:hAnsi="Times New Roman"/>
                <w:color w:val="000000"/>
                <w:sz w:val="16"/>
                <w:szCs w:val="16"/>
              </w:rPr>
              <w:t>64%</w:t>
            </w:r>
          </w:p>
        </w:tc>
      </w:tr>
    </w:tbl>
    <w:p w:rsidR="00D6176C" w:rsidRPr="003F5460" w:rsidRDefault="00D6176C" w:rsidP="00D6176C">
      <w:pPr>
        <w:pStyle w:val="ListParagraph"/>
        <w:widowControl w:val="0"/>
        <w:tabs>
          <w:tab w:val="left" w:pos="360"/>
        </w:tabs>
        <w:spacing w:after="0" w:line="240" w:lineRule="auto"/>
        <w:ind w:left="0" w:right="-6"/>
        <w:jc w:val="both"/>
        <w:rPr>
          <w:rFonts w:ascii="Times New Roman" w:hAnsi="Times New Roman"/>
          <w:b/>
          <w:sz w:val="24"/>
          <w:szCs w:val="20"/>
        </w:rPr>
      </w:pPr>
    </w:p>
    <w:p w:rsidR="00D6176C" w:rsidRDefault="00D6176C" w:rsidP="00D54000">
      <w:pPr>
        <w:pStyle w:val="ListParagraph"/>
        <w:widowControl w:val="0"/>
        <w:numPr>
          <w:ilvl w:val="0"/>
          <w:numId w:val="11"/>
        </w:numPr>
        <w:tabs>
          <w:tab w:val="left" w:pos="360"/>
          <w:tab w:val="left" w:pos="1080"/>
        </w:tabs>
        <w:spacing w:after="0" w:line="240" w:lineRule="auto"/>
        <w:ind w:right="-6" w:firstLine="0"/>
        <w:jc w:val="both"/>
        <w:rPr>
          <w:rFonts w:ascii="Times New Roman" w:hAnsi="Times New Roman"/>
          <w:sz w:val="20"/>
          <w:szCs w:val="20"/>
        </w:rPr>
      </w:pPr>
      <w:r>
        <w:rPr>
          <w:rFonts w:ascii="Times New Roman" w:hAnsi="Times New Roman"/>
          <w:sz w:val="20"/>
          <w:szCs w:val="20"/>
        </w:rPr>
        <w:t xml:space="preserve">UNDP played a valuable role in ensuring that early recovery was included as part of a humanitarian response by bringing development principles into the relief stage and seizing </w:t>
      </w:r>
      <w:r>
        <w:rPr>
          <w:rFonts w:ascii="Times New Roman" w:hAnsi="Times New Roman"/>
          <w:sz w:val="20"/>
          <w:szCs w:val="20"/>
        </w:rPr>
        <w:lastRenderedPageBreak/>
        <w:t xml:space="preserve">opportunities to go beyond saving lives and </w:t>
      </w:r>
      <w:r w:rsidR="00EC14B7">
        <w:rPr>
          <w:rFonts w:ascii="Times New Roman" w:hAnsi="Times New Roman"/>
          <w:sz w:val="20"/>
          <w:szCs w:val="20"/>
        </w:rPr>
        <w:t xml:space="preserve">restore </w:t>
      </w:r>
      <w:r>
        <w:rPr>
          <w:rFonts w:ascii="Times New Roman" w:hAnsi="Times New Roman"/>
          <w:sz w:val="20"/>
          <w:szCs w:val="20"/>
        </w:rPr>
        <w:t xml:space="preserve">national </w:t>
      </w:r>
      <w:r w:rsidR="00EC14B7">
        <w:rPr>
          <w:rFonts w:ascii="Times New Roman" w:hAnsi="Times New Roman"/>
          <w:sz w:val="20"/>
          <w:szCs w:val="20"/>
        </w:rPr>
        <w:t>capacities</w:t>
      </w:r>
      <w:r>
        <w:rPr>
          <w:rFonts w:ascii="Times New Roman" w:hAnsi="Times New Roman"/>
          <w:sz w:val="20"/>
          <w:szCs w:val="20"/>
        </w:rPr>
        <w:t xml:space="preserve">, livelihoods and peaceful conditions for development.  </w:t>
      </w:r>
    </w:p>
    <w:p w:rsidR="00D6176C" w:rsidRPr="00D54000" w:rsidRDefault="00D6176C" w:rsidP="00D54000">
      <w:pPr>
        <w:pStyle w:val="ListParagraph"/>
        <w:widowControl w:val="0"/>
        <w:tabs>
          <w:tab w:val="left" w:pos="360"/>
          <w:tab w:val="left" w:pos="1080"/>
        </w:tabs>
        <w:spacing w:after="0" w:line="240" w:lineRule="auto"/>
        <w:ind w:left="0" w:right="-6"/>
        <w:jc w:val="both"/>
        <w:rPr>
          <w:rFonts w:ascii="Times New Roman" w:hAnsi="Times New Roman"/>
          <w:sz w:val="12"/>
          <w:szCs w:val="12"/>
        </w:rPr>
      </w:pPr>
    </w:p>
    <w:p w:rsidR="00D6176C" w:rsidRPr="00E2254B" w:rsidRDefault="00D6176C" w:rsidP="00D54000">
      <w:pPr>
        <w:pStyle w:val="ListParagraph"/>
        <w:widowControl w:val="0"/>
        <w:numPr>
          <w:ilvl w:val="0"/>
          <w:numId w:val="11"/>
        </w:numPr>
        <w:tabs>
          <w:tab w:val="left" w:pos="360"/>
          <w:tab w:val="left" w:pos="1080"/>
        </w:tabs>
        <w:spacing w:after="0" w:line="0" w:lineRule="atLeast"/>
        <w:ind w:right="-6" w:firstLine="0"/>
        <w:jc w:val="both"/>
        <w:rPr>
          <w:rFonts w:ascii="Times New Roman" w:hAnsi="Times New Roman"/>
          <w:sz w:val="20"/>
          <w:szCs w:val="20"/>
        </w:rPr>
      </w:pPr>
      <w:r>
        <w:rPr>
          <w:rFonts w:ascii="Times New Roman" w:hAnsi="Times New Roman"/>
          <w:sz w:val="20"/>
        </w:rPr>
        <w:t xml:space="preserve">Performance under </w:t>
      </w:r>
      <w:r w:rsidR="00EC14B7">
        <w:rPr>
          <w:rFonts w:ascii="Times New Roman" w:hAnsi="Times New Roman"/>
          <w:sz w:val="20"/>
        </w:rPr>
        <w:t xml:space="preserve">outcome </w:t>
      </w:r>
      <w:r>
        <w:rPr>
          <w:rFonts w:ascii="Times New Roman" w:hAnsi="Times New Roman"/>
          <w:sz w:val="20"/>
        </w:rPr>
        <w:t xml:space="preserve">6 was strong, with </w:t>
      </w:r>
      <w:r w:rsidR="00EC14B7">
        <w:rPr>
          <w:rFonts w:ascii="Times New Roman" w:hAnsi="Times New Roman"/>
          <w:sz w:val="20"/>
        </w:rPr>
        <w:t xml:space="preserve">UNDP </w:t>
      </w:r>
      <w:r>
        <w:rPr>
          <w:rFonts w:ascii="Times New Roman" w:hAnsi="Times New Roman"/>
          <w:sz w:val="20"/>
        </w:rPr>
        <w:t>significantly exceeding 2017 targets</w:t>
      </w:r>
      <w:r w:rsidR="00EC14B7">
        <w:rPr>
          <w:rFonts w:ascii="Times New Roman" w:hAnsi="Times New Roman"/>
          <w:sz w:val="20"/>
        </w:rPr>
        <w:t xml:space="preserve"> for two outputs</w:t>
      </w:r>
      <w:r>
        <w:rPr>
          <w:rFonts w:ascii="Times New Roman" w:hAnsi="Times New Roman"/>
          <w:sz w:val="20"/>
        </w:rPr>
        <w:t xml:space="preserve">.  Additionally, </w:t>
      </w:r>
      <w:r w:rsidR="00EC14B7">
        <w:rPr>
          <w:rFonts w:ascii="Times New Roman" w:hAnsi="Times New Roman"/>
          <w:sz w:val="20"/>
        </w:rPr>
        <w:t xml:space="preserve">for outputs </w:t>
      </w:r>
      <w:r>
        <w:rPr>
          <w:rFonts w:ascii="Times New Roman" w:hAnsi="Times New Roman"/>
          <w:sz w:val="20"/>
        </w:rPr>
        <w:t>6.1 and 6.4</w:t>
      </w:r>
      <w:r w:rsidR="00EC14B7">
        <w:rPr>
          <w:rFonts w:ascii="Times New Roman" w:hAnsi="Times New Roman"/>
          <w:sz w:val="20"/>
        </w:rPr>
        <w:t>,</w:t>
      </w:r>
      <w:r>
        <w:rPr>
          <w:rFonts w:ascii="Times New Roman" w:hAnsi="Times New Roman"/>
          <w:sz w:val="20"/>
        </w:rPr>
        <w:t xml:space="preserve"> </w:t>
      </w:r>
      <w:r w:rsidR="007664F5">
        <w:rPr>
          <w:rFonts w:ascii="Times New Roman" w:hAnsi="Times New Roman"/>
          <w:sz w:val="20"/>
        </w:rPr>
        <w:t xml:space="preserve">higher </w:t>
      </w:r>
      <w:r w:rsidR="00EC14B7">
        <w:rPr>
          <w:rFonts w:ascii="Times New Roman" w:hAnsi="Times New Roman"/>
          <w:sz w:val="20"/>
        </w:rPr>
        <w:t xml:space="preserve">performance was recorded for </w:t>
      </w:r>
      <w:r>
        <w:rPr>
          <w:rFonts w:ascii="Times New Roman" w:hAnsi="Times New Roman"/>
          <w:sz w:val="20"/>
        </w:rPr>
        <w:t>sex</w:t>
      </w:r>
      <w:r w:rsidR="00EC14B7">
        <w:rPr>
          <w:rFonts w:ascii="Times New Roman" w:hAnsi="Times New Roman"/>
          <w:sz w:val="20"/>
        </w:rPr>
        <w:t>-</w:t>
      </w:r>
      <w:r>
        <w:rPr>
          <w:rFonts w:ascii="Times New Roman" w:hAnsi="Times New Roman"/>
          <w:sz w:val="20"/>
        </w:rPr>
        <w:t>disaggregated and gender-sensitive</w:t>
      </w:r>
      <w:r w:rsidRPr="00875B49">
        <w:rPr>
          <w:rFonts w:ascii="Times New Roman" w:hAnsi="Times New Roman"/>
          <w:sz w:val="20"/>
          <w:szCs w:val="20"/>
        </w:rPr>
        <w:t xml:space="preserve"> indicator</w:t>
      </w:r>
      <w:r w:rsidR="00EC14B7" w:rsidRPr="00875B49">
        <w:rPr>
          <w:rFonts w:ascii="Times New Roman" w:hAnsi="Times New Roman"/>
          <w:sz w:val="20"/>
          <w:szCs w:val="20"/>
        </w:rPr>
        <w:t>s</w:t>
      </w:r>
      <w:r w:rsidRPr="00875B49">
        <w:rPr>
          <w:rFonts w:ascii="Times New Roman" w:hAnsi="Times New Roman"/>
          <w:sz w:val="20"/>
          <w:szCs w:val="20"/>
        </w:rPr>
        <w:t xml:space="preserve">. The </w:t>
      </w:r>
      <w:r w:rsidR="007B4241" w:rsidRPr="00875B49">
        <w:rPr>
          <w:rFonts w:ascii="Times New Roman" w:hAnsi="Times New Roman"/>
          <w:sz w:val="20"/>
          <w:szCs w:val="20"/>
        </w:rPr>
        <w:t xml:space="preserve">evaluation of the Strategic Plan </w:t>
      </w:r>
      <w:r w:rsidRPr="00875B49">
        <w:rPr>
          <w:rFonts w:ascii="Times New Roman" w:hAnsi="Times New Roman"/>
          <w:sz w:val="20"/>
          <w:szCs w:val="20"/>
        </w:rPr>
        <w:t>concluded that</w:t>
      </w:r>
      <w:r w:rsidR="00875B49">
        <w:rPr>
          <w:rFonts w:ascii="Times New Roman" w:hAnsi="Times New Roman"/>
          <w:sz w:val="20"/>
          <w:szCs w:val="20"/>
        </w:rPr>
        <w:t xml:space="preserve"> in countries affected by conflict, </w:t>
      </w:r>
      <w:r w:rsidR="00875B49" w:rsidRPr="00875B49">
        <w:rPr>
          <w:rFonts w:ascii="Times New Roman" w:hAnsi="Times New Roman"/>
          <w:sz w:val="20"/>
          <w:szCs w:val="20"/>
        </w:rPr>
        <w:t>UNDP specialist technical expertise and human resource support has enabled core governance institutions to function, which is critical for consolidating stability and peace and transitioning to development</w:t>
      </w:r>
      <w:r>
        <w:rPr>
          <w:rFonts w:ascii="Times New Roman" w:hAnsi="Times New Roman"/>
          <w:sz w:val="20"/>
        </w:rPr>
        <w:t>.</w:t>
      </w:r>
      <w:r w:rsidRPr="00EA654D">
        <w:rPr>
          <w:rFonts w:ascii="Times New Roman" w:hAnsi="Times New Roman"/>
          <w:sz w:val="20"/>
        </w:rPr>
        <w:t xml:space="preserve"> </w:t>
      </w:r>
      <w:r w:rsidRPr="006B61C3">
        <w:rPr>
          <w:rFonts w:ascii="Times New Roman" w:hAnsi="Times New Roman"/>
          <w:sz w:val="20"/>
        </w:rPr>
        <w:t>UNDP spent $1.7 billion</w:t>
      </w:r>
      <w:r>
        <w:rPr>
          <w:rFonts w:ascii="Times New Roman" w:hAnsi="Times New Roman"/>
          <w:sz w:val="20"/>
        </w:rPr>
        <w:t xml:space="preserve"> </w:t>
      </w:r>
      <w:r w:rsidR="007B4241">
        <w:rPr>
          <w:rFonts w:ascii="Times New Roman" w:hAnsi="Times New Roman"/>
          <w:sz w:val="20"/>
        </w:rPr>
        <w:t xml:space="preserve">on outcome 6 </w:t>
      </w:r>
      <w:r w:rsidRPr="006B61C3">
        <w:rPr>
          <w:rFonts w:ascii="Times New Roman" w:hAnsi="Times New Roman"/>
          <w:sz w:val="20"/>
        </w:rPr>
        <w:t>in 2014-2017, 10 per cent of overall programme expenditure.</w:t>
      </w:r>
      <w:r>
        <w:rPr>
          <w:rFonts w:ascii="Times New Roman" w:hAnsi="Times New Roman"/>
          <w:sz w:val="20"/>
          <w:szCs w:val="20"/>
        </w:rPr>
        <w:t xml:space="preserve">  </w:t>
      </w:r>
    </w:p>
    <w:p w:rsidR="00D6176C" w:rsidRPr="00D54000" w:rsidRDefault="00D6176C" w:rsidP="00D54000">
      <w:pPr>
        <w:tabs>
          <w:tab w:val="left" w:pos="1080"/>
        </w:tabs>
        <w:spacing w:after="0" w:line="240" w:lineRule="auto"/>
        <w:jc w:val="both"/>
        <w:rPr>
          <w:rFonts w:ascii="Times New Roman" w:hAnsi="Times New Roman"/>
          <w:sz w:val="12"/>
          <w:szCs w:val="12"/>
        </w:rPr>
      </w:pPr>
    </w:p>
    <w:p w:rsidR="005D4ADF" w:rsidRDefault="00D6176C" w:rsidP="00D54000">
      <w:pPr>
        <w:pStyle w:val="ListParagraph"/>
        <w:numPr>
          <w:ilvl w:val="0"/>
          <w:numId w:val="11"/>
        </w:numPr>
        <w:tabs>
          <w:tab w:val="left" w:pos="1080"/>
        </w:tabs>
        <w:spacing w:after="0" w:line="0" w:lineRule="atLeast"/>
        <w:ind w:firstLine="0"/>
        <w:jc w:val="both"/>
        <w:rPr>
          <w:rFonts w:ascii="Times New Roman" w:hAnsi="Times New Roman"/>
          <w:sz w:val="20"/>
          <w:szCs w:val="20"/>
        </w:rPr>
      </w:pPr>
      <w:bookmarkStart w:id="8" w:name="_Hlk509838388"/>
      <w:r w:rsidRPr="007B4241">
        <w:rPr>
          <w:rFonts w:ascii="Times New Roman" w:hAnsi="Times New Roman"/>
          <w:sz w:val="20"/>
          <w:szCs w:val="20"/>
          <w:lang w:val="en-US"/>
        </w:rPr>
        <w:t xml:space="preserve">UNDP supported early economic revitalization in 30 countries, giving 7.9 million people access to diversified livelihood opportunities. At the request of the Government of Iraq, UNDP established the </w:t>
      </w:r>
      <w:r w:rsidRPr="00831654">
        <w:rPr>
          <w:rFonts w:ascii="Times New Roman" w:hAnsi="Times New Roman"/>
          <w:sz w:val="20"/>
          <w:szCs w:val="20"/>
          <w:lang w:val="en-US"/>
        </w:rPr>
        <w:t>Funding Facility for Stabilization in 2015 to facilitate the return of displaced Iraqis, lay the groundwork for reconstruction and recovery and safeguard against the resurgence of violence and extremism. </w:t>
      </w:r>
      <w:r w:rsidR="007B4241">
        <w:rPr>
          <w:rFonts w:ascii="Times New Roman" w:hAnsi="Times New Roman"/>
          <w:sz w:val="20"/>
          <w:szCs w:val="20"/>
          <w:lang w:val="en-US"/>
        </w:rPr>
        <w:t xml:space="preserve">The facility </w:t>
      </w:r>
      <w:r w:rsidRPr="00831654">
        <w:rPr>
          <w:rFonts w:ascii="Times New Roman" w:hAnsi="Times New Roman"/>
          <w:sz w:val="20"/>
          <w:szCs w:val="20"/>
          <w:lang w:val="en-US"/>
        </w:rPr>
        <w:t xml:space="preserve">grew to support </w:t>
      </w:r>
      <w:r>
        <w:rPr>
          <w:rFonts w:ascii="Times New Roman" w:hAnsi="Times New Roman"/>
          <w:sz w:val="20"/>
          <w:szCs w:val="20"/>
          <w:lang w:val="en-US"/>
        </w:rPr>
        <w:t>g</w:t>
      </w:r>
      <w:r w:rsidRPr="00831654">
        <w:rPr>
          <w:rFonts w:ascii="Times New Roman" w:hAnsi="Times New Roman"/>
          <w:sz w:val="20"/>
          <w:szCs w:val="20"/>
          <w:lang w:val="en-US"/>
        </w:rPr>
        <w:t>overnment stabilization efforts in newly liberated areas</w:t>
      </w:r>
      <w:r>
        <w:rPr>
          <w:rFonts w:ascii="Times New Roman" w:hAnsi="Times New Roman"/>
          <w:sz w:val="20"/>
          <w:szCs w:val="20"/>
          <w:lang w:val="en-US"/>
        </w:rPr>
        <w:t xml:space="preserve"> and</w:t>
      </w:r>
      <w:r w:rsidRPr="00831654">
        <w:rPr>
          <w:rFonts w:ascii="Times New Roman" w:hAnsi="Times New Roman"/>
          <w:sz w:val="20"/>
          <w:szCs w:val="20"/>
          <w:lang w:val="en-US"/>
        </w:rPr>
        <w:t xml:space="preserve"> by the end of 2017</w:t>
      </w:r>
      <w:r>
        <w:rPr>
          <w:rFonts w:ascii="Times New Roman" w:hAnsi="Times New Roman"/>
          <w:sz w:val="20"/>
          <w:szCs w:val="20"/>
          <w:lang w:val="en-US"/>
        </w:rPr>
        <w:t xml:space="preserve"> it </w:t>
      </w:r>
      <w:r w:rsidRPr="00831654">
        <w:rPr>
          <w:rFonts w:ascii="Times New Roman" w:hAnsi="Times New Roman"/>
          <w:sz w:val="20"/>
          <w:szCs w:val="20"/>
          <w:lang w:val="en-US"/>
        </w:rPr>
        <w:t xml:space="preserve">had </w:t>
      </w:r>
      <w:r>
        <w:rPr>
          <w:rFonts w:ascii="Times New Roman" w:hAnsi="Times New Roman"/>
          <w:sz w:val="20"/>
          <w:szCs w:val="20"/>
          <w:lang w:val="en-US"/>
        </w:rPr>
        <w:t>finalized</w:t>
      </w:r>
      <w:r w:rsidRPr="00831654">
        <w:rPr>
          <w:rFonts w:ascii="Times New Roman" w:hAnsi="Times New Roman"/>
          <w:sz w:val="20"/>
          <w:szCs w:val="20"/>
          <w:lang w:val="en-US"/>
        </w:rPr>
        <w:t xml:space="preserve"> over 1,600 projects in 28 areas, including </w:t>
      </w:r>
      <w:r>
        <w:rPr>
          <w:rFonts w:ascii="Times New Roman" w:hAnsi="Times New Roman"/>
          <w:sz w:val="20"/>
          <w:szCs w:val="20"/>
          <w:lang w:val="en-US"/>
        </w:rPr>
        <w:t>those that</w:t>
      </w:r>
      <w:r w:rsidRPr="00831654">
        <w:rPr>
          <w:rFonts w:ascii="Times New Roman" w:hAnsi="Times New Roman"/>
          <w:sz w:val="20"/>
          <w:szCs w:val="20"/>
          <w:lang w:val="en-US"/>
        </w:rPr>
        <w:t xml:space="preserve"> restor</w:t>
      </w:r>
      <w:r>
        <w:rPr>
          <w:rFonts w:ascii="Times New Roman" w:hAnsi="Times New Roman"/>
          <w:sz w:val="20"/>
          <w:szCs w:val="20"/>
          <w:lang w:val="en-US"/>
        </w:rPr>
        <w:t>ed</w:t>
      </w:r>
      <w:r w:rsidRPr="00831654">
        <w:rPr>
          <w:rFonts w:ascii="Times New Roman" w:hAnsi="Times New Roman"/>
          <w:sz w:val="20"/>
          <w:szCs w:val="20"/>
          <w:lang w:val="en-US"/>
        </w:rPr>
        <w:t xml:space="preserve"> critical infrastructure </w:t>
      </w:r>
      <w:r>
        <w:rPr>
          <w:rFonts w:ascii="Times New Roman" w:hAnsi="Times New Roman"/>
          <w:sz w:val="20"/>
          <w:szCs w:val="20"/>
          <w:lang w:val="en-US"/>
        </w:rPr>
        <w:t>like</w:t>
      </w:r>
      <w:r w:rsidRPr="00831654">
        <w:rPr>
          <w:rFonts w:ascii="Times New Roman" w:hAnsi="Times New Roman"/>
          <w:sz w:val="20"/>
          <w:szCs w:val="20"/>
          <w:lang w:val="en-US"/>
        </w:rPr>
        <w:t xml:space="preserve"> water, electricity, hospitals, </w:t>
      </w:r>
      <w:r w:rsidRPr="003411CA">
        <w:rPr>
          <w:rFonts w:ascii="Times New Roman" w:hAnsi="Times New Roman"/>
          <w:sz w:val="20"/>
          <w:szCs w:val="20"/>
          <w:lang w:val="en-US"/>
        </w:rPr>
        <w:t>schools and universities</w:t>
      </w:r>
      <w:r w:rsidR="007B4241">
        <w:rPr>
          <w:rFonts w:ascii="Times New Roman" w:hAnsi="Times New Roman"/>
          <w:sz w:val="20"/>
          <w:szCs w:val="20"/>
          <w:lang w:val="en-US"/>
        </w:rPr>
        <w:t xml:space="preserve">, </w:t>
      </w:r>
      <w:r w:rsidRPr="003411CA">
        <w:rPr>
          <w:rFonts w:ascii="Times New Roman" w:hAnsi="Times New Roman"/>
          <w:sz w:val="20"/>
          <w:szCs w:val="20"/>
          <w:lang w:val="en-US"/>
        </w:rPr>
        <w:t xml:space="preserve">all of which helped </w:t>
      </w:r>
      <w:r w:rsidR="007B4241">
        <w:rPr>
          <w:rFonts w:ascii="Times New Roman" w:hAnsi="Times New Roman"/>
          <w:sz w:val="20"/>
          <w:szCs w:val="20"/>
          <w:lang w:val="en-US"/>
        </w:rPr>
        <w:t xml:space="preserve">to </w:t>
      </w:r>
      <w:r w:rsidRPr="003411CA">
        <w:rPr>
          <w:rFonts w:ascii="Times New Roman" w:hAnsi="Times New Roman"/>
          <w:sz w:val="20"/>
          <w:szCs w:val="20"/>
          <w:lang w:val="en-US"/>
        </w:rPr>
        <w:t xml:space="preserve">facilitate the return of </w:t>
      </w:r>
      <w:r w:rsidR="0066694F">
        <w:rPr>
          <w:rFonts w:ascii="Times New Roman" w:hAnsi="Times New Roman"/>
          <w:sz w:val="20"/>
          <w:szCs w:val="20"/>
          <w:lang w:val="en-US"/>
        </w:rPr>
        <w:t xml:space="preserve">2.8 </w:t>
      </w:r>
      <w:r w:rsidRPr="00E0597D">
        <w:rPr>
          <w:rFonts w:ascii="Times New Roman" w:hAnsi="Times New Roman"/>
          <w:sz w:val="20"/>
          <w:szCs w:val="20"/>
          <w:lang w:val="en-US"/>
        </w:rPr>
        <w:t xml:space="preserve">million </w:t>
      </w:r>
      <w:r w:rsidRPr="003411CA">
        <w:rPr>
          <w:rFonts w:ascii="Times New Roman" w:hAnsi="Times New Roman"/>
          <w:sz w:val="20"/>
          <w:szCs w:val="20"/>
          <w:lang w:val="en-US"/>
        </w:rPr>
        <w:t xml:space="preserve">internally displaced </w:t>
      </w:r>
      <w:r w:rsidR="007B4241">
        <w:rPr>
          <w:rFonts w:ascii="Times New Roman" w:hAnsi="Times New Roman"/>
          <w:sz w:val="20"/>
          <w:szCs w:val="20"/>
          <w:lang w:val="en-US"/>
        </w:rPr>
        <w:t>persons</w:t>
      </w:r>
      <w:r w:rsidRPr="003411CA">
        <w:rPr>
          <w:rFonts w:ascii="Times New Roman" w:hAnsi="Times New Roman"/>
          <w:sz w:val="20"/>
          <w:szCs w:val="20"/>
          <w:lang w:val="en-US"/>
        </w:rPr>
        <w:t>.</w:t>
      </w:r>
      <w:r w:rsidR="0079527D" w:rsidRPr="003411CA">
        <w:rPr>
          <w:rFonts w:ascii="Times New Roman" w:hAnsi="Times New Roman"/>
          <w:sz w:val="20"/>
          <w:szCs w:val="20"/>
          <w:lang w:val="en-US"/>
        </w:rPr>
        <w:t xml:space="preserve"> </w:t>
      </w:r>
      <w:r w:rsidRPr="003411CA">
        <w:rPr>
          <w:rFonts w:ascii="Times New Roman" w:hAnsi="Times New Roman"/>
          <w:sz w:val="20"/>
          <w:szCs w:val="20"/>
        </w:rPr>
        <w:t xml:space="preserve">In </w:t>
      </w:r>
      <w:r w:rsidRPr="007B4241">
        <w:rPr>
          <w:rFonts w:ascii="Times New Roman" w:hAnsi="Times New Roman"/>
          <w:sz w:val="20"/>
          <w:szCs w:val="20"/>
        </w:rPr>
        <w:t>Libya,</w:t>
      </w:r>
      <w:r w:rsidRPr="00E0597D">
        <w:rPr>
          <w:rFonts w:ascii="Times New Roman" w:hAnsi="Times New Roman"/>
          <w:sz w:val="20"/>
          <w:szCs w:val="20"/>
        </w:rPr>
        <w:t xml:space="preserve"> UNDP supported the launch of the Stabili</w:t>
      </w:r>
      <w:r w:rsidRPr="00EF1478">
        <w:rPr>
          <w:rFonts w:ascii="Times New Roman" w:hAnsi="Times New Roman"/>
          <w:sz w:val="20"/>
          <w:szCs w:val="20"/>
        </w:rPr>
        <w:t>z</w:t>
      </w:r>
      <w:r w:rsidR="00C52A98" w:rsidRPr="00EF1478">
        <w:rPr>
          <w:rFonts w:ascii="Times New Roman" w:hAnsi="Times New Roman"/>
          <w:sz w:val="20"/>
          <w:szCs w:val="20"/>
        </w:rPr>
        <w:t xml:space="preserve">ation Facility for Libya </w:t>
      </w:r>
      <w:r w:rsidRPr="00EF1478">
        <w:rPr>
          <w:rFonts w:ascii="Times New Roman" w:hAnsi="Times New Roman"/>
          <w:sz w:val="20"/>
          <w:szCs w:val="20"/>
        </w:rPr>
        <w:t xml:space="preserve">in 2016, which attracted $44 million in contributions. In 2017, UNDP helped the </w:t>
      </w:r>
      <w:r w:rsidR="007B4241">
        <w:rPr>
          <w:rFonts w:ascii="Times New Roman" w:hAnsi="Times New Roman"/>
          <w:sz w:val="20"/>
          <w:szCs w:val="20"/>
        </w:rPr>
        <w:t>G</w:t>
      </w:r>
      <w:r w:rsidR="007B4241" w:rsidRPr="00EF1478">
        <w:rPr>
          <w:rFonts w:ascii="Times New Roman" w:hAnsi="Times New Roman"/>
          <w:sz w:val="20"/>
          <w:szCs w:val="20"/>
        </w:rPr>
        <w:t xml:space="preserve">overnment </w:t>
      </w:r>
      <w:r w:rsidR="007B4241">
        <w:rPr>
          <w:rFonts w:ascii="Times New Roman" w:hAnsi="Times New Roman"/>
          <w:sz w:val="20"/>
          <w:szCs w:val="20"/>
        </w:rPr>
        <w:t xml:space="preserve">to </w:t>
      </w:r>
      <w:r w:rsidRPr="00EF1478">
        <w:rPr>
          <w:rFonts w:ascii="Times New Roman" w:hAnsi="Times New Roman"/>
          <w:sz w:val="20"/>
          <w:szCs w:val="20"/>
        </w:rPr>
        <w:t xml:space="preserve">rehabilitate and equip 11 hospitals and delivered 14 ambulances to service more than </w:t>
      </w:r>
      <w:r w:rsidR="007B4241">
        <w:rPr>
          <w:rFonts w:ascii="Times New Roman" w:hAnsi="Times New Roman"/>
          <w:sz w:val="20"/>
          <w:szCs w:val="20"/>
        </w:rPr>
        <w:t>1</w:t>
      </w:r>
      <w:r w:rsidR="007B4241" w:rsidRPr="00EF1478">
        <w:rPr>
          <w:rFonts w:ascii="Times New Roman" w:hAnsi="Times New Roman"/>
          <w:sz w:val="20"/>
          <w:szCs w:val="20"/>
        </w:rPr>
        <w:t xml:space="preserve"> </w:t>
      </w:r>
      <w:r w:rsidRPr="00EF1478">
        <w:rPr>
          <w:rFonts w:ascii="Times New Roman" w:hAnsi="Times New Roman"/>
          <w:sz w:val="20"/>
          <w:szCs w:val="20"/>
        </w:rPr>
        <w:t>million people. Sixteen schools have been rehabilitated or re-equipped and municipalities have benefited from rehabilitation and improv</w:t>
      </w:r>
      <w:r w:rsidR="007B4241">
        <w:rPr>
          <w:rFonts w:ascii="Times New Roman" w:hAnsi="Times New Roman"/>
          <w:sz w:val="20"/>
          <w:szCs w:val="20"/>
        </w:rPr>
        <w:t xml:space="preserve">ement of </w:t>
      </w:r>
      <w:r w:rsidRPr="00EF1478">
        <w:rPr>
          <w:rFonts w:ascii="Times New Roman" w:hAnsi="Times New Roman"/>
          <w:sz w:val="20"/>
          <w:szCs w:val="20"/>
        </w:rPr>
        <w:t xml:space="preserve">electrical, water and sewage systems. </w:t>
      </w:r>
    </w:p>
    <w:p w:rsidR="005D4ADF" w:rsidRPr="00D54000" w:rsidRDefault="005D4ADF" w:rsidP="00D54000">
      <w:pPr>
        <w:pStyle w:val="ListParagraph"/>
        <w:tabs>
          <w:tab w:val="left" w:pos="1080"/>
        </w:tabs>
        <w:spacing w:after="0" w:line="0" w:lineRule="atLeast"/>
        <w:jc w:val="both"/>
        <w:rPr>
          <w:rFonts w:ascii="Times New Roman" w:hAnsi="Times New Roman"/>
          <w:sz w:val="12"/>
          <w:szCs w:val="12"/>
        </w:rPr>
      </w:pPr>
    </w:p>
    <w:p w:rsidR="000D55C3" w:rsidRPr="00F74FE7" w:rsidRDefault="00EF1478" w:rsidP="00D54000">
      <w:pPr>
        <w:pStyle w:val="ListParagraph"/>
        <w:numPr>
          <w:ilvl w:val="0"/>
          <w:numId w:val="11"/>
        </w:numPr>
        <w:tabs>
          <w:tab w:val="left" w:pos="1080"/>
        </w:tabs>
        <w:spacing w:after="0" w:line="0" w:lineRule="atLeast"/>
        <w:ind w:firstLine="0"/>
        <w:jc w:val="both"/>
        <w:rPr>
          <w:rFonts w:ascii="Times New Roman" w:hAnsi="Times New Roman"/>
          <w:color w:val="0A0A0A"/>
          <w:sz w:val="20"/>
          <w:szCs w:val="20"/>
          <w:shd w:val="clear" w:color="auto" w:fill="FEFEFE"/>
        </w:rPr>
      </w:pPr>
      <w:r w:rsidRPr="007B4241">
        <w:rPr>
          <w:rFonts w:ascii="Times New Roman" w:hAnsi="Times New Roman"/>
          <w:sz w:val="20"/>
          <w:szCs w:val="20"/>
          <w:lang w:val="en-US"/>
        </w:rPr>
        <w:t xml:space="preserve">UNDP made a particular effort to bring a strong gender perspective in its crisis response. </w:t>
      </w:r>
      <w:r w:rsidR="005D4ADF" w:rsidRPr="007B4241">
        <w:rPr>
          <w:rFonts w:ascii="Times New Roman" w:hAnsi="Times New Roman"/>
          <w:color w:val="0A0A0A"/>
          <w:sz w:val="20"/>
          <w:szCs w:val="20"/>
          <w:shd w:val="clear" w:color="auto" w:fill="FEFEFE"/>
        </w:rPr>
        <w:t xml:space="preserve">In Yemen, </w:t>
      </w:r>
      <w:r w:rsidR="005D4ADF" w:rsidRPr="00F74FE7">
        <w:rPr>
          <w:rFonts w:ascii="Times New Roman" w:hAnsi="Times New Roman"/>
          <w:color w:val="0A0A0A"/>
          <w:sz w:val="20"/>
          <w:szCs w:val="20"/>
          <w:shd w:val="clear" w:color="auto" w:fill="FEFEFE"/>
        </w:rPr>
        <w:t>UNDP support to mine clearance covered 3 million square metr</w:t>
      </w:r>
      <w:r w:rsidR="007B4241">
        <w:rPr>
          <w:rFonts w:ascii="Times New Roman" w:hAnsi="Times New Roman"/>
          <w:color w:val="0A0A0A"/>
          <w:sz w:val="20"/>
          <w:szCs w:val="20"/>
          <w:shd w:val="clear" w:color="auto" w:fill="FEFEFE"/>
        </w:rPr>
        <w:t>es</w:t>
      </w:r>
      <w:r w:rsidR="005D4ADF" w:rsidRPr="00F74FE7">
        <w:rPr>
          <w:rFonts w:ascii="Times New Roman" w:hAnsi="Times New Roman"/>
          <w:color w:val="0A0A0A"/>
          <w:sz w:val="20"/>
          <w:szCs w:val="20"/>
          <w:shd w:val="clear" w:color="auto" w:fill="FEFEFE"/>
        </w:rPr>
        <w:t xml:space="preserve"> and reached 1</w:t>
      </w:r>
      <w:r w:rsidR="005D4ADF" w:rsidRPr="005D4ADF">
        <w:rPr>
          <w:rFonts w:ascii="Times New Roman" w:hAnsi="Times New Roman"/>
          <w:color w:val="0A0A0A"/>
          <w:sz w:val="20"/>
          <w:szCs w:val="20"/>
          <w:shd w:val="clear" w:color="auto" w:fill="FEFEFE"/>
        </w:rPr>
        <w:t>.6 million direct beneficiaries and</w:t>
      </w:r>
      <w:r w:rsidR="005D4ADF" w:rsidRPr="00F74FE7">
        <w:rPr>
          <w:rFonts w:ascii="Times New Roman" w:hAnsi="Times New Roman"/>
          <w:color w:val="0A0A0A"/>
          <w:sz w:val="20"/>
          <w:szCs w:val="20"/>
          <w:shd w:val="clear" w:color="auto" w:fill="FEFEFE"/>
        </w:rPr>
        <w:t xml:space="preserve"> 6.3 million indirect beneficiaries</w:t>
      </w:r>
      <w:r w:rsidR="009E6C51">
        <w:rPr>
          <w:rFonts w:ascii="Times New Roman" w:hAnsi="Times New Roman"/>
          <w:color w:val="0A0A0A"/>
          <w:sz w:val="20"/>
          <w:szCs w:val="20"/>
          <w:shd w:val="clear" w:color="auto" w:fill="FEFEFE"/>
        </w:rPr>
        <w:t xml:space="preserve"> (</w:t>
      </w:r>
      <w:r w:rsidR="005D4ADF">
        <w:rPr>
          <w:rFonts w:ascii="Times New Roman" w:hAnsi="Times New Roman"/>
          <w:color w:val="0A0A0A"/>
          <w:sz w:val="20"/>
          <w:szCs w:val="20"/>
          <w:shd w:val="clear" w:color="auto" w:fill="FEFEFE"/>
        </w:rPr>
        <w:t>50 per cent women</w:t>
      </w:r>
      <w:r w:rsidR="009E6C51">
        <w:rPr>
          <w:rFonts w:ascii="Times New Roman" w:hAnsi="Times New Roman"/>
          <w:color w:val="0A0A0A"/>
          <w:sz w:val="20"/>
          <w:szCs w:val="20"/>
          <w:shd w:val="clear" w:color="auto" w:fill="FEFEFE"/>
        </w:rPr>
        <w:t>)</w:t>
      </w:r>
      <w:r w:rsidR="005D4ADF" w:rsidRPr="00F74FE7">
        <w:rPr>
          <w:rFonts w:ascii="Times New Roman" w:hAnsi="Times New Roman"/>
          <w:color w:val="0A0A0A"/>
          <w:sz w:val="20"/>
          <w:szCs w:val="20"/>
          <w:shd w:val="clear" w:color="auto" w:fill="FEFEFE"/>
        </w:rPr>
        <w:t xml:space="preserve">, </w:t>
      </w:r>
      <w:r w:rsidR="005D4ADF">
        <w:rPr>
          <w:rFonts w:ascii="Times New Roman" w:hAnsi="Times New Roman"/>
          <w:color w:val="0A0A0A"/>
          <w:sz w:val="20"/>
          <w:szCs w:val="20"/>
          <w:shd w:val="clear" w:color="auto" w:fill="FEFEFE"/>
        </w:rPr>
        <w:t xml:space="preserve">which </w:t>
      </w:r>
      <w:r w:rsidR="005D4ADF" w:rsidRPr="005D4ADF">
        <w:rPr>
          <w:rFonts w:ascii="Times New Roman" w:hAnsi="Times New Roman"/>
          <w:color w:val="0A0A0A"/>
          <w:sz w:val="20"/>
          <w:szCs w:val="20"/>
          <w:shd w:val="clear" w:color="auto" w:fill="FEFEFE"/>
        </w:rPr>
        <w:t>facilitated</w:t>
      </w:r>
      <w:r w:rsidR="005D4ADF" w:rsidRPr="00F74FE7">
        <w:rPr>
          <w:rFonts w:ascii="Times New Roman" w:hAnsi="Times New Roman"/>
          <w:color w:val="0A0A0A"/>
          <w:sz w:val="20"/>
          <w:szCs w:val="20"/>
          <w:shd w:val="clear" w:color="auto" w:fill="FEFEFE"/>
        </w:rPr>
        <w:t xml:space="preserve"> their return to rur</w:t>
      </w:r>
      <w:r w:rsidR="005D4ADF" w:rsidRPr="005D4ADF">
        <w:rPr>
          <w:rFonts w:ascii="Times New Roman" w:hAnsi="Times New Roman"/>
          <w:color w:val="0A0A0A"/>
          <w:sz w:val="20"/>
          <w:szCs w:val="20"/>
          <w:shd w:val="clear" w:color="auto" w:fill="FEFEFE"/>
        </w:rPr>
        <w:t>al livelihood activities</w:t>
      </w:r>
      <w:r w:rsidR="005D4ADF" w:rsidRPr="00F74FE7">
        <w:rPr>
          <w:rFonts w:ascii="Times New Roman" w:hAnsi="Times New Roman"/>
          <w:color w:val="0A0A0A"/>
          <w:sz w:val="20"/>
          <w:szCs w:val="20"/>
          <w:shd w:val="clear" w:color="auto" w:fill="FEFEFE"/>
        </w:rPr>
        <w:t xml:space="preserve">. </w:t>
      </w:r>
      <w:r w:rsidR="00D94108" w:rsidRPr="00F74FE7">
        <w:rPr>
          <w:rFonts w:ascii="Times New Roman" w:hAnsi="Times New Roman"/>
          <w:sz w:val="20"/>
          <w:szCs w:val="20"/>
        </w:rPr>
        <w:t xml:space="preserve">In </w:t>
      </w:r>
      <w:r w:rsidR="00D94108" w:rsidRPr="00435368">
        <w:rPr>
          <w:rFonts w:ascii="Times New Roman" w:hAnsi="Times New Roman"/>
          <w:bCs/>
          <w:sz w:val="20"/>
          <w:szCs w:val="20"/>
        </w:rPr>
        <w:t>Uganda</w:t>
      </w:r>
      <w:r w:rsidR="00D94108" w:rsidRPr="00435368">
        <w:rPr>
          <w:rFonts w:ascii="Times New Roman" w:hAnsi="Times New Roman"/>
          <w:sz w:val="20"/>
          <w:szCs w:val="20"/>
        </w:rPr>
        <w:t>,</w:t>
      </w:r>
      <w:r w:rsidR="00D94108" w:rsidRPr="00F74FE7">
        <w:rPr>
          <w:rFonts w:ascii="Times New Roman" w:hAnsi="Times New Roman"/>
          <w:sz w:val="20"/>
          <w:szCs w:val="20"/>
        </w:rPr>
        <w:t xml:space="preserve"> Cash for Work has reached out to refugees and host communities by providing tempora</w:t>
      </w:r>
      <w:r w:rsidRPr="00F74FE7">
        <w:rPr>
          <w:rFonts w:ascii="Times New Roman" w:hAnsi="Times New Roman"/>
          <w:sz w:val="20"/>
          <w:szCs w:val="20"/>
        </w:rPr>
        <w:t>ry employment opportunities</w:t>
      </w:r>
      <w:r w:rsidR="00435368">
        <w:rPr>
          <w:rFonts w:ascii="Times New Roman" w:hAnsi="Times New Roman"/>
          <w:sz w:val="20"/>
          <w:szCs w:val="20"/>
        </w:rPr>
        <w:t>;</w:t>
      </w:r>
      <w:r w:rsidR="00435368" w:rsidRPr="00F74FE7">
        <w:rPr>
          <w:rFonts w:ascii="Times New Roman" w:hAnsi="Times New Roman"/>
          <w:sz w:val="20"/>
          <w:szCs w:val="20"/>
        </w:rPr>
        <w:t xml:space="preserve"> </w:t>
      </w:r>
      <w:r w:rsidRPr="00F74FE7">
        <w:rPr>
          <w:rFonts w:ascii="Times New Roman" w:hAnsi="Times New Roman"/>
          <w:sz w:val="20"/>
          <w:szCs w:val="20"/>
        </w:rPr>
        <w:t>60 per cent</w:t>
      </w:r>
      <w:r w:rsidR="00D94108" w:rsidRPr="00F74FE7">
        <w:rPr>
          <w:rFonts w:ascii="Times New Roman" w:hAnsi="Times New Roman"/>
          <w:sz w:val="20"/>
          <w:szCs w:val="20"/>
        </w:rPr>
        <w:t xml:space="preserve"> of all beneficiaries are women, a large proportion of them widows or survivors o</w:t>
      </w:r>
      <w:r w:rsidRPr="00F74FE7">
        <w:rPr>
          <w:rFonts w:ascii="Times New Roman" w:hAnsi="Times New Roman"/>
          <w:sz w:val="20"/>
          <w:szCs w:val="20"/>
        </w:rPr>
        <w:t>f SGBV</w:t>
      </w:r>
      <w:r w:rsidR="00D94108" w:rsidRPr="00F74FE7">
        <w:rPr>
          <w:rFonts w:ascii="Times New Roman" w:hAnsi="Times New Roman"/>
          <w:sz w:val="20"/>
          <w:szCs w:val="20"/>
        </w:rPr>
        <w:t xml:space="preserve">. </w:t>
      </w:r>
      <w:r w:rsidRPr="00F74FE7">
        <w:rPr>
          <w:rFonts w:ascii="Times New Roman" w:hAnsi="Times New Roman"/>
          <w:sz w:val="20"/>
          <w:szCs w:val="20"/>
        </w:rPr>
        <w:t xml:space="preserve"> </w:t>
      </w:r>
    </w:p>
    <w:bookmarkEnd w:id="8"/>
    <w:p w:rsidR="00D6176C" w:rsidRDefault="00D6176C" w:rsidP="003411CA">
      <w:pPr>
        <w:spacing w:after="0" w:line="0" w:lineRule="atLeast"/>
        <w:jc w:val="both"/>
        <w:rPr>
          <w:rFonts w:ascii="Times New Roman" w:eastAsia="Times New Roman" w:hAnsi="Times New Roman"/>
          <w:bCs/>
          <w:sz w:val="20"/>
          <w:szCs w:val="20"/>
          <w:lang w:val="en-US"/>
        </w:rPr>
      </w:pPr>
    </w:p>
    <w:tbl>
      <w:tblPr>
        <w:tblStyle w:val="TableGrid"/>
        <w:tblW w:w="8544" w:type="dxa"/>
        <w:tblInd w:w="400" w:type="dxa"/>
        <w:tblLook w:val="04A0" w:firstRow="1" w:lastRow="0" w:firstColumn="1" w:lastColumn="0" w:noHBand="0" w:noVBand="1"/>
      </w:tblPr>
      <w:tblGrid>
        <w:gridCol w:w="8544"/>
      </w:tblGrid>
      <w:tr w:rsidR="00D6176C" w:rsidTr="00A237D4">
        <w:tc>
          <w:tcPr>
            <w:tcW w:w="8544" w:type="dxa"/>
          </w:tcPr>
          <w:p w:rsidR="00D6176C" w:rsidRPr="00C72912" w:rsidRDefault="008B2AB0" w:rsidP="00F74FE7">
            <w:pPr>
              <w:spacing w:after="0" w:line="0" w:lineRule="atLeast"/>
              <w:jc w:val="both"/>
              <w:rPr>
                <w:rFonts w:ascii="Times New Roman" w:hAnsi="Times New Roman"/>
                <w:b/>
                <w:bCs/>
                <w:sz w:val="20"/>
                <w:szCs w:val="20"/>
              </w:rPr>
            </w:pPr>
            <w:r>
              <w:rPr>
                <w:rFonts w:ascii="Times New Roman" w:hAnsi="Times New Roman"/>
                <w:b/>
                <w:bCs/>
                <w:sz w:val="20"/>
                <w:szCs w:val="20"/>
              </w:rPr>
              <w:t xml:space="preserve">Box 3.  </w:t>
            </w:r>
            <w:r w:rsidR="00435368">
              <w:rPr>
                <w:rFonts w:ascii="Times New Roman" w:hAnsi="Times New Roman"/>
                <w:b/>
                <w:bCs/>
                <w:sz w:val="20"/>
                <w:szCs w:val="20"/>
              </w:rPr>
              <w:t xml:space="preserve">The </w:t>
            </w:r>
            <w:r w:rsidR="00D6176C" w:rsidRPr="00C72912">
              <w:rPr>
                <w:rFonts w:ascii="Times New Roman" w:hAnsi="Times New Roman"/>
                <w:b/>
                <w:bCs/>
                <w:sz w:val="20"/>
                <w:szCs w:val="20"/>
              </w:rPr>
              <w:t xml:space="preserve">New </w:t>
            </w:r>
            <w:r w:rsidR="00435368">
              <w:rPr>
                <w:rFonts w:ascii="Times New Roman" w:hAnsi="Times New Roman"/>
                <w:b/>
                <w:bCs/>
                <w:sz w:val="20"/>
                <w:szCs w:val="20"/>
              </w:rPr>
              <w:t>W</w:t>
            </w:r>
            <w:r w:rsidR="00435368" w:rsidRPr="00C72912">
              <w:rPr>
                <w:rFonts w:ascii="Times New Roman" w:hAnsi="Times New Roman"/>
                <w:b/>
                <w:bCs/>
                <w:sz w:val="20"/>
                <w:szCs w:val="20"/>
              </w:rPr>
              <w:t xml:space="preserve">ay </w:t>
            </w:r>
            <w:r w:rsidR="00D6176C" w:rsidRPr="00C72912">
              <w:rPr>
                <w:rFonts w:ascii="Times New Roman" w:hAnsi="Times New Roman"/>
                <w:b/>
                <w:bCs/>
                <w:sz w:val="20"/>
                <w:szCs w:val="20"/>
              </w:rPr>
              <w:t xml:space="preserve">of </w:t>
            </w:r>
            <w:r w:rsidR="00435368">
              <w:rPr>
                <w:rFonts w:ascii="Times New Roman" w:hAnsi="Times New Roman"/>
                <w:b/>
                <w:bCs/>
                <w:sz w:val="20"/>
                <w:szCs w:val="20"/>
              </w:rPr>
              <w:t>W</w:t>
            </w:r>
            <w:r w:rsidR="00435368" w:rsidRPr="00C72912">
              <w:rPr>
                <w:rFonts w:ascii="Times New Roman" w:hAnsi="Times New Roman"/>
                <w:b/>
                <w:bCs/>
                <w:sz w:val="20"/>
                <w:szCs w:val="20"/>
              </w:rPr>
              <w:t xml:space="preserve">orking </w:t>
            </w:r>
            <w:r w:rsidR="00D6176C" w:rsidRPr="00C72912">
              <w:rPr>
                <w:rFonts w:ascii="Times New Roman" w:hAnsi="Times New Roman"/>
                <w:b/>
                <w:bCs/>
                <w:sz w:val="20"/>
                <w:szCs w:val="20"/>
              </w:rPr>
              <w:t xml:space="preserve">at </w:t>
            </w:r>
            <w:r w:rsidR="00D6176C">
              <w:rPr>
                <w:rFonts w:ascii="Times New Roman" w:hAnsi="Times New Roman"/>
                <w:b/>
                <w:bCs/>
                <w:sz w:val="20"/>
                <w:szCs w:val="20"/>
              </w:rPr>
              <w:t xml:space="preserve">the </w:t>
            </w:r>
            <w:r w:rsidR="00D6176C" w:rsidRPr="00C72912">
              <w:rPr>
                <w:rFonts w:ascii="Times New Roman" w:hAnsi="Times New Roman"/>
                <w:b/>
                <w:bCs/>
                <w:sz w:val="20"/>
                <w:szCs w:val="20"/>
              </w:rPr>
              <w:t>country level</w:t>
            </w:r>
          </w:p>
          <w:p w:rsidR="00D6176C" w:rsidRPr="00933EC6" w:rsidRDefault="00D6176C" w:rsidP="00F74FE7">
            <w:pPr>
              <w:spacing w:after="0" w:line="0" w:lineRule="atLeast"/>
              <w:jc w:val="both"/>
              <w:rPr>
                <w:rFonts w:ascii="Times New Roman" w:hAnsi="Times New Roman"/>
                <w:bCs/>
                <w:sz w:val="12"/>
                <w:szCs w:val="12"/>
              </w:rPr>
            </w:pPr>
          </w:p>
          <w:p w:rsidR="00D6176C" w:rsidRPr="0057006A" w:rsidRDefault="00D6176C" w:rsidP="003411CA">
            <w:pPr>
              <w:spacing w:after="0" w:line="0" w:lineRule="atLeast"/>
              <w:jc w:val="both"/>
              <w:rPr>
                <w:rFonts w:ascii="Times New Roman" w:hAnsi="Times New Roman"/>
                <w:bCs/>
                <w:sz w:val="20"/>
                <w:szCs w:val="20"/>
              </w:rPr>
            </w:pPr>
            <w:r>
              <w:rPr>
                <w:rFonts w:ascii="Times New Roman" w:eastAsia="Times New Roman" w:hAnsi="Times New Roman"/>
                <w:bCs/>
                <w:sz w:val="20"/>
                <w:szCs w:val="20"/>
                <w:lang w:val="en-US"/>
              </w:rPr>
              <w:t xml:space="preserve">In 2017, UNDP and its partners provided increased leadership and engagement in bringing coherence to humanitarian, development and peace efforts through the </w:t>
            </w:r>
            <w:r w:rsidRPr="00435368">
              <w:rPr>
                <w:rFonts w:ascii="Times New Roman" w:eastAsia="Times New Roman" w:hAnsi="Times New Roman"/>
                <w:bCs/>
                <w:sz w:val="20"/>
                <w:szCs w:val="20"/>
                <w:lang w:val="en-US"/>
              </w:rPr>
              <w:t>New Way of Working</w:t>
            </w:r>
            <w:r>
              <w:rPr>
                <w:rFonts w:ascii="Times New Roman" w:eastAsia="Times New Roman" w:hAnsi="Times New Roman"/>
                <w:bCs/>
                <w:sz w:val="20"/>
                <w:szCs w:val="20"/>
                <w:lang w:val="en-US"/>
              </w:rPr>
              <w:t xml:space="preserve">. </w:t>
            </w:r>
            <w:r>
              <w:rPr>
                <w:rFonts w:ascii="Times New Roman" w:hAnsi="Times New Roman"/>
                <w:bCs/>
                <w:sz w:val="20"/>
                <w:szCs w:val="20"/>
              </w:rPr>
              <w:t>I</w:t>
            </w:r>
            <w:r w:rsidRPr="003F5460">
              <w:rPr>
                <w:rFonts w:ascii="Times New Roman" w:hAnsi="Times New Roman"/>
                <w:bCs/>
                <w:sz w:val="20"/>
                <w:szCs w:val="20"/>
              </w:rPr>
              <w:t xml:space="preserve">n </w:t>
            </w:r>
            <w:r w:rsidRPr="00435368">
              <w:rPr>
                <w:rFonts w:ascii="Times New Roman" w:hAnsi="Times New Roman"/>
                <w:bCs/>
                <w:sz w:val="20"/>
                <w:szCs w:val="20"/>
              </w:rPr>
              <w:t>Somalia</w:t>
            </w:r>
            <w:r>
              <w:rPr>
                <w:rFonts w:ascii="Times New Roman" w:hAnsi="Times New Roman"/>
                <w:b/>
                <w:bCs/>
                <w:sz w:val="20"/>
                <w:szCs w:val="20"/>
              </w:rPr>
              <w:t>,</w:t>
            </w:r>
            <w:r>
              <w:rPr>
                <w:rFonts w:ascii="Times New Roman" w:hAnsi="Times New Roman"/>
                <w:bCs/>
                <w:sz w:val="20"/>
                <w:szCs w:val="20"/>
              </w:rPr>
              <w:t xml:space="preserve"> </w:t>
            </w:r>
            <w:r w:rsidR="006E7D03">
              <w:rPr>
                <w:rFonts w:ascii="Times New Roman" w:hAnsi="Times New Roman"/>
                <w:bCs/>
                <w:sz w:val="20"/>
                <w:szCs w:val="20"/>
              </w:rPr>
              <w:t>t</w:t>
            </w:r>
            <w:r w:rsidRPr="003F5460">
              <w:rPr>
                <w:rFonts w:ascii="Times New Roman" w:hAnsi="Times New Roman"/>
                <w:bCs/>
                <w:sz w:val="20"/>
                <w:szCs w:val="20"/>
              </w:rPr>
              <w:t>he Recovery and R</w:t>
            </w:r>
            <w:r>
              <w:rPr>
                <w:rFonts w:ascii="Times New Roman" w:hAnsi="Times New Roman"/>
                <w:bCs/>
                <w:sz w:val="20"/>
                <w:szCs w:val="20"/>
              </w:rPr>
              <w:t>esilience Framework instilled</w:t>
            </w:r>
            <w:r w:rsidRPr="003F5460">
              <w:rPr>
                <w:rFonts w:ascii="Times New Roman" w:hAnsi="Times New Roman"/>
                <w:bCs/>
                <w:sz w:val="20"/>
                <w:szCs w:val="20"/>
              </w:rPr>
              <w:t xml:space="preserve"> resilient and sustainable recovery from drought, dr</w:t>
            </w:r>
            <w:r>
              <w:rPr>
                <w:rFonts w:ascii="Times New Roman" w:hAnsi="Times New Roman"/>
                <w:bCs/>
                <w:sz w:val="20"/>
                <w:szCs w:val="20"/>
              </w:rPr>
              <w:t>ought-induced conflicts, hunger</w:t>
            </w:r>
            <w:r w:rsidRPr="003F5460">
              <w:rPr>
                <w:rFonts w:ascii="Times New Roman" w:hAnsi="Times New Roman"/>
                <w:bCs/>
                <w:sz w:val="20"/>
                <w:szCs w:val="20"/>
              </w:rPr>
              <w:t xml:space="preserve"> and poverty. </w:t>
            </w:r>
            <w:r>
              <w:rPr>
                <w:rFonts w:ascii="Times New Roman" w:hAnsi="Times New Roman"/>
                <w:bCs/>
                <w:sz w:val="20"/>
                <w:szCs w:val="20"/>
              </w:rPr>
              <w:t xml:space="preserve">The </w:t>
            </w:r>
            <w:r w:rsidR="00435368">
              <w:rPr>
                <w:rFonts w:ascii="Times New Roman" w:hAnsi="Times New Roman"/>
                <w:bCs/>
                <w:sz w:val="20"/>
                <w:szCs w:val="20"/>
              </w:rPr>
              <w:t>framework</w:t>
            </w:r>
            <w:r w:rsidR="00435368" w:rsidRPr="003F5460">
              <w:rPr>
                <w:rFonts w:ascii="Times New Roman" w:hAnsi="Times New Roman"/>
                <w:bCs/>
                <w:sz w:val="20"/>
                <w:szCs w:val="20"/>
              </w:rPr>
              <w:t xml:space="preserve"> </w:t>
            </w:r>
            <w:r>
              <w:rPr>
                <w:rFonts w:ascii="Times New Roman" w:hAnsi="Times New Roman"/>
                <w:bCs/>
                <w:sz w:val="20"/>
                <w:szCs w:val="20"/>
              </w:rPr>
              <w:t>resulted from a</w:t>
            </w:r>
            <w:r w:rsidRPr="003F5460">
              <w:rPr>
                <w:rFonts w:ascii="Times New Roman" w:hAnsi="Times New Roman"/>
                <w:bCs/>
                <w:sz w:val="20"/>
                <w:szCs w:val="20"/>
              </w:rPr>
              <w:t xml:space="preserve"> </w:t>
            </w:r>
            <w:r w:rsidR="00435368">
              <w:rPr>
                <w:rFonts w:ascii="Times New Roman" w:hAnsi="Times New Roman"/>
                <w:bCs/>
                <w:sz w:val="20"/>
                <w:szCs w:val="20"/>
              </w:rPr>
              <w:t>d</w:t>
            </w:r>
            <w:r w:rsidR="00435368" w:rsidRPr="003F5460">
              <w:rPr>
                <w:rFonts w:ascii="Times New Roman" w:hAnsi="Times New Roman"/>
                <w:bCs/>
                <w:sz w:val="20"/>
                <w:szCs w:val="20"/>
              </w:rPr>
              <w:t xml:space="preserve">rought </w:t>
            </w:r>
            <w:r w:rsidR="00435368">
              <w:rPr>
                <w:rFonts w:ascii="Times New Roman" w:hAnsi="Times New Roman"/>
                <w:bCs/>
                <w:sz w:val="20"/>
                <w:szCs w:val="20"/>
              </w:rPr>
              <w:t>i</w:t>
            </w:r>
            <w:r w:rsidR="00435368" w:rsidRPr="003F5460">
              <w:rPr>
                <w:rFonts w:ascii="Times New Roman" w:hAnsi="Times New Roman"/>
                <w:bCs/>
                <w:sz w:val="20"/>
                <w:szCs w:val="20"/>
              </w:rPr>
              <w:t xml:space="preserve">mpact </w:t>
            </w:r>
            <w:r w:rsidR="00435368">
              <w:rPr>
                <w:rFonts w:ascii="Times New Roman" w:hAnsi="Times New Roman"/>
                <w:bCs/>
                <w:sz w:val="20"/>
                <w:szCs w:val="20"/>
              </w:rPr>
              <w:t>n</w:t>
            </w:r>
            <w:r w:rsidR="00435368" w:rsidRPr="003F5460">
              <w:rPr>
                <w:rFonts w:ascii="Times New Roman" w:hAnsi="Times New Roman"/>
                <w:bCs/>
                <w:sz w:val="20"/>
                <w:szCs w:val="20"/>
              </w:rPr>
              <w:t xml:space="preserve">eeds </w:t>
            </w:r>
            <w:r w:rsidR="00435368">
              <w:rPr>
                <w:rFonts w:ascii="Times New Roman" w:hAnsi="Times New Roman"/>
                <w:bCs/>
                <w:sz w:val="20"/>
                <w:szCs w:val="20"/>
              </w:rPr>
              <w:t>a</w:t>
            </w:r>
            <w:r w:rsidR="00435368" w:rsidRPr="003F5460">
              <w:rPr>
                <w:rFonts w:ascii="Times New Roman" w:hAnsi="Times New Roman"/>
                <w:bCs/>
                <w:sz w:val="20"/>
                <w:szCs w:val="20"/>
              </w:rPr>
              <w:t xml:space="preserve">ssessment </w:t>
            </w:r>
            <w:r w:rsidRPr="003F5460">
              <w:rPr>
                <w:rFonts w:ascii="Times New Roman" w:hAnsi="Times New Roman"/>
                <w:bCs/>
                <w:sz w:val="20"/>
                <w:szCs w:val="20"/>
              </w:rPr>
              <w:t>led by the Fede</w:t>
            </w:r>
            <w:r>
              <w:rPr>
                <w:rFonts w:ascii="Times New Roman" w:hAnsi="Times New Roman"/>
                <w:bCs/>
                <w:sz w:val="20"/>
                <w:szCs w:val="20"/>
              </w:rPr>
              <w:t xml:space="preserve">ral Government of Somalia </w:t>
            </w:r>
            <w:r w:rsidRPr="003F5460">
              <w:rPr>
                <w:rFonts w:ascii="Times New Roman" w:hAnsi="Times New Roman"/>
                <w:bCs/>
                <w:sz w:val="20"/>
                <w:szCs w:val="20"/>
              </w:rPr>
              <w:t xml:space="preserve">in the last quarter </w:t>
            </w:r>
            <w:r>
              <w:rPr>
                <w:rFonts w:ascii="Times New Roman" w:hAnsi="Times New Roman"/>
                <w:bCs/>
                <w:sz w:val="20"/>
                <w:szCs w:val="20"/>
              </w:rPr>
              <w:t xml:space="preserve">of 2017. </w:t>
            </w:r>
            <w:r w:rsidR="00435368">
              <w:rPr>
                <w:rFonts w:ascii="Times New Roman" w:hAnsi="Times New Roman"/>
                <w:bCs/>
                <w:sz w:val="20"/>
                <w:szCs w:val="20"/>
              </w:rPr>
              <w:t xml:space="preserve">The needs assessment </w:t>
            </w:r>
            <w:r w:rsidRPr="003F5460">
              <w:rPr>
                <w:rFonts w:ascii="Times New Roman" w:hAnsi="Times New Roman"/>
                <w:sz w:val="20"/>
                <w:szCs w:val="20"/>
              </w:rPr>
              <w:t xml:space="preserve">is widely acknowledged as having set new </w:t>
            </w:r>
            <w:r>
              <w:rPr>
                <w:rFonts w:ascii="Times New Roman" w:hAnsi="Times New Roman"/>
                <w:sz w:val="20"/>
                <w:szCs w:val="20"/>
              </w:rPr>
              <w:t>parameters</w:t>
            </w:r>
            <w:r w:rsidRPr="003F5460">
              <w:rPr>
                <w:rFonts w:ascii="Times New Roman" w:hAnsi="Times New Roman"/>
                <w:sz w:val="20"/>
                <w:szCs w:val="20"/>
              </w:rPr>
              <w:t xml:space="preserve"> for recov</w:t>
            </w:r>
            <w:r>
              <w:rPr>
                <w:rFonts w:ascii="Times New Roman" w:hAnsi="Times New Roman"/>
                <w:sz w:val="20"/>
                <w:szCs w:val="20"/>
              </w:rPr>
              <w:t xml:space="preserve">ery and </w:t>
            </w:r>
            <w:r w:rsidR="00435368">
              <w:rPr>
                <w:rFonts w:ascii="Times New Roman" w:hAnsi="Times New Roman"/>
                <w:sz w:val="20"/>
                <w:szCs w:val="20"/>
              </w:rPr>
              <w:t>State</w:t>
            </w:r>
            <w:r w:rsidR="00607A79">
              <w:rPr>
                <w:rFonts w:ascii="Times New Roman" w:hAnsi="Times New Roman"/>
                <w:sz w:val="20"/>
                <w:szCs w:val="20"/>
              </w:rPr>
              <w:t>-</w:t>
            </w:r>
            <w:r>
              <w:rPr>
                <w:rFonts w:ascii="Times New Roman" w:hAnsi="Times New Roman"/>
                <w:sz w:val="20"/>
                <w:szCs w:val="20"/>
              </w:rPr>
              <w:t>building and</w:t>
            </w:r>
            <w:r w:rsidRPr="003F5460">
              <w:rPr>
                <w:rFonts w:ascii="Times New Roman" w:hAnsi="Times New Roman"/>
                <w:sz w:val="20"/>
                <w:szCs w:val="20"/>
              </w:rPr>
              <w:t xml:space="preserve"> represents a</w:t>
            </w:r>
            <w:r>
              <w:rPr>
                <w:rFonts w:ascii="Times New Roman" w:hAnsi="Times New Roman"/>
                <w:sz w:val="20"/>
                <w:szCs w:val="20"/>
              </w:rPr>
              <w:t xml:space="preserve"> novel approach</w:t>
            </w:r>
            <w:r w:rsidRPr="003F5460">
              <w:rPr>
                <w:rFonts w:ascii="Times New Roman" w:hAnsi="Times New Roman"/>
                <w:sz w:val="20"/>
                <w:szCs w:val="20"/>
              </w:rPr>
              <w:t xml:space="preserve"> </w:t>
            </w:r>
            <w:r>
              <w:rPr>
                <w:rFonts w:ascii="Times New Roman" w:hAnsi="Times New Roman"/>
                <w:sz w:val="20"/>
                <w:szCs w:val="20"/>
              </w:rPr>
              <w:t>to</w:t>
            </w:r>
            <w:r w:rsidRPr="003F5460">
              <w:rPr>
                <w:rFonts w:ascii="Times New Roman" w:hAnsi="Times New Roman"/>
                <w:sz w:val="20"/>
                <w:szCs w:val="20"/>
              </w:rPr>
              <w:t xml:space="preserve"> traditional </w:t>
            </w:r>
            <w:r>
              <w:rPr>
                <w:rFonts w:ascii="Times New Roman" w:hAnsi="Times New Roman"/>
                <w:sz w:val="20"/>
                <w:szCs w:val="20"/>
              </w:rPr>
              <w:t xml:space="preserve">post-disaster needs assessment </w:t>
            </w:r>
            <w:r w:rsidRPr="003F5460">
              <w:rPr>
                <w:rFonts w:ascii="Times New Roman" w:hAnsi="Times New Roman"/>
                <w:sz w:val="20"/>
                <w:szCs w:val="20"/>
              </w:rPr>
              <w:t>methodology</w:t>
            </w:r>
            <w:r>
              <w:rPr>
                <w:rFonts w:ascii="Times New Roman" w:hAnsi="Times New Roman"/>
                <w:sz w:val="20"/>
                <w:szCs w:val="20"/>
              </w:rPr>
              <w:t>,</w:t>
            </w:r>
            <w:r w:rsidRPr="003F5460">
              <w:rPr>
                <w:rFonts w:ascii="Times New Roman" w:hAnsi="Times New Roman"/>
                <w:sz w:val="20"/>
                <w:szCs w:val="20"/>
              </w:rPr>
              <w:t xml:space="preserve"> as well as </w:t>
            </w:r>
            <w:r w:rsidR="00607A79">
              <w:rPr>
                <w:rFonts w:ascii="Times New Roman" w:hAnsi="Times New Roman"/>
                <w:sz w:val="20"/>
                <w:szCs w:val="20"/>
              </w:rPr>
              <w:t xml:space="preserve">having </w:t>
            </w:r>
            <w:r w:rsidR="00607A79" w:rsidRPr="003C39AF">
              <w:rPr>
                <w:rFonts w:ascii="Times New Roman" w:hAnsi="Times New Roman"/>
                <w:sz w:val="20"/>
                <w:szCs w:val="20"/>
              </w:rPr>
              <w:t>introduc</w:t>
            </w:r>
            <w:r w:rsidR="00607A79">
              <w:rPr>
                <w:rFonts w:ascii="Times New Roman" w:hAnsi="Times New Roman"/>
                <w:sz w:val="20"/>
                <w:szCs w:val="20"/>
              </w:rPr>
              <w:t>ed</w:t>
            </w:r>
            <w:r w:rsidR="00607A79" w:rsidRPr="003C39AF">
              <w:rPr>
                <w:rFonts w:ascii="Times New Roman" w:hAnsi="Times New Roman"/>
                <w:sz w:val="20"/>
                <w:szCs w:val="20"/>
              </w:rPr>
              <w:t xml:space="preserve"> </w:t>
            </w:r>
            <w:r w:rsidRPr="003C39AF">
              <w:rPr>
                <w:rFonts w:ascii="Times New Roman" w:hAnsi="Times New Roman"/>
                <w:sz w:val="20"/>
                <w:szCs w:val="20"/>
              </w:rPr>
              <w:t>stronger recovery and resilience actions</w:t>
            </w:r>
            <w:r w:rsidRPr="00A92A30">
              <w:rPr>
                <w:rFonts w:ascii="Times New Roman" w:hAnsi="Times New Roman"/>
                <w:sz w:val="20"/>
                <w:szCs w:val="20"/>
              </w:rPr>
              <w:t xml:space="preserve"> into</w:t>
            </w:r>
            <w:r w:rsidRPr="0057006A">
              <w:rPr>
                <w:rFonts w:ascii="Times New Roman" w:hAnsi="Times New Roman"/>
                <w:sz w:val="20"/>
                <w:szCs w:val="20"/>
              </w:rPr>
              <w:t xml:space="preserve"> a conflict setting. </w:t>
            </w:r>
            <w:r w:rsidRPr="0057006A">
              <w:rPr>
                <w:rFonts w:ascii="Times New Roman" w:hAnsi="Times New Roman"/>
                <w:bCs/>
                <w:sz w:val="20"/>
                <w:szCs w:val="20"/>
              </w:rPr>
              <w:t xml:space="preserve"> </w:t>
            </w:r>
          </w:p>
          <w:p w:rsidR="0057006A" w:rsidRPr="00933EC6" w:rsidRDefault="0057006A" w:rsidP="003411CA">
            <w:pPr>
              <w:spacing w:after="0" w:line="0" w:lineRule="atLeast"/>
              <w:jc w:val="both"/>
              <w:rPr>
                <w:rFonts w:ascii="Times New Roman" w:hAnsi="Times New Roman"/>
                <w:bCs/>
                <w:sz w:val="12"/>
                <w:szCs w:val="12"/>
              </w:rPr>
            </w:pPr>
          </w:p>
          <w:p w:rsidR="0057006A" w:rsidRDefault="0057006A" w:rsidP="00F74FE7">
            <w:pPr>
              <w:spacing w:after="0" w:line="0" w:lineRule="atLeast"/>
              <w:jc w:val="both"/>
              <w:rPr>
                <w:rFonts w:ascii="Times New Roman" w:hAnsi="Times New Roman"/>
                <w:iCs/>
                <w:sz w:val="20"/>
                <w:szCs w:val="20"/>
                <w:lang w:val="tr-TR"/>
              </w:rPr>
            </w:pPr>
            <w:r w:rsidRPr="00F74FE7">
              <w:rPr>
                <w:rFonts w:ascii="Times New Roman" w:hAnsi="Times New Roman"/>
                <w:iCs/>
                <w:sz w:val="20"/>
                <w:szCs w:val="20"/>
                <w:lang w:val="tr-TR"/>
              </w:rPr>
              <w:t xml:space="preserve">In </w:t>
            </w:r>
            <w:r w:rsidRPr="00435368">
              <w:rPr>
                <w:rFonts w:ascii="Times New Roman" w:hAnsi="Times New Roman"/>
                <w:iCs/>
                <w:sz w:val="20"/>
                <w:szCs w:val="20"/>
                <w:lang w:val="tr-TR"/>
              </w:rPr>
              <w:t>Turkey</w:t>
            </w:r>
            <w:r w:rsidRPr="003C39AF">
              <w:rPr>
                <w:rFonts w:ascii="Times New Roman" w:hAnsi="Times New Roman"/>
                <w:b/>
                <w:iCs/>
                <w:sz w:val="20"/>
                <w:szCs w:val="20"/>
                <w:lang w:val="tr-TR"/>
              </w:rPr>
              <w:t xml:space="preserve">, </w:t>
            </w:r>
            <w:r w:rsidRPr="00F74FE7">
              <w:rPr>
                <w:rFonts w:ascii="Times New Roman" w:hAnsi="Times New Roman"/>
                <w:iCs/>
                <w:sz w:val="20"/>
                <w:szCs w:val="20"/>
                <w:lang w:val="tr-TR"/>
              </w:rPr>
              <w:t>as lead agency for the resilience pillar of the</w:t>
            </w:r>
            <w:r w:rsidRPr="00F74FE7">
              <w:rPr>
                <w:rFonts w:ascii="Times New Roman" w:hAnsi="Times New Roman"/>
                <w:sz w:val="20"/>
                <w:szCs w:val="20"/>
                <w:lang w:val="tr-TR"/>
              </w:rPr>
              <w:t xml:space="preserve"> </w:t>
            </w:r>
            <w:r w:rsidRPr="00F74FE7">
              <w:rPr>
                <w:rFonts w:ascii="Times New Roman" w:hAnsi="Times New Roman"/>
                <w:iCs/>
                <w:sz w:val="20"/>
                <w:szCs w:val="20"/>
                <w:lang w:val="tr-TR"/>
              </w:rPr>
              <w:t xml:space="preserve">Regional Refugee and Resilience Plan </w:t>
            </w:r>
            <w:r>
              <w:rPr>
                <w:rFonts w:ascii="Times New Roman" w:hAnsi="Times New Roman"/>
                <w:iCs/>
                <w:sz w:val="20"/>
                <w:szCs w:val="20"/>
                <w:lang w:val="tr-TR"/>
              </w:rPr>
              <w:t xml:space="preserve"> </w:t>
            </w:r>
            <w:r w:rsidRPr="00F74FE7">
              <w:rPr>
                <w:rFonts w:ascii="Times New Roman" w:hAnsi="Times New Roman"/>
                <w:iCs/>
                <w:sz w:val="20"/>
                <w:szCs w:val="20"/>
                <w:lang w:val="tr-TR"/>
              </w:rPr>
              <w:t xml:space="preserve">for </w:t>
            </w:r>
            <w:r w:rsidR="00435368">
              <w:rPr>
                <w:rFonts w:ascii="Times New Roman" w:hAnsi="Times New Roman"/>
                <w:iCs/>
                <w:sz w:val="20"/>
                <w:szCs w:val="20"/>
                <w:lang w:val="tr-TR"/>
              </w:rPr>
              <w:t xml:space="preserve">the </w:t>
            </w:r>
            <w:r w:rsidRPr="00F74FE7">
              <w:rPr>
                <w:rFonts w:ascii="Times New Roman" w:hAnsi="Times New Roman"/>
                <w:iCs/>
                <w:sz w:val="20"/>
                <w:szCs w:val="20"/>
                <w:lang w:val="tr-TR"/>
              </w:rPr>
              <w:t>Syria</w:t>
            </w:r>
            <w:r w:rsidR="00435368">
              <w:rPr>
                <w:rFonts w:ascii="Times New Roman" w:hAnsi="Times New Roman"/>
                <w:iCs/>
                <w:sz w:val="20"/>
                <w:szCs w:val="20"/>
                <w:lang w:val="tr-TR"/>
              </w:rPr>
              <w:t>n crisis</w:t>
            </w:r>
            <w:r>
              <w:rPr>
                <w:rFonts w:ascii="Times New Roman" w:hAnsi="Times New Roman"/>
                <w:iCs/>
                <w:sz w:val="20"/>
                <w:szCs w:val="20"/>
                <w:lang w:val="tr-TR"/>
              </w:rPr>
              <w:t>,</w:t>
            </w:r>
            <w:r w:rsidRPr="00F74FE7">
              <w:rPr>
                <w:rFonts w:ascii="Times New Roman" w:hAnsi="Times New Roman"/>
                <w:iCs/>
                <w:sz w:val="20"/>
                <w:szCs w:val="20"/>
                <w:lang w:val="tr-TR"/>
              </w:rPr>
              <w:t xml:space="preserve"> </w:t>
            </w:r>
            <w:r w:rsidR="00712605" w:rsidRPr="00F74FE7">
              <w:rPr>
                <w:rFonts w:ascii="Times New Roman" w:hAnsi="Times New Roman"/>
                <w:iCs/>
                <w:sz w:val="20"/>
                <w:szCs w:val="20"/>
                <w:lang w:val="tr-TR"/>
              </w:rPr>
              <w:t xml:space="preserve">UNDP </w:t>
            </w:r>
            <w:r w:rsidRPr="00F74FE7">
              <w:rPr>
                <w:rFonts w:ascii="Times New Roman" w:hAnsi="Times New Roman"/>
                <w:iCs/>
                <w:sz w:val="20"/>
                <w:szCs w:val="20"/>
                <w:lang w:val="tr-TR"/>
              </w:rPr>
              <w:t>has steered efforts to focus the response efforts on mid</w:t>
            </w:r>
            <w:r>
              <w:rPr>
                <w:rFonts w:ascii="Times New Roman" w:hAnsi="Times New Roman"/>
                <w:iCs/>
                <w:sz w:val="20"/>
                <w:szCs w:val="20"/>
                <w:lang w:val="tr-TR"/>
              </w:rPr>
              <w:t>-</w:t>
            </w:r>
            <w:r w:rsidRPr="003C39AF">
              <w:rPr>
                <w:rFonts w:ascii="Times New Roman" w:hAnsi="Times New Roman"/>
                <w:iCs/>
                <w:sz w:val="20"/>
                <w:szCs w:val="20"/>
                <w:lang w:val="tr-TR"/>
              </w:rPr>
              <w:t xml:space="preserve"> and longer-</w:t>
            </w:r>
            <w:r w:rsidRPr="00F74FE7">
              <w:rPr>
                <w:rFonts w:ascii="Times New Roman" w:hAnsi="Times New Roman"/>
                <w:iCs/>
                <w:sz w:val="20"/>
                <w:szCs w:val="20"/>
                <w:lang w:val="tr-TR"/>
              </w:rPr>
              <w:t>term development gains for both host communities and Syrians. This resulted in a</w:t>
            </w:r>
            <w:r w:rsidRPr="003C39AF">
              <w:rPr>
                <w:rFonts w:ascii="Times New Roman" w:hAnsi="Times New Roman"/>
                <w:iCs/>
                <w:sz w:val="20"/>
                <w:szCs w:val="20"/>
                <w:lang w:val="tr-TR"/>
              </w:rPr>
              <w:t xml:space="preserve"> significant increase (over 100 per cent</w:t>
            </w:r>
            <w:r w:rsidRPr="00F74FE7">
              <w:rPr>
                <w:rFonts w:ascii="Times New Roman" w:hAnsi="Times New Roman"/>
                <w:iCs/>
                <w:sz w:val="20"/>
                <w:szCs w:val="20"/>
                <w:lang w:val="tr-TR"/>
              </w:rPr>
              <w:t xml:space="preserve">) in the budget allocated to resilience efforts in all sectors in 2017 and is expected to </w:t>
            </w:r>
            <w:r w:rsidR="00607A79">
              <w:rPr>
                <w:rFonts w:ascii="Times New Roman" w:hAnsi="Times New Roman"/>
                <w:iCs/>
                <w:sz w:val="20"/>
                <w:szCs w:val="20"/>
                <w:lang w:val="tr-TR"/>
              </w:rPr>
              <w:t xml:space="preserve">grow </w:t>
            </w:r>
            <w:r w:rsidRPr="00F74FE7">
              <w:rPr>
                <w:rFonts w:ascii="Times New Roman" w:hAnsi="Times New Roman"/>
                <w:iCs/>
                <w:sz w:val="20"/>
                <w:szCs w:val="20"/>
                <w:lang w:val="tr-TR"/>
              </w:rPr>
              <w:t>further in 2018.</w:t>
            </w:r>
          </w:p>
          <w:p w:rsidR="00D6176C" w:rsidRPr="000C1BEF" w:rsidRDefault="0057006A" w:rsidP="00F74FE7">
            <w:pPr>
              <w:spacing w:after="0" w:line="0" w:lineRule="atLeast"/>
              <w:jc w:val="both"/>
              <w:rPr>
                <w:rFonts w:ascii="Times New Roman" w:hAnsi="Times New Roman"/>
                <w:bCs/>
                <w:sz w:val="20"/>
                <w:szCs w:val="20"/>
              </w:rPr>
            </w:pPr>
            <w:r>
              <w:rPr>
                <w:i/>
                <w:iCs/>
                <w:lang w:val="tr-TR"/>
              </w:rPr>
              <w:t xml:space="preserve"> </w:t>
            </w:r>
          </w:p>
        </w:tc>
      </w:tr>
    </w:tbl>
    <w:p w:rsidR="00D6176C" w:rsidRDefault="00D6176C" w:rsidP="003411CA">
      <w:pPr>
        <w:spacing w:after="0" w:line="0" w:lineRule="atLeast"/>
        <w:jc w:val="both"/>
        <w:rPr>
          <w:rFonts w:ascii="Times New Roman" w:eastAsia="Times New Roman" w:hAnsi="Times New Roman"/>
          <w:bCs/>
          <w:sz w:val="20"/>
          <w:szCs w:val="20"/>
          <w:lang w:val="en-US"/>
        </w:rPr>
      </w:pPr>
    </w:p>
    <w:p w:rsidR="00D6176C" w:rsidRPr="00F74FE7" w:rsidRDefault="00D6176C" w:rsidP="00A237D4">
      <w:pPr>
        <w:pStyle w:val="ListParagraph"/>
        <w:numPr>
          <w:ilvl w:val="0"/>
          <w:numId w:val="11"/>
        </w:numPr>
        <w:tabs>
          <w:tab w:val="left" w:pos="1080"/>
        </w:tabs>
        <w:spacing w:after="0" w:line="0" w:lineRule="atLeast"/>
        <w:ind w:firstLine="0"/>
        <w:jc w:val="both"/>
        <w:rPr>
          <w:rFonts w:ascii="Times New Roman" w:hAnsi="Times New Roman"/>
          <w:iCs/>
          <w:sz w:val="20"/>
          <w:szCs w:val="20"/>
        </w:rPr>
      </w:pPr>
      <w:r w:rsidRPr="00435368">
        <w:rPr>
          <w:rFonts w:ascii="Times New Roman" w:hAnsi="Times New Roman"/>
          <w:sz w:val="20"/>
          <w:szCs w:val="20"/>
        </w:rPr>
        <w:t xml:space="preserve">UNDP supported 28 countries in helping national and local authorities </w:t>
      </w:r>
      <w:r w:rsidR="00712605">
        <w:rPr>
          <w:rFonts w:ascii="Times New Roman" w:hAnsi="Times New Roman"/>
          <w:sz w:val="20"/>
          <w:szCs w:val="20"/>
        </w:rPr>
        <w:t xml:space="preserve">to </w:t>
      </w:r>
      <w:r w:rsidRPr="00435368">
        <w:rPr>
          <w:rFonts w:ascii="Times New Roman" w:hAnsi="Times New Roman"/>
          <w:sz w:val="20"/>
          <w:szCs w:val="20"/>
        </w:rPr>
        <w:t>lead community engagement, planning, coordination, delivery and monitoring of early recovery efforts. This contributed to 59 per cent of crisis</w:t>
      </w:r>
      <w:r w:rsidR="00435368">
        <w:rPr>
          <w:rFonts w:ascii="Times New Roman" w:hAnsi="Times New Roman"/>
          <w:sz w:val="20"/>
          <w:szCs w:val="20"/>
        </w:rPr>
        <w:t>-</w:t>
      </w:r>
      <w:r w:rsidRPr="00435368">
        <w:rPr>
          <w:rFonts w:ascii="Times New Roman" w:hAnsi="Times New Roman"/>
          <w:sz w:val="20"/>
          <w:szCs w:val="20"/>
        </w:rPr>
        <w:t>affected countries strengthening their financing or aid management mechanisms for early recovery.  In 2017, UNDP, the World Bank and European Union</w:t>
      </w:r>
      <w:r w:rsidRPr="00435368" w:rsidDel="00E26897">
        <w:rPr>
          <w:rFonts w:ascii="Times New Roman" w:hAnsi="Times New Roman"/>
          <w:sz w:val="20"/>
          <w:szCs w:val="20"/>
        </w:rPr>
        <w:t xml:space="preserve"> </w:t>
      </w:r>
      <w:r w:rsidRPr="00435368">
        <w:rPr>
          <w:rFonts w:ascii="Times New Roman" w:hAnsi="Times New Roman"/>
          <w:sz w:val="20"/>
          <w:szCs w:val="20"/>
        </w:rPr>
        <w:t xml:space="preserve">supported </w:t>
      </w:r>
      <w:r w:rsidR="00435368">
        <w:rPr>
          <w:rFonts w:ascii="Times New Roman" w:hAnsi="Times New Roman"/>
          <w:sz w:val="20"/>
          <w:szCs w:val="20"/>
        </w:rPr>
        <w:t>r</w:t>
      </w:r>
      <w:r w:rsidR="00435368" w:rsidRPr="00435368">
        <w:rPr>
          <w:rFonts w:ascii="Times New Roman" w:hAnsi="Times New Roman"/>
          <w:sz w:val="20"/>
          <w:szCs w:val="20"/>
        </w:rPr>
        <w:t xml:space="preserve">ecovery </w:t>
      </w:r>
      <w:r w:rsidRPr="00435368">
        <w:rPr>
          <w:rFonts w:ascii="Times New Roman" w:hAnsi="Times New Roman"/>
          <w:sz w:val="20"/>
          <w:szCs w:val="20"/>
        </w:rPr>
        <w:t xml:space="preserve">and </w:t>
      </w:r>
      <w:r w:rsidR="00435368">
        <w:rPr>
          <w:rFonts w:ascii="Times New Roman" w:hAnsi="Times New Roman"/>
          <w:sz w:val="20"/>
          <w:szCs w:val="20"/>
        </w:rPr>
        <w:t>p</w:t>
      </w:r>
      <w:r w:rsidR="00435368" w:rsidRPr="00435368">
        <w:rPr>
          <w:rFonts w:ascii="Times New Roman" w:hAnsi="Times New Roman"/>
          <w:sz w:val="20"/>
          <w:szCs w:val="20"/>
        </w:rPr>
        <w:t xml:space="preserve">eacebuilding </w:t>
      </w:r>
      <w:r w:rsidR="00435368">
        <w:rPr>
          <w:rFonts w:ascii="Times New Roman" w:hAnsi="Times New Roman"/>
          <w:sz w:val="20"/>
          <w:szCs w:val="20"/>
        </w:rPr>
        <w:t>a</w:t>
      </w:r>
      <w:r w:rsidR="00435368" w:rsidRPr="00435368">
        <w:rPr>
          <w:rFonts w:ascii="Times New Roman" w:hAnsi="Times New Roman"/>
          <w:sz w:val="20"/>
          <w:szCs w:val="20"/>
        </w:rPr>
        <w:t xml:space="preserve">ssessments </w:t>
      </w:r>
      <w:r w:rsidRPr="00435368">
        <w:rPr>
          <w:rFonts w:ascii="Times New Roman" w:hAnsi="Times New Roman"/>
          <w:sz w:val="20"/>
          <w:szCs w:val="20"/>
        </w:rPr>
        <w:t xml:space="preserve">in Cameroon and Zimbabwe. This tripartite partnership fielded a technical mission to Liberia to support the drafting of a Security Council-mandated </w:t>
      </w:r>
      <w:r w:rsidR="00435368">
        <w:rPr>
          <w:rFonts w:ascii="Times New Roman" w:hAnsi="Times New Roman"/>
          <w:sz w:val="20"/>
          <w:szCs w:val="20"/>
        </w:rPr>
        <w:t>p</w:t>
      </w:r>
      <w:r w:rsidR="00435368" w:rsidRPr="00435368">
        <w:rPr>
          <w:rFonts w:ascii="Times New Roman" w:hAnsi="Times New Roman"/>
          <w:sz w:val="20"/>
          <w:szCs w:val="20"/>
        </w:rPr>
        <w:t xml:space="preserve">eacebuilding </w:t>
      </w:r>
      <w:r w:rsidR="00435368">
        <w:rPr>
          <w:rFonts w:ascii="Times New Roman" w:hAnsi="Times New Roman"/>
          <w:sz w:val="20"/>
          <w:szCs w:val="20"/>
        </w:rPr>
        <w:t>p</w:t>
      </w:r>
      <w:r w:rsidR="00435368" w:rsidRPr="00435368">
        <w:rPr>
          <w:rFonts w:ascii="Times New Roman" w:hAnsi="Times New Roman"/>
          <w:sz w:val="20"/>
          <w:szCs w:val="20"/>
        </w:rPr>
        <w:t>lan</w:t>
      </w:r>
      <w:r w:rsidRPr="00435368">
        <w:rPr>
          <w:rFonts w:ascii="Times New Roman" w:hAnsi="Times New Roman"/>
          <w:sz w:val="20"/>
          <w:szCs w:val="20"/>
        </w:rPr>
        <w:t xml:space="preserve">. </w:t>
      </w:r>
      <w:r w:rsidRPr="00D94108">
        <w:rPr>
          <w:rFonts w:ascii="Times New Roman" w:hAnsi="Times New Roman"/>
          <w:sz w:val="20"/>
          <w:szCs w:val="20"/>
        </w:rPr>
        <w:t xml:space="preserve">Financing and implementation mechanisms </w:t>
      </w:r>
      <w:r w:rsidR="007A7F5D">
        <w:rPr>
          <w:rFonts w:ascii="Times New Roman" w:hAnsi="Times New Roman"/>
          <w:sz w:val="20"/>
          <w:szCs w:val="20"/>
        </w:rPr>
        <w:t xml:space="preserve">that were established </w:t>
      </w:r>
      <w:r w:rsidRPr="00D94108">
        <w:rPr>
          <w:rFonts w:ascii="Times New Roman" w:hAnsi="Times New Roman"/>
          <w:sz w:val="20"/>
          <w:szCs w:val="20"/>
        </w:rPr>
        <w:t xml:space="preserve">subsequently allowed for the coordinated financing of government plans. </w:t>
      </w:r>
    </w:p>
    <w:tbl>
      <w:tblPr>
        <w:tblStyle w:val="TableGrid"/>
        <w:tblW w:w="8544" w:type="dxa"/>
        <w:tblInd w:w="400" w:type="dxa"/>
        <w:tblLook w:val="04A0" w:firstRow="1" w:lastRow="0" w:firstColumn="1" w:lastColumn="0" w:noHBand="0" w:noVBand="1"/>
      </w:tblPr>
      <w:tblGrid>
        <w:gridCol w:w="8544"/>
      </w:tblGrid>
      <w:tr w:rsidR="00D6176C" w:rsidTr="00A237D4">
        <w:tc>
          <w:tcPr>
            <w:tcW w:w="8544" w:type="dxa"/>
          </w:tcPr>
          <w:p w:rsidR="00D6176C" w:rsidRPr="005B33A8" w:rsidRDefault="008B2AB0" w:rsidP="005B6C71">
            <w:pPr>
              <w:spacing w:after="0" w:line="0" w:lineRule="atLeast"/>
              <w:jc w:val="both"/>
              <w:rPr>
                <w:rFonts w:ascii="Times New Roman" w:hAnsi="Times New Roman"/>
                <w:sz w:val="20"/>
                <w:szCs w:val="20"/>
              </w:rPr>
            </w:pPr>
            <w:r>
              <w:rPr>
                <w:rFonts w:ascii="Times New Roman" w:hAnsi="Times New Roman"/>
                <w:b/>
                <w:sz w:val="20"/>
                <w:szCs w:val="20"/>
              </w:rPr>
              <w:lastRenderedPageBreak/>
              <w:t>Box 4.</w:t>
            </w:r>
            <w:r>
              <w:rPr>
                <w:rFonts w:ascii="Times New Roman" w:hAnsi="Times New Roman"/>
                <w:sz w:val="20"/>
                <w:szCs w:val="20"/>
              </w:rPr>
              <w:t xml:space="preserve">  </w:t>
            </w:r>
            <w:r w:rsidR="00D6176C" w:rsidRPr="00B255AC">
              <w:rPr>
                <w:rFonts w:ascii="Times New Roman" w:hAnsi="Times New Roman"/>
                <w:b/>
                <w:sz w:val="20"/>
                <w:szCs w:val="20"/>
              </w:rPr>
              <w:t>Mobilizing resources for post</w:t>
            </w:r>
            <w:r w:rsidR="007A7F5D">
              <w:rPr>
                <w:rFonts w:ascii="Times New Roman" w:hAnsi="Times New Roman"/>
                <w:b/>
                <w:sz w:val="20"/>
                <w:szCs w:val="20"/>
              </w:rPr>
              <w:t>-</w:t>
            </w:r>
            <w:r w:rsidR="00D6176C" w:rsidRPr="00B255AC">
              <w:rPr>
                <w:rFonts w:ascii="Times New Roman" w:hAnsi="Times New Roman"/>
                <w:b/>
                <w:sz w:val="20"/>
                <w:szCs w:val="20"/>
              </w:rPr>
              <w:t>disaster recovery efforts</w:t>
            </w:r>
            <w:r w:rsidR="00D22DC5">
              <w:rPr>
                <w:rFonts w:ascii="Times New Roman" w:hAnsi="Times New Roman"/>
                <w:b/>
                <w:sz w:val="20"/>
                <w:szCs w:val="20"/>
              </w:rPr>
              <w:t xml:space="preserve"> in the Caribbean</w:t>
            </w:r>
          </w:p>
          <w:p w:rsidR="00D6176C" w:rsidRPr="00933EC6" w:rsidRDefault="00D6176C" w:rsidP="005B6C71">
            <w:pPr>
              <w:spacing w:after="0" w:line="0" w:lineRule="atLeast"/>
              <w:jc w:val="both"/>
              <w:rPr>
                <w:rFonts w:ascii="Times New Roman" w:hAnsi="Times New Roman"/>
                <w:sz w:val="12"/>
                <w:szCs w:val="12"/>
              </w:rPr>
            </w:pPr>
          </w:p>
          <w:p w:rsidR="003C7117" w:rsidRPr="00F74FE7" w:rsidRDefault="003C7117" w:rsidP="003C7117">
            <w:pPr>
              <w:spacing w:after="0" w:line="0" w:lineRule="atLeast"/>
              <w:jc w:val="both"/>
              <w:rPr>
                <w:rFonts w:ascii="Times New Roman" w:hAnsi="Times New Roman"/>
                <w:sz w:val="20"/>
                <w:szCs w:val="20"/>
              </w:rPr>
            </w:pPr>
            <w:r w:rsidRPr="00F74FE7">
              <w:rPr>
                <w:rFonts w:ascii="Times New Roman" w:hAnsi="Times New Roman"/>
                <w:sz w:val="20"/>
                <w:szCs w:val="20"/>
              </w:rPr>
              <w:t xml:space="preserve">In the aftermath of Hurricanes Irma and Maria, UNDP, along with international partners, led support to </w:t>
            </w:r>
            <w:r w:rsidR="007A7F5D">
              <w:rPr>
                <w:rFonts w:ascii="Times New Roman" w:hAnsi="Times New Roman"/>
                <w:sz w:val="20"/>
                <w:szCs w:val="20"/>
              </w:rPr>
              <w:t>G</w:t>
            </w:r>
            <w:r w:rsidR="007A7F5D" w:rsidRPr="00F74FE7">
              <w:rPr>
                <w:rFonts w:ascii="Times New Roman" w:hAnsi="Times New Roman"/>
                <w:sz w:val="20"/>
                <w:szCs w:val="20"/>
              </w:rPr>
              <w:t xml:space="preserve">overnments </w:t>
            </w:r>
            <w:r w:rsidRPr="00F74FE7">
              <w:rPr>
                <w:rFonts w:ascii="Times New Roman" w:hAnsi="Times New Roman"/>
                <w:sz w:val="20"/>
                <w:szCs w:val="20"/>
              </w:rPr>
              <w:t>in post</w:t>
            </w:r>
            <w:r w:rsidR="007A7F5D">
              <w:rPr>
                <w:rFonts w:ascii="Times New Roman" w:hAnsi="Times New Roman"/>
                <w:sz w:val="20"/>
                <w:szCs w:val="20"/>
              </w:rPr>
              <w:t>-</w:t>
            </w:r>
            <w:r w:rsidRPr="00F74FE7">
              <w:rPr>
                <w:rFonts w:ascii="Times New Roman" w:hAnsi="Times New Roman"/>
                <w:sz w:val="20"/>
                <w:szCs w:val="20"/>
              </w:rPr>
              <w:t xml:space="preserve">disaster needs assessment and recovery planning. These elements helped support the subsequent </w:t>
            </w:r>
            <w:r w:rsidR="007A7F5D">
              <w:rPr>
                <w:rFonts w:ascii="Times New Roman" w:hAnsi="Times New Roman"/>
                <w:sz w:val="20"/>
                <w:szCs w:val="20"/>
              </w:rPr>
              <w:t>high-level pledging conference organized by the Caribbean Community and the United Nations on the theme “</w:t>
            </w:r>
            <w:r w:rsidRPr="00F74FE7">
              <w:rPr>
                <w:rFonts w:ascii="Times New Roman" w:hAnsi="Times New Roman"/>
                <w:sz w:val="20"/>
                <w:szCs w:val="20"/>
              </w:rPr>
              <w:t xml:space="preserve">Building a more Climate-Resilient Community’, which mobilized a broad partnership to support reconstruction efforts, including over $1.3 billion in grant pledges and over $1 billion in loans and debt relief.  </w:t>
            </w:r>
          </w:p>
          <w:p w:rsidR="003C7117" w:rsidRPr="00933EC6" w:rsidRDefault="003C7117" w:rsidP="003C7117">
            <w:pPr>
              <w:spacing w:after="0" w:line="0" w:lineRule="atLeast"/>
              <w:jc w:val="both"/>
              <w:rPr>
                <w:rFonts w:ascii="Times New Roman" w:eastAsiaTheme="minorHAnsi" w:hAnsi="Times New Roman"/>
                <w:sz w:val="12"/>
                <w:szCs w:val="12"/>
              </w:rPr>
            </w:pPr>
          </w:p>
          <w:p w:rsidR="003C7117" w:rsidRDefault="003C7117" w:rsidP="003C7117">
            <w:pPr>
              <w:spacing w:after="0" w:line="0" w:lineRule="atLeast"/>
              <w:jc w:val="both"/>
              <w:rPr>
                <w:rFonts w:ascii="Times New Roman" w:hAnsi="Times New Roman"/>
                <w:sz w:val="20"/>
                <w:szCs w:val="20"/>
              </w:rPr>
            </w:pPr>
            <w:r w:rsidRPr="00F74FE7">
              <w:rPr>
                <w:rFonts w:ascii="Times New Roman" w:hAnsi="Times New Roman"/>
                <w:sz w:val="20"/>
                <w:szCs w:val="20"/>
              </w:rPr>
              <w:t xml:space="preserve">In </w:t>
            </w:r>
            <w:r w:rsidRPr="007A7F5D">
              <w:rPr>
                <w:rFonts w:ascii="Times New Roman" w:hAnsi="Times New Roman"/>
                <w:sz w:val="20"/>
                <w:szCs w:val="20"/>
              </w:rPr>
              <w:t>Dominica, Antigua and</w:t>
            </w:r>
            <w:r w:rsidR="00B514C0" w:rsidRPr="007A7F5D">
              <w:rPr>
                <w:rFonts w:ascii="Times New Roman" w:hAnsi="Times New Roman"/>
                <w:sz w:val="20"/>
                <w:szCs w:val="20"/>
              </w:rPr>
              <w:t xml:space="preserve"> </w:t>
            </w:r>
            <w:r w:rsidRPr="007A7F5D">
              <w:rPr>
                <w:rFonts w:ascii="Times New Roman" w:hAnsi="Times New Roman"/>
                <w:sz w:val="20"/>
                <w:szCs w:val="20"/>
              </w:rPr>
              <w:t xml:space="preserve">Barbuda, Turks and Caicos and other affected </w:t>
            </w:r>
            <w:r w:rsidR="007A7F5D">
              <w:rPr>
                <w:rFonts w:ascii="Times New Roman" w:hAnsi="Times New Roman"/>
                <w:sz w:val="20"/>
                <w:szCs w:val="20"/>
              </w:rPr>
              <w:t>countries</w:t>
            </w:r>
            <w:r w:rsidRPr="00F74FE7">
              <w:rPr>
                <w:rFonts w:ascii="Times New Roman" w:hAnsi="Times New Roman"/>
                <w:sz w:val="20"/>
                <w:szCs w:val="20"/>
              </w:rPr>
              <w:t xml:space="preserve">, UNDP support to </w:t>
            </w:r>
            <w:r w:rsidR="007A7F5D">
              <w:rPr>
                <w:rFonts w:ascii="Times New Roman" w:hAnsi="Times New Roman"/>
                <w:sz w:val="20"/>
                <w:szCs w:val="20"/>
              </w:rPr>
              <w:t>G</w:t>
            </w:r>
            <w:r w:rsidR="007A7F5D" w:rsidRPr="00F74FE7">
              <w:rPr>
                <w:rFonts w:ascii="Times New Roman" w:hAnsi="Times New Roman"/>
                <w:sz w:val="20"/>
                <w:szCs w:val="20"/>
              </w:rPr>
              <w:t xml:space="preserve">overnments </w:t>
            </w:r>
            <w:r w:rsidRPr="00F74FE7">
              <w:rPr>
                <w:rFonts w:ascii="Times New Roman" w:hAnsi="Times New Roman"/>
                <w:sz w:val="20"/>
                <w:szCs w:val="20"/>
              </w:rPr>
              <w:t>in post</w:t>
            </w:r>
            <w:r w:rsidR="007A7F5D">
              <w:rPr>
                <w:rFonts w:ascii="Times New Roman" w:hAnsi="Times New Roman"/>
                <w:sz w:val="20"/>
                <w:szCs w:val="20"/>
              </w:rPr>
              <w:t>-</w:t>
            </w:r>
            <w:r w:rsidRPr="00F74FE7">
              <w:rPr>
                <w:rFonts w:ascii="Times New Roman" w:hAnsi="Times New Roman"/>
                <w:sz w:val="20"/>
                <w:szCs w:val="20"/>
              </w:rPr>
              <w:t xml:space="preserve">disaster recovery programmes facilitated the mobilization of funds for recovery and reconstruction. This included trilateral partnerships and resources from </w:t>
            </w:r>
            <w:r w:rsidRPr="007A7F5D">
              <w:rPr>
                <w:rFonts w:ascii="Times New Roman" w:hAnsi="Times New Roman"/>
                <w:sz w:val="20"/>
                <w:szCs w:val="20"/>
              </w:rPr>
              <w:t>China and India</w:t>
            </w:r>
            <w:r w:rsidRPr="00F74FE7">
              <w:rPr>
                <w:rFonts w:ascii="Times New Roman" w:hAnsi="Times New Roman"/>
                <w:sz w:val="20"/>
                <w:szCs w:val="20"/>
              </w:rPr>
              <w:t>.</w:t>
            </w:r>
            <w:r w:rsidRPr="003F5460">
              <w:rPr>
                <w:rFonts w:ascii="Times New Roman" w:hAnsi="Times New Roman"/>
                <w:sz w:val="20"/>
                <w:szCs w:val="20"/>
              </w:rPr>
              <w:t xml:space="preserve"> </w:t>
            </w:r>
          </w:p>
          <w:p w:rsidR="00D6176C" w:rsidRPr="00D6176C" w:rsidRDefault="00D6176C">
            <w:pPr>
              <w:spacing w:after="0" w:line="0" w:lineRule="atLeast"/>
              <w:jc w:val="both"/>
              <w:rPr>
                <w:rFonts w:ascii="Times New Roman" w:hAnsi="Times New Roman"/>
                <w:sz w:val="20"/>
                <w:szCs w:val="20"/>
              </w:rPr>
            </w:pPr>
          </w:p>
        </w:tc>
      </w:tr>
    </w:tbl>
    <w:p w:rsidR="00D6176C" w:rsidRDefault="00D6176C" w:rsidP="00D6176C">
      <w:pPr>
        <w:pStyle w:val="ListParagraph"/>
        <w:widowControl w:val="0"/>
        <w:spacing w:after="0" w:line="0" w:lineRule="atLeast"/>
        <w:ind w:left="0"/>
        <w:contextualSpacing w:val="0"/>
        <w:jc w:val="both"/>
        <w:rPr>
          <w:rFonts w:ascii="Times New Roman" w:hAnsi="Times New Roman"/>
          <w:b/>
          <w:sz w:val="24"/>
          <w:szCs w:val="20"/>
        </w:rPr>
      </w:pPr>
    </w:p>
    <w:p w:rsidR="00D6176C" w:rsidRPr="003F5460" w:rsidRDefault="00D6176C" w:rsidP="00684775">
      <w:pPr>
        <w:pStyle w:val="ListParagraph"/>
        <w:widowControl w:val="0"/>
        <w:spacing w:after="120" w:line="0" w:lineRule="atLeast"/>
        <w:ind w:left="0"/>
        <w:contextualSpacing w:val="0"/>
        <w:jc w:val="both"/>
        <w:rPr>
          <w:rFonts w:ascii="Times New Roman" w:hAnsi="Times New Roman"/>
          <w:b/>
          <w:sz w:val="24"/>
          <w:szCs w:val="20"/>
        </w:rPr>
      </w:pPr>
      <w:r>
        <w:rPr>
          <w:rFonts w:ascii="Times New Roman" w:hAnsi="Times New Roman"/>
          <w:b/>
          <w:sz w:val="24"/>
          <w:szCs w:val="20"/>
        </w:rPr>
        <w:t>O</w:t>
      </w:r>
      <w:r w:rsidRPr="003F5460">
        <w:rPr>
          <w:rFonts w:ascii="Times New Roman" w:hAnsi="Times New Roman"/>
          <w:b/>
          <w:sz w:val="24"/>
          <w:szCs w:val="20"/>
        </w:rPr>
        <w:t xml:space="preserve">utcome 7. Thought leadership </w:t>
      </w:r>
    </w:p>
    <w:tbl>
      <w:tblPr>
        <w:tblW w:w="94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1"/>
        <w:gridCol w:w="1847"/>
        <w:gridCol w:w="943"/>
        <w:gridCol w:w="943"/>
        <w:gridCol w:w="943"/>
        <w:gridCol w:w="988"/>
        <w:gridCol w:w="988"/>
        <w:gridCol w:w="1165"/>
        <w:gridCol w:w="1165"/>
      </w:tblGrid>
      <w:tr w:rsidR="00D6176C" w:rsidRPr="00EE7DC1" w:rsidTr="005B6C71">
        <w:trPr>
          <w:trHeight w:val="303"/>
        </w:trPr>
        <w:tc>
          <w:tcPr>
            <w:tcW w:w="2278" w:type="dxa"/>
            <w:gridSpan w:val="2"/>
            <w:vMerge w:val="restart"/>
            <w:tcBorders>
              <w:top w:val="single" w:sz="12" w:space="0" w:color="auto"/>
            </w:tcBorders>
            <w:shd w:val="clear" w:color="auto" w:fill="F3F3F3"/>
            <w:vAlign w:val="bottom"/>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Output</w:t>
            </w:r>
          </w:p>
        </w:tc>
        <w:tc>
          <w:tcPr>
            <w:tcW w:w="3817" w:type="dxa"/>
            <w:gridSpan w:val="4"/>
            <w:tcBorders>
              <w:top w:val="single" w:sz="12" w:space="0" w:color="auto"/>
              <w:bottom w:val="single" w:sz="8" w:space="0" w:color="auto"/>
            </w:tcBorders>
            <w:shd w:val="clear" w:color="auto" w:fill="F3F3F3"/>
            <w:vAlign w:val="bottom"/>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Performance against milestones</w:t>
            </w:r>
          </w:p>
        </w:tc>
        <w:tc>
          <w:tcPr>
            <w:tcW w:w="988" w:type="dxa"/>
            <w:vMerge w:val="restart"/>
            <w:tcBorders>
              <w:top w:val="single" w:sz="12" w:space="0" w:color="auto"/>
            </w:tcBorders>
            <w:shd w:val="clear" w:color="auto" w:fill="F3F3F3"/>
            <w:vAlign w:val="bottom"/>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 xml:space="preserve">Number of countries supported </w:t>
            </w:r>
          </w:p>
        </w:tc>
        <w:tc>
          <w:tcPr>
            <w:tcW w:w="1165" w:type="dxa"/>
            <w:vMerge w:val="restart"/>
            <w:tcBorders>
              <w:top w:val="single" w:sz="12"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Proportion of countries achieved target</w:t>
            </w:r>
          </w:p>
        </w:tc>
        <w:tc>
          <w:tcPr>
            <w:tcW w:w="1165" w:type="dxa"/>
            <w:vMerge w:val="restart"/>
            <w:tcBorders>
              <w:top w:val="single" w:sz="12" w:space="0" w:color="auto"/>
            </w:tcBorders>
            <w:shd w:val="clear" w:color="auto" w:fill="F3F3F3"/>
            <w:vAlign w:val="bottom"/>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 xml:space="preserve">2017 gender performance vs. overall </w:t>
            </w:r>
          </w:p>
        </w:tc>
      </w:tr>
      <w:tr w:rsidR="00D6176C" w:rsidRPr="00EE7DC1" w:rsidTr="005B6C71">
        <w:trPr>
          <w:trHeight w:val="340"/>
        </w:trPr>
        <w:tc>
          <w:tcPr>
            <w:tcW w:w="2278" w:type="dxa"/>
            <w:gridSpan w:val="2"/>
            <w:vMerge/>
            <w:tcBorders>
              <w:bottom w:val="single" w:sz="6" w:space="0" w:color="auto"/>
            </w:tcBorders>
            <w:shd w:val="clear" w:color="auto" w:fill="F3F3F3"/>
            <w:vAlign w:val="bottom"/>
          </w:tcPr>
          <w:p w:rsidR="00D6176C" w:rsidRPr="00EE7DC1" w:rsidRDefault="00D6176C" w:rsidP="005B6C71">
            <w:pPr>
              <w:spacing w:after="0"/>
              <w:jc w:val="center"/>
              <w:rPr>
                <w:rFonts w:ascii="Times New Roman" w:eastAsia="Times New Roman" w:hAnsi="Times New Roman"/>
                <w:b/>
                <w:bCs/>
                <w:sz w:val="16"/>
                <w:szCs w:val="16"/>
              </w:rPr>
            </w:pPr>
          </w:p>
        </w:tc>
        <w:tc>
          <w:tcPr>
            <w:tcW w:w="943" w:type="dxa"/>
            <w:tcBorders>
              <w:top w:val="single" w:sz="8" w:space="0" w:color="auto"/>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2014</w:t>
            </w:r>
          </w:p>
        </w:tc>
        <w:tc>
          <w:tcPr>
            <w:tcW w:w="943" w:type="dxa"/>
            <w:tcBorders>
              <w:top w:val="single" w:sz="8" w:space="0" w:color="auto"/>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2015</w:t>
            </w:r>
          </w:p>
        </w:tc>
        <w:tc>
          <w:tcPr>
            <w:tcW w:w="943" w:type="dxa"/>
            <w:tcBorders>
              <w:top w:val="single" w:sz="8" w:space="0" w:color="auto"/>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2016</w:t>
            </w:r>
          </w:p>
        </w:tc>
        <w:tc>
          <w:tcPr>
            <w:tcW w:w="988" w:type="dxa"/>
            <w:tcBorders>
              <w:bottom w:val="single" w:sz="6" w:space="0" w:color="auto"/>
            </w:tcBorders>
            <w:shd w:val="clear" w:color="auto" w:fill="F3F3F3"/>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2017</w:t>
            </w:r>
          </w:p>
        </w:tc>
        <w:tc>
          <w:tcPr>
            <w:tcW w:w="988" w:type="dxa"/>
            <w:vMerge/>
            <w:tcBorders>
              <w:bottom w:val="single" w:sz="6" w:space="0" w:color="auto"/>
            </w:tcBorders>
            <w:shd w:val="clear" w:color="auto" w:fill="F3F3F3"/>
            <w:vAlign w:val="bottom"/>
          </w:tcPr>
          <w:p w:rsidR="00D6176C" w:rsidRPr="00EE7DC1" w:rsidRDefault="00D6176C" w:rsidP="005B6C71">
            <w:pPr>
              <w:spacing w:after="0"/>
              <w:jc w:val="center"/>
              <w:rPr>
                <w:rFonts w:ascii="Times New Roman" w:eastAsia="Times New Roman" w:hAnsi="Times New Roman"/>
                <w:b/>
                <w:bCs/>
                <w:sz w:val="16"/>
                <w:szCs w:val="16"/>
              </w:rPr>
            </w:pPr>
          </w:p>
        </w:tc>
        <w:tc>
          <w:tcPr>
            <w:tcW w:w="1165" w:type="dxa"/>
            <w:vMerge/>
            <w:tcBorders>
              <w:bottom w:val="single" w:sz="6" w:space="0" w:color="auto"/>
            </w:tcBorders>
            <w:shd w:val="clear" w:color="auto" w:fill="F3F3F3"/>
          </w:tcPr>
          <w:p w:rsidR="00D6176C" w:rsidRPr="00EE7DC1" w:rsidRDefault="00D6176C" w:rsidP="005B6C71">
            <w:pPr>
              <w:spacing w:after="0"/>
              <w:jc w:val="center"/>
              <w:rPr>
                <w:rFonts w:ascii="Times New Roman" w:eastAsia="Times New Roman" w:hAnsi="Times New Roman"/>
                <w:b/>
                <w:bCs/>
                <w:sz w:val="16"/>
                <w:szCs w:val="16"/>
              </w:rPr>
            </w:pPr>
          </w:p>
        </w:tc>
        <w:tc>
          <w:tcPr>
            <w:tcW w:w="1165" w:type="dxa"/>
            <w:vMerge/>
            <w:tcBorders>
              <w:bottom w:val="single" w:sz="6" w:space="0" w:color="auto"/>
            </w:tcBorders>
            <w:shd w:val="clear" w:color="auto" w:fill="F3F3F3"/>
            <w:vAlign w:val="bottom"/>
          </w:tcPr>
          <w:p w:rsidR="00D6176C" w:rsidRPr="00EE7DC1" w:rsidRDefault="00D6176C" w:rsidP="005B6C71">
            <w:pPr>
              <w:spacing w:after="0"/>
              <w:jc w:val="center"/>
              <w:rPr>
                <w:rFonts w:ascii="Times New Roman" w:eastAsia="Times New Roman" w:hAnsi="Times New Roman"/>
                <w:b/>
                <w:bCs/>
                <w:sz w:val="16"/>
                <w:szCs w:val="16"/>
              </w:rPr>
            </w:pPr>
          </w:p>
        </w:tc>
      </w:tr>
      <w:tr w:rsidR="00D6176C" w:rsidRPr="00EE7DC1" w:rsidTr="005B6C71">
        <w:trPr>
          <w:trHeight w:val="255"/>
        </w:trPr>
        <w:tc>
          <w:tcPr>
            <w:tcW w:w="431" w:type="dxa"/>
            <w:tcBorders>
              <w:top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7.1</w:t>
            </w:r>
          </w:p>
        </w:tc>
        <w:tc>
          <w:tcPr>
            <w:tcW w:w="1847" w:type="dxa"/>
            <w:tcBorders>
              <w:top w:val="single" w:sz="6" w:space="0" w:color="auto"/>
            </w:tcBorders>
            <w:shd w:val="clear" w:color="auto" w:fill="auto"/>
            <w:vAlign w:val="center"/>
          </w:tcPr>
          <w:p w:rsidR="00D6176C" w:rsidRPr="00EE7DC1" w:rsidRDefault="00D6176C" w:rsidP="005B6C71">
            <w:pPr>
              <w:spacing w:after="0"/>
              <w:rPr>
                <w:rFonts w:ascii="Times New Roman" w:eastAsia="Times New Roman" w:hAnsi="Times New Roman"/>
                <w:b/>
                <w:bCs/>
                <w:sz w:val="16"/>
                <w:szCs w:val="16"/>
              </w:rPr>
            </w:pPr>
            <w:r w:rsidRPr="00EE7DC1">
              <w:rPr>
                <w:rFonts w:ascii="Times New Roman" w:hAnsi="Times New Roman"/>
                <w:sz w:val="16"/>
                <w:szCs w:val="16"/>
              </w:rPr>
              <w:t>Global consensus on MDGs/post-2015 agenda</w:t>
            </w:r>
          </w:p>
        </w:tc>
        <w:tc>
          <w:tcPr>
            <w:tcW w:w="943" w:type="dxa"/>
            <w:tcBorders>
              <w:top w:val="single" w:sz="6" w:space="0" w:color="auto"/>
              <w:bottom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182%</w:t>
            </w:r>
          </w:p>
        </w:tc>
        <w:tc>
          <w:tcPr>
            <w:tcW w:w="943" w:type="dxa"/>
            <w:tcBorders>
              <w:top w:val="single" w:sz="6" w:space="0" w:color="auto"/>
              <w:bottom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107%</w:t>
            </w:r>
          </w:p>
        </w:tc>
        <w:tc>
          <w:tcPr>
            <w:tcW w:w="943" w:type="dxa"/>
            <w:tcBorders>
              <w:top w:val="single" w:sz="6" w:space="0" w:color="auto"/>
              <w:bottom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100%</w:t>
            </w:r>
          </w:p>
        </w:tc>
        <w:tc>
          <w:tcPr>
            <w:tcW w:w="988" w:type="dxa"/>
            <w:tcBorders>
              <w:top w:val="single" w:sz="6" w:space="0" w:color="auto"/>
            </w:tcBorders>
            <w:shd w:val="clear" w:color="auto" w:fill="92D05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Carry over 2016</w:t>
            </w:r>
          </w:p>
        </w:tc>
        <w:tc>
          <w:tcPr>
            <w:tcW w:w="988" w:type="dxa"/>
            <w:tcBorders>
              <w:top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Global</w:t>
            </w:r>
          </w:p>
        </w:tc>
        <w:tc>
          <w:tcPr>
            <w:tcW w:w="1165" w:type="dxa"/>
            <w:tcBorders>
              <w:top w:val="single" w:sz="6" w:space="0" w:color="auto"/>
            </w:tcBorders>
            <w:vAlign w:val="center"/>
          </w:tcPr>
          <w:p w:rsidR="00D6176C" w:rsidRPr="00EE7DC1" w:rsidRDefault="00D6176C" w:rsidP="005B6C71">
            <w:pPr>
              <w:spacing w:after="0"/>
              <w:jc w:val="center"/>
              <w:rPr>
                <w:rFonts w:ascii="Times New Roman" w:eastAsia="Times New Roman" w:hAnsi="Times New Roman"/>
                <w:iCs/>
                <w:sz w:val="16"/>
                <w:szCs w:val="16"/>
              </w:rPr>
            </w:pPr>
            <w:r>
              <w:rPr>
                <w:rFonts w:ascii="Times New Roman" w:eastAsia="Times New Roman" w:hAnsi="Times New Roman"/>
                <w:iCs/>
                <w:sz w:val="16"/>
                <w:szCs w:val="16"/>
              </w:rPr>
              <w:t>Global</w:t>
            </w:r>
          </w:p>
        </w:tc>
        <w:tc>
          <w:tcPr>
            <w:tcW w:w="1165" w:type="dxa"/>
            <w:tcBorders>
              <w:top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eastAsia="Times New Roman" w:hAnsi="Times New Roman"/>
                <w:iCs/>
                <w:sz w:val="16"/>
                <w:szCs w:val="16"/>
              </w:rPr>
              <w:t>Same</w:t>
            </w:r>
          </w:p>
        </w:tc>
      </w:tr>
      <w:tr w:rsidR="00D6176C" w:rsidRPr="00EE7DC1" w:rsidTr="005B6C71">
        <w:trPr>
          <w:trHeight w:val="255"/>
        </w:trPr>
        <w:tc>
          <w:tcPr>
            <w:tcW w:w="431"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7.2</w:t>
            </w:r>
          </w:p>
        </w:tc>
        <w:tc>
          <w:tcPr>
            <w:tcW w:w="1847" w:type="dxa"/>
            <w:shd w:val="clear" w:color="auto" w:fill="auto"/>
            <w:vAlign w:val="center"/>
          </w:tcPr>
          <w:p w:rsidR="00D6176C" w:rsidRPr="00EE7DC1" w:rsidRDefault="00D6176C" w:rsidP="005B6C71">
            <w:pPr>
              <w:spacing w:after="0"/>
              <w:rPr>
                <w:rFonts w:ascii="Times New Roman" w:eastAsia="Times New Roman" w:hAnsi="Times New Roman"/>
                <w:b/>
                <w:bCs/>
                <w:sz w:val="16"/>
                <w:szCs w:val="16"/>
              </w:rPr>
            </w:pPr>
            <w:r w:rsidRPr="00EE7DC1">
              <w:rPr>
                <w:rFonts w:ascii="Times New Roman" w:hAnsi="Times New Roman"/>
                <w:sz w:val="16"/>
                <w:szCs w:val="16"/>
              </w:rPr>
              <w:t>Progress on MDGs/post-2015 agenda</w:t>
            </w:r>
          </w:p>
        </w:tc>
        <w:tc>
          <w:tcPr>
            <w:tcW w:w="943" w:type="dxa"/>
            <w:tcBorders>
              <w:top w:val="single" w:sz="6" w:space="0" w:color="auto"/>
              <w:bottom w:val="single" w:sz="6" w:space="0" w:color="auto"/>
            </w:tcBorders>
            <w:shd w:val="clear" w:color="auto" w:fill="82CA3F"/>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114%</w:t>
            </w:r>
          </w:p>
        </w:tc>
        <w:tc>
          <w:tcPr>
            <w:tcW w:w="943" w:type="dxa"/>
            <w:tcBorders>
              <w:top w:val="single" w:sz="6" w:space="0" w:color="auto"/>
              <w:bottom w:val="single" w:sz="6" w:space="0" w:color="auto"/>
            </w:tcBorders>
            <w:shd w:val="clear" w:color="auto" w:fill="82CA3F"/>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130%</w:t>
            </w:r>
          </w:p>
        </w:tc>
        <w:tc>
          <w:tcPr>
            <w:tcW w:w="943" w:type="dxa"/>
            <w:tcBorders>
              <w:top w:val="single" w:sz="6" w:space="0" w:color="auto"/>
              <w:bottom w:val="single" w:sz="6" w:space="0" w:color="auto"/>
            </w:tcBorders>
            <w:shd w:val="clear" w:color="auto" w:fill="82CA3F"/>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100%</w:t>
            </w:r>
          </w:p>
        </w:tc>
        <w:tc>
          <w:tcPr>
            <w:tcW w:w="988" w:type="dxa"/>
            <w:shd w:val="clear" w:color="auto" w:fill="FFC00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96%</w:t>
            </w:r>
          </w:p>
        </w:tc>
        <w:tc>
          <w:tcPr>
            <w:tcW w:w="988" w:type="dxa"/>
            <w:shd w:val="clear" w:color="auto" w:fill="auto"/>
            <w:noWrap/>
            <w:vAlign w:val="center"/>
            <w:hideMark/>
          </w:tcPr>
          <w:p w:rsidR="00D6176C" w:rsidRPr="00EE7DC1" w:rsidRDefault="00D434F0"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35</w:t>
            </w:r>
          </w:p>
        </w:tc>
        <w:tc>
          <w:tcPr>
            <w:tcW w:w="1165" w:type="dxa"/>
            <w:vAlign w:val="center"/>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hAnsi="Times New Roman"/>
                <w:sz w:val="16"/>
                <w:szCs w:val="16"/>
              </w:rPr>
              <w:t>94%</w:t>
            </w:r>
          </w:p>
        </w:tc>
        <w:tc>
          <w:tcPr>
            <w:tcW w:w="1165"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eastAsia="Times New Roman" w:hAnsi="Times New Roman"/>
                <w:iCs/>
                <w:sz w:val="16"/>
                <w:szCs w:val="16"/>
              </w:rPr>
              <w:t>Same</w:t>
            </w:r>
          </w:p>
        </w:tc>
      </w:tr>
      <w:tr w:rsidR="00D6176C" w:rsidRPr="00EE7DC1" w:rsidTr="005B6C71">
        <w:trPr>
          <w:trHeight w:val="255"/>
        </w:trPr>
        <w:tc>
          <w:tcPr>
            <w:tcW w:w="431"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7.3</w:t>
            </w:r>
          </w:p>
        </w:tc>
        <w:tc>
          <w:tcPr>
            <w:tcW w:w="1847" w:type="dxa"/>
            <w:shd w:val="clear" w:color="auto" w:fill="auto"/>
            <w:vAlign w:val="center"/>
          </w:tcPr>
          <w:p w:rsidR="00D6176C" w:rsidRPr="00EE7DC1" w:rsidRDefault="00D6176C" w:rsidP="005B6C71">
            <w:pPr>
              <w:spacing w:after="0"/>
              <w:rPr>
                <w:rFonts w:ascii="Times New Roman" w:eastAsia="Times New Roman" w:hAnsi="Times New Roman"/>
                <w:b/>
                <w:bCs/>
                <w:sz w:val="16"/>
                <w:szCs w:val="16"/>
              </w:rPr>
            </w:pPr>
            <w:r w:rsidRPr="00EE7DC1">
              <w:rPr>
                <w:rFonts w:ascii="Times New Roman" w:hAnsi="Times New Roman"/>
                <w:sz w:val="16"/>
                <w:szCs w:val="16"/>
              </w:rPr>
              <w:t>National development plans</w:t>
            </w:r>
          </w:p>
        </w:tc>
        <w:tc>
          <w:tcPr>
            <w:tcW w:w="943" w:type="dxa"/>
            <w:tcBorders>
              <w:top w:val="single" w:sz="6" w:space="0" w:color="auto"/>
              <w:bottom w:val="single" w:sz="6" w:space="0" w:color="auto"/>
            </w:tcBorders>
            <w:shd w:val="clear" w:color="auto" w:fill="82CA3F"/>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145%</w:t>
            </w:r>
          </w:p>
        </w:tc>
        <w:tc>
          <w:tcPr>
            <w:tcW w:w="943" w:type="dxa"/>
            <w:tcBorders>
              <w:top w:val="single" w:sz="6" w:space="0" w:color="auto"/>
              <w:bottom w:val="single" w:sz="6" w:space="0" w:color="auto"/>
            </w:tcBorders>
            <w:shd w:val="clear" w:color="auto" w:fill="82CA3F"/>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111%</w:t>
            </w:r>
          </w:p>
        </w:tc>
        <w:tc>
          <w:tcPr>
            <w:tcW w:w="943" w:type="dxa"/>
            <w:tcBorders>
              <w:top w:val="single" w:sz="6" w:space="0" w:color="auto"/>
              <w:bottom w:val="single" w:sz="6" w:space="0" w:color="auto"/>
            </w:tcBorders>
            <w:shd w:val="clear" w:color="auto" w:fill="82CA3F"/>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109%</w:t>
            </w:r>
          </w:p>
        </w:tc>
        <w:tc>
          <w:tcPr>
            <w:tcW w:w="988" w:type="dxa"/>
            <w:shd w:val="clear" w:color="auto" w:fill="92D05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115%</w:t>
            </w:r>
          </w:p>
        </w:tc>
        <w:tc>
          <w:tcPr>
            <w:tcW w:w="988" w:type="dxa"/>
            <w:shd w:val="clear" w:color="auto" w:fill="auto"/>
            <w:noWrap/>
            <w:vAlign w:val="center"/>
            <w:hideMark/>
          </w:tcPr>
          <w:p w:rsidR="00D6176C" w:rsidRPr="00EE7DC1" w:rsidRDefault="00D434F0"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37</w:t>
            </w:r>
          </w:p>
        </w:tc>
        <w:tc>
          <w:tcPr>
            <w:tcW w:w="1165" w:type="dxa"/>
            <w:vAlign w:val="center"/>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hAnsi="Times New Roman"/>
                <w:sz w:val="16"/>
                <w:szCs w:val="16"/>
              </w:rPr>
              <w:t>83%</w:t>
            </w:r>
          </w:p>
        </w:tc>
        <w:tc>
          <w:tcPr>
            <w:tcW w:w="1165"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eastAsia="Times New Roman" w:hAnsi="Times New Roman"/>
                <w:iCs/>
                <w:sz w:val="16"/>
                <w:szCs w:val="16"/>
              </w:rPr>
              <w:t>n/a</w:t>
            </w:r>
          </w:p>
        </w:tc>
      </w:tr>
      <w:tr w:rsidR="00D6176C" w:rsidRPr="00EE7DC1" w:rsidTr="005B6C71">
        <w:trPr>
          <w:trHeight w:val="255"/>
        </w:trPr>
        <w:tc>
          <w:tcPr>
            <w:tcW w:w="431"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7.4</w:t>
            </w:r>
          </w:p>
        </w:tc>
        <w:tc>
          <w:tcPr>
            <w:tcW w:w="1847" w:type="dxa"/>
            <w:shd w:val="clear" w:color="auto" w:fill="auto"/>
            <w:vAlign w:val="center"/>
          </w:tcPr>
          <w:p w:rsidR="00D6176C" w:rsidRPr="00EE7DC1" w:rsidRDefault="00D6176C" w:rsidP="005B6C71">
            <w:pPr>
              <w:spacing w:after="0"/>
              <w:rPr>
                <w:rFonts w:ascii="Times New Roman" w:eastAsia="Times New Roman" w:hAnsi="Times New Roman"/>
                <w:b/>
                <w:bCs/>
                <w:sz w:val="16"/>
                <w:szCs w:val="16"/>
              </w:rPr>
            </w:pPr>
            <w:r w:rsidRPr="00EE7DC1">
              <w:rPr>
                <w:rFonts w:ascii="Times New Roman" w:hAnsi="Times New Roman"/>
                <w:sz w:val="16"/>
                <w:szCs w:val="16"/>
              </w:rPr>
              <w:t>Global development financing</w:t>
            </w:r>
          </w:p>
        </w:tc>
        <w:tc>
          <w:tcPr>
            <w:tcW w:w="943" w:type="dxa"/>
            <w:tcBorders>
              <w:top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100%</w:t>
            </w:r>
          </w:p>
        </w:tc>
        <w:tc>
          <w:tcPr>
            <w:tcW w:w="943" w:type="dxa"/>
            <w:tcBorders>
              <w:top w:val="single" w:sz="6" w:space="0" w:color="auto"/>
              <w:bottom w:val="single" w:sz="6" w:space="0" w:color="auto"/>
            </w:tcBorders>
            <w:shd w:val="clear" w:color="auto" w:fill="FFC00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94%</w:t>
            </w:r>
          </w:p>
        </w:tc>
        <w:tc>
          <w:tcPr>
            <w:tcW w:w="943" w:type="dxa"/>
            <w:tcBorders>
              <w:top w:val="single" w:sz="6" w:space="0" w:color="auto"/>
              <w:bottom w:val="single" w:sz="6" w:space="0" w:color="auto"/>
            </w:tcBorders>
            <w:shd w:val="clear" w:color="auto" w:fill="FFC00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95%</w:t>
            </w:r>
          </w:p>
        </w:tc>
        <w:tc>
          <w:tcPr>
            <w:tcW w:w="988" w:type="dxa"/>
            <w:shd w:val="clear" w:color="auto" w:fill="92D05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100%</w:t>
            </w:r>
          </w:p>
        </w:tc>
        <w:tc>
          <w:tcPr>
            <w:tcW w:w="988" w:type="dxa"/>
            <w:shd w:val="clear" w:color="auto" w:fill="auto"/>
            <w:noWrap/>
            <w:vAlign w:val="center"/>
            <w:hideMark/>
          </w:tcPr>
          <w:p w:rsidR="00D6176C" w:rsidRPr="00EE7DC1" w:rsidRDefault="00D434F0"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22</w:t>
            </w:r>
          </w:p>
        </w:tc>
        <w:tc>
          <w:tcPr>
            <w:tcW w:w="1165" w:type="dxa"/>
            <w:vAlign w:val="center"/>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hAnsi="Times New Roman"/>
                <w:sz w:val="16"/>
                <w:szCs w:val="16"/>
              </w:rPr>
              <w:t>90%</w:t>
            </w:r>
          </w:p>
        </w:tc>
        <w:tc>
          <w:tcPr>
            <w:tcW w:w="1165" w:type="dxa"/>
            <w:shd w:val="clear" w:color="auto" w:fill="auto"/>
            <w:noWrap/>
            <w:vAlign w:val="center"/>
            <w:hideMark/>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eastAsia="Times New Roman" w:hAnsi="Times New Roman"/>
                <w:iCs/>
                <w:sz w:val="16"/>
                <w:szCs w:val="16"/>
              </w:rPr>
              <w:t>n/a</w:t>
            </w:r>
          </w:p>
        </w:tc>
      </w:tr>
      <w:tr w:rsidR="00D6176C" w:rsidRPr="00EE7DC1" w:rsidTr="005B6C71">
        <w:trPr>
          <w:trHeight w:val="270"/>
        </w:trPr>
        <w:tc>
          <w:tcPr>
            <w:tcW w:w="431" w:type="dxa"/>
            <w:tcBorders>
              <w:bottom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7.5</w:t>
            </w:r>
          </w:p>
        </w:tc>
        <w:tc>
          <w:tcPr>
            <w:tcW w:w="1847" w:type="dxa"/>
            <w:tcBorders>
              <w:bottom w:val="single" w:sz="6" w:space="0" w:color="auto"/>
            </w:tcBorders>
            <w:shd w:val="clear" w:color="auto" w:fill="auto"/>
            <w:vAlign w:val="center"/>
          </w:tcPr>
          <w:p w:rsidR="00D6176C" w:rsidRPr="00EE7DC1" w:rsidRDefault="00D6176C" w:rsidP="005B6C71">
            <w:pPr>
              <w:spacing w:after="0"/>
              <w:rPr>
                <w:rFonts w:ascii="Times New Roman" w:eastAsia="Times New Roman" w:hAnsi="Times New Roman"/>
                <w:b/>
                <w:bCs/>
                <w:sz w:val="16"/>
                <w:szCs w:val="16"/>
              </w:rPr>
            </w:pPr>
            <w:r w:rsidRPr="00EE7DC1">
              <w:rPr>
                <w:rFonts w:ascii="Times New Roman" w:hAnsi="Times New Roman"/>
                <w:sz w:val="16"/>
                <w:szCs w:val="16"/>
              </w:rPr>
              <w:t>South-South and triangular cooperation</w:t>
            </w:r>
          </w:p>
        </w:tc>
        <w:tc>
          <w:tcPr>
            <w:tcW w:w="943" w:type="dxa"/>
            <w:tcBorders>
              <w:bottom w:val="single" w:sz="6" w:space="0" w:color="auto"/>
            </w:tcBorders>
            <w:shd w:val="clear" w:color="000000" w:fill="92D05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113%</w:t>
            </w:r>
          </w:p>
        </w:tc>
        <w:tc>
          <w:tcPr>
            <w:tcW w:w="943" w:type="dxa"/>
            <w:tcBorders>
              <w:top w:val="single" w:sz="6" w:space="0" w:color="auto"/>
              <w:bottom w:val="single" w:sz="6" w:space="0" w:color="auto"/>
            </w:tcBorders>
            <w:shd w:val="clear" w:color="000000" w:fill="82CA3F"/>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107%</w:t>
            </w:r>
          </w:p>
        </w:tc>
        <w:tc>
          <w:tcPr>
            <w:tcW w:w="943" w:type="dxa"/>
            <w:tcBorders>
              <w:top w:val="single" w:sz="6" w:space="0" w:color="auto"/>
              <w:bottom w:val="single" w:sz="6" w:space="0" w:color="auto"/>
            </w:tcBorders>
            <w:shd w:val="clear" w:color="auto" w:fill="FFC000"/>
            <w:noWrap/>
            <w:vAlign w:val="center"/>
            <w:hideMark/>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99%</w:t>
            </w:r>
          </w:p>
        </w:tc>
        <w:tc>
          <w:tcPr>
            <w:tcW w:w="988" w:type="dxa"/>
            <w:tcBorders>
              <w:bottom w:val="single" w:sz="6" w:space="0" w:color="auto"/>
            </w:tcBorders>
            <w:shd w:val="clear" w:color="auto" w:fill="92D05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112%</w:t>
            </w:r>
          </w:p>
        </w:tc>
        <w:tc>
          <w:tcPr>
            <w:tcW w:w="988" w:type="dxa"/>
            <w:tcBorders>
              <w:bottom w:val="single" w:sz="6" w:space="0" w:color="auto"/>
            </w:tcBorders>
            <w:shd w:val="clear" w:color="auto" w:fill="auto"/>
            <w:noWrap/>
            <w:vAlign w:val="center"/>
            <w:hideMark/>
          </w:tcPr>
          <w:p w:rsidR="00D6176C" w:rsidRPr="00EE7DC1" w:rsidRDefault="00D434F0"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17</w:t>
            </w:r>
          </w:p>
        </w:tc>
        <w:tc>
          <w:tcPr>
            <w:tcW w:w="1165" w:type="dxa"/>
            <w:tcBorders>
              <w:bottom w:val="single" w:sz="6" w:space="0" w:color="auto"/>
            </w:tcBorders>
            <w:vAlign w:val="center"/>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hAnsi="Times New Roman"/>
                <w:sz w:val="16"/>
                <w:szCs w:val="16"/>
              </w:rPr>
              <w:t>89%</w:t>
            </w:r>
          </w:p>
        </w:tc>
        <w:tc>
          <w:tcPr>
            <w:tcW w:w="1165" w:type="dxa"/>
            <w:tcBorders>
              <w:bottom w:val="single" w:sz="6" w:space="0" w:color="auto"/>
            </w:tcBorders>
            <w:shd w:val="clear" w:color="auto" w:fill="auto"/>
            <w:noWrap/>
            <w:vAlign w:val="center"/>
            <w:hideMark/>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eastAsia="Times New Roman" w:hAnsi="Times New Roman"/>
                <w:iCs/>
                <w:sz w:val="16"/>
                <w:szCs w:val="16"/>
              </w:rPr>
              <w:t>n/a</w:t>
            </w:r>
          </w:p>
        </w:tc>
      </w:tr>
      <w:tr w:rsidR="00D6176C" w:rsidRPr="00EE7DC1" w:rsidTr="005B6C71">
        <w:trPr>
          <w:trHeight w:val="270"/>
        </w:trPr>
        <w:tc>
          <w:tcPr>
            <w:tcW w:w="431" w:type="dxa"/>
            <w:tcBorders>
              <w:bottom w:val="single" w:sz="6" w:space="0" w:color="auto"/>
            </w:tcBorders>
            <w:shd w:val="clear" w:color="auto" w:fill="auto"/>
            <w:noWrap/>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7.6</w:t>
            </w:r>
          </w:p>
        </w:tc>
        <w:tc>
          <w:tcPr>
            <w:tcW w:w="1847" w:type="dxa"/>
            <w:tcBorders>
              <w:bottom w:val="single" w:sz="6" w:space="0" w:color="auto"/>
            </w:tcBorders>
            <w:shd w:val="clear" w:color="auto" w:fill="auto"/>
            <w:vAlign w:val="center"/>
          </w:tcPr>
          <w:p w:rsidR="00D6176C" w:rsidRPr="00EE7DC1" w:rsidRDefault="00D6176C" w:rsidP="005B6C71">
            <w:pPr>
              <w:spacing w:after="0"/>
              <w:rPr>
                <w:rFonts w:ascii="Times New Roman" w:hAnsi="Times New Roman"/>
                <w:color w:val="000000"/>
                <w:sz w:val="16"/>
                <w:szCs w:val="16"/>
              </w:rPr>
            </w:pPr>
            <w:r w:rsidRPr="00EE7DC1">
              <w:rPr>
                <w:rFonts w:ascii="Times New Roman" w:hAnsi="Times New Roman"/>
                <w:sz w:val="16"/>
                <w:szCs w:val="16"/>
              </w:rPr>
              <w:t>Innovative development solutions</w:t>
            </w:r>
          </w:p>
        </w:tc>
        <w:tc>
          <w:tcPr>
            <w:tcW w:w="943" w:type="dxa"/>
            <w:tcBorders>
              <w:bottom w:val="single" w:sz="6" w:space="0" w:color="auto"/>
            </w:tcBorders>
            <w:shd w:val="clear" w:color="000000" w:fill="92D050"/>
            <w:noWrap/>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133%</w:t>
            </w:r>
          </w:p>
        </w:tc>
        <w:tc>
          <w:tcPr>
            <w:tcW w:w="943" w:type="dxa"/>
            <w:tcBorders>
              <w:top w:val="single" w:sz="6" w:space="0" w:color="auto"/>
              <w:bottom w:val="single" w:sz="6" w:space="0" w:color="auto"/>
            </w:tcBorders>
            <w:shd w:val="clear" w:color="000000" w:fill="82CA3F"/>
            <w:noWrap/>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157%</w:t>
            </w:r>
          </w:p>
        </w:tc>
        <w:tc>
          <w:tcPr>
            <w:tcW w:w="943" w:type="dxa"/>
            <w:tcBorders>
              <w:bottom w:val="single" w:sz="6" w:space="0" w:color="auto"/>
            </w:tcBorders>
            <w:shd w:val="clear" w:color="000000" w:fill="92D050"/>
            <w:noWrap/>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131%</w:t>
            </w:r>
          </w:p>
        </w:tc>
        <w:tc>
          <w:tcPr>
            <w:tcW w:w="988" w:type="dxa"/>
            <w:tcBorders>
              <w:bottom w:val="single" w:sz="6" w:space="0" w:color="auto"/>
            </w:tcBorders>
            <w:shd w:val="clear" w:color="auto" w:fill="92D05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126%</w:t>
            </w:r>
          </w:p>
        </w:tc>
        <w:tc>
          <w:tcPr>
            <w:tcW w:w="988" w:type="dxa"/>
            <w:tcBorders>
              <w:bottom w:val="single" w:sz="6" w:space="0" w:color="auto"/>
            </w:tcBorders>
            <w:shd w:val="clear" w:color="auto" w:fill="auto"/>
            <w:noWrap/>
            <w:vAlign w:val="center"/>
          </w:tcPr>
          <w:p w:rsidR="00D6176C" w:rsidRPr="00EE7DC1" w:rsidRDefault="00D434F0" w:rsidP="005B6C71">
            <w:pPr>
              <w:spacing w:after="0"/>
              <w:jc w:val="center"/>
              <w:rPr>
                <w:rFonts w:ascii="Times New Roman" w:eastAsia="Times New Roman" w:hAnsi="Times New Roman"/>
                <w:sz w:val="16"/>
                <w:szCs w:val="16"/>
              </w:rPr>
            </w:pPr>
            <w:r>
              <w:rPr>
                <w:rFonts w:ascii="Times New Roman" w:eastAsia="Times New Roman" w:hAnsi="Times New Roman"/>
                <w:sz w:val="16"/>
                <w:szCs w:val="16"/>
              </w:rPr>
              <w:t>17</w:t>
            </w:r>
          </w:p>
        </w:tc>
        <w:tc>
          <w:tcPr>
            <w:tcW w:w="1165" w:type="dxa"/>
            <w:tcBorders>
              <w:bottom w:val="single" w:sz="6" w:space="0" w:color="auto"/>
            </w:tcBorders>
            <w:vAlign w:val="center"/>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hAnsi="Times New Roman"/>
                <w:sz w:val="16"/>
                <w:szCs w:val="16"/>
              </w:rPr>
              <w:t>82%</w:t>
            </w:r>
          </w:p>
        </w:tc>
        <w:tc>
          <w:tcPr>
            <w:tcW w:w="1165" w:type="dxa"/>
            <w:tcBorders>
              <w:bottom w:val="single" w:sz="6" w:space="0" w:color="auto"/>
            </w:tcBorders>
            <w:shd w:val="clear" w:color="auto" w:fill="auto"/>
            <w:noWrap/>
            <w:vAlign w:val="center"/>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eastAsia="Times New Roman" w:hAnsi="Times New Roman"/>
                <w:iCs/>
                <w:sz w:val="16"/>
                <w:szCs w:val="16"/>
              </w:rPr>
              <w:t>n/a</w:t>
            </w:r>
          </w:p>
        </w:tc>
      </w:tr>
      <w:tr w:rsidR="00D6176C" w:rsidRPr="00EE7DC1" w:rsidTr="005B6C71">
        <w:trPr>
          <w:trHeight w:val="270"/>
        </w:trPr>
        <w:tc>
          <w:tcPr>
            <w:tcW w:w="431" w:type="dxa"/>
            <w:tcBorders>
              <w:bottom w:val="single" w:sz="6" w:space="0" w:color="auto"/>
            </w:tcBorders>
            <w:shd w:val="clear" w:color="auto" w:fill="auto"/>
            <w:noWrap/>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7.7</w:t>
            </w:r>
          </w:p>
        </w:tc>
        <w:tc>
          <w:tcPr>
            <w:tcW w:w="1847" w:type="dxa"/>
            <w:tcBorders>
              <w:bottom w:val="single" w:sz="6" w:space="0" w:color="auto"/>
            </w:tcBorders>
            <w:shd w:val="clear" w:color="auto" w:fill="auto"/>
            <w:vAlign w:val="center"/>
          </w:tcPr>
          <w:p w:rsidR="00D6176C" w:rsidRPr="00EE7DC1" w:rsidRDefault="00D6176C" w:rsidP="005B6C71">
            <w:pPr>
              <w:spacing w:after="0"/>
              <w:rPr>
                <w:rFonts w:ascii="Times New Roman" w:hAnsi="Times New Roman"/>
                <w:color w:val="000000"/>
                <w:sz w:val="16"/>
                <w:szCs w:val="16"/>
              </w:rPr>
            </w:pPr>
            <w:r w:rsidRPr="00EE7DC1">
              <w:rPr>
                <w:rFonts w:ascii="Times New Roman" w:hAnsi="Times New Roman"/>
                <w:sz w:val="16"/>
                <w:szCs w:val="16"/>
              </w:rPr>
              <w:t>Knowledge about development solutions</w:t>
            </w:r>
          </w:p>
        </w:tc>
        <w:tc>
          <w:tcPr>
            <w:tcW w:w="943" w:type="dxa"/>
            <w:tcBorders>
              <w:bottom w:val="single" w:sz="6" w:space="0" w:color="auto"/>
            </w:tcBorders>
            <w:shd w:val="clear" w:color="000000" w:fill="92D050"/>
            <w:noWrap/>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101%</w:t>
            </w:r>
          </w:p>
        </w:tc>
        <w:tc>
          <w:tcPr>
            <w:tcW w:w="943" w:type="dxa"/>
            <w:tcBorders>
              <w:top w:val="single" w:sz="6" w:space="0" w:color="auto"/>
              <w:bottom w:val="single" w:sz="6" w:space="0" w:color="auto"/>
            </w:tcBorders>
            <w:shd w:val="clear" w:color="000000" w:fill="82CA3F"/>
            <w:noWrap/>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118%</w:t>
            </w:r>
          </w:p>
        </w:tc>
        <w:tc>
          <w:tcPr>
            <w:tcW w:w="943" w:type="dxa"/>
            <w:tcBorders>
              <w:bottom w:val="single" w:sz="6" w:space="0" w:color="auto"/>
            </w:tcBorders>
            <w:shd w:val="clear" w:color="000000" w:fill="92D050"/>
            <w:noWrap/>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127%</w:t>
            </w:r>
          </w:p>
        </w:tc>
        <w:tc>
          <w:tcPr>
            <w:tcW w:w="988" w:type="dxa"/>
            <w:tcBorders>
              <w:bottom w:val="single" w:sz="6" w:space="0" w:color="auto"/>
            </w:tcBorders>
            <w:shd w:val="clear" w:color="auto" w:fill="92D05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128%</w:t>
            </w:r>
          </w:p>
        </w:tc>
        <w:tc>
          <w:tcPr>
            <w:tcW w:w="988" w:type="dxa"/>
            <w:tcBorders>
              <w:bottom w:val="single" w:sz="6" w:space="0" w:color="auto"/>
            </w:tcBorders>
            <w:shd w:val="clear" w:color="auto" w:fill="auto"/>
            <w:noWrap/>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Global</w:t>
            </w:r>
          </w:p>
        </w:tc>
        <w:tc>
          <w:tcPr>
            <w:tcW w:w="1165" w:type="dxa"/>
            <w:tcBorders>
              <w:bottom w:val="single" w:sz="6" w:space="0" w:color="auto"/>
            </w:tcBorders>
            <w:vAlign w:val="center"/>
          </w:tcPr>
          <w:p w:rsidR="00D6176C" w:rsidRPr="00EE7DC1" w:rsidRDefault="00D6176C" w:rsidP="005B6C71">
            <w:pPr>
              <w:spacing w:after="0"/>
              <w:jc w:val="center"/>
              <w:rPr>
                <w:rFonts w:ascii="Times New Roman" w:eastAsia="Times New Roman" w:hAnsi="Times New Roman"/>
                <w:iCs/>
                <w:sz w:val="16"/>
                <w:szCs w:val="16"/>
              </w:rPr>
            </w:pPr>
            <w:r>
              <w:rPr>
                <w:rFonts w:ascii="Times New Roman" w:eastAsia="Times New Roman" w:hAnsi="Times New Roman"/>
                <w:iCs/>
                <w:sz w:val="16"/>
                <w:szCs w:val="16"/>
              </w:rPr>
              <w:t>Global</w:t>
            </w:r>
          </w:p>
        </w:tc>
        <w:tc>
          <w:tcPr>
            <w:tcW w:w="1165" w:type="dxa"/>
            <w:tcBorders>
              <w:bottom w:val="single" w:sz="6" w:space="0" w:color="auto"/>
            </w:tcBorders>
            <w:shd w:val="clear" w:color="auto" w:fill="auto"/>
            <w:noWrap/>
            <w:vAlign w:val="center"/>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eastAsia="Times New Roman" w:hAnsi="Times New Roman"/>
                <w:iCs/>
                <w:sz w:val="16"/>
                <w:szCs w:val="16"/>
              </w:rPr>
              <w:t>n/a</w:t>
            </w:r>
          </w:p>
        </w:tc>
      </w:tr>
      <w:tr w:rsidR="00D6176C" w:rsidRPr="00EE7DC1" w:rsidTr="005B6C71">
        <w:trPr>
          <w:trHeight w:val="270"/>
        </w:trPr>
        <w:tc>
          <w:tcPr>
            <w:tcW w:w="431" w:type="dxa"/>
            <w:tcBorders>
              <w:top w:val="single" w:sz="6" w:space="0" w:color="auto"/>
              <w:bottom w:val="single" w:sz="6" w:space="0" w:color="auto"/>
            </w:tcBorders>
            <w:shd w:val="clear" w:color="auto" w:fill="auto"/>
            <w:noWrap/>
            <w:vAlign w:val="center"/>
          </w:tcPr>
          <w:p w:rsidR="00D6176C" w:rsidRPr="00EE7DC1" w:rsidRDefault="00D6176C" w:rsidP="005B6C71">
            <w:pPr>
              <w:spacing w:after="0"/>
              <w:jc w:val="center"/>
              <w:rPr>
                <w:rFonts w:ascii="Times New Roman" w:eastAsia="Times New Roman" w:hAnsi="Times New Roman"/>
                <w:b/>
                <w:bCs/>
                <w:sz w:val="16"/>
                <w:szCs w:val="16"/>
              </w:rPr>
            </w:pPr>
            <w:r w:rsidRPr="00EE7DC1">
              <w:rPr>
                <w:rFonts w:ascii="Times New Roman" w:eastAsia="Times New Roman" w:hAnsi="Times New Roman"/>
                <w:b/>
                <w:bCs/>
                <w:sz w:val="16"/>
                <w:szCs w:val="16"/>
              </w:rPr>
              <w:t>7.8</w:t>
            </w:r>
          </w:p>
        </w:tc>
        <w:tc>
          <w:tcPr>
            <w:tcW w:w="1847" w:type="dxa"/>
            <w:tcBorders>
              <w:top w:val="single" w:sz="6" w:space="0" w:color="auto"/>
              <w:bottom w:val="single" w:sz="6" w:space="0" w:color="auto"/>
            </w:tcBorders>
            <w:shd w:val="clear" w:color="auto" w:fill="auto"/>
            <w:vAlign w:val="center"/>
          </w:tcPr>
          <w:p w:rsidR="00D6176C" w:rsidRPr="00EE7DC1" w:rsidRDefault="00D6176C" w:rsidP="005B6C71">
            <w:pPr>
              <w:spacing w:after="0"/>
              <w:rPr>
                <w:rFonts w:ascii="Times New Roman" w:hAnsi="Times New Roman"/>
                <w:color w:val="000000"/>
                <w:sz w:val="16"/>
                <w:szCs w:val="16"/>
              </w:rPr>
            </w:pPr>
            <w:r w:rsidRPr="00EE7DC1">
              <w:rPr>
                <w:rFonts w:ascii="Times New Roman" w:hAnsi="Times New Roman"/>
                <w:sz w:val="16"/>
                <w:szCs w:val="16"/>
              </w:rPr>
              <w:t>MDGs and other global development goals</w:t>
            </w:r>
          </w:p>
        </w:tc>
        <w:tc>
          <w:tcPr>
            <w:tcW w:w="943" w:type="dxa"/>
            <w:tcBorders>
              <w:top w:val="single" w:sz="6" w:space="0" w:color="auto"/>
              <w:bottom w:val="single" w:sz="6" w:space="0" w:color="auto"/>
            </w:tcBorders>
            <w:shd w:val="clear" w:color="000000" w:fill="FF0000"/>
            <w:noWrap/>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55%</w:t>
            </w:r>
          </w:p>
        </w:tc>
        <w:tc>
          <w:tcPr>
            <w:tcW w:w="943" w:type="dxa"/>
            <w:tcBorders>
              <w:top w:val="single" w:sz="6" w:space="0" w:color="auto"/>
              <w:bottom w:val="single" w:sz="6" w:space="0" w:color="auto"/>
            </w:tcBorders>
            <w:shd w:val="clear" w:color="000000" w:fill="82CA3F"/>
            <w:noWrap/>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123%</w:t>
            </w:r>
          </w:p>
        </w:tc>
        <w:tc>
          <w:tcPr>
            <w:tcW w:w="943" w:type="dxa"/>
            <w:tcBorders>
              <w:top w:val="single" w:sz="6" w:space="0" w:color="auto"/>
              <w:bottom w:val="single" w:sz="6" w:space="0" w:color="auto"/>
            </w:tcBorders>
            <w:shd w:val="clear" w:color="auto" w:fill="FFC000"/>
            <w:noWrap/>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99%</w:t>
            </w:r>
          </w:p>
        </w:tc>
        <w:tc>
          <w:tcPr>
            <w:tcW w:w="988" w:type="dxa"/>
            <w:tcBorders>
              <w:top w:val="single" w:sz="6" w:space="0" w:color="auto"/>
              <w:bottom w:val="single" w:sz="6" w:space="0" w:color="auto"/>
            </w:tcBorders>
            <w:shd w:val="clear" w:color="auto" w:fill="92D050"/>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100%</w:t>
            </w:r>
          </w:p>
        </w:tc>
        <w:tc>
          <w:tcPr>
            <w:tcW w:w="988" w:type="dxa"/>
            <w:tcBorders>
              <w:top w:val="single" w:sz="6" w:space="0" w:color="auto"/>
              <w:bottom w:val="single" w:sz="6" w:space="0" w:color="auto"/>
            </w:tcBorders>
            <w:shd w:val="clear" w:color="auto" w:fill="auto"/>
            <w:noWrap/>
            <w:vAlign w:val="center"/>
          </w:tcPr>
          <w:p w:rsidR="00D6176C" w:rsidRPr="00EE7DC1" w:rsidRDefault="00D6176C" w:rsidP="005B6C71">
            <w:pPr>
              <w:spacing w:after="0"/>
              <w:jc w:val="center"/>
              <w:rPr>
                <w:rFonts w:ascii="Times New Roman" w:eastAsia="Times New Roman" w:hAnsi="Times New Roman"/>
                <w:sz w:val="16"/>
                <w:szCs w:val="16"/>
              </w:rPr>
            </w:pPr>
            <w:r w:rsidRPr="00EE7DC1">
              <w:rPr>
                <w:rFonts w:ascii="Times New Roman" w:eastAsia="Times New Roman" w:hAnsi="Times New Roman"/>
                <w:sz w:val="16"/>
                <w:szCs w:val="16"/>
              </w:rPr>
              <w:t>Global</w:t>
            </w:r>
          </w:p>
        </w:tc>
        <w:tc>
          <w:tcPr>
            <w:tcW w:w="1165" w:type="dxa"/>
            <w:tcBorders>
              <w:top w:val="single" w:sz="6" w:space="0" w:color="auto"/>
              <w:bottom w:val="single" w:sz="6" w:space="0" w:color="auto"/>
            </w:tcBorders>
            <w:vAlign w:val="center"/>
          </w:tcPr>
          <w:p w:rsidR="00D6176C" w:rsidRPr="00EE7DC1" w:rsidRDefault="00D6176C" w:rsidP="005B6C71">
            <w:pPr>
              <w:spacing w:after="0"/>
              <w:jc w:val="center"/>
              <w:rPr>
                <w:rFonts w:ascii="Times New Roman" w:eastAsia="Times New Roman" w:hAnsi="Times New Roman"/>
                <w:iCs/>
                <w:sz w:val="16"/>
                <w:szCs w:val="16"/>
              </w:rPr>
            </w:pPr>
            <w:r>
              <w:rPr>
                <w:rFonts w:ascii="Times New Roman" w:eastAsia="Times New Roman" w:hAnsi="Times New Roman"/>
                <w:iCs/>
                <w:sz w:val="16"/>
                <w:szCs w:val="16"/>
              </w:rPr>
              <w:t>Global</w:t>
            </w:r>
          </w:p>
        </w:tc>
        <w:tc>
          <w:tcPr>
            <w:tcW w:w="1165" w:type="dxa"/>
            <w:tcBorders>
              <w:top w:val="single" w:sz="6" w:space="0" w:color="auto"/>
              <w:bottom w:val="single" w:sz="6" w:space="0" w:color="auto"/>
            </w:tcBorders>
            <w:shd w:val="clear" w:color="auto" w:fill="auto"/>
            <w:noWrap/>
            <w:vAlign w:val="center"/>
          </w:tcPr>
          <w:p w:rsidR="00D6176C" w:rsidRPr="00EE7DC1" w:rsidRDefault="00D6176C" w:rsidP="005B6C71">
            <w:pPr>
              <w:spacing w:after="0"/>
              <w:jc w:val="center"/>
              <w:rPr>
                <w:rFonts w:ascii="Times New Roman" w:eastAsia="Times New Roman" w:hAnsi="Times New Roman"/>
                <w:iCs/>
                <w:sz w:val="16"/>
                <w:szCs w:val="16"/>
              </w:rPr>
            </w:pPr>
            <w:r w:rsidRPr="00EE7DC1">
              <w:rPr>
                <w:rFonts w:ascii="Times New Roman" w:eastAsia="Times New Roman" w:hAnsi="Times New Roman"/>
                <w:iCs/>
                <w:sz w:val="16"/>
                <w:szCs w:val="16"/>
              </w:rPr>
              <w:t>n/a</w:t>
            </w:r>
          </w:p>
        </w:tc>
      </w:tr>
      <w:tr w:rsidR="00D6176C" w:rsidRPr="00EE7DC1" w:rsidTr="005B6C71">
        <w:trPr>
          <w:trHeight w:val="270"/>
        </w:trPr>
        <w:tc>
          <w:tcPr>
            <w:tcW w:w="9413" w:type="dxa"/>
            <w:gridSpan w:val="9"/>
            <w:tcBorders>
              <w:top w:val="single" w:sz="6" w:space="0" w:color="auto"/>
              <w:bottom w:val="single" w:sz="12" w:space="0" w:color="auto"/>
            </w:tcBorders>
            <w:vAlign w:val="center"/>
          </w:tcPr>
          <w:p w:rsidR="00D6176C" w:rsidRPr="00EE7DC1" w:rsidRDefault="00D6176C" w:rsidP="005B6C71">
            <w:pPr>
              <w:spacing w:after="0"/>
              <w:rPr>
                <w:rFonts w:ascii="Times New Roman" w:eastAsia="Times New Roman" w:hAnsi="Times New Roman"/>
                <w:iCs/>
                <w:sz w:val="16"/>
                <w:szCs w:val="16"/>
              </w:rPr>
            </w:pPr>
            <w:r w:rsidRPr="00EE7DC1">
              <w:rPr>
                <w:rFonts w:ascii="Times New Roman" w:hAnsi="Times New Roman"/>
                <w:color w:val="000000"/>
                <w:sz w:val="16"/>
                <w:szCs w:val="16"/>
              </w:rPr>
              <w:t xml:space="preserve">Expenditure with gender equality as a ‘significant’ or ‘principal’ objective: </w:t>
            </w:r>
            <w:r w:rsidRPr="00746E2A">
              <w:rPr>
                <w:rFonts w:ascii="Times New Roman" w:hAnsi="Times New Roman"/>
                <w:color w:val="000000"/>
                <w:sz w:val="16"/>
                <w:szCs w:val="16"/>
              </w:rPr>
              <w:t>23%</w:t>
            </w:r>
          </w:p>
        </w:tc>
      </w:tr>
    </w:tbl>
    <w:p w:rsidR="00D6176C" w:rsidRPr="003F5460" w:rsidRDefault="00D6176C" w:rsidP="00D6176C">
      <w:pPr>
        <w:spacing w:after="0" w:line="240" w:lineRule="auto"/>
        <w:rPr>
          <w:rFonts w:ascii="Times New Roman" w:hAnsi="Times New Roman"/>
          <w:sz w:val="16"/>
          <w:szCs w:val="16"/>
        </w:rPr>
      </w:pPr>
    </w:p>
    <w:p w:rsidR="00D6176C" w:rsidRPr="00B756CF" w:rsidRDefault="00D6176C" w:rsidP="00A237D4">
      <w:pPr>
        <w:pStyle w:val="ListParagraph"/>
        <w:numPr>
          <w:ilvl w:val="0"/>
          <w:numId w:val="11"/>
        </w:numPr>
        <w:tabs>
          <w:tab w:val="left" w:pos="1080"/>
        </w:tabs>
        <w:spacing w:line="0" w:lineRule="atLeast"/>
        <w:ind w:firstLine="0"/>
        <w:jc w:val="both"/>
        <w:rPr>
          <w:rFonts w:eastAsiaTheme="minorEastAsia"/>
          <w:lang w:val="en-US"/>
        </w:rPr>
      </w:pPr>
      <w:r w:rsidRPr="0057454F">
        <w:rPr>
          <w:rFonts w:ascii="Times New Roman" w:hAnsi="Times New Roman"/>
          <w:sz w:val="20"/>
          <w:szCs w:val="20"/>
        </w:rPr>
        <w:t>UNDP thought leadership and advocacy to advance the global development agenda supported the translation of global agreements into gender-responsive national and local strategies</w:t>
      </w:r>
      <w:r w:rsidR="00222DB9">
        <w:rPr>
          <w:rFonts w:ascii="Times New Roman" w:hAnsi="Times New Roman"/>
          <w:sz w:val="20"/>
          <w:szCs w:val="20"/>
        </w:rPr>
        <w:t xml:space="preserve">.  </w:t>
      </w:r>
      <w:r w:rsidRPr="0057454F">
        <w:rPr>
          <w:rFonts w:ascii="Times New Roman" w:hAnsi="Times New Roman"/>
          <w:sz w:val="20"/>
          <w:szCs w:val="20"/>
        </w:rPr>
        <w:t>Attention is turning swiftly to ways of accelerating progress, drawing on an array of partnerships and approaches, along with mobiliz</w:t>
      </w:r>
      <w:r>
        <w:rPr>
          <w:rFonts w:ascii="Times New Roman" w:hAnsi="Times New Roman"/>
          <w:sz w:val="20"/>
          <w:szCs w:val="20"/>
        </w:rPr>
        <w:t>ing</w:t>
      </w:r>
      <w:r w:rsidRPr="0057454F">
        <w:rPr>
          <w:rFonts w:ascii="Times New Roman" w:hAnsi="Times New Roman"/>
          <w:sz w:val="20"/>
          <w:szCs w:val="20"/>
        </w:rPr>
        <w:t xml:space="preserve"> financial resources from public</w:t>
      </w:r>
      <w:r>
        <w:rPr>
          <w:rFonts w:ascii="Times New Roman" w:hAnsi="Times New Roman"/>
          <w:sz w:val="20"/>
          <w:szCs w:val="20"/>
        </w:rPr>
        <w:t xml:space="preserve">, </w:t>
      </w:r>
      <w:r w:rsidRPr="0057454F">
        <w:rPr>
          <w:rFonts w:ascii="Times New Roman" w:hAnsi="Times New Roman"/>
          <w:sz w:val="20"/>
          <w:szCs w:val="20"/>
        </w:rPr>
        <w:t>private, international and domestic</w:t>
      </w:r>
      <w:r>
        <w:rPr>
          <w:rFonts w:ascii="Times New Roman" w:hAnsi="Times New Roman"/>
          <w:sz w:val="20"/>
          <w:szCs w:val="20"/>
        </w:rPr>
        <w:t xml:space="preserve"> sources</w:t>
      </w:r>
      <w:r w:rsidRPr="0057454F">
        <w:rPr>
          <w:rFonts w:ascii="Times New Roman" w:hAnsi="Times New Roman"/>
          <w:sz w:val="20"/>
          <w:szCs w:val="20"/>
        </w:rPr>
        <w:t xml:space="preserve">.    </w:t>
      </w:r>
    </w:p>
    <w:p w:rsidR="00D6176C" w:rsidRPr="00A237D4" w:rsidRDefault="00D6176C" w:rsidP="00A237D4">
      <w:pPr>
        <w:pStyle w:val="ListParagraph"/>
        <w:tabs>
          <w:tab w:val="left" w:pos="1080"/>
        </w:tabs>
        <w:spacing w:line="0" w:lineRule="atLeast"/>
        <w:jc w:val="both"/>
        <w:rPr>
          <w:rFonts w:eastAsiaTheme="minorEastAsia"/>
          <w:sz w:val="12"/>
          <w:szCs w:val="12"/>
          <w:lang w:val="en-US"/>
        </w:rPr>
      </w:pPr>
    </w:p>
    <w:p w:rsidR="000F5FE5" w:rsidRDefault="00D6176C" w:rsidP="00A237D4">
      <w:pPr>
        <w:pStyle w:val="ListParagraph"/>
        <w:widowControl w:val="0"/>
        <w:numPr>
          <w:ilvl w:val="0"/>
          <w:numId w:val="11"/>
        </w:numPr>
        <w:tabs>
          <w:tab w:val="left" w:pos="1080"/>
          <w:tab w:val="left" w:pos="1200"/>
        </w:tabs>
        <w:spacing w:after="0" w:line="0" w:lineRule="atLeast"/>
        <w:ind w:right="4" w:firstLine="0"/>
        <w:jc w:val="both"/>
        <w:rPr>
          <w:rFonts w:ascii="Times New Roman" w:hAnsi="Times New Roman"/>
          <w:sz w:val="20"/>
          <w:szCs w:val="20"/>
        </w:rPr>
      </w:pPr>
      <w:r>
        <w:rPr>
          <w:rFonts w:ascii="Times New Roman" w:hAnsi="Times New Roman"/>
          <w:sz w:val="20"/>
          <w:szCs w:val="20"/>
        </w:rPr>
        <w:t>P</w:t>
      </w:r>
      <w:r w:rsidRPr="0057454F">
        <w:rPr>
          <w:rFonts w:ascii="Times New Roman" w:hAnsi="Times New Roman"/>
          <w:sz w:val="20"/>
          <w:szCs w:val="20"/>
        </w:rPr>
        <w:t xml:space="preserve">erformance under </w:t>
      </w:r>
      <w:r w:rsidR="007A7F5D">
        <w:rPr>
          <w:rFonts w:ascii="Times New Roman" w:hAnsi="Times New Roman"/>
          <w:sz w:val="20"/>
          <w:szCs w:val="20"/>
        </w:rPr>
        <w:t>o</w:t>
      </w:r>
      <w:r w:rsidR="007A7F5D" w:rsidRPr="0057454F">
        <w:rPr>
          <w:rFonts w:ascii="Times New Roman" w:hAnsi="Times New Roman"/>
          <w:sz w:val="20"/>
          <w:szCs w:val="20"/>
        </w:rPr>
        <w:t xml:space="preserve">utcome </w:t>
      </w:r>
      <w:r w:rsidRPr="0057454F">
        <w:rPr>
          <w:rFonts w:ascii="Times New Roman" w:hAnsi="Times New Roman"/>
          <w:sz w:val="20"/>
          <w:szCs w:val="20"/>
        </w:rPr>
        <w:t xml:space="preserve">7 was strong with </w:t>
      </w:r>
      <w:r w:rsidR="00D33DF5">
        <w:rPr>
          <w:rFonts w:ascii="Times New Roman" w:hAnsi="Times New Roman"/>
          <w:sz w:val="20"/>
          <w:szCs w:val="20"/>
        </w:rPr>
        <w:t xml:space="preserve">UNDP </w:t>
      </w:r>
      <w:r w:rsidRPr="0057454F">
        <w:rPr>
          <w:rFonts w:ascii="Times New Roman" w:hAnsi="Times New Roman"/>
          <w:sz w:val="20"/>
          <w:szCs w:val="20"/>
        </w:rPr>
        <w:t>exceed</w:t>
      </w:r>
      <w:r>
        <w:rPr>
          <w:rFonts w:ascii="Times New Roman" w:hAnsi="Times New Roman"/>
          <w:sz w:val="20"/>
          <w:szCs w:val="20"/>
        </w:rPr>
        <w:t>ing</w:t>
      </w:r>
      <w:r w:rsidRPr="0057454F">
        <w:rPr>
          <w:rFonts w:ascii="Times New Roman" w:hAnsi="Times New Roman"/>
          <w:sz w:val="20"/>
          <w:szCs w:val="20"/>
        </w:rPr>
        <w:t xml:space="preserve"> 2017 targets</w:t>
      </w:r>
      <w:r w:rsidR="00D33DF5">
        <w:rPr>
          <w:rFonts w:ascii="Times New Roman" w:hAnsi="Times New Roman"/>
          <w:sz w:val="20"/>
          <w:szCs w:val="20"/>
        </w:rPr>
        <w:t xml:space="preserve"> for </w:t>
      </w:r>
      <w:r w:rsidR="00D33DF5" w:rsidRPr="0057454F">
        <w:rPr>
          <w:rFonts w:ascii="Times New Roman" w:hAnsi="Times New Roman"/>
          <w:sz w:val="20"/>
          <w:szCs w:val="20"/>
        </w:rPr>
        <w:t>seven of eight outputs</w:t>
      </w:r>
      <w:r w:rsidRPr="0057454F">
        <w:rPr>
          <w:rFonts w:ascii="Times New Roman" w:hAnsi="Times New Roman"/>
          <w:sz w:val="20"/>
          <w:szCs w:val="20"/>
        </w:rPr>
        <w:t>. In 2014-2017, UNDP spent $719 million</w:t>
      </w:r>
      <w:r>
        <w:rPr>
          <w:rFonts w:ascii="Times New Roman" w:hAnsi="Times New Roman"/>
          <w:sz w:val="20"/>
          <w:szCs w:val="20"/>
        </w:rPr>
        <w:t xml:space="preserve">, </w:t>
      </w:r>
      <w:r w:rsidRPr="0057454F">
        <w:rPr>
          <w:rFonts w:ascii="Times New Roman" w:hAnsi="Times New Roman"/>
          <w:sz w:val="20"/>
          <w:szCs w:val="20"/>
        </w:rPr>
        <w:t>or 4 per cent of its programme resources</w:t>
      </w:r>
      <w:r>
        <w:rPr>
          <w:rFonts w:ascii="Times New Roman" w:hAnsi="Times New Roman"/>
          <w:sz w:val="20"/>
          <w:szCs w:val="20"/>
        </w:rPr>
        <w:t>,</w:t>
      </w:r>
      <w:r w:rsidRPr="0057454F">
        <w:rPr>
          <w:rFonts w:ascii="Times New Roman" w:hAnsi="Times New Roman"/>
          <w:sz w:val="20"/>
          <w:szCs w:val="20"/>
        </w:rPr>
        <w:t xml:space="preserve"> </w:t>
      </w:r>
      <w:r>
        <w:rPr>
          <w:rFonts w:ascii="Times New Roman" w:hAnsi="Times New Roman"/>
          <w:sz w:val="20"/>
          <w:szCs w:val="20"/>
        </w:rPr>
        <w:t>on</w:t>
      </w:r>
      <w:r w:rsidRPr="0057454F">
        <w:rPr>
          <w:rFonts w:ascii="Times New Roman" w:hAnsi="Times New Roman"/>
          <w:sz w:val="20"/>
          <w:szCs w:val="20"/>
        </w:rPr>
        <w:t xml:space="preserve"> </w:t>
      </w:r>
      <w:r w:rsidR="00D33DF5">
        <w:rPr>
          <w:rFonts w:ascii="Times New Roman" w:hAnsi="Times New Roman"/>
          <w:sz w:val="20"/>
          <w:szCs w:val="20"/>
        </w:rPr>
        <w:t>o</w:t>
      </w:r>
      <w:r w:rsidR="00D33DF5" w:rsidRPr="0057454F">
        <w:rPr>
          <w:rFonts w:ascii="Times New Roman" w:hAnsi="Times New Roman"/>
          <w:sz w:val="20"/>
          <w:szCs w:val="20"/>
        </w:rPr>
        <w:t xml:space="preserve">utcome </w:t>
      </w:r>
      <w:r w:rsidRPr="0057454F">
        <w:rPr>
          <w:rFonts w:ascii="Times New Roman" w:hAnsi="Times New Roman"/>
          <w:sz w:val="20"/>
          <w:szCs w:val="20"/>
        </w:rPr>
        <w:t xml:space="preserve">7.  </w:t>
      </w:r>
    </w:p>
    <w:p w:rsidR="00316F93" w:rsidRPr="00A237D4" w:rsidRDefault="00316F93" w:rsidP="00A237D4">
      <w:pPr>
        <w:pStyle w:val="ListParagraph"/>
        <w:widowControl w:val="0"/>
        <w:tabs>
          <w:tab w:val="left" w:pos="1080"/>
          <w:tab w:val="left" w:pos="1200"/>
        </w:tabs>
        <w:spacing w:after="0" w:line="0" w:lineRule="atLeast"/>
        <w:ind w:right="4"/>
        <w:jc w:val="both"/>
        <w:rPr>
          <w:rFonts w:ascii="Times New Roman" w:hAnsi="Times New Roman"/>
          <w:sz w:val="12"/>
          <w:szCs w:val="12"/>
        </w:rPr>
      </w:pPr>
    </w:p>
    <w:p w:rsidR="00D6176C" w:rsidRPr="00316F93" w:rsidRDefault="00D6176C" w:rsidP="00A237D4">
      <w:pPr>
        <w:pStyle w:val="ListParagraph"/>
        <w:widowControl w:val="0"/>
        <w:numPr>
          <w:ilvl w:val="0"/>
          <w:numId w:val="11"/>
        </w:numPr>
        <w:tabs>
          <w:tab w:val="left" w:pos="1080"/>
          <w:tab w:val="left" w:pos="1200"/>
        </w:tabs>
        <w:spacing w:after="0" w:line="0" w:lineRule="atLeast"/>
        <w:ind w:right="4" w:firstLine="0"/>
        <w:jc w:val="both"/>
        <w:rPr>
          <w:rFonts w:ascii="Times New Roman" w:hAnsi="Times New Roman"/>
          <w:sz w:val="20"/>
          <w:szCs w:val="20"/>
        </w:rPr>
      </w:pPr>
      <w:r w:rsidRPr="00D33DF5">
        <w:rPr>
          <w:rFonts w:ascii="Times New Roman" w:hAnsi="Times New Roman"/>
          <w:sz w:val="20"/>
          <w:szCs w:val="20"/>
        </w:rPr>
        <w:t xml:space="preserve">Support to </w:t>
      </w:r>
      <w:r w:rsidRPr="00D33DF5" w:rsidDel="00D001FC">
        <w:rPr>
          <w:rFonts w:ascii="Times New Roman" w:hAnsi="Times New Roman"/>
          <w:sz w:val="20"/>
          <w:szCs w:val="20"/>
        </w:rPr>
        <w:t xml:space="preserve">the </w:t>
      </w:r>
      <w:r w:rsidRPr="00D33DF5">
        <w:rPr>
          <w:rFonts w:ascii="Times New Roman" w:hAnsi="Times New Roman"/>
          <w:sz w:val="20"/>
          <w:szCs w:val="20"/>
        </w:rPr>
        <w:t>roll</w:t>
      </w:r>
      <w:r w:rsidR="00D33DF5">
        <w:rPr>
          <w:rFonts w:ascii="Times New Roman" w:hAnsi="Times New Roman"/>
          <w:sz w:val="20"/>
          <w:szCs w:val="20"/>
        </w:rPr>
        <w:t>-</w:t>
      </w:r>
      <w:r w:rsidRPr="00D33DF5">
        <w:rPr>
          <w:rFonts w:ascii="Times New Roman" w:hAnsi="Times New Roman"/>
          <w:sz w:val="20"/>
          <w:szCs w:val="20"/>
        </w:rPr>
        <w:t xml:space="preserve">out of the 2030 Agenda remained a priority. In 2014-2017, 265 new country diagnostics were carried out in 42 countries to inform policy options on national responses to the globally agreed development agenda. With UNDP support, 33 countries </w:t>
      </w:r>
      <w:r w:rsidR="00D33DF5">
        <w:rPr>
          <w:rFonts w:ascii="Times New Roman" w:hAnsi="Times New Roman"/>
          <w:sz w:val="20"/>
          <w:szCs w:val="20"/>
        </w:rPr>
        <w:t xml:space="preserve">were able to </w:t>
      </w:r>
      <w:r w:rsidRPr="00D33DF5">
        <w:rPr>
          <w:rFonts w:ascii="Times New Roman" w:hAnsi="Times New Roman"/>
          <w:sz w:val="20"/>
          <w:szCs w:val="20"/>
        </w:rPr>
        <w:t xml:space="preserve">use updated and disaggregated data to monitor progress on national development goals. </w:t>
      </w:r>
      <w:r w:rsidR="003A5DC8" w:rsidRPr="00D33DF5">
        <w:rPr>
          <w:rFonts w:ascii="Times New Roman" w:hAnsi="Times New Roman"/>
          <w:sz w:val="20"/>
          <w:szCs w:val="20"/>
        </w:rPr>
        <w:t>I</w:t>
      </w:r>
      <w:r w:rsidR="00A17753" w:rsidRPr="00D33DF5">
        <w:rPr>
          <w:rFonts w:ascii="Times New Roman" w:hAnsi="Times New Roman"/>
          <w:sz w:val="20"/>
          <w:szCs w:val="20"/>
        </w:rPr>
        <w:t>n 2017</w:t>
      </w:r>
      <w:r w:rsidR="003A5DC8" w:rsidRPr="00D33DF5">
        <w:rPr>
          <w:rFonts w:ascii="Times New Roman" w:hAnsi="Times New Roman"/>
          <w:sz w:val="20"/>
          <w:szCs w:val="20"/>
        </w:rPr>
        <w:t>,</w:t>
      </w:r>
      <w:r w:rsidR="00A17753" w:rsidRPr="00D33DF5">
        <w:rPr>
          <w:rFonts w:ascii="Times New Roman" w:hAnsi="Times New Roman"/>
          <w:sz w:val="20"/>
          <w:szCs w:val="20"/>
        </w:rPr>
        <w:t xml:space="preserve"> </w:t>
      </w:r>
      <w:r w:rsidR="00607A79">
        <w:rPr>
          <w:rFonts w:ascii="Times New Roman" w:hAnsi="Times New Roman"/>
          <w:sz w:val="20"/>
          <w:szCs w:val="20"/>
        </w:rPr>
        <w:t xml:space="preserve">17 </w:t>
      </w:r>
      <w:r w:rsidRPr="00D33DF5">
        <w:rPr>
          <w:rFonts w:ascii="Times New Roman" w:hAnsi="Times New Roman"/>
          <w:sz w:val="20"/>
          <w:szCs w:val="20"/>
        </w:rPr>
        <w:t xml:space="preserve">MAPS missions </w:t>
      </w:r>
      <w:r w:rsidR="0045365D" w:rsidRPr="00D33DF5">
        <w:rPr>
          <w:rFonts w:ascii="Times New Roman" w:hAnsi="Times New Roman"/>
          <w:sz w:val="20"/>
          <w:szCs w:val="20"/>
        </w:rPr>
        <w:t>(up from nine in 2016)</w:t>
      </w:r>
      <w:r w:rsidR="0045365D">
        <w:rPr>
          <w:rFonts w:ascii="Times New Roman" w:hAnsi="Times New Roman"/>
          <w:sz w:val="20"/>
          <w:szCs w:val="20"/>
        </w:rPr>
        <w:t xml:space="preserve"> </w:t>
      </w:r>
      <w:r w:rsidRPr="00D33DF5">
        <w:rPr>
          <w:rFonts w:ascii="Times New Roman" w:hAnsi="Times New Roman"/>
          <w:sz w:val="20"/>
          <w:szCs w:val="20"/>
        </w:rPr>
        <w:t xml:space="preserve">were undertaken </w:t>
      </w:r>
      <w:r w:rsidR="00A17753" w:rsidRPr="00D33DF5">
        <w:rPr>
          <w:rFonts w:ascii="Times New Roman" w:hAnsi="Times New Roman"/>
          <w:sz w:val="20"/>
          <w:szCs w:val="20"/>
        </w:rPr>
        <w:t>in partnership with</w:t>
      </w:r>
      <w:r w:rsidRPr="00D33DF5">
        <w:rPr>
          <w:rFonts w:ascii="Times New Roman" w:hAnsi="Times New Roman"/>
          <w:sz w:val="20"/>
          <w:szCs w:val="20"/>
        </w:rPr>
        <w:t xml:space="preserve"> 20</w:t>
      </w:r>
      <w:r w:rsidR="00A17753" w:rsidRPr="00D33DF5">
        <w:rPr>
          <w:rFonts w:ascii="Times New Roman" w:hAnsi="Times New Roman"/>
          <w:sz w:val="20"/>
          <w:szCs w:val="20"/>
        </w:rPr>
        <w:t xml:space="preserve"> U</w:t>
      </w:r>
      <w:r w:rsidR="00D33DF5">
        <w:rPr>
          <w:rFonts w:ascii="Times New Roman" w:hAnsi="Times New Roman"/>
          <w:sz w:val="20"/>
          <w:szCs w:val="20"/>
        </w:rPr>
        <w:t xml:space="preserve">nited </w:t>
      </w:r>
      <w:r w:rsidR="00A17753" w:rsidRPr="00D33DF5">
        <w:rPr>
          <w:rFonts w:ascii="Times New Roman" w:hAnsi="Times New Roman"/>
          <w:sz w:val="20"/>
          <w:szCs w:val="20"/>
        </w:rPr>
        <w:t>N</w:t>
      </w:r>
      <w:r w:rsidR="00D33DF5">
        <w:rPr>
          <w:rFonts w:ascii="Times New Roman" w:hAnsi="Times New Roman"/>
          <w:sz w:val="20"/>
          <w:szCs w:val="20"/>
        </w:rPr>
        <w:t>ations</w:t>
      </w:r>
      <w:r w:rsidR="00A17753" w:rsidRPr="00D33DF5">
        <w:rPr>
          <w:rFonts w:ascii="Times New Roman" w:hAnsi="Times New Roman"/>
          <w:sz w:val="20"/>
          <w:szCs w:val="20"/>
        </w:rPr>
        <w:t xml:space="preserve"> entities</w:t>
      </w:r>
      <w:r w:rsidRPr="00D33DF5">
        <w:rPr>
          <w:rFonts w:ascii="Times New Roman" w:hAnsi="Times New Roman"/>
          <w:sz w:val="20"/>
          <w:szCs w:val="20"/>
        </w:rPr>
        <w:t xml:space="preserve"> </w:t>
      </w:r>
      <w:r w:rsidR="00A17753" w:rsidRPr="00D33DF5">
        <w:rPr>
          <w:rFonts w:ascii="Times New Roman" w:hAnsi="Times New Roman"/>
          <w:sz w:val="20"/>
          <w:szCs w:val="20"/>
        </w:rPr>
        <w:t xml:space="preserve">and other </w:t>
      </w:r>
      <w:r w:rsidR="00334CAD" w:rsidRPr="00D33DF5">
        <w:rPr>
          <w:rFonts w:ascii="Times New Roman" w:hAnsi="Times New Roman"/>
          <w:sz w:val="20"/>
          <w:szCs w:val="20"/>
        </w:rPr>
        <w:t>partners</w:t>
      </w:r>
      <w:r w:rsidRPr="00D33DF5">
        <w:rPr>
          <w:rFonts w:ascii="Times New Roman" w:hAnsi="Times New Roman"/>
          <w:sz w:val="20"/>
          <w:szCs w:val="20"/>
        </w:rPr>
        <w:t xml:space="preserve">. </w:t>
      </w:r>
      <w:r w:rsidRPr="00F74FE7">
        <w:rPr>
          <w:rFonts w:ascii="Times New Roman" w:hAnsi="Times New Roman"/>
          <w:sz w:val="20"/>
          <w:szCs w:val="20"/>
        </w:rPr>
        <w:t xml:space="preserve">In Myanmar, UNDP </w:t>
      </w:r>
      <w:r w:rsidR="00D33DF5">
        <w:rPr>
          <w:rFonts w:ascii="Times New Roman" w:hAnsi="Times New Roman"/>
          <w:sz w:val="20"/>
          <w:szCs w:val="20"/>
        </w:rPr>
        <w:t xml:space="preserve">supported efforts to </w:t>
      </w:r>
      <w:r w:rsidR="00D33DF5" w:rsidRPr="00F74FE7">
        <w:rPr>
          <w:rFonts w:ascii="Times New Roman" w:hAnsi="Times New Roman"/>
          <w:sz w:val="20"/>
          <w:szCs w:val="20"/>
        </w:rPr>
        <w:t>strengthen</w:t>
      </w:r>
      <w:r w:rsidR="00D33DF5">
        <w:rPr>
          <w:rFonts w:ascii="Times New Roman" w:hAnsi="Times New Roman"/>
          <w:sz w:val="20"/>
          <w:szCs w:val="20"/>
        </w:rPr>
        <w:t xml:space="preserve"> the Government’s</w:t>
      </w:r>
      <w:r w:rsidR="00D33DF5" w:rsidRPr="00F74FE7">
        <w:rPr>
          <w:rFonts w:ascii="Times New Roman" w:hAnsi="Times New Roman"/>
          <w:sz w:val="20"/>
          <w:szCs w:val="20"/>
        </w:rPr>
        <w:t xml:space="preserve"> </w:t>
      </w:r>
      <w:r w:rsidRPr="00F74FE7">
        <w:rPr>
          <w:rFonts w:ascii="Times New Roman" w:hAnsi="Times New Roman"/>
          <w:sz w:val="20"/>
          <w:szCs w:val="20"/>
        </w:rPr>
        <w:t xml:space="preserve">data collection and dissemination capacities, which led to the launch of the Myanmar Living Conditions Survey and publication of the </w:t>
      </w:r>
      <w:r w:rsidR="00D33DF5">
        <w:rPr>
          <w:rFonts w:ascii="Times New Roman" w:hAnsi="Times New Roman"/>
          <w:sz w:val="20"/>
          <w:szCs w:val="20"/>
        </w:rPr>
        <w:t>Sustainable Development Goal</w:t>
      </w:r>
      <w:r w:rsidR="00D33DF5" w:rsidRPr="00F74FE7">
        <w:rPr>
          <w:rFonts w:ascii="Times New Roman" w:hAnsi="Times New Roman"/>
          <w:sz w:val="20"/>
          <w:szCs w:val="20"/>
        </w:rPr>
        <w:t xml:space="preserve"> </w:t>
      </w:r>
      <w:r w:rsidRPr="00F74FE7">
        <w:rPr>
          <w:rFonts w:ascii="Times New Roman" w:hAnsi="Times New Roman"/>
          <w:sz w:val="20"/>
          <w:szCs w:val="20"/>
        </w:rPr>
        <w:t xml:space="preserve">Indicator Baseline Report. </w:t>
      </w:r>
      <w:r w:rsidR="00D33DF5">
        <w:rPr>
          <w:rFonts w:ascii="Times New Roman" w:hAnsi="Times New Roman"/>
          <w:sz w:val="20"/>
          <w:szCs w:val="20"/>
        </w:rPr>
        <w:t xml:space="preserve">A </w:t>
      </w:r>
      <w:r w:rsidRPr="00F74FE7">
        <w:rPr>
          <w:rFonts w:ascii="Times New Roman" w:hAnsi="Times New Roman"/>
          <w:sz w:val="20"/>
          <w:szCs w:val="20"/>
        </w:rPr>
        <w:t xml:space="preserve">MAPS mission assisted the Government of </w:t>
      </w:r>
      <w:r w:rsidRPr="00D33DF5">
        <w:rPr>
          <w:rFonts w:ascii="Times New Roman" w:hAnsi="Times New Roman"/>
          <w:sz w:val="20"/>
          <w:szCs w:val="20"/>
        </w:rPr>
        <w:t>Timor-Leste</w:t>
      </w:r>
      <w:r w:rsidRPr="00F74FE7">
        <w:rPr>
          <w:rFonts w:ascii="Times New Roman" w:hAnsi="Times New Roman"/>
          <w:sz w:val="20"/>
          <w:szCs w:val="20"/>
        </w:rPr>
        <w:t xml:space="preserve"> to prepare </w:t>
      </w:r>
      <w:r w:rsidR="00F3625E" w:rsidRPr="00F74FE7">
        <w:rPr>
          <w:rFonts w:ascii="Times New Roman" w:hAnsi="Times New Roman"/>
          <w:sz w:val="20"/>
          <w:szCs w:val="20"/>
        </w:rPr>
        <w:t>the</w:t>
      </w:r>
      <w:r w:rsidR="007B7B3E" w:rsidRPr="00F74FE7">
        <w:rPr>
          <w:rFonts w:ascii="Times New Roman" w:hAnsi="Times New Roman"/>
          <w:sz w:val="20"/>
          <w:szCs w:val="20"/>
        </w:rPr>
        <w:t xml:space="preserve"> </w:t>
      </w:r>
      <w:r w:rsidR="00D33DF5">
        <w:rPr>
          <w:rFonts w:ascii="Times New Roman" w:hAnsi="Times New Roman"/>
          <w:sz w:val="20"/>
          <w:szCs w:val="20"/>
        </w:rPr>
        <w:t>r</w:t>
      </w:r>
      <w:r w:rsidR="00D33DF5" w:rsidRPr="00F74FE7">
        <w:rPr>
          <w:rFonts w:ascii="Times New Roman" w:hAnsi="Times New Roman"/>
          <w:sz w:val="20"/>
          <w:szCs w:val="20"/>
        </w:rPr>
        <w:t xml:space="preserve">oad </w:t>
      </w:r>
      <w:r w:rsidR="00D33DF5">
        <w:rPr>
          <w:rFonts w:ascii="Times New Roman" w:hAnsi="Times New Roman"/>
          <w:sz w:val="20"/>
          <w:szCs w:val="20"/>
        </w:rPr>
        <w:t>m</w:t>
      </w:r>
      <w:r w:rsidR="00D33DF5" w:rsidRPr="00F74FE7">
        <w:rPr>
          <w:rFonts w:ascii="Times New Roman" w:hAnsi="Times New Roman"/>
          <w:sz w:val="20"/>
          <w:szCs w:val="20"/>
        </w:rPr>
        <w:t xml:space="preserve">ap </w:t>
      </w:r>
      <w:r w:rsidR="007B7B3E" w:rsidRPr="00F74FE7">
        <w:rPr>
          <w:rFonts w:ascii="Times New Roman" w:hAnsi="Times New Roman"/>
          <w:sz w:val="20"/>
          <w:szCs w:val="20"/>
        </w:rPr>
        <w:t xml:space="preserve">for the </w:t>
      </w:r>
      <w:r w:rsidR="00F3625E" w:rsidRPr="00F74FE7">
        <w:rPr>
          <w:rFonts w:ascii="Times New Roman" w:hAnsi="Times New Roman"/>
          <w:sz w:val="20"/>
          <w:szCs w:val="20"/>
        </w:rPr>
        <w:t>i</w:t>
      </w:r>
      <w:r w:rsidR="007B7B3E" w:rsidRPr="00F74FE7">
        <w:rPr>
          <w:rFonts w:ascii="Times New Roman" w:hAnsi="Times New Roman"/>
          <w:sz w:val="20"/>
          <w:szCs w:val="20"/>
        </w:rPr>
        <w:t>mplementation of the 2030 A</w:t>
      </w:r>
      <w:r w:rsidRPr="00F74FE7">
        <w:rPr>
          <w:rFonts w:ascii="Times New Roman" w:hAnsi="Times New Roman"/>
          <w:sz w:val="20"/>
          <w:szCs w:val="20"/>
        </w:rPr>
        <w:t xml:space="preserve">genda and the </w:t>
      </w:r>
      <w:r w:rsidR="00D33DF5">
        <w:rPr>
          <w:rFonts w:ascii="Times New Roman" w:hAnsi="Times New Roman"/>
          <w:sz w:val="20"/>
          <w:szCs w:val="20"/>
        </w:rPr>
        <w:t>Sustainable</w:t>
      </w:r>
      <w:r w:rsidR="00D33DF5" w:rsidRPr="00D33DF5">
        <w:rPr>
          <w:rFonts w:ascii="Times New Roman" w:eastAsia="Calibri" w:hAnsi="Times New Roman"/>
          <w:color w:val="0A0A0A"/>
          <w:spacing w:val="8"/>
          <w:sz w:val="20"/>
          <w:szCs w:val="20"/>
          <w:shd w:val="clear" w:color="auto" w:fill="FEFEFE"/>
          <w:lang w:eastAsia="en-US"/>
        </w:rPr>
        <w:t xml:space="preserve"> Development Goals</w:t>
      </w:r>
      <w:r w:rsidRPr="00F74FE7">
        <w:rPr>
          <w:rFonts w:ascii="Times New Roman" w:hAnsi="Times New Roman"/>
          <w:sz w:val="20"/>
          <w:szCs w:val="20"/>
        </w:rPr>
        <w:t xml:space="preserve">. The report was launched by the Prime Minister at </w:t>
      </w:r>
      <w:r w:rsidR="00C6733B">
        <w:rPr>
          <w:rFonts w:ascii="Times New Roman" w:hAnsi="Times New Roman"/>
          <w:sz w:val="20"/>
          <w:szCs w:val="20"/>
        </w:rPr>
        <w:t>a g</w:t>
      </w:r>
      <w:r w:rsidRPr="00F74FE7">
        <w:rPr>
          <w:rFonts w:ascii="Times New Roman" w:hAnsi="Times New Roman"/>
          <w:sz w:val="20"/>
          <w:szCs w:val="20"/>
        </w:rPr>
        <w:t xml:space="preserve">lobal </w:t>
      </w:r>
      <w:r w:rsidR="00C6733B">
        <w:rPr>
          <w:rFonts w:ascii="Times New Roman" w:hAnsi="Times New Roman"/>
          <w:sz w:val="20"/>
          <w:szCs w:val="20"/>
        </w:rPr>
        <w:t>c</w:t>
      </w:r>
      <w:r w:rsidR="00C6733B" w:rsidRPr="00F74FE7">
        <w:rPr>
          <w:rFonts w:ascii="Times New Roman" w:hAnsi="Times New Roman"/>
          <w:sz w:val="20"/>
          <w:szCs w:val="20"/>
        </w:rPr>
        <w:t xml:space="preserve">onference </w:t>
      </w:r>
      <w:r w:rsidRPr="00F74FE7">
        <w:rPr>
          <w:rFonts w:ascii="Times New Roman" w:hAnsi="Times New Roman"/>
          <w:sz w:val="20"/>
          <w:szCs w:val="20"/>
        </w:rPr>
        <w:t xml:space="preserve">on </w:t>
      </w:r>
      <w:r w:rsidR="00C6733B">
        <w:rPr>
          <w:rFonts w:ascii="Times New Roman" w:hAnsi="Times New Roman"/>
          <w:sz w:val="20"/>
          <w:szCs w:val="20"/>
        </w:rPr>
        <w:t>s</w:t>
      </w:r>
      <w:r w:rsidR="00C6733B" w:rsidRPr="00F74FE7">
        <w:rPr>
          <w:rFonts w:ascii="Times New Roman" w:hAnsi="Times New Roman"/>
          <w:sz w:val="20"/>
          <w:szCs w:val="20"/>
        </w:rPr>
        <w:t xml:space="preserve">ustainable </w:t>
      </w:r>
      <w:r w:rsidR="00C6733B">
        <w:rPr>
          <w:rFonts w:ascii="Times New Roman" w:hAnsi="Times New Roman"/>
          <w:sz w:val="20"/>
          <w:szCs w:val="20"/>
        </w:rPr>
        <w:t>d</w:t>
      </w:r>
      <w:r w:rsidR="00C6733B" w:rsidRPr="00F74FE7">
        <w:rPr>
          <w:rFonts w:ascii="Times New Roman" w:hAnsi="Times New Roman"/>
          <w:sz w:val="20"/>
          <w:szCs w:val="20"/>
        </w:rPr>
        <w:t xml:space="preserve">evelopment </w:t>
      </w:r>
      <w:r w:rsidRPr="00F74FE7">
        <w:rPr>
          <w:rFonts w:ascii="Times New Roman" w:hAnsi="Times New Roman"/>
          <w:sz w:val="20"/>
          <w:szCs w:val="20"/>
        </w:rPr>
        <w:t xml:space="preserve">in </w:t>
      </w:r>
      <w:r w:rsidR="00C6733B">
        <w:rPr>
          <w:rFonts w:ascii="Times New Roman" w:hAnsi="Times New Roman"/>
          <w:sz w:val="20"/>
          <w:szCs w:val="20"/>
        </w:rPr>
        <w:t>f</w:t>
      </w:r>
      <w:r w:rsidR="00C6733B" w:rsidRPr="00F74FE7">
        <w:rPr>
          <w:rFonts w:ascii="Times New Roman" w:hAnsi="Times New Roman"/>
          <w:sz w:val="20"/>
          <w:szCs w:val="20"/>
        </w:rPr>
        <w:t xml:space="preserve">ragile </w:t>
      </w:r>
      <w:r w:rsidRPr="00F74FE7">
        <w:rPr>
          <w:rFonts w:ascii="Times New Roman" w:hAnsi="Times New Roman"/>
          <w:sz w:val="20"/>
          <w:szCs w:val="20"/>
        </w:rPr>
        <w:t xml:space="preserve">and </w:t>
      </w:r>
      <w:r w:rsidR="00C6733B">
        <w:rPr>
          <w:rFonts w:ascii="Times New Roman" w:hAnsi="Times New Roman"/>
          <w:sz w:val="20"/>
          <w:szCs w:val="20"/>
        </w:rPr>
        <w:t>c</w:t>
      </w:r>
      <w:r w:rsidR="00C6733B" w:rsidRPr="00F74FE7">
        <w:rPr>
          <w:rFonts w:ascii="Times New Roman" w:hAnsi="Times New Roman"/>
          <w:sz w:val="20"/>
          <w:szCs w:val="20"/>
        </w:rPr>
        <w:t>onflict</w:t>
      </w:r>
      <w:r w:rsidRPr="00F74FE7">
        <w:rPr>
          <w:rFonts w:ascii="Times New Roman" w:hAnsi="Times New Roman"/>
          <w:sz w:val="20"/>
          <w:szCs w:val="20"/>
        </w:rPr>
        <w:t>-</w:t>
      </w:r>
      <w:r w:rsidR="00C6733B">
        <w:rPr>
          <w:rFonts w:ascii="Times New Roman" w:hAnsi="Times New Roman"/>
          <w:sz w:val="20"/>
          <w:szCs w:val="20"/>
        </w:rPr>
        <w:t>a</w:t>
      </w:r>
      <w:r w:rsidR="00C6733B" w:rsidRPr="00F74FE7">
        <w:rPr>
          <w:rFonts w:ascii="Times New Roman" w:hAnsi="Times New Roman"/>
          <w:sz w:val="20"/>
          <w:szCs w:val="20"/>
        </w:rPr>
        <w:t xml:space="preserve">ffected </w:t>
      </w:r>
      <w:r w:rsidRPr="00F74FE7">
        <w:rPr>
          <w:rFonts w:ascii="Times New Roman" w:hAnsi="Times New Roman"/>
          <w:sz w:val="20"/>
          <w:szCs w:val="20"/>
        </w:rPr>
        <w:t xml:space="preserve">countries. In </w:t>
      </w:r>
      <w:r w:rsidRPr="00C6733B">
        <w:rPr>
          <w:rFonts w:ascii="Times New Roman" w:hAnsi="Times New Roman"/>
          <w:sz w:val="20"/>
          <w:szCs w:val="20"/>
        </w:rPr>
        <w:t xml:space="preserve">Sri </w:t>
      </w:r>
      <w:r w:rsidRPr="00C6733B">
        <w:rPr>
          <w:rFonts w:ascii="Times New Roman" w:hAnsi="Times New Roman"/>
          <w:sz w:val="20"/>
          <w:szCs w:val="20"/>
        </w:rPr>
        <w:lastRenderedPageBreak/>
        <w:t>Lanka</w:t>
      </w:r>
      <w:r w:rsidRPr="00F74FE7">
        <w:rPr>
          <w:rFonts w:ascii="Times New Roman" w:hAnsi="Times New Roman"/>
          <w:sz w:val="20"/>
          <w:szCs w:val="20"/>
        </w:rPr>
        <w:t xml:space="preserve">, the </w:t>
      </w:r>
      <w:r w:rsidR="00C6733B">
        <w:rPr>
          <w:rFonts w:ascii="Times New Roman" w:hAnsi="Times New Roman"/>
          <w:sz w:val="20"/>
          <w:szCs w:val="20"/>
        </w:rPr>
        <w:t xml:space="preserve">MAPS </w:t>
      </w:r>
      <w:r w:rsidRPr="00F74FE7">
        <w:rPr>
          <w:rFonts w:ascii="Times New Roman" w:hAnsi="Times New Roman"/>
          <w:sz w:val="20"/>
          <w:szCs w:val="20"/>
        </w:rPr>
        <w:t xml:space="preserve">mission helped identify priority </w:t>
      </w:r>
      <w:r w:rsidR="00C6733B">
        <w:rPr>
          <w:rFonts w:ascii="Times New Roman" w:hAnsi="Times New Roman"/>
          <w:sz w:val="20"/>
          <w:szCs w:val="20"/>
        </w:rPr>
        <w:t xml:space="preserve">Sustainable Development </w:t>
      </w:r>
      <w:r w:rsidR="004215ED">
        <w:rPr>
          <w:rFonts w:ascii="Times New Roman" w:hAnsi="Times New Roman"/>
          <w:sz w:val="20"/>
          <w:szCs w:val="20"/>
        </w:rPr>
        <w:t xml:space="preserve">Goal </w:t>
      </w:r>
      <w:r w:rsidR="004215ED" w:rsidRPr="00F74FE7">
        <w:rPr>
          <w:rFonts w:ascii="Times New Roman" w:hAnsi="Times New Roman"/>
          <w:sz w:val="20"/>
          <w:szCs w:val="20"/>
        </w:rPr>
        <w:t>accelerators</w:t>
      </w:r>
      <w:r w:rsidRPr="00F74FE7">
        <w:rPr>
          <w:rFonts w:ascii="Times New Roman" w:hAnsi="Times New Roman"/>
          <w:sz w:val="20"/>
          <w:szCs w:val="20"/>
        </w:rPr>
        <w:t xml:space="preserve"> such as the </w:t>
      </w:r>
      <w:r w:rsidR="00C6733B">
        <w:rPr>
          <w:rFonts w:ascii="Times New Roman" w:hAnsi="Times New Roman"/>
          <w:sz w:val="20"/>
          <w:szCs w:val="20"/>
        </w:rPr>
        <w:t>“</w:t>
      </w:r>
      <w:r w:rsidRPr="00F74FE7">
        <w:rPr>
          <w:rFonts w:ascii="Times New Roman" w:hAnsi="Times New Roman"/>
          <w:sz w:val="20"/>
          <w:szCs w:val="20"/>
        </w:rPr>
        <w:t>blue economy</w:t>
      </w:r>
      <w:r w:rsidR="00C6733B">
        <w:rPr>
          <w:rFonts w:ascii="Times New Roman" w:hAnsi="Times New Roman"/>
          <w:sz w:val="20"/>
          <w:szCs w:val="20"/>
        </w:rPr>
        <w:t>”</w:t>
      </w:r>
      <w:r w:rsidRPr="00F74FE7">
        <w:rPr>
          <w:rFonts w:ascii="Times New Roman" w:hAnsi="Times New Roman"/>
          <w:sz w:val="20"/>
          <w:szCs w:val="20"/>
        </w:rPr>
        <w:t xml:space="preserve"> to capitalize on its </w:t>
      </w:r>
      <w:r w:rsidR="00C6733B">
        <w:rPr>
          <w:rFonts w:ascii="Times New Roman" w:hAnsi="Times New Roman"/>
          <w:sz w:val="20"/>
          <w:szCs w:val="20"/>
        </w:rPr>
        <w:t>e</w:t>
      </w:r>
      <w:r w:rsidR="00C6733B" w:rsidRPr="00F74FE7">
        <w:rPr>
          <w:rFonts w:ascii="Times New Roman" w:hAnsi="Times New Roman"/>
          <w:sz w:val="20"/>
          <w:szCs w:val="20"/>
        </w:rPr>
        <w:t xml:space="preserve">xclusive </w:t>
      </w:r>
      <w:r w:rsidR="00C6733B">
        <w:rPr>
          <w:rFonts w:ascii="Times New Roman" w:hAnsi="Times New Roman"/>
          <w:sz w:val="20"/>
          <w:szCs w:val="20"/>
        </w:rPr>
        <w:t>e</w:t>
      </w:r>
      <w:r w:rsidR="00C6733B" w:rsidRPr="00F74FE7">
        <w:rPr>
          <w:rFonts w:ascii="Times New Roman" w:hAnsi="Times New Roman"/>
          <w:sz w:val="20"/>
          <w:szCs w:val="20"/>
        </w:rPr>
        <w:t xml:space="preserve">conomic </w:t>
      </w:r>
      <w:bookmarkStart w:id="9" w:name="_Hlk510613653"/>
      <w:r w:rsidR="00C6733B">
        <w:rPr>
          <w:rFonts w:ascii="Times New Roman" w:hAnsi="Times New Roman"/>
          <w:sz w:val="20"/>
          <w:szCs w:val="20"/>
        </w:rPr>
        <w:t>z</w:t>
      </w:r>
      <w:r w:rsidR="00C6733B" w:rsidRPr="00F74FE7">
        <w:rPr>
          <w:rFonts w:ascii="Times New Roman" w:hAnsi="Times New Roman"/>
          <w:sz w:val="20"/>
          <w:szCs w:val="20"/>
        </w:rPr>
        <w:t xml:space="preserve">one </w:t>
      </w:r>
      <w:r w:rsidR="00C6733B">
        <w:rPr>
          <w:rFonts w:ascii="Times New Roman" w:hAnsi="Times New Roman"/>
          <w:sz w:val="20"/>
          <w:szCs w:val="20"/>
        </w:rPr>
        <w:t>and</w:t>
      </w:r>
      <w:r w:rsidRPr="00F74FE7">
        <w:rPr>
          <w:rFonts w:ascii="Times New Roman" w:hAnsi="Times New Roman"/>
          <w:sz w:val="20"/>
          <w:szCs w:val="20"/>
        </w:rPr>
        <w:t xml:space="preserve"> restoring trust and social cohesion as part of the peacebuilding process.</w:t>
      </w:r>
      <w:bookmarkEnd w:id="9"/>
      <w:r w:rsidRPr="00F74FE7">
        <w:rPr>
          <w:rFonts w:ascii="Times New Roman" w:hAnsi="Times New Roman"/>
          <w:sz w:val="20"/>
          <w:szCs w:val="20"/>
        </w:rPr>
        <w:t xml:space="preserve"> </w:t>
      </w:r>
    </w:p>
    <w:p w:rsidR="000F5FE5" w:rsidRPr="00BB06AF" w:rsidRDefault="000F5FE5" w:rsidP="00D6176C">
      <w:pPr>
        <w:pStyle w:val="ListParagraph"/>
        <w:tabs>
          <w:tab w:val="left" w:pos="360"/>
        </w:tabs>
        <w:spacing w:after="0" w:line="0" w:lineRule="atLeast"/>
        <w:ind w:left="0"/>
        <w:contextualSpacing w:val="0"/>
        <w:jc w:val="center"/>
        <w:rPr>
          <w:rFonts w:ascii="Times New Roman" w:hAnsi="Times New Roman"/>
          <w:b/>
          <w:sz w:val="18"/>
          <w:szCs w:val="18"/>
          <w:lang w:val="en-US"/>
        </w:rPr>
      </w:pPr>
    </w:p>
    <w:p w:rsidR="00D6176C" w:rsidRPr="00765AB4" w:rsidRDefault="00D6176C" w:rsidP="00A237D4">
      <w:pPr>
        <w:pStyle w:val="ListParagraph"/>
        <w:tabs>
          <w:tab w:val="left" w:pos="360"/>
        </w:tabs>
        <w:spacing w:after="120" w:line="0" w:lineRule="atLeast"/>
        <w:ind w:left="0"/>
        <w:contextualSpacing w:val="0"/>
        <w:jc w:val="center"/>
        <w:rPr>
          <w:rFonts w:ascii="Times New Roman" w:hAnsi="Times New Roman"/>
          <w:b/>
          <w:sz w:val="20"/>
          <w:szCs w:val="20"/>
        </w:rPr>
      </w:pPr>
      <w:r w:rsidRPr="00FA4D93">
        <w:rPr>
          <w:rFonts w:ascii="Times New Roman" w:hAnsi="Times New Roman"/>
          <w:b/>
          <w:sz w:val="18"/>
          <w:szCs w:val="18"/>
        </w:rPr>
        <w:t xml:space="preserve">Figure </w:t>
      </w:r>
      <w:r w:rsidR="00F901EC">
        <w:rPr>
          <w:rFonts w:ascii="Times New Roman" w:hAnsi="Times New Roman"/>
          <w:b/>
          <w:sz w:val="18"/>
          <w:szCs w:val="18"/>
        </w:rPr>
        <w:t>3</w:t>
      </w:r>
      <w:r w:rsidR="00C6733B">
        <w:rPr>
          <w:rFonts w:ascii="Times New Roman" w:hAnsi="Times New Roman"/>
          <w:b/>
          <w:sz w:val="18"/>
          <w:szCs w:val="18"/>
        </w:rPr>
        <w:t>.</w:t>
      </w:r>
      <w:r w:rsidR="00C6733B" w:rsidRPr="00FA4D93">
        <w:rPr>
          <w:rFonts w:ascii="Times New Roman" w:hAnsi="Times New Roman"/>
          <w:b/>
          <w:sz w:val="18"/>
          <w:szCs w:val="18"/>
        </w:rPr>
        <w:t xml:space="preserve"> </w:t>
      </w:r>
      <w:r w:rsidRPr="00FA4D93">
        <w:rPr>
          <w:rFonts w:ascii="Times New Roman" w:hAnsi="Times New Roman"/>
          <w:b/>
          <w:sz w:val="18"/>
          <w:szCs w:val="18"/>
        </w:rPr>
        <w:t>2017 MAPS missions and partners</w:t>
      </w:r>
    </w:p>
    <w:p w:rsidR="00D6176C" w:rsidRPr="003F5460" w:rsidRDefault="00912394" w:rsidP="007204A8">
      <w:pPr>
        <w:pStyle w:val="ListParagraph"/>
        <w:tabs>
          <w:tab w:val="left" w:pos="360"/>
        </w:tabs>
        <w:spacing w:after="0" w:line="0" w:lineRule="atLeast"/>
        <w:ind w:left="90"/>
        <w:contextualSpacing w:val="0"/>
        <w:jc w:val="center"/>
        <w:rPr>
          <w:rFonts w:ascii="Times New Roman" w:hAnsi="Times New Roman"/>
          <w:sz w:val="20"/>
          <w:szCs w:val="20"/>
        </w:rPr>
      </w:pPr>
      <w:r>
        <w:rPr>
          <w:rFonts w:ascii="Times New Roman" w:hAnsi="Times New Roman"/>
          <w:noProof/>
          <w:sz w:val="20"/>
          <w:szCs w:val="20"/>
          <w:lang w:val="en-US" w:eastAsia="en-US"/>
        </w:rPr>
        <w:drawing>
          <wp:inline distT="0" distB="0" distL="0" distR="0" wp14:anchorId="18115E4A" wp14:editId="6D5AF96C">
            <wp:extent cx="4848225" cy="2696078"/>
            <wp:effectExtent l="19050" t="19050" r="9525" b="28575"/>
            <wp:docPr id="2" name="Picture 2" descr="/Users/Jaimie/Dropbox/Work/UNDP/MAPS/presentations/2017 MAPS mission partner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aimie/Dropbox/Work/UNDP/MAPS/presentations/2017 MAPS mission partners-01.pn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4924884" cy="2738708"/>
                    </a:xfrm>
                    <a:prstGeom prst="rect">
                      <a:avLst/>
                    </a:prstGeom>
                    <a:noFill/>
                    <a:ln>
                      <a:solidFill>
                        <a:schemeClr val="bg1">
                          <a:lumMod val="65000"/>
                        </a:schemeClr>
                      </a:solidFill>
                    </a:ln>
                  </pic:spPr>
                </pic:pic>
              </a:graphicData>
            </a:graphic>
          </wp:inline>
        </w:drawing>
      </w:r>
    </w:p>
    <w:p w:rsidR="00D6176C" w:rsidRPr="005729B6" w:rsidRDefault="00D6176C" w:rsidP="00D6176C">
      <w:pPr>
        <w:spacing w:after="0" w:line="0" w:lineRule="atLeast"/>
        <w:jc w:val="both"/>
        <w:rPr>
          <w:rFonts w:ascii="Times New Roman" w:hAnsi="Times New Roman"/>
          <w:sz w:val="20"/>
          <w:szCs w:val="20"/>
          <w:lang w:val="en-US"/>
        </w:rPr>
      </w:pPr>
    </w:p>
    <w:p w:rsidR="001F1E50" w:rsidRPr="00C6733B" w:rsidRDefault="002463DE">
      <w:pPr>
        <w:pStyle w:val="ListParagraph"/>
        <w:spacing w:after="0" w:line="0" w:lineRule="atLeast"/>
        <w:jc w:val="both"/>
        <w:rPr>
          <w:rFonts w:ascii="Times New Roman" w:hAnsi="Times New Roman"/>
          <w:sz w:val="20"/>
          <w:szCs w:val="20"/>
        </w:rPr>
      </w:pPr>
      <w:r w:rsidRPr="00C6733B">
        <w:rPr>
          <w:rFonts w:ascii="Times New Roman" w:hAnsi="Times New Roman"/>
          <w:sz w:val="20"/>
          <w:szCs w:val="20"/>
        </w:rPr>
        <w:t>4</w:t>
      </w:r>
      <w:r w:rsidR="00A716A0">
        <w:rPr>
          <w:rFonts w:ascii="Times New Roman" w:hAnsi="Times New Roman"/>
          <w:sz w:val="20"/>
          <w:szCs w:val="20"/>
        </w:rPr>
        <w:t>8</w:t>
      </w:r>
      <w:r w:rsidRPr="00C6733B">
        <w:rPr>
          <w:rFonts w:ascii="Times New Roman" w:hAnsi="Times New Roman"/>
          <w:sz w:val="20"/>
          <w:szCs w:val="20"/>
        </w:rPr>
        <w:t xml:space="preserve">. </w:t>
      </w:r>
      <w:r w:rsidR="00D6176C" w:rsidRPr="00C6733B">
        <w:rPr>
          <w:rFonts w:ascii="Times New Roman" w:hAnsi="Times New Roman"/>
          <w:sz w:val="20"/>
          <w:szCs w:val="20"/>
        </w:rPr>
        <w:t xml:space="preserve">UNDP pursued innovation, including ways to bring it to scale, and better use of big data for monitoring and programming purposes. This was done through partnerships with </w:t>
      </w:r>
      <w:r w:rsidR="00C6733B">
        <w:rPr>
          <w:rFonts w:ascii="Times New Roman" w:hAnsi="Times New Roman"/>
          <w:sz w:val="20"/>
          <w:szCs w:val="20"/>
        </w:rPr>
        <w:t xml:space="preserve">the </w:t>
      </w:r>
      <w:r w:rsidR="00D6176C" w:rsidRPr="00C6733B">
        <w:rPr>
          <w:rFonts w:ascii="Times New Roman" w:hAnsi="Times New Roman"/>
          <w:sz w:val="20"/>
          <w:szCs w:val="20"/>
        </w:rPr>
        <w:t>private sector, academic institutes</w:t>
      </w:r>
      <w:r w:rsidR="00C6733B">
        <w:rPr>
          <w:rFonts w:ascii="Times New Roman" w:hAnsi="Times New Roman"/>
          <w:sz w:val="20"/>
          <w:szCs w:val="20"/>
        </w:rPr>
        <w:t xml:space="preserve"> </w:t>
      </w:r>
      <w:r w:rsidR="00D6176C" w:rsidRPr="00C6733B">
        <w:rPr>
          <w:rFonts w:ascii="Times New Roman" w:hAnsi="Times New Roman"/>
          <w:sz w:val="20"/>
          <w:szCs w:val="20"/>
        </w:rPr>
        <w:t>and global thought leaders including the National Aeronautics and Space Administration</w:t>
      </w:r>
      <w:r w:rsidR="00C6733B">
        <w:rPr>
          <w:rFonts w:ascii="Times New Roman" w:hAnsi="Times New Roman"/>
          <w:sz w:val="20"/>
          <w:szCs w:val="20"/>
        </w:rPr>
        <w:t xml:space="preserve"> (United States)</w:t>
      </w:r>
      <w:r w:rsidR="00D6176C" w:rsidRPr="00C6733B">
        <w:rPr>
          <w:rFonts w:ascii="Times New Roman" w:hAnsi="Times New Roman"/>
          <w:sz w:val="20"/>
          <w:szCs w:val="20"/>
        </w:rPr>
        <w:t xml:space="preserve">, the Data Pop Alliance, </w:t>
      </w:r>
      <w:r w:rsidR="00C6733B">
        <w:rPr>
          <w:rFonts w:ascii="Times New Roman" w:hAnsi="Times New Roman"/>
          <w:sz w:val="20"/>
          <w:szCs w:val="20"/>
        </w:rPr>
        <w:t xml:space="preserve">the </w:t>
      </w:r>
      <w:r w:rsidR="004977F6">
        <w:rPr>
          <w:rFonts w:ascii="Times New Roman" w:hAnsi="Times New Roman"/>
          <w:sz w:val="20"/>
          <w:szCs w:val="20"/>
        </w:rPr>
        <w:t>European Institute for Business Administration</w:t>
      </w:r>
      <w:r w:rsidR="00D6176C" w:rsidRPr="00C6733B">
        <w:rPr>
          <w:rFonts w:ascii="Times New Roman" w:hAnsi="Times New Roman"/>
          <w:sz w:val="20"/>
          <w:szCs w:val="20"/>
        </w:rPr>
        <w:t xml:space="preserve"> and McKinsey</w:t>
      </w:r>
      <w:r w:rsidR="004977F6">
        <w:rPr>
          <w:rFonts w:ascii="Times New Roman" w:hAnsi="Times New Roman"/>
          <w:sz w:val="20"/>
          <w:szCs w:val="20"/>
        </w:rPr>
        <w:t xml:space="preserve"> &amp; Company</w:t>
      </w:r>
      <w:r w:rsidR="00D6176C" w:rsidRPr="00C6733B">
        <w:rPr>
          <w:rFonts w:ascii="Times New Roman" w:hAnsi="Times New Roman"/>
          <w:sz w:val="20"/>
          <w:szCs w:val="20"/>
        </w:rPr>
        <w:t xml:space="preserve">. UNDP assisted seven countries in establishing public sector innovation labs, including a Social Innovation lab in </w:t>
      </w:r>
      <w:r w:rsidR="00D6176C" w:rsidRPr="00C6733B">
        <w:rPr>
          <w:rFonts w:ascii="Times New Roman" w:hAnsi="Times New Roman"/>
          <w:bCs/>
          <w:sz w:val="20"/>
          <w:szCs w:val="20"/>
        </w:rPr>
        <w:t>Sri Lanka,</w:t>
      </w:r>
      <w:r w:rsidR="00D6176C" w:rsidRPr="00C6733B">
        <w:rPr>
          <w:rFonts w:ascii="Times New Roman" w:hAnsi="Times New Roman"/>
          <w:sz w:val="20"/>
          <w:szCs w:val="20"/>
        </w:rPr>
        <w:t xml:space="preserve"> the flagship </w:t>
      </w:r>
      <w:r w:rsidR="004977F6">
        <w:rPr>
          <w:rFonts w:ascii="Times New Roman" w:hAnsi="Times New Roman"/>
          <w:sz w:val="20"/>
          <w:szCs w:val="20"/>
        </w:rPr>
        <w:t>Sustainable Development Goal</w:t>
      </w:r>
      <w:r w:rsidR="004977F6" w:rsidRPr="00C6733B">
        <w:rPr>
          <w:rFonts w:ascii="Times New Roman" w:hAnsi="Times New Roman"/>
          <w:sz w:val="20"/>
          <w:szCs w:val="20"/>
        </w:rPr>
        <w:t xml:space="preserve"> </w:t>
      </w:r>
      <w:r w:rsidR="00D6176C" w:rsidRPr="00C6733B">
        <w:rPr>
          <w:rFonts w:ascii="Times New Roman" w:hAnsi="Times New Roman"/>
          <w:sz w:val="20"/>
          <w:szCs w:val="20"/>
        </w:rPr>
        <w:t xml:space="preserve">Innovation Lab in </w:t>
      </w:r>
      <w:r w:rsidR="00D6176C" w:rsidRPr="00C6733B">
        <w:rPr>
          <w:rFonts w:ascii="Times New Roman" w:hAnsi="Times New Roman"/>
          <w:bCs/>
          <w:sz w:val="20"/>
          <w:szCs w:val="20"/>
        </w:rPr>
        <w:t xml:space="preserve">Armenia, </w:t>
      </w:r>
      <w:r w:rsidR="0057006A" w:rsidRPr="00C6733B">
        <w:rPr>
          <w:rFonts w:ascii="Times New Roman" w:hAnsi="Times New Roman"/>
          <w:bCs/>
          <w:sz w:val="20"/>
          <w:szCs w:val="20"/>
        </w:rPr>
        <w:t xml:space="preserve">Social Innovation Lab, Business Innovation Lab and Our Green City Lab in </w:t>
      </w:r>
      <w:r w:rsidR="004977F6">
        <w:rPr>
          <w:rFonts w:ascii="Times New Roman" w:hAnsi="Times New Roman"/>
          <w:bCs/>
          <w:sz w:val="20"/>
          <w:szCs w:val="20"/>
        </w:rPr>
        <w:t xml:space="preserve">Republic of </w:t>
      </w:r>
      <w:r w:rsidR="0057006A" w:rsidRPr="00C6733B">
        <w:rPr>
          <w:rFonts w:ascii="Times New Roman" w:hAnsi="Times New Roman"/>
          <w:bCs/>
          <w:sz w:val="20"/>
          <w:szCs w:val="20"/>
        </w:rPr>
        <w:t xml:space="preserve">Moldova </w:t>
      </w:r>
      <w:r w:rsidR="00D6176C" w:rsidRPr="00C6733B">
        <w:rPr>
          <w:rFonts w:ascii="Times New Roman" w:hAnsi="Times New Roman"/>
          <w:sz w:val="20"/>
          <w:szCs w:val="20"/>
        </w:rPr>
        <w:t xml:space="preserve">and an Innovation Lab for Social Interest Entrepreneurship in </w:t>
      </w:r>
      <w:r w:rsidR="00D6176C" w:rsidRPr="00C6733B">
        <w:rPr>
          <w:rFonts w:ascii="Times New Roman" w:hAnsi="Times New Roman"/>
          <w:bCs/>
          <w:sz w:val="20"/>
          <w:szCs w:val="20"/>
        </w:rPr>
        <w:t>Honduras.</w:t>
      </w:r>
      <w:r w:rsidR="00D6176C" w:rsidRPr="00C6733B">
        <w:rPr>
          <w:rFonts w:ascii="Times New Roman" w:hAnsi="Times New Roman"/>
          <w:sz w:val="20"/>
          <w:szCs w:val="20"/>
        </w:rPr>
        <w:t xml:space="preserve"> In </w:t>
      </w:r>
      <w:r w:rsidR="00D6176C" w:rsidRPr="00C6733B">
        <w:rPr>
          <w:rFonts w:ascii="Times New Roman" w:hAnsi="Times New Roman"/>
          <w:bCs/>
          <w:sz w:val="20"/>
          <w:szCs w:val="20"/>
        </w:rPr>
        <w:t>Lebanon,</w:t>
      </w:r>
      <w:r w:rsidR="00D6176C" w:rsidRPr="00C6733B">
        <w:rPr>
          <w:rFonts w:ascii="Times New Roman" w:hAnsi="Times New Roman"/>
          <w:sz w:val="20"/>
          <w:szCs w:val="20"/>
        </w:rPr>
        <w:t xml:space="preserve"> UNDP piloted a WhatsApp survey to map social stability and inter-community tensions</w:t>
      </w:r>
      <w:r w:rsidR="00180F4F" w:rsidRPr="00C6733B">
        <w:rPr>
          <w:rFonts w:ascii="Times New Roman" w:hAnsi="Times New Roman"/>
          <w:sz w:val="20"/>
          <w:szCs w:val="20"/>
        </w:rPr>
        <w:t xml:space="preserve"> </w:t>
      </w:r>
      <w:r w:rsidR="00D6176C" w:rsidRPr="00C6733B">
        <w:rPr>
          <w:rFonts w:ascii="Times New Roman" w:hAnsi="Times New Roman"/>
          <w:sz w:val="20"/>
          <w:szCs w:val="20"/>
        </w:rPr>
        <w:t xml:space="preserve">using </w:t>
      </w:r>
      <w:r w:rsidR="004977F6" w:rsidRPr="00C6733B">
        <w:rPr>
          <w:rFonts w:ascii="Times New Roman" w:hAnsi="Times New Roman"/>
          <w:sz w:val="20"/>
          <w:szCs w:val="20"/>
        </w:rPr>
        <w:t>locali</w:t>
      </w:r>
      <w:r w:rsidR="004977F6">
        <w:rPr>
          <w:rFonts w:ascii="Times New Roman" w:hAnsi="Times New Roman"/>
          <w:sz w:val="20"/>
          <w:szCs w:val="20"/>
        </w:rPr>
        <w:t>z</w:t>
      </w:r>
      <w:r w:rsidR="004977F6" w:rsidRPr="00C6733B">
        <w:rPr>
          <w:rFonts w:ascii="Times New Roman" w:hAnsi="Times New Roman"/>
          <w:sz w:val="20"/>
          <w:szCs w:val="20"/>
        </w:rPr>
        <w:t xml:space="preserve">ed </w:t>
      </w:r>
      <w:r w:rsidR="00D6176C" w:rsidRPr="00C6733B">
        <w:rPr>
          <w:rFonts w:ascii="Times New Roman" w:hAnsi="Times New Roman"/>
          <w:sz w:val="20"/>
          <w:szCs w:val="20"/>
        </w:rPr>
        <w:t>data to inform proactive crisis response. </w:t>
      </w:r>
      <w:r w:rsidR="001F1E50" w:rsidRPr="00C6733B" w:rsidDel="001F1E50">
        <w:rPr>
          <w:rFonts w:ascii="Times New Roman" w:hAnsi="Times New Roman"/>
          <w:sz w:val="20"/>
          <w:szCs w:val="20"/>
        </w:rPr>
        <w:t xml:space="preserve"> </w:t>
      </w:r>
    </w:p>
    <w:p w:rsidR="00D6176C" w:rsidRPr="00355AD1" w:rsidRDefault="00D6176C">
      <w:pPr>
        <w:pStyle w:val="ListParagraph"/>
        <w:spacing w:after="0" w:line="0" w:lineRule="atLeast"/>
        <w:jc w:val="both"/>
        <w:rPr>
          <w:rFonts w:ascii="Times New Roman" w:hAnsi="Times New Roman"/>
          <w:sz w:val="12"/>
          <w:szCs w:val="12"/>
        </w:rPr>
      </w:pPr>
    </w:p>
    <w:p w:rsidR="00D6176C" w:rsidRPr="00BB06AF" w:rsidRDefault="00D6176C" w:rsidP="00355AD1">
      <w:pPr>
        <w:spacing w:after="0" w:line="0" w:lineRule="atLeast"/>
        <w:ind w:left="630" w:firstLine="90"/>
        <w:jc w:val="both"/>
        <w:rPr>
          <w:rFonts w:ascii="Times New Roman" w:hAnsi="Times New Roman"/>
          <w:sz w:val="24"/>
          <w:szCs w:val="24"/>
        </w:rPr>
      </w:pPr>
      <w:r w:rsidRPr="00C6733B">
        <w:rPr>
          <w:rFonts w:ascii="Times New Roman" w:hAnsi="Times New Roman"/>
          <w:b/>
          <w:sz w:val="24"/>
          <w:szCs w:val="24"/>
        </w:rPr>
        <w:t>B. Organizational performance</w:t>
      </w:r>
      <w:r w:rsidRPr="00BB06AF">
        <w:rPr>
          <w:rFonts w:ascii="Times New Roman" w:hAnsi="Times New Roman"/>
          <w:sz w:val="24"/>
          <w:szCs w:val="24"/>
        </w:rPr>
        <w:t xml:space="preserve">  </w:t>
      </w:r>
    </w:p>
    <w:p w:rsidR="00D6176C" w:rsidRPr="00355AD1" w:rsidRDefault="00D6176C" w:rsidP="00D6176C">
      <w:pPr>
        <w:pStyle w:val="ListParagraph"/>
        <w:spacing w:after="0" w:line="240" w:lineRule="auto"/>
        <w:ind w:left="0"/>
        <w:jc w:val="both"/>
        <w:rPr>
          <w:rFonts w:ascii="Times New Roman" w:eastAsia="Calibri" w:hAnsi="Times New Roman"/>
          <w:sz w:val="12"/>
          <w:szCs w:val="12"/>
          <w:lang w:eastAsia="en-US"/>
        </w:rPr>
      </w:pPr>
    </w:p>
    <w:p w:rsidR="00D6176C" w:rsidRDefault="00934DFF" w:rsidP="00EE098B">
      <w:pPr>
        <w:pStyle w:val="ListParagraph"/>
        <w:numPr>
          <w:ilvl w:val="0"/>
          <w:numId w:val="20"/>
        </w:numPr>
        <w:tabs>
          <w:tab w:val="left" w:pos="360"/>
          <w:tab w:val="left" w:pos="1080"/>
        </w:tabs>
        <w:spacing w:after="0" w:line="240" w:lineRule="auto"/>
        <w:ind w:firstLine="0"/>
        <w:contextualSpacing w:val="0"/>
        <w:jc w:val="both"/>
        <w:rPr>
          <w:rFonts w:ascii="Times New Roman" w:eastAsia="Calibri" w:hAnsi="Times New Roman"/>
          <w:sz w:val="20"/>
          <w:lang w:eastAsia="en-US"/>
        </w:rPr>
      </w:pPr>
      <w:r>
        <w:rPr>
          <w:rFonts w:ascii="Times New Roman" w:eastAsia="Calibri" w:hAnsi="Times New Roman"/>
          <w:sz w:val="20"/>
          <w:lang w:eastAsia="en-US"/>
        </w:rPr>
        <w:t>T</w:t>
      </w:r>
      <w:r w:rsidR="00F25F6C">
        <w:rPr>
          <w:rFonts w:ascii="Times New Roman" w:eastAsia="Calibri" w:hAnsi="Times New Roman"/>
          <w:sz w:val="20"/>
          <w:lang w:eastAsia="en-US"/>
        </w:rPr>
        <w:t xml:space="preserve">he </w:t>
      </w:r>
      <w:r w:rsidR="004977F6">
        <w:rPr>
          <w:rFonts w:ascii="Times New Roman" w:eastAsia="Calibri" w:hAnsi="Times New Roman"/>
          <w:sz w:val="20"/>
          <w:lang w:eastAsia="en-US"/>
        </w:rPr>
        <w:t xml:space="preserve">evaluation of the Strategic Plan </w:t>
      </w:r>
      <w:r w:rsidR="00F25F6C">
        <w:rPr>
          <w:rFonts w:ascii="Times New Roman" w:eastAsia="Calibri" w:hAnsi="Times New Roman"/>
          <w:sz w:val="20"/>
          <w:lang w:eastAsia="en-US"/>
        </w:rPr>
        <w:t xml:space="preserve">found that UNDP </w:t>
      </w:r>
      <w:r>
        <w:rPr>
          <w:rFonts w:ascii="Times New Roman" w:eastAsia="Calibri" w:hAnsi="Times New Roman"/>
          <w:sz w:val="20"/>
          <w:lang w:eastAsia="en-US"/>
        </w:rPr>
        <w:t>has</w:t>
      </w:r>
      <w:r w:rsidR="00F25F6C">
        <w:rPr>
          <w:rFonts w:ascii="Times New Roman" w:eastAsia="Calibri" w:hAnsi="Times New Roman"/>
          <w:sz w:val="20"/>
          <w:lang w:eastAsia="en-US"/>
        </w:rPr>
        <w:t xml:space="preserve"> improv</w:t>
      </w:r>
      <w:r>
        <w:rPr>
          <w:rFonts w:ascii="Times New Roman" w:eastAsia="Calibri" w:hAnsi="Times New Roman"/>
          <w:sz w:val="20"/>
          <w:lang w:eastAsia="en-US"/>
        </w:rPr>
        <w:t>ed</w:t>
      </w:r>
      <w:r w:rsidR="00F25F6C">
        <w:rPr>
          <w:rFonts w:ascii="Times New Roman" w:eastAsia="Calibri" w:hAnsi="Times New Roman"/>
          <w:sz w:val="20"/>
          <w:lang w:eastAsia="en-US"/>
        </w:rPr>
        <w:t xml:space="preserve"> the quality of its programming</w:t>
      </w:r>
      <w:r w:rsidR="00712605">
        <w:rPr>
          <w:rFonts w:ascii="Times New Roman" w:eastAsia="Calibri" w:hAnsi="Times New Roman"/>
          <w:sz w:val="20"/>
          <w:lang w:eastAsia="en-US"/>
        </w:rPr>
        <w:t xml:space="preserve"> and</w:t>
      </w:r>
      <w:r w:rsidR="00F25F6C">
        <w:rPr>
          <w:rFonts w:ascii="Times New Roman" w:eastAsia="Calibri" w:hAnsi="Times New Roman"/>
          <w:sz w:val="20"/>
          <w:lang w:eastAsia="en-US"/>
        </w:rPr>
        <w:t xml:space="preserve"> its openness, agility and adaptability</w:t>
      </w:r>
      <w:r w:rsidR="00712605">
        <w:rPr>
          <w:rFonts w:ascii="Times New Roman" w:eastAsia="Calibri" w:hAnsi="Times New Roman"/>
          <w:sz w:val="20"/>
          <w:lang w:eastAsia="en-US"/>
        </w:rPr>
        <w:t>,</w:t>
      </w:r>
      <w:r w:rsidR="00F25F6C">
        <w:rPr>
          <w:rFonts w:ascii="Times New Roman" w:eastAsia="Calibri" w:hAnsi="Times New Roman"/>
          <w:sz w:val="20"/>
          <w:lang w:eastAsia="en-US"/>
        </w:rPr>
        <w:t xml:space="preserve"> and that it </w:t>
      </w:r>
      <w:r w:rsidR="004977F6">
        <w:rPr>
          <w:rFonts w:ascii="Times New Roman" w:eastAsia="Calibri" w:hAnsi="Times New Roman"/>
          <w:sz w:val="20"/>
          <w:lang w:eastAsia="en-US"/>
        </w:rPr>
        <w:t xml:space="preserve">was </w:t>
      </w:r>
      <w:r w:rsidR="00F25F6C">
        <w:rPr>
          <w:rFonts w:ascii="Times New Roman" w:eastAsia="Calibri" w:hAnsi="Times New Roman"/>
          <w:sz w:val="20"/>
          <w:lang w:eastAsia="en-US"/>
        </w:rPr>
        <w:t xml:space="preserve">leaner and more </w:t>
      </w:r>
      <w:r w:rsidR="004977F6">
        <w:rPr>
          <w:rFonts w:ascii="Times New Roman" w:eastAsia="Calibri" w:hAnsi="Times New Roman"/>
          <w:sz w:val="20"/>
          <w:lang w:eastAsia="en-US"/>
        </w:rPr>
        <w:t>cost-</w:t>
      </w:r>
      <w:r w:rsidR="00F25F6C">
        <w:rPr>
          <w:rFonts w:ascii="Times New Roman" w:eastAsia="Calibri" w:hAnsi="Times New Roman"/>
          <w:sz w:val="20"/>
          <w:lang w:eastAsia="en-US"/>
        </w:rPr>
        <w:t>conscious</w:t>
      </w:r>
      <w:r>
        <w:rPr>
          <w:rFonts w:ascii="Times New Roman" w:eastAsia="Calibri" w:hAnsi="Times New Roman"/>
          <w:sz w:val="20"/>
          <w:lang w:eastAsia="en-US"/>
        </w:rPr>
        <w:t xml:space="preserve"> in 2014-201</w:t>
      </w:r>
      <w:r w:rsidR="00A96214">
        <w:rPr>
          <w:rFonts w:ascii="Times New Roman" w:eastAsia="Calibri" w:hAnsi="Times New Roman"/>
          <w:sz w:val="20"/>
          <w:lang w:eastAsia="en-US"/>
        </w:rPr>
        <w:t>7</w:t>
      </w:r>
      <w:r w:rsidR="00E03E75">
        <w:rPr>
          <w:rFonts w:ascii="Times New Roman" w:eastAsia="Calibri" w:hAnsi="Times New Roman"/>
          <w:sz w:val="20"/>
          <w:lang w:eastAsia="en-US"/>
        </w:rPr>
        <w:t>, but that challenges remained</w:t>
      </w:r>
      <w:r w:rsidR="00F25F6C">
        <w:rPr>
          <w:rFonts w:ascii="Times New Roman" w:eastAsia="Calibri" w:hAnsi="Times New Roman"/>
          <w:sz w:val="20"/>
          <w:lang w:eastAsia="en-US"/>
        </w:rPr>
        <w:t xml:space="preserve">.  </w:t>
      </w:r>
      <w:r w:rsidR="00D6176C">
        <w:rPr>
          <w:rFonts w:ascii="Times New Roman" w:eastAsia="Calibri" w:hAnsi="Times New Roman"/>
          <w:sz w:val="20"/>
          <w:lang w:eastAsia="en-US"/>
        </w:rPr>
        <w:t xml:space="preserve">Organizational performance </w:t>
      </w:r>
      <w:r w:rsidR="00EE098B" w:rsidRPr="00EE098B">
        <w:rPr>
          <w:rFonts w:ascii="Times New Roman" w:eastAsia="Calibri" w:hAnsi="Times New Roman"/>
          <w:sz w:val="20"/>
          <w:lang w:eastAsia="en-US"/>
        </w:rPr>
        <w:t>at the end of 2017 was solid with UNDP meeting or exceeding tar</w:t>
      </w:r>
      <w:bookmarkStart w:id="10" w:name="_GoBack"/>
      <w:bookmarkEnd w:id="10"/>
      <w:r w:rsidR="00EE098B" w:rsidRPr="00EE098B">
        <w:rPr>
          <w:rFonts w:ascii="Times New Roman" w:eastAsia="Calibri" w:hAnsi="Times New Roman"/>
          <w:sz w:val="20"/>
          <w:lang w:eastAsia="en-US"/>
        </w:rPr>
        <w:t>gets for 23 of 46 indicators, achieving 80 per cent or higher of the targets for 20 indicators while three indicators achieved less than 80 per cent of the target</w:t>
      </w:r>
      <w:r w:rsidR="00A1340A">
        <w:rPr>
          <w:rFonts w:ascii="Times New Roman" w:eastAsia="Calibri" w:hAnsi="Times New Roman"/>
          <w:sz w:val="20"/>
          <w:lang w:eastAsia="en-US"/>
        </w:rPr>
        <w:t xml:space="preserve">.  </w:t>
      </w:r>
      <w:r w:rsidR="00D6176C">
        <w:rPr>
          <w:rFonts w:ascii="Times New Roman" w:eastAsia="Calibri" w:hAnsi="Times New Roman"/>
          <w:sz w:val="20"/>
          <w:lang w:eastAsia="en-US"/>
        </w:rPr>
        <w:t xml:space="preserve"> </w:t>
      </w:r>
    </w:p>
    <w:p w:rsidR="00D6176C" w:rsidRPr="007204A8" w:rsidRDefault="00D6176C" w:rsidP="00355AD1">
      <w:pPr>
        <w:pStyle w:val="ListParagraph"/>
        <w:tabs>
          <w:tab w:val="left" w:pos="360"/>
          <w:tab w:val="left" w:pos="1080"/>
        </w:tabs>
        <w:spacing w:after="0" w:line="240" w:lineRule="auto"/>
        <w:ind w:left="0"/>
        <w:contextualSpacing w:val="0"/>
        <w:jc w:val="both"/>
        <w:rPr>
          <w:rFonts w:ascii="Times New Roman" w:eastAsia="Calibri" w:hAnsi="Times New Roman"/>
          <w:sz w:val="12"/>
          <w:szCs w:val="12"/>
          <w:lang w:eastAsia="en-US"/>
        </w:rPr>
      </w:pPr>
      <w:bookmarkStart w:id="11" w:name="_Hlk509939475"/>
    </w:p>
    <w:bookmarkEnd w:id="11"/>
    <w:p w:rsidR="00D6176C" w:rsidRPr="0057454F" w:rsidRDefault="00D6176C" w:rsidP="007204A8">
      <w:pPr>
        <w:pStyle w:val="ListParagraph"/>
        <w:tabs>
          <w:tab w:val="left" w:pos="360"/>
          <w:tab w:val="left" w:pos="1080"/>
        </w:tabs>
        <w:spacing w:after="0" w:line="240" w:lineRule="auto"/>
        <w:ind w:left="0" w:firstLine="720"/>
        <w:contextualSpacing w:val="0"/>
        <w:jc w:val="both"/>
        <w:rPr>
          <w:rFonts w:ascii="Times New Roman" w:eastAsia="Calibri" w:hAnsi="Times New Roman"/>
          <w:b/>
          <w:bCs/>
          <w:iCs/>
          <w:sz w:val="20"/>
          <w:lang w:eastAsia="en-US"/>
        </w:rPr>
      </w:pPr>
      <w:r w:rsidRPr="0057454F">
        <w:rPr>
          <w:rFonts w:ascii="Times New Roman" w:eastAsia="Calibri" w:hAnsi="Times New Roman"/>
          <w:b/>
          <w:bCs/>
          <w:iCs/>
          <w:sz w:val="20"/>
          <w:lang w:eastAsia="en-US"/>
        </w:rPr>
        <w:t>Development</w:t>
      </w:r>
      <w:r w:rsidR="001432BC">
        <w:rPr>
          <w:rFonts w:ascii="Times New Roman" w:eastAsia="Calibri" w:hAnsi="Times New Roman"/>
          <w:b/>
          <w:bCs/>
          <w:iCs/>
          <w:sz w:val="20"/>
          <w:lang w:eastAsia="en-US"/>
        </w:rPr>
        <w:t xml:space="preserve"> effectiveness and </w:t>
      </w:r>
      <w:r w:rsidR="003D3886">
        <w:rPr>
          <w:rFonts w:ascii="Times New Roman" w:eastAsia="Calibri" w:hAnsi="Times New Roman"/>
          <w:b/>
          <w:bCs/>
          <w:iCs/>
          <w:sz w:val="20"/>
          <w:lang w:eastAsia="en-US"/>
        </w:rPr>
        <w:t xml:space="preserve">cost </w:t>
      </w:r>
      <w:r w:rsidRPr="0057454F">
        <w:rPr>
          <w:rFonts w:ascii="Times New Roman" w:eastAsia="Calibri" w:hAnsi="Times New Roman"/>
          <w:b/>
          <w:bCs/>
          <w:iCs/>
          <w:sz w:val="20"/>
          <w:lang w:eastAsia="en-US"/>
        </w:rPr>
        <w:t>eff</w:t>
      </w:r>
      <w:r w:rsidR="001432BC">
        <w:rPr>
          <w:rFonts w:ascii="Times New Roman" w:eastAsia="Calibri" w:hAnsi="Times New Roman"/>
          <w:b/>
          <w:bCs/>
          <w:iCs/>
          <w:sz w:val="20"/>
          <w:lang w:eastAsia="en-US"/>
        </w:rPr>
        <w:t>iciency</w:t>
      </w:r>
    </w:p>
    <w:p w:rsidR="00D6176C" w:rsidRPr="007204A8" w:rsidRDefault="00D6176C" w:rsidP="00355AD1">
      <w:pPr>
        <w:pStyle w:val="ListParagraph"/>
        <w:tabs>
          <w:tab w:val="left" w:pos="360"/>
          <w:tab w:val="left" w:pos="1080"/>
        </w:tabs>
        <w:spacing w:after="0" w:line="240" w:lineRule="auto"/>
        <w:ind w:left="0"/>
        <w:contextualSpacing w:val="0"/>
        <w:jc w:val="both"/>
        <w:rPr>
          <w:rFonts w:ascii="Times New Roman" w:eastAsia="Calibri" w:hAnsi="Times New Roman"/>
          <w:sz w:val="12"/>
          <w:szCs w:val="12"/>
          <w:lang w:eastAsia="en-US"/>
        </w:rPr>
      </w:pPr>
    </w:p>
    <w:p w:rsidR="00D6176C" w:rsidRPr="0057454F" w:rsidRDefault="00D6176C" w:rsidP="00425265">
      <w:pPr>
        <w:pStyle w:val="ListParagraph"/>
        <w:numPr>
          <w:ilvl w:val="0"/>
          <w:numId w:val="20"/>
        </w:numPr>
        <w:tabs>
          <w:tab w:val="left" w:pos="1080"/>
        </w:tabs>
        <w:spacing w:after="0" w:line="240" w:lineRule="auto"/>
        <w:ind w:firstLine="0"/>
        <w:jc w:val="both"/>
        <w:rPr>
          <w:rFonts w:ascii="Times New Roman" w:hAnsi="Times New Roman"/>
          <w:sz w:val="20"/>
          <w:szCs w:val="20"/>
        </w:rPr>
      </w:pPr>
      <w:r w:rsidRPr="0057454F">
        <w:rPr>
          <w:rFonts w:ascii="Times New Roman" w:hAnsi="Times New Roman"/>
          <w:sz w:val="20"/>
          <w:szCs w:val="20"/>
        </w:rPr>
        <w:t xml:space="preserve">The quality of country programme documents improved from </w:t>
      </w:r>
      <w:r w:rsidRPr="0057454F">
        <w:rPr>
          <w:rFonts w:ascii="Times New Roman" w:eastAsia="MS Mincho" w:hAnsi="Times New Roman"/>
          <w:sz w:val="20"/>
          <w:szCs w:val="20"/>
          <w:lang w:val="en-CA"/>
        </w:rPr>
        <w:t>a 79 per cent satisfactory rating in 2014 to 89 per cent in 2017 (above the 80 per cent</w:t>
      </w:r>
      <w:r>
        <w:rPr>
          <w:rFonts w:ascii="Times New Roman" w:eastAsia="MS Mincho" w:hAnsi="Times New Roman"/>
          <w:sz w:val="20"/>
          <w:szCs w:val="20"/>
          <w:lang w:val="en-CA"/>
        </w:rPr>
        <w:t xml:space="preserve"> target</w:t>
      </w:r>
      <w:r w:rsidRPr="0057454F">
        <w:rPr>
          <w:rFonts w:ascii="Times New Roman" w:eastAsia="MS Mincho" w:hAnsi="Times New Roman"/>
          <w:sz w:val="20"/>
          <w:szCs w:val="20"/>
          <w:lang w:val="en-CA"/>
        </w:rPr>
        <w:t xml:space="preserve">) </w:t>
      </w:r>
      <w:r>
        <w:rPr>
          <w:rFonts w:ascii="Times New Roman" w:hAnsi="Times New Roman"/>
          <w:sz w:val="20"/>
          <w:szCs w:val="20"/>
        </w:rPr>
        <w:t>due to</w:t>
      </w:r>
      <w:r w:rsidRPr="0057454F">
        <w:rPr>
          <w:rFonts w:ascii="Times New Roman" w:hAnsi="Times New Roman"/>
          <w:sz w:val="20"/>
          <w:szCs w:val="20"/>
        </w:rPr>
        <w:t xml:space="preserve"> a robust programme appraisal committee process. Social and environmental safeguards and grievance mechanisms have increasingly </w:t>
      </w:r>
      <w:r>
        <w:rPr>
          <w:rFonts w:ascii="Times New Roman" w:hAnsi="Times New Roman"/>
          <w:sz w:val="20"/>
          <w:szCs w:val="20"/>
        </w:rPr>
        <w:t>been used</w:t>
      </w:r>
      <w:r w:rsidRPr="0057454F">
        <w:rPr>
          <w:rFonts w:ascii="Times New Roman" w:hAnsi="Times New Roman"/>
          <w:sz w:val="20"/>
          <w:szCs w:val="20"/>
        </w:rPr>
        <w:t xml:space="preserve"> as best practice</w:t>
      </w:r>
      <w:r>
        <w:rPr>
          <w:rFonts w:ascii="Times New Roman" w:hAnsi="Times New Roman"/>
          <w:sz w:val="20"/>
          <w:szCs w:val="20"/>
        </w:rPr>
        <w:t>s</w:t>
      </w:r>
      <w:r w:rsidRPr="0057454F">
        <w:rPr>
          <w:rFonts w:ascii="Times New Roman" w:hAnsi="Times New Roman"/>
          <w:sz w:val="20"/>
          <w:szCs w:val="20"/>
        </w:rPr>
        <w:t xml:space="preserve"> in development and humanitarian programming and investments.  </w:t>
      </w:r>
    </w:p>
    <w:p w:rsidR="00D6176C" w:rsidRPr="007204A8" w:rsidRDefault="00D6176C" w:rsidP="00355AD1">
      <w:pPr>
        <w:tabs>
          <w:tab w:val="left" w:pos="1080"/>
        </w:tabs>
        <w:spacing w:after="0" w:line="240" w:lineRule="auto"/>
        <w:jc w:val="both"/>
        <w:rPr>
          <w:rFonts w:ascii="Times New Roman" w:eastAsia="Times New Roman" w:hAnsi="Times New Roman"/>
          <w:sz w:val="12"/>
          <w:szCs w:val="12"/>
          <w:lang w:eastAsia="ja-JP"/>
        </w:rPr>
      </w:pPr>
    </w:p>
    <w:p w:rsidR="00D6176C" w:rsidRDefault="00D6176C" w:rsidP="00425265">
      <w:pPr>
        <w:pStyle w:val="ListParagraph"/>
        <w:numPr>
          <w:ilvl w:val="0"/>
          <w:numId w:val="20"/>
        </w:numPr>
        <w:shd w:val="clear" w:color="auto" w:fill="FFFFFF"/>
        <w:tabs>
          <w:tab w:val="left" w:pos="1080"/>
        </w:tabs>
        <w:spacing w:after="0" w:line="240" w:lineRule="auto"/>
        <w:ind w:firstLine="0"/>
        <w:jc w:val="both"/>
        <w:rPr>
          <w:rFonts w:ascii="Times New Roman" w:hAnsi="Times New Roman"/>
          <w:sz w:val="20"/>
          <w:szCs w:val="20"/>
        </w:rPr>
      </w:pPr>
      <w:r w:rsidRPr="0057454F">
        <w:rPr>
          <w:rFonts w:ascii="Times New Roman" w:eastAsia="MS Mincho" w:hAnsi="Times New Roman"/>
          <w:bCs/>
          <w:sz w:val="20"/>
          <w:szCs w:val="20"/>
          <w:lang w:val="en-CA"/>
        </w:rPr>
        <w:t>The introduction of universal programme and project quality assurance in 2016 set clear standards for improved decisions on investments for better performance.</w:t>
      </w:r>
      <w:r>
        <w:rPr>
          <w:rFonts w:ascii="Times New Roman" w:eastAsia="MS Mincho" w:hAnsi="Times New Roman"/>
          <w:bCs/>
          <w:sz w:val="20"/>
          <w:szCs w:val="20"/>
          <w:lang w:val="en-CA"/>
        </w:rPr>
        <w:t xml:space="preserve"> </w:t>
      </w:r>
      <w:r w:rsidR="00882EB9">
        <w:rPr>
          <w:rFonts w:ascii="Times New Roman" w:hAnsi="Times New Roman"/>
          <w:sz w:val="20"/>
          <w:szCs w:val="20"/>
          <w:lang w:val="en-CA"/>
        </w:rPr>
        <w:t>Standards</w:t>
      </w:r>
      <w:r w:rsidRPr="0057454F">
        <w:rPr>
          <w:rFonts w:ascii="Times New Roman" w:hAnsi="Times New Roman"/>
          <w:sz w:val="20"/>
          <w:szCs w:val="20"/>
        </w:rPr>
        <w:t xml:space="preserve"> were met or exceeded in </w:t>
      </w:r>
      <w:r w:rsidR="00247E19">
        <w:rPr>
          <w:rFonts w:ascii="Times New Roman" w:hAnsi="Times New Roman"/>
          <w:sz w:val="20"/>
          <w:szCs w:val="20"/>
        </w:rPr>
        <w:t>73</w:t>
      </w:r>
      <w:r w:rsidRPr="0057454F">
        <w:rPr>
          <w:rFonts w:ascii="Times New Roman" w:hAnsi="Times New Roman"/>
          <w:sz w:val="20"/>
          <w:szCs w:val="20"/>
        </w:rPr>
        <w:t xml:space="preserve"> per cent of projects</w:t>
      </w:r>
      <w:r w:rsidR="00D5557A">
        <w:rPr>
          <w:rFonts w:ascii="Times New Roman" w:hAnsi="Times New Roman"/>
          <w:sz w:val="20"/>
          <w:szCs w:val="20"/>
        </w:rPr>
        <w:t xml:space="preserve"> in 2017</w:t>
      </w:r>
      <w:r w:rsidRPr="0057454F">
        <w:rPr>
          <w:rFonts w:ascii="Times New Roman" w:hAnsi="Times New Roman"/>
          <w:sz w:val="20"/>
          <w:szCs w:val="20"/>
        </w:rPr>
        <w:t xml:space="preserve">, up from </w:t>
      </w:r>
      <w:r w:rsidR="00247E19">
        <w:rPr>
          <w:rFonts w:ascii="Times New Roman" w:hAnsi="Times New Roman"/>
          <w:sz w:val="20"/>
          <w:szCs w:val="20"/>
        </w:rPr>
        <w:t>63</w:t>
      </w:r>
      <w:r w:rsidRPr="0057454F">
        <w:rPr>
          <w:rFonts w:ascii="Times New Roman" w:hAnsi="Times New Roman"/>
          <w:sz w:val="20"/>
          <w:szCs w:val="20"/>
        </w:rPr>
        <w:t xml:space="preserve"> per cent in 2016. </w:t>
      </w:r>
      <w:r>
        <w:rPr>
          <w:rFonts w:ascii="Times New Roman" w:hAnsi="Times New Roman"/>
          <w:sz w:val="20"/>
          <w:szCs w:val="20"/>
        </w:rPr>
        <w:t xml:space="preserve">Upwards of </w:t>
      </w:r>
      <w:r w:rsidRPr="0057454F">
        <w:rPr>
          <w:rFonts w:ascii="Times New Roman" w:hAnsi="Times New Roman"/>
          <w:sz w:val="20"/>
          <w:szCs w:val="20"/>
        </w:rPr>
        <w:t xml:space="preserve">79 per cent of country offices systematically implemented common </w:t>
      </w:r>
      <w:r w:rsidR="004977F6">
        <w:rPr>
          <w:rFonts w:ascii="Times New Roman" w:hAnsi="Times New Roman"/>
          <w:sz w:val="20"/>
          <w:szCs w:val="20"/>
        </w:rPr>
        <w:t>United Nations Development Group r</w:t>
      </w:r>
      <w:r w:rsidRPr="0057454F">
        <w:rPr>
          <w:rFonts w:ascii="Times New Roman" w:hAnsi="Times New Roman"/>
          <w:sz w:val="20"/>
          <w:szCs w:val="20"/>
        </w:rPr>
        <w:t>esults-</w:t>
      </w:r>
      <w:r w:rsidR="004977F6">
        <w:rPr>
          <w:rFonts w:ascii="Times New Roman" w:hAnsi="Times New Roman"/>
          <w:sz w:val="20"/>
          <w:szCs w:val="20"/>
        </w:rPr>
        <w:t>b</w:t>
      </w:r>
      <w:r w:rsidR="004977F6" w:rsidRPr="0057454F">
        <w:rPr>
          <w:rFonts w:ascii="Times New Roman" w:hAnsi="Times New Roman"/>
          <w:sz w:val="20"/>
          <w:szCs w:val="20"/>
        </w:rPr>
        <w:t xml:space="preserve">ased </w:t>
      </w:r>
      <w:r w:rsidR="004977F6">
        <w:rPr>
          <w:rFonts w:ascii="Times New Roman" w:hAnsi="Times New Roman"/>
          <w:sz w:val="20"/>
          <w:szCs w:val="20"/>
        </w:rPr>
        <w:t>m</w:t>
      </w:r>
      <w:r w:rsidR="004977F6" w:rsidRPr="0057454F">
        <w:rPr>
          <w:rFonts w:ascii="Times New Roman" w:hAnsi="Times New Roman"/>
          <w:sz w:val="20"/>
          <w:szCs w:val="20"/>
        </w:rPr>
        <w:t xml:space="preserve">anagement </w:t>
      </w:r>
      <w:r w:rsidRPr="0057454F">
        <w:rPr>
          <w:rFonts w:ascii="Times New Roman" w:hAnsi="Times New Roman"/>
          <w:sz w:val="20"/>
          <w:szCs w:val="20"/>
        </w:rPr>
        <w:t>tools and principles in 2017.  </w:t>
      </w:r>
    </w:p>
    <w:p w:rsidR="00AE7DDF" w:rsidRPr="007204A8" w:rsidRDefault="00AE7DDF" w:rsidP="00355AD1">
      <w:pPr>
        <w:pStyle w:val="ListParagraph"/>
        <w:tabs>
          <w:tab w:val="left" w:pos="1080"/>
        </w:tabs>
        <w:rPr>
          <w:rFonts w:ascii="Times New Roman" w:hAnsi="Times New Roman"/>
          <w:sz w:val="12"/>
          <w:szCs w:val="12"/>
        </w:rPr>
      </w:pPr>
    </w:p>
    <w:p w:rsidR="00AE7DDF" w:rsidRPr="00DE08B1" w:rsidRDefault="00786A22" w:rsidP="00425265">
      <w:pPr>
        <w:pStyle w:val="ListParagraph"/>
        <w:numPr>
          <w:ilvl w:val="0"/>
          <w:numId w:val="20"/>
        </w:numPr>
        <w:tabs>
          <w:tab w:val="left" w:pos="360"/>
          <w:tab w:val="left" w:pos="1080"/>
        </w:tabs>
        <w:spacing w:after="0" w:line="240" w:lineRule="auto"/>
        <w:ind w:firstLine="0"/>
        <w:contextualSpacing w:val="0"/>
        <w:jc w:val="both"/>
        <w:rPr>
          <w:rFonts w:ascii="Times New Roman" w:eastAsia="Calibri" w:hAnsi="Times New Roman"/>
          <w:sz w:val="20"/>
          <w:lang w:eastAsia="en-US"/>
        </w:rPr>
      </w:pPr>
      <w:bookmarkStart w:id="12" w:name="_Hlk512013516"/>
      <w:r>
        <w:rPr>
          <w:rFonts w:ascii="Times New Roman" w:hAnsi="Times New Roman"/>
          <w:sz w:val="20"/>
        </w:rPr>
        <w:lastRenderedPageBreak/>
        <w:t xml:space="preserve">The proportion of </w:t>
      </w:r>
      <w:r w:rsidR="0015194C">
        <w:rPr>
          <w:rFonts w:ascii="Times New Roman" w:hAnsi="Times New Roman"/>
          <w:sz w:val="20"/>
        </w:rPr>
        <w:t xml:space="preserve">requirements of the </w:t>
      </w:r>
      <w:r w:rsidR="0015194C" w:rsidRPr="0015194C">
        <w:rPr>
          <w:rFonts w:ascii="Times New Roman" w:hAnsi="Times New Roman"/>
          <w:sz w:val="20"/>
        </w:rPr>
        <w:t xml:space="preserve">United Nations System-wide Action Plan on Gender Equality </w:t>
      </w:r>
      <w:r w:rsidR="00DB37FA">
        <w:rPr>
          <w:rFonts w:ascii="Times New Roman" w:hAnsi="Times New Roman"/>
          <w:sz w:val="20"/>
        </w:rPr>
        <w:t>and the Empowerment of Women </w:t>
      </w:r>
      <w:r>
        <w:rPr>
          <w:rFonts w:ascii="Times New Roman" w:hAnsi="Times New Roman"/>
          <w:sz w:val="20"/>
        </w:rPr>
        <w:t>met or exceeded</w:t>
      </w:r>
      <w:r w:rsidR="0015194C">
        <w:rPr>
          <w:rFonts w:ascii="Times New Roman" w:hAnsi="Times New Roman"/>
          <w:sz w:val="20"/>
        </w:rPr>
        <w:t xml:space="preserve"> by UNDP </w:t>
      </w:r>
      <w:r>
        <w:rPr>
          <w:rFonts w:ascii="Times New Roman" w:hAnsi="Times New Roman"/>
          <w:sz w:val="20"/>
        </w:rPr>
        <w:t xml:space="preserve">improved from 73 per cent in 2014 to 80 per cent in 2017. </w:t>
      </w:r>
      <w:bookmarkEnd w:id="12"/>
      <w:r w:rsidR="00AE7DDF">
        <w:rPr>
          <w:rFonts w:ascii="Times New Roman" w:eastAsia="Calibri" w:hAnsi="Times New Roman"/>
          <w:sz w:val="20"/>
          <w:lang w:eastAsia="en-US"/>
        </w:rPr>
        <w:t>The UNDP Gender Equality Seal</w:t>
      </w:r>
      <w:r w:rsidR="0015194C">
        <w:rPr>
          <w:rFonts w:ascii="Times New Roman" w:eastAsia="Calibri" w:hAnsi="Times New Roman"/>
          <w:sz w:val="20"/>
          <w:lang w:eastAsia="en-US"/>
        </w:rPr>
        <w:t xml:space="preserve">, </w:t>
      </w:r>
      <w:r w:rsidR="00607A79">
        <w:rPr>
          <w:rFonts w:ascii="Times New Roman" w:eastAsia="Calibri" w:hAnsi="Times New Roman"/>
          <w:sz w:val="20"/>
          <w:lang w:eastAsia="en-US"/>
        </w:rPr>
        <w:t xml:space="preserve">acknowledged </w:t>
      </w:r>
      <w:r w:rsidR="00AE7DDF">
        <w:rPr>
          <w:rFonts w:ascii="Times New Roman" w:eastAsia="Calibri" w:hAnsi="Times New Roman"/>
          <w:sz w:val="20"/>
          <w:lang w:eastAsia="en-US"/>
        </w:rPr>
        <w:t xml:space="preserve">as </w:t>
      </w:r>
      <w:r w:rsidR="007A7B1C">
        <w:rPr>
          <w:rFonts w:ascii="Times New Roman" w:eastAsia="Calibri" w:hAnsi="Times New Roman"/>
          <w:sz w:val="20"/>
          <w:lang w:eastAsia="en-US"/>
        </w:rPr>
        <w:t xml:space="preserve">an </w:t>
      </w:r>
      <w:r w:rsidR="00AE7DDF">
        <w:rPr>
          <w:rFonts w:ascii="Times New Roman" w:eastAsia="Calibri" w:hAnsi="Times New Roman"/>
          <w:sz w:val="20"/>
          <w:lang w:eastAsia="en-US"/>
        </w:rPr>
        <w:t>accelerator of transform</w:t>
      </w:r>
      <w:r w:rsidR="00E03E75">
        <w:rPr>
          <w:rFonts w:ascii="Times New Roman" w:eastAsia="Calibri" w:hAnsi="Times New Roman"/>
          <w:sz w:val="20"/>
          <w:lang w:eastAsia="en-US"/>
        </w:rPr>
        <w:t xml:space="preserve">ative </w:t>
      </w:r>
      <w:r w:rsidR="00AE7DDF">
        <w:rPr>
          <w:rFonts w:ascii="Times New Roman" w:eastAsia="Calibri" w:hAnsi="Times New Roman"/>
          <w:sz w:val="20"/>
          <w:lang w:eastAsia="en-US"/>
        </w:rPr>
        <w:t>changes</w:t>
      </w:r>
      <w:r w:rsidR="0015194C">
        <w:rPr>
          <w:rFonts w:ascii="Times New Roman" w:eastAsia="Calibri" w:hAnsi="Times New Roman"/>
          <w:sz w:val="20"/>
          <w:lang w:eastAsia="en-US"/>
        </w:rPr>
        <w:t xml:space="preserve">, </w:t>
      </w:r>
      <w:r w:rsidR="004215ED">
        <w:rPr>
          <w:rFonts w:ascii="Times New Roman" w:eastAsia="Calibri" w:hAnsi="Times New Roman"/>
          <w:sz w:val="20"/>
          <w:lang w:eastAsia="en-US"/>
        </w:rPr>
        <w:t>recognized 46</w:t>
      </w:r>
      <w:r w:rsidR="00AE7DDF">
        <w:rPr>
          <w:rFonts w:ascii="Times New Roman" w:eastAsia="Calibri" w:hAnsi="Times New Roman"/>
          <w:sz w:val="20"/>
          <w:lang w:eastAsia="en-US"/>
        </w:rPr>
        <w:t xml:space="preserve"> </w:t>
      </w:r>
      <w:r w:rsidR="007A7B1C">
        <w:rPr>
          <w:rFonts w:ascii="Times New Roman" w:eastAsia="Calibri" w:hAnsi="Times New Roman"/>
          <w:sz w:val="20"/>
          <w:lang w:eastAsia="en-US"/>
        </w:rPr>
        <w:t>c</w:t>
      </w:r>
      <w:r w:rsidR="00AE7DDF">
        <w:rPr>
          <w:rFonts w:ascii="Times New Roman" w:eastAsia="Calibri" w:hAnsi="Times New Roman"/>
          <w:sz w:val="20"/>
          <w:lang w:eastAsia="en-US"/>
        </w:rPr>
        <w:t xml:space="preserve">ountry </w:t>
      </w:r>
      <w:r w:rsidR="007A7B1C">
        <w:rPr>
          <w:rFonts w:ascii="Times New Roman" w:eastAsia="Calibri" w:hAnsi="Times New Roman"/>
          <w:sz w:val="20"/>
          <w:lang w:eastAsia="en-US"/>
        </w:rPr>
        <w:t>o</w:t>
      </w:r>
      <w:r w:rsidR="00AE7DDF">
        <w:rPr>
          <w:rFonts w:ascii="Times New Roman" w:eastAsia="Calibri" w:hAnsi="Times New Roman"/>
          <w:sz w:val="20"/>
          <w:lang w:eastAsia="en-US"/>
        </w:rPr>
        <w:t xml:space="preserve">ffices for their significant progress on gender mainstreaming, </w:t>
      </w:r>
      <w:r w:rsidR="0015194C">
        <w:rPr>
          <w:rFonts w:ascii="Times New Roman" w:eastAsia="Calibri" w:hAnsi="Times New Roman"/>
          <w:sz w:val="20"/>
          <w:lang w:eastAsia="en-US"/>
        </w:rPr>
        <w:t xml:space="preserve">awarding 10 </w:t>
      </w:r>
      <w:r w:rsidR="00AE7DDF">
        <w:rPr>
          <w:rFonts w:ascii="Times New Roman" w:eastAsia="Calibri" w:hAnsi="Times New Roman"/>
          <w:sz w:val="20"/>
          <w:lang w:eastAsia="en-US"/>
        </w:rPr>
        <w:t xml:space="preserve">offices a </w:t>
      </w:r>
      <w:r w:rsidR="0015194C">
        <w:rPr>
          <w:rFonts w:ascii="Times New Roman" w:eastAsia="Calibri" w:hAnsi="Times New Roman"/>
          <w:sz w:val="20"/>
          <w:lang w:eastAsia="en-US"/>
        </w:rPr>
        <w:t xml:space="preserve">“Gold” </w:t>
      </w:r>
      <w:r w:rsidR="00AE7DDF">
        <w:rPr>
          <w:rFonts w:ascii="Times New Roman" w:eastAsia="Calibri" w:hAnsi="Times New Roman"/>
          <w:sz w:val="20"/>
          <w:lang w:eastAsia="en-US"/>
        </w:rPr>
        <w:t>seal between 2014 and 2017</w:t>
      </w:r>
      <w:r w:rsidR="007A7B1C">
        <w:rPr>
          <w:rFonts w:ascii="Times New Roman" w:eastAsia="Calibri" w:hAnsi="Times New Roman"/>
          <w:sz w:val="20"/>
          <w:lang w:eastAsia="en-US"/>
        </w:rPr>
        <w:t xml:space="preserve">. </w:t>
      </w:r>
      <w:r w:rsidR="0015194C">
        <w:rPr>
          <w:rFonts w:ascii="Times New Roman" w:eastAsia="Calibri" w:hAnsi="Times New Roman"/>
          <w:sz w:val="20"/>
          <w:lang w:eastAsia="en-US"/>
        </w:rPr>
        <w:t>The</w:t>
      </w:r>
      <w:r w:rsidR="007A7B1C">
        <w:rPr>
          <w:rFonts w:ascii="Times New Roman" w:eastAsia="Calibri" w:hAnsi="Times New Roman"/>
          <w:sz w:val="20"/>
          <w:lang w:eastAsia="en-US"/>
        </w:rPr>
        <w:t xml:space="preserve"> UNDP g</w:t>
      </w:r>
      <w:r w:rsidR="00032039">
        <w:rPr>
          <w:rFonts w:ascii="Times New Roman" w:eastAsia="Calibri" w:hAnsi="Times New Roman"/>
          <w:sz w:val="20"/>
          <w:lang w:eastAsia="en-US"/>
        </w:rPr>
        <w:t>ender certification has been adapted for</w:t>
      </w:r>
      <w:r w:rsidR="007A7B1C">
        <w:rPr>
          <w:rFonts w:ascii="Times New Roman" w:eastAsia="Calibri" w:hAnsi="Times New Roman"/>
          <w:sz w:val="20"/>
          <w:lang w:eastAsia="en-US"/>
        </w:rPr>
        <w:t xml:space="preserve"> the public sec</w:t>
      </w:r>
      <w:r w:rsidR="003E7D6A">
        <w:rPr>
          <w:rFonts w:ascii="Times New Roman" w:eastAsia="Calibri" w:hAnsi="Times New Roman"/>
          <w:sz w:val="20"/>
          <w:lang w:eastAsia="en-US"/>
        </w:rPr>
        <w:t>tor</w:t>
      </w:r>
      <w:r w:rsidR="00032039">
        <w:rPr>
          <w:rFonts w:ascii="Times New Roman" w:eastAsia="Calibri" w:hAnsi="Times New Roman"/>
          <w:sz w:val="20"/>
          <w:lang w:eastAsia="en-US"/>
        </w:rPr>
        <w:t xml:space="preserve"> and private companies</w:t>
      </w:r>
      <w:r w:rsidR="0015194C">
        <w:rPr>
          <w:rFonts w:ascii="Times New Roman" w:eastAsia="Calibri" w:hAnsi="Times New Roman"/>
          <w:sz w:val="20"/>
          <w:lang w:eastAsia="en-US"/>
        </w:rPr>
        <w:t xml:space="preserve"> and the Gender Equality Seal </w:t>
      </w:r>
      <w:r w:rsidR="00032039">
        <w:rPr>
          <w:rFonts w:ascii="Times New Roman" w:eastAsia="Calibri" w:hAnsi="Times New Roman"/>
          <w:sz w:val="20"/>
          <w:lang w:eastAsia="en-US"/>
        </w:rPr>
        <w:t xml:space="preserve">for the private sector </w:t>
      </w:r>
      <w:r w:rsidR="007A7B1C">
        <w:rPr>
          <w:rFonts w:ascii="Times New Roman" w:eastAsia="Calibri" w:hAnsi="Times New Roman"/>
          <w:sz w:val="20"/>
          <w:lang w:eastAsia="en-US"/>
        </w:rPr>
        <w:t>expanded beyond Latin America to Afric</w:t>
      </w:r>
      <w:r w:rsidR="00631B39">
        <w:rPr>
          <w:rFonts w:ascii="Times New Roman" w:eastAsia="Calibri" w:hAnsi="Times New Roman"/>
          <w:sz w:val="20"/>
          <w:lang w:eastAsia="en-US"/>
        </w:rPr>
        <w:t xml:space="preserve">a and other regions as a global </w:t>
      </w:r>
      <w:r w:rsidR="007A7B1C">
        <w:rPr>
          <w:rFonts w:ascii="Times New Roman" w:eastAsia="Calibri" w:hAnsi="Times New Roman"/>
          <w:sz w:val="20"/>
          <w:lang w:eastAsia="en-US"/>
        </w:rPr>
        <w:t xml:space="preserve">good practice in transforming work culture.  </w:t>
      </w:r>
    </w:p>
    <w:p w:rsidR="00D6176C" w:rsidRPr="007204A8" w:rsidRDefault="00D6176C" w:rsidP="00355AD1">
      <w:pPr>
        <w:shd w:val="clear" w:color="auto" w:fill="FFFFFF"/>
        <w:tabs>
          <w:tab w:val="left" w:pos="1080"/>
        </w:tabs>
        <w:spacing w:after="0" w:line="240" w:lineRule="auto"/>
        <w:jc w:val="both"/>
        <w:rPr>
          <w:rFonts w:ascii="Times New Roman" w:eastAsia="Times New Roman" w:hAnsi="Times New Roman"/>
          <w:sz w:val="12"/>
          <w:szCs w:val="12"/>
          <w:lang w:eastAsia="ja-JP"/>
        </w:rPr>
      </w:pPr>
    </w:p>
    <w:p w:rsidR="00D6176C" w:rsidRPr="00AE7DDF" w:rsidRDefault="00AE7DDF" w:rsidP="00425265">
      <w:pPr>
        <w:pStyle w:val="ListParagraph"/>
        <w:numPr>
          <w:ilvl w:val="0"/>
          <w:numId w:val="20"/>
        </w:numPr>
        <w:shd w:val="clear" w:color="auto" w:fill="FFFFFF"/>
        <w:tabs>
          <w:tab w:val="left" w:pos="1080"/>
        </w:tabs>
        <w:spacing w:after="0" w:line="240" w:lineRule="auto"/>
        <w:ind w:firstLine="0"/>
        <w:jc w:val="both"/>
        <w:rPr>
          <w:rFonts w:ascii="Times New Roman" w:hAnsi="Times New Roman"/>
          <w:sz w:val="20"/>
          <w:szCs w:val="20"/>
        </w:rPr>
      </w:pPr>
      <w:r w:rsidRPr="00AE7DDF">
        <w:rPr>
          <w:rFonts w:ascii="Times New Roman" w:hAnsi="Times New Roman"/>
          <w:sz w:val="20"/>
          <w:szCs w:val="20"/>
        </w:rPr>
        <w:t xml:space="preserve">UNDP became a more efficient </w:t>
      </w:r>
      <w:r w:rsidR="0015194C" w:rsidRPr="00AE7DDF">
        <w:rPr>
          <w:rFonts w:ascii="Times New Roman" w:hAnsi="Times New Roman"/>
          <w:sz w:val="20"/>
          <w:szCs w:val="20"/>
        </w:rPr>
        <w:t>organi</w:t>
      </w:r>
      <w:r w:rsidR="0015194C">
        <w:rPr>
          <w:rFonts w:ascii="Times New Roman" w:hAnsi="Times New Roman"/>
          <w:sz w:val="20"/>
          <w:szCs w:val="20"/>
        </w:rPr>
        <w:t>z</w:t>
      </w:r>
      <w:r w:rsidR="0015194C" w:rsidRPr="00AE7DDF">
        <w:rPr>
          <w:rFonts w:ascii="Times New Roman" w:hAnsi="Times New Roman"/>
          <w:sz w:val="20"/>
          <w:szCs w:val="20"/>
        </w:rPr>
        <w:t>ation</w:t>
      </w:r>
      <w:r w:rsidR="0015194C">
        <w:rPr>
          <w:rFonts w:ascii="Times New Roman" w:hAnsi="Times New Roman"/>
          <w:sz w:val="20"/>
          <w:szCs w:val="20"/>
        </w:rPr>
        <w:t>,</w:t>
      </w:r>
      <w:r w:rsidR="0015194C" w:rsidRPr="00AE7DDF">
        <w:rPr>
          <w:rFonts w:ascii="Times New Roman" w:hAnsi="Times New Roman"/>
          <w:sz w:val="20"/>
          <w:szCs w:val="20"/>
        </w:rPr>
        <w:t xml:space="preserve"> </w:t>
      </w:r>
      <w:r w:rsidRPr="00AE7DDF">
        <w:rPr>
          <w:rFonts w:ascii="Times New Roman" w:hAnsi="Times New Roman"/>
          <w:sz w:val="20"/>
          <w:szCs w:val="20"/>
        </w:rPr>
        <w:t xml:space="preserve">reflected in the </w:t>
      </w:r>
      <w:r w:rsidRPr="00AE7DDF">
        <w:rPr>
          <w:rFonts w:ascii="Times New Roman" w:eastAsia="MS Mincho" w:hAnsi="Times New Roman"/>
          <w:sz w:val="20"/>
          <w:szCs w:val="20"/>
          <w:lang w:val="en-CA"/>
        </w:rPr>
        <w:t>2017 management efficiency ratio of 6.9 per cent, well under the target of 8.1 per cent and a significant reduction from 8.</w:t>
      </w:r>
      <w:r w:rsidR="00FF579E">
        <w:rPr>
          <w:rFonts w:ascii="Times New Roman" w:eastAsia="MS Mincho" w:hAnsi="Times New Roman"/>
          <w:sz w:val="20"/>
          <w:szCs w:val="20"/>
          <w:lang w:val="en-CA"/>
        </w:rPr>
        <w:t>3</w:t>
      </w:r>
      <w:r w:rsidRPr="00AE7DDF">
        <w:rPr>
          <w:rFonts w:ascii="Times New Roman" w:eastAsia="MS Mincho" w:hAnsi="Times New Roman"/>
          <w:sz w:val="20"/>
          <w:szCs w:val="20"/>
          <w:lang w:val="en-CA"/>
        </w:rPr>
        <w:t xml:space="preserve"> per cent in 2014.  </w:t>
      </w:r>
      <w:r w:rsidRPr="0057454F">
        <w:rPr>
          <w:rFonts w:ascii="Times New Roman" w:hAnsi="Times New Roman"/>
          <w:sz w:val="20"/>
          <w:szCs w:val="20"/>
        </w:rPr>
        <w:t xml:space="preserve">Compliance of cost-sharing agreements </w:t>
      </w:r>
      <w:r>
        <w:rPr>
          <w:rFonts w:ascii="Times New Roman" w:hAnsi="Times New Roman"/>
          <w:sz w:val="20"/>
          <w:szCs w:val="20"/>
        </w:rPr>
        <w:t>under</w:t>
      </w:r>
      <w:r w:rsidRPr="0057454F">
        <w:rPr>
          <w:rFonts w:ascii="Times New Roman" w:hAnsi="Times New Roman"/>
          <w:sz w:val="20"/>
          <w:szCs w:val="20"/>
        </w:rPr>
        <w:t xml:space="preserve"> the new cost</w:t>
      </w:r>
      <w:r w:rsidR="0015194C">
        <w:rPr>
          <w:rFonts w:ascii="Times New Roman" w:hAnsi="Times New Roman"/>
          <w:sz w:val="20"/>
          <w:szCs w:val="20"/>
        </w:rPr>
        <w:t>-</w:t>
      </w:r>
      <w:r w:rsidRPr="0057454F">
        <w:rPr>
          <w:rFonts w:ascii="Times New Roman" w:hAnsi="Times New Roman"/>
          <w:sz w:val="20"/>
          <w:szCs w:val="20"/>
        </w:rPr>
        <w:t>recovery policy reached 91 per cent, exceeding the 2017 target of 90 per cent</w:t>
      </w:r>
      <w:r w:rsidRPr="00826122">
        <w:rPr>
          <w:rFonts w:ascii="Times New Roman" w:hAnsi="Times New Roman"/>
          <w:sz w:val="20"/>
          <w:szCs w:val="20"/>
        </w:rPr>
        <w:t xml:space="preserve">.  </w:t>
      </w:r>
      <w:r w:rsidR="0015194C">
        <w:rPr>
          <w:rFonts w:ascii="Times New Roman" w:hAnsi="Times New Roman"/>
          <w:sz w:val="20"/>
          <w:szCs w:val="20"/>
        </w:rPr>
        <w:t xml:space="preserve">Ninety-four </w:t>
      </w:r>
      <w:r w:rsidRPr="00826122">
        <w:rPr>
          <w:rFonts w:ascii="Times New Roman" w:hAnsi="Times New Roman"/>
          <w:sz w:val="20"/>
          <w:szCs w:val="20"/>
        </w:rPr>
        <w:t>per cent of the organi</w:t>
      </w:r>
      <w:r>
        <w:rPr>
          <w:rFonts w:ascii="Times New Roman" w:hAnsi="Times New Roman"/>
          <w:sz w:val="20"/>
          <w:szCs w:val="20"/>
        </w:rPr>
        <w:t>z</w:t>
      </w:r>
      <w:r w:rsidRPr="00826122">
        <w:rPr>
          <w:rFonts w:ascii="Times New Roman" w:hAnsi="Times New Roman"/>
          <w:sz w:val="20"/>
          <w:szCs w:val="20"/>
        </w:rPr>
        <w:t>ation met financial quality standards, surpassing the 80 per cent target set for 2017.</w:t>
      </w:r>
      <w:r>
        <w:rPr>
          <w:rFonts w:ascii="Times New Roman" w:hAnsi="Times New Roman"/>
          <w:sz w:val="20"/>
          <w:szCs w:val="20"/>
        </w:rPr>
        <w:t xml:space="preserve">  </w:t>
      </w:r>
      <w:r w:rsidR="00545CCC">
        <w:rPr>
          <w:rFonts w:ascii="Times New Roman" w:hAnsi="Times New Roman"/>
          <w:sz w:val="20"/>
          <w:szCs w:val="20"/>
        </w:rPr>
        <w:t xml:space="preserve">The clustering of financial transactions of country offices in the Asia and Pacific region was completed.  </w:t>
      </w:r>
      <w:r w:rsidRPr="00AE7DDF">
        <w:rPr>
          <w:rFonts w:ascii="Times New Roman" w:eastAsia="MS Mincho" w:hAnsi="Times New Roman"/>
          <w:sz w:val="20"/>
          <w:szCs w:val="20"/>
          <w:lang w:val="en-CA"/>
        </w:rPr>
        <w:t xml:space="preserve">The </w:t>
      </w:r>
      <w:r w:rsidR="00D6176C" w:rsidRPr="00AE7DDF">
        <w:rPr>
          <w:rFonts w:ascii="Times New Roman" w:hAnsi="Times New Roman"/>
          <w:sz w:val="20"/>
          <w:szCs w:val="20"/>
        </w:rPr>
        <w:t xml:space="preserve">2016 </w:t>
      </w:r>
      <w:r w:rsidR="0015194C">
        <w:rPr>
          <w:rFonts w:ascii="Times New Roman" w:hAnsi="Times New Roman"/>
          <w:sz w:val="20"/>
          <w:szCs w:val="20"/>
        </w:rPr>
        <w:t>f</w:t>
      </w:r>
      <w:r w:rsidR="0015194C" w:rsidRPr="00AE7DDF">
        <w:rPr>
          <w:rFonts w:ascii="Times New Roman" w:hAnsi="Times New Roman"/>
          <w:sz w:val="20"/>
          <w:szCs w:val="20"/>
        </w:rPr>
        <w:t xml:space="preserve">inancial </w:t>
      </w:r>
      <w:r w:rsidR="0015194C">
        <w:rPr>
          <w:rFonts w:ascii="Times New Roman" w:hAnsi="Times New Roman"/>
          <w:sz w:val="20"/>
          <w:szCs w:val="20"/>
        </w:rPr>
        <w:t>s</w:t>
      </w:r>
      <w:r w:rsidR="0015194C" w:rsidRPr="00AE7DDF">
        <w:rPr>
          <w:rFonts w:ascii="Times New Roman" w:hAnsi="Times New Roman"/>
          <w:sz w:val="20"/>
          <w:szCs w:val="20"/>
        </w:rPr>
        <w:t xml:space="preserve">tatements </w:t>
      </w:r>
      <w:r w:rsidR="00D6176C" w:rsidRPr="00AE7DDF">
        <w:rPr>
          <w:rFonts w:ascii="Times New Roman" w:hAnsi="Times New Roman"/>
          <w:sz w:val="20"/>
          <w:szCs w:val="20"/>
        </w:rPr>
        <w:t>were issued a clean audit opinion by the</w:t>
      </w:r>
      <w:r w:rsidR="00E157A9" w:rsidRPr="00AE7DDF">
        <w:rPr>
          <w:rFonts w:ascii="Times New Roman" w:hAnsi="Times New Roman"/>
          <w:sz w:val="20"/>
          <w:szCs w:val="20"/>
        </w:rPr>
        <w:t xml:space="preserve"> United Nations Board of Auditors</w:t>
      </w:r>
      <w:r w:rsidR="00D6176C" w:rsidRPr="00AE7DDF">
        <w:rPr>
          <w:rFonts w:ascii="Times New Roman" w:hAnsi="Times New Roman"/>
          <w:sz w:val="20"/>
          <w:szCs w:val="20"/>
        </w:rPr>
        <w:t xml:space="preserve"> for the</w:t>
      </w:r>
      <w:r w:rsidR="001F2BC1">
        <w:rPr>
          <w:rFonts w:ascii="Times New Roman" w:hAnsi="Times New Roman"/>
          <w:sz w:val="20"/>
          <w:szCs w:val="20"/>
        </w:rPr>
        <w:t xml:space="preserve"> </w:t>
      </w:r>
      <w:proofErr w:type="gramStart"/>
      <w:r w:rsidR="00FC113F">
        <w:rPr>
          <w:rFonts w:ascii="Times New Roman" w:hAnsi="Times New Roman"/>
          <w:sz w:val="20"/>
          <w:szCs w:val="20"/>
        </w:rPr>
        <w:t xml:space="preserve">twelfth </w:t>
      </w:r>
      <w:r w:rsidR="00313BEF">
        <w:rPr>
          <w:rFonts w:ascii="Times New Roman" w:hAnsi="Times New Roman"/>
          <w:sz w:val="20"/>
          <w:szCs w:val="20"/>
        </w:rPr>
        <w:t xml:space="preserve"> c</w:t>
      </w:r>
      <w:r w:rsidR="00D6176C" w:rsidRPr="00AE7DDF">
        <w:rPr>
          <w:rFonts w:ascii="Times New Roman" w:hAnsi="Times New Roman"/>
          <w:sz w:val="20"/>
          <w:szCs w:val="20"/>
        </w:rPr>
        <w:t>onsecutive</w:t>
      </w:r>
      <w:proofErr w:type="gramEnd"/>
      <w:r w:rsidR="00D6176C" w:rsidRPr="00AE7DDF">
        <w:rPr>
          <w:rFonts w:ascii="Times New Roman" w:hAnsi="Times New Roman"/>
          <w:sz w:val="20"/>
          <w:szCs w:val="20"/>
        </w:rPr>
        <w:t xml:space="preserve"> year.   </w:t>
      </w:r>
    </w:p>
    <w:p w:rsidR="00D6176C" w:rsidRPr="007204A8" w:rsidRDefault="00D6176C" w:rsidP="00355AD1">
      <w:pPr>
        <w:tabs>
          <w:tab w:val="left" w:pos="1080"/>
        </w:tabs>
        <w:spacing w:after="0" w:line="240" w:lineRule="auto"/>
        <w:jc w:val="both"/>
        <w:rPr>
          <w:rFonts w:ascii="Times New Roman" w:eastAsia="Times New Roman" w:hAnsi="Times New Roman"/>
          <w:sz w:val="12"/>
          <w:szCs w:val="12"/>
          <w:lang w:eastAsia="ja-JP"/>
        </w:rPr>
      </w:pPr>
    </w:p>
    <w:p w:rsidR="00D6176C" w:rsidRPr="00AE7DDF" w:rsidRDefault="00D6176C" w:rsidP="007204A8">
      <w:pPr>
        <w:shd w:val="clear" w:color="auto" w:fill="FFFFFF"/>
        <w:tabs>
          <w:tab w:val="left" w:pos="1080"/>
        </w:tabs>
        <w:spacing w:after="0" w:line="240" w:lineRule="auto"/>
        <w:ind w:firstLine="720"/>
        <w:jc w:val="both"/>
        <w:rPr>
          <w:rFonts w:ascii="Times New Roman" w:hAnsi="Times New Roman"/>
          <w:b/>
          <w:bCs/>
          <w:iCs/>
          <w:sz w:val="20"/>
          <w:szCs w:val="20"/>
        </w:rPr>
      </w:pPr>
      <w:r w:rsidRPr="00AE7DDF">
        <w:rPr>
          <w:rFonts w:ascii="Times New Roman" w:hAnsi="Times New Roman"/>
          <w:b/>
          <w:bCs/>
          <w:iCs/>
          <w:sz w:val="20"/>
          <w:szCs w:val="20"/>
        </w:rPr>
        <w:t>Diversifying the UNDP funding base</w:t>
      </w:r>
      <w:r w:rsidR="003C39AF">
        <w:rPr>
          <w:rFonts w:ascii="Times New Roman" w:hAnsi="Times New Roman"/>
          <w:b/>
          <w:bCs/>
          <w:iCs/>
          <w:sz w:val="20"/>
          <w:szCs w:val="20"/>
        </w:rPr>
        <w:t xml:space="preserve"> and partnerships</w:t>
      </w:r>
    </w:p>
    <w:p w:rsidR="00D6176C" w:rsidRPr="007204A8" w:rsidRDefault="00D6176C" w:rsidP="007204A8">
      <w:pPr>
        <w:tabs>
          <w:tab w:val="left" w:pos="1080"/>
        </w:tabs>
        <w:spacing w:after="0" w:line="240" w:lineRule="auto"/>
        <w:ind w:firstLine="720"/>
        <w:jc w:val="both"/>
        <w:rPr>
          <w:rFonts w:ascii="&amp;quot" w:eastAsia="Times New Roman" w:hAnsi="&amp;quot" w:cs="Calibri"/>
          <w:sz w:val="12"/>
          <w:szCs w:val="12"/>
          <w:lang w:val="en-US"/>
        </w:rPr>
      </w:pPr>
    </w:p>
    <w:p w:rsidR="003C39AF" w:rsidRPr="00AC423A" w:rsidRDefault="00D6176C" w:rsidP="00425265">
      <w:pPr>
        <w:pStyle w:val="ListParagraph"/>
        <w:numPr>
          <w:ilvl w:val="0"/>
          <w:numId w:val="20"/>
        </w:numPr>
        <w:tabs>
          <w:tab w:val="left" w:pos="1080"/>
        </w:tabs>
        <w:spacing w:after="120" w:line="0" w:lineRule="atLeast"/>
        <w:ind w:firstLine="0"/>
        <w:jc w:val="both"/>
        <w:rPr>
          <w:rFonts w:ascii="Times New Roman" w:hAnsi="Times New Roman"/>
          <w:sz w:val="20"/>
          <w:szCs w:val="20"/>
          <w:lang w:val="en-US"/>
        </w:rPr>
      </w:pPr>
      <w:r w:rsidRPr="00826122">
        <w:rPr>
          <w:rFonts w:ascii="Times New Roman" w:hAnsi="Times New Roman"/>
          <w:sz w:val="20"/>
          <w:szCs w:val="20"/>
          <w:lang w:val="en-US"/>
        </w:rPr>
        <w:t>In 2017, UNDP received $73 million</w:t>
      </w:r>
      <w:r w:rsidRPr="009607BB">
        <w:rPr>
          <w:rFonts w:ascii="Times New Roman" w:hAnsi="Times New Roman"/>
          <w:sz w:val="20"/>
          <w:szCs w:val="20"/>
          <w:lang w:val="en-US"/>
        </w:rPr>
        <w:t xml:space="preserve"> </w:t>
      </w:r>
      <w:r w:rsidRPr="00826122">
        <w:rPr>
          <w:rFonts w:ascii="Times New Roman" w:hAnsi="Times New Roman"/>
          <w:sz w:val="20"/>
          <w:szCs w:val="20"/>
          <w:lang w:val="en-US"/>
        </w:rPr>
        <w:t xml:space="preserve">from </w:t>
      </w:r>
      <w:r w:rsidR="00AF2579">
        <w:rPr>
          <w:rFonts w:ascii="Times New Roman" w:hAnsi="Times New Roman"/>
          <w:sz w:val="20"/>
          <w:szCs w:val="20"/>
          <w:lang w:val="en-US"/>
        </w:rPr>
        <w:t xml:space="preserve">the private sector, foundations and </w:t>
      </w:r>
      <w:r w:rsidR="0015194C">
        <w:rPr>
          <w:rFonts w:ascii="Times New Roman" w:hAnsi="Times New Roman"/>
          <w:sz w:val="20"/>
          <w:szCs w:val="20"/>
          <w:lang w:val="en-US"/>
        </w:rPr>
        <w:t>non-governmental organizations</w:t>
      </w:r>
      <w:r w:rsidRPr="00826122">
        <w:rPr>
          <w:rFonts w:ascii="Times New Roman" w:hAnsi="Times New Roman"/>
          <w:sz w:val="20"/>
          <w:szCs w:val="20"/>
          <w:lang w:val="en-US"/>
        </w:rPr>
        <w:t xml:space="preserve">, a 48 per cent increase from 2016. Beyond financial contributions, UNDP </w:t>
      </w:r>
      <w:r>
        <w:rPr>
          <w:rFonts w:ascii="Times New Roman" w:hAnsi="Times New Roman"/>
          <w:sz w:val="20"/>
          <w:szCs w:val="20"/>
          <w:lang w:val="en-US"/>
        </w:rPr>
        <w:t>collaborated</w:t>
      </w:r>
      <w:r w:rsidRPr="00826122">
        <w:rPr>
          <w:rFonts w:ascii="Times New Roman" w:hAnsi="Times New Roman"/>
          <w:sz w:val="20"/>
          <w:szCs w:val="20"/>
          <w:lang w:val="en-US"/>
        </w:rPr>
        <w:t xml:space="preserve"> with companies to </w:t>
      </w:r>
      <w:r w:rsidR="00AF2579">
        <w:rPr>
          <w:rFonts w:ascii="Times New Roman" w:hAnsi="Times New Roman"/>
          <w:sz w:val="20"/>
          <w:szCs w:val="20"/>
          <w:lang w:val="en-US"/>
        </w:rPr>
        <w:t>co-create</w:t>
      </w:r>
      <w:r w:rsidRPr="00826122">
        <w:rPr>
          <w:rFonts w:ascii="Times New Roman" w:hAnsi="Times New Roman"/>
          <w:sz w:val="20"/>
          <w:szCs w:val="20"/>
          <w:lang w:val="en-US"/>
        </w:rPr>
        <w:t xml:space="preserve"> solutions and respond to emergencies. </w:t>
      </w:r>
      <w:r>
        <w:rPr>
          <w:rFonts w:ascii="Times New Roman" w:hAnsi="Times New Roman"/>
          <w:sz w:val="20"/>
          <w:szCs w:val="20"/>
          <w:lang w:val="en-US"/>
        </w:rPr>
        <w:t>Examples of p</w:t>
      </w:r>
      <w:r w:rsidRPr="00826122">
        <w:rPr>
          <w:rFonts w:ascii="Times New Roman" w:hAnsi="Times New Roman"/>
          <w:sz w:val="20"/>
          <w:szCs w:val="20"/>
          <w:lang w:val="en-US"/>
        </w:rPr>
        <w:t xml:space="preserve">artnerships </w:t>
      </w:r>
      <w:r w:rsidRPr="00A92A30">
        <w:rPr>
          <w:rFonts w:ascii="Times New Roman" w:hAnsi="Times New Roman"/>
          <w:sz w:val="20"/>
          <w:szCs w:val="20"/>
          <w:lang w:val="en-US"/>
        </w:rPr>
        <w:t xml:space="preserve">include </w:t>
      </w:r>
      <w:r w:rsidR="00116B64">
        <w:rPr>
          <w:rFonts w:ascii="Times New Roman" w:hAnsi="Times New Roman"/>
          <w:sz w:val="20"/>
          <w:szCs w:val="20"/>
          <w:lang w:val="en-US"/>
        </w:rPr>
        <w:t xml:space="preserve">work with </w:t>
      </w:r>
      <w:r w:rsidRPr="00A92A30">
        <w:rPr>
          <w:rFonts w:ascii="Times New Roman" w:hAnsi="Times New Roman"/>
          <w:sz w:val="20"/>
          <w:szCs w:val="20"/>
          <w:lang w:val="en-US"/>
        </w:rPr>
        <w:t>Microsoft in Dominica after H</w:t>
      </w:r>
      <w:r w:rsidRPr="00097B20">
        <w:rPr>
          <w:rFonts w:ascii="Times New Roman" w:hAnsi="Times New Roman"/>
          <w:sz w:val="20"/>
          <w:szCs w:val="20"/>
          <w:lang w:val="en-US"/>
        </w:rPr>
        <w:t xml:space="preserve">urricane Maria and the IKEA Foundation for women’s economic empowerment in India. UNDP received $281 million from </w:t>
      </w:r>
      <w:r w:rsidR="00116B64">
        <w:rPr>
          <w:rFonts w:ascii="Times New Roman" w:hAnsi="Times New Roman"/>
          <w:sz w:val="20"/>
          <w:szCs w:val="20"/>
          <w:lang w:val="en-US"/>
        </w:rPr>
        <w:t>international financial institutions</w:t>
      </w:r>
      <w:r w:rsidRPr="00097B20">
        <w:rPr>
          <w:rFonts w:ascii="Times New Roman" w:hAnsi="Times New Roman"/>
          <w:sz w:val="20"/>
          <w:szCs w:val="20"/>
          <w:lang w:val="en-US"/>
        </w:rPr>
        <w:t>, a 67 per</w:t>
      </w:r>
      <w:r w:rsidR="00116B64">
        <w:rPr>
          <w:rFonts w:ascii="Times New Roman" w:hAnsi="Times New Roman"/>
          <w:sz w:val="20"/>
          <w:szCs w:val="20"/>
          <w:lang w:val="en-US"/>
        </w:rPr>
        <w:t xml:space="preserve"> </w:t>
      </w:r>
      <w:r w:rsidRPr="00097B20">
        <w:rPr>
          <w:rFonts w:ascii="Times New Roman" w:hAnsi="Times New Roman"/>
          <w:sz w:val="20"/>
          <w:szCs w:val="20"/>
          <w:lang w:val="en-US"/>
        </w:rPr>
        <w:t>cent incre</w:t>
      </w:r>
      <w:r w:rsidRPr="00AC423A">
        <w:rPr>
          <w:rFonts w:ascii="Times New Roman" w:hAnsi="Times New Roman"/>
          <w:sz w:val="20"/>
          <w:szCs w:val="20"/>
          <w:lang w:val="en-US"/>
        </w:rPr>
        <w:t xml:space="preserve">ase from 2016.   </w:t>
      </w:r>
    </w:p>
    <w:p w:rsidR="003C39AF" w:rsidRPr="007204A8" w:rsidRDefault="003C39AF" w:rsidP="007204A8">
      <w:pPr>
        <w:pStyle w:val="ListParagraph"/>
        <w:tabs>
          <w:tab w:val="left" w:pos="1080"/>
        </w:tabs>
        <w:spacing w:after="0" w:line="0" w:lineRule="atLeast"/>
        <w:ind w:firstLine="720"/>
        <w:rPr>
          <w:rFonts w:ascii="Times New Roman" w:hAnsi="Times New Roman"/>
          <w:sz w:val="12"/>
          <w:szCs w:val="12"/>
          <w:lang w:val="en-US"/>
        </w:rPr>
      </w:pPr>
    </w:p>
    <w:p w:rsidR="00D6176C" w:rsidRPr="007204A8" w:rsidRDefault="007204A8" w:rsidP="007204A8">
      <w:pPr>
        <w:pStyle w:val="xmsonormal"/>
        <w:tabs>
          <w:tab w:val="left" w:pos="1080"/>
        </w:tabs>
        <w:spacing w:after="120"/>
        <w:ind w:firstLine="720"/>
        <w:jc w:val="both"/>
        <w:rPr>
          <w:color w:val="000000"/>
          <w:sz w:val="12"/>
          <w:szCs w:val="12"/>
        </w:rPr>
      </w:pPr>
      <w:r>
        <w:rPr>
          <w:rFonts w:ascii="Times New Roman" w:hAnsi="Times New Roman" w:cs="Times New Roman"/>
          <w:b/>
          <w:bCs/>
          <w:color w:val="000000"/>
          <w:sz w:val="20"/>
          <w:szCs w:val="20"/>
        </w:rPr>
        <w:t>U</w:t>
      </w:r>
      <w:r w:rsidR="00D6176C" w:rsidRPr="00B756CF">
        <w:rPr>
          <w:rFonts w:ascii="Times New Roman" w:hAnsi="Times New Roman" w:cs="Times New Roman"/>
          <w:b/>
          <w:bCs/>
          <w:color w:val="000000"/>
          <w:sz w:val="20"/>
          <w:szCs w:val="20"/>
        </w:rPr>
        <w:t xml:space="preserve">nited </w:t>
      </w:r>
      <w:r w:rsidR="00D6176C" w:rsidRPr="00826122">
        <w:rPr>
          <w:rFonts w:ascii="Times New Roman" w:hAnsi="Times New Roman" w:cs="Times New Roman"/>
          <w:b/>
          <w:bCs/>
          <w:color w:val="000000"/>
          <w:sz w:val="20"/>
          <w:szCs w:val="20"/>
        </w:rPr>
        <w:t>N</w:t>
      </w:r>
      <w:r w:rsidR="00D6176C" w:rsidRPr="00B756CF">
        <w:rPr>
          <w:rFonts w:ascii="Times New Roman" w:hAnsi="Times New Roman" w:cs="Times New Roman"/>
          <w:b/>
          <w:bCs/>
          <w:color w:val="000000"/>
          <w:sz w:val="20"/>
          <w:szCs w:val="20"/>
        </w:rPr>
        <w:t>ations</w:t>
      </w:r>
      <w:r w:rsidR="00D6176C" w:rsidRPr="00826122">
        <w:rPr>
          <w:rFonts w:ascii="Times New Roman" w:hAnsi="Times New Roman" w:cs="Times New Roman"/>
          <w:b/>
          <w:bCs/>
          <w:color w:val="000000"/>
          <w:sz w:val="20"/>
          <w:szCs w:val="20"/>
        </w:rPr>
        <w:t xml:space="preserve"> </w:t>
      </w:r>
      <w:r w:rsidR="00607A79">
        <w:rPr>
          <w:rFonts w:ascii="Times New Roman" w:hAnsi="Times New Roman" w:cs="Times New Roman"/>
          <w:b/>
          <w:bCs/>
          <w:color w:val="000000"/>
          <w:sz w:val="20"/>
          <w:szCs w:val="20"/>
        </w:rPr>
        <w:t>c</w:t>
      </w:r>
      <w:r w:rsidR="00607A79" w:rsidRPr="00826122">
        <w:rPr>
          <w:rFonts w:ascii="Times New Roman" w:hAnsi="Times New Roman" w:cs="Times New Roman"/>
          <w:b/>
          <w:bCs/>
          <w:color w:val="000000"/>
          <w:sz w:val="20"/>
          <w:szCs w:val="20"/>
        </w:rPr>
        <w:t>oordination</w:t>
      </w:r>
      <w:r w:rsidR="00D6176C">
        <w:rPr>
          <w:rFonts w:ascii="Times New Roman" w:hAnsi="Times New Roman" w:cs="Times New Roman"/>
          <w:color w:val="000000"/>
          <w:sz w:val="20"/>
          <w:szCs w:val="20"/>
        </w:rPr>
        <w:t> </w:t>
      </w:r>
    </w:p>
    <w:p w:rsidR="00D6176C" w:rsidRDefault="00D6176C" w:rsidP="00425265">
      <w:pPr>
        <w:pStyle w:val="xmsonormal"/>
        <w:numPr>
          <w:ilvl w:val="0"/>
          <w:numId w:val="20"/>
        </w:numPr>
        <w:tabs>
          <w:tab w:val="left" w:pos="1080"/>
        </w:tabs>
        <w:ind w:firstLine="0"/>
        <w:jc w:val="both"/>
        <w:rPr>
          <w:rFonts w:ascii="Times New Roman" w:hAnsi="Times New Roman" w:cs="Times New Roman"/>
          <w:sz w:val="20"/>
          <w:szCs w:val="20"/>
        </w:rPr>
      </w:pPr>
      <w:r w:rsidRPr="00C12F87">
        <w:rPr>
          <w:rFonts w:ascii="Times New Roman" w:hAnsi="Times New Roman" w:cs="Times New Roman"/>
          <w:sz w:val="20"/>
          <w:szCs w:val="20"/>
        </w:rPr>
        <w:t xml:space="preserve">UNDP </w:t>
      </w:r>
      <w:r w:rsidR="00AE7DDF">
        <w:rPr>
          <w:rFonts w:ascii="Times New Roman" w:hAnsi="Times New Roman" w:cs="Times New Roman"/>
          <w:sz w:val="20"/>
          <w:szCs w:val="20"/>
        </w:rPr>
        <w:t xml:space="preserve">continued to offer strong operational backbone support to the UNDS, providing </w:t>
      </w:r>
      <w:r w:rsidRPr="00C12F87">
        <w:rPr>
          <w:rFonts w:ascii="Times New Roman" w:hAnsi="Times New Roman" w:cs="Times New Roman"/>
          <w:sz w:val="20"/>
          <w:szCs w:val="20"/>
        </w:rPr>
        <w:t xml:space="preserve">services to </w:t>
      </w:r>
      <w:r w:rsidR="005026D2" w:rsidRPr="00C12F87">
        <w:rPr>
          <w:rFonts w:ascii="Times New Roman" w:hAnsi="Times New Roman" w:cs="Times New Roman"/>
          <w:sz w:val="20"/>
          <w:szCs w:val="20"/>
        </w:rPr>
        <w:t>48</w:t>
      </w:r>
      <w:r w:rsidRPr="00C12F87">
        <w:rPr>
          <w:rFonts w:ascii="Times New Roman" w:hAnsi="Times New Roman" w:cs="Times New Roman"/>
          <w:sz w:val="20"/>
          <w:szCs w:val="20"/>
        </w:rPr>
        <w:t xml:space="preserve"> agencies, funds and programmes, as well as </w:t>
      </w:r>
      <w:r w:rsidR="005026D2" w:rsidRPr="00C12F87">
        <w:rPr>
          <w:rFonts w:ascii="Times New Roman" w:hAnsi="Times New Roman" w:cs="Times New Roman"/>
          <w:sz w:val="20"/>
          <w:szCs w:val="20"/>
        </w:rPr>
        <w:t>35</w:t>
      </w:r>
      <w:r w:rsidRPr="00C12F87">
        <w:rPr>
          <w:rFonts w:ascii="Times New Roman" w:hAnsi="Times New Roman" w:cs="Times New Roman"/>
          <w:sz w:val="20"/>
          <w:szCs w:val="20"/>
        </w:rPr>
        <w:t xml:space="preserve"> United Nations Secretariat entities</w:t>
      </w:r>
      <w:r w:rsidR="00C12F87" w:rsidRPr="00C12F87">
        <w:rPr>
          <w:rFonts w:ascii="Times New Roman" w:hAnsi="Times New Roman" w:cs="Times New Roman"/>
          <w:sz w:val="20"/>
          <w:szCs w:val="20"/>
        </w:rPr>
        <w:t xml:space="preserve"> and peacekeeping missions</w:t>
      </w:r>
      <w:r w:rsidRPr="00C12F87">
        <w:rPr>
          <w:rFonts w:ascii="Times New Roman" w:hAnsi="Times New Roman" w:cs="Times New Roman"/>
          <w:sz w:val="20"/>
          <w:szCs w:val="20"/>
        </w:rPr>
        <w:t>, on a cost</w:t>
      </w:r>
      <w:r w:rsidR="00116B64">
        <w:rPr>
          <w:rFonts w:ascii="Times New Roman" w:hAnsi="Times New Roman" w:cs="Times New Roman"/>
          <w:sz w:val="20"/>
          <w:szCs w:val="20"/>
        </w:rPr>
        <w:t>-</w:t>
      </w:r>
      <w:r w:rsidRPr="00C12F87">
        <w:rPr>
          <w:rFonts w:ascii="Times New Roman" w:hAnsi="Times New Roman" w:cs="Times New Roman"/>
          <w:sz w:val="20"/>
          <w:szCs w:val="20"/>
        </w:rPr>
        <w:t xml:space="preserve">recovery basis.  UNDP managed a service clearance account for inter-organizational payments with a turnover of </w:t>
      </w:r>
      <w:r w:rsidR="000A2CFA">
        <w:rPr>
          <w:rFonts w:ascii="Times New Roman" w:hAnsi="Times New Roman" w:cs="Times New Roman"/>
          <w:sz w:val="20"/>
          <w:szCs w:val="20"/>
        </w:rPr>
        <w:t>$</w:t>
      </w:r>
      <w:r w:rsidR="00A16252">
        <w:rPr>
          <w:rFonts w:ascii="Times New Roman" w:hAnsi="Times New Roman" w:cs="Times New Roman"/>
          <w:sz w:val="20"/>
          <w:szCs w:val="20"/>
        </w:rPr>
        <w:t>702.601 million</w:t>
      </w:r>
      <w:r w:rsidRPr="00C12F87">
        <w:rPr>
          <w:rFonts w:ascii="Times New Roman" w:hAnsi="Times New Roman" w:cs="Times New Roman"/>
          <w:sz w:val="20"/>
          <w:szCs w:val="20"/>
        </w:rPr>
        <w:t xml:space="preserve"> a year along with investment funds of </w:t>
      </w:r>
      <w:r w:rsidR="000A2CFA">
        <w:rPr>
          <w:rFonts w:ascii="Times New Roman" w:hAnsi="Times New Roman" w:cs="Times New Roman"/>
          <w:sz w:val="20"/>
          <w:szCs w:val="20"/>
        </w:rPr>
        <w:t>$</w:t>
      </w:r>
      <w:r w:rsidR="00C12F87" w:rsidRPr="00C12F87">
        <w:rPr>
          <w:rFonts w:ascii="Times New Roman" w:hAnsi="Times New Roman" w:cs="Times New Roman"/>
          <w:bCs/>
          <w:sz w:val="20"/>
          <w:szCs w:val="20"/>
        </w:rPr>
        <w:t>8.16 billion</w:t>
      </w:r>
      <w:r w:rsidR="00C12F87">
        <w:rPr>
          <w:rFonts w:ascii="Times New Roman" w:hAnsi="Times New Roman" w:cs="Times New Roman"/>
          <w:sz w:val="20"/>
          <w:szCs w:val="20"/>
        </w:rPr>
        <w:t xml:space="preserve">, of which </w:t>
      </w:r>
      <w:r w:rsidR="000A2CFA">
        <w:rPr>
          <w:rFonts w:ascii="Times New Roman" w:hAnsi="Times New Roman" w:cs="Times New Roman"/>
          <w:sz w:val="20"/>
          <w:szCs w:val="20"/>
        </w:rPr>
        <w:t>$</w:t>
      </w:r>
      <w:r w:rsidR="00C12F87" w:rsidRPr="00C12F87">
        <w:rPr>
          <w:rFonts w:ascii="Times New Roman" w:hAnsi="Times New Roman" w:cs="Times New Roman"/>
          <w:sz w:val="20"/>
          <w:szCs w:val="20"/>
        </w:rPr>
        <w:t>1.98</w:t>
      </w:r>
      <w:r w:rsidRPr="00C12F87">
        <w:rPr>
          <w:rFonts w:ascii="Times New Roman" w:hAnsi="Times New Roman" w:cs="Times New Roman"/>
          <w:sz w:val="20"/>
          <w:szCs w:val="20"/>
        </w:rPr>
        <w:t xml:space="preserve"> billion came from other United Nations organizations. </w:t>
      </w:r>
    </w:p>
    <w:p w:rsidR="00AE7DDF" w:rsidRPr="007204A8" w:rsidRDefault="00AE7DDF" w:rsidP="00355AD1">
      <w:pPr>
        <w:pStyle w:val="xmsonormal"/>
        <w:tabs>
          <w:tab w:val="left" w:pos="1080"/>
        </w:tabs>
        <w:jc w:val="both"/>
        <w:rPr>
          <w:rFonts w:ascii="Times New Roman" w:hAnsi="Times New Roman" w:cs="Times New Roman"/>
          <w:sz w:val="12"/>
          <w:szCs w:val="12"/>
        </w:rPr>
      </w:pPr>
    </w:p>
    <w:p w:rsidR="00AE7DDF" w:rsidRPr="00AE7DDF" w:rsidRDefault="00AE7DDF" w:rsidP="00425265">
      <w:pPr>
        <w:pStyle w:val="xmsonormal"/>
        <w:numPr>
          <w:ilvl w:val="0"/>
          <w:numId w:val="20"/>
        </w:numPr>
        <w:tabs>
          <w:tab w:val="left" w:pos="1080"/>
        </w:tabs>
        <w:ind w:firstLine="0"/>
        <w:jc w:val="both"/>
        <w:rPr>
          <w:sz w:val="24"/>
          <w:szCs w:val="24"/>
        </w:rPr>
      </w:pPr>
      <w:r w:rsidRPr="000E52DE">
        <w:rPr>
          <w:rFonts w:ascii="Times New Roman" w:hAnsi="Times New Roman" w:cs="Times New Roman"/>
          <w:sz w:val="20"/>
          <w:szCs w:val="20"/>
        </w:rPr>
        <w:t>UNDP</w:t>
      </w:r>
      <w:r>
        <w:rPr>
          <w:rFonts w:ascii="Times New Roman" w:hAnsi="Times New Roman" w:cs="Times New Roman"/>
          <w:sz w:val="20"/>
          <w:szCs w:val="20"/>
        </w:rPr>
        <w:t xml:space="preserve"> implemented standard operating procedures for the </w:t>
      </w:r>
      <w:r w:rsidR="00116B64">
        <w:rPr>
          <w:rFonts w:ascii="Times New Roman" w:hAnsi="Times New Roman" w:cs="Times New Roman"/>
          <w:sz w:val="20"/>
          <w:szCs w:val="20"/>
        </w:rPr>
        <w:t>“</w:t>
      </w:r>
      <w:r>
        <w:rPr>
          <w:rFonts w:ascii="Times New Roman" w:hAnsi="Times New Roman" w:cs="Times New Roman"/>
          <w:sz w:val="20"/>
          <w:szCs w:val="20"/>
        </w:rPr>
        <w:t>Delivering as One</w:t>
      </w:r>
      <w:r w:rsidR="00116B64">
        <w:rPr>
          <w:rFonts w:ascii="Times New Roman" w:hAnsi="Times New Roman" w:cs="Times New Roman"/>
          <w:sz w:val="20"/>
          <w:szCs w:val="20"/>
        </w:rPr>
        <w:t>”</w:t>
      </w:r>
      <w:r>
        <w:rPr>
          <w:rFonts w:ascii="Times New Roman" w:hAnsi="Times New Roman" w:cs="Times New Roman"/>
          <w:sz w:val="20"/>
          <w:szCs w:val="20"/>
        </w:rPr>
        <w:t xml:space="preserve"> approach in 95 country offices (71 per cent), well above the target</w:t>
      </w:r>
      <w:r w:rsidR="00EC06DC">
        <w:rPr>
          <w:rFonts w:ascii="Times New Roman" w:hAnsi="Times New Roman" w:cs="Times New Roman"/>
          <w:sz w:val="20"/>
          <w:szCs w:val="20"/>
        </w:rPr>
        <w:t xml:space="preserve"> of 85 country offices (63 per cent)</w:t>
      </w:r>
      <w:r>
        <w:rPr>
          <w:rFonts w:ascii="Times New Roman" w:hAnsi="Times New Roman" w:cs="Times New Roman"/>
          <w:sz w:val="20"/>
          <w:szCs w:val="20"/>
        </w:rPr>
        <w:t>. UNDP, t</w:t>
      </w:r>
      <w:r w:rsidRPr="000E52DE">
        <w:rPr>
          <w:rFonts w:ascii="Times New Roman" w:hAnsi="Times New Roman" w:cs="Times New Roman"/>
          <w:sz w:val="20"/>
          <w:szCs w:val="20"/>
        </w:rPr>
        <w:t xml:space="preserve">ogether with </w:t>
      </w:r>
      <w:r>
        <w:rPr>
          <w:rFonts w:ascii="Times New Roman" w:hAnsi="Times New Roman" w:cs="Times New Roman"/>
          <w:sz w:val="20"/>
          <w:szCs w:val="20"/>
        </w:rPr>
        <w:t>other United Nations organizations</w:t>
      </w:r>
      <w:r w:rsidRPr="000E52DE">
        <w:rPr>
          <w:rFonts w:ascii="Times New Roman" w:hAnsi="Times New Roman" w:cs="Times New Roman"/>
          <w:sz w:val="20"/>
          <w:szCs w:val="20"/>
        </w:rPr>
        <w:t xml:space="preserve">, </w:t>
      </w:r>
      <w:r>
        <w:rPr>
          <w:rFonts w:ascii="Times New Roman" w:hAnsi="Times New Roman" w:cs="Times New Roman"/>
          <w:sz w:val="20"/>
          <w:szCs w:val="20"/>
        </w:rPr>
        <w:t xml:space="preserve">supported </w:t>
      </w:r>
      <w:r w:rsidRPr="000E52DE">
        <w:rPr>
          <w:rFonts w:ascii="Times New Roman" w:hAnsi="Times New Roman" w:cs="Times New Roman"/>
          <w:sz w:val="20"/>
          <w:szCs w:val="20"/>
        </w:rPr>
        <w:t>the business operations strategy in pilot and self-starter countries</w:t>
      </w:r>
      <w:r>
        <w:rPr>
          <w:rFonts w:ascii="Times New Roman" w:hAnsi="Times New Roman" w:cs="Times New Roman"/>
          <w:sz w:val="20"/>
          <w:szCs w:val="20"/>
        </w:rPr>
        <w:t xml:space="preserve"> and used common services and other operations to strengthen system</w:t>
      </w:r>
      <w:r w:rsidR="00116B64">
        <w:rPr>
          <w:rFonts w:ascii="Times New Roman" w:hAnsi="Times New Roman" w:cs="Times New Roman"/>
          <w:sz w:val="20"/>
          <w:szCs w:val="20"/>
        </w:rPr>
        <w:t>-</w:t>
      </w:r>
      <w:r>
        <w:rPr>
          <w:rFonts w:ascii="Times New Roman" w:hAnsi="Times New Roman" w:cs="Times New Roman"/>
          <w:sz w:val="20"/>
          <w:szCs w:val="20"/>
        </w:rPr>
        <w:t xml:space="preserve">wide coherence and increase efficiency. </w:t>
      </w:r>
      <w:r w:rsidRPr="000E52DE">
        <w:rPr>
          <w:rFonts w:ascii="Times New Roman" w:hAnsi="Times New Roman" w:cs="Times New Roman"/>
          <w:sz w:val="20"/>
          <w:szCs w:val="20"/>
        </w:rPr>
        <w:t xml:space="preserve">UNDP </w:t>
      </w:r>
      <w:r>
        <w:rPr>
          <w:rFonts w:ascii="Times New Roman" w:hAnsi="Times New Roman" w:cs="Times New Roman"/>
          <w:sz w:val="20"/>
          <w:szCs w:val="20"/>
        </w:rPr>
        <w:t xml:space="preserve">also helped </w:t>
      </w:r>
      <w:r w:rsidRPr="000E52DE">
        <w:rPr>
          <w:rFonts w:ascii="Times New Roman" w:hAnsi="Times New Roman" w:cs="Times New Roman"/>
          <w:sz w:val="20"/>
          <w:szCs w:val="20"/>
        </w:rPr>
        <w:t xml:space="preserve">develop a new </w:t>
      </w:r>
      <w:r w:rsidR="00116B64">
        <w:rPr>
          <w:rFonts w:ascii="Times New Roman" w:hAnsi="Times New Roman" w:cs="Times New Roman"/>
          <w:sz w:val="20"/>
          <w:szCs w:val="20"/>
        </w:rPr>
        <w:t xml:space="preserve">United Nations Development Assistance Framework </w:t>
      </w:r>
      <w:r w:rsidRPr="000E52DE">
        <w:rPr>
          <w:rFonts w:ascii="Times New Roman" w:hAnsi="Times New Roman" w:cs="Times New Roman"/>
          <w:sz w:val="20"/>
          <w:szCs w:val="20"/>
        </w:rPr>
        <w:t>guidance note</w:t>
      </w:r>
      <w:r>
        <w:rPr>
          <w:rFonts w:ascii="Times New Roman" w:hAnsi="Times New Roman" w:cs="Times New Roman"/>
          <w:sz w:val="20"/>
          <w:szCs w:val="20"/>
        </w:rPr>
        <w:t xml:space="preserve"> that</w:t>
      </w:r>
      <w:r w:rsidRPr="000E52DE">
        <w:rPr>
          <w:rFonts w:ascii="Times New Roman" w:hAnsi="Times New Roman" w:cs="Times New Roman"/>
          <w:sz w:val="20"/>
          <w:szCs w:val="20"/>
        </w:rPr>
        <w:t xml:space="preserve"> responds more effectively to the rapidly evolving development landscape. </w:t>
      </w:r>
    </w:p>
    <w:p w:rsidR="0046078A" w:rsidRPr="007204A8" w:rsidRDefault="0046078A" w:rsidP="00355AD1">
      <w:pPr>
        <w:pStyle w:val="xmsonormal"/>
        <w:tabs>
          <w:tab w:val="left" w:pos="1080"/>
        </w:tabs>
        <w:jc w:val="both"/>
        <w:rPr>
          <w:rFonts w:ascii="Times New Roman" w:hAnsi="Times New Roman" w:cs="Times New Roman"/>
          <w:sz w:val="12"/>
          <w:szCs w:val="12"/>
        </w:rPr>
      </w:pPr>
    </w:p>
    <w:p w:rsidR="00D6176C" w:rsidRPr="003F5460" w:rsidRDefault="00D6176C" w:rsidP="007204A8">
      <w:pPr>
        <w:pStyle w:val="Heading1"/>
        <w:numPr>
          <w:ilvl w:val="0"/>
          <w:numId w:val="0"/>
        </w:numPr>
        <w:tabs>
          <w:tab w:val="left" w:pos="1080"/>
        </w:tabs>
        <w:spacing w:before="0" w:line="240" w:lineRule="auto"/>
        <w:ind w:firstLine="720"/>
        <w:jc w:val="both"/>
        <w:rPr>
          <w:rFonts w:ascii="Times New Roman" w:hAnsi="Times New Roman"/>
          <w:color w:val="auto"/>
          <w:sz w:val="24"/>
          <w:szCs w:val="24"/>
        </w:rPr>
      </w:pPr>
      <w:r w:rsidRPr="003F5460">
        <w:rPr>
          <w:rFonts w:ascii="Times New Roman" w:hAnsi="Times New Roman"/>
          <w:color w:val="auto"/>
          <w:sz w:val="24"/>
          <w:szCs w:val="24"/>
        </w:rPr>
        <w:t xml:space="preserve">C.  Financial performance </w:t>
      </w:r>
    </w:p>
    <w:p w:rsidR="00D6176C" w:rsidRPr="007204A8" w:rsidRDefault="00D6176C" w:rsidP="007204A8">
      <w:pPr>
        <w:tabs>
          <w:tab w:val="left" w:pos="1080"/>
        </w:tabs>
        <w:spacing w:after="0" w:line="240" w:lineRule="auto"/>
        <w:ind w:firstLine="720"/>
        <w:jc w:val="both"/>
        <w:rPr>
          <w:rFonts w:ascii="Times New Roman" w:hAnsi="Times New Roman"/>
          <w:sz w:val="12"/>
          <w:szCs w:val="12"/>
        </w:rPr>
      </w:pPr>
    </w:p>
    <w:p w:rsidR="00D6176C" w:rsidRPr="00B63787" w:rsidRDefault="00D6176C" w:rsidP="007204A8">
      <w:pPr>
        <w:tabs>
          <w:tab w:val="left" w:pos="1080"/>
        </w:tabs>
        <w:spacing w:after="0" w:line="240" w:lineRule="auto"/>
        <w:ind w:firstLine="720"/>
        <w:jc w:val="both"/>
        <w:rPr>
          <w:rFonts w:ascii="Times New Roman" w:hAnsi="Times New Roman"/>
          <w:b/>
          <w:iCs/>
          <w:sz w:val="20"/>
          <w:szCs w:val="20"/>
        </w:rPr>
      </w:pPr>
      <w:r w:rsidRPr="00B756CF">
        <w:rPr>
          <w:rFonts w:ascii="Times New Roman" w:hAnsi="Times New Roman"/>
          <w:b/>
          <w:iCs/>
          <w:sz w:val="20"/>
          <w:szCs w:val="20"/>
        </w:rPr>
        <w:t>Contributions for 2017</w:t>
      </w:r>
      <w:r w:rsidRPr="00B63787">
        <w:rPr>
          <w:rFonts w:ascii="Times New Roman" w:hAnsi="Times New Roman"/>
          <w:b/>
          <w:iCs/>
          <w:sz w:val="20"/>
          <w:szCs w:val="20"/>
        </w:rPr>
        <w:t xml:space="preserve"> </w:t>
      </w:r>
    </w:p>
    <w:p w:rsidR="00D6176C" w:rsidRPr="007204A8" w:rsidRDefault="00D6176C" w:rsidP="00355AD1">
      <w:pPr>
        <w:tabs>
          <w:tab w:val="left" w:pos="1080"/>
        </w:tabs>
        <w:spacing w:after="0" w:line="240" w:lineRule="auto"/>
        <w:jc w:val="both"/>
        <w:rPr>
          <w:rFonts w:ascii="Times New Roman" w:hAnsi="Times New Roman"/>
          <w:sz w:val="12"/>
          <w:szCs w:val="12"/>
        </w:rPr>
      </w:pPr>
    </w:p>
    <w:p w:rsidR="00D6176C" w:rsidRPr="003F5460" w:rsidRDefault="00D6176C" w:rsidP="00425265">
      <w:pPr>
        <w:pStyle w:val="ListParagraph"/>
        <w:numPr>
          <w:ilvl w:val="0"/>
          <w:numId w:val="20"/>
        </w:numPr>
        <w:tabs>
          <w:tab w:val="left" w:pos="1080"/>
        </w:tabs>
        <w:spacing w:after="0" w:line="240" w:lineRule="auto"/>
        <w:ind w:firstLine="0"/>
        <w:jc w:val="both"/>
        <w:rPr>
          <w:rFonts w:ascii="Calibri" w:eastAsiaTheme="minorEastAsia" w:hAnsi="Calibri"/>
          <w:lang w:val="en-US"/>
        </w:rPr>
      </w:pPr>
      <w:r w:rsidRPr="003F5460">
        <w:rPr>
          <w:rFonts w:ascii="Times New Roman" w:hAnsi="Times New Roman"/>
          <w:sz w:val="20"/>
        </w:rPr>
        <w:t xml:space="preserve">In 2017, contributions to regular and other resources, excluding reimbursable support services, </w:t>
      </w:r>
      <w:r w:rsidR="00116B64">
        <w:rPr>
          <w:rFonts w:ascii="Times New Roman" w:hAnsi="Times New Roman"/>
          <w:sz w:val="20"/>
        </w:rPr>
        <w:t>were</w:t>
      </w:r>
      <w:r w:rsidR="00116B64" w:rsidRPr="003F5460">
        <w:rPr>
          <w:rFonts w:ascii="Times New Roman" w:hAnsi="Times New Roman"/>
          <w:sz w:val="20"/>
        </w:rPr>
        <w:t xml:space="preserve"> </w:t>
      </w:r>
      <w:r w:rsidRPr="003F5460">
        <w:rPr>
          <w:rFonts w:ascii="Times New Roman" w:hAnsi="Times New Roman"/>
          <w:sz w:val="20"/>
        </w:rPr>
        <w:t>$4.8 billion. Regular resource</w:t>
      </w:r>
      <w:r w:rsidR="00607A79">
        <w:rPr>
          <w:rFonts w:ascii="Times New Roman" w:hAnsi="Times New Roman"/>
          <w:sz w:val="20"/>
        </w:rPr>
        <w:t>s</w:t>
      </w:r>
      <w:r w:rsidRPr="003F5460">
        <w:rPr>
          <w:rFonts w:ascii="Times New Roman" w:hAnsi="Times New Roman"/>
          <w:sz w:val="20"/>
        </w:rPr>
        <w:t xml:space="preserve"> contributions decreased from $0.618 billion in 2016 to $0.612 billion, while other resources </w:t>
      </w:r>
      <w:r w:rsidR="00116B64">
        <w:rPr>
          <w:rFonts w:ascii="Times New Roman" w:hAnsi="Times New Roman"/>
          <w:sz w:val="20"/>
        </w:rPr>
        <w:t xml:space="preserve">contributions </w:t>
      </w:r>
      <w:r w:rsidRPr="003F5460">
        <w:rPr>
          <w:rFonts w:ascii="Times New Roman" w:hAnsi="Times New Roman"/>
          <w:sz w:val="20"/>
        </w:rPr>
        <w:t>increased from $4.16 billion to $4.22 billion. Government cost-sharing resources increased to $1 billion, while bilateral/multilateral resources decreased from $3.27 billion to $3.22 billion.</w:t>
      </w:r>
      <w:r w:rsidRPr="003F5460">
        <w:t xml:space="preserve"> </w:t>
      </w:r>
    </w:p>
    <w:p w:rsidR="00D6176C" w:rsidRPr="007204A8" w:rsidRDefault="00D6176C" w:rsidP="00355AD1">
      <w:pPr>
        <w:pStyle w:val="ListParagraph"/>
        <w:tabs>
          <w:tab w:val="left" w:pos="360"/>
          <w:tab w:val="left" w:pos="1080"/>
        </w:tabs>
        <w:spacing w:after="0" w:line="240" w:lineRule="auto"/>
        <w:ind w:left="0"/>
        <w:jc w:val="both"/>
        <w:rPr>
          <w:rFonts w:ascii="Times New Roman" w:hAnsi="Times New Roman"/>
          <w:sz w:val="12"/>
          <w:szCs w:val="12"/>
        </w:rPr>
      </w:pPr>
    </w:p>
    <w:p w:rsidR="00D6176C" w:rsidRPr="00290F67" w:rsidRDefault="00D6176C" w:rsidP="007204A8">
      <w:pPr>
        <w:pStyle w:val="ListParagraph"/>
        <w:tabs>
          <w:tab w:val="left" w:pos="360"/>
          <w:tab w:val="left" w:pos="1080"/>
        </w:tabs>
        <w:spacing w:after="0" w:line="240" w:lineRule="auto"/>
        <w:ind w:left="0" w:firstLine="720"/>
        <w:jc w:val="both"/>
        <w:rPr>
          <w:rFonts w:ascii="Times New Roman" w:hAnsi="Times New Roman"/>
          <w:b/>
          <w:iCs/>
          <w:sz w:val="20"/>
          <w:szCs w:val="20"/>
        </w:rPr>
      </w:pPr>
      <w:r w:rsidRPr="00290F67">
        <w:rPr>
          <w:rFonts w:ascii="Times New Roman" w:hAnsi="Times New Roman"/>
          <w:b/>
          <w:iCs/>
          <w:sz w:val="20"/>
          <w:szCs w:val="20"/>
        </w:rPr>
        <w:t>2014-2017 cumulative contributions</w:t>
      </w:r>
    </w:p>
    <w:p w:rsidR="00D6176C" w:rsidRPr="007204A8" w:rsidRDefault="00D6176C" w:rsidP="00355AD1">
      <w:pPr>
        <w:pStyle w:val="ListParagraph"/>
        <w:tabs>
          <w:tab w:val="left" w:pos="360"/>
          <w:tab w:val="left" w:pos="1080"/>
        </w:tabs>
        <w:spacing w:after="0" w:line="240" w:lineRule="auto"/>
        <w:ind w:left="0"/>
        <w:jc w:val="both"/>
        <w:rPr>
          <w:rFonts w:ascii="Times New Roman" w:hAnsi="Times New Roman"/>
          <w:sz w:val="12"/>
          <w:szCs w:val="12"/>
        </w:rPr>
      </w:pPr>
    </w:p>
    <w:p w:rsidR="00D6176C" w:rsidRDefault="00D6176C" w:rsidP="00425265">
      <w:pPr>
        <w:pStyle w:val="ListParagraph"/>
        <w:numPr>
          <w:ilvl w:val="0"/>
          <w:numId w:val="20"/>
        </w:numPr>
        <w:tabs>
          <w:tab w:val="left" w:pos="1080"/>
        </w:tabs>
        <w:spacing w:after="0" w:line="240" w:lineRule="auto"/>
        <w:ind w:firstLine="0"/>
        <w:jc w:val="both"/>
        <w:rPr>
          <w:rFonts w:ascii="Times New Roman" w:hAnsi="Times New Roman"/>
          <w:sz w:val="20"/>
        </w:rPr>
      </w:pPr>
      <w:r w:rsidRPr="00290F67">
        <w:rPr>
          <w:rFonts w:ascii="Times New Roman" w:hAnsi="Times New Roman"/>
          <w:sz w:val="20"/>
        </w:rPr>
        <w:t>When comparing actual contributions received between 2014 and 2017 against integrated resources plan estimates (</w:t>
      </w:r>
      <w:hyperlink r:id="rId18" w:history="1">
        <w:r w:rsidRPr="00712605">
          <w:rPr>
            <w:rStyle w:val="Hyperlink"/>
            <w:rFonts w:ascii="Times New Roman" w:hAnsi="Times New Roman"/>
            <w:sz w:val="20"/>
          </w:rPr>
          <w:t>DP/2013/41</w:t>
        </w:r>
      </w:hyperlink>
      <w:r w:rsidRPr="00290F67">
        <w:rPr>
          <w:rFonts w:ascii="Times New Roman" w:hAnsi="Times New Roman"/>
          <w:sz w:val="20"/>
        </w:rPr>
        <w:t xml:space="preserve">), total contributions to regular and other resources were $18.6 billion, or 95 per cent of the of $19.4 billion estimate. Regular resources </w:t>
      </w:r>
      <w:r w:rsidR="00712605">
        <w:rPr>
          <w:rFonts w:ascii="Times New Roman" w:hAnsi="Times New Roman"/>
          <w:sz w:val="20"/>
        </w:rPr>
        <w:t xml:space="preserve">contributions </w:t>
      </w:r>
      <w:r w:rsidRPr="00290F67">
        <w:rPr>
          <w:rFonts w:ascii="Times New Roman" w:hAnsi="Times New Roman"/>
          <w:sz w:val="20"/>
        </w:rPr>
        <w:t>were $2.7 billion, or 75 per cent of the $3.6 billion estimate. Government cost-sharing contributions were $3.6 billion, or 120 per cent of the $3 billion estimate, and bilateral/multilateral resources were $12.3 billion, or 96 per cent of the $12.8 billion estimate.</w:t>
      </w:r>
    </w:p>
    <w:p w:rsidR="00D6176C" w:rsidRPr="00290F67" w:rsidRDefault="00D6176C" w:rsidP="003B2557">
      <w:pPr>
        <w:tabs>
          <w:tab w:val="left" w:pos="1080"/>
        </w:tabs>
        <w:spacing w:after="120"/>
        <w:ind w:firstLine="720"/>
        <w:jc w:val="both"/>
        <w:rPr>
          <w:rFonts w:ascii="Times New Roman" w:hAnsi="Times New Roman"/>
          <w:b/>
          <w:bCs/>
          <w:sz w:val="20"/>
          <w:szCs w:val="20"/>
        </w:rPr>
      </w:pPr>
      <w:r w:rsidRPr="00290F67">
        <w:rPr>
          <w:rFonts w:ascii="Times New Roman" w:hAnsi="Times New Roman"/>
          <w:b/>
          <w:bCs/>
          <w:sz w:val="20"/>
          <w:szCs w:val="20"/>
        </w:rPr>
        <w:lastRenderedPageBreak/>
        <w:t xml:space="preserve">Expenditure for 2017 </w:t>
      </w:r>
    </w:p>
    <w:p w:rsidR="00D6176C" w:rsidRPr="00925B45" w:rsidRDefault="00D6176C" w:rsidP="00425265">
      <w:pPr>
        <w:pStyle w:val="ListParagraph"/>
        <w:numPr>
          <w:ilvl w:val="0"/>
          <w:numId w:val="20"/>
        </w:numPr>
        <w:tabs>
          <w:tab w:val="left" w:pos="1080"/>
        </w:tabs>
        <w:spacing w:after="0" w:line="240" w:lineRule="auto"/>
        <w:ind w:firstLine="0"/>
        <w:jc w:val="both"/>
        <w:rPr>
          <w:sz w:val="20"/>
          <w:szCs w:val="20"/>
        </w:rPr>
      </w:pPr>
      <w:r w:rsidRPr="00925B45">
        <w:rPr>
          <w:rFonts w:ascii="Times New Roman" w:hAnsi="Times New Roman"/>
          <w:sz w:val="20"/>
          <w:szCs w:val="20"/>
        </w:rPr>
        <w:t>Provisional expenditure for development activities was $4.63 billion, of which $0.42 billion was funded from regular resources and $4.21 billion from other donor and local resources. Expenditure</w:t>
      </w:r>
      <w:r w:rsidR="000133A8">
        <w:rPr>
          <w:rFonts w:ascii="Times New Roman" w:hAnsi="Times New Roman"/>
          <w:sz w:val="20"/>
          <w:szCs w:val="20"/>
        </w:rPr>
        <w:t>s</w:t>
      </w:r>
      <w:r w:rsidRPr="00925B45">
        <w:rPr>
          <w:rFonts w:ascii="Times New Roman" w:hAnsi="Times New Roman"/>
          <w:sz w:val="20"/>
          <w:szCs w:val="20"/>
        </w:rPr>
        <w:t xml:space="preserve"> for United Nations development coordination,</w:t>
      </w:r>
      <w:r w:rsidRPr="00925B45">
        <w:rPr>
          <w:sz w:val="20"/>
          <w:szCs w:val="20"/>
        </w:rPr>
        <w:t xml:space="preserve"> </w:t>
      </w:r>
      <w:r w:rsidRPr="00925B45">
        <w:rPr>
          <w:rFonts w:ascii="Times New Roman" w:hAnsi="Times New Roman"/>
          <w:sz w:val="20"/>
          <w:szCs w:val="20"/>
        </w:rPr>
        <w:t xml:space="preserve">management and special-purpose categories </w:t>
      </w:r>
      <w:r w:rsidR="000133A8">
        <w:rPr>
          <w:rFonts w:ascii="Times New Roman" w:hAnsi="Times New Roman"/>
          <w:sz w:val="20"/>
          <w:szCs w:val="20"/>
        </w:rPr>
        <w:t>were</w:t>
      </w:r>
      <w:r w:rsidR="000133A8" w:rsidRPr="00925B45">
        <w:rPr>
          <w:rFonts w:ascii="Times New Roman" w:hAnsi="Times New Roman"/>
          <w:sz w:val="20"/>
          <w:szCs w:val="20"/>
        </w:rPr>
        <w:t xml:space="preserve"> </w:t>
      </w:r>
      <w:r w:rsidRPr="00925B45">
        <w:rPr>
          <w:rFonts w:ascii="Times New Roman" w:hAnsi="Times New Roman"/>
          <w:sz w:val="20"/>
          <w:szCs w:val="20"/>
        </w:rPr>
        <w:t xml:space="preserve">$0.10 billion, $0.36 billion and $0.07 billion, respectively. The expenditure ratio for management activities to total expenditure was 6.9 per cent, which is below the management efficiency ratio of 8.1 per cent outlined in </w:t>
      </w:r>
      <w:r w:rsidR="00116B64">
        <w:rPr>
          <w:rFonts w:ascii="Times New Roman" w:hAnsi="Times New Roman"/>
          <w:sz w:val="20"/>
          <w:szCs w:val="20"/>
        </w:rPr>
        <w:t>Strategic Plan</w:t>
      </w:r>
      <w:r w:rsidR="00116B64" w:rsidRPr="00925B45">
        <w:rPr>
          <w:rFonts w:ascii="Times New Roman" w:hAnsi="Times New Roman"/>
          <w:sz w:val="20"/>
          <w:szCs w:val="20"/>
        </w:rPr>
        <w:t xml:space="preserve"> </w:t>
      </w:r>
      <w:r w:rsidRPr="00925B45">
        <w:rPr>
          <w:rFonts w:ascii="Times New Roman" w:hAnsi="Times New Roman"/>
          <w:sz w:val="20"/>
          <w:szCs w:val="20"/>
        </w:rPr>
        <w:t>estimates</w:t>
      </w:r>
      <w:r>
        <w:rPr>
          <w:rFonts w:ascii="Times New Roman" w:hAnsi="Times New Roman"/>
          <w:sz w:val="20"/>
          <w:szCs w:val="20"/>
        </w:rPr>
        <w:t xml:space="preserve"> for</w:t>
      </w:r>
      <w:r w:rsidRPr="00925B45">
        <w:rPr>
          <w:rFonts w:ascii="Times New Roman" w:hAnsi="Times New Roman"/>
          <w:sz w:val="20"/>
          <w:szCs w:val="20"/>
        </w:rPr>
        <w:t xml:space="preserve"> 2014-2017.</w:t>
      </w:r>
    </w:p>
    <w:p w:rsidR="00D6176C" w:rsidRPr="00355AD1" w:rsidRDefault="00D6176C" w:rsidP="00355AD1">
      <w:pPr>
        <w:tabs>
          <w:tab w:val="left" w:pos="1080"/>
        </w:tabs>
        <w:autoSpaceDE w:val="0"/>
        <w:autoSpaceDN w:val="0"/>
        <w:spacing w:after="0"/>
        <w:jc w:val="both"/>
        <w:rPr>
          <w:rFonts w:ascii="Times New Roman" w:hAnsi="Times New Roman"/>
          <w:bCs/>
          <w:iCs/>
          <w:sz w:val="12"/>
          <w:szCs w:val="12"/>
        </w:rPr>
      </w:pPr>
    </w:p>
    <w:p w:rsidR="00D6176C" w:rsidRPr="00290F67" w:rsidRDefault="00D6176C" w:rsidP="00355AD1">
      <w:pPr>
        <w:tabs>
          <w:tab w:val="left" w:pos="1080"/>
        </w:tabs>
        <w:autoSpaceDE w:val="0"/>
        <w:autoSpaceDN w:val="0"/>
        <w:spacing w:after="120"/>
        <w:ind w:firstLine="720"/>
        <w:jc w:val="both"/>
        <w:rPr>
          <w:rFonts w:ascii="Times New Roman" w:hAnsi="Times New Roman"/>
          <w:b/>
          <w:bCs/>
          <w:sz w:val="20"/>
          <w:szCs w:val="20"/>
        </w:rPr>
      </w:pPr>
      <w:r w:rsidRPr="00290F67">
        <w:rPr>
          <w:rFonts w:ascii="Times New Roman" w:hAnsi="Times New Roman"/>
          <w:b/>
          <w:bCs/>
          <w:sz w:val="20"/>
          <w:szCs w:val="20"/>
        </w:rPr>
        <w:t>2014-2017 cumulative expenditure</w:t>
      </w:r>
    </w:p>
    <w:p w:rsidR="00621213" w:rsidRPr="00621213" w:rsidRDefault="00D6176C" w:rsidP="00425265">
      <w:pPr>
        <w:pStyle w:val="ListParagraph"/>
        <w:numPr>
          <w:ilvl w:val="0"/>
          <w:numId w:val="20"/>
        </w:numPr>
        <w:tabs>
          <w:tab w:val="left" w:pos="1080"/>
        </w:tabs>
        <w:spacing w:after="0" w:line="240" w:lineRule="auto"/>
        <w:ind w:firstLine="0"/>
        <w:jc w:val="both"/>
        <w:rPr>
          <w:rFonts w:ascii="Times New Roman" w:hAnsi="Times New Roman"/>
          <w:sz w:val="20"/>
          <w:szCs w:val="20"/>
        </w:rPr>
      </w:pPr>
      <w:r w:rsidRPr="00925B45">
        <w:rPr>
          <w:rFonts w:ascii="Times New Roman" w:hAnsi="Times New Roman"/>
          <w:sz w:val="20"/>
          <w:szCs w:val="20"/>
        </w:rPr>
        <w:t xml:space="preserve">Total provisional expenditure for development activities was $17.63 billion, of which $1.91 billion was funded from regular resources and $15.72 billion from other resources. </w:t>
      </w:r>
      <w:r w:rsidR="000133A8">
        <w:rPr>
          <w:rFonts w:ascii="Times New Roman" w:hAnsi="Times New Roman"/>
          <w:sz w:val="20"/>
          <w:szCs w:val="20"/>
        </w:rPr>
        <w:t>E</w:t>
      </w:r>
      <w:r w:rsidRPr="00925B45">
        <w:rPr>
          <w:rFonts w:ascii="Times New Roman" w:hAnsi="Times New Roman"/>
          <w:sz w:val="20"/>
          <w:szCs w:val="20"/>
        </w:rPr>
        <w:t>xpenditure</w:t>
      </w:r>
      <w:r w:rsidR="000133A8">
        <w:rPr>
          <w:rFonts w:ascii="Times New Roman" w:hAnsi="Times New Roman"/>
          <w:sz w:val="20"/>
          <w:szCs w:val="20"/>
        </w:rPr>
        <w:t>s</w:t>
      </w:r>
      <w:r w:rsidRPr="00925B45">
        <w:rPr>
          <w:rFonts w:ascii="Times New Roman" w:hAnsi="Times New Roman"/>
          <w:sz w:val="20"/>
          <w:szCs w:val="20"/>
        </w:rPr>
        <w:t xml:space="preserve"> for United Nations development coordination, management and special-purpose categories </w:t>
      </w:r>
      <w:r w:rsidR="000133A8">
        <w:rPr>
          <w:rFonts w:ascii="Times New Roman" w:hAnsi="Times New Roman"/>
          <w:sz w:val="20"/>
          <w:szCs w:val="20"/>
        </w:rPr>
        <w:t>were</w:t>
      </w:r>
      <w:r w:rsidR="000133A8" w:rsidRPr="00925B45">
        <w:rPr>
          <w:rFonts w:ascii="Times New Roman" w:hAnsi="Times New Roman"/>
          <w:sz w:val="20"/>
          <w:szCs w:val="20"/>
        </w:rPr>
        <w:t xml:space="preserve"> </w:t>
      </w:r>
      <w:r w:rsidRPr="00925B45">
        <w:rPr>
          <w:rFonts w:ascii="Times New Roman" w:hAnsi="Times New Roman"/>
          <w:sz w:val="20"/>
          <w:szCs w:val="20"/>
        </w:rPr>
        <w:t xml:space="preserve">$0.40 billion, $1.54 billion and $0.32 billion, respectively. </w:t>
      </w:r>
      <w:r w:rsidR="00300D1C">
        <w:rPr>
          <w:rFonts w:ascii="Times New Roman" w:hAnsi="Times New Roman"/>
          <w:sz w:val="20"/>
          <w:szCs w:val="20"/>
        </w:rPr>
        <w:t xml:space="preserve"> </w:t>
      </w:r>
      <w:r w:rsidR="00621213">
        <w:rPr>
          <w:rFonts w:ascii="Times New Roman" w:hAnsi="Times New Roman"/>
          <w:sz w:val="20"/>
          <w:szCs w:val="20"/>
        </w:rPr>
        <w:t>The expenditure ratio for management activities over total expenditure was 7.7 per cent, which is below the management efficiency ratio of 8.1 per cent outlined in strategic plan estimates, 2014-2017.</w:t>
      </w:r>
    </w:p>
    <w:p w:rsidR="00D6176C" w:rsidRPr="00782B25" w:rsidRDefault="00D6176C" w:rsidP="00D6176C">
      <w:pPr>
        <w:pStyle w:val="ColorfulList-Accent11"/>
        <w:tabs>
          <w:tab w:val="left" w:pos="360"/>
        </w:tabs>
        <w:spacing w:after="0" w:line="240" w:lineRule="auto"/>
        <w:ind w:left="0"/>
        <w:contextualSpacing w:val="0"/>
        <w:jc w:val="both"/>
        <w:rPr>
          <w:rFonts w:ascii="Cambria" w:eastAsia="MS Mincho" w:hAnsi="Cambria"/>
          <w:sz w:val="20"/>
          <w:szCs w:val="20"/>
          <w:lang w:val="en-CA"/>
        </w:rPr>
      </w:pPr>
      <w:r w:rsidRPr="00782B25">
        <w:fldChar w:fldCharType="begin"/>
      </w:r>
      <w:r w:rsidRPr="00782B25">
        <w:instrText xml:space="preserve"> LINK Excel.Sheet.12 "C:\\Users\\Hanayo.Nakano\\AppData\\Local\\Microsoft\\Windows\\INetCache\\Content.Outlook\\XQIQUZ81\\Expenditure for 2017 Annual report of the Administrator - tables.xlsx" "Sheet1!R3C8:R9C12" \a \f 4 \h  \* MERGEFORMAT </w:instrText>
      </w:r>
      <w:r w:rsidRPr="00782B25">
        <w:fldChar w:fldCharType="separate"/>
      </w:r>
    </w:p>
    <w:tbl>
      <w:tblPr>
        <w:tblW w:w="8415" w:type="dxa"/>
        <w:jc w:val="center"/>
        <w:tblLook w:val="04A0" w:firstRow="1" w:lastRow="0" w:firstColumn="1" w:lastColumn="0" w:noHBand="0" w:noVBand="1"/>
      </w:tblPr>
      <w:tblGrid>
        <w:gridCol w:w="2866"/>
        <w:gridCol w:w="1595"/>
        <w:gridCol w:w="1383"/>
        <w:gridCol w:w="1200"/>
        <w:gridCol w:w="1371"/>
      </w:tblGrid>
      <w:tr w:rsidR="00D6176C" w:rsidRPr="00782B25" w:rsidTr="00F052E8">
        <w:trPr>
          <w:trHeight w:val="267"/>
          <w:jc w:val="center"/>
        </w:trPr>
        <w:tc>
          <w:tcPr>
            <w:tcW w:w="8415" w:type="dxa"/>
            <w:gridSpan w:val="5"/>
            <w:tcBorders>
              <w:top w:val="nil"/>
              <w:left w:val="nil"/>
              <w:bottom w:val="single" w:sz="8" w:space="0" w:color="auto"/>
              <w:right w:val="nil"/>
            </w:tcBorders>
            <w:shd w:val="clear" w:color="auto" w:fill="auto"/>
            <w:noWrap/>
            <w:vAlign w:val="center"/>
            <w:hideMark/>
          </w:tcPr>
          <w:p w:rsidR="00116B64" w:rsidRDefault="00D6176C" w:rsidP="005B6C71">
            <w:pPr>
              <w:spacing w:after="0" w:line="240" w:lineRule="auto"/>
              <w:jc w:val="center"/>
              <w:rPr>
                <w:rFonts w:ascii="Times New Roman" w:eastAsia="Times New Roman" w:hAnsi="Times New Roman"/>
                <w:b/>
                <w:bCs/>
                <w:color w:val="000000"/>
                <w:sz w:val="20"/>
                <w:szCs w:val="20"/>
                <w:lang w:val="en-US" w:eastAsia="ja-JP"/>
              </w:rPr>
            </w:pPr>
            <w:r w:rsidRPr="00782B25">
              <w:rPr>
                <w:rFonts w:ascii="Times New Roman" w:eastAsia="Times New Roman" w:hAnsi="Times New Roman"/>
                <w:b/>
                <w:bCs/>
                <w:color w:val="000000"/>
                <w:sz w:val="20"/>
                <w:szCs w:val="20"/>
                <w:lang w:val="en-US" w:eastAsia="ja-JP"/>
              </w:rPr>
              <w:t>Table 1. Expenditure by cost classification category</w:t>
            </w:r>
          </w:p>
          <w:p w:rsidR="00D6176C" w:rsidRPr="00782B25" w:rsidRDefault="00D6176C" w:rsidP="003B2557">
            <w:pPr>
              <w:spacing w:after="60" w:line="240" w:lineRule="auto"/>
              <w:jc w:val="center"/>
              <w:rPr>
                <w:rFonts w:ascii="Times New Roman" w:eastAsia="Times New Roman" w:hAnsi="Times New Roman"/>
                <w:b/>
                <w:bCs/>
                <w:color w:val="000000"/>
                <w:sz w:val="20"/>
                <w:szCs w:val="20"/>
                <w:lang w:val="en-US" w:eastAsia="ja-JP"/>
              </w:rPr>
            </w:pPr>
            <w:r w:rsidRPr="00782B25">
              <w:rPr>
                <w:rFonts w:ascii="Times New Roman" w:eastAsia="Times New Roman" w:hAnsi="Times New Roman"/>
                <w:b/>
                <w:bCs/>
                <w:color w:val="000000"/>
                <w:sz w:val="20"/>
                <w:szCs w:val="20"/>
                <w:lang w:val="en-US" w:eastAsia="ja-JP"/>
              </w:rPr>
              <w:t xml:space="preserve"> (</w:t>
            </w:r>
            <w:r w:rsidR="00116B64">
              <w:rPr>
                <w:rFonts w:ascii="Times New Roman" w:eastAsia="Times New Roman" w:hAnsi="Times New Roman"/>
                <w:b/>
                <w:bCs/>
                <w:color w:val="000000"/>
                <w:sz w:val="20"/>
                <w:szCs w:val="20"/>
                <w:lang w:val="en-US" w:eastAsia="ja-JP"/>
              </w:rPr>
              <w:t>I</w:t>
            </w:r>
            <w:r w:rsidRPr="00782B25">
              <w:rPr>
                <w:rFonts w:ascii="Times New Roman" w:eastAsia="Times New Roman" w:hAnsi="Times New Roman"/>
                <w:b/>
                <w:bCs/>
                <w:color w:val="000000"/>
                <w:sz w:val="20"/>
                <w:szCs w:val="20"/>
                <w:lang w:val="en-US" w:eastAsia="ja-JP"/>
              </w:rPr>
              <w:t xml:space="preserve">n billions of </w:t>
            </w:r>
            <w:r w:rsidR="00116B64">
              <w:rPr>
                <w:rFonts w:ascii="Times New Roman" w:eastAsia="Times New Roman" w:hAnsi="Times New Roman"/>
                <w:b/>
                <w:bCs/>
                <w:color w:val="000000"/>
                <w:sz w:val="20"/>
                <w:szCs w:val="20"/>
                <w:lang w:val="en-US" w:eastAsia="ja-JP"/>
              </w:rPr>
              <w:t xml:space="preserve">United </w:t>
            </w:r>
            <w:r w:rsidR="004215ED">
              <w:rPr>
                <w:rFonts w:ascii="Times New Roman" w:eastAsia="Times New Roman" w:hAnsi="Times New Roman"/>
                <w:b/>
                <w:bCs/>
                <w:color w:val="000000"/>
                <w:sz w:val="20"/>
                <w:szCs w:val="20"/>
                <w:lang w:val="en-US" w:eastAsia="ja-JP"/>
              </w:rPr>
              <w:t>States</w:t>
            </w:r>
            <w:r w:rsidR="004215ED" w:rsidRPr="00782B25">
              <w:rPr>
                <w:rFonts w:ascii="Times New Roman" w:eastAsia="Times New Roman" w:hAnsi="Times New Roman"/>
                <w:b/>
                <w:bCs/>
                <w:color w:val="000000"/>
                <w:sz w:val="20"/>
                <w:szCs w:val="20"/>
                <w:lang w:val="en-US" w:eastAsia="ja-JP"/>
              </w:rPr>
              <w:t xml:space="preserve"> dollars</w:t>
            </w:r>
            <w:r w:rsidRPr="00782B25">
              <w:rPr>
                <w:rFonts w:ascii="Times New Roman" w:eastAsia="Times New Roman" w:hAnsi="Times New Roman"/>
                <w:b/>
                <w:bCs/>
                <w:color w:val="000000"/>
                <w:sz w:val="20"/>
                <w:szCs w:val="20"/>
                <w:lang w:val="en-US" w:eastAsia="ja-JP"/>
              </w:rPr>
              <w:t>)</w:t>
            </w:r>
          </w:p>
        </w:tc>
      </w:tr>
      <w:tr w:rsidR="00D6176C" w:rsidRPr="00782B25" w:rsidTr="00F052E8">
        <w:trPr>
          <w:trHeight w:val="369"/>
          <w:jc w:val="center"/>
        </w:trPr>
        <w:tc>
          <w:tcPr>
            <w:tcW w:w="2866" w:type="dxa"/>
            <w:tcBorders>
              <w:top w:val="nil"/>
              <w:left w:val="single" w:sz="8" w:space="0" w:color="auto"/>
              <w:bottom w:val="single" w:sz="8" w:space="0" w:color="auto"/>
              <w:right w:val="nil"/>
            </w:tcBorders>
            <w:shd w:val="clear" w:color="000000" w:fill="F3F3F3"/>
            <w:noWrap/>
            <w:vAlign w:val="center"/>
            <w:hideMark/>
          </w:tcPr>
          <w:p w:rsidR="00D6176C" w:rsidRPr="00782B25" w:rsidRDefault="00D6176C" w:rsidP="005B6C71">
            <w:pPr>
              <w:spacing w:after="0" w:line="240" w:lineRule="auto"/>
              <w:jc w:val="center"/>
              <w:rPr>
                <w:rFonts w:ascii="Times New Roman" w:eastAsia="Times New Roman" w:hAnsi="Times New Roman"/>
                <w:b/>
                <w:bCs/>
                <w:color w:val="000000"/>
                <w:sz w:val="16"/>
                <w:szCs w:val="16"/>
                <w:lang w:val="en-US" w:eastAsia="ja-JP"/>
              </w:rPr>
            </w:pPr>
            <w:r w:rsidRPr="00782B25">
              <w:rPr>
                <w:rFonts w:ascii="Times New Roman" w:eastAsia="Times New Roman" w:hAnsi="Times New Roman"/>
                <w:b/>
                <w:bCs/>
                <w:color w:val="000000"/>
                <w:sz w:val="16"/>
                <w:szCs w:val="16"/>
                <w:lang w:val="en-US" w:eastAsia="ja-JP"/>
              </w:rPr>
              <w:t>Cost classification category</w:t>
            </w:r>
          </w:p>
        </w:tc>
        <w:tc>
          <w:tcPr>
            <w:tcW w:w="1595" w:type="dxa"/>
            <w:tcBorders>
              <w:top w:val="nil"/>
              <w:left w:val="single" w:sz="8" w:space="0" w:color="auto"/>
              <w:bottom w:val="single" w:sz="8" w:space="0" w:color="auto"/>
              <w:right w:val="single" w:sz="8" w:space="0" w:color="auto"/>
            </w:tcBorders>
            <w:shd w:val="clear" w:color="000000" w:fill="F3F3F3"/>
            <w:vAlign w:val="center"/>
            <w:hideMark/>
          </w:tcPr>
          <w:p w:rsidR="00D6176C" w:rsidRPr="00782B25" w:rsidRDefault="00D6176C" w:rsidP="005B6C71">
            <w:pPr>
              <w:spacing w:after="0" w:line="240" w:lineRule="auto"/>
              <w:jc w:val="center"/>
              <w:rPr>
                <w:rFonts w:ascii="Times New Roman" w:eastAsia="Times New Roman" w:hAnsi="Times New Roman"/>
                <w:b/>
                <w:bCs/>
                <w:color w:val="000000"/>
                <w:sz w:val="16"/>
                <w:szCs w:val="16"/>
                <w:lang w:val="en-US" w:eastAsia="ja-JP"/>
              </w:rPr>
            </w:pPr>
            <w:r w:rsidRPr="00782B25">
              <w:rPr>
                <w:rFonts w:ascii="Times New Roman" w:eastAsia="Times New Roman" w:hAnsi="Times New Roman"/>
                <w:b/>
                <w:bCs/>
                <w:color w:val="000000"/>
                <w:sz w:val="16"/>
                <w:szCs w:val="16"/>
                <w:lang w:val="en-US" w:eastAsia="ja-JP"/>
              </w:rPr>
              <w:t xml:space="preserve">Strategic </w:t>
            </w:r>
            <w:r w:rsidR="00116B64">
              <w:rPr>
                <w:rFonts w:ascii="Times New Roman" w:eastAsia="Times New Roman" w:hAnsi="Times New Roman"/>
                <w:b/>
                <w:bCs/>
                <w:color w:val="000000"/>
                <w:sz w:val="16"/>
                <w:szCs w:val="16"/>
                <w:lang w:val="en-US" w:eastAsia="ja-JP"/>
              </w:rPr>
              <w:t>P</w:t>
            </w:r>
            <w:r w:rsidRPr="00782B25">
              <w:rPr>
                <w:rFonts w:ascii="Times New Roman" w:eastAsia="Times New Roman" w:hAnsi="Times New Roman"/>
                <w:b/>
                <w:bCs/>
                <w:color w:val="000000"/>
                <w:sz w:val="16"/>
                <w:szCs w:val="16"/>
                <w:lang w:val="en-US" w:eastAsia="ja-JP"/>
              </w:rPr>
              <w:t>lan estimates 2014-2017</w:t>
            </w:r>
          </w:p>
        </w:tc>
        <w:tc>
          <w:tcPr>
            <w:tcW w:w="1383" w:type="dxa"/>
            <w:tcBorders>
              <w:top w:val="nil"/>
              <w:left w:val="nil"/>
              <w:bottom w:val="single" w:sz="8" w:space="0" w:color="auto"/>
              <w:right w:val="single" w:sz="8" w:space="0" w:color="auto"/>
            </w:tcBorders>
            <w:shd w:val="clear" w:color="000000" w:fill="F3F3F3"/>
            <w:vAlign w:val="center"/>
            <w:hideMark/>
          </w:tcPr>
          <w:p w:rsidR="00D6176C" w:rsidRPr="00782B25" w:rsidRDefault="00D6176C" w:rsidP="005B6C71">
            <w:pPr>
              <w:spacing w:after="0" w:line="240" w:lineRule="auto"/>
              <w:jc w:val="center"/>
              <w:rPr>
                <w:rFonts w:ascii="Times New Roman" w:eastAsia="Times New Roman" w:hAnsi="Times New Roman"/>
                <w:b/>
                <w:bCs/>
                <w:color w:val="000000"/>
                <w:sz w:val="16"/>
                <w:szCs w:val="16"/>
                <w:lang w:val="en-US" w:eastAsia="ja-JP"/>
              </w:rPr>
            </w:pPr>
            <w:r w:rsidRPr="00782B25">
              <w:rPr>
                <w:rFonts w:ascii="Times New Roman" w:eastAsia="Times New Roman" w:hAnsi="Times New Roman"/>
                <w:b/>
                <w:bCs/>
                <w:color w:val="000000"/>
                <w:sz w:val="16"/>
                <w:szCs w:val="16"/>
                <w:lang w:val="en-US" w:eastAsia="ja-JP"/>
              </w:rPr>
              <w:t>Expenditure 2014-2016</w:t>
            </w:r>
          </w:p>
        </w:tc>
        <w:tc>
          <w:tcPr>
            <w:tcW w:w="1200" w:type="dxa"/>
            <w:tcBorders>
              <w:top w:val="nil"/>
              <w:left w:val="nil"/>
              <w:bottom w:val="single" w:sz="8" w:space="0" w:color="auto"/>
              <w:right w:val="single" w:sz="8" w:space="0" w:color="auto"/>
            </w:tcBorders>
            <w:shd w:val="clear" w:color="000000" w:fill="F3F3F3"/>
            <w:vAlign w:val="center"/>
            <w:hideMark/>
          </w:tcPr>
          <w:p w:rsidR="00D6176C" w:rsidRPr="00782B25" w:rsidRDefault="00D6176C" w:rsidP="005B6C71">
            <w:pPr>
              <w:spacing w:after="0" w:line="240" w:lineRule="auto"/>
              <w:jc w:val="center"/>
              <w:rPr>
                <w:rFonts w:ascii="Times New Roman" w:eastAsia="Times New Roman" w:hAnsi="Times New Roman"/>
                <w:b/>
                <w:bCs/>
                <w:color w:val="000000"/>
                <w:sz w:val="16"/>
                <w:szCs w:val="16"/>
                <w:lang w:val="en-US" w:eastAsia="ja-JP"/>
              </w:rPr>
            </w:pPr>
            <w:r w:rsidRPr="00782B25">
              <w:rPr>
                <w:rFonts w:ascii="Times New Roman" w:eastAsia="Times New Roman" w:hAnsi="Times New Roman"/>
                <w:b/>
                <w:bCs/>
                <w:color w:val="000000"/>
                <w:sz w:val="16"/>
                <w:szCs w:val="16"/>
                <w:lang w:val="en-US" w:eastAsia="ja-JP"/>
              </w:rPr>
              <w:t>Expenditure 2017</w:t>
            </w:r>
          </w:p>
        </w:tc>
        <w:tc>
          <w:tcPr>
            <w:tcW w:w="1369" w:type="dxa"/>
            <w:tcBorders>
              <w:top w:val="nil"/>
              <w:left w:val="nil"/>
              <w:bottom w:val="single" w:sz="8" w:space="0" w:color="auto"/>
              <w:right w:val="single" w:sz="8" w:space="0" w:color="auto"/>
            </w:tcBorders>
            <w:shd w:val="clear" w:color="000000" w:fill="F3F3F3"/>
            <w:vAlign w:val="center"/>
            <w:hideMark/>
          </w:tcPr>
          <w:p w:rsidR="00D6176C" w:rsidRPr="00782B25" w:rsidRDefault="00D6176C" w:rsidP="005B6C71">
            <w:pPr>
              <w:spacing w:after="0" w:line="240" w:lineRule="auto"/>
              <w:jc w:val="center"/>
              <w:rPr>
                <w:rFonts w:ascii="Times New Roman" w:eastAsia="Times New Roman" w:hAnsi="Times New Roman"/>
                <w:b/>
                <w:bCs/>
                <w:color w:val="000000"/>
                <w:sz w:val="16"/>
                <w:szCs w:val="16"/>
                <w:lang w:val="en-US" w:eastAsia="ja-JP"/>
              </w:rPr>
            </w:pPr>
            <w:r w:rsidRPr="00782B25">
              <w:rPr>
                <w:rFonts w:ascii="Times New Roman" w:eastAsia="Times New Roman" w:hAnsi="Times New Roman"/>
                <w:b/>
                <w:bCs/>
                <w:color w:val="000000"/>
                <w:sz w:val="16"/>
                <w:szCs w:val="16"/>
                <w:lang w:val="en-US" w:eastAsia="ja-JP"/>
              </w:rPr>
              <w:t>Expenditure 2014-2017</w:t>
            </w:r>
          </w:p>
        </w:tc>
      </w:tr>
      <w:tr w:rsidR="00D6176C" w:rsidRPr="00782B25" w:rsidTr="00F052E8">
        <w:trPr>
          <w:trHeight w:val="267"/>
          <w:jc w:val="center"/>
        </w:trPr>
        <w:tc>
          <w:tcPr>
            <w:tcW w:w="2866" w:type="dxa"/>
            <w:tcBorders>
              <w:top w:val="nil"/>
              <w:left w:val="single" w:sz="8" w:space="0" w:color="auto"/>
              <w:bottom w:val="single" w:sz="8" w:space="0" w:color="auto"/>
              <w:right w:val="nil"/>
            </w:tcBorders>
            <w:shd w:val="clear" w:color="auto" w:fill="auto"/>
            <w:noWrap/>
            <w:vAlign w:val="center"/>
            <w:hideMark/>
          </w:tcPr>
          <w:p w:rsidR="00D6176C" w:rsidRPr="00782B25" w:rsidRDefault="00D6176C" w:rsidP="005B6C71">
            <w:pPr>
              <w:spacing w:after="0" w:line="240" w:lineRule="auto"/>
              <w:rPr>
                <w:rFonts w:ascii="Times New Roman" w:eastAsia="Times New Roman" w:hAnsi="Times New Roman"/>
                <w:b/>
                <w:bCs/>
                <w:color w:val="000000"/>
                <w:sz w:val="16"/>
                <w:szCs w:val="16"/>
                <w:lang w:val="en-US" w:eastAsia="ja-JP"/>
              </w:rPr>
            </w:pPr>
            <w:r w:rsidRPr="00782B25">
              <w:rPr>
                <w:rFonts w:ascii="Times New Roman" w:eastAsia="Times New Roman" w:hAnsi="Times New Roman"/>
                <w:b/>
                <w:bCs/>
                <w:color w:val="000000"/>
                <w:sz w:val="16"/>
                <w:szCs w:val="16"/>
                <w:lang w:val="en-US" w:eastAsia="ja-JP"/>
              </w:rPr>
              <w:t>Development activities</w:t>
            </w:r>
          </w:p>
        </w:tc>
        <w:tc>
          <w:tcPr>
            <w:tcW w:w="1595" w:type="dxa"/>
            <w:tcBorders>
              <w:top w:val="nil"/>
              <w:left w:val="single" w:sz="8" w:space="0" w:color="auto"/>
              <w:bottom w:val="single" w:sz="8" w:space="0" w:color="auto"/>
              <w:right w:val="single" w:sz="8" w:space="0" w:color="auto"/>
            </w:tcBorders>
            <w:shd w:val="clear" w:color="auto" w:fill="auto"/>
            <w:noWrap/>
            <w:vAlign w:val="center"/>
            <w:hideMark/>
          </w:tcPr>
          <w:p w:rsidR="00D6176C" w:rsidRPr="00782B25" w:rsidRDefault="00D6176C" w:rsidP="005B6C71">
            <w:pPr>
              <w:spacing w:after="0" w:line="240" w:lineRule="auto"/>
              <w:jc w:val="center"/>
              <w:rPr>
                <w:rFonts w:ascii="Times New Roman" w:eastAsia="Times New Roman" w:hAnsi="Times New Roman"/>
                <w:color w:val="000000"/>
                <w:sz w:val="16"/>
                <w:szCs w:val="16"/>
                <w:lang w:val="en-US" w:eastAsia="ja-JP"/>
              </w:rPr>
            </w:pPr>
            <w:r w:rsidRPr="00782B25">
              <w:rPr>
                <w:rFonts w:ascii="Times New Roman" w:eastAsia="Times New Roman" w:hAnsi="Times New Roman"/>
                <w:color w:val="000000"/>
                <w:sz w:val="16"/>
                <w:szCs w:val="16"/>
                <w:lang w:val="en-US" w:eastAsia="ja-JP"/>
              </w:rPr>
              <w:t xml:space="preserve">$20.11 </w:t>
            </w:r>
          </w:p>
        </w:tc>
        <w:tc>
          <w:tcPr>
            <w:tcW w:w="1383" w:type="dxa"/>
            <w:tcBorders>
              <w:top w:val="nil"/>
              <w:left w:val="nil"/>
              <w:bottom w:val="single" w:sz="8" w:space="0" w:color="auto"/>
              <w:right w:val="single" w:sz="8" w:space="0" w:color="auto"/>
            </w:tcBorders>
            <w:shd w:val="clear" w:color="auto" w:fill="auto"/>
            <w:noWrap/>
            <w:vAlign w:val="center"/>
            <w:hideMark/>
          </w:tcPr>
          <w:p w:rsidR="00D6176C" w:rsidRPr="00782B25" w:rsidRDefault="00D6176C" w:rsidP="005B6C71">
            <w:pPr>
              <w:spacing w:after="0" w:line="240" w:lineRule="auto"/>
              <w:jc w:val="center"/>
              <w:rPr>
                <w:rFonts w:ascii="Times New Roman" w:eastAsia="Times New Roman" w:hAnsi="Times New Roman"/>
                <w:color w:val="000000"/>
                <w:sz w:val="16"/>
                <w:szCs w:val="16"/>
                <w:lang w:val="en-US" w:eastAsia="ja-JP"/>
              </w:rPr>
            </w:pPr>
            <w:r w:rsidRPr="00782B25">
              <w:rPr>
                <w:rFonts w:ascii="Times New Roman" w:eastAsia="Times New Roman" w:hAnsi="Times New Roman"/>
                <w:color w:val="000000"/>
                <w:sz w:val="16"/>
                <w:szCs w:val="16"/>
                <w:lang w:val="en-US" w:eastAsia="ja-JP"/>
              </w:rPr>
              <w:t xml:space="preserve">$13.00 </w:t>
            </w:r>
          </w:p>
        </w:tc>
        <w:tc>
          <w:tcPr>
            <w:tcW w:w="1200" w:type="dxa"/>
            <w:tcBorders>
              <w:top w:val="nil"/>
              <w:left w:val="nil"/>
              <w:bottom w:val="single" w:sz="8" w:space="0" w:color="auto"/>
              <w:right w:val="single" w:sz="8" w:space="0" w:color="auto"/>
            </w:tcBorders>
            <w:shd w:val="clear" w:color="auto" w:fill="auto"/>
            <w:noWrap/>
            <w:vAlign w:val="center"/>
            <w:hideMark/>
          </w:tcPr>
          <w:p w:rsidR="00D6176C" w:rsidRPr="00782B25" w:rsidRDefault="00D6176C" w:rsidP="005B6C71">
            <w:pPr>
              <w:spacing w:after="0" w:line="240" w:lineRule="auto"/>
              <w:jc w:val="center"/>
              <w:rPr>
                <w:rFonts w:ascii="Times New Roman" w:eastAsia="Times New Roman" w:hAnsi="Times New Roman"/>
                <w:color w:val="000000"/>
                <w:sz w:val="16"/>
                <w:szCs w:val="16"/>
                <w:lang w:val="en-US" w:eastAsia="ja-JP"/>
              </w:rPr>
            </w:pPr>
            <w:r w:rsidRPr="00782B25">
              <w:rPr>
                <w:rFonts w:ascii="Times New Roman" w:eastAsia="Times New Roman" w:hAnsi="Times New Roman"/>
                <w:color w:val="000000"/>
                <w:sz w:val="16"/>
                <w:szCs w:val="16"/>
                <w:lang w:val="en-US" w:eastAsia="ja-JP"/>
              </w:rPr>
              <w:t xml:space="preserve">$4.63 </w:t>
            </w:r>
          </w:p>
        </w:tc>
        <w:tc>
          <w:tcPr>
            <w:tcW w:w="1369" w:type="dxa"/>
            <w:tcBorders>
              <w:top w:val="nil"/>
              <w:left w:val="nil"/>
              <w:bottom w:val="single" w:sz="8" w:space="0" w:color="auto"/>
              <w:right w:val="single" w:sz="8" w:space="0" w:color="auto"/>
            </w:tcBorders>
            <w:shd w:val="clear" w:color="auto" w:fill="auto"/>
            <w:noWrap/>
            <w:vAlign w:val="center"/>
            <w:hideMark/>
          </w:tcPr>
          <w:p w:rsidR="00D6176C" w:rsidRPr="00782B25" w:rsidRDefault="00D6176C" w:rsidP="005B6C71">
            <w:pPr>
              <w:spacing w:after="0" w:line="240" w:lineRule="auto"/>
              <w:jc w:val="center"/>
              <w:rPr>
                <w:rFonts w:ascii="Times New Roman" w:eastAsia="Times New Roman" w:hAnsi="Times New Roman"/>
                <w:color w:val="000000"/>
                <w:sz w:val="16"/>
                <w:szCs w:val="16"/>
                <w:lang w:val="en-US" w:eastAsia="ja-JP"/>
              </w:rPr>
            </w:pPr>
            <w:r w:rsidRPr="00782B25">
              <w:rPr>
                <w:rFonts w:ascii="Times New Roman" w:eastAsia="Times New Roman" w:hAnsi="Times New Roman"/>
                <w:color w:val="000000"/>
                <w:sz w:val="16"/>
                <w:szCs w:val="16"/>
                <w:lang w:val="en-US" w:eastAsia="ja-JP"/>
              </w:rPr>
              <w:t xml:space="preserve">$17.63 </w:t>
            </w:r>
          </w:p>
        </w:tc>
      </w:tr>
      <w:tr w:rsidR="00D6176C" w:rsidRPr="00782B25" w:rsidTr="00F052E8">
        <w:trPr>
          <w:trHeight w:val="369"/>
          <w:jc w:val="center"/>
        </w:trPr>
        <w:tc>
          <w:tcPr>
            <w:tcW w:w="2866" w:type="dxa"/>
            <w:tcBorders>
              <w:top w:val="nil"/>
              <w:left w:val="single" w:sz="8" w:space="0" w:color="auto"/>
              <w:bottom w:val="single" w:sz="8" w:space="0" w:color="auto"/>
              <w:right w:val="nil"/>
            </w:tcBorders>
            <w:shd w:val="clear" w:color="auto" w:fill="auto"/>
            <w:vAlign w:val="center"/>
            <w:hideMark/>
          </w:tcPr>
          <w:p w:rsidR="00D6176C" w:rsidRPr="00782B25" w:rsidRDefault="00D6176C" w:rsidP="005B6C71">
            <w:pPr>
              <w:spacing w:after="0" w:line="240" w:lineRule="auto"/>
              <w:rPr>
                <w:rFonts w:ascii="Times New Roman" w:eastAsia="Times New Roman" w:hAnsi="Times New Roman"/>
                <w:b/>
                <w:bCs/>
                <w:color w:val="000000"/>
                <w:sz w:val="16"/>
                <w:szCs w:val="16"/>
                <w:lang w:val="en-US" w:eastAsia="ja-JP"/>
              </w:rPr>
            </w:pPr>
            <w:r w:rsidRPr="00782B25">
              <w:rPr>
                <w:rFonts w:ascii="Times New Roman" w:eastAsia="Times New Roman" w:hAnsi="Times New Roman"/>
                <w:b/>
                <w:bCs/>
                <w:color w:val="000000"/>
                <w:sz w:val="16"/>
                <w:szCs w:val="16"/>
                <w:lang w:val="en-US" w:eastAsia="ja-JP"/>
              </w:rPr>
              <w:t>United Nations development coordination activities</w:t>
            </w:r>
          </w:p>
        </w:tc>
        <w:tc>
          <w:tcPr>
            <w:tcW w:w="1595" w:type="dxa"/>
            <w:tcBorders>
              <w:top w:val="nil"/>
              <w:left w:val="single" w:sz="8" w:space="0" w:color="auto"/>
              <w:bottom w:val="single" w:sz="8" w:space="0" w:color="auto"/>
              <w:right w:val="single" w:sz="8" w:space="0" w:color="auto"/>
            </w:tcBorders>
            <w:shd w:val="clear" w:color="auto" w:fill="auto"/>
            <w:noWrap/>
            <w:vAlign w:val="center"/>
            <w:hideMark/>
          </w:tcPr>
          <w:p w:rsidR="00D6176C" w:rsidRPr="00782B25" w:rsidRDefault="00D6176C" w:rsidP="005B6C71">
            <w:pPr>
              <w:spacing w:after="0" w:line="240" w:lineRule="auto"/>
              <w:jc w:val="center"/>
              <w:rPr>
                <w:rFonts w:ascii="Times New Roman" w:eastAsia="Times New Roman" w:hAnsi="Times New Roman"/>
                <w:color w:val="000000"/>
                <w:sz w:val="16"/>
                <w:szCs w:val="16"/>
                <w:lang w:val="en-US" w:eastAsia="ja-JP"/>
              </w:rPr>
            </w:pPr>
            <w:r w:rsidRPr="00782B25">
              <w:rPr>
                <w:rFonts w:ascii="Times New Roman" w:eastAsia="Times New Roman" w:hAnsi="Times New Roman"/>
                <w:color w:val="000000"/>
                <w:sz w:val="16"/>
                <w:szCs w:val="16"/>
                <w:lang w:val="en-US" w:eastAsia="ja-JP"/>
              </w:rPr>
              <w:t xml:space="preserve">$0.37 </w:t>
            </w:r>
          </w:p>
        </w:tc>
        <w:tc>
          <w:tcPr>
            <w:tcW w:w="1383" w:type="dxa"/>
            <w:tcBorders>
              <w:top w:val="nil"/>
              <w:left w:val="nil"/>
              <w:bottom w:val="single" w:sz="8" w:space="0" w:color="auto"/>
              <w:right w:val="single" w:sz="8" w:space="0" w:color="auto"/>
            </w:tcBorders>
            <w:shd w:val="clear" w:color="auto" w:fill="auto"/>
            <w:noWrap/>
            <w:vAlign w:val="center"/>
            <w:hideMark/>
          </w:tcPr>
          <w:p w:rsidR="00D6176C" w:rsidRPr="00782B25" w:rsidRDefault="00D6176C" w:rsidP="005B6C71">
            <w:pPr>
              <w:spacing w:after="0" w:line="240" w:lineRule="auto"/>
              <w:jc w:val="center"/>
              <w:rPr>
                <w:rFonts w:ascii="Times New Roman" w:eastAsia="Times New Roman" w:hAnsi="Times New Roman"/>
                <w:color w:val="000000"/>
                <w:sz w:val="16"/>
                <w:szCs w:val="16"/>
                <w:lang w:val="en-US" w:eastAsia="ja-JP"/>
              </w:rPr>
            </w:pPr>
            <w:r w:rsidRPr="00782B25">
              <w:rPr>
                <w:rFonts w:ascii="Times New Roman" w:eastAsia="Times New Roman" w:hAnsi="Times New Roman"/>
                <w:color w:val="000000"/>
                <w:sz w:val="16"/>
                <w:szCs w:val="16"/>
                <w:lang w:val="en-US" w:eastAsia="ja-JP"/>
              </w:rPr>
              <w:t xml:space="preserve">$0.30 </w:t>
            </w:r>
          </w:p>
        </w:tc>
        <w:tc>
          <w:tcPr>
            <w:tcW w:w="1200" w:type="dxa"/>
            <w:tcBorders>
              <w:top w:val="nil"/>
              <w:left w:val="nil"/>
              <w:bottom w:val="single" w:sz="8" w:space="0" w:color="auto"/>
              <w:right w:val="single" w:sz="8" w:space="0" w:color="auto"/>
            </w:tcBorders>
            <w:shd w:val="clear" w:color="auto" w:fill="auto"/>
            <w:noWrap/>
            <w:vAlign w:val="center"/>
            <w:hideMark/>
          </w:tcPr>
          <w:p w:rsidR="00D6176C" w:rsidRPr="00782B25" w:rsidRDefault="00D6176C" w:rsidP="005B6C71">
            <w:pPr>
              <w:spacing w:after="0" w:line="240" w:lineRule="auto"/>
              <w:jc w:val="center"/>
              <w:rPr>
                <w:rFonts w:ascii="Times New Roman" w:eastAsia="Times New Roman" w:hAnsi="Times New Roman"/>
                <w:color w:val="000000"/>
                <w:sz w:val="16"/>
                <w:szCs w:val="16"/>
                <w:lang w:val="en-US" w:eastAsia="ja-JP"/>
              </w:rPr>
            </w:pPr>
            <w:r w:rsidRPr="00782B25">
              <w:rPr>
                <w:rFonts w:ascii="Times New Roman" w:eastAsia="Times New Roman" w:hAnsi="Times New Roman"/>
                <w:color w:val="000000"/>
                <w:sz w:val="16"/>
                <w:szCs w:val="16"/>
                <w:lang w:val="en-US" w:eastAsia="ja-JP"/>
              </w:rPr>
              <w:t xml:space="preserve">$0.10 </w:t>
            </w:r>
          </w:p>
        </w:tc>
        <w:tc>
          <w:tcPr>
            <w:tcW w:w="1369" w:type="dxa"/>
            <w:tcBorders>
              <w:top w:val="nil"/>
              <w:left w:val="nil"/>
              <w:bottom w:val="single" w:sz="8" w:space="0" w:color="auto"/>
              <w:right w:val="single" w:sz="8" w:space="0" w:color="auto"/>
            </w:tcBorders>
            <w:shd w:val="clear" w:color="auto" w:fill="auto"/>
            <w:noWrap/>
            <w:vAlign w:val="center"/>
            <w:hideMark/>
          </w:tcPr>
          <w:p w:rsidR="00D6176C" w:rsidRPr="00782B25" w:rsidRDefault="00D6176C" w:rsidP="005B6C71">
            <w:pPr>
              <w:spacing w:after="0" w:line="240" w:lineRule="auto"/>
              <w:jc w:val="center"/>
              <w:rPr>
                <w:rFonts w:ascii="Times New Roman" w:eastAsia="Times New Roman" w:hAnsi="Times New Roman"/>
                <w:color w:val="000000"/>
                <w:sz w:val="16"/>
                <w:szCs w:val="16"/>
                <w:lang w:val="en-US" w:eastAsia="ja-JP"/>
              </w:rPr>
            </w:pPr>
            <w:r w:rsidRPr="00782B25">
              <w:rPr>
                <w:rFonts w:ascii="Times New Roman" w:eastAsia="Times New Roman" w:hAnsi="Times New Roman"/>
                <w:color w:val="000000"/>
                <w:sz w:val="16"/>
                <w:szCs w:val="16"/>
                <w:lang w:val="en-US" w:eastAsia="ja-JP"/>
              </w:rPr>
              <w:t xml:space="preserve">$0.40 </w:t>
            </w:r>
          </w:p>
        </w:tc>
      </w:tr>
      <w:tr w:rsidR="00D6176C" w:rsidRPr="00782B25" w:rsidTr="00F052E8">
        <w:trPr>
          <w:trHeight w:val="267"/>
          <w:jc w:val="center"/>
        </w:trPr>
        <w:tc>
          <w:tcPr>
            <w:tcW w:w="2866" w:type="dxa"/>
            <w:tcBorders>
              <w:top w:val="nil"/>
              <w:left w:val="single" w:sz="8" w:space="0" w:color="auto"/>
              <w:bottom w:val="single" w:sz="8" w:space="0" w:color="auto"/>
              <w:right w:val="nil"/>
            </w:tcBorders>
            <w:shd w:val="clear" w:color="auto" w:fill="auto"/>
            <w:noWrap/>
            <w:vAlign w:val="center"/>
            <w:hideMark/>
          </w:tcPr>
          <w:p w:rsidR="00D6176C" w:rsidRPr="00782B25" w:rsidRDefault="00D6176C" w:rsidP="005B6C71">
            <w:pPr>
              <w:spacing w:after="0" w:line="240" w:lineRule="auto"/>
              <w:rPr>
                <w:rFonts w:ascii="Times New Roman" w:eastAsia="Times New Roman" w:hAnsi="Times New Roman"/>
                <w:b/>
                <w:bCs/>
                <w:color w:val="000000"/>
                <w:sz w:val="16"/>
                <w:szCs w:val="16"/>
                <w:lang w:val="en-US" w:eastAsia="ja-JP"/>
              </w:rPr>
            </w:pPr>
            <w:r w:rsidRPr="00782B25">
              <w:rPr>
                <w:rFonts w:ascii="Times New Roman" w:eastAsia="Times New Roman" w:hAnsi="Times New Roman"/>
                <w:b/>
                <w:bCs/>
                <w:color w:val="000000"/>
                <w:sz w:val="16"/>
                <w:szCs w:val="16"/>
                <w:lang w:val="en-US" w:eastAsia="ja-JP"/>
              </w:rPr>
              <w:t>Management activities</w:t>
            </w:r>
          </w:p>
        </w:tc>
        <w:tc>
          <w:tcPr>
            <w:tcW w:w="1595" w:type="dxa"/>
            <w:tcBorders>
              <w:top w:val="nil"/>
              <w:left w:val="single" w:sz="8" w:space="0" w:color="auto"/>
              <w:bottom w:val="single" w:sz="8" w:space="0" w:color="auto"/>
              <w:right w:val="single" w:sz="8" w:space="0" w:color="auto"/>
            </w:tcBorders>
            <w:shd w:val="clear" w:color="auto" w:fill="auto"/>
            <w:noWrap/>
            <w:vAlign w:val="center"/>
            <w:hideMark/>
          </w:tcPr>
          <w:p w:rsidR="00D6176C" w:rsidRPr="00782B25" w:rsidRDefault="00D6176C" w:rsidP="005B6C71">
            <w:pPr>
              <w:spacing w:after="0" w:line="240" w:lineRule="auto"/>
              <w:jc w:val="center"/>
              <w:rPr>
                <w:rFonts w:ascii="Times New Roman" w:eastAsia="Times New Roman" w:hAnsi="Times New Roman"/>
                <w:color w:val="000000"/>
                <w:sz w:val="16"/>
                <w:szCs w:val="16"/>
                <w:lang w:val="en-US" w:eastAsia="ja-JP"/>
              </w:rPr>
            </w:pPr>
            <w:r w:rsidRPr="00782B25">
              <w:rPr>
                <w:rFonts w:ascii="Times New Roman" w:eastAsia="Times New Roman" w:hAnsi="Times New Roman"/>
                <w:color w:val="000000"/>
                <w:sz w:val="16"/>
                <w:szCs w:val="16"/>
                <w:lang w:val="en-US" w:eastAsia="ja-JP"/>
              </w:rPr>
              <w:t xml:space="preserve">$1.84 </w:t>
            </w:r>
          </w:p>
        </w:tc>
        <w:tc>
          <w:tcPr>
            <w:tcW w:w="1383" w:type="dxa"/>
            <w:tcBorders>
              <w:top w:val="nil"/>
              <w:left w:val="nil"/>
              <w:bottom w:val="single" w:sz="8" w:space="0" w:color="auto"/>
              <w:right w:val="single" w:sz="8" w:space="0" w:color="auto"/>
            </w:tcBorders>
            <w:shd w:val="clear" w:color="auto" w:fill="auto"/>
            <w:noWrap/>
            <w:vAlign w:val="center"/>
            <w:hideMark/>
          </w:tcPr>
          <w:p w:rsidR="00D6176C" w:rsidRPr="00782B25" w:rsidRDefault="00D6176C" w:rsidP="005B6C71">
            <w:pPr>
              <w:spacing w:after="0" w:line="240" w:lineRule="auto"/>
              <w:jc w:val="center"/>
              <w:rPr>
                <w:rFonts w:ascii="Times New Roman" w:eastAsia="Times New Roman" w:hAnsi="Times New Roman"/>
                <w:color w:val="000000"/>
                <w:sz w:val="16"/>
                <w:szCs w:val="16"/>
                <w:lang w:val="en-US" w:eastAsia="ja-JP"/>
              </w:rPr>
            </w:pPr>
            <w:r w:rsidRPr="00782B25">
              <w:rPr>
                <w:rFonts w:ascii="Times New Roman" w:eastAsia="Times New Roman" w:hAnsi="Times New Roman"/>
                <w:color w:val="000000"/>
                <w:sz w:val="16"/>
                <w:szCs w:val="16"/>
                <w:lang w:val="en-US" w:eastAsia="ja-JP"/>
              </w:rPr>
              <w:t xml:space="preserve">$1.18 </w:t>
            </w:r>
          </w:p>
        </w:tc>
        <w:tc>
          <w:tcPr>
            <w:tcW w:w="1200" w:type="dxa"/>
            <w:tcBorders>
              <w:top w:val="nil"/>
              <w:left w:val="nil"/>
              <w:bottom w:val="single" w:sz="8" w:space="0" w:color="auto"/>
              <w:right w:val="single" w:sz="8" w:space="0" w:color="auto"/>
            </w:tcBorders>
            <w:shd w:val="clear" w:color="auto" w:fill="auto"/>
            <w:noWrap/>
            <w:vAlign w:val="center"/>
            <w:hideMark/>
          </w:tcPr>
          <w:p w:rsidR="00D6176C" w:rsidRPr="00782B25" w:rsidRDefault="00D6176C" w:rsidP="005B6C71">
            <w:pPr>
              <w:spacing w:after="0" w:line="240" w:lineRule="auto"/>
              <w:jc w:val="center"/>
              <w:rPr>
                <w:rFonts w:ascii="Times New Roman" w:eastAsia="Times New Roman" w:hAnsi="Times New Roman"/>
                <w:color w:val="000000"/>
                <w:sz w:val="16"/>
                <w:szCs w:val="16"/>
                <w:lang w:val="en-US" w:eastAsia="ja-JP"/>
              </w:rPr>
            </w:pPr>
            <w:r w:rsidRPr="00782B25">
              <w:rPr>
                <w:rFonts w:ascii="Times New Roman" w:eastAsia="Times New Roman" w:hAnsi="Times New Roman"/>
                <w:color w:val="000000"/>
                <w:sz w:val="16"/>
                <w:szCs w:val="16"/>
                <w:lang w:val="en-US" w:eastAsia="ja-JP"/>
              </w:rPr>
              <w:t xml:space="preserve">$0.36 </w:t>
            </w:r>
          </w:p>
        </w:tc>
        <w:tc>
          <w:tcPr>
            <w:tcW w:w="1369" w:type="dxa"/>
            <w:tcBorders>
              <w:top w:val="nil"/>
              <w:left w:val="nil"/>
              <w:bottom w:val="single" w:sz="8" w:space="0" w:color="auto"/>
              <w:right w:val="single" w:sz="8" w:space="0" w:color="auto"/>
            </w:tcBorders>
            <w:shd w:val="clear" w:color="auto" w:fill="auto"/>
            <w:noWrap/>
            <w:vAlign w:val="center"/>
            <w:hideMark/>
          </w:tcPr>
          <w:p w:rsidR="00D6176C" w:rsidRPr="00782B25" w:rsidRDefault="00D6176C" w:rsidP="005B6C71">
            <w:pPr>
              <w:spacing w:after="0" w:line="240" w:lineRule="auto"/>
              <w:jc w:val="center"/>
              <w:rPr>
                <w:rFonts w:ascii="Times New Roman" w:eastAsia="Times New Roman" w:hAnsi="Times New Roman"/>
                <w:color w:val="000000"/>
                <w:sz w:val="16"/>
                <w:szCs w:val="16"/>
                <w:lang w:val="en-US" w:eastAsia="ja-JP"/>
              </w:rPr>
            </w:pPr>
            <w:r w:rsidRPr="00782B25">
              <w:rPr>
                <w:rFonts w:ascii="Times New Roman" w:eastAsia="Times New Roman" w:hAnsi="Times New Roman"/>
                <w:color w:val="000000"/>
                <w:sz w:val="16"/>
                <w:szCs w:val="16"/>
                <w:lang w:val="en-US" w:eastAsia="ja-JP"/>
              </w:rPr>
              <w:t xml:space="preserve">$1.54 </w:t>
            </w:r>
          </w:p>
        </w:tc>
      </w:tr>
      <w:tr w:rsidR="00D6176C" w:rsidRPr="00782B25" w:rsidTr="00F052E8">
        <w:trPr>
          <w:trHeight w:val="267"/>
          <w:jc w:val="center"/>
        </w:trPr>
        <w:tc>
          <w:tcPr>
            <w:tcW w:w="2866" w:type="dxa"/>
            <w:tcBorders>
              <w:top w:val="nil"/>
              <w:left w:val="single" w:sz="8" w:space="0" w:color="auto"/>
              <w:bottom w:val="single" w:sz="8" w:space="0" w:color="auto"/>
              <w:right w:val="nil"/>
            </w:tcBorders>
            <w:shd w:val="clear" w:color="auto" w:fill="auto"/>
            <w:noWrap/>
            <w:vAlign w:val="center"/>
            <w:hideMark/>
          </w:tcPr>
          <w:p w:rsidR="00D6176C" w:rsidRPr="00782B25" w:rsidRDefault="00D6176C" w:rsidP="005B6C71">
            <w:pPr>
              <w:spacing w:after="0" w:line="240" w:lineRule="auto"/>
              <w:rPr>
                <w:rFonts w:ascii="Times New Roman" w:eastAsia="Times New Roman" w:hAnsi="Times New Roman"/>
                <w:b/>
                <w:bCs/>
                <w:color w:val="000000"/>
                <w:sz w:val="16"/>
                <w:szCs w:val="16"/>
                <w:lang w:val="en-US" w:eastAsia="ja-JP"/>
              </w:rPr>
            </w:pPr>
            <w:r w:rsidRPr="00782B25">
              <w:rPr>
                <w:rFonts w:ascii="Times New Roman" w:eastAsia="Times New Roman" w:hAnsi="Times New Roman"/>
                <w:b/>
                <w:bCs/>
                <w:color w:val="000000"/>
                <w:sz w:val="16"/>
                <w:szCs w:val="16"/>
                <w:lang w:val="en-US" w:eastAsia="ja-JP"/>
              </w:rPr>
              <w:t>Special purpose activities</w:t>
            </w:r>
          </w:p>
        </w:tc>
        <w:tc>
          <w:tcPr>
            <w:tcW w:w="1595" w:type="dxa"/>
            <w:tcBorders>
              <w:top w:val="nil"/>
              <w:left w:val="single" w:sz="8" w:space="0" w:color="auto"/>
              <w:bottom w:val="single" w:sz="8" w:space="0" w:color="auto"/>
              <w:right w:val="single" w:sz="8" w:space="0" w:color="auto"/>
            </w:tcBorders>
            <w:shd w:val="clear" w:color="auto" w:fill="auto"/>
            <w:noWrap/>
            <w:vAlign w:val="center"/>
            <w:hideMark/>
          </w:tcPr>
          <w:p w:rsidR="00D6176C" w:rsidRPr="00782B25" w:rsidRDefault="00D6176C" w:rsidP="005B6C71">
            <w:pPr>
              <w:spacing w:after="0" w:line="240" w:lineRule="auto"/>
              <w:jc w:val="center"/>
              <w:rPr>
                <w:rFonts w:ascii="Times New Roman" w:eastAsia="Times New Roman" w:hAnsi="Times New Roman"/>
                <w:color w:val="000000"/>
                <w:sz w:val="16"/>
                <w:szCs w:val="16"/>
                <w:lang w:val="en-US" w:eastAsia="ja-JP"/>
              </w:rPr>
            </w:pPr>
            <w:r w:rsidRPr="00782B25">
              <w:rPr>
                <w:rFonts w:ascii="Times New Roman" w:eastAsia="Times New Roman" w:hAnsi="Times New Roman"/>
                <w:color w:val="000000"/>
                <w:sz w:val="16"/>
                <w:szCs w:val="16"/>
                <w:lang w:val="en-US" w:eastAsia="ja-JP"/>
              </w:rPr>
              <w:t xml:space="preserve">$0.32 </w:t>
            </w:r>
          </w:p>
        </w:tc>
        <w:tc>
          <w:tcPr>
            <w:tcW w:w="1383" w:type="dxa"/>
            <w:tcBorders>
              <w:top w:val="nil"/>
              <w:left w:val="nil"/>
              <w:bottom w:val="single" w:sz="8" w:space="0" w:color="auto"/>
              <w:right w:val="single" w:sz="8" w:space="0" w:color="auto"/>
            </w:tcBorders>
            <w:shd w:val="clear" w:color="auto" w:fill="auto"/>
            <w:noWrap/>
            <w:vAlign w:val="center"/>
            <w:hideMark/>
          </w:tcPr>
          <w:p w:rsidR="00D6176C" w:rsidRPr="00782B25" w:rsidRDefault="00D6176C" w:rsidP="005B6C71">
            <w:pPr>
              <w:spacing w:after="0" w:line="240" w:lineRule="auto"/>
              <w:jc w:val="center"/>
              <w:rPr>
                <w:rFonts w:ascii="Times New Roman" w:eastAsia="Times New Roman" w:hAnsi="Times New Roman"/>
                <w:color w:val="000000"/>
                <w:sz w:val="16"/>
                <w:szCs w:val="16"/>
                <w:lang w:val="en-US" w:eastAsia="ja-JP"/>
              </w:rPr>
            </w:pPr>
            <w:r w:rsidRPr="00782B25">
              <w:rPr>
                <w:rFonts w:ascii="Times New Roman" w:eastAsia="Times New Roman" w:hAnsi="Times New Roman"/>
                <w:color w:val="000000"/>
                <w:sz w:val="16"/>
                <w:szCs w:val="16"/>
                <w:lang w:val="en-US" w:eastAsia="ja-JP"/>
              </w:rPr>
              <w:t xml:space="preserve">$0.25 </w:t>
            </w:r>
          </w:p>
        </w:tc>
        <w:tc>
          <w:tcPr>
            <w:tcW w:w="1200" w:type="dxa"/>
            <w:tcBorders>
              <w:top w:val="nil"/>
              <w:left w:val="nil"/>
              <w:bottom w:val="single" w:sz="8" w:space="0" w:color="auto"/>
              <w:right w:val="single" w:sz="8" w:space="0" w:color="auto"/>
            </w:tcBorders>
            <w:shd w:val="clear" w:color="auto" w:fill="auto"/>
            <w:noWrap/>
            <w:vAlign w:val="center"/>
            <w:hideMark/>
          </w:tcPr>
          <w:p w:rsidR="00D6176C" w:rsidRPr="00782B25" w:rsidRDefault="00D6176C" w:rsidP="005B6C71">
            <w:pPr>
              <w:spacing w:after="0" w:line="240" w:lineRule="auto"/>
              <w:jc w:val="center"/>
              <w:rPr>
                <w:rFonts w:ascii="Times New Roman" w:eastAsia="Times New Roman" w:hAnsi="Times New Roman"/>
                <w:color w:val="000000"/>
                <w:sz w:val="16"/>
                <w:szCs w:val="16"/>
                <w:lang w:val="en-US" w:eastAsia="ja-JP"/>
              </w:rPr>
            </w:pPr>
            <w:r w:rsidRPr="00782B25">
              <w:rPr>
                <w:rFonts w:ascii="Times New Roman" w:eastAsia="Times New Roman" w:hAnsi="Times New Roman"/>
                <w:color w:val="000000"/>
                <w:sz w:val="16"/>
                <w:szCs w:val="16"/>
                <w:lang w:val="en-US" w:eastAsia="ja-JP"/>
              </w:rPr>
              <w:t xml:space="preserve">$0.07 </w:t>
            </w:r>
          </w:p>
        </w:tc>
        <w:tc>
          <w:tcPr>
            <w:tcW w:w="1369" w:type="dxa"/>
            <w:tcBorders>
              <w:top w:val="nil"/>
              <w:left w:val="nil"/>
              <w:bottom w:val="single" w:sz="8" w:space="0" w:color="auto"/>
              <w:right w:val="single" w:sz="8" w:space="0" w:color="auto"/>
            </w:tcBorders>
            <w:shd w:val="clear" w:color="auto" w:fill="auto"/>
            <w:noWrap/>
            <w:vAlign w:val="center"/>
            <w:hideMark/>
          </w:tcPr>
          <w:p w:rsidR="00D6176C" w:rsidRPr="00782B25" w:rsidRDefault="00D6176C" w:rsidP="005B6C71">
            <w:pPr>
              <w:spacing w:after="0" w:line="240" w:lineRule="auto"/>
              <w:jc w:val="center"/>
              <w:rPr>
                <w:rFonts w:ascii="Times New Roman" w:eastAsia="Times New Roman" w:hAnsi="Times New Roman"/>
                <w:color w:val="000000"/>
                <w:sz w:val="16"/>
                <w:szCs w:val="16"/>
                <w:lang w:val="en-US" w:eastAsia="ja-JP"/>
              </w:rPr>
            </w:pPr>
            <w:r w:rsidRPr="00782B25">
              <w:rPr>
                <w:rFonts w:ascii="Times New Roman" w:eastAsia="Times New Roman" w:hAnsi="Times New Roman"/>
                <w:color w:val="000000"/>
                <w:sz w:val="16"/>
                <w:szCs w:val="16"/>
                <w:lang w:val="en-US" w:eastAsia="ja-JP"/>
              </w:rPr>
              <w:t xml:space="preserve">$0.32 </w:t>
            </w:r>
          </w:p>
        </w:tc>
      </w:tr>
      <w:tr w:rsidR="00D6176C" w:rsidRPr="00782B25" w:rsidTr="00F052E8">
        <w:trPr>
          <w:trHeight w:val="267"/>
          <w:jc w:val="center"/>
        </w:trPr>
        <w:tc>
          <w:tcPr>
            <w:tcW w:w="2866" w:type="dxa"/>
            <w:tcBorders>
              <w:top w:val="nil"/>
              <w:left w:val="single" w:sz="8" w:space="0" w:color="auto"/>
              <w:bottom w:val="single" w:sz="8" w:space="0" w:color="auto"/>
              <w:right w:val="nil"/>
            </w:tcBorders>
            <w:shd w:val="clear" w:color="000000" w:fill="F3F3F3"/>
            <w:noWrap/>
            <w:vAlign w:val="center"/>
            <w:hideMark/>
          </w:tcPr>
          <w:p w:rsidR="00D6176C" w:rsidRPr="00782B25" w:rsidRDefault="00D6176C" w:rsidP="005B6C71">
            <w:pPr>
              <w:spacing w:after="0" w:line="240" w:lineRule="auto"/>
              <w:jc w:val="right"/>
              <w:rPr>
                <w:rFonts w:ascii="Times New Roman" w:eastAsia="Times New Roman" w:hAnsi="Times New Roman"/>
                <w:b/>
                <w:bCs/>
                <w:color w:val="000000"/>
                <w:sz w:val="16"/>
                <w:szCs w:val="16"/>
                <w:lang w:val="en-US" w:eastAsia="ja-JP"/>
              </w:rPr>
            </w:pPr>
            <w:r w:rsidRPr="00782B25">
              <w:rPr>
                <w:rFonts w:ascii="Times New Roman" w:eastAsia="Times New Roman" w:hAnsi="Times New Roman"/>
                <w:b/>
                <w:bCs/>
                <w:color w:val="000000"/>
                <w:sz w:val="16"/>
                <w:szCs w:val="16"/>
                <w:lang w:val="en-US" w:eastAsia="ja-JP"/>
              </w:rPr>
              <w:t>Total</w:t>
            </w:r>
          </w:p>
        </w:tc>
        <w:tc>
          <w:tcPr>
            <w:tcW w:w="1595" w:type="dxa"/>
            <w:tcBorders>
              <w:top w:val="nil"/>
              <w:left w:val="single" w:sz="8" w:space="0" w:color="auto"/>
              <w:bottom w:val="single" w:sz="8" w:space="0" w:color="auto"/>
              <w:right w:val="single" w:sz="8" w:space="0" w:color="auto"/>
            </w:tcBorders>
            <w:shd w:val="clear" w:color="000000" w:fill="F3F3F3"/>
            <w:noWrap/>
            <w:vAlign w:val="center"/>
            <w:hideMark/>
          </w:tcPr>
          <w:p w:rsidR="00D6176C" w:rsidRPr="00782B25" w:rsidRDefault="00D6176C" w:rsidP="005B6C71">
            <w:pPr>
              <w:spacing w:after="0" w:line="240" w:lineRule="auto"/>
              <w:jc w:val="center"/>
              <w:rPr>
                <w:rFonts w:ascii="Times New Roman" w:eastAsia="Times New Roman" w:hAnsi="Times New Roman"/>
                <w:b/>
                <w:bCs/>
                <w:color w:val="000000"/>
                <w:sz w:val="16"/>
                <w:szCs w:val="16"/>
                <w:lang w:val="en-US" w:eastAsia="ja-JP"/>
              </w:rPr>
            </w:pPr>
            <w:r w:rsidRPr="00782B25">
              <w:rPr>
                <w:rFonts w:ascii="Times New Roman" w:eastAsia="Times New Roman" w:hAnsi="Times New Roman"/>
                <w:b/>
                <w:bCs/>
                <w:color w:val="000000"/>
                <w:sz w:val="16"/>
                <w:szCs w:val="16"/>
                <w:lang w:val="en-US" w:eastAsia="ja-JP"/>
              </w:rPr>
              <w:t xml:space="preserve">$22.64 </w:t>
            </w:r>
          </w:p>
        </w:tc>
        <w:tc>
          <w:tcPr>
            <w:tcW w:w="1383" w:type="dxa"/>
            <w:tcBorders>
              <w:top w:val="nil"/>
              <w:left w:val="nil"/>
              <w:bottom w:val="single" w:sz="8" w:space="0" w:color="auto"/>
              <w:right w:val="single" w:sz="8" w:space="0" w:color="auto"/>
            </w:tcBorders>
            <w:shd w:val="clear" w:color="000000" w:fill="F3F3F3"/>
            <w:noWrap/>
            <w:vAlign w:val="center"/>
            <w:hideMark/>
          </w:tcPr>
          <w:p w:rsidR="00D6176C" w:rsidRPr="00782B25" w:rsidRDefault="00D6176C" w:rsidP="005B6C71">
            <w:pPr>
              <w:spacing w:after="0" w:line="240" w:lineRule="auto"/>
              <w:jc w:val="center"/>
              <w:rPr>
                <w:rFonts w:ascii="Times New Roman" w:eastAsia="Times New Roman" w:hAnsi="Times New Roman"/>
                <w:b/>
                <w:bCs/>
                <w:color w:val="000000"/>
                <w:sz w:val="16"/>
                <w:szCs w:val="16"/>
                <w:lang w:val="en-US" w:eastAsia="ja-JP"/>
              </w:rPr>
            </w:pPr>
            <w:r w:rsidRPr="00782B25">
              <w:rPr>
                <w:rFonts w:ascii="Times New Roman" w:eastAsia="Times New Roman" w:hAnsi="Times New Roman"/>
                <w:b/>
                <w:bCs/>
                <w:color w:val="000000"/>
                <w:sz w:val="16"/>
                <w:szCs w:val="16"/>
                <w:lang w:val="en-US" w:eastAsia="ja-JP"/>
              </w:rPr>
              <w:t xml:space="preserve">$14.73 </w:t>
            </w:r>
          </w:p>
        </w:tc>
        <w:tc>
          <w:tcPr>
            <w:tcW w:w="1200" w:type="dxa"/>
            <w:tcBorders>
              <w:top w:val="nil"/>
              <w:left w:val="nil"/>
              <w:bottom w:val="single" w:sz="8" w:space="0" w:color="auto"/>
              <w:right w:val="single" w:sz="8" w:space="0" w:color="auto"/>
            </w:tcBorders>
            <w:shd w:val="clear" w:color="000000" w:fill="F3F3F3"/>
            <w:noWrap/>
            <w:vAlign w:val="center"/>
            <w:hideMark/>
          </w:tcPr>
          <w:p w:rsidR="00D6176C" w:rsidRPr="00782B25" w:rsidRDefault="00D6176C" w:rsidP="005B6C71">
            <w:pPr>
              <w:spacing w:after="0" w:line="240" w:lineRule="auto"/>
              <w:jc w:val="center"/>
              <w:rPr>
                <w:rFonts w:ascii="Times New Roman" w:eastAsia="Times New Roman" w:hAnsi="Times New Roman"/>
                <w:b/>
                <w:bCs/>
                <w:color w:val="000000"/>
                <w:sz w:val="16"/>
                <w:szCs w:val="16"/>
                <w:lang w:val="en-US" w:eastAsia="ja-JP"/>
              </w:rPr>
            </w:pPr>
            <w:r w:rsidRPr="00782B25">
              <w:rPr>
                <w:rFonts w:ascii="Times New Roman" w:eastAsia="Times New Roman" w:hAnsi="Times New Roman"/>
                <w:b/>
                <w:bCs/>
                <w:color w:val="000000"/>
                <w:sz w:val="16"/>
                <w:szCs w:val="16"/>
                <w:lang w:val="en-US" w:eastAsia="ja-JP"/>
              </w:rPr>
              <w:t xml:space="preserve">$5.15 </w:t>
            </w:r>
          </w:p>
        </w:tc>
        <w:tc>
          <w:tcPr>
            <w:tcW w:w="1369" w:type="dxa"/>
            <w:tcBorders>
              <w:top w:val="nil"/>
              <w:left w:val="nil"/>
              <w:bottom w:val="single" w:sz="8" w:space="0" w:color="auto"/>
              <w:right w:val="single" w:sz="8" w:space="0" w:color="auto"/>
            </w:tcBorders>
            <w:shd w:val="clear" w:color="000000" w:fill="F3F3F3"/>
            <w:noWrap/>
            <w:vAlign w:val="center"/>
            <w:hideMark/>
          </w:tcPr>
          <w:p w:rsidR="00D6176C" w:rsidRPr="00782B25" w:rsidRDefault="00D6176C" w:rsidP="005B6C71">
            <w:pPr>
              <w:spacing w:after="0" w:line="240" w:lineRule="auto"/>
              <w:jc w:val="center"/>
              <w:rPr>
                <w:rFonts w:ascii="Times New Roman" w:eastAsia="Times New Roman" w:hAnsi="Times New Roman"/>
                <w:b/>
                <w:bCs/>
                <w:color w:val="000000"/>
                <w:sz w:val="16"/>
                <w:szCs w:val="16"/>
                <w:lang w:val="en-US" w:eastAsia="ja-JP"/>
              </w:rPr>
            </w:pPr>
            <w:r w:rsidRPr="00782B25">
              <w:rPr>
                <w:rFonts w:ascii="Times New Roman" w:eastAsia="Times New Roman" w:hAnsi="Times New Roman"/>
                <w:b/>
                <w:bCs/>
                <w:color w:val="000000"/>
                <w:sz w:val="16"/>
                <w:szCs w:val="16"/>
                <w:lang w:val="en-US" w:eastAsia="ja-JP"/>
              </w:rPr>
              <w:t xml:space="preserve">$19.88 </w:t>
            </w:r>
          </w:p>
        </w:tc>
      </w:tr>
    </w:tbl>
    <w:p w:rsidR="00D6176C" w:rsidRPr="003F5460" w:rsidRDefault="00D6176C" w:rsidP="00D6176C">
      <w:pPr>
        <w:pStyle w:val="ColorfulList-Accent11"/>
        <w:tabs>
          <w:tab w:val="left" w:pos="360"/>
        </w:tabs>
        <w:spacing w:after="0" w:line="240" w:lineRule="auto"/>
        <w:ind w:left="0"/>
        <w:contextualSpacing w:val="0"/>
        <w:jc w:val="both"/>
        <w:rPr>
          <w:rFonts w:ascii="Times New Roman" w:eastAsia="Times New Roman" w:hAnsi="Times New Roman"/>
          <w:b/>
          <w:bCs/>
          <w:color w:val="A6A6A6" w:themeColor="background1" w:themeShade="A6"/>
        </w:rPr>
      </w:pPr>
      <w:r w:rsidRPr="00782B25">
        <w:rPr>
          <w:rFonts w:ascii="Times New Roman" w:eastAsia="Times New Roman" w:hAnsi="Times New Roman"/>
          <w:b/>
          <w:bCs/>
          <w:color w:val="A6A6A6" w:themeColor="background1" w:themeShade="A6"/>
        </w:rPr>
        <w:fldChar w:fldCharType="end"/>
      </w:r>
    </w:p>
    <w:tbl>
      <w:tblPr>
        <w:tblW w:w="8389" w:type="dxa"/>
        <w:jc w:val="center"/>
        <w:tblLook w:val="04A0" w:firstRow="1" w:lastRow="0" w:firstColumn="1" w:lastColumn="0" w:noHBand="0" w:noVBand="1"/>
      </w:tblPr>
      <w:tblGrid>
        <w:gridCol w:w="2962"/>
        <w:gridCol w:w="1418"/>
        <w:gridCol w:w="1381"/>
        <w:gridCol w:w="1254"/>
        <w:gridCol w:w="1374"/>
      </w:tblGrid>
      <w:tr w:rsidR="00D6176C" w:rsidRPr="00B271AC" w:rsidTr="00F052E8">
        <w:trPr>
          <w:trHeight w:val="227"/>
          <w:jc w:val="center"/>
        </w:trPr>
        <w:tc>
          <w:tcPr>
            <w:tcW w:w="8389" w:type="dxa"/>
            <w:gridSpan w:val="5"/>
            <w:tcBorders>
              <w:top w:val="nil"/>
              <w:left w:val="nil"/>
              <w:bottom w:val="single" w:sz="8" w:space="0" w:color="auto"/>
              <w:right w:val="nil"/>
            </w:tcBorders>
            <w:shd w:val="clear" w:color="auto" w:fill="auto"/>
            <w:noWrap/>
            <w:vAlign w:val="center"/>
            <w:hideMark/>
          </w:tcPr>
          <w:p w:rsidR="00116B64" w:rsidRDefault="00D6176C" w:rsidP="005B6C71">
            <w:pPr>
              <w:spacing w:after="0" w:line="240" w:lineRule="auto"/>
              <w:jc w:val="center"/>
              <w:rPr>
                <w:rFonts w:ascii="Times New Roman" w:eastAsia="Times New Roman" w:hAnsi="Times New Roman"/>
                <w:b/>
                <w:bCs/>
                <w:color w:val="000000"/>
                <w:sz w:val="20"/>
                <w:szCs w:val="20"/>
                <w:lang w:val="en-US" w:eastAsia="ja-JP"/>
              </w:rPr>
            </w:pPr>
            <w:r w:rsidRPr="00B271AC">
              <w:rPr>
                <w:rFonts w:ascii="Times New Roman" w:eastAsia="Times New Roman" w:hAnsi="Times New Roman"/>
                <w:b/>
                <w:bCs/>
                <w:color w:val="000000"/>
                <w:sz w:val="20"/>
                <w:szCs w:val="20"/>
                <w:lang w:val="en-US" w:eastAsia="ja-JP"/>
              </w:rPr>
              <w:t>Table 2. Management expenditure ratio</w:t>
            </w:r>
            <w:r w:rsidR="00116B64">
              <w:rPr>
                <w:rFonts w:ascii="Times New Roman" w:eastAsia="Times New Roman" w:hAnsi="Times New Roman"/>
                <w:b/>
                <w:bCs/>
                <w:color w:val="000000"/>
                <w:sz w:val="20"/>
                <w:szCs w:val="20"/>
                <w:lang w:val="en-US" w:eastAsia="ja-JP"/>
              </w:rPr>
              <w:t xml:space="preserve"> </w:t>
            </w:r>
          </w:p>
          <w:p w:rsidR="00D6176C" w:rsidRPr="00B271AC" w:rsidRDefault="00116B64" w:rsidP="003B2557">
            <w:pPr>
              <w:spacing w:after="60" w:line="240" w:lineRule="auto"/>
              <w:jc w:val="center"/>
              <w:rPr>
                <w:rFonts w:ascii="Times New Roman" w:eastAsia="Times New Roman" w:hAnsi="Times New Roman"/>
                <w:b/>
                <w:bCs/>
                <w:color w:val="000000"/>
                <w:sz w:val="20"/>
                <w:szCs w:val="20"/>
                <w:lang w:val="en-US" w:eastAsia="ja-JP"/>
              </w:rPr>
            </w:pPr>
            <w:r>
              <w:rPr>
                <w:rFonts w:ascii="Times New Roman" w:eastAsia="Times New Roman" w:hAnsi="Times New Roman"/>
                <w:b/>
                <w:bCs/>
                <w:color w:val="000000"/>
                <w:sz w:val="20"/>
                <w:szCs w:val="20"/>
                <w:lang w:val="en-US" w:eastAsia="ja-JP"/>
              </w:rPr>
              <w:t>(In billions of United States dollars)</w:t>
            </w:r>
          </w:p>
        </w:tc>
      </w:tr>
      <w:tr w:rsidR="00D6176C" w:rsidRPr="00B271AC" w:rsidTr="00F052E8">
        <w:trPr>
          <w:trHeight w:val="314"/>
          <w:jc w:val="center"/>
        </w:trPr>
        <w:tc>
          <w:tcPr>
            <w:tcW w:w="2962" w:type="dxa"/>
            <w:tcBorders>
              <w:top w:val="nil"/>
              <w:left w:val="single" w:sz="8" w:space="0" w:color="auto"/>
              <w:bottom w:val="single" w:sz="8" w:space="0" w:color="auto"/>
              <w:right w:val="nil"/>
            </w:tcBorders>
            <w:shd w:val="clear" w:color="000000" w:fill="F3F3F3"/>
            <w:noWrap/>
            <w:vAlign w:val="center"/>
            <w:hideMark/>
          </w:tcPr>
          <w:p w:rsidR="00D6176C" w:rsidRPr="00B271AC" w:rsidRDefault="00D6176C" w:rsidP="005B6C71">
            <w:pPr>
              <w:spacing w:after="0" w:line="240" w:lineRule="auto"/>
              <w:rPr>
                <w:rFonts w:ascii="Times New Roman" w:eastAsia="Times New Roman" w:hAnsi="Times New Roman"/>
                <w:b/>
                <w:bCs/>
                <w:color w:val="000000"/>
                <w:sz w:val="16"/>
                <w:szCs w:val="16"/>
                <w:lang w:val="en-US" w:eastAsia="ja-JP"/>
              </w:rPr>
            </w:pPr>
            <w:r w:rsidRPr="00B271AC">
              <w:rPr>
                <w:rFonts w:ascii="Times New Roman" w:eastAsia="Times New Roman" w:hAnsi="Times New Roman"/>
                <w:b/>
                <w:bCs/>
                <w:color w:val="000000"/>
                <w:sz w:val="16"/>
                <w:szCs w:val="16"/>
                <w:lang w:val="en-US" w:eastAsia="ja-JP"/>
              </w:rPr>
              <w:t>Cost classification category</w:t>
            </w:r>
          </w:p>
        </w:tc>
        <w:tc>
          <w:tcPr>
            <w:tcW w:w="1418" w:type="dxa"/>
            <w:tcBorders>
              <w:top w:val="nil"/>
              <w:left w:val="single" w:sz="8" w:space="0" w:color="auto"/>
              <w:bottom w:val="single" w:sz="8" w:space="0" w:color="auto"/>
              <w:right w:val="single" w:sz="8" w:space="0" w:color="auto"/>
            </w:tcBorders>
            <w:shd w:val="clear" w:color="000000" w:fill="F3F3F3"/>
            <w:vAlign w:val="center"/>
            <w:hideMark/>
          </w:tcPr>
          <w:p w:rsidR="00D6176C" w:rsidRPr="00B271AC" w:rsidRDefault="00D6176C" w:rsidP="005B6C71">
            <w:pPr>
              <w:spacing w:after="0" w:line="240" w:lineRule="auto"/>
              <w:jc w:val="center"/>
              <w:rPr>
                <w:rFonts w:ascii="Times New Roman" w:eastAsia="Times New Roman" w:hAnsi="Times New Roman"/>
                <w:b/>
                <w:bCs/>
                <w:color w:val="000000"/>
                <w:sz w:val="16"/>
                <w:szCs w:val="16"/>
                <w:lang w:val="en-US" w:eastAsia="ja-JP"/>
              </w:rPr>
            </w:pPr>
            <w:r>
              <w:rPr>
                <w:rFonts w:ascii="Times New Roman" w:eastAsia="Times New Roman" w:hAnsi="Times New Roman"/>
                <w:b/>
                <w:bCs/>
                <w:color w:val="000000"/>
                <w:sz w:val="16"/>
                <w:szCs w:val="16"/>
                <w:lang w:val="en-US" w:eastAsia="ja-JP"/>
              </w:rPr>
              <w:t xml:space="preserve">Strategic </w:t>
            </w:r>
            <w:r w:rsidR="00116B64">
              <w:rPr>
                <w:rFonts w:ascii="Times New Roman" w:eastAsia="Times New Roman" w:hAnsi="Times New Roman"/>
                <w:b/>
                <w:bCs/>
                <w:color w:val="000000"/>
                <w:sz w:val="16"/>
                <w:szCs w:val="16"/>
                <w:lang w:val="en-US" w:eastAsia="ja-JP"/>
              </w:rPr>
              <w:t>Plan</w:t>
            </w:r>
            <w:r w:rsidR="00116B64" w:rsidRPr="00B271AC">
              <w:rPr>
                <w:rFonts w:ascii="Times New Roman" w:eastAsia="Times New Roman" w:hAnsi="Times New Roman"/>
                <w:b/>
                <w:bCs/>
                <w:color w:val="000000"/>
                <w:sz w:val="16"/>
                <w:szCs w:val="16"/>
                <w:lang w:val="en-US" w:eastAsia="ja-JP"/>
              </w:rPr>
              <w:t xml:space="preserve"> </w:t>
            </w:r>
            <w:r w:rsidRPr="00B271AC">
              <w:rPr>
                <w:rFonts w:ascii="Times New Roman" w:eastAsia="Times New Roman" w:hAnsi="Times New Roman"/>
                <w:b/>
                <w:bCs/>
                <w:color w:val="000000"/>
                <w:sz w:val="16"/>
                <w:szCs w:val="16"/>
                <w:lang w:val="en-US" w:eastAsia="ja-JP"/>
              </w:rPr>
              <w:t>estimates 2014-2017</w:t>
            </w:r>
          </w:p>
        </w:tc>
        <w:tc>
          <w:tcPr>
            <w:tcW w:w="1381" w:type="dxa"/>
            <w:tcBorders>
              <w:top w:val="nil"/>
              <w:left w:val="nil"/>
              <w:bottom w:val="single" w:sz="8" w:space="0" w:color="auto"/>
              <w:right w:val="single" w:sz="8" w:space="0" w:color="auto"/>
            </w:tcBorders>
            <w:shd w:val="clear" w:color="000000" w:fill="F3F3F3"/>
            <w:vAlign w:val="center"/>
            <w:hideMark/>
          </w:tcPr>
          <w:p w:rsidR="00D6176C" w:rsidRPr="00B271AC" w:rsidRDefault="00D6176C" w:rsidP="005B6C71">
            <w:pPr>
              <w:spacing w:after="0" w:line="240" w:lineRule="auto"/>
              <w:jc w:val="center"/>
              <w:rPr>
                <w:rFonts w:ascii="Times New Roman" w:eastAsia="Times New Roman" w:hAnsi="Times New Roman"/>
                <w:b/>
                <w:bCs/>
                <w:color w:val="000000"/>
                <w:sz w:val="16"/>
                <w:szCs w:val="16"/>
                <w:lang w:val="en-US" w:eastAsia="ja-JP"/>
              </w:rPr>
            </w:pPr>
            <w:r w:rsidRPr="00B271AC">
              <w:rPr>
                <w:rFonts w:ascii="Times New Roman" w:eastAsia="Times New Roman" w:hAnsi="Times New Roman"/>
                <w:b/>
                <w:bCs/>
                <w:color w:val="000000"/>
                <w:sz w:val="16"/>
                <w:szCs w:val="16"/>
                <w:lang w:val="en-US" w:eastAsia="ja-JP"/>
              </w:rPr>
              <w:t>Expenditure 2014-2016</w:t>
            </w:r>
          </w:p>
        </w:tc>
        <w:tc>
          <w:tcPr>
            <w:tcW w:w="1254" w:type="dxa"/>
            <w:tcBorders>
              <w:top w:val="nil"/>
              <w:left w:val="nil"/>
              <w:bottom w:val="single" w:sz="8" w:space="0" w:color="auto"/>
              <w:right w:val="single" w:sz="8" w:space="0" w:color="auto"/>
            </w:tcBorders>
            <w:shd w:val="clear" w:color="000000" w:fill="F3F3F3"/>
            <w:vAlign w:val="center"/>
            <w:hideMark/>
          </w:tcPr>
          <w:p w:rsidR="00D6176C" w:rsidRPr="00B271AC" w:rsidRDefault="00D6176C" w:rsidP="005B6C71">
            <w:pPr>
              <w:spacing w:after="0" w:line="240" w:lineRule="auto"/>
              <w:jc w:val="center"/>
              <w:rPr>
                <w:rFonts w:ascii="Times New Roman" w:eastAsia="Times New Roman" w:hAnsi="Times New Roman"/>
                <w:b/>
                <w:bCs/>
                <w:color w:val="000000"/>
                <w:sz w:val="16"/>
                <w:szCs w:val="16"/>
                <w:lang w:val="en-US" w:eastAsia="ja-JP"/>
              </w:rPr>
            </w:pPr>
            <w:r w:rsidRPr="00B271AC">
              <w:rPr>
                <w:rFonts w:ascii="Times New Roman" w:eastAsia="Times New Roman" w:hAnsi="Times New Roman"/>
                <w:b/>
                <w:bCs/>
                <w:color w:val="000000"/>
                <w:sz w:val="16"/>
                <w:szCs w:val="16"/>
                <w:lang w:val="en-US" w:eastAsia="ja-JP"/>
              </w:rPr>
              <w:t>Expenditure 2017</w:t>
            </w:r>
          </w:p>
        </w:tc>
        <w:tc>
          <w:tcPr>
            <w:tcW w:w="1371" w:type="dxa"/>
            <w:tcBorders>
              <w:top w:val="nil"/>
              <w:left w:val="nil"/>
              <w:bottom w:val="single" w:sz="8" w:space="0" w:color="auto"/>
              <w:right w:val="single" w:sz="8" w:space="0" w:color="auto"/>
            </w:tcBorders>
            <w:shd w:val="clear" w:color="000000" w:fill="F3F3F3"/>
            <w:vAlign w:val="center"/>
            <w:hideMark/>
          </w:tcPr>
          <w:p w:rsidR="00D6176C" w:rsidRPr="00B271AC" w:rsidRDefault="00D6176C" w:rsidP="005B6C71">
            <w:pPr>
              <w:spacing w:after="0" w:line="240" w:lineRule="auto"/>
              <w:jc w:val="center"/>
              <w:rPr>
                <w:rFonts w:ascii="Times New Roman" w:eastAsia="Times New Roman" w:hAnsi="Times New Roman"/>
                <w:b/>
                <w:bCs/>
                <w:color w:val="000000"/>
                <w:sz w:val="16"/>
                <w:szCs w:val="16"/>
                <w:lang w:val="en-US" w:eastAsia="ja-JP"/>
              </w:rPr>
            </w:pPr>
            <w:r w:rsidRPr="00B271AC">
              <w:rPr>
                <w:rFonts w:ascii="Times New Roman" w:eastAsia="Times New Roman" w:hAnsi="Times New Roman"/>
                <w:b/>
                <w:bCs/>
                <w:color w:val="000000"/>
                <w:sz w:val="16"/>
                <w:szCs w:val="16"/>
                <w:lang w:val="en-US" w:eastAsia="ja-JP"/>
              </w:rPr>
              <w:t>Expenditure 2014-2017</w:t>
            </w:r>
          </w:p>
        </w:tc>
      </w:tr>
      <w:tr w:rsidR="00D6176C" w:rsidRPr="00B271AC" w:rsidTr="00F052E8">
        <w:trPr>
          <w:trHeight w:val="227"/>
          <w:jc w:val="center"/>
        </w:trPr>
        <w:tc>
          <w:tcPr>
            <w:tcW w:w="2962" w:type="dxa"/>
            <w:tcBorders>
              <w:top w:val="nil"/>
              <w:left w:val="single" w:sz="8" w:space="0" w:color="auto"/>
              <w:bottom w:val="single" w:sz="8" w:space="0" w:color="auto"/>
              <w:right w:val="nil"/>
            </w:tcBorders>
            <w:shd w:val="clear" w:color="auto" w:fill="auto"/>
            <w:noWrap/>
            <w:vAlign w:val="center"/>
            <w:hideMark/>
          </w:tcPr>
          <w:p w:rsidR="00D6176C" w:rsidRPr="00B271AC" w:rsidRDefault="00D6176C" w:rsidP="005B6C71">
            <w:pPr>
              <w:spacing w:after="0" w:line="240" w:lineRule="auto"/>
              <w:rPr>
                <w:rFonts w:ascii="Times New Roman" w:eastAsia="Times New Roman" w:hAnsi="Times New Roman"/>
                <w:color w:val="000000"/>
                <w:sz w:val="16"/>
                <w:szCs w:val="16"/>
                <w:lang w:val="en-US" w:eastAsia="ja-JP"/>
              </w:rPr>
            </w:pPr>
            <w:r w:rsidRPr="00B271AC">
              <w:rPr>
                <w:rFonts w:ascii="Times New Roman" w:eastAsia="Times New Roman" w:hAnsi="Times New Roman"/>
                <w:color w:val="000000"/>
                <w:sz w:val="16"/>
                <w:szCs w:val="16"/>
                <w:lang w:val="en-US" w:eastAsia="ja-JP"/>
              </w:rPr>
              <w:t>Management activities (a)</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D6176C" w:rsidRPr="00B271AC" w:rsidRDefault="00D6176C" w:rsidP="005B6C71">
            <w:pPr>
              <w:spacing w:after="0" w:line="240" w:lineRule="auto"/>
              <w:jc w:val="center"/>
              <w:rPr>
                <w:rFonts w:ascii="Times New Roman" w:eastAsia="Times New Roman" w:hAnsi="Times New Roman"/>
                <w:color w:val="000000"/>
                <w:sz w:val="16"/>
                <w:szCs w:val="16"/>
                <w:lang w:val="en-US" w:eastAsia="ja-JP"/>
              </w:rPr>
            </w:pPr>
            <w:r w:rsidRPr="00B271AC">
              <w:rPr>
                <w:rFonts w:ascii="Times New Roman" w:eastAsia="Times New Roman" w:hAnsi="Times New Roman"/>
                <w:color w:val="000000"/>
                <w:sz w:val="16"/>
                <w:szCs w:val="16"/>
                <w:lang w:val="en-US" w:eastAsia="ja-JP"/>
              </w:rPr>
              <w:t xml:space="preserve">$1.84 </w:t>
            </w:r>
          </w:p>
        </w:tc>
        <w:tc>
          <w:tcPr>
            <w:tcW w:w="1381" w:type="dxa"/>
            <w:tcBorders>
              <w:top w:val="nil"/>
              <w:left w:val="nil"/>
              <w:bottom w:val="single" w:sz="8" w:space="0" w:color="auto"/>
              <w:right w:val="single" w:sz="8" w:space="0" w:color="auto"/>
            </w:tcBorders>
            <w:shd w:val="clear" w:color="auto" w:fill="auto"/>
            <w:noWrap/>
            <w:vAlign w:val="center"/>
            <w:hideMark/>
          </w:tcPr>
          <w:p w:rsidR="00D6176C" w:rsidRPr="00B271AC" w:rsidRDefault="00D6176C" w:rsidP="005B6C71">
            <w:pPr>
              <w:spacing w:after="0" w:line="240" w:lineRule="auto"/>
              <w:jc w:val="center"/>
              <w:rPr>
                <w:rFonts w:ascii="Times New Roman" w:eastAsia="Times New Roman" w:hAnsi="Times New Roman"/>
                <w:color w:val="000000"/>
                <w:sz w:val="16"/>
                <w:szCs w:val="16"/>
                <w:lang w:val="en-US" w:eastAsia="ja-JP"/>
              </w:rPr>
            </w:pPr>
            <w:r w:rsidRPr="00B271AC">
              <w:rPr>
                <w:rFonts w:ascii="Times New Roman" w:eastAsia="Times New Roman" w:hAnsi="Times New Roman"/>
                <w:color w:val="000000"/>
                <w:sz w:val="16"/>
                <w:szCs w:val="16"/>
                <w:lang w:val="en-US" w:eastAsia="ja-JP"/>
              </w:rPr>
              <w:t xml:space="preserve">$1.18 </w:t>
            </w:r>
          </w:p>
        </w:tc>
        <w:tc>
          <w:tcPr>
            <w:tcW w:w="1254" w:type="dxa"/>
            <w:tcBorders>
              <w:top w:val="nil"/>
              <w:left w:val="nil"/>
              <w:bottom w:val="single" w:sz="8" w:space="0" w:color="auto"/>
              <w:right w:val="single" w:sz="8" w:space="0" w:color="auto"/>
            </w:tcBorders>
            <w:shd w:val="clear" w:color="auto" w:fill="auto"/>
            <w:noWrap/>
            <w:vAlign w:val="center"/>
            <w:hideMark/>
          </w:tcPr>
          <w:p w:rsidR="00D6176C" w:rsidRPr="00B271AC" w:rsidRDefault="00D6176C" w:rsidP="005B6C71">
            <w:pPr>
              <w:spacing w:after="0" w:line="240" w:lineRule="auto"/>
              <w:jc w:val="center"/>
              <w:rPr>
                <w:rFonts w:ascii="Times New Roman" w:eastAsia="Times New Roman" w:hAnsi="Times New Roman"/>
                <w:color w:val="000000"/>
                <w:sz w:val="16"/>
                <w:szCs w:val="16"/>
                <w:lang w:val="en-US" w:eastAsia="ja-JP"/>
              </w:rPr>
            </w:pPr>
            <w:r w:rsidRPr="00B271AC">
              <w:rPr>
                <w:rFonts w:ascii="Times New Roman" w:eastAsia="Times New Roman" w:hAnsi="Times New Roman"/>
                <w:color w:val="000000"/>
                <w:sz w:val="16"/>
                <w:szCs w:val="16"/>
                <w:lang w:val="en-US" w:eastAsia="ja-JP"/>
              </w:rPr>
              <w:t xml:space="preserve">$0.36 </w:t>
            </w:r>
          </w:p>
        </w:tc>
        <w:tc>
          <w:tcPr>
            <w:tcW w:w="1371" w:type="dxa"/>
            <w:tcBorders>
              <w:top w:val="nil"/>
              <w:left w:val="nil"/>
              <w:bottom w:val="single" w:sz="8" w:space="0" w:color="auto"/>
              <w:right w:val="single" w:sz="8" w:space="0" w:color="auto"/>
            </w:tcBorders>
            <w:shd w:val="clear" w:color="auto" w:fill="auto"/>
            <w:noWrap/>
            <w:vAlign w:val="center"/>
            <w:hideMark/>
          </w:tcPr>
          <w:p w:rsidR="00D6176C" w:rsidRPr="00B271AC" w:rsidRDefault="00D6176C" w:rsidP="005B6C71">
            <w:pPr>
              <w:spacing w:after="0" w:line="240" w:lineRule="auto"/>
              <w:jc w:val="center"/>
              <w:rPr>
                <w:rFonts w:ascii="Times New Roman" w:eastAsia="Times New Roman" w:hAnsi="Times New Roman"/>
                <w:color w:val="000000"/>
                <w:sz w:val="16"/>
                <w:szCs w:val="16"/>
                <w:lang w:val="en-US" w:eastAsia="ja-JP"/>
              </w:rPr>
            </w:pPr>
            <w:r w:rsidRPr="00B271AC">
              <w:rPr>
                <w:rFonts w:ascii="Times New Roman" w:eastAsia="Times New Roman" w:hAnsi="Times New Roman"/>
                <w:color w:val="000000"/>
                <w:sz w:val="16"/>
                <w:szCs w:val="16"/>
                <w:lang w:val="en-US" w:eastAsia="ja-JP"/>
              </w:rPr>
              <w:t xml:space="preserve">$1.54 </w:t>
            </w:r>
          </w:p>
        </w:tc>
      </w:tr>
      <w:tr w:rsidR="00D6176C" w:rsidRPr="00B271AC" w:rsidTr="00F052E8">
        <w:trPr>
          <w:trHeight w:val="227"/>
          <w:jc w:val="center"/>
        </w:trPr>
        <w:tc>
          <w:tcPr>
            <w:tcW w:w="2962" w:type="dxa"/>
            <w:tcBorders>
              <w:top w:val="nil"/>
              <w:left w:val="single" w:sz="8" w:space="0" w:color="auto"/>
              <w:bottom w:val="single" w:sz="8" w:space="0" w:color="auto"/>
              <w:right w:val="nil"/>
            </w:tcBorders>
            <w:shd w:val="clear" w:color="auto" w:fill="auto"/>
            <w:noWrap/>
            <w:vAlign w:val="center"/>
            <w:hideMark/>
          </w:tcPr>
          <w:p w:rsidR="00D6176C" w:rsidRPr="00B271AC" w:rsidRDefault="00D6176C" w:rsidP="005B6C71">
            <w:pPr>
              <w:spacing w:after="0" w:line="240" w:lineRule="auto"/>
              <w:rPr>
                <w:rFonts w:ascii="Times New Roman" w:eastAsia="Times New Roman" w:hAnsi="Times New Roman"/>
                <w:color w:val="000000"/>
                <w:sz w:val="16"/>
                <w:szCs w:val="16"/>
                <w:lang w:val="en-US" w:eastAsia="ja-JP"/>
              </w:rPr>
            </w:pPr>
            <w:r w:rsidRPr="00B271AC">
              <w:rPr>
                <w:rFonts w:ascii="Times New Roman" w:eastAsia="Times New Roman" w:hAnsi="Times New Roman"/>
                <w:color w:val="000000"/>
                <w:sz w:val="16"/>
                <w:szCs w:val="16"/>
                <w:lang w:val="en-US" w:eastAsia="ja-JP"/>
              </w:rPr>
              <w:t>Total activities (b)</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D6176C" w:rsidRPr="00B271AC" w:rsidRDefault="00D6176C" w:rsidP="005B6C71">
            <w:pPr>
              <w:spacing w:after="0" w:line="240" w:lineRule="auto"/>
              <w:jc w:val="center"/>
              <w:rPr>
                <w:rFonts w:ascii="Times New Roman" w:eastAsia="Times New Roman" w:hAnsi="Times New Roman"/>
                <w:color w:val="000000"/>
                <w:sz w:val="16"/>
                <w:szCs w:val="16"/>
                <w:lang w:val="en-US" w:eastAsia="ja-JP"/>
              </w:rPr>
            </w:pPr>
            <w:r w:rsidRPr="00B271AC">
              <w:rPr>
                <w:rFonts w:ascii="Times New Roman" w:eastAsia="Times New Roman" w:hAnsi="Times New Roman"/>
                <w:color w:val="000000"/>
                <w:sz w:val="16"/>
                <w:szCs w:val="16"/>
                <w:lang w:val="en-US" w:eastAsia="ja-JP"/>
              </w:rPr>
              <w:t xml:space="preserve">$22.64 </w:t>
            </w:r>
          </w:p>
        </w:tc>
        <w:tc>
          <w:tcPr>
            <w:tcW w:w="1381" w:type="dxa"/>
            <w:tcBorders>
              <w:top w:val="nil"/>
              <w:left w:val="nil"/>
              <w:bottom w:val="single" w:sz="8" w:space="0" w:color="auto"/>
              <w:right w:val="single" w:sz="8" w:space="0" w:color="auto"/>
            </w:tcBorders>
            <w:shd w:val="clear" w:color="auto" w:fill="auto"/>
            <w:noWrap/>
            <w:vAlign w:val="center"/>
            <w:hideMark/>
          </w:tcPr>
          <w:p w:rsidR="00D6176C" w:rsidRPr="00B271AC" w:rsidRDefault="00D6176C" w:rsidP="005B6C71">
            <w:pPr>
              <w:spacing w:after="0" w:line="240" w:lineRule="auto"/>
              <w:jc w:val="center"/>
              <w:rPr>
                <w:rFonts w:ascii="Times New Roman" w:eastAsia="Times New Roman" w:hAnsi="Times New Roman"/>
                <w:color w:val="000000"/>
                <w:sz w:val="16"/>
                <w:szCs w:val="16"/>
                <w:lang w:val="en-US" w:eastAsia="ja-JP"/>
              </w:rPr>
            </w:pPr>
            <w:r w:rsidRPr="00B271AC">
              <w:rPr>
                <w:rFonts w:ascii="Times New Roman" w:eastAsia="Times New Roman" w:hAnsi="Times New Roman"/>
                <w:color w:val="000000"/>
                <w:sz w:val="16"/>
                <w:szCs w:val="16"/>
                <w:lang w:val="en-US" w:eastAsia="ja-JP"/>
              </w:rPr>
              <w:t xml:space="preserve">$14.73 </w:t>
            </w:r>
          </w:p>
        </w:tc>
        <w:tc>
          <w:tcPr>
            <w:tcW w:w="1254" w:type="dxa"/>
            <w:tcBorders>
              <w:top w:val="nil"/>
              <w:left w:val="nil"/>
              <w:bottom w:val="single" w:sz="8" w:space="0" w:color="auto"/>
              <w:right w:val="single" w:sz="8" w:space="0" w:color="auto"/>
            </w:tcBorders>
            <w:shd w:val="clear" w:color="auto" w:fill="auto"/>
            <w:noWrap/>
            <w:vAlign w:val="center"/>
            <w:hideMark/>
          </w:tcPr>
          <w:p w:rsidR="00D6176C" w:rsidRPr="00B271AC" w:rsidRDefault="00D6176C" w:rsidP="005B6C71">
            <w:pPr>
              <w:spacing w:after="0" w:line="240" w:lineRule="auto"/>
              <w:jc w:val="center"/>
              <w:rPr>
                <w:rFonts w:ascii="Times New Roman" w:eastAsia="Times New Roman" w:hAnsi="Times New Roman"/>
                <w:color w:val="000000"/>
                <w:sz w:val="16"/>
                <w:szCs w:val="16"/>
                <w:lang w:val="en-US" w:eastAsia="ja-JP"/>
              </w:rPr>
            </w:pPr>
            <w:r w:rsidRPr="00B271AC">
              <w:rPr>
                <w:rFonts w:ascii="Times New Roman" w:eastAsia="Times New Roman" w:hAnsi="Times New Roman"/>
                <w:color w:val="000000"/>
                <w:sz w:val="16"/>
                <w:szCs w:val="16"/>
                <w:lang w:val="en-US" w:eastAsia="ja-JP"/>
              </w:rPr>
              <w:t xml:space="preserve">$5.15 </w:t>
            </w:r>
          </w:p>
        </w:tc>
        <w:tc>
          <w:tcPr>
            <w:tcW w:w="1371" w:type="dxa"/>
            <w:tcBorders>
              <w:top w:val="nil"/>
              <w:left w:val="nil"/>
              <w:bottom w:val="single" w:sz="8" w:space="0" w:color="auto"/>
              <w:right w:val="single" w:sz="8" w:space="0" w:color="auto"/>
            </w:tcBorders>
            <w:shd w:val="clear" w:color="auto" w:fill="auto"/>
            <w:noWrap/>
            <w:vAlign w:val="center"/>
            <w:hideMark/>
          </w:tcPr>
          <w:p w:rsidR="00D6176C" w:rsidRPr="00B271AC" w:rsidRDefault="00D6176C" w:rsidP="005B6C71">
            <w:pPr>
              <w:spacing w:after="0" w:line="240" w:lineRule="auto"/>
              <w:jc w:val="center"/>
              <w:rPr>
                <w:rFonts w:ascii="Times New Roman" w:eastAsia="Times New Roman" w:hAnsi="Times New Roman"/>
                <w:color w:val="000000"/>
                <w:sz w:val="16"/>
                <w:szCs w:val="16"/>
                <w:lang w:val="en-US" w:eastAsia="ja-JP"/>
              </w:rPr>
            </w:pPr>
            <w:r w:rsidRPr="00B271AC">
              <w:rPr>
                <w:rFonts w:ascii="Times New Roman" w:eastAsia="Times New Roman" w:hAnsi="Times New Roman"/>
                <w:color w:val="000000"/>
                <w:sz w:val="16"/>
                <w:szCs w:val="16"/>
                <w:lang w:val="en-US" w:eastAsia="ja-JP"/>
              </w:rPr>
              <w:t xml:space="preserve">$19.88 </w:t>
            </w:r>
          </w:p>
        </w:tc>
      </w:tr>
      <w:tr w:rsidR="00D6176C" w:rsidRPr="00B271AC" w:rsidTr="00F052E8">
        <w:trPr>
          <w:trHeight w:val="227"/>
          <w:jc w:val="center"/>
        </w:trPr>
        <w:tc>
          <w:tcPr>
            <w:tcW w:w="2962" w:type="dxa"/>
            <w:tcBorders>
              <w:top w:val="nil"/>
              <w:left w:val="single" w:sz="8" w:space="0" w:color="auto"/>
              <w:bottom w:val="single" w:sz="8" w:space="0" w:color="auto"/>
              <w:right w:val="nil"/>
            </w:tcBorders>
            <w:shd w:val="clear" w:color="auto" w:fill="auto"/>
            <w:noWrap/>
            <w:vAlign w:val="center"/>
            <w:hideMark/>
          </w:tcPr>
          <w:p w:rsidR="00D6176C" w:rsidRPr="00B271AC" w:rsidRDefault="00D6176C" w:rsidP="005B6C71">
            <w:pPr>
              <w:spacing w:after="0" w:line="240" w:lineRule="auto"/>
              <w:rPr>
                <w:rFonts w:ascii="Times New Roman" w:eastAsia="Times New Roman" w:hAnsi="Times New Roman"/>
                <w:b/>
                <w:bCs/>
                <w:color w:val="000000"/>
                <w:sz w:val="16"/>
                <w:szCs w:val="16"/>
                <w:lang w:val="en-US" w:eastAsia="ja-JP"/>
              </w:rPr>
            </w:pPr>
            <w:r w:rsidRPr="00B271AC">
              <w:rPr>
                <w:rFonts w:ascii="Times New Roman" w:eastAsia="Times New Roman" w:hAnsi="Times New Roman"/>
                <w:b/>
                <w:bCs/>
                <w:color w:val="000000"/>
                <w:sz w:val="16"/>
                <w:szCs w:val="16"/>
                <w:lang w:val="en-US" w:eastAsia="ja-JP"/>
              </w:rPr>
              <w:t>Management expenditure ratio (c) = (a) / (b)</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D6176C" w:rsidRPr="00B271AC" w:rsidRDefault="00D6176C" w:rsidP="005B6C71">
            <w:pPr>
              <w:spacing w:after="0" w:line="240" w:lineRule="auto"/>
              <w:jc w:val="center"/>
              <w:rPr>
                <w:rFonts w:ascii="Times New Roman" w:eastAsia="Times New Roman" w:hAnsi="Times New Roman"/>
                <w:color w:val="000000"/>
                <w:sz w:val="16"/>
                <w:szCs w:val="16"/>
                <w:lang w:val="en-US" w:eastAsia="ja-JP"/>
              </w:rPr>
            </w:pPr>
            <w:r w:rsidRPr="00B271AC">
              <w:rPr>
                <w:rFonts w:ascii="Times New Roman" w:eastAsia="Times New Roman" w:hAnsi="Times New Roman"/>
                <w:color w:val="000000"/>
                <w:sz w:val="16"/>
                <w:szCs w:val="16"/>
                <w:lang w:val="en-US" w:eastAsia="ja-JP"/>
              </w:rPr>
              <w:t>8.13%</w:t>
            </w:r>
          </w:p>
        </w:tc>
        <w:tc>
          <w:tcPr>
            <w:tcW w:w="1381" w:type="dxa"/>
            <w:tcBorders>
              <w:top w:val="nil"/>
              <w:left w:val="nil"/>
              <w:bottom w:val="single" w:sz="8" w:space="0" w:color="auto"/>
              <w:right w:val="single" w:sz="8" w:space="0" w:color="auto"/>
            </w:tcBorders>
            <w:shd w:val="clear" w:color="auto" w:fill="auto"/>
            <w:noWrap/>
            <w:vAlign w:val="center"/>
            <w:hideMark/>
          </w:tcPr>
          <w:p w:rsidR="00D6176C" w:rsidRPr="00B271AC" w:rsidRDefault="00D6176C" w:rsidP="005B6C71">
            <w:pPr>
              <w:spacing w:after="0" w:line="240" w:lineRule="auto"/>
              <w:jc w:val="center"/>
              <w:rPr>
                <w:rFonts w:ascii="Times New Roman" w:eastAsia="Times New Roman" w:hAnsi="Times New Roman"/>
                <w:color w:val="000000"/>
                <w:sz w:val="16"/>
                <w:szCs w:val="16"/>
                <w:lang w:val="en-US" w:eastAsia="ja-JP"/>
              </w:rPr>
            </w:pPr>
            <w:r w:rsidRPr="00B271AC">
              <w:rPr>
                <w:rFonts w:ascii="Times New Roman" w:eastAsia="Times New Roman" w:hAnsi="Times New Roman"/>
                <w:color w:val="000000"/>
                <w:sz w:val="16"/>
                <w:szCs w:val="16"/>
                <w:lang w:val="en-US" w:eastAsia="ja-JP"/>
              </w:rPr>
              <w:t>8.01%</w:t>
            </w:r>
          </w:p>
        </w:tc>
        <w:tc>
          <w:tcPr>
            <w:tcW w:w="1254" w:type="dxa"/>
            <w:tcBorders>
              <w:top w:val="nil"/>
              <w:left w:val="nil"/>
              <w:bottom w:val="single" w:sz="8" w:space="0" w:color="auto"/>
              <w:right w:val="single" w:sz="8" w:space="0" w:color="auto"/>
            </w:tcBorders>
            <w:shd w:val="clear" w:color="auto" w:fill="auto"/>
            <w:noWrap/>
            <w:vAlign w:val="center"/>
            <w:hideMark/>
          </w:tcPr>
          <w:p w:rsidR="00D6176C" w:rsidRPr="00B271AC" w:rsidRDefault="00D6176C" w:rsidP="005B6C71">
            <w:pPr>
              <w:spacing w:after="0" w:line="240" w:lineRule="auto"/>
              <w:jc w:val="center"/>
              <w:rPr>
                <w:rFonts w:ascii="Times New Roman" w:eastAsia="Times New Roman" w:hAnsi="Times New Roman"/>
                <w:color w:val="000000"/>
                <w:sz w:val="16"/>
                <w:szCs w:val="16"/>
                <w:lang w:val="en-US" w:eastAsia="ja-JP"/>
              </w:rPr>
            </w:pPr>
            <w:r w:rsidRPr="00B271AC">
              <w:rPr>
                <w:rFonts w:ascii="Times New Roman" w:eastAsia="Times New Roman" w:hAnsi="Times New Roman"/>
                <w:color w:val="000000"/>
                <w:sz w:val="16"/>
                <w:szCs w:val="16"/>
                <w:lang w:val="en-US" w:eastAsia="ja-JP"/>
              </w:rPr>
              <w:t>6.93%</w:t>
            </w:r>
          </w:p>
        </w:tc>
        <w:tc>
          <w:tcPr>
            <w:tcW w:w="1371" w:type="dxa"/>
            <w:tcBorders>
              <w:top w:val="nil"/>
              <w:left w:val="nil"/>
              <w:bottom w:val="single" w:sz="8" w:space="0" w:color="auto"/>
              <w:right w:val="single" w:sz="8" w:space="0" w:color="auto"/>
            </w:tcBorders>
            <w:shd w:val="clear" w:color="auto" w:fill="auto"/>
            <w:noWrap/>
            <w:vAlign w:val="center"/>
            <w:hideMark/>
          </w:tcPr>
          <w:p w:rsidR="00D6176C" w:rsidRPr="00B271AC" w:rsidRDefault="00D6176C" w:rsidP="005B6C71">
            <w:pPr>
              <w:spacing w:after="0" w:line="240" w:lineRule="auto"/>
              <w:jc w:val="center"/>
              <w:rPr>
                <w:rFonts w:ascii="Times New Roman" w:eastAsia="Times New Roman" w:hAnsi="Times New Roman"/>
                <w:color w:val="000000"/>
                <w:sz w:val="16"/>
                <w:szCs w:val="16"/>
                <w:lang w:val="en-US" w:eastAsia="ja-JP"/>
              </w:rPr>
            </w:pPr>
            <w:r w:rsidRPr="00B271AC">
              <w:rPr>
                <w:rFonts w:ascii="Times New Roman" w:eastAsia="Times New Roman" w:hAnsi="Times New Roman"/>
                <w:color w:val="000000"/>
                <w:sz w:val="16"/>
                <w:szCs w:val="16"/>
                <w:lang w:val="en-US" w:eastAsia="ja-JP"/>
              </w:rPr>
              <w:t>7.73%</w:t>
            </w:r>
          </w:p>
        </w:tc>
      </w:tr>
    </w:tbl>
    <w:p w:rsidR="00D6176C" w:rsidRDefault="00D6176C" w:rsidP="00D6176C">
      <w:pPr>
        <w:tabs>
          <w:tab w:val="left" w:pos="360"/>
        </w:tabs>
        <w:spacing w:after="0" w:line="240" w:lineRule="auto"/>
        <w:jc w:val="both"/>
        <w:rPr>
          <w:rFonts w:ascii="Times New Roman" w:eastAsia="Times New Roman" w:hAnsi="Times New Roman"/>
          <w:sz w:val="20"/>
          <w:szCs w:val="20"/>
          <w:lang w:val="en" w:eastAsia="ja-JP"/>
        </w:rPr>
      </w:pPr>
    </w:p>
    <w:p w:rsidR="00F8411E" w:rsidRPr="006D449F" w:rsidRDefault="00F8411E" w:rsidP="00D6176C">
      <w:pPr>
        <w:tabs>
          <w:tab w:val="left" w:pos="360"/>
        </w:tabs>
        <w:spacing w:after="0" w:line="240" w:lineRule="auto"/>
        <w:jc w:val="both"/>
        <w:rPr>
          <w:rFonts w:ascii="Times New Roman" w:hAnsi="Times New Roman"/>
          <w:sz w:val="20"/>
        </w:rPr>
      </w:pPr>
    </w:p>
    <w:p w:rsidR="00D6176C" w:rsidRPr="002213A6" w:rsidRDefault="00D6176C" w:rsidP="003B2557">
      <w:pPr>
        <w:pStyle w:val="Heading1"/>
        <w:numPr>
          <w:ilvl w:val="0"/>
          <w:numId w:val="0"/>
        </w:numPr>
        <w:spacing w:before="0" w:line="0" w:lineRule="atLeast"/>
        <w:ind w:firstLine="270"/>
        <w:jc w:val="both"/>
        <w:rPr>
          <w:rFonts w:ascii="Times New Roman" w:hAnsi="Times New Roman"/>
          <w:color w:val="FF0000"/>
          <w:sz w:val="20"/>
          <w:szCs w:val="20"/>
        </w:rPr>
      </w:pPr>
      <w:r w:rsidRPr="00AC509E">
        <w:rPr>
          <w:rFonts w:ascii="Times New Roman" w:hAnsi="Times New Roman"/>
          <w:color w:val="auto"/>
        </w:rPr>
        <w:t>II.</w:t>
      </w:r>
      <w:r w:rsidR="003B2557">
        <w:rPr>
          <w:rFonts w:ascii="Times New Roman" w:hAnsi="Times New Roman"/>
          <w:color w:val="auto"/>
        </w:rPr>
        <w:tab/>
      </w:r>
      <w:r w:rsidRPr="00AC509E">
        <w:rPr>
          <w:rFonts w:ascii="Times New Roman" w:hAnsi="Times New Roman"/>
          <w:color w:val="auto"/>
        </w:rPr>
        <w:t>Progress</w:t>
      </w:r>
      <w:r w:rsidRPr="0046078A">
        <w:rPr>
          <w:rFonts w:ascii="Times New Roman" w:hAnsi="Times New Roman"/>
          <w:color w:val="auto"/>
        </w:rPr>
        <w:t xml:space="preserve"> on the </w:t>
      </w:r>
      <w:r w:rsidR="00116B64">
        <w:rPr>
          <w:rFonts w:ascii="Times New Roman" w:hAnsi="Times New Roman"/>
          <w:color w:val="auto"/>
        </w:rPr>
        <w:t>S</w:t>
      </w:r>
      <w:r w:rsidR="00116B64" w:rsidRPr="0046078A">
        <w:rPr>
          <w:rFonts w:ascii="Times New Roman" w:hAnsi="Times New Roman"/>
          <w:color w:val="auto"/>
        </w:rPr>
        <w:t xml:space="preserve">trategic </w:t>
      </w:r>
      <w:r w:rsidR="00116B64">
        <w:rPr>
          <w:rFonts w:ascii="Times New Roman" w:hAnsi="Times New Roman"/>
          <w:color w:val="auto"/>
        </w:rPr>
        <w:t>P</w:t>
      </w:r>
      <w:r w:rsidR="00116B64" w:rsidRPr="0046078A">
        <w:rPr>
          <w:rFonts w:ascii="Times New Roman" w:hAnsi="Times New Roman"/>
          <w:color w:val="auto"/>
        </w:rPr>
        <w:t>lan</w:t>
      </w:r>
      <w:r w:rsidRPr="0046078A">
        <w:rPr>
          <w:rFonts w:ascii="Times New Roman" w:hAnsi="Times New Roman"/>
          <w:color w:val="auto"/>
        </w:rPr>
        <w:t>, 2018-2021</w:t>
      </w:r>
      <w:r w:rsidRPr="00F2010F">
        <w:rPr>
          <w:rFonts w:ascii="Times New Roman" w:hAnsi="Times New Roman"/>
          <w:color w:val="auto"/>
          <w:sz w:val="20"/>
          <w:szCs w:val="20"/>
        </w:rPr>
        <w:t xml:space="preserve"> </w:t>
      </w:r>
    </w:p>
    <w:p w:rsidR="00D6176C" w:rsidRPr="00F2010F" w:rsidRDefault="00D6176C" w:rsidP="00D6176C">
      <w:pPr>
        <w:spacing w:after="0" w:line="0" w:lineRule="atLeast"/>
        <w:jc w:val="both"/>
        <w:rPr>
          <w:rFonts w:ascii="Times New Roman" w:hAnsi="Times New Roman"/>
          <w:i/>
          <w:sz w:val="20"/>
          <w:szCs w:val="20"/>
        </w:rPr>
      </w:pPr>
    </w:p>
    <w:p w:rsidR="001F2701" w:rsidRPr="002213A6" w:rsidRDefault="001F2701" w:rsidP="00425265">
      <w:pPr>
        <w:pStyle w:val="ListParagraph"/>
        <w:numPr>
          <w:ilvl w:val="0"/>
          <w:numId w:val="20"/>
        </w:numPr>
        <w:tabs>
          <w:tab w:val="left" w:pos="1080"/>
        </w:tabs>
        <w:spacing w:after="0" w:line="0" w:lineRule="atLeast"/>
        <w:ind w:firstLine="0"/>
        <w:jc w:val="both"/>
        <w:rPr>
          <w:rFonts w:ascii="Times New Roman"/>
          <w:sz w:val="20"/>
          <w:szCs w:val="20"/>
        </w:rPr>
      </w:pPr>
      <w:r w:rsidRPr="002213A6">
        <w:rPr>
          <w:rFonts w:ascii="Times New Roman"/>
          <w:sz w:val="20"/>
          <w:szCs w:val="20"/>
        </w:rPr>
        <w:t>The U</w:t>
      </w:r>
      <w:r w:rsidR="00116B64">
        <w:rPr>
          <w:rFonts w:ascii="Times New Roman"/>
          <w:sz w:val="20"/>
          <w:szCs w:val="20"/>
        </w:rPr>
        <w:t xml:space="preserve">nited </w:t>
      </w:r>
      <w:r w:rsidRPr="002213A6">
        <w:rPr>
          <w:rFonts w:ascii="Times New Roman"/>
          <w:sz w:val="20"/>
          <w:szCs w:val="20"/>
        </w:rPr>
        <w:t>N</w:t>
      </w:r>
      <w:r w:rsidR="00116B64">
        <w:rPr>
          <w:rFonts w:ascii="Times New Roman"/>
          <w:sz w:val="20"/>
          <w:szCs w:val="20"/>
        </w:rPr>
        <w:t>ations</w:t>
      </w:r>
      <w:r w:rsidRPr="002213A6">
        <w:rPr>
          <w:rFonts w:ascii="Times New Roman"/>
          <w:sz w:val="20"/>
          <w:szCs w:val="20"/>
        </w:rPr>
        <w:t xml:space="preserve"> system is on the verge of major change as Member States finalize a set of reform proposals to frame more integrated and coherent support to the 2030 Agenda. UNDP </w:t>
      </w:r>
      <w:r>
        <w:rPr>
          <w:rFonts w:ascii="Times New Roman"/>
          <w:sz w:val="20"/>
          <w:szCs w:val="20"/>
        </w:rPr>
        <w:t>stands ready to implement the</w:t>
      </w:r>
      <w:r w:rsidRPr="002213A6">
        <w:rPr>
          <w:rFonts w:ascii="Times New Roman"/>
          <w:sz w:val="20"/>
          <w:szCs w:val="20"/>
        </w:rPr>
        <w:t xml:space="preserve"> proposals </w:t>
      </w:r>
      <w:r>
        <w:rPr>
          <w:rFonts w:ascii="Times New Roman"/>
          <w:sz w:val="20"/>
          <w:szCs w:val="20"/>
        </w:rPr>
        <w:t xml:space="preserve">agreed by Member States. </w:t>
      </w:r>
    </w:p>
    <w:p w:rsidR="001F2701" w:rsidRPr="003B2557" w:rsidRDefault="001F2701" w:rsidP="003B2557">
      <w:pPr>
        <w:pStyle w:val="ListParagraph"/>
        <w:tabs>
          <w:tab w:val="left" w:pos="1080"/>
        </w:tabs>
        <w:spacing w:after="0" w:line="0" w:lineRule="atLeast"/>
        <w:jc w:val="both"/>
        <w:rPr>
          <w:rFonts w:ascii="Times New Roman"/>
          <w:sz w:val="12"/>
          <w:szCs w:val="12"/>
        </w:rPr>
      </w:pPr>
    </w:p>
    <w:p w:rsidR="002213A6" w:rsidRPr="00F74FE7" w:rsidRDefault="002213A6" w:rsidP="003B2557">
      <w:pPr>
        <w:tabs>
          <w:tab w:val="left" w:pos="1080"/>
        </w:tabs>
        <w:spacing w:after="0" w:line="0" w:lineRule="atLeast"/>
        <w:ind w:firstLine="720"/>
        <w:jc w:val="both"/>
        <w:rPr>
          <w:rFonts w:ascii="Times New Roman"/>
          <w:b/>
          <w:sz w:val="20"/>
          <w:szCs w:val="20"/>
        </w:rPr>
      </w:pPr>
      <w:r w:rsidRPr="00F74FE7">
        <w:rPr>
          <w:rFonts w:ascii="Times New Roman"/>
          <w:b/>
          <w:sz w:val="20"/>
          <w:szCs w:val="20"/>
        </w:rPr>
        <w:t>Rolling</w:t>
      </w:r>
      <w:r w:rsidR="00116B64">
        <w:rPr>
          <w:rFonts w:ascii="Times New Roman"/>
          <w:b/>
          <w:sz w:val="20"/>
          <w:szCs w:val="20"/>
        </w:rPr>
        <w:t xml:space="preserve"> </w:t>
      </w:r>
      <w:r w:rsidRPr="00F74FE7">
        <w:rPr>
          <w:rFonts w:ascii="Times New Roman"/>
          <w:b/>
          <w:sz w:val="20"/>
          <w:szCs w:val="20"/>
        </w:rPr>
        <w:t xml:space="preserve">out the </w:t>
      </w:r>
      <w:r w:rsidR="00116B64">
        <w:rPr>
          <w:rFonts w:ascii="Times New Roman"/>
          <w:b/>
          <w:sz w:val="20"/>
          <w:szCs w:val="20"/>
        </w:rPr>
        <w:t>S</w:t>
      </w:r>
      <w:r w:rsidR="00116B64" w:rsidRPr="00F74FE7">
        <w:rPr>
          <w:rFonts w:ascii="Times New Roman"/>
          <w:b/>
          <w:sz w:val="20"/>
          <w:szCs w:val="20"/>
        </w:rPr>
        <w:t xml:space="preserve">trategic </w:t>
      </w:r>
      <w:r w:rsidR="00116B64">
        <w:rPr>
          <w:rFonts w:ascii="Times New Roman"/>
          <w:b/>
          <w:sz w:val="20"/>
          <w:szCs w:val="20"/>
        </w:rPr>
        <w:t>P</w:t>
      </w:r>
      <w:r w:rsidR="00116B64" w:rsidRPr="00F74FE7">
        <w:rPr>
          <w:rFonts w:ascii="Times New Roman"/>
          <w:b/>
          <w:sz w:val="20"/>
          <w:szCs w:val="20"/>
        </w:rPr>
        <w:t xml:space="preserve">lan </w:t>
      </w:r>
    </w:p>
    <w:p w:rsidR="002213A6" w:rsidRPr="003B2557" w:rsidRDefault="002213A6" w:rsidP="003B2557">
      <w:pPr>
        <w:tabs>
          <w:tab w:val="left" w:pos="1080"/>
        </w:tabs>
        <w:spacing w:after="0" w:line="0" w:lineRule="atLeast"/>
        <w:jc w:val="both"/>
        <w:rPr>
          <w:rFonts w:ascii="Times New Roman"/>
          <w:sz w:val="12"/>
          <w:szCs w:val="12"/>
        </w:rPr>
      </w:pPr>
    </w:p>
    <w:p w:rsidR="002213A6" w:rsidRPr="002213A6" w:rsidRDefault="00116B64" w:rsidP="00425265">
      <w:pPr>
        <w:pStyle w:val="ListParagraph"/>
        <w:numPr>
          <w:ilvl w:val="0"/>
          <w:numId w:val="20"/>
        </w:numPr>
        <w:tabs>
          <w:tab w:val="left" w:pos="1080"/>
        </w:tabs>
        <w:spacing w:after="0" w:line="0" w:lineRule="atLeast"/>
        <w:ind w:firstLine="0"/>
        <w:jc w:val="both"/>
        <w:rPr>
          <w:rFonts w:ascii="Times New Roman"/>
          <w:sz w:val="20"/>
          <w:szCs w:val="20"/>
        </w:rPr>
      </w:pPr>
      <w:r>
        <w:rPr>
          <w:rFonts w:ascii="Times New Roman"/>
          <w:sz w:val="20"/>
          <w:szCs w:val="20"/>
        </w:rPr>
        <w:t xml:space="preserve">The new </w:t>
      </w:r>
      <w:r w:rsidR="002213A6" w:rsidRPr="002213A6">
        <w:rPr>
          <w:rFonts w:ascii="Times New Roman"/>
          <w:sz w:val="20"/>
          <w:szCs w:val="20"/>
        </w:rPr>
        <w:t xml:space="preserve">UNDP </w:t>
      </w:r>
      <w:r w:rsidR="00E83426">
        <w:rPr>
          <w:rFonts w:ascii="Times New Roman"/>
          <w:sz w:val="20"/>
          <w:szCs w:val="20"/>
        </w:rPr>
        <w:t>S</w:t>
      </w:r>
      <w:r w:rsidR="00E83426" w:rsidRPr="002213A6">
        <w:rPr>
          <w:rFonts w:ascii="Times New Roman"/>
          <w:sz w:val="20"/>
          <w:szCs w:val="20"/>
        </w:rPr>
        <w:t xml:space="preserve">trategic </w:t>
      </w:r>
      <w:r w:rsidR="00E83426">
        <w:rPr>
          <w:rFonts w:ascii="Times New Roman"/>
          <w:sz w:val="20"/>
          <w:szCs w:val="20"/>
        </w:rPr>
        <w:t>P</w:t>
      </w:r>
      <w:r w:rsidR="00E83426" w:rsidRPr="002213A6">
        <w:rPr>
          <w:rFonts w:ascii="Times New Roman"/>
          <w:sz w:val="20"/>
          <w:szCs w:val="20"/>
        </w:rPr>
        <w:t xml:space="preserve">lan </w:t>
      </w:r>
      <w:r w:rsidR="002213A6" w:rsidRPr="002213A6">
        <w:rPr>
          <w:rFonts w:ascii="Times New Roman"/>
          <w:sz w:val="20"/>
          <w:szCs w:val="20"/>
        </w:rPr>
        <w:t>is reform-ready, placing a nimble, next-generation UNDP at the heart of a more integrated, coherent UN</w:t>
      </w:r>
      <w:r w:rsidR="00E83426">
        <w:rPr>
          <w:rFonts w:ascii="Times New Roman"/>
          <w:sz w:val="20"/>
          <w:szCs w:val="20"/>
        </w:rPr>
        <w:t>DS</w:t>
      </w:r>
      <w:r w:rsidR="002213A6" w:rsidRPr="002213A6">
        <w:rPr>
          <w:rFonts w:ascii="Times New Roman"/>
          <w:sz w:val="20"/>
          <w:szCs w:val="20"/>
        </w:rPr>
        <w:t xml:space="preserve">. The </w:t>
      </w:r>
      <w:r w:rsidR="00E83426">
        <w:rPr>
          <w:rFonts w:ascii="Times New Roman"/>
          <w:sz w:val="20"/>
          <w:szCs w:val="20"/>
        </w:rPr>
        <w:t>S</w:t>
      </w:r>
      <w:r w:rsidR="00E83426" w:rsidRPr="002213A6">
        <w:rPr>
          <w:rFonts w:ascii="Times New Roman"/>
          <w:sz w:val="20"/>
          <w:szCs w:val="20"/>
        </w:rPr>
        <w:t xml:space="preserve">trategic </w:t>
      </w:r>
      <w:r w:rsidR="00E83426">
        <w:rPr>
          <w:rFonts w:ascii="Times New Roman"/>
          <w:sz w:val="20"/>
          <w:szCs w:val="20"/>
        </w:rPr>
        <w:t>P</w:t>
      </w:r>
      <w:r w:rsidR="00E83426" w:rsidRPr="002213A6">
        <w:rPr>
          <w:rFonts w:ascii="Times New Roman"/>
          <w:sz w:val="20"/>
          <w:szCs w:val="20"/>
        </w:rPr>
        <w:t xml:space="preserve">lan </w:t>
      </w:r>
      <w:r w:rsidR="002213A6" w:rsidRPr="002213A6">
        <w:rPr>
          <w:rFonts w:ascii="Times New Roman"/>
          <w:sz w:val="20"/>
          <w:szCs w:val="20"/>
        </w:rPr>
        <w:t xml:space="preserve">is now being translated into action. A fully </w:t>
      </w:r>
      <w:r w:rsidR="00E83426">
        <w:rPr>
          <w:rFonts w:ascii="Times New Roman"/>
          <w:sz w:val="20"/>
          <w:szCs w:val="20"/>
        </w:rPr>
        <w:t>articulated</w:t>
      </w:r>
      <w:r w:rsidR="00E83426" w:rsidRPr="002213A6">
        <w:rPr>
          <w:rFonts w:ascii="Times New Roman"/>
          <w:sz w:val="20"/>
          <w:szCs w:val="20"/>
        </w:rPr>
        <w:t xml:space="preserve"> </w:t>
      </w:r>
      <w:r w:rsidR="002213A6" w:rsidRPr="002213A6">
        <w:rPr>
          <w:rFonts w:ascii="Times New Roman"/>
          <w:sz w:val="20"/>
          <w:szCs w:val="20"/>
        </w:rPr>
        <w:t xml:space="preserve">theory of change </w:t>
      </w:r>
      <w:r w:rsidR="00E83426">
        <w:rPr>
          <w:rFonts w:ascii="Times New Roman"/>
          <w:sz w:val="20"/>
          <w:szCs w:val="20"/>
        </w:rPr>
        <w:t xml:space="preserve">has been developed </w:t>
      </w:r>
      <w:r w:rsidR="002213A6" w:rsidRPr="002213A6">
        <w:rPr>
          <w:rFonts w:ascii="Times New Roman"/>
          <w:sz w:val="20"/>
          <w:szCs w:val="20"/>
        </w:rPr>
        <w:t xml:space="preserve">for the </w:t>
      </w:r>
      <w:r w:rsidR="00E83426">
        <w:rPr>
          <w:rFonts w:ascii="Times New Roman"/>
          <w:sz w:val="20"/>
          <w:szCs w:val="20"/>
        </w:rPr>
        <w:t>S</w:t>
      </w:r>
      <w:r w:rsidR="00E83426" w:rsidRPr="002213A6">
        <w:rPr>
          <w:rFonts w:ascii="Times New Roman"/>
          <w:sz w:val="20"/>
          <w:szCs w:val="20"/>
        </w:rPr>
        <w:t xml:space="preserve">trategic </w:t>
      </w:r>
      <w:r w:rsidR="00E83426">
        <w:rPr>
          <w:rFonts w:ascii="Times New Roman"/>
          <w:sz w:val="20"/>
          <w:szCs w:val="20"/>
        </w:rPr>
        <w:t>P</w:t>
      </w:r>
      <w:r w:rsidR="00E83426" w:rsidRPr="002213A6">
        <w:rPr>
          <w:rFonts w:ascii="Times New Roman"/>
          <w:sz w:val="20"/>
          <w:szCs w:val="20"/>
        </w:rPr>
        <w:t>lan</w:t>
      </w:r>
      <w:r w:rsidR="002213A6" w:rsidRPr="002213A6">
        <w:rPr>
          <w:rFonts w:ascii="Times New Roman"/>
          <w:sz w:val="20"/>
          <w:szCs w:val="20"/>
        </w:rPr>
        <w:t>, guidance notes have been prepared on the six signature solutions and baselines, milestones and targets for the new IRRF have been populated.  UNDP is planning a roll</w:t>
      </w:r>
      <w:r w:rsidR="00E83426">
        <w:rPr>
          <w:rFonts w:ascii="Times New Roman"/>
          <w:sz w:val="20"/>
          <w:szCs w:val="20"/>
        </w:rPr>
        <w:t>-</w:t>
      </w:r>
      <w:r w:rsidR="002213A6" w:rsidRPr="002213A6">
        <w:rPr>
          <w:rFonts w:ascii="Times New Roman"/>
          <w:sz w:val="20"/>
          <w:szCs w:val="20"/>
        </w:rPr>
        <w:t xml:space="preserve">out of the </w:t>
      </w:r>
      <w:r w:rsidR="00E83426">
        <w:rPr>
          <w:rFonts w:ascii="Times New Roman"/>
          <w:sz w:val="20"/>
          <w:szCs w:val="20"/>
        </w:rPr>
        <w:t>S</w:t>
      </w:r>
      <w:r w:rsidR="00E83426" w:rsidRPr="002213A6">
        <w:rPr>
          <w:rFonts w:ascii="Times New Roman"/>
          <w:sz w:val="20"/>
          <w:szCs w:val="20"/>
        </w:rPr>
        <w:t xml:space="preserve">trategic </w:t>
      </w:r>
      <w:r w:rsidR="00E83426">
        <w:rPr>
          <w:rFonts w:ascii="Times New Roman"/>
          <w:sz w:val="20"/>
          <w:szCs w:val="20"/>
        </w:rPr>
        <w:t>P</w:t>
      </w:r>
      <w:r w:rsidR="00E83426" w:rsidRPr="002213A6">
        <w:rPr>
          <w:rFonts w:ascii="Times New Roman"/>
          <w:sz w:val="20"/>
          <w:szCs w:val="20"/>
        </w:rPr>
        <w:t>lan</w:t>
      </w:r>
      <w:r w:rsidR="00E83426">
        <w:rPr>
          <w:rFonts w:ascii="Times New Roman"/>
          <w:sz w:val="20"/>
          <w:szCs w:val="20"/>
        </w:rPr>
        <w:t>,</w:t>
      </w:r>
      <w:r w:rsidR="00E83426" w:rsidRPr="002213A6">
        <w:rPr>
          <w:rFonts w:ascii="Times New Roman"/>
          <w:sz w:val="20"/>
          <w:szCs w:val="20"/>
        </w:rPr>
        <w:t xml:space="preserve"> </w:t>
      </w:r>
      <w:r w:rsidR="002213A6" w:rsidRPr="002213A6">
        <w:rPr>
          <w:rFonts w:ascii="Times New Roman"/>
          <w:sz w:val="20"/>
          <w:szCs w:val="20"/>
        </w:rPr>
        <w:t>ensur</w:t>
      </w:r>
      <w:r w:rsidR="00FF579E">
        <w:rPr>
          <w:rFonts w:ascii="Times New Roman"/>
          <w:sz w:val="20"/>
          <w:szCs w:val="20"/>
        </w:rPr>
        <w:t>ing</w:t>
      </w:r>
      <w:r w:rsidR="002213A6" w:rsidRPr="002213A6">
        <w:rPr>
          <w:rFonts w:ascii="Times New Roman"/>
          <w:sz w:val="20"/>
          <w:szCs w:val="20"/>
        </w:rPr>
        <w:t xml:space="preserve"> </w:t>
      </w:r>
      <w:r w:rsidR="00E83426">
        <w:rPr>
          <w:rFonts w:ascii="Times New Roman"/>
          <w:sz w:val="20"/>
          <w:szCs w:val="20"/>
        </w:rPr>
        <w:t xml:space="preserve">that </w:t>
      </w:r>
      <w:r w:rsidR="002213A6" w:rsidRPr="002213A6">
        <w:rPr>
          <w:rFonts w:ascii="Times New Roman"/>
          <w:sz w:val="20"/>
          <w:szCs w:val="20"/>
        </w:rPr>
        <w:t xml:space="preserve">regional hubs and country offices are fully engaged with areas of work such as country support platforms, </w:t>
      </w:r>
      <w:r w:rsidR="00E83426">
        <w:rPr>
          <w:rFonts w:ascii="Times New Roman"/>
          <w:sz w:val="20"/>
          <w:szCs w:val="20"/>
        </w:rPr>
        <w:t xml:space="preserve">the </w:t>
      </w:r>
      <w:r w:rsidR="002213A6" w:rsidRPr="002213A6">
        <w:rPr>
          <w:rFonts w:ascii="Times New Roman"/>
          <w:sz w:val="20"/>
          <w:szCs w:val="20"/>
        </w:rPr>
        <w:t xml:space="preserve">UNDP signature solutions, leveraging innovation, new programming approaches, monitoring of the </w:t>
      </w:r>
      <w:r w:rsidR="00E83426">
        <w:rPr>
          <w:rFonts w:ascii="Times New Roman"/>
          <w:sz w:val="20"/>
          <w:szCs w:val="20"/>
        </w:rPr>
        <w:t>S</w:t>
      </w:r>
      <w:r w:rsidR="00E83426" w:rsidRPr="002213A6">
        <w:rPr>
          <w:rFonts w:ascii="Times New Roman"/>
          <w:sz w:val="20"/>
          <w:szCs w:val="20"/>
        </w:rPr>
        <w:t xml:space="preserve">trategic </w:t>
      </w:r>
      <w:r w:rsidR="00E83426">
        <w:rPr>
          <w:rFonts w:ascii="Times New Roman"/>
          <w:sz w:val="20"/>
          <w:szCs w:val="20"/>
        </w:rPr>
        <w:t>P</w:t>
      </w:r>
      <w:r w:rsidR="00E83426" w:rsidRPr="002213A6">
        <w:rPr>
          <w:rFonts w:ascii="Times New Roman"/>
          <w:sz w:val="20"/>
          <w:szCs w:val="20"/>
        </w:rPr>
        <w:t>lan</w:t>
      </w:r>
      <w:r w:rsidR="002213A6" w:rsidRPr="002213A6">
        <w:rPr>
          <w:rFonts w:ascii="Times New Roman"/>
          <w:sz w:val="20"/>
          <w:szCs w:val="20"/>
        </w:rPr>
        <w:t xml:space="preserve"> and the </w:t>
      </w:r>
      <w:r w:rsidR="00E83426">
        <w:rPr>
          <w:rFonts w:ascii="Times New Roman"/>
          <w:sz w:val="20"/>
          <w:szCs w:val="20"/>
        </w:rPr>
        <w:t>c</w:t>
      </w:r>
      <w:r w:rsidR="00E83426" w:rsidRPr="002213A6">
        <w:rPr>
          <w:rFonts w:ascii="Times New Roman"/>
          <w:sz w:val="20"/>
          <w:szCs w:val="20"/>
        </w:rPr>
        <w:t xml:space="preserve">ommon </w:t>
      </w:r>
      <w:r w:rsidR="00E83426">
        <w:rPr>
          <w:rFonts w:ascii="Times New Roman"/>
          <w:sz w:val="20"/>
          <w:szCs w:val="20"/>
        </w:rPr>
        <w:t>c</w:t>
      </w:r>
      <w:r w:rsidR="00E83426" w:rsidRPr="002213A6">
        <w:rPr>
          <w:rFonts w:ascii="Times New Roman"/>
          <w:sz w:val="20"/>
          <w:szCs w:val="20"/>
        </w:rPr>
        <w:t>hapter</w:t>
      </w:r>
      <w:r w:rsidR="00E83426">
        <w:rPr>
          <w:rFonts w:ascii="Times New Roman"/>
          <w:sz w:val="20"/>
          <w:szCs w:val="20"/>
        </w:rPr>
        <w:t xml:space="preserve"> (discussed below)</w:t>
      </w:r>
      <w:r w:rsidR="002213A6" w:rsidRPr="002213A6">
        <w:rPr>
          <w:rFonts w:ascii="Times New Roman"/>
          <w:sz w:val="20"/>
          <w:szCs w:val="20"/>
        </w:rPr>
        <w:t>.</w:t>
      </w:r>
      <w:r w:rsidR="002213A6" w:rsidRPr="002213A6">
        <w:rPr>
          <w:rFonts w:ascii="Times New Roman"/>
          <w:sz w:val="20"/>
          <w:szCs w:val="20"/>
        </w:rPr>
        <w:t> </w:t>
      </w:r>
    </w:p>
    <w:p w:rsidR="002213A6" w:rsidRPr="003B2557" w:rsidRDefault="002213A6" w:rsidP="003B2557">
      <w:pPr>
        <w:tabs>
          <w:tab w:val="left" w:pos="1080"/>
        </w:tabs>
        <w:spacing w:after="0" w:line="0" w:lineRule="atLeast"/>
        <w:jc w:val="both"/>
        <w:rPr>
          <w:rFonts w:ascii="Times New Roman"/>
          <w:sz w:val="12"/>
          <w:szCs w:val="12"/>
        </w:rPr>
      </w:pPr>
    </w:p>
    <w:p w:rsidR="00384582" w:rsidRDefault="00384582">
      <w:pPr>
        <w:spacing w:after="0" w:line="240" w:lineRule="auto"/>
        <w:rPr>
          <w:rFonts w:ascii="Times New Roman"/>
          <w:b/>
          <w:sz w:val="20"/>
          <w:szCs w:val="20"/>
        </w:rPr>
      </w:pPr>
      <w:r>
        <w:rPr>
          <w:rFonts w:ascii="Times New Roman"/>
          <w:b/>
          <w:sz w:val="20"/>
          <w:szCs w:val="20"/>
        </w:rPr>
        <w:br w:type="page"/>
      </w:r>
    </w:p>
    <w:p w:rsidR="002213A6" w:rsidRPr="00F74FE7" w:rsidRDefault="002213A6" w:rsidP="003B2557">
      <w:pPr>
        <w:tabs>
          <w:tab w:val="left" w:pos="1080"/>
        </w:tabs>
        <w:spacing w:after="0" w:line="0" w:lineRule="atLeast"/>
        <w:ind w:firstLine="720"/>
        <w:jc w:val="both"/>
        <w:rPr>
          <w:rFonts w:ascii="Times New Roman"/>
          <w:b/>
          <w:sz w:val="20"/>
          <w:szCs w:val="20"/>
        </w:rPr>
      </w:pPr>
      <w:r w:rsidRPr="00F74FE7">
        <w:rPr>
          <w:rFonts w:ascii="Times New Roman"/>
          <w:b/>
          <w:sz w:val="20"/>
          <w:szCs w:val="20"/>
        </w:rPr>
        <w:lastRenderedPageBreak/>
        <w:t xml:space="preserve">Advancing implementation of the </w:t>
      </w:r>
      <w:r w:rsidR="000133A8">
        <w:rPr>
          <w:rFonts w:ascii="Times New Roman"/>
          <w:b/>
          <w:sz w:val="20"/>
          <w:szCs w:val="20"/>
        </w:rPr>
        <w:t>c</w:t>
      </w:r>
      <w:r w:rsidR="000133A8" w:rsidRPr="00F74FE7">
        <w:rPr>
          <w:rFonts w:ascii="Times New Roman"/>
          <w:b/>
          <w:sz w:val="20"/>
          <w:szCs w:val="20"/>
        </w:rPr>
        <w:t xml:space="preserve">ommon </w:t>
      </w:r>
      <w:r w:rsidR="000133A8">
        <w:rPr>
          <w:rFonts w:ascii="Times New Roman"/>
          <w:b/>
          <w:sz w:val="20"/>
          <w:szCs w:val="20"/>
        </w:rPr>
        <w:t>c</w:t>
      </w:r>
      <w:r w:rsidR="000133A8" w:rsidRPr="00F74FE7">
        <w:rPr>
          <w:rFonts w:ascii="Times New Roman"/>
          <w:b/>
          <w:sz w:val="20"/>
          <w:szCs w:val="20"/>
        </w:rPr>
        <w:t>hapter</w:t>
      </w:r>
    </w:p>
    <w:p w:rsidR="002213A6" w:rsidRPr="003B2557" w:rsidRDefault="002213A6" w:rsidP="003B2557">
      <w:pPr>
        <w:tabs>
          <w:tab w:val="left" w:pos="1080"/>
        </w:tabs>
        <w:spacing w:after="0" w:line="0" w:lineRule="atLeast"/>
        <w:jc w:val="both"/>
        <w:rPr>
          <w:rFonts w:ascii="Times New Roman"/>
          <w:sz w:val="12"/>
          <w:szCs w:val="12"/>
        </w:rPr>
      </w:pPr>
    </w:p>
    <w:p w:rsidR="002213A6" w:rsidRPr="002213A6" w:rsidRDefault="002213A6" w:rsidP="00425265">
      <w:pPr>
        <w:pStyle w:val="ListParagraph"/>
        <w:numPr>
          <w:ilvl w:val="0"/>
          <w:numId w:val="20"/>
        </w:numPr>
        <w:tabs>
          <w:tab w:val="left" w:pos="1080"/>
        </w:tabs>
        <w:spacing w:after="0" w:line="0" w:lineRule="atLeast"/>
        <w:ind w:firstLine="0"/>
        <w:jc w:val="both"/>
        <w:rPr>
          <w:rFonts w:ascii="Times New Roman"/>
          <w:sz w:val="20"/>
          <w:szCs w:val="20"/>
        </w:rPr>
      </w:pPr>
      <w:r w:rsidRPr="002213A6">
        <w:rPr>
          <w:rFonts w:ascii="Times New Roman"/>
          <w:sz w:val="20"/>
          <w:szCs w:val="20"/>
        </w:rPr>
        <w:t xml:space="preserve">The plan begins with a </w:t>
      </w:r>
      <w:r w:rsidR="00E83426">
        <w:rPr>
          <w:rFonts w:ascii="Times New Roman"/>
          <w:sz w:val="20"/>
          <w:szCs w:val="20"/>
        </w:rPr>
        <w:t>c</w:t>
      </w:r>
      <w:r w:rsidR="00E83426" w:rsidRPr="002213A6">
        <w:rPr>
          <w:rFonts w:ascii="Times New Roman"/>
          <w:sz w:val="20"/>
          <w:szCs w:val="20"/>
        </w:rPr>
        <w:t xml:space="preserve">ommon </w:t>
      </w:r>
      <w:r w:rsidR="00E83426">
        <w:rPr>
          <w:rFonts w:ascii="Times New Roman"/>
          <w:sz w:val="20"/>
          <w:szCs w:val="20"/>
        </w:rPr>
        <w:t>c</w:t>
      </w:r>
      <w:r w:rsidR="00E83426" w:rsidRPr="002213A6">
        <w:rPr>
          <w:rFonts w:ascii="Times New Roman"/>
          <w:sz w:val="20"/>
          <w:szCs w:val="20"/>
        </w:rPr>
        <w:t>hapter</w:t>
      </w:r>
      <w:r w:rsidRPr="002213A6">
        <w:rPr>
          <w:rFonts w:ascii="Times New Roman"/>
          <w:sz w:val="20"/>
          <w:szCs w:val="20"/>
        </w:rPr>
        <w:t xml:space="preserve">, adopted by UNDP, UNFPA, </w:t>
      </w:r>
      <w:r w:rsidR="00E83426">
        <w:rPr>
          <w:rFonts w:ascii="Times New Roman"/>
          <w:sz w:val="20"/>
          <w:szCs w:val="20"/>
        </w:rPr>
        <w:t>the United Nations Children</w:t>
      </w:r>
      <w:r w:rsidR="00E83426">
        <w:rPr>
          <w:rFonts w:ascii="Times New Roman"/>
          <w:sz w:val="20"/>
          <w:szCs w:val="20"/>
        </w:rPr>
        <w:t>’</w:t>
      </w:r>
      <w:r w:rsidR="00E83426">
        <w:rPr>
          <w:rFonts w:ascii="Times New Roman"/>
          <w:sz w:val="20"/>
          <w:szCs w:val="20"/>
        </w:rPr>
        <w:t xml:space="preserve">s Fund </w:t>
      </w:r>
      <w:r w:rsidRPr="002213A6">
        <w:rPr>
          <w:rFonts w:ascii="Times New Roman"/>
          <w:sz w:val="20"/>
          <w:szCs w:val="20"/>
        </w:rPr>
        <w:t>and UN</w:t>
      </w:r>
      <w:r w:rsidR="00E83426">
        <w:rPr>
          <w:rFonts w:ascii="Times New Roman"/>
          <w:sz w:val="20"/>
          <w:szCs w:val="20"/>
        </w:rPr>
        <w:t>-</w:t>
      </w:r>
      <w:r w:rsidRPr="002213A6">
        <w:rPr>
          <w:rFonts w:ascii="Times New Roman"/>
          <w:sz w:val="20"/>
          <w:szCs w:val="20"/>
        </w:rPr>
        <w:t xml:space="preserve">Women. UNDP has been working closely with these sister agencies to make the </w:t>
      </w:r>
      <w:r w:rsidR="00E83426">
        <w:rPr>
          <w:rFonts w:ascii="Times New Roman"/>
          <w:sz w:val="20"/>
          <w:szCs w:val="20"/>
        </w:rPr>
        <w:t>c</w:t>
      </w:r>
      <w:r w:rsidR="00E83426" w:rsidRPr="002213A6">
        <w:rPr>
          <w:rFonts w:ascii="Times New Roman"/>
          <w:sz w:val="20"/>
          <w:szCs w:val="20"/>
        </w:rPr>
        <w:t xml:space="preserve">ommon </w:t>
      </w:r>
      <w:r w:rsidR="00E83426">
        <w:rPr>
          <w:rFonts w:ascii="Times New Roman"/>
          <w:sz w:val="20"/>
          <w:szCs w:val="20"/>
        </w:rPr>
        <w:t>c</w:t>
      </w:r>
      <w:r w:rsidR="00E83426" w:rsidRPr="002213A6">
        <w:rPr>
          <w:rFonts w:ascii="Times New Roman"/>
          <w:sz w:val="20"/>
          <w:szCs w:val="20"/>
        </w:rPr>
        <w:t xml:space="preserve">hapter </w:t>
      </w:r>
      <w:r w:rsidRPr="002213A6">
        <w:rPr>
          <w:rFonts w:ascii="Times New Roman"/>
          <w:sz w:val="20"/>
          <w:szCs w:val="20"/>
        </w:rPr>
        <w:t xml:space="preserve">operational as quickly as possible.  An approach has been agreed and approved by each </w:t>
      </w:r>
      <w:r w:rsidR="00E83426">
        <w:rPr>
          <w:rFonts w:ascii="Times New Roman"/>
          <w:sz w:val="20"/>
          <w:szCs w:val="20"/>
        </w:rPr>
        <w:t>h</w:t>
      </w:r>
      <w:r w:rsidR="00E83426" w:rsidRPr="002213A6">
        <w:rPr>
          <w:rFonts w:ascii="Times New Roman"/>
          <w:sz w:val="20"/>
          <w:szCs w:val="20"/>
        </w:rPr>
        <w:t xml:space="preserve">ead </w:t>
      </w:r>
      <w:r w:rsidRPr="002213A6">
        <w:rPr>
          <w:rFonts w:ascii="Times New Roman"/>
          <w:sz w:val="20"/>
          <w:szCs w:val="20"/>
        </w:rPr>
        <w:t xml:space="preserve">of </w:t>
      </w:r>
      <w:r w:rsidR="00E83426">
        <w:rPr>
          <w:rFonts w:ascii="Times New Roman"/>
          <w:sz w:val="20"/>
          <w:szCs w:val="20"/>
        </w:rPr>
        <w:t>a</w:t>
      </w:r>
      <w:r w:rsidR="00E83426" w:rsidRPr="002213A6">
        <w:rPr>
          <w:rFonts w:ascii="Times New Roman"/>
          <w:sz w:val="20"/>
          <w:szCs w:val="20"/>
        </w:rPr>
        <w:t xml:space="preserve">gency </w:t>
      </w:r>
      <w:r w:rsidRPr="002213A6">
        <w:rPr>
          <w:rFonts w:ascii="Times New Roman"/>
          <w:sz w:val="20"/>
          <w:szCs w:val="20"/>
        </w:rPr>
        <w:t>that seeks to integrate this approach in country</w:t>
      </w:r>
      <w:r w:rsidR="00E83426">
        <w:rPr>
          <w:rFonts w:ascii="Times New Roman"/>
          <w:sz w:val="20"/>
          <w:szCs w:val="20"/>
        </w:rPr>
        <w:t>-</w:t>
      </w:r>
      <w:r w:rsidRPr="002213A6">
        <w:rPr>
          <w:rFonts w:ascii="Times New Roman"/>
          <w:sz w:val="20"/>
          <w:szCs w:val="20"/>
        </w:rPr>
        <w:t xml:space="preserve">level programming processes </w:t>
      </w:r>
      <w:r w:rsidR="00E83426" w:rsidRPr="002213A6">
        <w:rPr>
          <w:rFonts w:ascii="Times New Roman"/>
          <w:sz w:val="20"/>
          <w:szCs w:val="20"/>
        </w:rPr>
        <w:t>whil</w:t>
      </w:r>
      <w:r w:rsidR="00E83426">
        <w:rPr>
          <w:rFonts w:ascii="Times New Roman"/>
          <w:sz w:val="20"/>
          <w:szCs w:val="20"/>
        </w:rPr>
        <w:t>e</w:t>
      </w:r>
      <w:r w:rsidR="00E83426" w:rsidRPr="002213A6">
        <w:rPr>
          <w:rFonts w:ascii="Times New Roman"/>
          <w:sz w:val="20"/>
          <w:szCs w:val="20"/>
        </w:rPr>
        <w:t xml:space="preserve"> </w:t>
      </w:r>
      <w:r w:rsidRPr="002213A6">
        <w:rPr>
          <w:rFonts w:ascii="Times New Roman"/>
          <w:sz w:val="20"/>
          <w:szCs w:val="20"/>
        </w:rPr>
        <w:t xml:space="preserve">laying the groundwork for accelerator initiatives on a few initial issues that create </w:t>
      </w:r>
      <w:r w:rsidR="00E83426" w:rsidRPr="002213A6">
        <w:rPr>
          <w:rFonts w:ascii="Times New Roman"/>
          <w:sz w:val="20"/>
          <w:szCs w:val="20"/>
        </w:rPr>
        <w:t>transformati</w:t>
      </w:r>
      <w:r w:rsidR="00E83426">
        <w:rPr>
          <w:rFonts w:ascii="Times New Roman"/>
          <w:sz w:val="20"/>
          <w:szCs w:val="20"/>
        </w:rPr>
        <w:t>ve</w:t>
      </w:r>
      <w:r w:rsidR="00E83426" w:rsidRPr="002213A6">
        <w:rPr>
          <w:rFonts w:ascii="Times New Roman"/>
          <w:sz w:val="20"/>
          <w:szCs w:val="20"/>
        </w:rPr>
        <w:t xml:space="preserve"> </w:t>
      </w:r>
      <w:r w:rsidRPr="002213A6">
        <w:rPr>
          <w:rFonts w:ascii="Times New Roman"/>
          <w:sz w:val="20"/>
          <w:szCs w:val="20"/>
        </w:rPr>
        <w:t xml:space="preserve">impact through closer collaboration.  Operational details are being </w:t>
      </w:r>
      <w:r w:rsidR="00E83426" w:rsidRPr="002213A6">
        <w:rPr>
          <w:rFonts w:ascii="Times New Roman"/>
          <w:sz w:val="20"/>
          <w:szCs w:val="20"/>
        </w:rPr>
        <w:t>finali</w:t>
      </w:r>
      <w:r w:rsidR="00E83426">
        <w:rPr>
          <w:rFonts w:ascii="Times New Roman"/>
          <w:sz w:val="20"/>
          <w:szCs w:val="20"/>
        </w:rPr>
        <w:t>z</w:t>
      </w:r>
      <w:r w:rsidR="00E83426" w:rsidRPr="002213A6">
        <w:rPr>
          <w:rFonts w:ascii="Times New Roman"/>
          <w:sz w:val="20"/>
          <w:szCs w:val="20"/>
        </w:rPr>
        <w:t xml:space="preserve">ed </w:t>
      </w:r>
      <w:r w:rsidRPr="002213A6">
        <w:rPr>
          <w:rFonts w:ascii="Times New Roman"/>
          <w:sz w:val="20"/>
          <w:szCs w:val="20"/>
        </w:rPr>
        <w:t>to accompany the approach</w:t>
      </w:r>
      <w:r w:rsidR="00E83426">
        <w:rPr>
          <w:rFonts w:ascii="Times New Roman"/>
          <w:sz w:val="20"/>
          <w:szCs w:val="20"/>
        </w:rPr>
        <w:t>,</w:t>
      </w:r>
      <w:r w:rsidRPr="002213A6">
        <w:rPr>
          <w:rFonts w:ascii="Times New Roman"/>
          <w:sz w:val="20"/>
          <w:szCs w:val="20"/>
        </w:rPr>
        <w:t xml:space="preserve"> with initial action targeted for mid-2018.  </w:t>
      </w:r>
    </w:p>
    <w:p w:rsidR="002213A6" w:rsidRPr="003B2557" w:rsidRDefault="002213A6" w:rsidP="003B2557">
      <w:pPr>
        <w:pStyle w:val="ListParagraph"/>
        <w:tabs>
          <w:tab w:val="left" w:pos="1080"/>
        </w:tabs>
        <w:spacing w:after="0" w:line="0" w:lineRule="atLeast"/>
        <w:ind w:left="360"/>
        <w:jc w:val="both"/>
        <w:rPr>
          <w:rFonts w:ascii="Times New Roman"/>
          <w:sz w:val="12"/>
          <w:szCs w:val="12"/>
        </w:rPr>
      </w:pPr>
    </w:p>
    <w:p w:rsidR="002213A6" w:rsidRPr="00F74FE7" w:rsidRDefault="002213A6" w:rsidP="003B2557">
      <w:pPr>
        <w:tabs>
          <w:tab w:val="left" w:pos="1080"/>
        </w:tabs>
        <w:spacing w:after="0" w:line="0" w:lineRule="atLeast"/>
        <w:ind w:firstLine="720"/>
        <w:jc w:val="both"/>
        <w:rPr>
          <w:rFonts w:ascii="Times New Roman"/>
          <w:b/>
          <w:sz w:val="20"/>
          <w:szCs w:val="20"/>
        </w:rPr>
      </w:pPr>
      <w:r w:rsidRPr="00F74FE7">
        <w:rPr>
          <w:rFonts w:ascii="Times New Roman"/>
          <w:b/>
          <w:sz w:val="20"/>
          <w:szCs w:val="20"/>
        </w:rPr>
        <w:t xml:space="preserve">Developing country support platforms </w:t>
      </w:r>
    </w:p>
    <w:p w:rsidR="002213A6" w:rsidRPr="003B2557" w:rsidRDefault="002213A6" w:rsidP="003B2557">
      <w:pPr>
        <w:tabs>
          <w:tab w:val="left" w:pos="1080"/>
        </w:tabs>
        <w:spacing w:after="0" w:line="0" w:lineRule="atLeast"/>
        <w:jc w:val="both"/>
        <w:rPr>
          <w:rFonts w:ascii="Times New Roman"/>
          <w:sz w:val="12"/>
          <w:szCs w:val="12"/>
        </w:rPr>
      </w:pPr>
    </w:p>
    <w:p w:rsidR="002213A6" w:rsidRPr="002213A6" w:rsidRDefault="002213A6" w:rsidP="00425265">
      <w:pPr>
        <w:pStyle w:val="ListParagraph"/>
        <w:numPr>
          <w:ilvl w:val="0"/>
          <w:numId w:val="20"/>
        </w:numPr>
        <w:tabs>
          <w:tab w:val="left" w:pos="1080"/>
        </w:tabs>
        <w:spacing w:after="0" w:line="0" w:lineRule="atLeast"/>
        <w:ind w:firstLine="0"/>
        <w:jc w:val="both"/>
        <w:rPr>
          <w:rFonts w:ascii="Times New Roman" w:hAnsi="Times New Roman"/>
          <w:sz w:val="20"/>
        </w:rPr>
      </w:pPr>
      <w:r w:rsidRPr="002213A6">
        <w:rPr>
          <w:rFonts w:ascii="Times New Roman" w:hAnsi="Times New Roman"/>
          <w:sz w:val="20"/>
        </w:rPr>
        <w:t xml:space="preserve">One of the hallmarks of the next-generation UNDP are country support platforms, which will help rethink how UNDP and other partners support countries </w:t>
      </w:r>
      <w:r w:rsidRPr="002213A6">
        <w:rPr>
          <w:rFonts w:ascii="Times New Roman" w:hAnsi="Times New Roman"/>
          <w:sz w:val="20"/>
          <w:szCs w:val="20"/>
        </w:rPr>
        <w:t xml:space="preserve">to address systemic or structural challenges in sustainable development – </w:t>
      </w:r>
      <w:r w:rsidR="00E83426">
        <w:rPr>
          <w:rFonts w:ascii="Times New Roman" w:hAnsi="Times New Roman"/>
          <w:sz w:val="20"/>
          <w:szCs w:val="20"/>
        </w:rPr>
        <w:t>“</w:t>
      </w:r>
      <w:r w:rsidRPr="002213A6">
        <w:rPr>
          <w:rFonts w:ascii="Times New Roman" w:hAnsi="Times New Roman"/>
          <w:sz w:val="20"/>
          <w:szCs w:val="20"/>
        </w:rPr>
        <w:t>wicked problems</w:t>
      </w:r>
      <w:r w:rsidR="00E83426">
        <w:rPr>
          <w:rFonts w:ascii="Times New Roman" w:hAnsi="Times New Roman"/>
          <w:sz w:val="20"/>
          <w:szCs w:val="20"/>
        </w:rPr>
        <w:t>”</w:t>
      </w:r>
      <w:r w:rsidRPr="002213A6">
        <w:rPr>
          <w:rFonts w:ascii="Times New Roman" w:hAnsi="Times New Roman"/>
          <w:sz w:val="20"/>
          <w:szCs w:val="20"/>
        </w:rPr>
        <w:t xml:space="preserve"> </w:t>
      </w:r>
      <w:r w:rsidR="000133A8" w:rsidRPr="002213A6">
        <w:rPr>
          <w:rFonts w:ascii="Times New Roman" w:hAnsi="Times New Roman"/>
          <w:sz w:val="20"/>
          <w:szCs w:val="20"/>
        </w:rPr>
        <w:t>–</w:t>
      </w:r>
      <w:r w:rsidRPr="002213A6">
        <w:rPr>
          <w:rFonts w:ascii="Times New Roman" w:hAnsi="Times New Roman"/>
          <w:sz w:val="20"/>
          <w:szCs w:val="20"/>
        </w:rPr>
        <w:t xml:space="preserve"> that would otherwise remain unresolved.  Th</w:t>
      </w:r>
      <w:r w:rsidRPr="002213A6">
        <w:rPr>
          <w:rFonts w:ascii="Times New Roman" w:hAnsi="Times New Roman"/>
          <w:color w:val="000000"/>
          <w:sz w:val="20"/>
          <w:szCs w:val="20"/>
        </w:rPr>
        <w:t xml:space="preserve">is approach is driven by the </w:t>
      </w:r>
      <w:r w:rsidR="00E83426" w:rsidRPr="002213A6">
        <w:rPr>
          <w:rFonts w:ascii="Times New Roman" w:hAnsi="Times New Roman"/>
          <w:color w:val="000000"/>
          <w:sz w:val="20"/>
          <w:szCs w:val="20"/>
        </w:rPr>
        <w:t>reali</w:t>
      </w:r>
      <w:r w:rsidR="00E83426">
        <w:rPr>
          <w:rFonts w:ascii="Times New Roman" w:hAnsi="Times New Roman"/>
          <w:color w:val="000000"/>
          <w:sz w:val="20"/>
          <w:szCs w:val="20"/>
        </w:rPr>
        <w:t>z</w:t>
      </w:r>
      <w:r w:rsidR="00E83426" w:rsidRPr="002213A6">
        <w:rPr>
          <w:rFonts w:ascii="Times New Roman" w:hAnsi="Times New Roman"/>
          <w:color w:val="000000"/>
          <w:sz w:val="20"/>
          <w:szCs w:val="20"/>
        </w:rPr>
        <w:t xml:space="preserve">ation </w:t>
      </w:r>
      <w:r w:rsidRPr="002213A6">
        <w:rPr>
          <w:rFonts w:ascii="Times New Roman" w:hAnsi="Times New Roman"/>
          <w:color w:val="000000"/>
          <w:sz w:val="20"/>
          <w:szCs w:val="20"/>
        </w:rPr>
        <w:t xml:space="preserve">that dealing with </w:t>
      </w:r>
      <w:r w:rsidR="00E83426">
        <w:rPr>
          <w:rFonts w:ascii="Times New Roman" w:hAnsi="Times New Roman"/>
          <w:color w:val="000000"/>
          <w:sz w:val="20"/>
          <w:szCs w:val="20"/>
        </w:rPr>
        <w:t>twenty-first</w:t>
      </w:r>
      <w:r w:rsidR="00E83426" w:rsidRPr="002213A6">
        <w:rPr>
          <w:rFonts w:ascii="Times New Roman" w:hAnsi="Times New Roman"/>
          <w:color w:val="000000"/>
          <w:sz w:val="20"/>
          <w:szCs w:val="20"/>
        </w:rPr>
        <w:t xml:space="preserve"> </w:t>
      </w:r>
      <w:r w:rsidR="00E83426">
        <w:rPr>
          <w:rFonts w:ascii="Times New Roman" w:hAnsi="Times New Roman"/>
          <w:color w:val="000000"/>
          <w:sz w:val="20"/>
          <w:szCs w:val="20"/>
        </w:rPr>
        <w:t>c</w:t>
      </w:r>
      <w:r w:rsidR="00E83426" w:rsidRPr="002213A6">
        <w:rPr>
          <w:rFonts w:ascii="Times New Roman" w:hAnsi="Times New Roman"/>
          <w:color w:val="000000"/>
          <w:sz w:val="20"/>
          <w:szCs w:val="20"/>
        </w:rPr>
        <w:t xml:space="preserve">entury </w:t>
      </w:r>
      <w:r w:rsidRPr="002213A6">
        <w:rPr>
          <w:rFonts w:ascii="Times New Roman" w:hAnsi="Times New Roman"/>
          <w:color w:val="000000"/>
          <w:sz w:val="20"/>
          <w:szCs w:val="20"/>
        </w:rPr>
        <w:t xml:space="preserve">development ambitions and </w:t>
      </w:r>
      <w:r w:rsidRPr="002213A6">
        <w:rPr>
          <w:rFonts w:ascii="Times New Roman" w:hAnsi="Times New Roman"/>
          <w:color w:val="000000"/>
          <w:sz w:val="20"/>
        </w:rPr>
        <w:t>issues</w:t>
      </w:r>
      <w:r w:rsidRPr="002213A6">
        <w:rPr>
          <w:rFonts w:ascii="Times New Roman" w:hAnsi="Times New Roman"/>
          <w:color w:val="000000"/>
          <w:sz w:val="20"/>
          <w:szCs w:val="20"/>
        </w:rPr>
        <w:t xml:space="preserve"> will require a substantial update of development cooperation, with much greater emphasis on openness, collaborative networks, innovation and scale of effort, among others. </w:t>
      </w:r>
      <w:r w:rsidRPr="002213A6">
        <w:rPr>
          <w:rFonts w:ascii="Times New Roman" w:hAnsi="Times New Roman"/>
          <w:sz w:val="20"/>
          <w:szCs w:val="20"/>
        </w:rPr>
        <w:t>Country support</w:t>
      </w:r>
      <w:r w:rsidRPr="002213A6">
        <w:rPr>
          <w:rFonts w:ascii="Times New Roman" w:hAnsi="Times New Roman"/>
          <w:sz w:val="20"/>
        </w:rPr>
        <w:t xml:space="preserve"> platforms</w:t>
      </w:r>
      <w:r w:rsidRPr="002213A6">
        <w:rPr>
          <w:rFonts w:ascii="Times New Roman" w:hAnsi="Times New Roman"/>
          <w:sz w:val="20"/>
          <w:szCs w:val="20"/>
        </w:rPr>
        <w:t xml:space="preserve">, therefore, represent </w:t>
      </w:r>
      <w:r w:rsidRPr="002213A6">
        <w:rPr>
          <w:rFonts w:ascii="Times New Roman" w:hAnsi="Times New Roman"/>
          <w:sz w:val="20"/>
        </w:rPr>
        <w:t xml:space="preserve">a major departure from current ways of working. </w:t>
      </w:r>
      <w:r w:rsidRPr="002213A6">
        <w:rPr>
          <w:rFonts w:ascii="Times New Roman"/>
          <w:sz w:val="20"/>
          <w:szCs w:val="20"/>
        </w:rPr>
        <w:t xml:space="preserve">They recognize that the complex development issues at the heart of the 2030 Agenda require approaches that are much more open </w:t>
      </w:r>
      <w:r w:rsidRPr="002213A6">
        <w:rPr>
          <w:rFonts w:ascii="Times New Roman"/>
          <w:sz w:val="20"/>
          <w:szCs w:val="20"/>
        </w:rPr>
        <w:t>–</w:t>
      </w:r>
      <w:r w:rsidRPr="002213A6">
        <w:rPr>
          <w:rFonts w:ascii="Times New Roman"/>
          <w:sz w:val="20"/>
          <w:szCs w:val="20"/>
        </w:rPr>
        <w:t xml:space="preserve"> in design, management and partnership </w:t>
      </w:r>
      <w:r w:rsidR="004215ED" w:rsidRPr="002213A6">
        <w:rPr>
          <w:rFonts w:ascii="Times New Roman"/>
          <w:sz w:val="20"/>
          <w:szCs w:val="20"/>
        </w:rPr>
        <w:t>–</w:t>
      </w:r>
      <w:r w:rsidRPr="002213A6">
        <w:rPr>
          <w:rFonts w:ascii="Times New Roman"/>
          <w:sz w:val="20"/>
          <w:szCs w:val="20"/>
        </w:rPr>
        <w:t xml:space="preserve"> than traditional, project-based, development assistance.   Platforms demand more inclusive forms of governance, management and participation, as well as skills that are still in relatively limited supply: for foresight, systems thinking, applied innovation, partnership-building and new forms of financing.    </w:t>
      </w:r>
    </w:p>
    <w:p w:rsidR="002213A6" w:rsidRPr="003B2557" w:rsidRDefault="002213A6" w:rsidP="003B2557">
      <w:pPr>
        <w:tabs>
          <w:tab w:val="left" w:pos="1080"/>
        </w:tabs>
        <w:spacing w:after="0" w:line="0" w:lineRule="atLeast"/>
        <w:jc w:val="both"/>
        <w:rPr>
          <w:rFonts w:ascii="Times New Roman"/>
          <w:sz w:val="12"/>
          <w:szCs w:val="12"/>
        </w:rPr>
      </w:pPr>
    </w:p>
    <w:p w:rsidR="002213A6" w:rsidRPr="002213A6" w:rsidRDefault="002213A6" w:rsidP="00425265">
      <w:pPr>
        <w:pStyle w:val="ListParagraph"/>
        <w:numPr>
          <w:ilvl w:val="0"/>
          <w:numId w:val="20"/>
        </w:numPr>
        <w:tabs>
          <w:tab w:val="left" w:pos="1080"/>
        </w:tabs>
        <w:spacing w:after="120" w:line="0" w:lineRule="atLeast"/>
        <w:ind w:firstLine="0"/>
        <w:jc w:val="both"/>
        <w:rPr>
          <w:rFonts w:ascii="Times New Roman"/>
          <w:sz w:val="20"/>
          <w:szCs w:val="20"/>
        </w:rPr>
      </w:pPr>
      <w:r w:rsidRPr="002213A6">
        <w:rPr>
          <w:rFonts w:ascii="Times New Roman"/>
          <w:sz w:val="20"/>
          <w:szCs w:val="20"/>
        </w:rPr>
        <w:t>The foundation is being laid to design and operationalize platforms during 2018. UNDP has been looking at both in-house experience on platform-based approaches, as well as experience in the broader development community and in the public and private sectors in developed and developing countries</w:t>
      </w:r>
      <w:r w:rsidR="00FF579E">
        <w:rPr>
          <w:rFonts w:ascii="Times New Roman"/>
          <w:sz w:val="20"/>
          <w:szCs w:val="20"/>
        </w:rPr>
        <w:t>.</w:t>
      </w:r>
      <w:r w:rsidRPr="002213A6">
        <w:rPr>
          <w:rFonts w:ascii="Times New Roman"/>
          <w:sz w:val="20"/>
          <w:szCs w:val="20"/>
        </w:rPr>
        <w:t xml:space="preserve"> </w:t>
      </w:r>
      <w:r w:rsidR="00FF579E">
        <w:rPr>
          <w:rFonts w:ascii="Times New Roman"/>
          <w:sz w:val="20"/>
          <w:szCs w:val="20"/>
        </w:rPr>
        <w:t>O</w:t>
      </w:r>
      <w:r w:rsidRPr="002213A6">
        <w:rPr>
          <w:rFonts w:ascii="Times New Roman"/>
          <w:sz w:val="20"/>
          <w:szCs w:val="20"/>
        </w:rPr>
        <w:t xml:space="preserve">ptions for financing </w:t>
      </w:r>
      <w:r w:rsidR="004215ED">
        <w:rPr>
          <w:rFonts w:ascii="Times New Roman"/>
          <w:sz w:val="20"/>
          <w:szCs w:val="20"/>
        </w:rPr>
        <w:t xml:space="preserve">the </w:t>
      </w:r>
      <w:r w:rsidRPr="002213A6">
        <w:rPr>
          <w:rFonts w:ascii="Times New Roman"/>
          <w:sz w:val="20"/>
          <w:szCs w:val="20"/>
        </w:rPr>
        <w:t xml:space="preserve">UNDP role as an </w:t>
      </w:r>
      <w:r w:rsidR="004215ED">
        <w:rPr>
          <w:rFonts w:ascii="Times New Roman"/>
          <w:sz w:val="20"/>
          <w:szCs w:val="20"/>
        </w:rPr>
        <w:t>“</w:t>
      </w:r>
      <w:r w:rsidRPr="002213A6">
        <w:rPr>
          <w:rFonts w:ascii="Times New Roman"/>
          <w:sz w:val="20"/>
          <w:szCs w:val="20"/>
        </w:rPr>
        <w:t>early investor</w:t>
      </w:r>
      <w:r w:rsidR="004215ED">
        <w:rPr>
          <w:rFonts w:ascii="Times New Roman"/>
          <w:sz w:val="20"/>
          <w:szCs w:val="20"/>
        </w:rPr>
        <w:t>”</w:t>
      </w:r>
      <w:r w:rsidRPr="002213A6">
        <w:rPr>
          <w:rFonts w:ascii="Times New Roman"/>
          <w:sz w:val="20"/>
          <w:szCs w:val="20"/>
        </w:rPr>
        <w:t xml:space="preserve"> in platforms are advancing well, to help put resources behind this important initiative. Structured engagement with UNDS counterparts commenced in April 2018, building on informal consultations undertaken since late 2017. Further outreach and engagement with sister agencies in the UNDS </w:t>
      </w:r>
      <w:r w:rsidR="000133A8">
        <w:rPr>
          <w:rFonts w:ascii="Times New Roman"/>
          <w:sz w:val="20"/>
          <w:szCs w:val="20"/>
        </w:rPr>
        <w:t>are</w:t>
      </w:r>
      <w:r w:rsidR="000133A8" w:rsidRPr="002213A6">
        <w:rPr>
          <w:rFonts w:ascii="Times New Roman"/>
          <w:sz w:val="20"/>
          <w:szCs w:val="20"/>
        </w:rPr>
        <w:t xml:space="preserve"> </w:t>
      </w:r>
      <w:r w:rsidRPr="002213A6">
        <w:rPr>
          <w:rFonts w:ascii="Times New Roman"/>
          <w:sz w:val="20"/>
          <w:szCs w:val="20"/>
        </w:rPr>
        <w:t>also intensifying, amid signs of considerable interest and support for country support platforms as an approach that is both timely and necessary.</w:t>
      </w:r>
    </w:p>
    <w:p w:rsidR="002213A6" w:rsidRPr="00F74FE7" w:rsidRDefault="002213A6" w:rsidP="003B2557">
      <w:pPr>
        <w:tabs>
          <w:tab w:val="left" w:pos="1080"/>
        </w:tabs>
        <w:spacing w:after="120" w:line="0" w:lineRule="atLeast"/>
        <w:ind w:firstLine="720"/>
        <w:jc w:val="both"/>
        <w:rPr>
          <w:rFonts w:ascii="Times New Roman"/>
          <w:b/>
          <w:sz w:val="20"/>
          <w:szCs w:val="20"/>
        </w:rPr>
      </w:pPr>
      <w:r w:rsidRPr="00F74FE7">
        <w:rPr>
          <w:rFonts w:ascii="Times New Roman"/>
          <w:b/>
          <w:sz w:val="20"/>
          <w:szCs w:val="20"/>
        </w:rPr>
        <w:t>Triggering institutional change for improved delivery</w:t>
      </w:r>
    </w:p>
    <w:p w:rsidR="002213A6" w:rsidRPr="002213A6" w:rsidRDefault="002213A6" w:rsidP="00425265">
      <w:pPr>
        <w:pStyle w:val="ListParagraph"/>
        <w:numPr>
          <w:ilvl w:val="0"/>
          <w:numId w:val="20"/>
        </w:numPr>
        <w:tabs>
          <w:tab w:val="left" w:pos="1080"/>
        </w:tabs>
        <w:spacing w:after="0" w:line="0" w:lineRule="atLeast"/>
        <w:ind w:firstLine="0"/>
        <w:jc w:val="both"/>
        <w:rPr>
          <w:rFonts w:ascii="Times New Roman"/>
          <w:sz w:val="20"/>
          <w:szCs w:val="20"/>
        </w:rPr>
      </w:pPr>
      <w:r w:rsidRPr="002213A6">
        <w:rPr>
          <w:rFonts w:ascii="Times New Roman"/>
          <w:sz w:val="20"/>
          <w:szCs w:val="20"/>
        </w:rPr>
        <w:t>The development landscape is changing dramatically, and UNDP must change along with it. Presently, the organization is taking a critical look at its policy and program</w:t>
      </w:r>
      <w:r w:rsidR="004215ED">
        <w:rPr>
          <w:rFonts w:ascii="Times New Roman"/>
          <w:sz w:val="20"/>
          <w:szCs w:val="20"/>
        </w:rPr>
        <w:t>me</w:t>
      </w:r>
      <w:r w:rsidRPr="002213A6">
        <w:rPr>
          <w:rFonts w:ascii="Times New Roman"/>
          <w:sz w:val="20"/>
          <w:szCs w:val="20"/>
        </w:rPr>
        <w:t xml:space="preserve"> support (PPS) functions, business model and partnerships and advocacy approaches to drive a step change in its ability to respond to </w:t>
      </w:r>
      <w:r w:rsidR="004215ED">
        <w:rPr>
          <w:rFonts w:ascii="Times New Roman"/>
          <w:sz w:val="20"/>
          <w:szCs w:val="20"/>
        </w:rPr>
        <w:t>G</w:t>
      </w:r>
      <w:r w:rsidR="004215ED" w:rsidRPr="002213A6">
        <w:rPr>
          <w:rFonts w:ascii="Times New Roman"/>
          <w:sz w:val="20"/>
          <w:szCs w:val="20"/>
        </w:rPr>
        <w:t xml:space="preserve">overnments </w:t>
      </w:r>
      <w:r w:rsidRPr="002213A6">
        <w:rPr>
          <w:rFonts w:ascii="Times New Roman"/>
          <w:sz w:val="20"/>
          <w:szCs w:val="20"/>
        </w:rPr>
        <w:t xml:space="preserve">and other partners.   </w:t>
      </w:r>
    </w:p>
    <w:p w:rsidR="002213A6" w:rsidRPr="003B2557" w:rsidRDefault="002213A6" w:rsidP="003B2557">
      <w:pPr>
        <w:tabs>
          <w:tab w:val="left" w:pos="1080"/>
        </w:tabs>
        <w:spacing w:after="0" w:line="0" w:lineRule="atLeast"/>
        <w:ind w:left="-5"/>
        <w:jc w:val="both"/>
        <w:rPr>
          <w:rFonts w:ascii="Times New Roman"/>
          <w:sz w:val="12"/>
          <w:szCs w:val="12"/>
        </w:rPr>
      </w:pPr>
    </w:p>
    <w:p w:rsidR="002213A6" w:rsidRPr="002213A6" w:rsidRDefault="002213A6" w:rsidP="00425265">
      <w:pPr>
        <w:pStyle w:val="ListParagraph"/>
        <w:numPr>
          <w:ilvl w:val="0"/>
          <w:numId w:val="20"/>
        </w:numPr>
        <w:tabs>
          <w:tab w:val="left" w:pos="1080"/>
        </w:tabs>
        <w:spacing w:after="0" w:line="0" w:lineRule="atLeast"/>
        <w:ind w:firstLine="0"/>
        <w:jc w:val="both"/>
        <w:rPr>
          <w:rFonts w:ascii="Times New Roman"/>
          <w:sz w:val="20"/>
          <w:szCs w:val="20"/>
        </w:rPr>
      </w:pPr>
      <w:r w:rsidRPr="002213A6">
        <w:rPr>
          <w:rFonts w:ascii="Times New Roman"/>
          <w:sz w:val="20"/>
          <w:szCs w:val="20"/>
        </w:rPr>
        <w:t xml:space="preserve">The review of PPS functions is intended to design a structure and set of capacities to deliver the knowledge, policy advice and programmatic support countries need to address the complex and integrated nature of the </w:t>
      </w:r>
      <w:r w:rsidR="004215ED">
        <w:rPr>
          <w:rFonts w:ascii="Times New Roman"/>
          <w:sz w:val="20"/>
          <w:szCs w:val="20"/>
        </w:rPr>
        <w:t>Sustainable Development Goals</w:t>
      </w:r>
      <w:r w:rsidR="004215ED" w:rsidRPr="002213A6">
        <w:rPr>
          <w:rFonts w:ascii="Times New Roman"/>
          <w:sz w:val="20"/>
          <w:szCs w:val="20"/>
        </w:rPr>
        <w:t xml:space="preserve"> </w:t>
      </w:r>
      <w:r w:rsidRPr="002213A6">
        <w:rPr>
          <w:rFonts w:ascii="Times New Roman"/>
          <w:sz w:val="20"/>
          <w:szCs w:val="20"/>
        </w:rPr>
        <w:t xml:space="preserve">in a systematic way. The review aims to establish a more client-focused and field-based policy and programme support structure, leveraging </w:t>
      </w:r>
      <w:r w:rsidR="004215ED">
        <w:rPr>
          <w:rFonts w:ascii="Times New Roman"/>
          <w:sz w:val="20"/>
          <w:szCs w:val="20"/>
        </w:rPr>
        <w:t xml:space="preserve">the </w:t>
      </w:r>
      <w:r w:rsidRPr="002213A6">
        <w:rPr>
          <w:rFonts w:ascii="Times New Roman"/>
          <w:sz w:val="20"/>
          <w:szCs w:val="20"/>
        </w:rPr>
        <w:t xml:space="preserve">broad development perspective and partnership-building capacity </w:t>
      </w:r>
      <w:r w:rsidR="004215ED">
        <w:rPr>
          <w:rFonts w:ascii="Times New Roman"/>
          <w:sz w:val="20"/>
          <w:szCs w:val="20"/>
        </w:rPr>
        <w:t xml:space="preserve">of UNDP </w:t>
      </w:r>
      <w:r w:rsidRPr="002213A6">
        <w:rPr>
          <w:rFonts w:ascii="Times New Roman"/>
          <w:sz w:val="20"/>
          <w:szCs w:val="20"/>
        </w:rPr>
        <w:t xml:space="preserve">to provide integrated solutions as part of </w:t>
      </w:r>
      <w:r w:rsidR="004215ED">
        <w:rPr>
          <w:rFonts w:ascii="Times New Roman"/>
          <w:sz w:val="20"/>
          <w:szCs w:val="20"/>
        </w:rPr>
        <w:t xml:space="preserve">the </w:t>
      </w:r>
      <w:r w:rsidRPr="002213A6">
        <w:rPr>
          <w:rFonts w:ascii="Times New Roman"/>
          <w:sz w:val="20"/>
          <w:szCs w:val="20"/>
        </w:rPr>
        <w:t xml:space="preserve">UNDP offer.  The review addresses functions and capacities needed for all three </w:t>
      </w:r>
      <w:r w:rsidR="004215ED">
        <w:rPr>
          <w:rFonts w:ascii="Times New Roman"/>
          <w:sz w:val="20"/>
          <w:szCs w:val="20"/>
        </w:rPr>
        <w:t>d</w:t>
      </w:r>
      <w:r w:rsidR="004215ED" w:rsidRPr="002213A6">
        <w:rPr>
          <w:rFonts w:ascii="Times New Roman"/>
          <w:sz w:val="20"/>
          <w:szCs w:val="20"/>
        </w:rPr>
        <w:t xml:space="preserve">evelopment </w:t>
      </w:r>
      <w:r w:rsidR="004215ED">
        <w:rPr>
          <w:rFonts w:ascii="Times New Roman"/>
          <w:sz w:val="20"/>
          <w:szCs w:val="20"/>
        </w:rPr>
        <w:t>s</w:t>
      </w:r>
      <w:r w:rsidR="004215ED" w:rsidRPr="002213A6">
        <w:rPr>
          <w:rFonts w:ascii="Times New Roman"/>
          <w:sz w:val="20"/>
          <w:szCs w:val="20"/>
        </w:rPr>
        <w:t xml:space="preserve">ettings </w:t>
      </w:r>
      <w:r w:rsidRPr="002213A6">
        <w:rPr>
          <w:rFonts w:ascii="Times New Roman"/>
          <w:sz w:val="20"/>
          <w:szCs w:val="20"/>
        </w:rPr>
        <w:t xml:space="preserve">identified in the </w:t>
      </w:r>
      <w:r w:rsidR="004215ED">
        <w:rPr>
          <w:rFonts w:ascii="Times New Roman"/>
          <w:sz w:val="20"/>
          <w:szCs w:val="20"/>
        </w:rPr>
        <w:t>S</w:t>
      </w:r>
      <w:r w:rsidR="004215ED" w:rsidRPr="002213A6">
        <w:rPr>
          <w:rFonts w:ascii="Times New Roman"/>
          <w:sz w:val="20"/>
          <w:szCs w:val="20"/>
        </w:rPr>
        <w:t xml:space="preserve">trategic </w:t>
      </w:r>
      <w:r w:rsidR="004215ED">
        <w:rPr>
          <w:rFonts w:ascii="Times New Roman"/>
          <w:sz w:val="20"/>
          <w:szCs w:val="20"/>
        </w:rPr>
        <w:t>P</w:t>
      </w:r>
      <w:r w:rsidR="004215ED" w:rsidRPr="002213A6">
        <w:rPr>
          <w:rFonts w:ascii="Times New Roman"/>
          <w:sz w:val="20"/>
          <w:szCs w:val="20"/>
        </w:rPr>
        <w:t>lan</w:t>
      </w:r>
      <w:r w:rsidRPr="002213A6">
        <w:rPr>
          <w:rFonts w:ascii="Times New Roman"/>
          <w:sz w:val="20"/>
          <w:szCs w:val="20"/>
        </w:rPr>
        <w:t>, including the crisis and conflict setting in which the Crisis Response Unit plays a central role.</w:t>
      </w:r>
    </w:p>
    <w:p w:rsidR="002213A6" w:rsidRPr="003B2557" w:rsidRDefault="002213A6" w:rsidP="003B2557">
      <w:pPr>
        <w:tabs>
          <w:tab w:val="left" w:pos="1080"/>
        </w:tabs>
        <w:spacing w:after="0" w:line="0" w:lineRule="atLeast"/>
        <w:ind w:left="-5"/>
        <w:jc w:val="both"/>
        <w:rPr>
          <w:rFonts w:ascii="Times New Roman"/>
          <w:sz w:val="12"/>
          <w:szCs w:val="12"/>
        </w:rPr>
      </w:pPr>
    </w:p>
    <w:p w:rsidR="002213A6" w:rsidRPr="008B7744" w:rsidRDefault="002213A6" w:rsidP="00425265">
      <w:pPr>
        <w:pStyle w:val="ListParagraph"/>
        <w:numPr>
          <w:ilvl w:val="0"/>
          <w:numId w:val="20"/>
        </w:numPr>
        <w:tabs>
          <w:tab w:val="left" w:pos="1080"/>
        </w:tabs>
        <w:spacing w:after="0" w:line="0" w:lineRule="atLeast"/>
        <w:ind w:firstLine="0"/>
        <w:jc w:val="both"/>
        <w:rPr>
          <w:rFonts w:ascii="Times New Roman"/>
          <w:sz w:val="20"/>
          <w:szCs w:val="20"/>
        </w:rPr>
      </w:pPr>
      <w:r w:rsidRPr="008B7744">
        <w:rPr>
          <w:rFonts w:ascii="Times New Roman"/>
          <w:sz w:val="20"/>
          <w:szCs w:val="20"/>
        </w:rPr>
        <w:t xml:space="preserve">Two tracks of work have been established to improve </w:t>
      </w:r>
      <w:r w:rsidR="004215ED">
        <w:rPr>
          <w:rFonts w:ascii="Times New Roman"/>
          <w:sz w:val="20"/>
          <w:szCs w:val="20"/>
        </w:rPr>
        <w:t xml:space="preserve">the </w:t>
      </w:r>
      <w:r w:rsidRPr="008B7744">
        <w:rPr>
          <w:rFonts w:ascii="Times New Roman"/>
          <w:sz w:val="20"/>
          <w:szCs w:val="20"/>
        </w:rPr>
        <w:t xml:space="preserve">UNDP business model: a performance stream and an innovation stream. Significant efforts have been undertaken </w:t>
      </w:r>
      <w:r w:rsidR="001E0848">
        <w:rPr>
          <w:rFonts w:ascii="Times New Roman"/>
          <w:sz w:val="20"/>
          <w:szCs w:val="20"/>
        </w:rPr>
        <w:t xml:space="preserve">for </w:t>
      </w:r>
      <w:r w:rsidR="004215ED">
        <w:rPr>
          <w:rFonts w:ascii="Times New Roman"/>
          <w:sz w:val="20"/>
          <w:szCs w:val="20"/>
        </w:rPr>
        <w:t xml:space="preserve">improving the </w:t>
      </w:r>
      <w:r w:rsidRPr="008B7744">
        <w:rPr>
          <w:rFonts w:ascii="Times New Roman"/>
          <w:sz w:val="20"/>
          <w:szCs w:val="20"/>
        </w:rPr>
        <w:t xml:space="preserve">performance of </w:t>
      </w:r>
      <w:r w:rsidR="004215ED">
        <w:rPr>
          <w:rFonts w:ascii="Times New Roman"/>
          <w:sz w:val="20"/>
          <w:szCs w:val="20"/>
        </w:rPr>
        <w:t xml:space="preserve">the </w:t>
      </w:r>
      <w:r w:rsidRPr="008B7744">
        <w:rPr>
          <w:rFonts w:ascii="Times New Roman"/>
          <w:sz w:val="20"/>
          <w:szCs w:val="20"/>
        </w:rPr>
        <w:t xml:space="preserve">UNDP existing business model </w:t>
      </w:r>
      <w:r w:rsidR="001E0848">
        <w:rPr>
          <w:rFonts w:ascii="Times New Roman"/>
          <w:sz w:val="20"/>
          <w:szCs w:val="20"/>
        </w:rPr>
        <w:t>including</w:t>
      </w:r>
      <w:r w:rsidRPr="008B7744">
        <w:rPr>
          <w:rFonts w:ascii="Times New Roman"/>
          <w:sz w:val="20"/>
          <w:szCs w:val="20"/>
        </w:rPr>
        <w:t xml:space="preserve">: </w:t>
      </w:r>
      <w:r w:rsidR="008B7744" w:rsidRPr="008B7744">
        <w:rPr>
          <w:rFonts w:ascii="Times New Roman"/>
          <w:sz w:val="20"/>
          <w:szCs w:val="20"/>
        </w:rPr>
        <w:t xml:space="preserve">(a) </w:t>
      </w:r>
      <w:r w:rsidRPr="008B7744">
        <w:rPr>
          <w:rFonts w:ascii="Times New Roman"/>
          <w:sz w:val="20"/>
          <w:szCs w:val="20"/>
        </w:rPr>
        <w:t>the development of new ways of partnering with the private sector</w:t>
      </w:r>
      <w:r w:rsidR="004215ED">
        <w:rPr>
          <w:rFonts w:ascii="Times New Roman"/>
          <w:sz w:val="20"/>
          <w:szCs w:val="20"/>
        </w:rPr>
        <w:t xml:space="preserve">, </w:t>
      </w:r>
      <w:r w:rsidRPr="008B7744">
        <w:rPr>
          <w:rFonts w:ascii="Times New Roman"/>
          <w:sz w:val="20"/>
          <w:szCs w:val="20"/>
        </w:rPr>
        <w:t>including the development of three new legal instruments</w:t>
      </w:r>
      <w:r w:rsidR="008B7744" w:rsidRPr="008B7744">
        <w:rPr>
          <w:rFonts w:ascii="Times New Roman"/>
          <w:sz w:val="20"/>
          <w:szCs w:val="20"/>
        </w:rPr>
        <w:t xml:space="preserve">; (b) </w:t>
      </w:r>
      <w:r w:rsidRPr="008B7744">
        <w:rPr>
          <w:rFonts w:ascii="Times New Roman"/>
          <w:sz w:val="20"/>
          <w:szCs w:val="20"/>
        </w:rPr>
        <w:t>revision of policy and prescriptive content in relation to programme and project management to enable UNDP to be a more flexible and responsive partner</w:t>
      </w:r>
      <w:r w:rsidR="004215ED">
        <w:rPr>
          <w:rFonts w:ascii="Times New Roman"/>
          <w:sz w:val="20"/>
          <w:szCs w:val="20"/>
        </w:rPr>
        <w:t>;</w:t>
      </w:r>
      <w:r w:rsidR="004215ED" w:rsidRPr="008B7744">
        <w:rPr>
          <w:rFonts w:ascii="Times New Roman"/>
          <w:sz w:val="20"/>
          <w:szCs w:val="20"/>
        </w:rPr>
        <w:t xml:space="preserve"> </w:t>
      </w:r>
      <w:r w:rsidRPr="008B7744">
        <w:rPr>
          <w:rFonts w:ascii="Times New Roman"/>
          <w:sz w:val="20"/>
          <w:szCs w:val="20"/>
        </w:rPr>
        <w:t xml:space="preserve">and </w:t>
      </w:r>
      <w:r w:rsidR="008B7744" w:rsidRPr="008B7744">
        <w:rPr>
          <w:rFonts w:ascii="Times New Roman"/>
          <w:sz w:val="20"/>
          <w:szCs w:val="20"/>
        </w:rPr>
        <w:t xml:space="preserve">(c) </w:t>
      </w:r>
      <w:r w:rsidRPr="008B7744">
        <w:rPr>
          <w:rFonts w:ascii="Times New Roman"/>
          <w:sz w:val="20"/>
          <w:szCs w:val="20"/>
        </w:rPr>
        <w:t>establishment of a fast track to support the resolution of bottlenecks in the delivery of management services and simplification of operational procedures.</w:t>
      </w:r>
    </w:p>
    <w:p w:rsidR="002213A6" w:rsidRPr="00C74BE8" w:rsidRDefault="002213A6" w:rsidP="003B2557">
      <w:pPr>
        <w:tabs>
          <w:tab w:val="left" w:pos="1080"/>
        </w:tabs>
        <w:spacing w:after="0" w:line="0" w:lineRule="atLeast"/>
        <w:jc w:val="both"/>
        <w:rPr>
          <w:rFonts w:ascii="Times New Roman"/>
          <w:sz w:val="12"/>
          <w:szCs w:val="12"/>
        </w:rPr>
      </w:pPr>
    </w:p>
    <w:p w:rsidR="002213A6" w:rsidRPr="002213A6" w:rsidRDefault="002213A6" w:rsidP="00425265">
      <w:pPr>
        <w:pStyle w:val="ListParagraph"/>
        <w:numPr>
          <w:ilvl w:val="0"/>
          <w:numId w:val="20"/>
        </w:numPr>
        <w:tabs>
          <w:tab w:val="left" w:pos="1080"/>
        </w:tabs>
        <w:spacing w:after="0" w:line="0" w:lineRule="atLeast"/>
        <w:ind w:firstLine="0"/>
        <w:jc w:val="both"/>
        <w:rPr>
          <w:rFonts w:ascii="Times New Roman"/>
          <w:sz w:val="20"/>
          <w:szCs w:val="20"/>
        </w:rPr>
      </w:pPr>
      <w:r w:rsidRPr="002213A6">
        <w:rPr>
          <w:rFonts w:ascii="Times New Roman"/>
          <w:sz w:val="20"/>
          <w:szCs w:val="20"/>
        </w:rPr>
        <w:lastRenderedPageBreak/>
        <w:t xml:space="preserve">In terms of innovation, a new Country Investment Facility was established to spur innovative approaches to the business model at the </w:t>
      </w:r>
      <w:r w:rsidR="004215ED">
        <w:rPr>
          <w:rFonts w:ascii="Times New Roman"/>
          <w:sz w:val="20"/>
          <w:szCs w:val="20"/>
        </w:rPr>
        <w:t>c</w:t>
      </w:r>
      <w:r w:rsidR="004215ED" w:rsidRPr="002213A6">
        <w:rPr>
          <w:rFonts w:ascii="Times New Roman"/>
          <w:sz w:val="20"/>
          <w:szCs w:val="20"/>
        </w:rPr>
        <w:t xml:space="preserve">ountry </w:t>
      </w:r>
      <w:r w:rsidR="004215ED">
        <w:rPr>
          <w:rFonts w:ascii="Times New Roman"/>
          <w:sz w:val="20"/>
          <w:szCs w:val="20"/>
        </w:rPr>
        <w:t>l</w:t>
      </w:r>
      <w:r w:rsidR="004215ED" w:rsidRPr="002213A6">
        <w:rPr>
          <w:rFonts w:ascii="Times New Roman"/>
          <w:sz w:val="20"/>
          <w:szCs w:val="20"/>
        </w:rPr>
        <w:t>evel</w:t>
      </w:r>
      <w:r w:rsidRPr="002213A6">
        <w:rPr>
          <w:rFonts w:ascii="Times New Roman"/>
          <w:sz w:val="20"/>
          <w:szCs w:val="20"/>
        </w:rPr>
        <w:t xml:space="preserve">, and a new flagship project was launched to develop and test a new business model for leveraging significant financing for the </w:t>
      </w:r>
      <w:r w:rsidR="004215ED">
        <w:rPr>
          <w:rFonts w:ascii="Times New Roman"/>
          <w:sz w:val="20"/>
          <w:szCs w:val="20"/>
        </w:rPr>
        <w:t>Sustainable Development Goals</w:t>
      </w:r>
      <w:r w:rsidR="004215ED" w:rsidRPr="002213A6">
        <w:rPr>
          <w:rFonts w:ascii="Times New Roman"/>
          <w:sz w:val="20"/>
          <w:szCs w:val="20"/>
        </w:rPr>
        <w:t xml:space="preserve"> </w:t>
      </w:r>
      <w:r w:rsidRPr="002213A6">
        <w:rPr>
          <w:rFonts w:ascii="Times New Roman"/>
          <w:sz w:val="20"/>
          <w:szCs w:val="20"/>
        </w:rPr>
        <w:t xml:space="preserve">in partnership with the private sector. </w:t>
      </w:r>
    </w:p>
    <w:p w:rsidR="002213A6" w:rsidRPr="00C74BE8" w:rsidRDefault="002213A6" w:rsidP="003B2557">
      <w:pPr>
        <w:tabs>
          <w:tab w:val="left" w:pos="1080"/>
        </w:tabs>
        <w:spacing w:after="0" w:line="0" w:lineRule="atLeast"/>
        <w:ind w:left="-5"/>
        <w:jc w:val="both"/>
        <w:rPr>
          <w:rFonts w:ascii="Times New Roman"/>
          <w:sz w:val="12"/>
          <w:szCs w:val="12"/>
        </w:rPr>
      </w:pPr>
    </w:p>
    <w:p w:rsidR="002213A6" w:rsidRPr="002213A6" w:rsidRDefault="002213A6" w:rsidP="00425265">
      <w:pPr>
        <w:pStyle w:val="ListParagraph"/>
        <w:numPr>
          <w:ilvl w:val="0"/>
          <w:numId w:val="20"/>
        </w:numPr>
        <w:tabs>
          <w:tab w:val="left" w:pos="1080"/>
        </w:tabs>
        <w:spacing w:after="0" w:line="0" w:lineRule="atLeast"/>
        <w:ind w:firstLine="0"/>
        <w:jc w:val="both"/>
        <w:rPr>
          <w:rFonts w:ascii="Times New Roman"/>
          <w:sz w:val="20"/>
          <w:szCs w:val="20"/>
        </w:rPr>
      </w:pPr>
      <w:r w:rsidRPr="002213A6">
        <w:rPr>
          <w:rFonts w:ascii="Times New Roman"/>
          <w:sz w:val="20"/>
          <w:szCs w:val="20"/>
        </w:rPr>
        <w:t xml:space="preserve">Underpinning the work on improving </w:t>
      </w:r>
      <w:r w:rsidR="004215ED">
        <w:rPr>
          <w:rFonts w:ascii="Times New Roman"/>
          <w:sz w:val="20"/>
          <w:szCs w:val="20"/>
        </w:rPr>
        <w:t xml:space="preserve">the </w:t>
      </w:r>
      <w:r w:rsidRPr="002213A6">
        <w:rPr>
          <w:rFonts w:ascii="Times New Roman"/>
          <w:sz w:val="20"/>
          <w:szCs w:val="20"/>
        </w:rPr>
        <w:t xml:space="preserve">UNDP business model, a review of the </w:t>
      </w:r>
      <w:r w:rsidR="004215ED">
        <w:rPr>
          <w:rFonts w:ascii="Times New Roman"/>
          <w:sz w:val="20"/>
          <w:szCs w:val="20"/>
        </w:rPr>
        <w:t>m</w:t>
      </w:r>
      <w:r w:rsidR="004215ED" w:rsidRPr="002213A6">
        <w:rPr>
          <w:rFonts w:ascii="Times New Roman"/>
          <w:sz w:val="20"/>
          <w:szCs w:val="20"/>
        </w:rPr>
        <w:t xml:space="preserve">anagement </w:t>
      </w:r>
      <w:r w:rsidR="004215ED">
        <w:rPr>
          <w:rFonts w:ascii="Times New Roman"/>
          <w:sz w:val="20"/>
          <w:szCs w:val="20"/>
        </w:rPr>
        <w:t>s</w:t>
      </w:r>
      <w:r w:rsidR="004215ED" w:rsidRPr="002213A6">
        <w:rPr>
          <w:rFonts w:ascii="Times New Roman"/>
          <w:sz w:val="20"/>
          <w:szCs w:val="20"/>
        </w:rPr>
        <w:t xml:space="preserve">ervices </w:t>
      </w:r>
      <w:r w:rsidRPr="002213A6">
        <w:rPr>
          <w:rFonts w:ascii="Times New Roman"/>
          <w:sz w:val="20"/>
          <w:szCs w:val="20"/>
        </w:rPr>
        <w:t>function has been launched to evolve UNDP to be the pre-eminent global management services provider in the U</w:t>
      </w:r>
      <w:r w:rsidR="004215ED">
        <w:rPr>
          <w:rFonts w:ascii="Times New Roman"/>
          <w:sz w:val="20"/>
          <w:szCs w:val="20"/>
        </w:rPr>
        <w:t xml:space="preserve">nited </w:t>
      </w:r>
      <w:r w:rsidRPr="002213A6">
        <w:rPr>
          <w:rFonts w:ascii="Times New Roman"/>
          <w:sz w:val="20"/>
          <w:szCs w:val="20"/>
        </w:rPr>
        <w:t>N</w:t>
      </w:r>
      <w:r w:rsidR="004215ED">
        <w:rPr>
          <w:rFonts w:ascii="Times New Roman"/>
          <w:sz w:val="20"/>
          <w:szCs w:val="20"/>
        </w:rPr>
        <w:t>ations</w:t>
      </w:r>
      <w:r w:rsidRPr="002213A6">
        <w:rPr>
          <w:rFonts w:ascii="Times New Roman"/>
          <w:sz w:val="20"/>
          <w:szCs w:val="20"/>
        </w:rPr>
        <w:t xml:space="preserve"> system, capable of delivering timely and cost-effective services to internal and external clients in a risk</w:t>
      </w:r>
      <w:r w:rsidR="004215ED">
        <w:rPr>
          <w:rFonts w:ascii="Times New Roman"/>
          <w:sz w:val="20"/>
          <w:szCs w:val="20"/>
        </w:rPr>
        <w:t>-</w:t>
      </w:r>
      <w:r w:rsidRPr="002213A6">
        <w:rPr>
          <w:rFonts w:ascii="Times New Roman"/>
          <w:sz w:val="20"/>
          <w:szCs w:val="20"/>
        </w:rPr>
        <w:t xml:space="preserve">informed and adaptable manner. A review of external engagement, communications and partnership approaches will be undertaken in the second half of 2018, to ensure that UNDP is better positioned to leverage the range of partnerships at global, regional and country levels needed to deliver on the </w:t>
      </w:r>
      <w:r w:rsidR="004215ED">
        <w:rPr>
          <w:rFonts w:ascii="Times New Roman"/>
          <w:sz w:val="20"/>
          <w:szCs w:val="20"/>
        </w:rPr>
        <w:t>S</w:t>
      </w:r>
      <w:r w:rsidR="004215ED" w:rsidRPr="002213A6">
        <w:rPr>
          <w:rFonts w:ascii="Times New Roman"/>
          <w:sz w:val="20"/>
          <w:szCs w:val="20"/>
        </w:rPr>
        <w:t xml:space="preserve">trategic </w:t>
      </w:r>
      <w:r w:rsidR="004215ED">
        <w:rPr>
          <w:rFonts w:ascii="Times New Roman"/>
          <w:sz w:val="20"/>
          <w:szCs w:val="20"/>
        </w:rPr>
        <w:t>P</w:t>
      </w:r>
      <w:r w:rsidR="004215ED" w:rsidRPr="002213A6">
        <w:rPr>
          <w:rFonts w:ascii="Times New Roman"/>
          <w:sz w:val="20"/>
          <w:szCs w:val="20"/>
        </w:rPr>
        <w:t>lan</w:t>
      </w:r>
      <w:r w:rsidRPr="002213A6">
        <w:rPr>
          <w:rFonts w:ascii="Times New Roman"/>
          <w:sz w:val="20"/>
          <w:szCs w:val="20"/>
        </w:rPr>
        <w:t>.</w:t>
      </w:r>
    </w:p>
    <w:p w:rsidR="002213A6" w:rsidRPr="00C74BE8" w:rsidRDefault="002213A6" w:rsidP="003B2557">
      <w:pPr>
        <w:tabs>
          <w:tab w:val="left" w:pos="1080"/>
        </w:tabs>
        <w:spacing w:after="0" w:line="0" w:lineRule="atLeast"/>
        <w:jc w:val="both"/>
        <w:rPr>
          <w:rFonts w:ascii="Times New Roman"/>
          <w:sz w:val="12"/>
          <w:szCs w:val="12"/>
        </w:rPr>
      </w:pPr>
    </w:p>
    <w:p w:rsidR="002213A6" w:rsidRPr="002213A6" w:rsidRDefault="002213A6" w:rsidP="00425265">
      <w:pPr>
        <w:pStyle w:val="ListParagraph"/>
        <w:numPr>
          <w:ilvl w:val="0"/>
          <w:numId w:val="20"/>
        </w:numPr>
        <w:tabs>
          <w:tab w:val="left" w:pos="1080"/>
        </w:tabs>
        <w:spacing w:after="0" w:line="0" w:lineRule="atLeast"/>
        <w:ind w:firstLine="0"/>
        <w:jc w:val="both"/>
        <w:rPr>
          <w:rFonts w:ascii="Times New Roman"/>
          <w:b/>
          <w:sz w:val="20"/>
          <w:szCs w:val="20"/>
        </w:rPr>
      </w:pPr>
      <w:r w:rsidRPr="002213A6">
        <w:rPr>
          <w:rFonts w:ascii="Times New Roman"/>
          <w:sz w:val="20"/>
          <w:szCs w:val="20"/>
        </w:rPr>
        <w:t xml:space="preserve">Innovation has been brought to the core of </w:t>
      </w:r>
      <w:r w:rsidR="004215ED">
        <w:rPr>
          <w:rFonts w:ascii="Times New Roman"/>
          <w:sz w:val="20"/>
          <w:szCs w:val="20"/>
        </w:rPr>
        <w:t xml:space="preserve">the </w:t>
      </w:r>
      <w:r w:rsidRPr="002213A6">
        <w:rPr>
          <w:rFonts w:ascii="Times New Roman"/>
          <w:sz w:val="20"/>
          <w:szCs w:val="20"/>
        </w:rPr>
        <w:t xml:space="preserve">UNDP approach to delivering </w:t>
      </w:r>
      <w:r w:rsidR="004215ED">
        <w:rPr>
          <w:rFonts w:ascii="Times New Roman"/>
          <w:sz w:val="20"/>
          <w:szCs w:val="20"/>
        </w:rPr>
        <w:t xml:space="preserve">against </w:t>
      </w:r>
      <w:r w:rsidRPr="002213A6">
        <w:rPr>
          <w:rFonts w:ascii="Times New Roman"/>
          <w:sz w:val="20"/>
          <w:szCs w:val="20"/>
        </w:rPr>
        <w:t xml:space="preserve">the </w:t>
      </w:r>
      <w:r w:rsidR="004215ED">
        <w:rPr>
          <w:rFonts w:ascii="Times New Roman"/>
          <w:sz w:val="20"/>
          <w:szCs w:val="20"/>
        </w:rPr>
        <w:t>S</w:t>
      </w:r>
      <w:r w:rsidR="004215ED" w:rsidRPr="002213A6">
        <w:rPr>
          <w:rFonts w:ascii="Times New Roman"/>
          <w:sz w:val="20"/>
          <w:szCs w:val="20"/>
        </w:rPr>
        <w:t xml:space="preserve">trategic </w:t>
      </w:r>
      <w:r w:rsidR="004215ED">
        <w:rPr>
          <w:rFonts w:ascii="Times New Roman"/>
          <w:sz w:val="20"/>
          <w:szCs w:val="20"/>
        </w:rPr>
        <w:t>P</w:t>
      </w:r>
      <w:r w:rsidR="004215ED" w:rsidRPr="002213A6">
        <w:rPr>
          <w:rFonts w:ascii="Times New Roman"/>
          <w:sz w:val="20"/>
          <w:szCs w:val="20"/>
        </w:rPr>
        <w:t>lan</w:t>
      </w:r>
      <w:r w:rsidRPr="002213A6">
        <w:rPr>
          <w:rFonts w:ascii="Times New Roman"/>
          <w:sz w:val="20"/>
          <w:szCs w:val="20"/>
        </w:rPr>
        <w:t xml:space="preserve">.  This process has included a workshop on programmatic and operational innovation, deeper integration of the concept in the PPS and </w:t>
      </w:r>
      <w:r w:rsidR="004215ED">
        <w:rPr>
          <w:rFonts w:ascii="Times New Roman"/>
          <w:sz w:val="20"/>
          <w:szCs w:val="20"/>
        </w:rPr>
        <w:t>m</w:t>
      </w:r>
      <w:r w:rsidR="004215ED" w:rsidRPr="002213A6">
        <w:rPr>
          <w:rFonts w:ascii="Times New Roman"/>
          <w:sz w:val="20"/>
          <w:szCs w:val="20"/>
        </w:rPr>
        <w:t xml:space="preserve">anagement </w:t>
      </w:r>
      <w:r w:rsidRPr="002213A6">
        <w:rPr>
          <w:rFonts w:ascii="Times New Roman"/>
          <w:sz w:val="20"/>
          <w:szCs w:val="20"/>
        </w:rPr>
        <w:t xml:space="preserve">function reviews and by signalling a change of culture through online discussions and a live monthly call between the Administrator and project teams to discuss their innovative approaches and results achieved. </w:t>
      </w:r>
    </w:p>
    <w:p w:rsidR="00D6176C" w:rsidRPr="002213A6" w:rsidRDefault="00D6176C" w:rsidP="002213A6">
      <w:pPr>
        <w:spacing w:after="0" w:line="0" w:lineRule="atLeast"/>
        <w:jc w:val="both"/>
        <w:rPr>
          <w:rFonts w:ascii="Times New Roman" w:hAnsi="Times New Roman"/>
          <w:sz w:val="20"/>
          <w:szCs w:val="20"/>
        </w:rPr>
      </w:pPr>
      <w:r w:rsidRPr="002213A6">
        <w:rPr>
          <w:rFonts w:ascii="Times New Roman" w:hAnsi="Times New Roman"/>
          <w:sz w:val="20"/>
          <w:szCs w:val="20"/>
        </w:rPr>
        <w:t> </w:t>
      </w:r>
    </w:p>
    <w:bookmarkEnd w:id="0"/>
    <w:p w:rsidR="00D6176C" w:rsidRPr="00C74BE8" w:rsidRDefault="00384582" w:rsidP="00384582">
      <w:pPr>
        <w:spacing w:after="0" w:line="0" w:lineRule="atLeast"/>
        <w:jc w:val="center"/>
        <w:rPr>
          <w:rFonts w:ascii="Times New Roman" w:hAnsi="Times New Roman"/>
          <w:sz w:val="20"/>
          <w:szCs w:val="20"/>
        </w:rPr>
      </w:pPr>
      <w:r>
        <w:rPr>
          <w:rFonts w:ascii="Times New Roman" w:hAnsi="Times New Roman"/>
          <w:noProof/>
          <w:sz w:val="20"/>
          <w:szCs w:val="20"/>
        </w:rPr>
        <w:drawing>
          <wp:inline distT="0" distB="0" distL="0" distR="0" wp14:anchorId="62ABBD82">
            <wp:extent cx="920750" cy="63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D6176C" w:rsidRPr="00C74BE8" w:rsidSect="004C6DD1">
      <w:headerReference w:type="even" r:id="rId20"/>
      <w:headerReference w:type="default" r:id="rId21"/>
      <w:footerReference w:type="even" r:id="rId22"/>
      <w:footerReference w:type="default" r:id="rId23"/>
      <w:headerReference w:type="first" r:id="rId24"/>
      <w:pgSz w:w="12240" w:h="15840" w:code="1"/>
      <w:pgMar w:top="878" w:right="216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C47" w:rsidRDefault="00360C47">
      <w:pPr>
        <w:spacing w:after="0" w:line="240" w:lineRule="auto"/>
      </w:pPr>
      <w:r>
        <w:separator/>
      </w:r>
    </w:p>
  </w:endnote>
  <w:endnote w:type="continuationSeparator" w:id="0">
    <w:p w:rsidR="00360C47" w:rsidRDefault="00360C47">
      <w:pPr>
        <w:spacing w:after="0" w:line="240" w:lineRule="auto"/>
      </w:pPr>
      <w:r>
        <w:continuationSeparator/>
      </w:r>
    </w:p>
  </w:endnote>
  <w:endnote w:type="continuationNotice" w:id="1">
    <w:p w:rsidR="00360C47" w:rsidRDefault="00360C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New (W1)">
    <w:charset w:val="00"/>
    <w:family w:val="roman"/>
    <w:pitch w:val="variable"/>
    <w:sig w:usb0="20007A87" w:usb1="80000000" w:usb2="00000008" w:usb3="00000000" w:csb0="000001FF" w:csb1="00000000"/>
  </w:font>
  <w:font w:name="Helvetica Neue">
    <w:charset w:val="00"/>
    <w:family w:val="swiss"/>
    <w:pitch w:val="variable"/>
    <w:sig w:usb0="E50002FF" w:usb1="500079DB" w:usb2="00000010" w:usb3="00000000" w:csb0="00000001" w:csb1="00000000"/>
  </w:font>
  <w:font w:name="Open Sans">
    <w:charset w:val="00"/>
    <w:family w:val="swiss"/>
    <w:pitch w:val="variable"/>
    <w:sig w:usb0="E00002EF" w:usb1="4000205B" w:usb2="00000028" w:usb3="00000000" w:csb0="0000019F" w:csb1="00000000"/>
  </w:font>
  <w:font w:name="Myriad Pro">
    <w:altName w:val="Corbel"/>
    <w:panose1 w:val="020B0503030403020204"/>
    <w:charset w:val="00"/>
    <w:family w:val="swiss"/>
    <w:notTrueType/>
    <w:pitch w:val="variable"/>
    <w:sig w:usb0="A00002AF" w:usb1="5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846895"/>
      <w:docPartObj>
        <w:docPartGallery w:val="Page Numbers (Bottom of Page)"/>
        <w:docPartUnique/>
      </w:docPartObj>
    </w:sdtPr>
    <w:sdtEndPr>
      <w:rPr>
        <w:rFonts w:ascii="Times New Roman" w:hAnsi="Times New Roman"/>
        <w:noProof/>
        <w:sz w:val="17"/>
        <w:szCs w:val="17"/>
      </w:rPr>
    </w:sdtEndPr>
    <w:sdtContent>
      <w:p w:rsidR="00CB7016" w:rsidRPr="00434C41" w:rsidRDefault="00CB7016" w:rsidP="00577C4A">
        <w:pPr>
          <w:pStyle w:val="Footer"/>
          <w:rPr>
            <w:rFonts w:ascii="Times New Roman" w:hAnsi="Times New Roman"/>
            <w:sz w:val="17"/>
            <w:szCs w:val="17"/>
          </w:rPr>
        </w:pPr>
        <w:r w:rsidRPr="00434C41">
          <w:rPr>
            <w:rFonts w:ascii="Times New Roman" w:hAnsi="Times New Roman"/>
            <w:sz w:val="17"/>
            <w:szCs w:val="17"/>
          </w:rPr>
          <w:fldChar w:fldCharType="begin"/>
        </w:r>
        <w:r w:rsidRPr="00434C41">
          <w:rPr>
            <w:rFonts w:ascii="Times New Roman" w:hAnsi="Times New Roman"/>
            <w:sz w:val="17"/>
            <w:szCs w:val="17"/>
          </w:rPr>
          <w:instrText xml:space="preserve"> PAGE   \* MERGEFORMAT </w:instrText>
        </w:r>
        <w:r w:rsidRPr="00434C41">
          <w:rPr>
            <w:rFonts w:ascii="Times New Roman" w:hAnsi="Times New Roman"/>
            <w:sz w:val="17"/>
            <w:szCs w:val="17"/>
          </w:rPr>
          <w:fldChar w:fldCharType="separate"/>
        </w:r>
        <w:r w:rsidRPr="00434C41">
          <w:rPr>
            <w:rFonts w:ascii="Times New Roman" w:hAnsi="Times New Roman"/>
            <w:noProof/>
            <w:sz w:val="17"/>
            <w:szCs w:val="17"/>
          </w:rPr>
          <w:t>2</w:t>
        </w:r>
        <w:r w:rsidRPr="00434C41">
          <w:rPr>
            <w:rFonts w:ascii="Times New Roman" w:hAnsi="Times New Roman"/>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834205"/>
      <w:docPartObj>
        <w:docPartGallery w:val="Page Numbers (Bottom of Page)"/>
        <w:docPartUnique/>
      </w:docPartObj>
    </w:sdtPr>
    <w:sdtEndPr>
      <w:rPr>
        <w:rFonts w:ascii="Times New Roman" w:hAnsi="Times New Roman"/>
        <w:b/>
        <w:noProof/>
        <w:sz w:val="17"/>
        <w:szCs w:val="17"/>
      </w:rPr>
    </w:sdtEndPr>
    <w:sdtContent>
      <w:p w:rsidR="00CB7016" w:rsidRPr="00D54000" w:rsidRDefault="00CB7016" w:rsidP="00D54000">
        <w:pPr>
          <w:pStyle w:val="Footer"/>
          <w:ind w:right="-360"/>
          <w:jc w:val="right"/>
          <w:rPr>
            <w:rFonts w:ascii="Times New Roman" w:hAnsi="Times New Roman"/>
            <w:b/>
            <w:sz w:val="17"/>
            <w:szCs w:val="17"/>
          </w:rPr>
        </w:pPr>
        <w:r w:rsidRPr="00D54000">
          <w:rPr>
            <w:rFonts w:ascii="Times New Roman" w:hAnsi="Times New Roman"/>
            <w:b/>
            <w:sz w:val="17"/>
            <w:szCs w:val="17"/>
          </w:rPr>
          <w:fldChar w:fldCharType="begin"/>
        </w:r>
        <w:r w:rsidRPr="00D54000">
          <w:rPr>
            <w:rFonts w:ascii="Times New Roman" w:hAnsi="Times New Roman"/>
            <w:b/>
            <w:sz w:val="17"/>
            <w:szCs w:val="17"/>
          </w:rPr>
          <w:instrText xml:space="preserve"> PAGE   \* MERGEFORMAT </w:instrText>
        </w:r>
        <w:r w:rsidRPr="00D54000">
          <w:rPr>
            <w:rFonts w:ascii="Times New Roman" w:hAnsi="Times New Roman"/>
            <w:b/>
            <w:sz w:val="17"/>
            <w:szCs w:val="17"/>
          </w:rPr>
          <w:fldChar w:fldCharType="separate"/>
        </w:r>
        <w:r w:rsidRPr="00D54000">
          <w:rPr>
            <w:rFonts w:ascii="Times New Roman" w:hAnsi="Times New Roman"/>
            <w:b/>
            <w:noProof/>
            <w:sz w:val="17"/>
            <w:szCs w:val="17"/>
          </w:rPr>
          <w:t>2</w:t>
        </w:r>
        <w:r w:rsidRPr="00D54000">
          <w:rPr>
            <w:rFonts w:ascii="Times New Roman" w:hAnsi="Times New Roman"/>
            <w:b/>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C47" w:rsidRDefault="00360C47">
      <w:pPr>
        <w:spacing w:after="0" w:line="240" w:lineRule="auto"/>
      </w:pPr>
      <w:r>
        <w:separator/>
      </w:r>
    </w:p>
  </w:footnote>
  <w:footnote w:type="continuationSeparator" w:id="0">
    <w:p w:rsidR="00360C47" w:rsidRDefault="00360C47">
      <w:pPr>
        <w:spacing w:after="0" w:line="240" w:lineRule="auto"/>
      </w:pPr>
      <w:r>
        <w:continuationSeparator/>
      </w:r>
    </w:p>
  </w:footnote>
  <w:footnote w:type="continuationNotice" w:id="1">
    <w:p w:rsidR="00360C47" w:rsidRDefault="00360C47">
      <w:pPr>
        <w:spacing w:after="0" w:line="240" w:lineRule="auto"/>
      </w:pPr>
    </w:p>
  </w:footnote>
  <w:footnote w:id="2">
    <w:p w:rsidR="00CB7016" w:rsidRPr="001C43C6" w:rsidRDefault="00CB7016">
      <w:pPr>
        <w:pStyle w:val="FootnoteText"/>
      </w:pPr>
      <w:r>
        <w:rPr>
          <w:rStyle w:val="FootnoteReference"/>
        </w:rPr>
        <w:footnoteRef/>
      </w:r>
      <w:r>
        <w:t xml:space="preserve"> </w:t>
      </w:r>
      <w:r w:rsidRPr="00282BB4">
        <w:rPr>
          <w:rFonts w:ascii="Times New Roman" w:hAnsi="Times New Roman"/>
          <w:sz w:val="16"/>
          <w:szCs w:val="18"/>
        </w:rPr>
        <w:t>Source</w:t>
      </w:r>
      <w:r w:rsidRPr="00282BB4">
        <w:rPr>
          <w:rFonts w:ascii="Times New Roman" w:hAnsi="Times New Roman"/>
          <w:sz w:val="16"/>
        </w:rPr>
        <w:t>: 2017 country office result-oriented annual reports.</w:t>
      </w:r>
    </w:p>
  </w:footnote>
  <w:footnote w:id="3">
    <w:p w:rsidR="00CB7016" w:rsidRPr="003A2EB4" w:rsidRDefault="00CB7016" w:rsidP="00502004">
      <w:pPr>
        <w:pStyle w:val="FootnoteText"/>
        <w:rPr>
          <w:lang w:val="en-US"/>
        </w:rPr>
      </w:pPr>
      <w:r>
        <w:rPr>
          <w:rStyle w:val="FootnoteReference"/>
        </w:rPr>
        <w:footnoteRef/>
      </w:r>
      <w:r>
        <w:t xml:space="preserve"> </w:t>
      </w:r>
      <w:r>
        <w:rPr>
          <w:rFonts w:ascii="Times New Roman" w:hAnsi="Times New Roman"/>
          <w:sz w:val="16"/>
          <w:szCs w:val="16"/>
          <w:lang w:eastAsia="ja-JP"/>
        </w:rPr>
        <w:t>Summarizes results across relevant indicators without double counting (see annex 2</w:t>
      </w:r>
      <w:r>
        <w:rPr>
          <w:rFonts w:ascii="Times New Roman" w:hAnsi="Times New Roman"/>
          <w:sz w:val="18"/>
          <w:szCs w:val="18"/>
          <w:lang w:eastAsia="ja-JP"/>
        </w:rPr>
        <w:t>).</w:t>
      </w:r>
    </w:p>
  </w:footnote>
  <w:footnote w:id="4">
    <w:p w:rsidR="00CB7016" w:rsidRPr="003A2EB4" w:rsidRDefault="00CB7016" w:rsidP="00E95C67">
      <w:pPr>
        <w:pStyle w:val="FootnoteText"/>
        <w:rPr>
          <w:lang w:val="en-US"/>
        </w:rPr>
      </w:pPr>
      <w:r>
        <w:rPr>
          <w:rStyle w:val="FootnoteReference"/>
        </w:rPr>
        <w:footnoteRef/>
      </w:r>
      <w:r>
        <w:t xml:space="preserve"> </w:t>
      </w:r>
      <w:r w:rsidRPr="003A2EB4">
        <w:rPr>
          <w:rFonts w:ascii="Times New Roman" w:hAnsi="Times New Roman"/>
          <w:sz w:val="16"/>
          <w:szCs w:val="16"/>
          <w:lang w:eastAsia="ja-JP"/>
        </w:rPr>
        <w:t>Reported as “number of people living with HIV receiving ARV treatment as of mid-2017</w:t>
      </w:r>
      <w:r>
        <w:rPr>
          <w:rFonts w:ascii="Times New Roman" w:hAnsi="Times New Roman"/>
          <w:sz w:val="16"/>
          <w:szCs w:val="16"/>
          <w:lang w:eastAsia="ja-JP"/>
        </w:rPr>
        <w:t>.</w:t>
      </w:r>
      <w:r w:rsidRPr="003A2EB4">
        <w:rPr>
          <w:rFonts w:ascii="Times New Roman" w:hAnsi="Times New Roman"/>
          <w:sz w:val="16"/>
          <w:szCs w:val="16"/>
          <w:lang w:eastAsia="ja-JP"/>
        </w:rPr>
        <w:t xml:space="preserve">” This is not a cumulative figure </w:t>
      </w:r>
      <w:r>
        <w:rPr>
          <w:rFonts w:ascii="Times New Roman" w:hAnsi="Times New Roman"/>
          <w:sz w:val="16"/>
          <w:szCs w:val="16"/>
          <w:lang w:eastAsia="ja-JP"/>
        </w:rPr>
        <w:t>for</w:t>
      </w:r>
      <w:r w:rsidRPr="003A2EB4">
        <w:rPr>
          <w:rFonts w:ascii="Times New Roman" w:hAnsi="Times New Roman"/>
          <w:sz w:val="16"/>
          <w:szCs w:val="16"/>
          <w:lang w:eastAsia="ja-JP"/>
        </w:rPr>
        <w:t xml:space="preserve"> the 2014</w:t>
      </w:r>
      <w:r>
        <w:rPr>
          <w:rFonts w:ascii="Times New Roman" w:hAnsi="Times New Roman"/>
          <w:sz w:val="16"/>
          <w:szCs w:val="16"/>
          <w:lang w:eastAsia="ja-JP"/>
        </w:rPr>
        <w:t>-</w:t>
      </w:r>
      <w:r w:rsidRPr="003A2EB4">
        <w:rPr>
          <w:rFonts w:ascii="Times New Roman" w:hAnsi="Times New Roman"/>
          <w:sz w:val="16"/>
          <w:szCs w:val="16"/>
          <w:lang w:eastAsia="ja-JP"/>
        </w:rPr>
        <w:t>2017</w:t>
      </w:r>
      <w:r>
        <w:rPr>
          <w:rFonts w:ascii="Times New Roman" w:hAnsi="Times New Roman"/>
          <w:sz w:val="16"/>
          <w:szCs w:val="16"/>
          <w:lang w:eastAsia="ja-JP"/>
        </w:rPr>
        <w:t xml:space="preserve"> period</w:t>
      </w:r>
      <w:r w:rsidRPr="003A2EB4">
        <w:rPr>
          <w:rFonts w:ascii="Times New Roman" w:hAnsi="Times New Roman"/>
          <w:sz w:val="16"/>
          <w:szCs w:val="16"/>
          <w:lang w:eastAsia="ja-JP"/>
        </w:rPr>
        <w:t>.</w:t>
      </w:r>
    </w:p>
  </w:footnote>
  <w:footnote w:id="5">
    <w:p w:rsidR="00CB7016" w:rsidRPr="00F54456" w:rsidRDefault="00CB7016">
      <w:pPr>
        <w:pStyle w:val="FootnoteText"/>
      </w:pPr>
      <w:r>
        <w:rPr>
          <w:rStyle w:val="FootnoteReference"/>
        </w:rPr>
        <w:footnoteRef/>
      </w:r>
      <w:r>
        <w:t xml:space="preserve"> </w:t>
      </w:r>
      <w:r w:rsidRPr="00E442DD">
        <w:rPr>
          <w:sz w:val="22"/>
          <w:szCs w:val="22"/>
        </w:rPr>
        <w:t xml:space="preserve"> </w:t>
      </w:r>
      <w:r w:rsidRPr="00E442DD">
        <w:rPr>
          <w:rFonts w:ascii="Times New Roman" w:hAnsi="Times New Roman"/>
          <w:sz w:val="16"/>
          <w:szCs w:val="16"/>
          <w:lang w:eastAsia="ja-JP"/>
        </w:rPr>
        <w:t xml:space="preserve">Masaki, T., Custer, S., Eskenazi, A., Stern, A., and Latourell, R. (2017). </w:t>
      </w:r>
      <w:r w:rsidRPr="00E442DD">
        <w:rPr>
          <w:rFonts w:ascii="Times New Roman" w:hAnsi="Times New Roman"/>
          <w:i/>
          <w:sz w:val="16"/>
          <w:szCs w:val="16"/>
          <w:lang w:eastAsia="ja-JP"/>
        </w:rPr>
        <w:t>Decoding data use: How do leaders use data and use it to accelerate development?</w:t>
      </w:r>
      <w:r w:rsidRPr="00E442DD">
        <w:rPr>
          <w:rFonts w:ascii="Times New Roman" w:hAnsi="Times New Roman"/>
          <w:sz w:val="16"/>
          <w:szCs w:val="16"/>
          <w:lang w:eastAsia="ja-JP"/>
        </w:rPr>
        <w:t xml:space="preserve"> Williamsburg, VA: AidData at the College of William &amp; Mary</w:t>
      </w:r>
      <w:r>
        <w:rPr>
          <w:rFonts w:ascii="Times New Roman" w:hAnsi="Times New Roman"/>
          <w:sz w:val="16"/>
          <w:szCs w:val="16"/>
          <w:lang w:eastAsia="ja-JP"/>
        </w:rPr>
        <w:t>.</w:t>
      </w:r>
    </w:p>
  </w:footnote>
  <w:footnote w:id="6">
    <w:p w:rsidR="00CB7016" w:rsidRPr="00F74FE7" w:rsidRDefault="00CB7016" w:rsidP="00D6176C">
      <w:pPr>
        <w:pStyle w:val="FootnoteText"/>
        <w:rPr>
          <w:rFonts w:ascii="Times New Roman" w:hAnsi="Times New Roman"/>
          <w:sz w:val="16"/>
          <w:szCs w:val="16"/>
          <w:lang w:val="en-US"/>
        </w:rPr>
      </w:pPr>
      <w:r w:rsidRPr="00F74FE7">
        <w:rPr>
          <w:rStyle w:val="FootnoteReference"/>
          <w:rFonts w:ascii="Times New Roman" w:hAnsi="Times New Roman"/>
          <w:sz w:val="16"/>
          <w:szCs w:val="16"/>
        </w:rPr>
        <w:footnoteRef/>
      </w:r>
      <w:r w:rsidRPr="00F74FE7">
        <w:rPr>
          <w:rFonts w:ascii="Times New Roman" w:hAnsi="Times New Roman"/>
          <w:sz w:val="16"/>
          <w:szCs w:val="16"/>
        </w:rPr>
        <w:t xml:space="preserve"> </w:t>
      </w:r>
      <w:r w:rsidRPr="00D6083A">
        <w:rPr>
          <w:rFonts w:ascii="Times New Roman" w:hAnsi="Times New Roman"/>
          <w:sz w:val="16"/>
          <w:szCs w:val="16"/>
          <w:lang w:val="en-US"/>
        </w:rPr>
        <w:t xml:space="preserve">For details of IRRF indicators, see </w:t>
      </w:r>
      <w:r>
        <w:rPr>
          <w:rFonts w:ascii="Times New Roman" w:hAnsi="Times New Roman"/>
          <w:sz w:val="16"/>
          <w:szCs w:val="16"/>
          <w:lang w:val="en-US"/>
        </w:rPr>
        <w:t>a</w:t>
      </w:r>
      <w:r w:rsidRPr="00D6083A">
        <w:rPr>
          <w:rFonts w:ascii="Times New Roman" w:hAnsi="Times New Roman"/>
          <w:sz w:val="16"/>
          <w:szCs w:val="16"/>
          <w:lang w:val="en-US"/>
        </w:rPr>
        <w:t>nnex 2.</w:t>
      </w:r>
      <w:r w:rsidRPr="00F74FE7">
        <w:rPr>
          <w:rFonts w:ascii="Times New Roman" w:hAnsi="Times New Roman"/>
          <w:sz w:val="16"/>
          <w:szCs w:val="16"/>
          <w:lang w:val="en-US"/>
        </w:rPr>
        <w:t xml:space="preserve">  </w:t>
      </w:r>
    </w:p>
  </w:footnote>
  <w:footnote w:id="7">
    <w:p w:rsidR="00CB7016" w:rsidRPr="00BB06AF" w:rsidRDefault="00CB7016" w:rsidP="00F74FE7">
      <w:pPr>
        <w:tabs>
          <w:tab w:val="left" w:pos="720"/>
        </w:tabs>
        <w:spacing w:after="0" w:line="240" w:lineRule="auto"/>
        <w:jc w:val="both"/>
        <w:rPr>
          <w:rFonts w:ascii="Times New Roman" w:hAnsi="Times New Roman"/>
          <w:sz w:val="16"/>
          <w:szCs w:val="16"/>
        </w:rPr>
      </w:pPr>
      <w:r w:rsidRPr="00F74FE7">
        <w:rPr>
          <w:rStyle w:val="FootnoteReference"/>
          <w:rFonts w:ascii="Times New Roman" w:hAnsi="Times New Roman"/>
          <w:sz w:val="16"/>
          <w:szCs w:val="16"/>
        </w:rPr>
        <w:footnoteRef/>
      </w:r>
      <w:r w:rsidRPr="00F74FE7">
        <w:rPr>
          <w:rFonts w:ascii="Times New Roman" w:hAnsi="Times New Roman"/>
          <w:sz w:val="16"/>
          <w:szCs w:val="16"/>
        </w:rPr>
        <w:t xml:space="preserve"> </w:t>
      </w:r>
      <w:r w:rsidRPr="00BB06AF">
        <w:rPr>
          <w:rFonts w:ascii="Times New Roman" w:hAnsi="Times New Roman"/>
          <w:sz w:val="16"/>
          <w:szCs w:val="16"/>
        </w:rPr>
        <w:t xml:space="preserve">Report card performance needs to be analysed with caution as in some cases, the aggregate performance for outputs was driven by a small number of country offices with milestones significantly higher or lower than other country offices. The IRRF and financial data present performance for the </w:t>
      </w:r>
      <w:r>
        <w:rPr>
          <w:rFonts w:ascii="Times New Roman" w:hAnsi="Times New Roman"/>
          <w:sz w:val="16"/>
          <w:szCs w:val="16"/>
        </w:rPr>
        <w:t>S</w:t>
      </w:r>
      <w:r w:rsidRPr="00BB06AF">
        <w:rPr>
          <w:rFonts w:ascii="Times New Roman" w:hAnsi="Times New Roman"/>
          <w:sz w:val="16"/>
          <w:szCs w:val="16"/>
        </w:rPr>
        <w:t xml:space="preserve">trategic </w:t>
      </w:r>
      <w:r>
        <w:rPr>
          <w:rFonts w:ascii="Times New Roman" w:hAnsi="Times New Roman"/>
          <w:sz w:val="16"/>
          <w:szCs w:val="16"/>
        </w:rPr>
        <w:t>P</w:t>
      </w:r>
      <w:r w:rsidRPr="00BB06AF">
        <w:rPr>
          <w:rFonts w:ascii="Times New Roman" w:hAnsi="Times New Roman"/>
          <w:sz w:val="16"/>
          <w:szCs w:val="16"/>
        </w:rPr>
        <w:t>lan</w:t>
      </w:r>
      <w:r>
        <w:rPr>
          <w:rFonts w:ascii="Times New Roman" w:hAnsi="Times New Roman"/>
          <w:sz w:val="16"/>
          <w:szCs w:val="16"/>
        </w:rPr>
        <w:t>.</w:t>
      </w:r>
      <w:r w:rsidRPr="00BB06AF">
        <w:rPr>
          <w:rFonts w:ascii="Times New Roman" w:hAnsi="Times New Roman"/>
          <w:sz w:val="16"/>
          <w:szCs w:val="16"/>
        </w:rPr>
        <w:t xml:space="preserve"> 2014-2017.  Examples in this section are UNDP results for 2017, unless otherwise specified.    </w:t>
      </w:r>
    </w:p>
    <w:p w:rsidR="00CB7016" w:rsidRPr="00F74FE7" w:rsidRDefault="00CB7016" w:rsidP="00F74FE7">
      <w:pPr>
        <w:tabs>
          <w:tab w:val="left" w:pos="720"/>
        </w:tabs>
        <w:spacing w:after="0" w:line="240" w:lineRule="auto"/>
        <w:ind w:left="360"/>
        <w:jc w:val="both"/>
        <w:rPr>
          <w:rFonts w:ascii="Times New Roman" w:hAnsi="Times New Roman"/>
          <w:sz w:val="18"/>
          <w:szCs w:val="18"/>
        </w:rPr>
      </w:pPr>
    </w:p>
    <w:p w:rsidR="00CB7016" w:rsidRPr="00441503" w:rsidRDefault="00CB7016">
      <w:pPr>
        <w:pStyle w:val="FootnoteText"/>
        <w:rPr>
          <w:lang w:val="en-US"/>
        </w:rPr>
      </w:pPr>
    </w:p>
  </w:footnote>
  <w:footnote w:id="8">
    <w:p w:rsidR="00CB7016" w:rsidRPr="00EC22A7" w:rsidRDefault="00CB7016" w:rsidP="00D6176C">
      <w:pPr>
        <w:pStyle w:val="FootnoteText"/>
        <w:rPr>
          <w:lang w:val="en-US"/>
        </w:rPr>
      </w:pPr>
      <w:r w:rsidRPr="00F74FE7">
        <w:rPr>
          <w:rFonts w:ascii="Times New Roman" w:hAnsi="Times New Roman"/>
          <w:noProof/>
          <w:sz w:val="16"/>
        </w:rPr>
        <w:footnoteRef/>
      </w:r>
      <w:r w:rsidRPr="00F74FE7">
        <w:rPr>
          <w:rFonts w:ascii="Times New Roman" w:hAnsi="Times New Roman"/>
          <w:noProof/>
          <w:sz w:val="16"/>
        </w:rPr>
        <w:t xml:space="preserve"> All </w:t>
      </w:r>
      <w:r>
        <w:rPr>
          <w:rFonts w:ascii="Times New Roman" w:hAnsi="Times New Roman"/>
          <w:noProof/>
          <w:sz w:val="16"/>
        </w:rPr>
        <w:t>g</w:t>
      </w:r>
      <w:r w:rsidRPr="00F74FE7">
        <w:rPr>
          <w:rFonts w:ascii="Times New Roman" w:hAnsi="Times New Roman"/>
          <w:noProof/>
          <w:sz w:val="16"/>
        </w:rPr>
        <w:t xml:space="preserve">ender </w:t>
      </w:r>
      <w:r>
        <w:rPr>
          <w:rFonts w:ascii="Times New Roman" w:hAnsi="Times New Roman"/>
          <w:noProof/>
          <w:sz w:val="16"/>
        </w:rPr>
        <w:t>m</w:t>
      </w:r>
      <w:r w:rsidRPr="00F74FE7">
        <w:rPr>
          <w:rFonts w:ascii="Times New Roman" w:hAnsi="Times New Roman"/>
          <w:noProof/>
          <w:sz w:val="16"/>
        </w:rPr>
        <w:t>arker figures in the report card</w:t>
      </w:r>
      <w:r>
        <w:rPr>
          <w:rFonts w:ascii="Times New Roman" w:eastAsia="Times New Roman" w:hAnsi="Times New Roman"/>
          <w:sz w:val="16"/>
          <w:lang w:eastAsia="ja-JP"/>
        </w:rPr>
        <w:t xml:space="preserve"> present </w:t>
      </w:r>
      <w:r w:rsidRPr="00EC22A7">
        <w:rPr>
          <w:rFonts w:ascii="Times New Roman" w:eastAsia="Times New Roman" w:hAnsi="Times New Roman"/>
          <w:sz w:val="16"/>
          <w:lang w:eastAsia="ja-JP"/>
        </w:rPr>
        <w:t xml:space="preserve">cumulative </w:t>
      </w:r>
      <w:r>
        <w:rPr>
          <w:rFonts w:ascii="Times New Roman" w:eastAsia="Times New Roman" w:hAnsi="Times New Roman"/>
          <w:sz w:val="16"/>
          <w:lang w:eastAsia="ja-JP"/>
        </w:rPr>
        <w:t>performance over</w:t>
      </w:r>
      <w:r w:rsidRPr="00F01E50">
        <w:rPr>
          <w:rFonts w:ascii="Times New Roman" w:eastAsia="Times New Roman" w:hAnsi="Times New Roman"/>
          <w:sz w:val="16"/>
          <w:lang w:eastAsia="ja-JP"/>
        </w:rPr>
        <w:t xml:space="preserve"> four years</w:t>
      </w:r>
      <w:r>
        <w:rPr>
          <w:rFonts w:ascii="Times New Roman" w:eastAsia="Times New Roman" w:hAnsi="Times New Roman"/>
          <w:sz w:val="16"/>
          <w:lang w:eastAsia="ja-JP"/>
        </w:rPr>
        <w:t xml:space="preserve"> (2014-2017)</w:t>
      </w:r>
      <w:r w:rsidRPr="00F01E50">
        <w:rPr>
          <w:rFonts w:ascii="Times New Roman" w:eastAsia="Times New Roman" w:hAnsi="Times New Roman"/>
          <w:sz w:val="16"/>
          <w:lang w:eastAsia="ja-JP"/>
        </w:rPr>
        <w:t>.</w:t>
      </w:r>
      <w:r>
        <w:rPr>
          <w:rFonts w:ascii="Times New Roman" w:eastAsia="Times New Roman" w:hAnsi="Times New Roman"/>
          <w:sz w:val="16"/>
          <w:lang w:eastAsia="ja-JP"/>
        </w:rPr>
        <w:t xml:space="preserve">  </w:t>
      </w:r>
    </w:p>
  </w:footnote>
  <w:footnote w:id="9">
    <w:p w:rsidR="00CB7016" w:rsidRPr="00F74FE7" w:rsidRDefault="00CB7016" w:rsidP="00F74FE7">
      <w:pPr>
        <w:spacing w:after="0" w:line="0" w:lineRule="atLeast"/>
        <w:jc w:val="both"/>
        <w:rPr>
          <w:rFonts w:ascii="Times New Roman" w:eastAsiaTheme="minorEastAsia" w:hAnsi="Times New Roman"/>
          <w:sz w:val="16"/>
          <w:szCs w:val="16"/>
        </w:rPr>
      </w:pPr>
      <w:r w:rsidRPr="00F74FE7">
        <w:rPr>
          <w:rStyle w:val="FootnoteReference"/>
          <w:sz w:val="16"/>
          <w:szCs w:val="16"/>
        </w:rPr>
        <w:footnoteRef/>
      </w:r>
      <w:r w:rsidRPr="00F74FE7">
        <w:rPr>
          <w:sz w:val="16"/>
          <w:szCs w:val="16"/>
        </w:rPr>
        <w:t xml:space="preserve"> </w:t>
      </w:r>
      <w:r w:rsidRPr="007770D0">
        <w:rPr>
          <w:rFonts w:ascii="Times New Roman" w:hAnsi="Times New Roman"/>
          <w:sz w:val="16"/>
          <w:szCs w:val="16"/>
        </w:rPr>
        <w:t>Figures for 2014-2016</w:t>
      </w:r>
      <w:r w:rsidRPr="003411CA">
        <w:rPr>
          <w:rFonts w:ascii="Times New Roman" w:hAnsi="Times New Roman"/>
          <w:sz w:val="16"/>
          <w:szCs w:val="16"/>
        </w:rPr>
        <w:t xml:space="preserve"> from the annual report</w:t>
      </w:r>
      <w:r>
        <w:rPr>
          <w:rFonts w:ascii="Times New Roman" w:hAnsi="Times New Roman"/>
          <w:sz w:val="16"/>
          <w:szCs w:val="16"/>
        </w:rPr>
        <w:t>s</w:t>
      </w:r>
      <w:r w:rsidRPr="003411CA">
        <w:rPr>
          <w:rFonts w:ascii="Times New Roman" w:hAnsi="Times New Roman"/>
          <w:sz w:val="16"/>
          <w:szCs w:val="16"/>
        </w:rPr>
        <w:t xml:space="preserve"> on the implementation of the UNDP gender equality strategy.  </w:t>
      </w:r>
      <w:r w:rsidRPr="000A14DD">
        <w:rPr>
          <w:rFonts w:ascii="Times New Roman" w:hAnsi="Times New Roman"/>
          <w:sz w:val="16"/>
          <w:szCs w:val="16"/>
        </w:rPr>
        <w:t xml:space="preserve">Excludes expenditures that have not been rated.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255"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CB7016" w:rsidRPr="00DD1CDB" w:rsidTr="00A237D4">
      <w:trPr>
        <w:trHeight w:hRule="exact" w:val="864"/>
      </w:trPr>
      <w:tc>
        <w:tcPr>
          <w:tcW w:w="4838" w:type="dxa"/>
          <w:vAlign w:val="bottom"/>
        </w:tcPr>
        <w:p w:rsidR="00CB7016" w:rsidRPr="00BA4B0F" w:rsidRDefault="00CB7016" w:rsidP="00F05F20">
          <w:pPr>
            <w:pStyle w:val="Header"/>
            <w:spacing w:after="80"/>
            <w:rPr>
              <w:rFonts w:ascii="Times New Roman" w:hAnsi="Times New Roman"/>
              <w:b/>
              <w:sz w:val="17"/>
              <w:szCs w:val="17"/>
            </w:rPr>
          </w:pPr>
          <w:r>
            <w:rPr>
              <w:rFonts w:ascii="Times New Roman" w:hAnsi="Times New Roman"/>
              <w:b/>
              <w:sz w:val="17"/>
              <w:szCs w:val="17"/>
            </w:rPr>
            <w:t>DP</w:t>
          </w:r>
          <w:r w:rsidRPr="00434C41">
            <w:rPr>
              <w:rFonts w:ascii="Times New Roman" w:hAnsi="Times New Roman"/>
              <w:b/>
              <w:sz w:val="17"/>
              <w:szCs w:val="17"/>
            </w:rPr>
            <w:t>/2018/1</w:t>
          </w:r>
          <w:r>
            <w:rPr>
              <w:rFonts w:ascii="Times New Roman" w:hAnsi="Times New Roman"/>
              <w:b/>
              <w:sz w:val="17"/>
              <w:szCs w:val="17"/>
            </w:rPr>
            <w:t>0</w:t>
          </w:r>
        </w:p>
      </w:tc>
      <w:tc>
        <w:tcPr>
          <w:tcW w:w="5047" w:type="dxa"/>
          <w:vAlign w:val="bottom"/>
        </w:tcPr>
        <w:p w:rsidR="00CB7016" w:rsidRPr="00702803" w:rsidRDefault="00CB7016" w:rsidP="00F05F20">
          <w:pPr>
            <w:pStyle w:val="Header"/>
            <w:rPr>
              <w:rFonts w:ascii="Times New Roman" w:hAnsi="Times New Roman"/>
              <w:sz w:val="17"/>
              <w:szCs w:val="17"/>
            </w:rPr>
          </w:pPr>
        </w:p>
      </w:tc>
    </w:tr>
  </w:tbl>
  <w:p w:rsidR="00CB7016" w:rsidRDefault="00CB7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Ind w:w="-630" w:type="dxa"/>
      <w:tblBorders>
        <w:bottom w:val="single" w:sz="2" w:space="0" w:color="auto"/>
      </w:tblBorders>
      <w:tblLayout w:type="fixed"/>
      <w:tblCellMar>
        <w:left w:w="0" w:type="dxa"/>
        <w:right w:w="0" w:type="dxa"/>
      </w:tblCellMar>
      <w:tblLook w:val="0000" w:firstRow="0" w:lastRow="0" w:firstColumn="0" w:lastColumn="0" w:noHBand="0" w:noVBand="0"/>
    </w:tblPr>
    <w:tblGrid>
      <w:gridCol w:w="5230"/>
      <w:gridCol w:w="4670"/>
    </w:tblGrid>
    <w:tr w:rsidR="00CB7016" w:rsidRPr="00DD1CDB">
      <w:trPr>
        <w:trHeight w:hRule="exact" w:val="843"/>
      </w:trPr>
      <w:tc>
        <w:tcPr>
          <w:tcW w:w="5230" w:type="dxa"/>
          <w:vAlign w:val="bottom"/>
        </w:tcPr>
        <w:p w:rsidR="00CB7016" w:rsidRPr="00702803" w:rsidRDefault="00CB7016" w:rsidP="00F05F20">
          <w:pPr>
            <w:pStyle w:val="Header"/>
            <w:spacing w:after="80"/>
            <w:rPr>
              <w:rFonts w:ascii="Times New Roman" w:hAnsi="Times New Roman"/>
              <w:b/>
              <w:sz w:val="17"/>
              <w:szCs w:val="17"/>
            </w:rPr>
          </w:pPr>
        </w:p>
      </w:tc>
      <w:tc>
        <w:tcPr>
          <w:tcW w:w="4670" w:type="dxa"/>
          <w:vAlign w:val="bottom"/>
        </w:tcPr>
        <w:p w:rsidR="00CB7016" w:rsidRPr="004075F3" w:rsidRDefault="00CB7016" w:rsidP="00F05F20">
          <w:pPr>
            <w:pStyle w:val="Header"/>
            <w:jc w:val="right"/>
            <w:rPr>
              <w:rFonts w:ascii="Times New Roman" w:hAnsi="Times New Roman"/>
              <w:b/>
              <w:sz w:val="17"/>
              <w:szCs w:val="17"/>
            </w:rPr>
          </w:pPr>
        </w:p>
        <w:p w:rsidR="00CB7016" w:rsidRPr="004075F3" w:rsidRDefault="00CB7016" w:rsidP="00F05F20">
          <w:pPr>
            <w:pStyle w:val="Header"/>
            <w:jc w:val="right"/>
            <w:rPr>
              <w:rFonts w:ascii="Times New Roman" w:hAnsi="Times New Roman"/>
              <w:b/>
              <w:sz w:val="17"/>
              <w:szCs w:val="17"/>
            </w:rPr>
          </w:pPr>
        </w:p>
        <w:p w:rsidR="00CB7016" w:rsidRPr="004075F3" w:rsidRDefault="00CB7016" w:rsidP="00F05F20">
          <w:pPr>
            <w:pStyle w:val="Header"/>
            <w:jc w:val="right"/>
            <w:rPr>
              <w:rFonts w:ascii="Times New Roman" w:hAnsi="Times New Roman"/>
              <w:b/>
              <w:sz w:val="17"/>
              <w:szCs w:val="17"/>
            </w:rPr>
          </w:pPr>
        </w:p>
        <w:p w:rsidR="00CB7016" w:rsidRPr="004075F3" w:rsidRDefault="00CB7016">
          <w:pPr>
            <w:pStyle w:val="Header"/>
            <w:jc w:val="right"/>
            <w:rPr>
              <w:rFonts w:ascii="Times New Roman" w:hAnsi="Times New Roman"/>
              <w:sz w:val="17"/>
              <w:szCs w:val="17"/>
            </w:rPr>
          </w:pPr>
          <w:r w:rsidRPr="00663BEE">
            <w:rPr>
              <w:rFonts w:ascii="Times New Roman" w:hAnsi="Times New Roman"/>
              <w:b/>
              <w:sz w:val="17"/>
              <w:szCs w:val="17"/>
            </w:rPr>
            <w:t>DP/201</w:t>
          </w:r>
          <w:r>
            <w:rPr>
              <w:rFonts w:ascii="Times New Roman" w:hAnsi="Times New Roman"/>
              <w:b/>
              <w:sz w:val="17"/>
              <w:szCs w:val="17"/>
            </w:rPr>
            <w:t>8</w:t>
          </w:r>
          <w:r w:rsidRPr="00663BEE">
            <w:rPr>
              <w:rFonts w:ascii="Times New Roman" w:hAnsi="Times New Roman"/>
              <w:b/>
              <w:sz w:val="17"/>
              <w:szCs w:val="17"/>
            </w:rPr>
            <w:t>/</w:t>
          </w:r>
          <w:r>
            <w:rPr>
              <w:rFonts w:ascii="Times New Roman" w:hAnsi="Times New Roman"/>
              <w:b/>
              <w:sz w:val="17"/>
              <w:szCs w:val="17"/>
            </w:rPr>
            <w:t>10</w:t>
          </w:r>
        </w:p>
      </w:tc>
    </w:tr>
  </w:tbl>
  <w:p w:rsidR="00CB7016" w:rsidRPr="00C44679" w:rsidRDefault="00CB7016" w:rsidP="00C44679">
    <w:pPr>
      <w:pStyle w:val="Header"/>
      <w:spacing w:line="20" w:lineRule="exact"/>
      <w:rPr>
        <w:sz w:val="2"/>
      </w:rPr>
    </w:pPr>
  </w:p>
  <w:p w:rsidR="00CB7016" w:rsidRPr="00C44679" w:rsidRDefault="00CB7016" w:rsidP="00C44679">
    <w:pPr>
      <w:pStyle w:val="Header"/>
      <w:spacing w:line="20" w:lineRule="exact"/>
      <w:rPr>
        <w:sz w:val="2"/>
      </w:rPr>
    </w:pPr>
  </w:p>
  <w:p w:rsidR="00CB7016" w:rsidRDefault="00CB70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251"/>
    </w:tblGrid>
    <w:tr w:rsidR="00CB7016" w:rsidRPr="00337A9B">
      <w:trPr>
        <w:trHeight w:hRule="exact" w:val="864"/>
      </w:trPr>
      <w:tc>
        <w:tcPr>
          <w:tcW w:w="1267" w:type="dxa"/>
          <w:tcBorders>
            <w:top w:val="nil"/>
            <w:left w:val="nil"/>
            <w:bottom w:val="nil"/>
            <w:right w:val="nil"/>
          </w:tcBorders>
          <w:vAlign w:val="bottom"/>
        </w:tcPr>
        <w:p w:rsidR="00CB7016" w:rsidRPr="00702803" w:rsidRDefault="00CB7016" w:rsidP="00F05F20">
          <w:pPr>
            <w:pStyle w:val="Header"/>
            <w:spacing w:after="120"/>
            <w:rPr>
              <w:rFonts w:ascii="Times New Roman" w:hAnsi="Times New Roman"/>
              <w:sz w:val="22"/>
              <w:szCs w:val="22"/>
            </w:rPr>
          </w:pPr>
        </w:p>
      </w:tc>
      <w:tc>
        <w:tcPr>
          <w:tcW w:w="1872" w:type="dxa"/>
          <w:tcBorders>
            <w:top w:val="nil"/>
            <w:left w:val="nil"/>
            <w:bottom w:val="nil"/>
            <w:right w:val="nil"/>
          </w:tcBorders>
          <w:vAlign w:val="bottom"/>
        </w:tcPr>
        <w:p w:rsidR="00CB7016" w:rsidRPr="00337A9B" w:rsidRDefault="00CB7016" w:rsidP="00F05F20">
          <w:pPr>
            <w:pStyle w:val="HCh"/>
            <w:tabs>
              <w:tab w:val="left" w:pos="1872"/>
            </w:tabs>
            <w:spacing w:after="80"/>
            <w:ind w:left="0" w:right="-11"/>
            <w:rPr>
              <w:rFonts w:ascii="Times New Roman" w:hAnsi="Times New Roman" w:cs="Times New Roman"/>
              <w:b w:val="0"/>
              <w:spacing w:val="2"/>
              <w:w w:val="96"/>
            </w:rPr>
          </w:pPr>
          <w:r w:rsidRPr="00337A9B">
            <w:rPr>
              <w:rFonts w:ascii="Times New Roman" w:hAnsi="Times New Roman" w:cs="Times New Roman"/>
              <w:b w:val="0"/>
              <w:spacing w:val="2"/>
              <w:w w:val="96"/>
            </w:rPr>
            <w:t>United Nations</w:t>
          </w:r>
        </w:p>
      </w:tc>
      <w:tc>
        <w:tcPr>
          <w:tcW w:w="245" w:type="dxa"/>
          <w:tcBorders>
            <w:top w:val="nil"/>
            <w:left w:val="nil"/>
            <w:bottom w:val="nil"/>
            <w:right w:val="nil"/>
          </w:tcBorders>
          <w:vAlign w:val="bottom"/>
        </w:tcPr>
        <w:p w:rsidR="00CB7016" w:rsidRPr="00702803" w:rsidRDefault="00CB7016" w:rsidP="00F05F20">
          <w:pPr>
            <w:pStyle w:val="Header"/>
            <w:spacing w:after="120"/>
            <w:rPr>
              <w:rFonts w:ascii="Times New Roman" w:hAnsi="Times New Roman"/>
              <w:sz w:val="22"/>
              <w:szCs w:val="22"/>
            </w:rPr>
          </w:pPr>
        </w:p>
      </w:tc>
      <w:tc>
        <w:tcPr>
          <w:tcW w:w="6606" w:type="dxa"/>
          <w:gridSpan w:val="3"/>
          <w:tcBorders>
            <w:top w:val="nil"/>
            <w:left w:val="nil"/>
            <w:bottom w:val="nil"/>
            <w:right w:val="nil"/>
          </w:tcBorders>
          <w:vAlign w:val="bottom"/>
        </w:tcPr>
        <w:p w:rsidR="00CB7016" w:rsidRPr="00337A9B" w:rsidRDefault="00CB7016" w:rsidP="00F05F20">
          <w:pPr>
            <w:spacing w:after="80"/>
            <w:jc w:val="right"/>
            <w:rPr>
              <w:rFonts w:ascii="Times New Roman" w:hAnsi="Times New Roman"/>
              <w:position w:val="-4"/>
            </w:rPr>
          </w:pPr>
          <w:r w:rsidRPr="00337A9B">
            <w:rPr>
              <w:rFonts w:ascii="Times New Roman" w:hAnsi="Times New Roman"/>
              <w:position w:val="-4"/>
              <w:sz w:val="40"/>
            </w:rPr>
            <w:t>DP</w:t>
          </w:r>
          <w:r w:rsidRPr="00337A9B">
            <w:rPr>
              <w:rFonts w:ascii="Times New Roman" w:hAnsi="Times New Roman"/>
              <w:position w:val="-4"/>
            </w:rPr>
            <w:t>/</w:t>
          </w:r>
          <w:r w:rsidRPr="00337A9B">
            <w:rPr>
              <w:rFonts w:ascii="Times New Roman" w:hAnsi="Times New Roman"/>
              <w:position w:val="-4"/>
              <w:sz w:val="20"/>
            </w:rPr>
            <w:t>201</w:t>
          </w:r>
          <w:r>
            <w:rPr>
              <w:rFonts w:ascii="Times New Roman" w:hAnsi="Times New Roman"/>
              <w:position w:val="-4"/>
              <w:sz w:val="20"/>
            </w:rPr>
            <w:t>8</w:t>
          </w:r>
          <w:r w:rsidRPr="00337A9B">
            <w:rPr>
              <w:rFonts w:ascii="Times New Roman" w:hAnsi="Times New Roman"/>
              <w:position w:val="-4"/>
              <w:sz w:val="20"/>
            </w:rPr>
            <w:t>/</w:t>
          </w:r>
          <w:r>
            <w:rPr>
              <w:rFonts w:ascii="Times New Roman" w:hAnsi="Times New Roman"/>
              <w:position w:val="-4"/>
              <w:sz w:val="20"/>
            </w:rPr>
            <w:t>10</w:t>
          </w:r>
        </w:p>
      </w:tc>
    </w:tr>
    <w:tr w:rsidR="00CB7016" w:rsidRPr="00337A9B">
      <w:trPr>
        <w:trHeight w:hRule="exact" w:val="2880"/>
      </w:trPr>
      <w:tc>
        <w:tcPr>
          <w:tcW w:w="1267" w:type="dxa"/>
          <w:tcBorders>
            <w:left w:val="nil"/>
            <w:bottom w:val="single" w:sz="12" w:space="0" w:color="auto"/>
            <w:right w:val="nil"/>
          </w:tcBorders>
        </w:tcPr>
        <w:p w:rsidR="00CB7016" w:rsidRPr="00702803" w:rsidRDefault="00CB7016" w:rsidP="00F05F20">
          <w:pPr>
            <w:pStyle w:val="Header"/>
            <w:spacing w:before="109"/>
            <w:rPr>
              <w:rFonts w:ascii="Times New Roman" w:hAnsi="Times New Roman"/>
              <w:sz w:val="22"/>
              <w:szCs w:val="22"/>
            </w:rPr>
          </w:pPr>
          <w:r w:rsidRPr="00702803">
            <w:rPr>
              <w:rFonts w:ascii="Times New Roman" w:hAnsi="Times New Roman"/>
              <w:sz w:val="22"/>
              <w:szCs w:val="22"/>
            </w:rPr>
            <w:t xml:space="preserve"> </w:t>
          </w:r>
          <w:r>
            <w:rPr>
              <w:rFonts w:ascii="Times New Roman" w:hAnsi="Times New Roman"/>
              <w:noProof/>
              <w:sz w:val="22"/>
              <w:szCs w:val="22"/>
              <w:lang w:val="en-US"/>
            </w:rPr>
            <w:drawing>
              <wp:inline distT="0" distB="0" distL="0" distR="0" wp14:anchorId="1DDF242B" wp14:editId="147B4C0F">
                <wp:extent cx="704215" cy="588010"/>
                <wp:effectExtent l="0" t="0" r="6985" b="0"/>
                <wp:docPr id="4" name="Picture 2" descr="Description: 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588010"/>
                        </a:xfrm>
                        <a:prstGeom prst="rect">
                          <a:avLst/>
                        </a:prstGeom>
                        <a:noFill/>
                        <a:ln>
                          <a:noFill/>
                        </a:ln>
                      </pic:spPr>
                    </pic:pic>
                  </a:graphicData>
                </a:graphic>
              </wp:inline>
            </w:drawing>
          </w:r>
        </w:p>
        <w:p w:rsidR="00CB7016" w:rsidRPr="00702803" w:rsidRDefault="00CB7016" w:rsidP="00F05F20">
          <w:pPr>
            <w:pStyle w:val="Header"/>
            <w:spacing w:before="109"/>
            <w:rPr>
              <w:rFonts w:ascii="Times New Roman" w:hAnsi="Times New Roman"/>
              <w:sz w:val="22"/>
              <w:szCs w:val="22"/>
            </w:rPr>
          </w:pPr>
        </w:p>
      </w:tc>
      <w:tc>
        <w:tcPr>
          <w:tcW w:w="5227" w:type="dxa"/>
          <w:gridSpan w:val="3"/>
          <w:tcBorders>
            <w:left w:val="nil"/>
            <w:bottom w:val="single" w:sz="12" w:space="0" w:color="auto"/>
            <w:right w:val="nil"/>
          </w:tcBorders>
        </w:tcPr>
        <w:p w:rsidR="00CB7016" w:rsidRPr="00337A9B" w:rsidRDefault="00CB7016" w:rsidP="00F05F20">
          <w:pPr>
            <w:pStyle w:val="XLarge"/>
            <w:spacing w:before="109" w:line="330" w:lineRule="exact"/>
            <w:rPr>
              <w:sz w:val="34"/>
            </w:rPr>
          </w:pPr>
          <w:r w:rsidRPr="00EF2FFF">
            <w:rPr>
              <w:sz w:val="34"/>
              <w:lang w:val="en-US"/>
            </w:rPr>
            <w:t>Executive Board of the</w:t>
          </w:r>
          <w:r w:rsidRPr="00EF2FFF">
            <w:rPr>
              <w:sz w:val="34"/>
              <w:lang w:val="en-US"/>
            </w:rPr>
            <w:br/>
            <w:t>United Nations Development</w:t>
          </w:r>
          <w:r w:rsidRPr="00EF2FFF">
            <w:rPr>
              <w:sz w:val="34"/>
              <w:lang w:val="en-US"/>
            </w:rPr>
            <w:br/>
            <w:t>Programme, of the United Nations Population Fund and of the</w:t>
          </w:r>
          <w:r w:rsidRPr="00EF2FFF">
            <w:rPr>
              <w:sz w:val="34"/>
              <w:lang w:val="en-US"/>
            </w:rPr>
            <w:br/>
            <w:t xml:space="preserve">United Nations Office for </w:t>
          </w:r>
          <w:r w:rsidRPr="00EF2FFF">
            <w:rPr>
              <w:sz w:val="34"/>
              <w:lang w:val="en-US"/>
            </w:rPr>
            <w:br/>
            <w:t>Project Services</w:t>
          </w:r>
        </w:p>
      </w:tc>
      <w:tc>
        <w:tcPr>
          <w:tcW w:w="245" w:type="dxa"/>
          <w:tcBorders>
            <w:left w:val="nil"/>
            <w:bottom w:val="single" w:sz="12" w:space="0" w:color="auto"/>
            <w:right w:val="nil"/>
          </w:tcBorders>
        </w:tcPr>
        <w:p w:rsidR="00CB7016" w:rsidRPr="00702803" w:rsidRDefault="00CB7016" w:rsidP="00F05F20">
          <w:pPr>
            <w:pStyle w:val="Header"/>
            <w:spacing w:before="109"/>
            <w:rPr>
              <w:rFonts w:ascii="Times New Roman" w:hAnsi="Times New Roman"/>
              <w:sz w:val="22"/>
              <w:szCs w:val="22"/>
            </w:rPr>
          </w:pPr>
        </w:p>
      </w:tc>
      <w:tc>
        <w:tcPr>
          <w:tcW w:w="3251" w:type="dxa"/>
          <w:tcBorders>
            <w:left w:val="nil"/>
            <w:bottom w:val="single" w:sz="12" w:space="0" w:color="auto"/>
            <w:right w:val="nil"/>
          </w:tcBorders>
        </w:tcPr>
        <w:p w:rsidR="00CB7016" w:rsidRPr="00337A9B" w:rsidRDefault="00CB7016" w:rsidP="00F05F20">
          <w:pPr>
            <w:pStyle w:val="H56"/>
            <w:keepNext w:val="0"/>
            <w:keepLines w:val="0"/>
            <w:tabs>
              <w:tab w:val="clear" w:pos="360"/>
            </w:tabs>
            <w:suppressAutoHyphens w:val="0"/>
            <w:spacing w:before="240" w:line="240" w:lineRule="auto"/>
            <w:outlineLvl w:val="9"/>
            <w:rPr>
              <w:spacing w:val="0"/>
              <w:w w:val="100"/>
              <w:kern w:val="0"/>
              <w:szCs w:val="24"/>
              <w:lang w:val="en-US"/>
            </w:rPr>
          </w:pPr>
          <w:r w:rsidRPr="00337A9B">
            <w:rPr>
              <w:spacing w:val="0"/>
              <w:w w:val="100"/>
              <w:kern w:val="0"/>
              <w:szCs w:val="24"/>
              <w:lang w:val="en-US"/>
            </w:rPr>
            <w:t>Distr.: General</w:t>
          </w:r>
        </w:p>
        <w:p w:rsidR="00CB7016" w:rsidRPr="00337A9B" w:rsidRDefault="00CB7016" w:rsidP="00F05F20">
          <w:pPr>
            <w:pStyle w:val="H56"/>
            <w:keepNext w:val="0"/>
            <w:keepLines w:val="0"/>
            <w:tabs>
              <w:tab w:val="clear" w:pos="360"/>
            </w:tabs>
            <w:suppressAutoHyphens w:val="0"/>
            <w:spacing w:line="240" w:lineRule="auto"/>
            <w:outlineLvl w:val="9"/>
            <w:rPr>
              <w:spacing w:val="0"/>
              <w:w w:val="100"/>
              <w:kern w:val="0"/>
              <w:szCs w:val="24"/>
              <w:lang w:val="en-US"/>
            </w:rPr>
          </w:pPr>
          <w:r>
            <w:rPr>
              <w:spacing w:val="0"/>
              <w:w w:val="100"/>
              <w:kern w:val="0"/>
              <w:szCs w:val="24"/>
              <w:lang w:val="en-US"/>
            </w:rPr>
            <w:t xml:space="preserve">23 April </w:t>
          </w:r>
          <w:r w:rsidRPr="00337A9B">
            <w:rPr>
              <w:spacing w:val="0"/>
              <w:w w:val="100"/>
              <w:kern w:val="0"/>
              <w:szCs w:val="24"/>
              <w:lang w:val="en-US"/>
            </w:rPr>
            <w:t>201</w:t>
          </w:r>
          <w:r>
            <w:rPr>
              <w:spacing w:val="0"/>
              <w:w w:val="100"/>
              <w:kern w:val="0"/>
              <w:szCs w:val="24"/>
              <w:lang w:val="en-US"/>
            </w:rPr>
            <w:t>8</w:t>
          </w:r>
        </w:p>
        <w:p w:rsidR="00CB7016" w:rsidRPr="00337A9B" w:rsidRDefault="00CB7016" w:rsidP="00F05F20">
          <w:pPr>
            <w:rPr>
              <w:rFonts w:ascii="Times New Roman" w:hAnsi="Times New Roman"/>
              <w:sz w:val="20"/>
            </w:rPr>
          </w:pPr>
        </w:p>
        <w:p w:rsidR="00CB7016" w:rsidRPr="00337A9B" w:rsidRDefault="00CB7016" w:rsidP="00F05F20">
          <w:pPr>
            <w:rPr>
              <w:rFonts w:ascii="Times New Roman" w:hAnsi="Times New Roman"/>
            </w:rPr>
          </w:pPr>
          <w:r w:rsidRPr="00337A9B">
            <w:rPr>
              <w:rFonts w:ascii="Times New Roman" w:hAnsi="Times New Roman"/>
              <w:sz w:val="20"/>
            </w:rPr>
            <w:t>Original: English</w:t>
          </w:r>
        </w:p>
      </w:tc>
    </w:tr>
  </w:tbl>
  <w:p w:rsidR="00CB7016" w:rsidRPr="00337A9B" w:rsidRDefault="00CB7016" w:rsidP="00F05F20">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7E11"/>
    <w:multiLevelType w:val="hybridMultilevel"/>
    <w:tmpl w:val="A33A51F6"/>
    <w:lvl w:ilvl="0" w:tplc="BE92A0EC">
      <w:start w:val="1"/>
      <w:numFmt w:val="decimal"/>
      <w:pStyle w:val="normal2"/>
      <w:lvlText w:val="%1."/>
      <w:lvlJc w:val="left"/>
      <w:pPr>
        <w:ind w:left="1080" w:hanging="360"/>
      </w:pPr>
      <w:rPr>
        <w:rFonts w:hint="default"/>
        <w:b w:val="0"/>
        <w:i w:val="0"/>
        <w:sz w:val="20"/>
        <w:szCs w:val="20"/>
      </w:rPr>
    </w:lvl>
    <w:lvl w:ilvl="1" w:tplc="04090019">
      <w:start w:val="1"/>
      <w:numFmt w:val="lowerLetter"/>
      <w:lvlText w:val="%2."/>
      <w:lvlJc w:val="left"/>
      <w:pPr>
        <w:ind w:left="-186" w:hanging="360"/>
      </w:pPr>
    </w:lvl>
    <w:lvl w:ilvl="2" w:tplc="0409001B">
      <w:start w:val="1"/>
      <w:numFmt w:val="lowerRoman"/>
      <w:lvlText w:val="%3."/>
      <w:lvlJc w:val="right"/>
      <w:pPr>
        <w:ind w:left="534" w:hanging="180"/>
      </w:pPr>
    </w:lvl>
    <w:lvl w:ilvl="3" w:tplc="1C4E3580">
      <w:start w:val="2"/>
      <w:numFmt w:val="upperRoman"/>
      <w:lvlText w:val="%4."/>
      <w:lvlJc w:val="left"/>
      <w:pPr>
        <w:tabs>
          <w:tab w:val="num" w:pos="1614"/>
        </w:tabs>
        <w:ind w:left="1614" w:hanging="720"/>
      </w:pPr>
      <w:rPr>
        <w:rFonts w:hint="default"/>
      </w:rPr>
    </w:lvl>
    <w:lvl w:ilvl="4" w:tplc="04090019" w:tentative="1">
      <w:start w:val="1"/>
      <w:numFmt w:val="lowerLetter"/>
      <w:lvlText w:val="%5."/>
      <w:lvlJc w:val="left"/>
      <w:pPr>
        <w:ind w:left="1974" w:hanging="360"/>
      </w:pPr>
    </w:lvl>
    <w:lvl w:ilvl="5" w:tplc="0409001B" w:tentative="1">
      <w:start w:val="1"/>
      <w:numFmt w:val="lowerRoman"/>
      <w:lvlText w:val="%6."/>
      <w:lvlJc w:val="right"/>
      <w:pPr>
        <w:ind w:left="2694" w:hanging="180"/>
      </w:pPr>
    </w:lvl>
    <w:lvl w:ilvl="6" w:tplc="0409000F" w:tentative="1">
      <w:start w:val="1"/>
      <w:numFmt w:val="decimal"/>
      <w:lvlText w:val="%7."/>
      <w:lvlJc w:val="left"/>
      <w:pPr>
        <w:ind w:left="3414" w:hanging="360"/>
      </w:pPr>
    </w:lvl>
    <w:lvl w:ilvl="7" w:tplc="04090019" w:tentative="1">
      <w:start w:val="1"/>
      <w:numFmt w:val="lowerLetter"/>
      <w:lvlText w:val="%8."/>
      <w:lvlJc w:val="left"/>
      <w:pPr>
        <w:ind w:left="4134" w:hanging="360"/>
      </w:pPr>
    </w:lvl>
    <w:lvl w:ilvl="8" w:tplc="0409001B" w:tentative="1">
      <w:start w:val="1"/>
      <w:numFmt w:val="lowerRoman"/>
      <w:lvlText w:val="%9."/>
      <w:lvlJc w:val="right"/>
      <w:pPr>
        <w:ind w:left="4854" w:hanging="180"/>
      </w:pPr>
    </w:lvl>
  </w:abstractNum>
  <w:abstractNum w:abstractNumId="1" w15:restartNumberingAfterBreak="0">
    <w:nsid w:val="0DB80382"/>
    <w:multiLevelType w:val="hybridMultilevel"/>
    <w:tmpl w:val="6B30AC06"/>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 w15:restartNumberingAfterBreak="0">
    <w:nsid w:val="0DF46AF5"/>
    <w:multiLevelType w:val="hybridMultilevel"/>
    <w:tmpl w:val="D7BE4A3E"/>
    <w:lvl w:ilvl="0" w:tplc="AD867D94">
      <w:start w:val="1"/>
      <w:numFmt w:val="decimal"/>
      <w:pStyle w:val="BodyText"/>
      <w:lvlText w:val="%1."/>
      <w:lvlJc w:val="left"/>
      <w:pPr>
        <w:ind w:left="16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07BA7"/>
    <w:multiLevelType w:val="hybridMultilevel"/>
    <w:tmpl w:val="1A14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E1E4C"/>
    <w:multiLevelType w:val="hybridMultilevel"/>
    <w:tmpl w:val="E48A1660"/>
    <w:lvl w:ilvl="0" w:tplc="F3301F6C">
      <w:start w:val="1"/>
      <w:numFmt w:val="upperLetter"/>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5" w15:restartNumberingAfterBreak="0">
    <w:nsid w:val="22E7362D"/>
    <w:multiLevelType w:val="hybridMultilevel"/>
    <w:tmpl w:val="2B60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758D6"/>
    <w:multiLevelType w:val="hybridMultilevel"/>
    <w:tmpl w:val="827C6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C84D66"/>
    <w:multiLevelType w:val="hybridMultilevel"/>
    <w:tmpl w:val="0B3A0876"/>
    <w:lvl w:ilvl="0" w:tplc="E5F6A466">
      <w:start w:val="49"/>
      <w:numFmt w:val="decimal"/>
      <w:lvlText w:val="%1."/>
      <w:lvlJc w:val="left"/>
      <w:pPr>
        <w:ind w:left="720" w:hanging="360"/>
      </w:pPr>
      <w:rPr>
        <w:rFonts w:ascii="Times New Roman" w:hAnsi="Times New Roman" w:cs="Times New Roman" w:hint="default"/>
        <w:b w:val="0"/>
        <w:bCs/>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03B89"/>
    <w:multiLevelType w:val="hybridMultilevel"/>
    <w:tmpl w:val="3D58AD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70FD4"/>
    <w:multiLevelType w:val="hybridMultilevel"/>
    <w:tmpl w:val="FA68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25154"/>
    <w:multiLevelType w:val="multilevel"/>
    <w:tmpl w:val="5B0E986C"/>
    <w:lvl w:ilvl="0">
      <w:start w:val="1"/>
      <w:numFmt w:val="upperRoman"/>
      <w:pStyle w:val="Heading1"/>
      <w:lvlText w:val="%1"/>
      <w:lvlJc w:val="left"/>
      <w:pPr>
        <w:tabs>
          <w:tab w:val="num" w:pos="432"/>
        </w:tabs>
        <w:ind w:left="432" w:hanging="432"/>
      </w:pPr>
      <w:rPr>
        <w:rFonts w:ascii="Times New Roman Bold" w:hAnsi="Times New Roman Bold" w:hint="default"/>
        <w:b/>
        <w:i w:val="0"/>
        <w:caps w:val="0"/>
        <w:strike w:val="0"/>
        <w:dstrike w:val="0"/>
        <w:vanish/>
        <w:color w:val="auto"/>
        <w:sz w:val="28"/>
        <w:vertAlign w:val="baseline"/>
      </w:rPr>
    </w:lvl>
    <w:lvl w:ilvl="1">
      <w:start w:val="1"/>
      <w:numFmt w:val="decimal"/>
      <w:pStyle w:val="Heading2"/>
      <w:lvlText w:val="%1.%2"/>
      <w:lvlJc w:val="left"/>
      <w:pPr>
        <w:tabs>
          <w:tab w:val="num" w:pos="576"/>
        </w:tabs>
        <w:ind w:left="576" w:hanging="576"/>
      </w:pPr>
      <w:rPr>
        <w:rFonts w:ascii="Times New Roman" w:hAnsi="Times New Roman" w:hint="default"/>
        <w:b w:val="0"/>
        <w:i w:val="0"/>
        <w:sz w:val="20"/>
      </w:rPr>
    </w:lvl>
    <w:lvl w:ilvl="2">
      <w:start w:val="1"/>
      <w:numFmt w:val="decimal"/>
      <w:pStyle w:val="Heading3"/>
      <w:lvlText w:val="%1.%2.%3"/>
      <w:lvlJc w:val="left"/>
      <w:pPr>
        <w:tabs>
          <w:tab w:val="num" w:pos="720"/>
        </w:tabs>
        <w:ind w:left="720" w:hanging="720"/>
      </w:pPr>
      <w:rPr>
        <w:rFonts w:ascii="Times New Roman" w:hAnsi="Times New Roman" w:hint="default"/>
        <w:b w:val="0"/>
        <w:i w:val="0"/>
        <w:color w:val="auto"/>
        <w:sz w:val="20"/>
      </w:rPr>
    </w:lvl>
    <w:lvl w:ilvl="3">
      <w:start w:val="1"/>
      <w:numFmt w:val="lowerLetter"/>
      <w:pStyle w:val="Heading4"/>
      <w:lvlText w:val="%1.%2.%3.%4"/>
      <w:lvlJc w:val="left"/>
      <w:pPr>
        <w:tabs>
          <w:tab w:val="num" w:pos="864"/>
        </w:tabs>
        <w:ind w:left="864" w:hanging="864"/>
      </w:pPr>
      <w:rPr>
        <w:rFonts w:ascii="Calibri" w:hAnsi="Calibri" w:hint="default"/>
        <w:b w:val="0"/>
        <w:i w:val="0"/>
        <w:caps w:val="0"/>
        <w:strike w:val="0"/>
        <w:dstrike w:val="0"/>
        <w:vanish w:val="0"/>
        <w:color w:val="auto"/>
        <w:sz w:val="20"/>
        <w:vertAlign w:val="base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53A1728"/>
    <w:multiLevelType w:val="hybridMultilevel"/>
    <w:tmpl w:val="4572AF9C"/>
    <w:lvl w:ilvl="0" w:tplc="6516608A">
      <w:start w:val="1"/>
      <w:numFmt w:val="upperRoman"/>
      <w:lvlText w:val="%1."/>
      <w:lvlJc w:val="right"/>
      <w:pPr>
        <w:ind w:left="1440" w:hanging="216"/>
      </w:pPr>
      <w:rPr>
        <w:rFonts w:ascii="Times New Roman Bold" w:hAnsi="Times New Roman Bold" w:hint="default"/>
        <w:b/>
        <w:i w:val="0"/>
        <w:caps w:val="0"/>
        <w:strike w:val="0"/>
        <w:dstrike w:val="0"/>
        <w:vanish w:val="0"/>
        <w:color w:val="000000"/>
        <w:sz w:val="28"/>
        <w:szCs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B48F5"/>
    <w:multiLevelType w:val="hybridMultilevel"/>
    <w:tmpl w:val="FD788430"/>
    <w:lvl w:ilvl="0" w:tplc="1BB655D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094BBE"/>
    <w:multiLevelType w:val="hybridMultilevel"/>
    <w:tmpl w:val="DCF65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BD4D72"/>
    <w:multiLevelType w:val="hybridMultilevel"/>
    <w:tmpl w:val="05C6C748"/>
    <w:lvl w:ilvl="0" w:tplc="8AE86184">
      <w:start w:val="1"/>
      <w:numFmt w:val="decimal"/>
      <w:lvlText w:val="%1."/>
      <w:lvlJc w:val="left"/>
      <w:pPr>
        <w:ind w:left="720" w:hanging="360"/>
      </w:pPr>
      <w:rPr>
        <w:rFonts w:ascii="Times New Roman" w:hAnsi="Times New Roman" w:cs="Times New Roman" w:hint="default"/>
        <w:b w:val="0"/>
        <w:bCs/>
        <w:i w:val="0"/>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7D6C54"/>
    <w:multiLevelType w:val="hybridMultilevel"/>
    <w:tmpl w:val="0218D234"/>
    <w:lvl w:ilvl="0" w:tplc="8AE86184">
      <w:start w:val="1"/>
      <w:numFmt w:val="decimal"/>
      <w:lvlText w:val="%1."/>
      <w:lvlJc w:val="left"/>
      <w:pPr>
        <w:ind w:left="720" w:hanging="360"/>
      </w:pPr>
      <w:rPr>
        <w:rFonts w:ascii="Times New Roman" w:hAnsi="Times New Roman" w:cs="Times New Roman" w:hint="default"/>
        <w:b w:val="0"/>
        <w:bCs/>
        <w:i w:val="0"/>
        <w:i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150EF3"/>
    <w:multiLevelType w:val="hybridMultilevel"/>
    <w:tmpl w:val="6FFA365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82F3EFB"/>
    <w:multiLevelType w:val="hybridMultilevel"/>
    <w:tmpl w:val="DF508992"/>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8" w15:restartNumberingAfterBreak="0">
    <w:nsid w:val="75EF24B8"/>
    <w:multiLevelType w:val="hybridMultilevel"/>
    <w:tmpl w:val="6F7EC884"/>
    <w:lvl w:ilvl="0" w:tplc="F4040492">
      <w:start w:val="1"/>
      <w:numFmt w:val="decimal"/>
      <w:lvlText w:val="%1."/>
      <w:lvlJc w:val="left"/>
      <w:pPr>
        <w:ind w:left="720" w:hanging="360"/>
      </w:pPr>
      <w:rPr>
        <w:rFonts w:ascii="Times New Roman" w:hAnsi="Times New Roman" w:cs="Times New Roman" w:hint="default"/>
        <w:b w:val="0"/>
        <w:bCs/>
        <w:i w:val="0"/>
        <w:i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2"/>
  </w:num>
  <w:num w:numId="5">
    <w:abstractNumId w:val="0"/>
  </w:num>
  <w:num w:numId="6">
    <w:abstractNumId w:val="17"/>
  </w:num>
  <w:num w:numId="7">
    <w:abstractNumId w:val="5"/>
  </w:num>
  <w:num w:numId="8">
    <w:abstractNumId w:val="8"/>
  </w:num>
  <w:num w:numId="9">
    <w:abstractNumId w:val="12"/>
  </w:num>
  <w:num w:numId="10">
    <w:abstractNumId w:val="13"/>
  </w:num>
  <w:num w:numId="11">
    <w:abstractNumId w:val="18"/>
  </w:num>
  <w:num w:numId="12">
    <w:abstractNumId w:val="6"/>
  </w:num>
  <w:num w:numId="13">
    <w:abstractNumId w:val="1"/>
  </w:num>
  <w:num w:numId="14">
    <w:abstractNumId w:val="14"/>
  </w:num>
  <w:num w:numId="15">
    <w:abstractNumId w:val="15"/>
  </w:num>
  <w:num w:numId="16">
    <w:abstractNumId w:val="9"/>
  </w:num>
  <w:num w:numId="17">
    <w:abstractNumId w:val="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lvlOverride w:ilvl="3"/>
    <w:lvlOverride w:ilvl="4"/>
    <w:lvlOverride w:ilvl="5"/>
    <w:lvlOverride w:ilvl="6"/>
    <w:lvlOverride w:ilvl="7"/>
    <w:lvlOverride w:ilvl="8"/>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o:colormru v:ext="edit" colors="#fff4a8"/>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706747*"/>
    <w:docVar w:name="jobn" w:val="17-06747 (E)"/>
    <w:docVar w:name="JobNo" w:val="1706747E"/>
    <w:docVar w:name="ODSRefJobNo" w:val="1711426E"/>
    <w:docVar w:name="sss1" w:val="DP/2017/15"/>
    <w:docVar w:name="sss2" w:val="-"/>
  </w:docVars>
  <w:rsids>
    <w:rsidRoot w:val="00916B8B"/>
    <w:rsid w:val="00000078"/>
    <w:rsid w:val="0000016B"/>
    <w:rsid w:val="00000547"/>
    <w:rsid w:val="00000559"/>
    <w:rsid w:val="0000087F"/>
    <w:rsid w:val="00000961"/>
    <w:rsid w:val="00000A04"/>
    <w:rsid w:val="00000B46"/>
    <w:rsid w:val="00000E6E"/>
    <w:rsid w:val="00000F39"/>
    <w:rsid w:val="0000122D"/>
    <w:rsid w:val="000016E9"/>
    <w:rsid w:val="000018C4"/>
    <w:rsid w:val="00001EC8"/>
    <w:rsid w:val="0000202C"/>
    <w:rsid w:val="00002052"/>
    <w:rsid w:val="0000237D"/>
    <w:rsid w:val="0000248E"/>
    <w:rsid w:val="00002843"/>
    <w:rsid w:val="0000284C"/>
    <w:rsid w:val="00002963"/>
    <w:rsid w:val="00002CF3"/>
    <w:rsid w:val="00002E10"/>
    <w:rsid w:val="00002E2A"/>
    <w:rsid w:val="00002E70"/>
    <w:rsid w:val="00002E88"/>
    <w:rsid w:val="0000331E"/>
    <w:rsid w:val="0000362F"/>
    <w:rsid w:val="00003647"/>
    <w:rsid w:val="000040CD"/>
    <w:rsid w:val="00004289"/>
    <w:rsid w:val="0000430D"/>
    <w:rsid w:val="00004591"/>
    <w:rsid w:val="000046BC"/>
    <w:rsid w:val="0000490E"/>
    <w:rsid w:val="00004D04"/>
    <w:rsid w:val="00004DA9"/>
    <w:rsid w:val="000051A7"/>
    <w:rsid w:val="000058D6"/>
    <w:rsid w:val="00005949"/>
    <w:rsid w:val="00005B63"/>
    <w:rsid w:val="000064AF"/>
    <w:rsid w:val="000066CF"/>
    <w:rsid w:val="00006845"/>
    <w:rsid w:val="0000695C"/>
    <w:rsid w:val="00006E98"/>
    <w:rsid w:val="00006FEE"/>
    <w:rsid w:val="00007186"/>
    <w:rsid w:val="000071C0"/>
    <w:rsid w:val="00007257"/>
    <w:rsid w:val="00007278"/>
    <w:rsid w:val="00007612"/>
    <w:rsid w:val="0000777A"/>
    <w:rsid w:val="0000798A"/>
    <w:rsid w:val="00007F16"/>
    <w:rsid w:val="00007F27"/>
    <w:rsid w:val="00010310"/>
    <w:rsid w:val="00010433"/>
    <w:rsid w:val="00010C51"/>
    <w:rsid w:val="00010D14"/>
    <w:rsid w:val="00010D59"/>
    <w:rsid w:val="00010F72"/>
    <w:rsid w:val="00011066"/>
    <w:rsid w:val="0001119C"/>
    <w:rsid w:val="00011704"/>
    <w:rsid w:val="00011E09"/>
    <w:rsid w:val="000122CB"/>
    <w:rsid w:val="0001240F"/>
    <w:rsid w:val="0001243A"/>
    <w:rsid w:val="00012533"/>
    <w:rsid w:val="0001284E"/>
    <w:rsid w:val="000133A8"/>
    <w:rsid w:val="000133B0"/>
    <w:rsid w:val="0001366B"/>
    <w:rsid w:val="00013671"/>
    <w:rsid w:val="00013E2C"/>
    <w:rsid w:val="0001400F"/>
    <w:rsid w:val="000141DE"/>
    <w:rsid w:val="00014268"/>
    <w:rsid w:val="000145E4"/>
    <w:rsid w:val="00014B7D"/>
    <w:rsid w:val="00014F7B"/>
    <w:rsid w:val="00015490"/>
    <w:rsid w:val="000155EF"/>
    <w:rsid w:val="00015716"/>
    <w:rsid w:val="000159AF"/>
    <w:rsid w:val="00015A7F"/>
    <w:rsid w:val="00015CAB"/>
    <w:rsid w:val="00015E69"/>
    <w:rsid w:val="00015FB1"/>
    <w:rsid w:val="00016187"/>
    <w:rsid w:val="00016479"/>
    <w:rsid w:val="000167F9"/>
    <w:rsid w:val="00016D2F"/>
    <w:rsid w:val="000176E2"/>
    <w:rsid w:val="000178B1"/>
    <w:rsid w:val="00017E65"/>
    <w:rsid w:val="00017F44"/>
    <w:rsid w:val="00020790"/>
    <w:rsid w:val="000208BB"/>
    <w:rsid w:val="00020F1A"/>
    <w:rsid w:val="0002180B"/>
    <w:rsid w:val="00021AF5"/>
    <w:rsid w:val="00021E0D"/>
    <w:rsid w:val="00022182"/>
    <w:rsid w:val="000221FA"/>
    <w:rsid w:val="00023519"/>
    <w:rsid w:val="000238CE"/>
    <w:rsid w:val="000239FC"/>
    <w:rsid w:val="00023C0E"/>
    <w:rsid w:val="0002438F"/>
    <w:rsid w:val="0002443C"/>
    <w:rsid w:val="00024742"/>
    <w:rsid w:val="000247E8"/>
    <w:rsid w:val="00024B1E"/>
    <w:rsid w:val="0002514B"/>
    <w:rsid w:val="000251AB"/>
    <w:rsid w:val="000251D9"/>
    <w:rsid w:val="00025306"/>
    <w:rsid w:val="0002534A"/>
    <w:rsid w:val="00025477"/>
    <w:rsid w:val="0002554C"/>
    <w:rsid w:val="00025630"/>
    <w:rsid w:val="00025D44"/>
    <w:rsid w:val="00025EFD"/>
    <w:rsid w:val="00025FC9"/>
    <w:rsid w:val="0002611C"/>
    <w:rsid w:val="000261DB"/>
    <w:rsid w:val="00026501"/>
    <w:rsid w:val="00026B83"/>
    <w:rsid w:val="00026D0E"/>
    <w:rsid w:val="00026D51"/>
    <w:rsid w:val="00026E5B"/>
    <w:rsid w:val="000271DD"/>
    <w:rsid w:val="00027331"/>
    <w:rsid w:val="0002748C"/>
    <w:rsid w:val="00027EE5"/>
    <w:rsid w:val="00027F76"/>
    <w:rsid w:val="0003021B"/>
    <w:rsid w:val="0003072A"/>
    <w:rsid w:val="00030BAC"/>
    <w:rsid w:val="00030D76"/>
    <w:rsid w:val="000310E3"/>
    <w:rsid w:val="000311A7"/>
    <w:rsid w:val="000317DA"/>
    <w:rsid w:val="00031882"/>
    <w:rsid w:val="000318F2"/>
    <w:rsid w:val="00031928"/>
    <w:rsid w:val="00031A00"/>
    <w:rsid w:val="00032039"/>
    <w:rsid w:val="0003221A"/>
    <w:rsid w:val="0003222B"/>
    <w:rsid w:val="0003236E"/>
    <w:rsid w:val="000323AB"/>
    <w:rsid w:val="000323E0"/>
    <w:rsid w:val="00032E31"/>
    <w:rsid w:val="000336D4"/>
    <w:rsid w:val="00033D49"/>
    <w:rsid w:val="0003400D"/>
    <w:rsid w:val="0003406B"/>
    <w:rsid w:val="0003414D"/>
    <w:rsid w:val="0003473A"/>
    <w:rsid w:val="0003484C"/>
    <w:rsid w:val="00034ABA"/>
    <w:rsid w:val="00034AD4"/>
    <w:rsid w:val="00034E3B"/>
    <w:rsid w:val="00035315"/>
    <w:rsid w:val="00035378"/>
    <w:rsid w:val="000355DE"/>
    <w:rsid w:val="000358A3"/>
    <w:rsid w:val="00035A5B"/>
    <w:rsid w:val="00036112"/>
    <w:rsid w:val="000368CB"/>
    <w:rsid w:val="00036C30"/>
    <w:rsid w:val="00036C85"/>
    <w:rsid w:val="00036D46"/>
    <w:rsid w:val="00036DC2"/>
    <w:rsid w:val="00036E57"/>
    <w:rsid w:val="00036EE2"/>
    <w:rsid w:val="00036F87"/>
    <w:rsid w:val="0003725E"/>
    <w:rsid w:val="00037589"/>
    <w:rsid w:val="000375D9"/>
    <w:rsid w:val="000375EC"/>
    <w:rsid w:val="000377EB"/>
    <w:rsid w:val="0003798C"/>
    <w:rsid w:val="00037D4E"/>
    <w:rsid w:val="00037DA6"/>
    <w:rsid w:val="0004025C"/>
    <w:rsid w:val="000402F2"/>
    <w:rsid w:val="000405DB"/>
    <w:rsid w:val="00040668"/>
    <w:rsid w:val="000408D7"/>
    <w:rsid w:val="000409B2"/>
    <w:rsid w:val="00040B4D"/>
    <w:rsid w:val="00040B6A"/>
    <w:rsid w:val="00040E81"/>
    <w:rsid w:val="00040F2B"/>
    <w:rsid w:val="000411EC"/>
    <w:rsid w:val="0004167A"/>
    <w:rsid w:val="00041755"/>
    <w:rsid w:val="0004188C"/>
    <w:rsid w:val="00041E2D"/>
    <w:rsid w:val="00041E46"/>
    <w:rsid w:val="0004203E"/>
    <w:rsid w:val="00042AAA"/>
    <w:rsid w:val="00042C45"/>
    <w:rsid w:val="0004341C"/>
    <w:rsid w:val="00043421"/>
    <w:rsid w:val="00043439"/>
    <w:rsid w:val="00043503"/>
    <w:rsid w:val="000437C6"/>
    <w:rsid w:val="00043E32"/>
    <w:rsid w:val="00044187"/>
    <w:rsid w:val="00044346"/>
    <w:rsid w:val="000445D3"/>
    <w:rsid w:val="000448CD"/>
    <w:rsid w:val="00044CF1"/>
    <w:rsid w:val="00044DEF"/>
    <w:rsid w:val="00044E8A"/>
    <w:rsid w:val="0004555A"/>
    <w:rsid w:val="00045614"/>
    <w:rsid w:val="00045940"/>
    <w:rsid w:val="00045D9E"/>
    <w:rsid w:val="00045EFD"/>
    <w:rsid w:val="000461D8"/>
    <w:rsid w:val="000463C3"/>
    <w:rsid w:val="00046458"/>
    <w:rsid w:val="00046685"/>
    <w:rsid w:val="000466C0"/>
    <w:rsid w:val="000466EF"/>
    <w:rsid w:val="000466FA"/>
    <w:rsid w:val="0004673C"/>
    <w:rsid w:val="000467C2"/>
    <w:rsid w:val="0004680D"/>
    <w:rsid w:val="000468F0"/>
    <w:rsid w:val="00046C4D"/>
    <w:rsid w:val="00046D23"/>
    <w:rsid w:val="00046E5A"/>
    <w:rsid w:val="00047173"/>
    <w:rsid w:val="00047257"/>
    <w:rsid w:val="00047603"/>
    <w:rsid w:val="00047859"/>
    <w:rsid w:val="000478A1"/>
    <w:rsid w:val="00047BD7"/>
    <w:rsid w:val="00047FCB"/>
    <w:rsid w:val="00050165"/>
    <w:rsid w:val="0005053B"/>
    <w:rsid w:val="000514EC"/>
    <w:rsid w:val="00051680"/>
    <w:rsid w:val="000516D5"/>
    <w:rsid w:val="000517DF"/>
    <w:rsid w:val="00051872"/>
    <w:rsid w:val="00051963"/>
    <w:rsid w:val="00051A18"/>
    <w:rsid w:val="00051B73"/>
    <w:rsid w:val="00051BE7"/>
    <w:rsid w:val="00051C7B"/>
    <w:rsid w:val="000526E0"/>
    <w:rsid w:val="00052856"/>
    <w:rsid w:val="00052A98"/>
    <w:rsid w:val="00052E96"/>
    <w:rsid w:val="00053733"/>
    <w:rsid w:val="00053A15"/>
    <w:rsid w:val="00053AD2"/>
    <w:rsid w:val="00053AE5"/>
    <w:rsid w:val="00053E4D"/>
    <w:rsid w:val="0005417C"/>
    <w:rsid w:val="0005430C"/>
    <w:rsid w:val="0005443D"/>
    <w:rsid w:val="000546EE"/>
    <w:rsid w:val="000547B2"/>
    <w:rsid w:val="000547D0"/>
    <w:rsid w:val="00054946"/>
    <w:rsid w:val="00054A07"/>
    <w:rsid w:val="00054D35"/>
    <w:rsid w:val="00054F14"/>
    <w:rsid w:val="00054F91"/>
    <w:rsid w:val="000556E3"/>
    <w:rsid w:val="000557CB"/>
    <w:rsid w:val="000558F6"/>
    <w:rsid w:val="00055A34"/>
    <w:rsid w:val="00055AB0"/>
    <w:rsid w:val="00055C16"/>
    <w:rsid w:val="00055C74"/>
    <w:rsid w:val="00055FA6"/>
    <w:rsid w:val="000561CE"/>
    <w:rsid w:val="00056576"/>
    <w:rsid w:val="000568F0"/>
    <w:rsid w:val="00056D07"/>
    <w:rsid w:val="00056DA8"/>
    <w:rsid w:val="00056E88"/>
    <w:rsid w:val="00056EA7"/>
    <w:rsid w:val="000573CE"/>
    <w:rsid w:val="00057441"/>
    <w:rsid w:val="00057674"/>
    <w:rsid w:val="00057761"/>
    <w:rsid w:val="00057776"/>
    <w:rsid w:val="000578A5"/>
    <w:rsid w:val="0005798D"/>
    <w:rsid w:val="00057A9D"/>
    <w:rsid w:val="00057B81"/>
    <w:rsid w:val="00057E43"/>
    <w:rsid w:val="000601DD"/>
    <w:rsid w:val="0006045A"/>
    <w:rsid w:val="000605A0"/>
    <w:rsid w:val="00060A0A"/>
    <w:rsid w:val="00060AF7"/>
    <w:rsid w:val="00060BC5"/>
    <w:rsid w:val="00060BE1"/>
    <w:rsid w:val="00060EB7"/>
    <w:rsid w:val="00060ECA"/>
    <w:rsid w:val="00060ED2"/>
    <w:rsid w:val="000614C0"/>
    <w:rsid w:val="00061743"/>
    <w:rsid w:val="00061C35"/>
    <w:rsid w:val="00061E54"/>
    <w:rsid w:val="00061F61"/>
    <w:rsid w:val="00062813"/>
    <w:rsid w:val="000628C0"/>
    <w:rsid w:val="00062D56"/>
    <w:rsid w:val="000631CA"/>
    <w:rsid w:val="00063274"/>
    <w:rsid w:val="0006332A"/>
    <w:rsid w:val="00063697"/>
    <w:rsid w:val="0006392C"/>
    <w:rsid w:val="00063952"/>
    <w:rsid w:val="00064018"/>
    <w:rsid w:val="00064033"/>
    <w:rsid w:val="0006403C"/>
    <w:rsid w:val="00064199"/>
    <w:rsid w:val="000641D1"/>
    <w:rsid w:val="0006487E"/>
    <w:rsid w:val="00064C26"/>
    <w:rsid w:val="00064CF9"/>
    <w:rsid w:val="00064F34"/>
    <w:rsid w:val="00065005"/>
    <w:rsid w:val="000651D5"/>
    <w:rsid w:val="000652E6"/>
    <w:rsid w:val="000653E3"/>
    <w:rsid w:val="000655C0"/>
    <w:rsid w:val="000659E4"/>
    <w:rsid w:val="00066009"/>
    <w:rsid w:val="00066168"/>
    <w:rsid w:val="0006617E"/>
    <w:rsid w:val="000663D1"/>
    <w:rsid w:val="000664E4"/>
    <w:rsid w:val="000664FE"/>
    <w:rsid w:val="000667EB"/>
    <w:rsid w:val="000668F9"/>
    <w:rsid w:val="000669F3"/>
    <w:rsid w:val="00066E38"/>
    <w:rsid w:val="00066E76"/>
    <w:rsid w:val="000671AD"/>
    <w:rsid w:val="00067233"/>
    <w:rsid w:val="000673E3"/>
    <w:rsid w:val="00067817"/>
    <w:rsid w:val="00067DCD"/>
    <w:rsid w:val="000700EC"/>
    <w:rsid w:val="0007012D"/>
    <w:rsid w:val="00070258"/>
    <w:rsid w:val="000704C4"/>
    <w:rsid w:val="000704E4"/>
    <w:rsid w:val="00070548"/>
    <w:rsid w:val="0007088E"/>
    <w:rsid w:val="000711C4"/>
    <w:rsid w:val="0007186D"/>
    <w:rsid w:val="00071BA4"/>
    <w:rsid w:val="00071E37"/>
    <w:rsid w:val="00072176"/>
    <w:rsid w:val="0007232C"/>
    <w:rsid w:val="00072353"/>
    <w:rsid w:val="0007272E"/>
    <w:rsid w:val="000729DA"/>
    <w:rsid w:val="000729FE"/>
    <w:rsid w:val="00072DD2"/>
    <w:rsid w:val="00072F70"/>
    <w:rsid w:val="0007306A"/>
    <w:rsid w:val="0007333B"/>
    <w:rsid w:val="00073644"/>
    <w:rsid w:val="000736B9"/>
    <w:rsid w:val="00073856"/>
    <w:rsid w:val="000739D9"/>
    <w:rsid w:val="000739F9"/>
    <w:rsid w:val="00073FCA"/>
    <w:rsid w:val="0007400D"/>
    <w:rsid w:val="00074131"/>
    <w:rsid w:val="0007413E"/>
    <w:rsid w:val="000741B6"/>
    <w:rsid w:val="000744FA"/>
    <w:rsid w:val="00074575"/>
    <w:rsid w:val="000746D2"/>
    <w:rsid w:val="0007470D"/>
    <w:rsid w:val="00074D96"/>
    <w:rsid w:val="000750D7"/>
    <w:rsid w:val="00075158"/>
    <w:rsid w:val="000753CA"/>
    <w:rsid w:val="0007563E"/>
    <w:rsid w:val="0007573E"/>
    <w:rsid w:val="0007585A"/>
    <w:rsid w:val="00075B83"/>
    <w:rsid w:val="00075C81"/>
    <w:rsid w:val="00075CB0"/>
    <w:rsid w:val="00075E50"/>
    <w:rsid w:val="00075FA7"/>
    <w:rsid w:val="000760CA"/>
    <w:rsid w:val="000766B1"/>
    <w:rsid w:val="000766FD"/>
    <w:rsid w:val="00076789"/>
    <w:rsid w:val="00076850"/>
    <w:rsid w:val="00076A97"/>
    <w:rsid w:val="00076BC1"/>
    <w:rsid w:val="00076FD9"/>
    <w:rsid w:val="00077994"/>
    <w:rsid w:val="00077A95"/>
    <w:rsid w:val="00077D28"/>
    <w:rsid w:val="0008019F"/>
    <w:rsid w:val="0008022A"/>
    <w:rsid w:val="00080400"/>
    <w:rsid w:val="00080726"/>
    <w:rsid w:val="00080937"/>
    <w:rsid w:val="00080A24"/>
    <w:rsid w:val="00080AAE"/>
    <w:rsid w:val="00080B17"/>
    <w:rsid w:val="00080C74"/>
    <w:rsid w:val="000814BA"/>
    <w:rsid w:val="0008198A"/>
    <w:rsid w:val="0008210F"/>
    <w:rsid w:val="000821B7"/>
    <w:rsid w:val="00082278"/>
    <w:rsid w:val="0008227A"/>
    <w:rsid w:val="00082689"/>
    <w:rsid w:val="00082DCC"/>
    <w:rsid w:val="00082F72"/>
    <w:rsid w:val="00083143"/>
    <w:rsid w:val="000834C3"/>
    <w:rsid w:val="00083515"/>
    <w:rsid w:val="0008365F"/>
    <w:rsid w:val="0008407C"/>
    <w:rsid w:val="00084139"/>
    <w:rsid w:val="0008427B"/>
    <w:rsid w:val="00084373"/>
    <w:rsid w:val="00084593"/>
    <w:rsid w:val="00084ACA"/>
    <w:rsid w:val="00084B71"/>
    <w:rsid w:val="00084C3F"/>
    <w:rsid w:val="00084CF9"/>
    <w:rsid w:val="00085323"/>
    <w:rsid w:val="0008533F"/>
    <w:rsid w:val="00085474"/>
    <w:rsid w:val="0008581E"/>
    <w:rsid w:val="000859A8"/>
    <w:rsid w:val="000859F5"/>
    <w:rsid w:val="00085A7E"/>
    <w:rsid w:val="00085F48"/>
    <w:rsid w:val="00087195"/>
    <w:rsid w:val="00087221"/>
    <w:rsid w:val="00087396"/>
    <w:rsid w:val="000873AF"/>
    <w:rsid w:val="0008740B"/>
    <w:rsid w:val="000874E8"/>
    <w:rsid w:val="0008773D"/>
    <w:rsid w:val="000879F9"/>
    <w:rsid w:val="00087B73"/>
    <w:rsid w:val="00087E07"/>
    <w:rsid w:val="00087FEC"/>
    <w:rsid w:val="00090029"/>
    <w:rsid w:val="000900DA"/>
    <w:rsid w:val="000900FF"/>
    <w:rsid w:val="00090C95"/>
    <w:rsid w:val="00090E45"/>
    <w:rsid w:val="00091202"/>
    <w:rsid w:val="0009143C"/>
    <w:rsid w:val="0009145A"/>
    <w:rsid w:val="00091463"/>
    <w:rsid w:val="00091713"/>
    <w:rsid w:val="00091BD2"/>
    <w:rsid w:val="00091C72"/>
    <w:rsid w:val="00091D48"/>
    <w:rsid w:val="000929DA"/>
    <w:rsid w:val="00092B1B"/>
    <w:rsid w:val="00092EC8"/>
    <w:rsid w:val="00092F62"/>
    <w:rsid w:val="00092FC2"/>
    <w:rsid w:val="000938C5"/>
    <w:rsid w:val="000939A8"/>
    <w:rsid w:val="00093A17"/>
    <w:rsid w:val="00094310"/>
    <w:rsid w:val="000945B8"/>
    <w:rsid w:val="0009468E"/>
    <w:rsid w:val="000949AD"/>
    <w:rsid w:val="00094DAF"/>
    <w:rsid w:val="00095370"/>
    <w:rsid w:val="000954A4"/>
    <w:rsid w:val="000955A7"/>
    <w:rsid w:val="00095663"/>
    <w:rsid w:val="000957BA"/>
    <w:rsid w:val="000958B4"/>
    <w:rsid w:val="00095A9D"/>
    <w:rsid w:val="00095AE4"/>
    <w:rsid w:val="00095C17"/>
    <w:rsid w:val="00095D41"/>
    <w:rsid w:val="00095F03"/>
    <w:rsid w:val="000963B0"/>
    <w:rsid w:val="0009677A"/>
    <w:rsid w:val="000967C2"/>
    <w:rsid w:val="0009698D"/>
    <w:rsid w:val="00096BEB"/>
    <w:rsid w:val="00096DCF"/>
    <w:rsid w:val="000970DB"/>
    <w:rsid w:val="000971A0"/>
    <w:rsid w:val="000973B2"/>
    <w:rsid w:val="00097B20"/>
    <w:rsid w:val="00097D28"/>
    <w:rsid w:val="000A01FF"/>
    <w:rsid w:val="000A0789"/>
    <w:rsid w:val="000A07D7"/>
    <w:rsid w:val="000A0977"/>
    <w:rsid w:val="000A0A19"/>
    <w:rsid w:val="000A0AB9"/>
    <w:rsid w:val="000A0BFF"/>
    <w:rsid w:val="000A1085"/>
    <w:rsid w:val="000A1403"/>
    <w:rsid w:val="000A14DD"/>
    <w:rsid w:val="000A1762"/>
    <w:rsid w:val="000A1882"/>
    <w:rsid w:val="000A18BE"/>
    <w:rsid w:val="000A1BB7"/>
    <w:rsid w:val="000A2341"/>
    <w:rsid w:val="000A29EB"/>
    <w:rsid w:val="000A2CB1"/>
    <w:rsid w:val="000A2CFA"/>
    <w:rsid w:val="000A2E2C"/>
    <w:rsid w:val="000A2ED7"/>
    <w:rsid w:val="000A3435"/>
    <w:rsid w:val="000A35AE"/>
    <w:rsid w:val="000A3B0F"/>
    <w:rsid w:val="000A3BC6"/>
    <w:rsid w:val="000A4299"/>
    <w:rsid w:val="000A46B3"/>
    <w:rsid w:val="000A4851"/>
    <w:rsid w:val="000A48EF"/>
    <w:rsid w:val="000A4A87"/>
    <w:rsid w:val="000A4C30"/>
    <w:rsid w:val="000A4CF0"/>
    <w:rsid w:val="000A4EE3"/>
    <w:rsid w:val="000A51DD"/>
    <w:rsid w:val="000A5F97"/>
    <w:rsid w:val="000A60D5"/>
    <w:rsid w:val="000A635C"/>
    <w:rsid w:val="000A64E4"/>
    <w:rsid w:val="000A6E8F"/>
    <w:rsid w:val="000A7011"/>
    <w:rsid w:val="000A72B9"/>
    <w:rsid w:val="000A757C"/>
    <w:rsid w:val="000A75E2"/>
    <w:rsid w:val="000A76C4"/>
    <w:rsid w:val="000A78D5"/>
    <w:rsid w:val="000A7C93"/>
    <w:rsid w:val="000A7CB4"/>
    <w:rsid w:val="000B023D"/>
    <w:rsid w:val="000B0D07"/>
    <w:rsid w:val="000B1547"/>
    <w:rsid w:val="000B162C"/>
    <w:rsid w:val="000B17DC"/>
    <w:rsid w:val="000B198D"/>
    <w:rsid w:val="000B1AD3"/>
    <w:rsid w:val="000B1C0E"/>
    <w:rsid w:val="000B1C59"/>
    <w:rsid w:val="000B2099"/>
    <w:rsid w:val="000B21A8"/>
    <w:rsid w:val="000B242D"/>
    <w:rsid w:val="000B2508"/>
    <w:rsid w:val="000B264A"/>
    <w:rsid w:val="000B2764"/>
    <w:rsid w:val="000B27CB"/>
    <w:rsid w:val="000B29D8"/>
    <w:rsid w:val="000B2A23"/>
    <w:rsid w:val="000B2CD8"/>
    <w:rsid w:val="000B2DFC"/>
    <w:rsid w:val="000B328B"/>
    <w:rsid w:val="000B3349"/>
    <w:rsid w:val="000B33F5"/>
    <w:rsid w:val="000B34E6"/>
    <w:rsid w:val="000B35A7"/>
    <w:rsid w:val="000B3A7D"/>
    <w:rsid w:val="000B3E21"/>
    <w:rsid w:val="000B4069"/>
    <w:rsid w:val="000B40D4"/>
    <w:rsid w:val="000B4131"/>
    <w:rsid w:val="000B41ED"/>
    <w:rsid w:val="000B4912"/>
    <w:rsid w:val="000B4B0B"/>
    <w:rsid w:val="000B4BFA"/>
    <w:rsid w:val="000B4D17"/>
    <w:rsid w:val="000B4FD4"/>
    <w:rsid w:val="000B5059"/>
    <w:rsid w:val="000B50D9"/>
    <w:rsid w:val="000B5152"/>
    <w:rsid w:val="000B54B3"/>
    <w:rsid w:val="000B574D"/>
    <w:rsid w:val="000B589F"/>
    <w:rsid w:val="000B5A21"/>
    <w:rsid w:val="000B5AD8"/>
    <w:rsid w:val="000B5AED"/>
    <w:rsid w:val="000B5B67"/>
    <w:rsid w:val="000B5C73"/>
    <w:rsid w:val="000B5DCB"/>
    <w:rsid w:val="000B61C2"/>
    <w:rsid w:val="000B62F4"/>
    <w:rsid w:val="000B6488"/>
    <w:rsid w:val="000B756F"/>
    <w:rsid w:val="000B7797"/>
    <w:rsid w:val="000B77DE"/>
    <w:rsid w:val="000B7E6A"/>
    <w:rsid w:val="000B7EA5"/>
    <w:rsid w:val="000C0275"/>
    <w:rsid w:val="000C03A5"/>
    <w:rsid w:val="000C08ED"/>
    <w:rsid w:val="000C0DC6"/>
    <w:rsid w:val="000C0DD0"/>
    <w:rsid w:val="000C1361"/>
    <w:rsid w:val="000C161D"/>
    <w:rsid w:val="000C1AE5"/>
    <w:rsid w:val="000C1B0F"/>
    <w:rsid w:val="000C1BEF"/>
    <w:rsid w:val="000C1EE3"/>
    <w:rsid w:val="000C1F2E"/>
    <w:rsid w:val="000C1FC4"/>
    <w:rsid w:val="000C206C"/>
    <w:rsid w:val="000C214A"/>
    <w:rsid w:val="000C223E"/>
    <w:rsid w:val="000C23A8"/>
    <w:rsid w:val="000C26BE"/>
    <w:rsid w:val="000C297F"/>
    <w:rsid w:val="000C2AFD"/>
    <w:rsid w:val="000C2FD7"/>
    <w:rsid w:val="000C324F"/>
    <w:rsid w:val="000C32D2"/>
    <w:rsid w:val="000C3529"/>
    <w:rsid w:val="000C3A13"/>
    <w:rsid w:val="000C3A81"/>
    <w:rsid w:val="000C427C"/>
    <w:rsid w:val="000C4443"/>
    <w:rsid w:val="000C4958"/>
    <w:rsid w:val="000C4D8C"/>
    <w:rsid w:val="000C51D1"/>
    <w:rsid w:val="000C521C"/>
    <w:rsid w:val="000C5561"/>
    <w:rsid w:val="000C56D5"/>
    <w:rsid w:val="000C56D6"/>
    <w:rsid w:val="000C59E7"/>
    <w:rsid w:val="000C5B50"/>
    <w:rsid w:val="000C5DCD"/>
    <w:rsid w:val="000C6286"/>
    <w:rsid w:val="000C6387"/>
    <w:rsid w:val="000C678D"/>
    <w:rsid w:val="000C695A"/>
    <w:rsid w:val="000C6D52"/>
    <w:rsid w:val="000C7E1D"/>
    <w:rsid w:val="000C7E4C"/>
    <w:rsid w:val="000D02C8"/>
    <w:rsid w:val="000D04B7"/>
    <w:rsid w:val="000D0581"/>
    <w:rsid w:val="000D0983"/>
    <w:rsid w:val="000D0BC4"/>
    <w:rsid w:val="000D0BE7"/>
    <w:rsid w:val="000D0C1A"/>
    <w:rsid w:val="000D0D4C"/>
    <w:rsid w:val="000D0F4A"/>
    <w:rsid w:val="000D1227"/>
    <w:rsid w:val="000D1337"/>
    <w:rsid w:val="000D17D9"/>
    <w:rsid w:val="000D17ED"/>
    <w:rsid w:val="000D1850"/>
    <w:rsid w:val="000D19CB"/>
    <w:rsid w:val="000D1D1E"/>
    <w:rsid w:val="000D1E41"/>
    <w:rsid w:val="000D27E2"/>
    <w:rsid w:val="000D2CFC"/>
    <w:rsid w:val="000D31B9"/>
    <w:rsid w:val="000D3843"/>
    <w:rsid w:val="000D3AEE"/>
    <w:rsid w:val="000D3F88"/>
    <w:rsid w:val="000D4892"/>
    <w:rsid w:val="000D48E7"/>
    <w:rsid w:val="000D5125"/>
    <w:rsid w:val="000D55C3"/>
    <w:rsid w:val="000D55C8"/>
    <w:rsid w:val="000D55EE"/>
    <w:rsid w:val="000D55F5"/>
    <w:rsid w:val="000D5D82"/>
    <w:rsid w:val="000D5E05"/>
    <w:rsid w:val="000D6250"/>
    <w:rsid w:val="000D6357"/>
    <w:rsid w:val="000D63BC"/>
    <w:rsid w:val="000D65FA"/>
    <w:rsid w:val="000D670D"/>
    <w:rsid w:val="000D68B4"/>
    <w:rsid w:val="000D70F4"/>
    <w:rsid w:val="000D76F8"/>
    <w:rsid w:val="000D78A4"/>
    <w:rsid w:val="000D7A3D"/>
    <w:rsid w:val="000D7B1A"/>
    <w:rsid w:val="000D7C06"/>
    <w:rsid w:val="000D7C89"/>
    <w:rsid w:val="000D7CAA"/>
    <w:rsid w:val="000D7D0C"/>
    <w:rsid w:val="000D7D18"/>
    <w:rsid w:val="000E042C"/>
    <w:rsid w:val="000E05B6"/>
    <w:rsid w:val="000E05D4"/>
    <w:rsid w:val="000E0835"/>
    <w:rsid w:val="000E084C"/>
    <w:rsid w:val="000E0C5A"/>
    <w:rsid w:val="000E0FA3"/>
    <w:rsid w:val="000E134A"/>
    <w:rsid w:val="000E13CA"/>
    <w:rsid w:val="000E169C"/>
    <w:rsid w:val="000E1A19"/>
    <w:rsid w:val="000E1B79"/>
    <w:rsid w:val="000E1D30"/>
    <w:rsid w:val="000E22E5"/>
    <w:rsid w:val="000E245D"/>
    <w:rsid w:val="000E27CB"/>
    <w:rsid w:val="000E291F"/>
    <w:rsid w:val="000E2957"/>
    <w:rsid w:val="000E29F6"/>
    <w:rsid w:val="000E2C57"/>
    <w:rsid w:val="000E2D2F"/>
    <w:rsid w:val="000E2DD3"/>
    <w:rsid w:val="000E3030"/>
    <w:rsid w:val="000E3382"/>
    <w:rsid w:val="000E3387"/>
    <w:rsid w:val="000E36A6"/>
    <w:rsid w:val="000E3AE9"/>
    <w:rsid w:val="000E3C87"/>
    <w:rsid w:val="000E4709"/>
    <w:rsid w:val="000E4888"/>
    <w:rsid w:val="000E4AAD"/>
    <w:rsid w:val="000E4BCB"/>
    <w:rsid w:val="000E4BE1"/>
    <w:rsid w:val="000E4CB8"/>
    <w:rsid w:val="000E4DCC"/>
    <w:rsid w:val="000E4E78"/>
    <w:rsid w:val="000E5019"/>
    <w:rsid w:val="000E53F4"/>
    <w:rsid w:val="000E5913"/>
    <w:rsid w:val="000E591A"/>
    <w:rsid w:val="000E5956"/>
    <w:rsid w:val="000E5E44"/>
    <w:rsid w:val="000E5EC1"/>
    <w:rsid w:val="000E5EF7"/>
    <w:rsid w:val="000E6095"/>
    <w:rsid w:val="000E621E"/>
    <w:rsid w:val="000E6429"/>
    <w:rsid w:val="000E656E"/>
    <w:rsid w:val="000E663C"/>
    <w:rsid w:val="000E68E0"/>
    <w:rsid w:val="000E6BD2"/>
    <w:rsid w:val="000E6BE5"/>
    <w:rsid w:val="000E6C18"/>
    <w:rsid w:val="000E6ED2"/>
    <w:rsid w:val="000E742F"/>
    <w:rsid w:val="000E749C"/>
    <w:rsid w:val="000E7586"/>
    <w:rsid w:val="000E7B04"/>
    <w:rsid w:val="000F0393"/>
    <w:rsid w:val="000F03FD"/>
    <w:rsid w:val="000F05E9"/>
    <w:rsid w:val="000F068A"/>
    <w:rsid w:val="000F0D04"/>
    <w:rsid w:val="000F0D43"/>
    <w:rsid w:val="000F1126"/>
    <w:rsid w:val="000F1298"/>
    <w:rsid w:val="000F1598"/>
    <w:rsid w:val="000F1605"/>
    <w:rsid w:val="000F181E"/>
    <w:rsid w:val="000F1A3C"/>
    <w:rsid w:val="000F1BC3"/>
    <w:rsid w:val="000F1C58"/>
    <w:rsid w:val="000F2260"/>
    <w:rsid w:val="000F2B88"/>
    <w:rsid w:val="000F2D44"/>
    <w:rsid w:val="000F2D72"/>
    <w:rsid w:val="000F35C3"/>
    <w:rsid w:val="000F37CA"/>
    <w:rsid w:val="000F3A73"/>
    <w:rsid w:val="000F3D7E"/>
    <w:rsid w:val="000F4131"/>
    <w:rsid w:val="000F4353"/>
    <w:rsid w:val="000F43D7"/>
    <w:rsid w:val="000F46D2"/>
    <w:rsid w:val="000F4C57"/>
    <w:rsid w:val="000F4E9F"/>
    <w:rsid w:val="000F5231"/>
    <w:rsid w:val="000F5744"/>
    <w:rsid w:val="000F58CB"/>
    <w:rsid w:val="000F5984"/>
    <w:rsid w:val="000F5AEF"/>
    <w:rsid w:val="000F5C30"/>
    <w:rsid w:val="000F5FE5"/>
    <w:rsid w:val="000F60F2"/>
    <w:rsid w:val="000F6126"/>
    <w:rsid w:val="000F61E8"/>
    <w:rsid w:val="000F63B9"/>
    <w:rsid w:val="000F6621"/>
    <w:rsid w:val="000F69F7"/>
    <w:rsid w:val="000F7341"/>
    <w:rsid w:val="000F7A1F"/>
    <w:rsid w:val="000F7C18"/>
    <w:rsid w:val="000F7CA7"/>
    <w:rsid w:val="000F7CCE"/>
    <w:rsid w:val="000F7E69"/>
    <w:rsid w:val="000F7FC9"/>
    <w:rsid w:val="001001C0"/>
    <w:rsid w:val="001002CB"/>
    <w:rsid w:val="00100441"/>
    <w:rsid w:val="00100619"/>
    <w:rsid w:val="001007D6"/>
    <w:rsid w:val="00100C40"/>
    <w:rsid w:val="00100CFD"/>
    <w:rsid w:val="0010104F"/>
    <w:rsid w:val="00101097"/>
    <w:rsid w:val="001015DE"/>
    <w:rsid w:val="00101F2F"/>
    <w:rsid w:val="001020A9"/>
    <w:rsid w:val="00102333"/>
    <w:rsid w:val="001023EB"/>
    <w:rsid w:val="00102715"/>
    <w:rsid w:val="00102A0C"/>
    <w:rsid w:val="00102E0A"/>
    <w:rsid w:val="00102F84"/>
    <w:rsid w:val="001031A8"/>
    <w:rsid w:val="0010346F"/>
    <w:rsid w:val="00104082"/>
    <w:rsid w:val="001044D4"/>
    <w:rsid w:val="001046FA"/>
    <w:rsid w:val="0010480D"/>
    <w:rsid w:val="00104891"/>
    <w:rsid w:val="00104B35"/>
    <w:rsid w:val="00104B3B"/>
    <w:rsid w:val="00104C02"/>
    <w:rsid w:val="00104E47"/>
    <w:rsid w:val="00104FAD"/>
    <w:rsid w:val="00105751"/>
    <w:rsid w:val="00105BCC"/>
    <w:rsid w:val="00105D13"/>
    <w:rsid w:val="00105D30"/>
    <w:rsid w:val="00105FE1"/>
    <w:rsid w:val="0010659B"/>
    <w:rsid w:val="00106968"/>
    <w:rsid w:val="00106C0F"/>
    <w:rsid w:val="00107028"/>
    <w:rsid w:val="00107206"/>
    <w:rsid w:val="001072F7"/>
    <w:rsid w:val="001073A4"/>
    <w:rsid w:val="00107788"/>
    <w:rsid w:val="00107B78"/>
    <w:rsid w:val="00110098"/>
    <w:rsid w:val="0011009B"/>
    <w:rsid w:val="0011061C"/>
    <w:rsid w:val="00110896"/>
    <w:rsid w:val="00110CBD"/>
    <w:rsid w:val="00110F66"/>
    <w:rsid w:val="00110F97"/>
    <w:rsid w:val="00111281"/>
    <w:rsid w:val="00111399"/>
    <w:rsid w:val="00111443"/>
    <w:rsid w:val="00111781"/>
    <w:rsid w:val="00111C3A"/>
    <w:rsid w:val="00111CEF"/>
    <w:rsid w:val="00112020"/>
    <w:rsid w:val="00112441"/>
    <w:rsid w:val="0011277C"/>
    <w:rsid w:val="00112ED5"/>
    <w:rsid w:val="00112FC1"/>
    <w:rsid w:val="00113256"/>
    <w:rsid w:val="0011340E"/>
    <w:rsid w:val="00113582"/>
    <w:rsid w:val="001136DE"/>
    <w:rsid w:val="00113762"/>
    <w:rsid w:val="001138E1"/>
    <w:rsid w:val="0011396B"/>
    <w:rsid w:val="00113B7E"/>
    <w:rsid w:val="00113B87"/>
    <w:rsid w:val="00114096"/>
    <w:rsid w:val="00114444"/>
    <w:rsid w:val="00114751"/>
    <w:rsid w:val="001149A7"/>
    <w:rsid w:val="00114AA9"/>
    <w:rsid w:val="00114F2E"/>
    <w:rsid w:val="00114F56"/>
    <w:rsid w:val="00115196"/>
    <w:rsid w:val="001153A2"/>
    <w:rsid w:val="0011554B"/>
    <w:rsid w:val="001155F2"/>
    <w:rsid w:val="001157CE"/>
    <w:rsid w:val="00115E74"/>
    <w:rsid w:val="00115F55"/>
    <w:rsid w:val="00116131"/>
    <w:rsid w:val="0011615C"/>
    <w:rsid w:val="0011683A"/>
    <w:rsid w:val="0011686A"/>
    <w:rsid w:val="00116B1D"/>
    <w:rsid w:val="00116B64"/>
    <w:rsid w:val="0011703B"/>
    <w:rsid w:val="001171C7"/>
    <w:rsid w:val="00117424"/>
    <w:rsid w:val="001176FF"/>
    <w:rsid w:val="00117722"/>
    <w:rsid w:val="00117806"/>
    <w:rsid w:val="00117D99"/>
    <w:rsid w:val="00117DB0"/>
    <w:rsid w:val="00117F26"/>
    <w:rsid w:val="00117F76"/>
    <w:rsid w:val="0012084F"/>
    <w:rsid w:val="001209D4"/>
    <w:rsid w:val="00120D1E"/>
    <w:rsid w:val="00120EC5"/>
    <w:rsid w:val="00120EF1"/>
    <w:rsid w:val="0012103F"/>
    <w:rsid w:val="001217A1"/>
    <w:rsid w:val="001217C0"/>
    <w:rsid w:val="00121A6F"/>
    <w:rsid w:val="00121A81"/>
    <w:rsid w:val="00121EE1"/>
    <w:rsid w:val="00122154"/>
    <w:rsid w:val="00122241"/>
    <w:rsid w:val="00122560"/>
    <w:rsid w:val="001227E3"/>
    <w:rsid w:val="0012280C"/>
    <w:rsid w:val="00122A72"/>
    <w:rsid w:val="00122EDF"/>
    <w:rsid w:val="00123567"/>
    <w:rsid w:val="00123646"/>
    <w:rsid w:val="00123816"/>
    <w:rsid w:val="00123A63"/>
    <w:rsid w:val="00123CC0"/>
    <w:rsid w:val="0012404F"/>
    <w:rsid w:val="0012407D"/>
    <w:rsid w:val="00124197"/>
    <w:rsid w:val="001242E8"/>
    <w:rsid w:val="00124508"/>
    <w:rsid w:val="001248E6"/>
    <w:rsid w:val="00124B60"/>
    <w:rsid w:val="00125034"/>
    <w:rsid w:val="001252D4"/>
    <w:rsid w:val="001253FB"/>
    <w:rsid w:val="001256EB"/>
    <w:rsid w:val="001257B4"/>
    <w:rsid w:val="0012580D"/>
    <w:rsid w:val="00125BD9"/>
    <w:rsid w:val="00125C7B"/>
    <w:rsid w:val="00125DD0"/>
    <w:rsid w:val="001260D1"/>
    <w:rsid w:val="001260F5"/>
    <w:rsid w:val="00126455"/>
    <w:rsid w:val="001264C3"/>
    <w:rsid w:val="00126671"/>
    <w:rsid w:val="00126ABF"/>
    <w:rsid w:val="0012704D"/>
    <w:rsid w:val="00127296"/>
    <w:rsid w:val="001272FB"/>
    <w:rsid w:val="00127384"/>
    <w:rsid w:val="00127487"/>
    <w:rsid w:val="001279D3"/>
    <w:rsid w:val="00127C07"/>
    <w:rsid w:val="00127E10"/>
    <w:rsid w:val="00127F4F"/>
    <w:rsid w:val="00127FA8"/>
    <w:rsid w:val="00130040"/>
    <w:rsid w:val="0013035F"/>
    <w:rsid w:val="0013053C"/>
    <w:rsid w:val="001308ED"/>
    <w:rsid w:val="00130944"/>
    <w:rsid w:val="0013098D"/>
    <w:rsid w:val="00130A14"/>
    <w:rsid w:val="00130C7C"/>
    <w:rsid w:val="00130CEC"/>
    <w:rsid w:val="00130EAB"/>
    <w:rsid w:val="00130F2D"/>
    <w:rsid w:val="001310EA"/>
    <w:rsid w:val="00131215"/>
    <w:rsid w:val="00131774"/>
    <w:rsid w:val="001317E4"/>
    <w:rsid w:val="00131843"/>
    <w:rsid w:val="00131CA7"/>
    <w:rsid w:val="00131F40"/>
    <w:rsid w:val="001320F9"/>
    <w:rsid w:val="0013238B"/>
    <w:rsid w:val="001324B9"/>
    <w:rsid w:val="00132572"/>
    <w:rsid w:val="00132594"/>
    <w:rsid w:val="00132A6F"/>
    <w:rsid w:val="00132C27"/>
    <w:rsid w:val="00132D5C"/>
    <w:rsid w:val="00132D91"/>
    <w:rsid w:val="00132DEF"/>
    <w:rsid w:val="001336EC"/>
    <w:rsid w:val="00133713"/>
    <w:rsid w:val="001339C7"/>
    <w:rsid w:val="00133B2A"/>
    <w:rsid w:val="00133C7C"/>
    <w:rsid w:val="00133DBD"/>
    <w:rsid w:val="00134102"/>
    <w:rsid w:val="001341E4"/>
    <w:rsid w:val="0013432C"/>
    <w:rsid w:val="00134850"/>
    <w:rsid w:val="00134D2B"/>
    <w:rsid w:val="001353FE"/>
    <w:rsid w:val="001354AB"/>
    <w:rsid w:val="00135BF4"/>
    <w:rsid w:val="00135DA9"/>
    <w:rsid w:val="001360DD"/>
    <w:rsid w:val="00136117"/>
    <w:rsid w:val="0013621D"/>
    <w:rsid w:val="001364EA"/>
    <w:rsid w:val="0013655E"/>
    <w:rsid w:val="001369FD"/>
    <w:rsid w:val="001371AC"/>
    <w:rsid w:val="001371DC"/>
    <w:rsid w:val="00137358"/>
    <w:rsid w:val="0013784F"/>
    <w:rsid w:val="001378D6"/>
    <w:rsid w:val="00137903"/>
    <w:rsid w:val="0014020D"/>
    <w:rsid w:val="00140226"/>
    <w:rsid w:val="00140543"/>
    <w:rsid w:val="00140BC8"/>
    <w:rsid w:val="00140D1D"/>
    <w:rsid w:val="001410AA"/>
    <w:rsid w:val="001416E7"/>
    <w:rsid w:val="00141726"/>
    <w:rsid w:val="00141780"/>
    <w:rsid w:val="00142022"/>
    <w:rsid w:val="0014219C"/>
    <w:rsid w:val="0014224B"/>
    <w:rsid w:val="00142820"/>
    <w:rsid w:val="00142A4D"/>
    <w:rsid w:val="00142C34"/>
    <w:rsid w:val="00142ED6"/>
    <w:rsid w:val="001432BC"/>
    <w:rsid w:val="0014365A"/>
    <w:rsid w:val="00143C92"/>
    <w:rsid w:val="00143D0D"/>
    <w:rsid w:val="00143FF9"/>
    <w:rsid w:val="001442BD"/>
    <w:rsid w:val="001443B0"/>
    <w:rsid w:val="00144A7B"/>
    <w:rsid w:val="00144D52"/>
    <w:rsid w:val="0014501A"/>
    <w:rsid w:val="001456F0"/>
    <w:rsid w:val="00145955"/>
    <w:rsid w:val="00145A1F"/>
    <w:rsid w:val="00145B0F"/>
    <w:rsid w:val="00145DF4"/>
    <w:rsid w:val="0014651F"/>
    <w:rsid w:val="001465A4"/>
    <w:rsid w:val="001466B6"/>
    <w:rsid w:val="001469F7"/>
    <w:rsid w:val="00146ABE"/>
    <w:rsid w:val="00146C80"/>
    <w:rsid w:val="00146D40"/>
    <w:rsid w:val="00146EE0"/>
    <w:rsid w:val="0014708E"/>
    <w:rsid w:val="00147192"/>
    <w:rsid w:val="001475C4"/>
    <w:rsid w:val="001475FB"/>
    <w:rsid w:val="0014765B"/>
    <w:rsid w:val="00147741"/>
    <w:rsid w:val="001477F4"/>
    <w:rsid w:val="0014798B"/>
    <w:rsid w:val="00147A50"/>
    <w:rsid w:val="00147BEB"/>
    <w:rsid w:val="00147DFC"/>
    <w:rsid w:val="0015003A"/>
    <w:rsid w:val="00150080"/>
    <w:rsid w:val="00150259"/>
    <w:rsid w:val="0015037B"/>
    <w:rsid w:val="00150CD9"/>
    <w:rsid w:val="00150D10"/>
    <w:rsid w:val="00150FCE"/>
    <w:rsid w:val="001511F0"/>
    <w:rsid w:val="0015122B"/>
    <w:rsid w:val="0015129F"/>
    <w:rsid w:val="00151312"/>
    <w:rsid w:val="00151391"/>
    <w:rsid w:val="0015142E"/>
    <w:rsid w:val="0015194C"/>
    <w:rsid w:val="00151AE3"/>
    <w:rsid w:val="00151DB1"/>
    <w:rsid w:val="001522E4"/>
    <w:rsid w:val="00152891"/>
    <w:rsid w:val="00152BCE"/>
    <w:rsid w:val="00152C55"/>
    <w:rsid w:val="00152CA9"/>
    <w:rsid w:val="0015301B"/>
    <w:rsid w:val="0015332E"/>
    <w:rsid w:val="00153664"/>
    <w:rsid w:val="00153933"/>
    <w:rsid w:val="00153C98"/>
    <w:rsid w:val="0015408B"/>
    <w:rsid w:val="001543D2"/>
    <w:rsid w:val="001543DF"/>
    <w:rsid w:val="001547BD"/>
    <w:rsid w:val="001547FF"/>
    <w:rsid w:val="001548C5"/>
    <w:rsid w:val="001548E4"/>
    <w:rsid w:val="0015499D"/>
    <w:rsid w:val="001549B0"/>
    <w:rsid w:val="00154A4F"/>
    <w:rsid w:val="00154B4F"/>
    <w:rsid w:val="00154D2A"/>
    <w:rsid w:val="00154DA2"/>
    <w:rsid w:val="00154EA9"/>
    <w:rsid w:val="00154F32"/>
    <w:rsid w:val="00154F73"/>
    <w:rsid w:val="001555DC"/>
    <w:rsid w:val="001558DE"/>
    <w:rsid w:val="00156012"/>
    <w:rsid w:val="0015610B"/>
    <w:rsid w:val="001568C7"/>
    <w:rsid w:val="00156A81"/>
    <w:rsid w:val="00156BF0"/>
    <w:rsid w:val="00156BF2"/>
    <w:rsid w:val="00156EA2"/>
    <w:rsid w:val="0015742A"/>
    <w:rsid w:val="001574A1"/>
    <w:rsid w:val="00157C10"/>
    <w:rsid w:val="00157FC5"/>
    <w:rsid w:val="001604F9"/>
    <w:rsid w:val="00160741"/>
    <w:rsid w:val="0016081D"/>
    <w:rsid w:val="00160C8C"/>
    <w:rsid w:val="00161137"/>
    <w:rsid w:val="00161762"/>
    <w:rsid w:val="00161839"/>
    <w:rsid w:val="001620AD"/>
    <w:rsid w:val="001625AA"/>
    <w:rsid w:val="00162BBE"/>
    <w:rsid w:val="00163419"/>
    <w:rsid w:val="00163531"/>
    <w:rsid w:val="0016366A"/>
    <w:rsid w:val="00163B46"/>
    <w:rsid w:val="00163C39"/>
    <w:rsid w:val="00164462"/>
    <w:rsid w:val="00164BA9"/>
    <w:rsid w:val="00164C61"/>
    <w:rsid w:val="0016529C"/>
    <w:rsid w:val="00165478"/>
    <w:rsid w:val="0016575C"/>
    <w:rsid w:val="00165780"/>
    <w:rsid w:val="00165B98"/>
    <w:rsid w:val="00165D34"/>
    <w:rsid w:val="00165DE4"/>
    <w:rsid w:val="00165EFC"/>
    <w:rsid w:val="00166623"/>
    <w:rsid w:val="00166647"/>
    <w:rsid w:val="00166A83"/>
    <w:rsid w:val="00166F95"/>
    <w:rsid w:val="001673B6"/>
    <w:rsid w:val="00167635"/>
    <w:rsid w:val="001676D4"/>
    <w:rsid w:val="00167853"/>
    <w:rsid w:val="00167B97"/>
    <w:rsid w:val="00170289"/>
    <w:rsid w:val="00170880"/>
    <w:rsid w:val="001708C9"/>
    <w:rsid w:val="00170A3C"/>
    <w:rsid w:val="00170ADB"/>
    <w:rsid w:val="00170F31"/>
    <w:rsid w:val="00171094"/>
    <w:rsid w:val="0017128C"/>
    <w:rsid w:val="001714F1"/>
    <w:rsid w:val="00171864"/>
    <w:rsid w:val="0017192F"/>
    <w:rsid w:val="001719A7"/>
    <w:rsid w:val="00171C0B"/>
    <w:rsid w:val="00171F6B"/>
    <w:rsid w:val="00172067"/>
    <w:rsid w:val="00172143"/>
    <w:rsid w:val="00172821"/>
    <w:rsid w:val="0017284A"/>
    <w:rsid w:val="001729D1"/>
    <w:rsid w:val="00172CD5"/>
    <w:rsid w:val="00172E06"/>
    <w:rsid w:val="001730A6"/>
    <w:rsid w:val="001730DA"/>
    <w:rsid w:val="0017342B"/>
    <w:rsid w:val="001736C9"/>
    <w:rsid w:val="0017389E"/>
    <w:rsid w:val="00173949"/>
    <w:rsid w:val="00173E82"/>
    <w:rsid w:val="001740CB"/>
    <w:rsid w:val="00174333"/>
    <w:rsid w:val="0017452D"/>
    <w:rsid w:val="0017460E"/>
    <w:rsid w:val="00174650"/>
    <w:rsid w:val="001746B8"/>
    <w:rsid w:val="001750BA"/>
    <w:rsid w:val="00175213"/>
    <w:rsid w:val="00175386"/>
    <w:rsid w:val="001755F6"/>
    <w:rsid w:val="00175A2D"/>
    <w:rsid w:val="00175FD7"/>
    <w:rsid w:val="00176108"/>
    <w:rsid w:val="0017684C"/>
    <w:rsid w:val="00176901"/>
    <w:rsid w:val="00176A19"/>
    <w:rsid w:val="0017731D"/>
    <w:rsid w:val="001777C4"/>
    <w:rsid w:val="00177AD9"/>
    <w:rsid w:val="00177B34"/>
    <w:rsid w:val="00177B86"/>
    <w:rsid w:val="00177CB4"/>
    <w:rsid w:val="00177E88"/>
    <w:rsid w:val="0018099E"/>
    <w:rsid w:val="00180A3D"/>
    <w:rsid w:val="00180A5E"/>
    <w:rsid w:val="00180D61"/>
    <w:rsid w:val="00180F4F"/>
    <w:rsid w:val="0018100B"/>
    <w:rsid w:val="0018105F"/>
    <w:rsid w:val="0018115F"/>
    <w:rsid w:val="001815CF"/>
    <w:rsid w:val="0018186E"/>
    <w:rsid w:val="00181A65"/>
    <w:rsid w:val="00181D83"/>
    <w:rsid w:val="00182507"/>
    <w:rsid w:val="00182766"/>
    <w:rsid w:val="0018283C"/>
    <w:rsid w:val="00182BF9"/>
    <w:rsid w:val="001831C3"/>
    <w:rsid w:val="001832B0"/>
    <w:rsid w:val="001833CD"/>
    <w:rsid w:val="00183509"/>
    <w:rsid w:val="00183708"/>
    <w:rsid w:val="0018370C"/>
    <w:rsid w:val="00183727"/>
    <w:rsid w:val="00183A95"/>
    <w:rsid w:val="00183C00"/>
    <w:rsid w:val="0018440E"/>
    <w:rsid w:val="00184732"/>
    <w:rsid w:val="001848D0"/>
    <w:rsid w:val="0018498A"/>
    <w:rsid w:val="00184A2D"/>
    <w:rsid w:val="00184BC7"/>
    <w:rsid w:val="00184C13"/>
    <w:rsid w:val="00184C38"/>
    <w:rsid w:val="00184C67"/>
    <w:rsid w:val="00184DA4"/>
    <w:rsid w:val="001855A5"/>
    <w:rsid w:val="001857B7"/>
    <w:rsid w:val="00185F15"/>
    <w:rsid w:val="00185FB2"/>
    <w:rsid w:val="0018685E"/>
    <w:rsid w:val="00186BCA"/>
    <w:rsid w:val="00186CA3"/>
    <w:rsid w:val="001871DC"/>
    <w:rsid w:val="0018784A"/>
    <w:rsid w:val="0018788C"/>
    <w:rsid w:val="00190152"/>
    <w:rsid w:val="00190374"/>
    <w:rsid w:val="00190975"/>
    <w:rsid w:val="00190C71"/>
    <w:rsid w:val="00190F73"/>
    <w:rsid w:val="00190F7B"/>
    <w:rsid w:val="00190FFF"/>
    <w:rsid w:val="00191128"/>
    <w:rsid w:val="0019123D"/>
    <w:rsid w:val="00191346"/>
    <w:rsid w:val="0019161F"/>
    <w:rsid w:val="001916B3"/>
    <w:rsid w:val="00191A80"/>
    <w:rsid w:val="00191ADD"/>
    <w:rsid w:val="00191CEA"/>
    <w:rsid w:val="00191DF3"/>
    <w:rsid w:val="001921C3"/>
    <w:rsid w:val="00192304"/>
    <w:rsid w:val="001923CF"/>
    <w:rsid w:val="00192621"/>
    <w:rsid w:val="001927AD"/>
    <w:rsid w:val="001929D9"/>
    <w:rsid w:val="00192B6E"/>
    <w:rsid w:val="00192D4F"/>
    <w:rsid w:val="00193011"/>
    <w:rsid w:val="0019308A"/>
    <w:rsid w:val="00193121"/>
    <w:rsid w:val="0019363C"/>
    <w:rsid w:val="001936BD"/>
    <w:rsid w:val="00193D48"/>
    <w:rsid w:val="00195083"/>
    <w:rsid w:val="001950C8"/>
    <w:rsid w:val="001950E4"/>
    <w:rsid w:val="001951EA"/>
    <w:rsid w:val="00195290"/>
    <w:rsid w:val="0019529E"/>
    <w:rsid w:val="001956D0"/>
    <w:rsid w:val="0019579C"/>
    <w:rsid w:val="001959F9"/>
    <w:rsid w:val="00195BC4"/>
    <w:rsid w:val="00195CF6"/>
    <w:rsid w:val="00195DB6"/>
    <w:rsid w:val="001961E4"/>
    <w:rsid w:val="001963EA"/>
    <w:rsid w:val="0019671B"/>
    <w:rsid w:val="00196805"/>
    <w:rsid w:val="00196DEF"/>
    <w:rsid w:val="00196E3E"/>
    <w:rsid w:val="00196F15"/>
    <w:rsid w:val="001974B5"/>
    <w:rsid w:val="0019771F"/>
    <w:rsid w:val="001979F8"/>
    <w:rsid w:val="00197DF7"/>
    <w:rsid w:val="001A020B"/>
    <w:rsid w:val="001A0363"/>
    <w:rsid w:val="001A03BB"/>
    <w:rsid w:val="001A03D5"/>
    <w:rsid w:val="001A041E"/>
    <w:rsid w:val="001A063C"/>
    <w:rsid w:val="001A0D3B"/>
    <w:rsid w:val="001A1095"/>
    <w:rsid w:val="001A1148"/>
    <w:rsid w:val="001A131C"/>
    <w:rsid w:val="001A1976"/>
    <w:rsid w:val="001A1AAC"/>
    <w:rsid w:val="001A1C83"/>
    <w:rsid w:val="001A295E"/>
    <w:rsid w:val="001A2E87"/>
    <w:rsid w:val="001A2FF0"/>
    <w:rsid w:val="001A324B"/>
    <w:rsid w:val="001A38E2"/>
    <w:rsid w:val="001A3982"/>
    <w:rsid w:val="001A417E"/>
    <w:rsid w:val="001A44DD"/>
    <w:rsid w:val="001A4542"/>
    <w:rsid w:val="001A48F9"/>
    <w:rsid w:val="001A4990"/>
    <w:rsid w:val="001A4CEB"/>
    <w:rsid w:val="001A5042"/>
    <w:rsid w:val="001A54D6"/>
    <w:rsid w:val="001A55FB"/>
    <w:rsid w:val="001A5682"/>
    <w:rsid w:val="001A5729"/>
    <w:rsid w:val="001A57F3"/>
    <w:rsid w:val="001A57F7"/>
    <w:rsid w:val="001A59E7"/>
    <w:rsid w:val="001A5BFD"/>
    <w:rsid w:val="001A5F97"/>
    <w:rsid w:val="001A6042"/>
    <w:rsid w:val="001A61AA"/>
    <w:rsid w:val="001A649E"/>
    <w:rsid w:val="001A672A"/>
    <w:rsid w:val="001A6B19"/>
    <w:rsid w:val="001A6D06"/>
    <w:rsid w:val="001A6D09"/>
    <w:rsid w:val="001A6D99"/>
    <w:rsid w:val="001A710C"/>
    <w:rsid w:val="001A7204"/>
    <w:rsid w:val="001A7594"/>
    <w:rsid w:val="001A793C"/>
    <w:rsid w:val="001A7A13"/>
    <w:rsid w:val="001A7AFC"/>
    <w:rsid w:val="001A7F2E"/>
    <w:rsid w:val="001B0878"/>
    <w:rsid w:val="001B0C6D"/>
    <w:rsid w:val="001B0EF0"/>
    <w:rsid w:val="001B0F73"/>
    <w:rsid w:val="001B1066"/>
    <w:rsid w:val="001B123C"/>
    <w:rsid w:val="001B12C7"/>
    <w:rsid w:val="001B130F"/>
    <w:rsid w:val="001B14F6"/>
    <w:rsid w:val="001B1A53"/>
    <w:rsid w:val="001B1AD9"/>
    <w:rsid w:val="001B1DC1"/>
    <w:rsid w:val="001B1FA4"/>
    <w:rsid w:val="001B2234"/>
    <w:rsid w:val="001B2B02"/>
    <w:rsid w:val="001B2B04"/>
    <w:rsid w:val="001B2B70"/>
    <w:rsid w:val="001B2D64"/>
    <w:rsid w:val="001B32EA"/>
    <w:rsid w:val="001B33AE"/>
    <w:rsid w:val="001B3732"/>
    <w:rsid w:val="001B3843"/>
    <w:rsid w:val="001B3DBA"/>
    <w:rsid w:val="001B407E"/>
    <w:rsid w:val="001B4138"/>
    <w:rsid w:val="001B490C"/>
    <w:rsid w:val="001B4920"/>
    <w:rsid w:val="001B4B7C"/>
    <w:rsid w:val="001B4C21"/>
    <w:rsid w:val="001B4D4B"/>
    <w:rsid w:val="001B4FBC"/>
    <w:rsid w:val="001B5126"/>
    <w:rsid w:val="001B540A"/>
    <w:rsid w:val="001B5817"/>
    <w:rsid w:val="001B58D2"/>
    <w:rsid w:val="001B5B9D"/>
    <w:rsid w:val="001B6125"/>
    <w:rsid w:val="001B637D"/>
    <w:rsid w:val="001B65D4"/>
    <w:rsid w:val="001B6613"/>
    <w:rsid w:val="001B697E"/>
    <w:rsid w:val="001B6B2C"/>
    <w:rsid w:val="001B6C6A"/>
    <w:rsid w:val="001B7028"/>
    <w:rsid w:val="001B773C"/>
    <w:rsid w:val="001B7C55"/>
    <w:rsid w:val="001B7EA6"/>
    <w:rsid w:val="001C01A0"/>
    <w:rsid w:val="001C0230"/>
    <w:rsid w:val="001C0278"/>
    <w:rsid w:val="001C0415"/>
    <w:rsid w:val="001C06F7"/>
    <w:rsid w:val="001C08EC"/>
    <w:rsid w:val="001C0AF1"/>
    <w:rsid w:val="001C0B19"/>
    <w:rsid w:val="001C0C86"/>
    <w:rsid w:val="001C10B5"/>
    <w:rsid w:val="001C1532"/>
    <w:rsid w:val="001C153D"/>
    <w:rsid w:val="001C15F1"/>
    <w:rsid w:val="001C241D"/>
    <w:rsid w:val="001C25C1"/>
    <w:rsid w:val="001C25EC"/>
    <w:rsid w:val="001C2719"/>
    <w:rsid w:val="001C2E67"/>
    <w:rsid w:val="001C2E6E"/>
    <w:rsid w:val="001C3171"/>
    <w:rsid w:val="001C3248"/>
    <w:rsid w:val="001C3437"/>
    <w:rsid w:val="001C3773"/>
    <w:rsid w:val="001C3B06"/>
    <w:rsid w:val="001C41C4"/>
    <w:rsid w:val="001C4304"/>
    <w:rsid w:val="001C433F"/>
    <w:rsid w:val="001C43C6"/>
    <w:rsid w:val="001C46E7"/>
    <w:rsid w:val="001C4832"/>
    <w:rsid w:val="001C48EC"/>
    <w:rsid w:val="001C48EF"/>
    <w:rsid w:val="001C4F05"/>
    <w:rsid w:val="001C505A"/>
    <w:rsid w:val="001C5454"/>
    <w:rsid w:val="001C54A2"/>
    <w:rsid w:val="001C55DA"/>
    <w:rsid w:val="001C55F9"/>
    <w:rsid w:val="001C5627"/>
    <w:rsid w:val="001C58EF"/>
    <w:rsid w:val="001C5E39"/>
    <w:rsid w:val="001C6196"/>
    <w:rsid w:val="001C61F3"/>
    <w:rsid w:val="001C6208"/>
    <w:rsid w:val="001C62FD"/>
    <w:rsid w:val="001C6413"/>
    <w:rsid w:val="001C64B2"/>
    <w:rsid w:val="001C675C"/>
    <w:rsid w:val="001C6C33"/>
    <w:rsid w:val="001C71B6"/>
    <w:rsid w:val="001C71F9"/>
    <w:rsid w:val="001C74AE"/>
    <w:rsid w:val="001D02B5"/>
    <w:rsid w:val="001D03FC"/>
    <w:rsid w:val="001D06EE"/>
    <w:rsid w:val="001D07CC"/>
    <w:rsid w:val="001D0DBC"/>
    <w:rsid w:val="001D10BC"/>
    <w:rsid w:val="001D10F1"/>
    <w:rsid w:val="001D11AA"/>
    <w:rsid w:val="001D1604"/>
    <w:rsid w:val="001D1771"/>
    <w:rsid w:val="001D1C08"/>
    <w:rsid w:val="001D1E2E"/>
    <w:rsid w:val="001D1F56"/>
    <w:rsid w:val="001D2180"/>
    <w:rsid w:val="001D21A1"/>
    <w:rsid w:val="001D25B6"/>
    <w:rsid w:val="001D3098"/>
    <w:rsid w:val="001D334D"/>
    <w:rsid w:val="001D35B2"/>
    <w:rsid w:val="001D3F9A"/>
    <w:rsid w:val="001D413F"/>
    <w:rsid w:val="001D432A"/>
    <w:rsid w:val="001D4495"/>
    <w:rsid w:val="001D44CB"/>
    <w:rsid w:val="001D451E"/>
    <w:rsid w:val="001D464A"/>
    <w:rsid w:val="001D474B"/>
    <w:rsid w:val="001D4992"/>
    <w:rsid w:val="001D4E18"/>
    <w:rsid w:val="001D4E37"/>
    <w:rsid w:val="001D4F21"/>
    <w:rsid w:val="001D502C"/>
    <w:rsid w:val="001D536B"/>
    <w:rsid w:val="001D56DA"/>
    <w:rsid w:val="001D5925"/>
    <w:rsid w:val="001D5BCD"/>
    <w:rsid w:val="001D5EE6"/>
    <w:rsid w:val="001D6164"/>
    <w:rsid w:val="001D61D7"/>
    <w:rsid w:val="001D63D9"/>
    <w:rsid w:val="001D64DC"/>
    <w:rsid w:val="001D68B6"/>
    <w:rsid w:val="001D6AE4"/>
    <w:rsid w:val="001D703C"/>
    <w:rsid w:val="001D734C"/>
    <w:rsid w:val="001D7A50"/>
    <w:rsid w:val="001D7BBD"/>
    <w:rsid w:val="001D7E9E"/>
    <w:rsid w:val="001E0051"/>
    <w:rsid w:val="001E0059"/>
    <w:rsid w:val="001E0848"/>
    <w:rsid w:val="001E104E"/>
    <w:rsid w:val="001E110B"/>
    <w:rsid w:val="001E11D5"/>
    <w:rsid w:val="001E1445"/>
    <w:rsid w:val="001E1868"/>
    <w:rsid w:val="001E1E7D"/>
    <w:rsid w:val="001E212B"/>
    <w:rsid w:val="001E3647"/>
    <w:rsid w:val="001E371E"/>
    <w:rsid w:val="001E3736"/>
    <w:rsid w:val="001E3A2B"/>
    <w:rsid w:val="001E3FD9"/>
    <w:rsid w:val="001E47B9"/>
    <w:rsid w:val="001E49FB"/>
    <w:rsid w:val="001E4D92"/>
    <w:rsid w:val="001E5140"/>
    <w:rsid w:val="001E53D8"/>
    <w:rsid w:val="001E5827"/>
    <w:rsid w:val="001E593C"/>
    <w:rsid w:val="001E5B40"/>
    <w:rsid w:val="001E5D65"/>
    <w:rsid w:val="001E60CE"/>
    <w:rsid w:val="001E60ED"/>
    <w:rsid w:val="001E6552"/>
    <w:rsid w:val="001E65F9"/>
    <w:rsid w:val="001E6ABF"/>
    <w:rsid w:val="001E6ECC"/>
    <w:rsid w:val="001E72A6"/>
    <w:rsid w:val="001E750A"/>
    <w:rsid w:val="001E771F"/>
    <w:rsid w:val="001E789D"/>
    <w:rsid w:val="001E7957"/>
    <w:rsid w:val="001E7A02"/>
    <w:rsid w:val="001E7C33"/>
    <w:rsid w:val="001F0381"/>
    <w:rsid w:val="001F06A8"/>
    <w:rsid w:val="001F07C1"/>
    <w:rsid w:val="001F07C5"/>
    <w:rsid w:val="001F0D84"/>
    <w:rsid w:val="001F0EEA"/>
    <w:rsid w:val="001F106F"/>
    <w:rsid w:val="001F1376"/>
    <w:rsid w:val="001F149D"/>
    <w:rsid w:val="001F14F2"/>
    <w:rsid w:val="001F1546"/>
    <w:rsid w:val="001F1700"/>
    <w:rsid w:val="001F1CD9"/>
    <w:rsid w:val="001F1DAF"/>
    <w:rsid w:val="001F1E50"/>
    <w:rsid w:val="001F1ECF"/>
    <w:rsid w:val="001F1EEE"/>
    <w:rsid w:val="001F2443"/>
    <w:rsid w:val="001F2701"/>
    <w:rsid w:val="001F2935"/>
    <w:rsid w:val="001F29CA"/>
    <w:rsid w:val="001F2BC1"/>
    <w:rsid w:val="001F3027"/>
    <w:rsid w:val="001F337A"/>
    <w:rsid w:val="001F375C"/>
    <w:rsid w:val="001F39A3"/>
    <w:rsid w:val="001F3B3E"/>
    <w:rsid w:val="001F3CDF"/>
    <w:rsid w:val="001F3DDE"/>
    <w:rsid w:val="001F3E24"/>
    <w:rsid w:val="001F401E"/>
    <w:rsid w:val="001F438E"/>
    <w:rsid w:val="001F4935"/>
    <w:rsid w:val="001F4AF6"/>
    <w:rsid w:val="001F5077"/>
    <w:rsid w:val="001F522F"/>
    <w:rsid w:val="001F5457"/>
    <w:rsid w:val="001F5B83"/>
    <w:rsid w:val="001F5BE4"/>
    <w:rsid w:val="001F5F72"/>
    <w:rsid w:val="001F6226"/>
    <w:rsid w:val="001F6291"/>
    <w:rsid w:val="001F6348"/>
    <w:rsid w:val="001F653B"/>
    <w:rsid w:val="001F672D"/>
    <w:rsid w:val="001F6CA3"/>
    <w:rsid w:val="001F6CEC"/>
    <w:rsid w:val="001F6E24"/>
    <w:rsid w:val="001F6F1F"/>
    <w:rsid w:val="001F707A"/>
    <w:rsid w:val="001F71E3"/>
    <w:rsid w:val="001F757D"/>
    <w:rsid w:val="001F7973"/>
    <w:rsid w:val="00200025"/>
    <w:rsid w:val="002000C6"/>
    <w:rsid w:val="00200193"/>
    <w:rsid w:val="002007ED"/>
    <w:rsid w:val="00200CDA"/>
    <w:rsid w:val="00201071"/>
    <w:rsid w:val="00201448"/>
    <w:rsid w:val="0020168B"/>
    <w:rsid w:val="00201838"/>
    <w:rsid w:val="00201B4F"/>
    <w:rsid w:val="00201E4D"/>
    <w:rsid w:val="00202B2B"/>
    <w:rsid w:val="00202C03"/>
    <w:rsid w:val="00203303"/>
    <w:rsid w:val="002036B2"/>
    <w:rsid w:val="0020378F"/>
    <w:rsid w:val="00203796"/>
    <w:rsid w:val="002038AE"/>
    <w:rsid w:val="00203ABF"/>
    <w:rsid w:val="00203B2A"/>
    <w:rsid w:val="00203C37"/>
    <w:rsid w:val="00203C5F"/>
    <w:rsid w:val="00204039"/>
    <w:rsid w:val="00204057"/>
    <w:rsid w:val="00204186"/>
    <w:rsid w:val="00204239"/>
    <w:rsid w:val="00204FAE"/>
    <w:rsid w:val="002050A7"/>
    <w:rsid w:val="00205282"/>
    <w:rsid w:val="002054AE"/>
    <w:rsid w:val="00205603"/>
    <w:rsid w:val="002057B9"/>
    <w:rsid w:val="00205BD7"/>
    <w:rsid w:val="00205CD9"/>
    <w:rsid w:val="00205DE1"/>
    <w:rsid w:val="00205F6C"/>
    <w:rsid w:val="00206064"/>
    <w:rsid w:val="00206078"/>
    <w:rsid w:val="00206279"/>
    <w:rsid w:val="00206939"/>
    <w:rsid w:val="00206ABD"/>
    <w:rsid w:val="00206AE0"/>
    <w:rsid w:val="00206B43"/>
    <w:rsid w:val="00206C25"/>
    <w:rsid w:val="00206E93"/>
    <w:rsid w:val="00206F25"/>
    <w:rsid w:val="00206FBC"/>
    <w:rsid w:val="0020770B"/>
    <w:rsid w:val="00207B30"/>
    <w:rsid w:val="00207E13"/>
    <w:rsid w:val="00207F74"/>
    <w:rsid w:val="00210019"/>
    <w:rsid w:val="00210489"/>
    <w:rsid w:val="00210A8E"/>
    <w:rsid w:val="00211A0E"/>
    <w:rsid w:val="00211CD9"/>
    <w:rsid w:val="00211D2B"/>
    <w:rsid w:val="00211D84"/>
    <w:rsid w:val="00211FBA"/>
    <w:rsid w:val="00212049"/>
    <w:rsid w:val="00212188"/>
    <w:rsid w:val="002124A6"/>
    <w:rsid w:val="00212EC0"/>
    <w:rsid w:val="00213150"/>
    <w:rsid w:val="002132F7"/>
    <w:rsid w:val="0021339F"/>
    <w:rsid w:val="00213960"/>
    <w:rsid w:val="00213DDD"/>
    <w:rsid w:val="002140F2"/>
    <w:rsid w:val="00214149"/>
    <w:rsid w:val="00214AD0"/>
    <w:rsid w:val="00214BCE"/>
    <w:rsid w:val="00214D32"/>
    <w:rsid w:val="00214FC0"/>
    <w:rsid w:val="002154DF"/>
    <w:rsid w:val="002155B4"/>
    <w:rsid w:val="00215813"/>
    <w:rsid w:val="00216240"/>
    <w:rsid w:val="0021669C"/>
    <w:rsid w:val="00216704"/>
    <w:rsid w:val="00216BAA"/>
    <w:rsid w:val="00217019"/>
    <w:rsid w:val="00217023"/>
    <w:rsid w:val="002171DF"/>
    <w:rsid w:val="00217274"/>
    <w:rsid w:val="0021769D"/>
    <w:rsid w:val="00217850"/>
    <w:rsid w:val="00217A4E"/>
    <w:rsid w:val="00217D20"/>
    <w:rsid w:val="00217E2B"/>
    <w:rsid w:val="00217F03"/>
    <w:rsid w:val="00217F97"/>
    <w:rsid w:val="002200B4"/>
    <w:rsid w:val="0022063F"/>
    <w:rsid w:val="0022091E"/>
    <w:rsid w:val="00221193"/>
    <w:rsid w:val="002212FD"/>
    <w:rsid w:val="002213A6"/>
    <w:rsid w:val="002215FF"/>
    <w:rsid w:val="002218E5"/>
    <w:rsid w:val="00221D87"/>
    <w:rsid w:val="002220A4"/>
    <w:rsid w:val="002221A7"/>
    <w:rsid w:val="00222472"/>
    <w:rsid w:val="00222DB9"/>
    <w:rsid w:val="00223019"/>
    <w:rsid w:val="002231EA"/>
    <w:rsid w:val="0022350C"/>
    <w:rsid w:val="0022358B"/>
    <w:rsid w:val="00223754"/>
    <w:rsid w:val="002239D1"/>
    <w:rsid w:val="002239DC"/>
    <w:rsid w:val="00223C56"/>
    <w:rsid w:val="00223DE7"/>
    <w:rsid w:val="00223F80"/>
    <w:rsid w:val="00224252"/>
    <w:rsid w:val="002244DF"/>
    <w:rsid w:val="00224BF8"/>
    <w:rsid w:val="00224C20"/>
    <w:rsid w:val="002250D2"/>
    <w:rsid w:val="00225208"/>
    <w:rsid w:val="00225904"/>
    <w:rsid w:val="00225F24"/>
    <w:rsid w:val="00225F9E"/>
    <w:rsid w:val="0022601C"/>
    <w:rsid w:val="0022626B"/>
    <w:rsid w:val="0022685B"/>
    <w:rsid w:val="00226E24"/>
    <w:rsid w:val="002274B8"/>
    <w:rsid w:val="002275CD"/>
    <w:rsid w:val="00227663"/>
    <w:rsid w:val="00227899"/>
    <w:rsid w:val="002278C6"/>
    <w:rsid w:val="00227A98"/>
    <w:rsid w:val="00227D96"/>
    <w:rsid w:val="00227DA2"/>
    <w:rsid w:val="00230126"/>
    <w:rsid w:val="00230348"/>
    <w:rsid w:val="0023053E"/>
    <w:rsid w:val="0023069A"/>
    <w:rsid w:val="00230738"/>
    <w:rsid w:val="002307A9"/>
    <w:rsid w:val="00230867"/>
    <w:rsid w:val="00230B97"/>
    <w:rsid w:val="00230D39"/>
    <w:rsid w:val="00230D71"/>
    <w:rsid w:val="00230D74"/>
    <w:rsid w:val="00230D80"/>
    <w:rsid w:val="002311C8"/>
    <w:rsid w:val="0023121F"/>
    <w:rsid w:val="002313DD"/>
    <w:rsid w:val="00231831"/>
    <w:rsid w:val="00231AAF"/>
    <w:rsid w:val="00232217"/>
    <w:rsid w:val="002323D3"/>
    <w:rsid w:val="00232423"/>
    <w:rsid w:val="00232521"/>
    <w:rsid w:val="00232643"/>
    <w:rsid w:val="0023269D"/>
    <w:rsid w:val="002326EF"/>
    <w:rsid w:val="002327FF"/>
    <w:rsid w:val="00232901"/>
    <w:rsid w:val="00232A82"/>
    <w:rsid w:val="00232DC0"/>
    <w:rsid w:val="002330A0"/>
    <w:rsid w:val="002331B8"/>
    <w:rsid w:val="00233406"/>
    <w:rsid w:val="002334B2"/>
    <w:rsid w:val="0023357C"/>
    <w:rsid w:val="00233958"/>
    <w:rsid w:val="00233D9F"/>
    <w:rsid w:val="00234059"/>
    <w:rsid w:val="002344A4"/>
    <w:rsid w:val="0023459F"/>
    <w:rsid w:val="002345AF"/>
    <w:rsid w:val="00234884"/>
    <w:rsid w:val="00234BFC"/>
    <w:rsid w:val="00234E72"/>
    <w:rsid w:val="002358F8"/>
    <w:rsid w:val="002359B2"/>
    <w:rsid w:val="00235BA4"/>
    <w:rsid w:val="00235BA6"/>
    <w:rsid w:val="00235E6E"/>
    <w:rsid w:val="002361DE"/>
    <w:rsid w:val="002366AF"/>
    <w:rsid w:val="002367F0"/>
    <w:rsid w:val="002368FC"/>
    <w:rsid w:val="00237025"/>
    <w:rsid w:val="0023729D"/>
    <w:rsid w:val="0023771A"/>
    <w:rsid w:val="00237A0B"/>
    <w:rsid w:val="00237AFD"/>
    <w:rsid w:val="00237B18"/>
    <w:rsid w:val="00237B84"/>
    <w:rsid w:val="00237D6B"/>
    <w:rsid w:val="0024021B"/>
    <w:rsid w:val="0024079C"/>
    <w:rsid w:val="002407ED"/>
    <w:rsid w:val="002408BA"/>
    <w:rsid w:val="00240DF3"/>
    <w:rsid w:val="0024120B"/>
    <w:rsid w:val="0024148F"/>
    <w:rsid w:val="002416BC"/>
    <w:rsid w:val="00241A20"/>
    <w:rsid w:val="00241E6B"/>
    <w:rsid w:val="002422B5"/>
    <w:rsid w:val="0024238E"/>
    <w:rsid w:val="002423B9"/>
    <w:rsid w:val="00242AB8"/>
    <w:rsid w:val="00242FE9"/>
    <w:rsid w:val="00243194"/>
    <w:rsid w:val="002433D1"/>
    <w:rsid w:val="00243587"/>
    <w:rsid w:val="0024363A"/>
    <w:rsid w:val="00243A86"/>
    <w:rsid w:val="00243CCC"/>
    <w:rsid w:val="00243E9A"/>
    <w:rsid w:val="00243F81"/>
    <w:rsid w:val="00244286"/>
    <w:rsid w:val="00244548"/>
    <w:rsid w:val="00244A46"/>
    <w:rsid w:val="00244B20"/>
    <w:rsid w:val="00244E47"/>
    <w:rsid w:val="0024522D"/>
    <w:rsid w:val="002457C4"/>
    <w:rsid w:val="002458A6"/>
    <w:rsid w:val="00245956"/>
    <w:rsid w:val="00246103"/>
    <w:rsid w:val="002463DE"/>
    <w:rsid w:val="0024661B"/>
    <w:rsid w:val="002467AD"/>
    <w:rsid w:val="00246A25"/>
    <w:rsid w:val="00246BF6"/>
    <w:rsid w:val="002477DD"/>
    <w:rsid w:val="00247825"/>
    <w:rsid w:val="002478BC"/>
    <w:rsid w:val="00247A6C"/>
    <w:rsid w:val="00247B64"/>
    <w:rsid w:val="00247CC3"/>
    <w:rsid w:val="00247E19"/>
    <w:rsid w:val="00247F91"/>
    <w:rsid w:val="00250304"/>
    <w:rsid w:val="002503C1"/>
    <w:rsid w:val="00250436"/>
    <w:rsid w:val="0025057E"/>
    <w:rsid w:val="002505AF"/>
    <w:rsid w:val="002509F0"/>
    <w:rsid w:val="00250BD1"/>
    <w:rsid w:val="00250D04"/>
    <w:rsid w:val="00250D57"/>
    <w:rsid w:val="00250E2C"/>
    <w:rsid w:val="00250E73"/>
    <w:rsid w:val="002513FE"/>
    <w:rsid w:val="002516D7"/>
    <w:rsid w:val="00251B07"/>
    <w:rsid w:val="00251D2B"/>
    <w:rsid w:val="0025200A"/>
    <w:rsid w:val="0025206A"/>
    <w:rsid w:val="0025246E"/>
    <w:rsid w:val="0025252E"/>
    <w:rsid w:val="00252C54"/>
    <w:rsid w:val="00252EB2"/>
    <w:rsid w:val="00252FB1"/>
    <w:rsid w:val="00253374"/>
    <w:rsid w:val="00253496"/>
    <w:rsid w:val="002535D9"/>
    <w:rsid w:val="002536F8"/>
    <w:rsid w:val="00253B1F"/>
    <w:rsid w:val="00253F21"/>
    <w:rsid w:val="002541DD"/>
    <w:rsid w:val="00254410"/>
    <w:rsid w:val="00254670"/>
    <w:rsid w:val="0025498A"/>
    <w:rsid w:val="002549C4"/>
    <w:rsid w:val="00254E24"/>
    <w:rsid w:val="0025516A"/>
    <w:rsid w:val="002553E8"/>
    <w:rsid w:val="00255486"/>
    <w:rsid w:val="00255905"/>
    <w:rsid w:val="002559B5"/>
    <w:rsid w:val="00255A44"/>
    <w:rsid w:val="00256A25"/>
    <w:rsid w:val="00256CAF"/>
    <w:rsid w:val="00256EBC"/>
    <w:rsid w:val="00257646"/>
    <w:rsid w:val="00257655"/>
    <w:rsid w:val="0025797D"/>
    <w:rsid w:val="00257A58"/>
    <w:rsid w:val="002606DB"/>
    <w:rsid w:val="00260DE4"/>
    <w:rsid w:val="00261181"/>
    <w:rsid w:val="002615F7"/>
    <w:rsid w:val="002617FB"/>
    <w:rsid w:val="00261884"/>
    <w:rsid w:val="00261B8B"/>
    <w:rsid w:val="00261F0B"/>
    <w:rsid w:val="00262067"/>
    <w:rsid w:val="00262310"/>
    <w:rsid w:val="0026244A"/>
    <w:rsid w:val="002626C4"/>
    <w:rsid w:val="002626ED"/>
    <w:rsid w:val="00262E8C"/>
    <w:rsid w:val="00263089"/>
    <w:rsid w:val="002631D9"/>
    <w:rsid w:val="002632AF"/>
    <w:rsid w:val="002633F2"/>
    <w:rsid w:val="002634EE"/>
    <w:rsid w:val="002636B9"/>
    <w:rsid w:val="002638A4"/>
    <w:rsid w:val="00263AE2"/>
    <w:rsid w:val="00263DDC"/>
    <w:rsid w:val="002647E8"/>
    <w:rsid w:val="00264815"/>
    <w:rsid w:val="00264FDB"/>
    <w:rsid w:val="002650B6"/>
    <w:rsid w:val="002650BD"/>
    <w:rsid w:val="0026536F"/>
    <w:rsid w:val="0026540C"/>
    <w:rsid w:val="0026556E"/>
    <w:rsid w:val="00265AAE"/>
    <w:rsid w:val="00265AC2"/>
    <w:rsid w:val="00265CF2"/>
    <w:rsid w:val="00265DB4"/>
    <w:rsid w:val="00265EFA"/>
    <w:rsid w:val="002665F6"/>
    <w:rsid w:val="0026664A"/>
    <w:rsid w:val="00266AA7"/>
    <w:rsid w:val="00266AD0"/>
    <w:rsid w:val="00266BA0"/>
    <w:rsid w:val="00267011"/>
    <w:rsid w:val="0026732B"/>
    <w:rsid w:val="0026771D"/>
    <w:rsid w:val="00267727"/>
    <w:rsid w:val="00267784"/>
    <w:rsid w:val="00270430"/>
    <w:rsid w:val="0027094C"/>
    <w:rsid w:val="00270F04"/>
    <w:rsid w:val="00270F17"/>
    <w:rsid w:val="00270F6D"/>
    <w:rsid w:val="00271A9D"/>
    <w:rsid w:val="00271FBA"/>
    <w:rsid w:val="00272150"/>
    <w:rsid w:val="002721A0"/>
    <w:rsid w:val="0027293C"/>
    <w:rsid w:val="00272C7F"/>
    <w:rsid w:val="00273397"/>
    <w:rsid w:val="0027339D"/>
    <w:rsid w:val="002734EA"/>
    <w:rsid w:val="0027389A"/>
    <w:rsid w:val="002738E4"/>
    <w:rsid w:val="00273B22"/>
    <w:rsid w:val="00273BD7"/>
    <w:rsid w:val="002740BF"/>
    <w:rsid w:val="00274159"/>
    <w:rsid w:val="0027415B"/>
    <w:rsid w:val="0027451D"/>
    <w:rsid w:val="0027481B"/>
    <w:rsid w:val="00274D99"/>
    <w:rsid w:val="00274FFE"/>
    <w:rsid w:val="00275025"/>
    <w:rsid w:val="002752FA"/>
    <w:rsid w:val="00275493"/>
    <w:rsid w:val="002754F8"/>
    <w:rsid w:val="00275948"/>
    <w:rsid w:val="00275A8F"/>
    <w:rsid w:val="00275C22"/>
    <w:rsid w:val="0027622D"/>
    <w:rsid w:val="002765C1"/>
    <w:rsid w:val="002766CD"/>
    <w:rsid w:val="00276719"/>
    <w:rsid w:val="00276851"/>
    <w:rsid w:val="00276922"/>
    <w:rsid w:val="00276AED"/>
    <w:rsid w:val="00276E0A"/>
    <w:rsid w:val="00276F88"/>
    <w:rsid w:val="002771A5"/>
    <w:rsid w:val="00277295"/>
    <w:rsid w:val="00277408"/>
    <w:rsid w:val="0027760C"/>
    <w:rsid w:val="00277F50"/>
    <w:rsid w:val="0028023D"/>
    <w:rsid w:val="0028030F"/>
    <w:rsid w:val="0028055C"/>
    <w:rsid w:val="00280620"/>
    <w:rsid w:val="002808F4"/>
    <w:rsid w:val="002809B7"/>
    <w:rsid w:val="002809CB"/>
    <w:rsid w:val="00280C32"/>
    <w:rsid w:val="00281194"/>
    <w:rsid w:val="00281724"/>
    <w:rsid w:val="00281798"/>
    <w:rsid w:val="00281EA4"/>
    <w:rsid w:val="002821A2"/>
    <w:rsid w:val="00282277"/>
    <w:rsid w:val="00282434"/>
    <w:rsid w:val="00282A53"/>
    <w:rsid w:val="00282A6B"/>
    <w:rsid w:val="00282AEC"/>
    <w:rsid w:val="00282B2E"/>
    <w:rsid w:val="00282BB4"/>
    <w:rsid w:val="002830D6"/>
    <w:rsid w:val="002831ED"/>
    <w:rsid w:val="00283530"/>
    <w:rsid w:val="0028373E"/>
    <w:rsid w:val="00283748"/>
    <w:rsid w:val="002838F6"/>
    <w:rsid w:val="00283B6B"/>
    <w:rsid w:val="00283EC5"/>
    <w:rsid w:val="0028404F"/>
    <w:rsid w:val="002840D0"/>
    <w:rsid w:val="00284541"/>
    <w:rsid w:val="00284867"/>
    <w:rsid w:val="002848DA"/>
    <w:rsid w:val="00284B09"/>
    <w:rsid w:val="00284DB4"/>
    <w:rsid w:val="00284DB9"/>
    <w:rsid w:val="00284DC1"/>
    <w:rsid w:val="00284E37"/>
    <w:rsid w:val="002851FA"/>
    <w:rsid w:val="0028523A"/>
    <w:rsid w:val="00285E44"/>
    <w:rsid w:val="00285F10"/>
    <w:rsid w:val="00285FB4"/>
    <w:rsid w:val="002860BC"/>
    <w:rsid w:val="00286651"/>
    <w:rsid w:val="00286B12"/>
    <w:rsid w:val="00286DFB"/>
    <w:rsid w:val="00287589"/>
    <w:rsid w:val="00287652"/>
    <w:rsid w:val="0028778D"/>
    <w:rsid w:val="00287B3B"/>
    <w:rsid w:val="00287EBC"/>
    <w:rsid w:val="00287F3F"/>
    <w:rsid w:val="002900AE"/>
    <w:rsid w:val="002901DA"/>
    <w:rsid w:val="00290211"/>
    <w:rsid w:val="00290354"/>
    <w:rsid w:val="002903D3"/>
    <w:rsid w:val="0029073D"/>
    <w:rsid w:val="00290992"/>
    <w:rsid w:val="00291746"/>
    <w:rsid w:val="00291CC3"/>
    <w:rsid w:val="00292435"/>
    <w:rsid w:val="002926CC"/>
    <w:rsid w:val="00292FB0"/>
    <w:rsid w:val="0029318C"/>
    <w:rsid w:val="00293357"/>
    <w:rsid w:val="00293392"/>
    <w:rsid w:val="00293582"/>
    <w:rsid w:val="002936CD"/>
    <w:rsid w:val="0029389D"/>
    <w:rsid w:val="00293B20"/>
    <w:rsid w:val="00293B25"/>
    <w:rsid w:val="00293CCC"/>
    <w:rsid w:val="00293CDA"/>
    <w:rsid w:val="00293DBF"/>
    <w:rsid w:val="0029407C"/>
    <w:rsid w:val="00294442"/>
    <w:rsid w:val="002947B6"/>
    <w:rsid w:val="00294ECF"/>
    <w:rsid w:val="00295101"/>
    <w:rsid w:val="00295994"/>
    <w:rsid w:val="00296029"/>
    <w:rsid w:val="0029621D"/>
    <w:rsid w:val="00296CAD"/>
    <w:rsid w:val="00296E82"/>
    <w:rsid w:val="00297284"/>
    <w:rsid w:val="00297541"/>
    <w:rsid w:val="00297CDD"/>
    <w:rsid w:val="002A0044"/>
    <w:rsid w:val="002A010B"/>
    <w:rsid w:val="002A0241"/>
    <w:rsid w:val="002A02AE"/>
    <w:rsid w:val="002A103D"/>
    <w:rsid w:val="002A11F4"/>
    <w:rsid w:val="002A1265"/>
    <w:rsid w:val="002A13AE"/>
    <w:rsid w:val="002A1A97"/>
    <w:rsid w:val="002A1C7C"/>
    <w:rsid w:val="002A1CD1"/>
    <w:rsid w:val="002A2B4A"/>
    <w:rsid w:val="002A2BFB"/>
    <w:rsid w:val="002A2CB7"/>
    <w:rsid w:val="002A3088"/>
    <w:rsid w:val="002A3190"/>
    <w:rsid w:val="002A3339"/>
    <w:rsid w:val="002A387E"/>
    <w:rsid w:val="002A3E63"/>
    <w:rsid w:val="002A42AC"/>
    <w:rsid w:val="002A4311"/>
    <w:rsid w:val="002A4339"/>
    <w:rsid w:val="002A4503"/>
    <w:rsid w:val="002A4A66"/>
    <w:rsid w:val="002A4E45"/>
    <w:rsid w:val="002A4E59"/>
    <w:rsid w:val="002A5158"/>
    <w:rsid w:val="002A51B1"/>
    <w:rsid w:val="002A58C4"/>
    <w:rsid w:val="002A5AB0"/>
    <w:rsid w:val="002A5BDF"/>
    <w:rsid w:val="002A5C86"/>
    <w:rsid w:val="002A5E14"/>
    <w:rsid w:val="002A5EDB"/>
    <w:rsid w:val="002A6826"/>
    <w:rsid w:val="002A68F7"/>
    <w:rsid w:val="002A76C5"/>
    <w:rsid w:val="002A7796"/>
    <w:rsid w:val="002A78A9"/>
    <w:rsid w:val="002A7B29"/>
    <w:rsid w:val="002A7E11"/>
    <w:rsid w:val="002B049C"/>
    <w:rsid w:val="002B088F"/>
    <w:rsid w:val="002B08A7"/>
    <w:rsid w:val="002B0F5B"/>
    <w:rsid w:val="002B115B"/>
    <w:rsid w:val="002B1162"/>
    <w:rsid w:val="002B1694"/>
    <w:rsid w:val="002B1799"/>
    <w:rsid w:val="002B17A2"/>
    <w:rsid w:val="002B17E8"/>
    <w:rsid w:val="002B18FC"/>
    <w:rsid w:val="002B1B09"/>
    <w:rsid w:val="002B1B30"/>
    <w:rsid w:val="002B1BDB"/>
    <w:rsid w:val="002B1D12"/>
    <w:rsid w:val="002B1DD6"/>
    <w:rsid w:val="002B24D8"/>
    <w:rsid w:val="002B2D75"/>
    <w:rsid w:val="002B2E2C"/>
    <w:rsid w:val="002B2E80"/>
    <w:rsid w:val="002B2F9E"/>
    <w:rsid w:val="002B3622"/>
    <w:rsid w:val="002B3765"/>
    <w:rsid w:val="002B38A1"/>
    <w:rsid w:val="002B3E38"/>
    <w:rsid w:val="002B3EDD"/>
    <w:rsid w:val="002B44C7"/>
    <w:rsid w:val="002B457C"/>
    <w:rsid w:val="002B46F9"/>
    <w:rsid w:val="002B4708"/>
    <w:rsid w:val="002B489C"/>
    <w:rsid w:val="002B4B4E"/>
    <w:rsid w:val="002B4B8E"/>
    <w:rsid w:val="002B4BB1"/>
    <w:rsid w:val="002B4C4D"/>
    <w:rsid w:val="002B4DA3"/>
    <w:rsid w:val="002B4F88"/>
    <w:rsid w:val="002B511A"/>
    <w:rsid w:val="002B582C"/>
    <w:rsid w:val="002B59E4"/>
    <w:rsid w:val="002B5AE4"/>
    <w:rsid w:val="002B6018"/>
    <w:rsid w:val="002B60AE"/>
    <w:rsid w:val="002B6188"/>
    <w:rsid w:val="002B61B2"/>
    <w:rsid w:val="002B680A"/>
    <w:rsid w:val="002B68B6"/>
    <w:rsid w:val="002B6D4E"/>
    <w:rsid w:val="002B6F0B"/>
    <w:rsid w:val="002B7062"/>
    <w:rsid w:val="002B7A9E"/>
    <w:rsid w:val="002B7D33"/>
    <w:rsid w:val="002B7D8A"/>
    <w:rsid w:val="002B7E41"/>
    <w:rsid w:val="002C04B9"/>
    <w:rsid w:val="002C04C8"/>
    <w:rsid w:val="002C07E8"/>
    <w:rsid w:val="002C08A7"/>
    <w:rsid w:val="002C0C23"/>
    <w:rsid w:val="002C0F8B"/>
    <w:rsid w:val="002C1570"/>
    <w:rsid w:val="002C163F"/>
    <w:rsid w:val="002C1901"/>
    <w:rsid w:val="002C194D"/>
    <w:rsid w:val="002C21C3"/>
    <w:rsid w:val="002C241A"/>
    <w:rsid w:val="002C2737"/>
    <w:rsid w:val="002C29F2"/>
    <w:rsid w:val="002C2A3A"/>
    <w:rsid w:val="002C2E0D"/>
    <w:rsid w:val="002C3051"/>
    <w:rsid w:val="002C32D7"/>
    <w:rsid w:val="002C3549"/>
    <w:rsid w:val="002C364E"/>
    <w:rsid w:val="002C3AD1"/>
    <w:rsid w:val="002C3B63"/>
    <w:rsid w:val="002C3BBC"/>
    <w:rsid w:val="002C4151"/>
    <w:rsid w:val="002C4305"/>
    <w:rsid w:val="002C4334"/>
    <w:rsid w:val="002C4580"/>
    <w:rsid w:val="002C4583"/>
    <w:rsid w:val="002C48B8"/>
    <w:rsid w:val="002C497B"/>
    <w:rsid w:val="002C4FCC"/>
    <w:rsid w:val="002C560F"/>
    <w:rsid w:val="002C5681"/>
    <w:rsid w:val="002C5834"/>
    <w:rsid w:val="002C591D"/>
    <w:rsid w:val="002C5B92"/>
    <w:rsid w:val="002C5B97"/>
    <w:rsid w:val="002C6502"/>
    <w:rsid w:val="002C65FA"/>
    <w:rsid w:val="002C6A36"/>
    <w:rsid w:val="002C6B13"/>
    <w:rsid w:val="002C6B83"/>
    <w:rsid w:val="002C6CF9"/>
    <w:rsid w:val="002C6DAD"/>
    <w:rsid w:val="002C7020"/>
    <w:rsid w:val="002C7077"/>
    <w:rsid w:val="002C7669"/>
    <w:rsid w:val="002C7E17"/>
    <w:rsid w:val="002C7F9E"/>
    <w:rsid w:val="002D0018"/>
    <w:rsid w:val="002D042C"/>
    <w:rsid w:val="002D04D5"/>
    <w:rsid w:val="002D0884"/>
    <w:rsid w:val="002D0B2A"/>
    <w:rsid w:val="002D0C3D"/>
    <w:rsid w:val="002D0E4F"/>
    <w:rsid w:val="002D1331"/>
    <w:rsid w:val="002D154B"/>
    <w:rsid w:val="002D178C"/>
    <w:rsid w:val="002D1930"/>
    <w:rsid w:val="002D1C01"/>
    <w:rsid w:val="002D1CC4"/>
    <w:rsid w:val="002D22F8"/>
    <w:rsid w:val="002D2FBE"/>
    <w:rsid w:val="002D3B08"/>
    <w:rsid w:val="002D3D1B"/>
    <w:rsid w:val="002D3E5B"/>
    <w:rsid w:val="002D4226"/>
    <w:rsid w:val="002D4522"/>
    <w:rsid w:val="002D46CE"/>
    <w:rsid w:val="002D47E9"/>
    <w:rsid w:val="002D481B"/>
    <w:rsid w:val="002D4888"/>
    <w:rsid w:val="002D4934"/>
    <w:rsid w:val="002D4A56"/>
    <w:rsid w:val="002D4DD8"/>
    <w:rsid w:val="002D5330"/>
    <w:rsid w:val="002D53DC"/>
    <w:rsid w:val="002D54E6"/>
    <w:rsid w:val="002D5590"/>
    <w:rsid w:val="002D57B6"/>
    <w:rsid w:val="002D5816"/>
    <w:rsid w:val="002D5CAC"/>
    <w:rsid w:val="002D6459"/>
    <w:rsid w:val="002D6663"/>
    <w:rsid w:val="002D66B3"/>
    <w:rsid w:val="002D6882"/>
    <w:rsid w:val="002D6CF0"/>
    <w:rsid w:val="002D6DF3"/>
    <w:rsid w:val="002D709E"/>
    <w:rsid w:val="002D70C0"/>
    <w:rsid w:val="002D7728"/>
    <w:rsid w:val="002D790B"/>
    <w:rsid w:val="002D7A7C"/>
    <w:rsid w:val="002D7D7D"/>
    <w:rsid w:val="002D7DD0"/>
    <w:rsid w:val="002E028C"/>
    <w:rsid w:val="002E0512"/>
    <w:rsid w:val="002E0674"/>
    <w:rsid w:val="002E0722"/>
    <w:rsid w:val="002E074A"/>
    <w:rsid w:val="002E07E7"/>
    <w:rsid w:val="002E0800"/>
    <w:rsid w:val="002E081C"/>
    <w:rsid w:val="002E0AAB"/>
    <w:rsid w:val="002E0ADE"/>
    <w:rsid w:val="002E0BD7"/>
    <w:rsid w:val="002E13CE"/>
    <w:rsid w:val="002E156D"/>
    <w:rsid w:val="002E169A"/>
    <w:rsid w:val="002E16BB"/>
    <w:rsid w:val="002E174A"/>
    <w:rsid w:val="002E1B91"/>
    <w:rsid w:val="002E21ED"/>
    <w:rsid w:val="002E2C14"/>
    <w:rsid w:val="002E2CCA"/>
    <w:rsid w:val="002E2E60"/>
    <w:rsid w:val="002E2E70"/>
    <w:rsid w:val="002E3311"/>
    <w:rsid w:val="002E35DF"/>
    <w:rsid w:val="002E39F0"/>
    <w:rsid w:val="002E3BA6"/>
    <w:rsid w:val="002E3CB5"/>
    <w:rsid w:val="002E3F5C"/>
    <w:rsid w:val="002E4030"/>
    <w:rsid w:val="002E404D"/>
    <w:rsid w:val="002E433D"/>
    <w:rsid w:val="002E48A8"/>
    <w:rsid w:val="002E4961"/>
    <w:rsid w:val="002E4A9E"/>
    <w:rsid w:val="002E4C6A"/>
    <w:rsid w:val="002E4CFD"/>
    <w:rsid w:val="002E4F78"/>
    <w:rsid w:val="002E51E7"/>
    <w:rsid w:val="002E5424"/>
    <w:rsid w:val="002E5456"/>
    <w:rsid w:val="002E5A9A"/>
    <w:rsid w:val="002E5AD6"/>
    <w:rsid w:val="002E5F1B"/>
    <w:rsid w:val="002E607C"/>
    <w:rsid w:val="002E60EA"/>
    <w:rsid w:val="002E64A7"/>
    <w:rsid w:val="002E656A"/>
    <w:rsid w:val="002E65A8"/>
    <w:rsid w:val="002E67A7"/>
    <w:rsid w:val="002E69F2"/>
    <w:rsid w:val="002E720C"/>
    <w:rsid w:val="002E7251"/>
    <w:rsid w:val="002E7298"/>
    <w:rsid w:val="002E7490"/>
    <w:rsid w:val="002E7615"/>
    <w:rsid w:val="002F0131"/>
    <w:rsid w:val="002F0454"/>
    <w:rsid w:val="002F05E7"/>
    <w:rsid w:val="002F085D"/>
    <w:rsid w:val="002F0B89"/>
    <w:rsid w:val="002F0C9E"/>
    <w:rsid w:val="002F0DD4"/>
    <w:rsid w:val="002F1052"/>
    <w:rsid w:val="002F1625"/>
    <w:rsid w:val="002F165E"/>
    <w:rsid w:val="002F1747"/>
    <w:rsid w:val="002F1821"/>
    <w:rsid w:val="002F1862"/>
    <w:rsid w:val="002F1941"/>
    <w:rsid w:val="002F1979"/>
    <w:rsid w:val="002F1B53"/>
    <w:rsid w:val="002F203D"/>
    <w:rsid w:val="002F2096"/>
    <w:rsid w:val="002F2353"/>
    <w:rsid w:val="002F24E7"/>
    <w:rsid w:val="002F2706"/>
    <w:rsid w:val="002F29AA"/>
    <w:rsid w:val="002F29D8"/>
    <w:rsid w:val="002F2AD5"/>
    <w:rsid w:val="002F2B47"/>
    <w:rsid w:val="002F2CBC"/>
    <w:rsid w:val="002F3078"/>
    <w:rsid w:val="002F344E"/>
    <w:rsid w:val="002F3580"/>
    <w:rsid w:val="002F35F8"/>
    <w:rsid w:val="002F3965"/>
    <w:rsid w:val="002F39C8"/>
    <w:rsid w:val="002F3B21"/>
    <w:rsid w:val="002F3D1C"/>
    <w:rsid w:val="002F3D7E"/>
    <w:rsid w:val="002F4023"/>
    <w:rsid w:val="002F406C"/>
    <w:rsid w:val="002F431C"/>
    <w:rsid w:val="002F47B6"/>
    <w:rsid w:val="002F4F6C"/>
    <w:rsid w:val="002F511C"/>
    <w:rsid w:val="002F5764"/>
    <w:rsid w:val="002F5B34"/>
    <w:rsid w:val="002F5BF1"/>
    <w:rsid w:val="002F5CAC"/>
    <w:rsid w:val="002F5CDA"/>
    <w:rsid w:val="002F5E5B"/>
    <w:rsid w:val="002F60CA"/>
    <w:rsid w:val="002F6C43"/>
    <w:rsid w:val="002F73BB"/>
    <w:rsid w:val="002F75E7"/>
    <w:rsid w:val="002F7680"/>
    <w:rsid w:val="002F76BE"/>
    <w:rsid w:val="002F786F"/>
    <w:rsid w:val="002F79F3"/>
    <w:rsid w:val="002F7BAF"/>
    <w:rsid w:val="002F7C39"/>
    <w:rsid w:val="002F7D6D"/>
    <w:rsid w:val="00300026"/>
    <w:rsid w:val="00300238"/>
    <w:rsid w:val="0030047B"/>
    <w:rsid w:val="003007C1"/>
    <w:rsid w:val="003009D7"/>
    <w:rsid w:val="00300A4C"/>
    <w:rsid w:val="00300D1C"/>
    <w:rsid w:val="00300F08"/>
    <w:rsid w:val="00300F54"/>
    <w:rsid w:val="003018B7"/>
    <w:rsid w:val="0030191F"/>
    <w:rsid w:val="00301D4F"/>
    <w:rsid w:val="00302152"/>
    <w:rsid w:val="003022F6"/>
    <w:rsid w:val="00302360"/>
    <w:rsid w:val="003023C0"/>
    <w:rsid w:val="003024CB"/>
    <w:rsid w:val="003027A4"/>
    <w:rsid w:val="003028E9"/>
    <w:rsid w:val="00302B94"/>
    <w:rsid w:val="00302DEA"/>
    <w:rsid w:val="00302F68"/>
    <w:rsid w:val="003031BF"/>
    <w:rsid w:val="00303228"/>
    <w:rsid w:val="003032A1"/>
    <w:rsid w:val="00303432"/>
    <w:rsid w:val="00303879"/>
    <w:rsid w:val="003039D7"/>
    <w:rsid w:val="00303F27"/>
    <w:rsid w:val="00303F63"/>
    <w:rsid w:val="0030425F"/>
    <w:rsid w:val="0030443D"/>
    <w:rsid w:val="00304750"/>
    <w:rsid w:val="00304964"/>
    <w:rsid w:val="00304C60"/>
    <w:rsid w:val="00304E88"/>
    <w:rsid w:val="003050FE"/>
    <w:rsid w:val="003052D9"/>
    <w:rsid w:val="003053AF"/>
    <w:rsid w:val="00305839"/>
    <w:rsid w:val="00305A29"/>
    <w:rsid w:val="00305E4E"/>
    <w:rsid w:val="00306178"/>
    <w:rsid w:val="00306270"/>
    <w:rsid w:val="00306348"/>
    <w:rsid w:val="00306444"/>
    <w:rsid w:val="003064FF"/>
    <w:rsid w:val="00306774"/>
    <w:rsid w:val="00306C83"/>
    <w:rsid w:val="0030713B"/>
    <w:rsid w:val="00307E70"/>
    <w:rsid w:val="0031000B"/>
    <w:rsid w:val="003100D6"/>
    <w:rsid w:val="0031033E"/>
    <w:rsid w:val="0031088E"/>
    <w:rsid w:val="00310A12"/>
    <w:rsid w:val="00310BED"/>
    <w:rsid w:val="00310E35"/>
    <w:rsid w:val="0031138F"/>
    <w:rsid w:val="00311486"/>
    <w:rsid w:val="0031210B"/>
    <w:rsid w:val="00312242"/>
    <w:rsid w:val="00312405"/>
    <w:rsid w:val="00312FCC"/>
    <w:rsid w:val="00313316"/>
    <w:rsid w:val="00313450"/>
    <w:rsid w:val="0031355C"/>
    <w:rsid w:val="00313848"/>
    <w:rsid w:val="003139D0"/>
    <w:rsid w:val="00313BEF"/>
    <w:rsid w:val="00313D5D"/>
    <w:rsid w:val="00313DD9"/>
    <w:rsid w:val="00313DF5"/>
    <w:rsid w:val="003140FE"/>
    <w:rsid w:val="003141AD"/>
    <w:rsid w:val="00314373"/>
    <w:rsid w:val="0031440B"/>
    <w:rsid w:val="00314489"/>
    <w:rsid w:val="00314C82"/>
    <w:rsid w:val="00314F07"/>
    <w:rsid w:val="00315298"/>
    <w:rsid w:val="00315322"/>
    <w:rsid w:val="00315580"/>
    <w:rsid w:val="003156F6"/>
    <w:rsid w:val="0031571B"/>
    <w:rsid w:val="00315A55"/>
    <w:rsid w:val="00315DBD"/>
    <w:rsid w:val="00315F14"/>
    <w:rsid w:val="003160B5"/>
    <w:rsid w:val="003163C1"/>
    <w:rsid w:val="003167BF"/>
    <w:rsid w:val="00316919"/>
    <w:rsid w:val="00316D22"/>
    <w:rsid w:val="00316E29"/>
    <w:rsid w:val="00316E8C"/>
    <w:rsid w:val="00316F93"/>
    <w:rsid w:val="00316FE5"/>
    <w:rsid w:val="00317036"/>
    <w:rsid w:val="00317220"/>
    <w:rsid w:val="003176FF"/>
    <w:rsid w:val="00317717"/>
    <w:rsid w:val="003179FD"/>
    <w:rsid w:val="00317DB4"/>
    <w:rsid w:val="0032092F"/>
    <w:rsid w:val="00320AB4"/>
    <w:rsid w:val="00320C06"/>
    <w:rsid w:val="00320E1F"/>
    <w:rsid w:val="00320ECA"/>
    <w:rsid w:val="00321175"/>
    <w:rsid w:val="00321280"/>
    <w:rsid w:val="0032160E"/>
    <w:rsid w:val="00321884"/>
    <w:rsid w:val="00321D13"/>
    <w:rsid w:val="00322402"/>
    <w:rsid w:val="003224BB"/>
    <w:rsid w:val="00322817"/>
    <w:rsid w:val="0032285C"/>
    <w:rsid w:val="0032290D"/>
    <w:rsid w:val="00322AFB"/>
    <w:rsid w:val="00322D0E"/>
    <w:rsid w:val="0032303A"/>
    <w:rsid w:val="0032325B"/>
    <w:rsid w:val="00323347"/>
    <w:rsid w:val="003233B4"/>
    <w:rsid w:val="003234FB"/>
    <w:rsid w:val="00323554"/>
    <w:rsid w:val="00323CBC"/>
    <w:rsid w:val="00323D8C"/>
    <w:rsid w:val="00323EA7"/>
    <w:rsid w:val="00323F70"/>
    <w:rsid w:val="00323FE1"/>
    <w:rsid w:val="00323FED"/>
    <w:rsid w:val="003240B3"/>
    <w:rsid w:val="0032410B"/>
    <w:rsid w:val="0032440F"/>
    <w:rsid w:val="003244E6"/>
    <w:rsid w:val="00324786"/>
    <w:rsid w:val="003248D4"/>
    <w:rsid w:val="00324AF3"/>
    <w:rsid w:val="00324B06"/>
    <w:rsid w:val="00324B63"/>
    <w:rsid w:val="00324BC4"/>
    <w:rsid w:val="00324ED3"/>
    <w:rsid w:val="00325393"/>
    <w:rsid w:val="003253F7"/>
    <w:rsid w:val="003258AC"/>
    <w:rsid w:val="00325E57"/>
    <w:rsid w:val="00326032"/>
    <w:rsid w:val="00326169"/>
    <w:rsid w:val="00326608"/>
    <w:rsid w:val="00326660"/>
    <w:rsid w:val="00326A87"/>
    <w:rsid w:val="00326A8C"/>
    <w:rsid w:val="0032702B"/>
    <w:rsid w:val="00327432"/>
    <w:rsid w:val="00327649"/>
    <w:rsid w:val="00327673"/>
    <w:rsid w:val="00327989"/>
    <w:rsid w:val="00330001"/>
    <w:rsid w:val="003301F5"/>
    <w:rsid w:val="00330263"/>
    <w:rsid w:val="0033036B"/>
    <w:rsid w:val="003309CF"/>
    <w:rsid w:val="00330BCD"/>
    <w:rsid w:val="00330F59"/>
    <w:rsid w:val="00331102"/>
    <w:rsid w:val="003311A3"/>
    <w:rsid w:val="00331261"/>
    <w:rsid w:val="00331A10"/>
    <w:rsid w:val="00331A95"/>
    <w:rsid w:val="00331CCB"/>
    <w:rsid w:val="00332014"/>
    <w:rsid w:val="00332575"/>
    <w:rsid w:val="003327F9"/>
    <w:rsid w:val="003329EA"/>
    <w:rsid w:val="00332B82"/>
    <w:rsid w:val="00332BA7"/>
    <w:rsid w:val="0033350A"/>
    <w:rsid w:val="003338D2"/>
    <w:rsid w:val="00333ACE"/>
    <w:rsid w:val="00334982"/>
    <w:rsid w:val="00334A15"/>
    <w:rsid w:val="00334CAD"/>
    <w:rsid w:val="00335201"/>
    <w:rsid w:val="003352C3"/>
    <w:rsid w:val="003354FD"/>
    <w:rsid w:val="0033562B"/>
    <w:rsid w:val="003357F7"/>
    <w:rsid w:val="00335ABA"/>
    <w:rsid w:val="00335DD0"/>
    <w:rsid w:val="003360D1"/>
    <w:rsid w:val="003361FF"/>
    <w:rsid w:val="0033641D"/>
    <w:rsid w:val="00336579"/>
    <w:rsid w:val="003367F5"/>
    <w:rsid w:val="00336D8D"/>
    <w:rsid w:val="0033732C"/>
    <w:rsid w:val="003373D5"/>
    <w:rsid w:val="003374FE"/>
    <w:rsid w:val="0033767F"/>
    <w:rsid w:val="003376DB"/>
    <w:rsid w:val="0033794A"/>
    <w:rsid w:val="00337D89"/>
    <w:rsid w:val="00337EAC"/>
    <w:rsid w:val="003401C9"/>
    <w:rsid w:val="00340670"/>
    <w:rsid w:val="00340687"/>
    <w:rsid w:val="00340809"/>
    <w:rsid w:val="00340D98"/>
    <w:rsid w:val="00340F43"/>
    <w:rsid w:val="00341044"/>
    <w:rsid w:val="003411CA"/>
    <w:rsid w:val="003413AB"/>
    <w:rsid w:val="003414EA"/>
    <w:rsid w:val="00341534"/>
    <w:rsid w:val="00341680"/>
    <w:rsid w:val="003417D3"/>
    <w:rsid w:val="00342016"/>
    <w:rsid w:val="00342490"/>
    <w:rsid w:val="0034269C"/>
    <w:rsid w:val="003429AF"/>
    <w:rsid w:val="00342A5A"/>
    <w:rsid w:val="00342C3E"/>
    <w:rsid w:val="003437B3"/>
    <w:rsid w:val="0034398D"/>
    <w:rsid w:val="00343B38"/>
    <w:rsid w:val="00343E33"/>
    <w:rsid w:val="00343EDC"/>
    <w:rsid w:val="00343F44"/>
    <w:rsid w:val="00344056"/>
    <w:rsid w:val="0034410E"/>
    <w:rsid w:val="00344309"/>
    <w:rsid w:val="00344475"/>
    <w:rsid w:val="00344493"/>
    <w:rsid w:val="00344555"/>
    <w:rsid w:val="0034470A"/>
    <w:rsid w:val="00344824"/>
    <w:rsid w:val="00344DD3"/>
    <w:rsid w:val="00344EE8"/>
    <w:rsid w:val="0034502D"/>
    <w:rsid w:val="0034516C"/>
    <w:rsid w:val="003454A8"/>
    <w:rsid w:val="003454BE"/>
    <w:rsid w:val="003454D2"/>
    <w:rsid w:val="00345518"/>
    <w:rsid w:val="0034554F"/>
    <w:rsid w:val="00345673"/>
    <w:rsid w:val="00345678"/>
    <w:rsid w:val="00345AF9"/>
    <w:rsid w:val="0034623D"/>
    <w:rsid w:val="003466D0"/>
    <w:rsid w:val="00346E42"/>
    <w:rsid w:val="00347128"/>
    <w:rsid w:val="003472FF"/>
    <w:rsid w:val="00347318"/>
    <w:rsid w:val="003473CE"/>
    <w:rsid w:val="003475A4"/>
    <w:rsid w:val="003477DE"/>
    <w:rsid w:val="003477F7"/>
    <w:rsid w:val="0034794C"/>
    <w:rsid w:val="00347958"/>
    <w:rsid w:val="00347F9C"/>
    <w:rsid w:val="003502B5"/>
    <w:rsid w:val="00350393"/>
    <w:rsid w:val="003503DA"/>
    <w:rsid w:val="003510DE"/>
    <w:rsid w:val="0035148D"/>
    <w:rsid w:val="003516A4"/>
    <w:rsid w:val="00351CE8"/>
    <w:rsid w:val="00351EFF"/>
    <w:rsid w:val="003521F9"/>
    <w:rsid w:val="00352643"/>
    <w:rsid w:val="00352A0D"/>
    <w:rsid w:val="00352CAD"/>
    <w:rsid w:val="00352DA5"/>
    <w:rsid w:val="00352E51"/>
    <w:rsid w:val="00352EC7"/>
    <w:rsid w:val="00352FDE"/>
    <w:rsid w:val="00353162"/>
    <w:rsid w:val="003532FA"/>
    <w:rsid w:val="00353393"/>
    <w:rsid w:val="00353404"/>
    <w:rsid w:val="00353CD0"/>
    <w:rsid w:val="00353D64"/>
    <w:rsid w:val="00353DFB"/>
    <w:rsid w:val="003542C9"/>
    <w:rsid w:val="00354333"/>
    <w:rsid w:val="003543C9"/>
    <w:rsid w:val="003548BF"/>
    <w:rsid w:val="0035520A"/>
    <w:rsid w:val="003552EA"/>
    <w:rsid w:val="00355432"/>
    <w:rsid w:val="003554CB"/>
    <w:rsid w:val="00355605"/>
    <w:rsid w:val="00355958"/>
    <w:rsid w:val="00355AD1"/>
    <w:rsid w:val="00355C47"/>
    <w:rsid w:val="00355D40"/>
    <w:rsid w:val="003560A9"/>
    <w:rsid w:val="00356166"/>
    <w:rsid w:val="003562B7"/>
    <w:rsid w:val="0035651B"/>
    <w:rsid w:val="0035684B"/>
    <w:rsid w:val="00356904"/>
    <w:rsid w:val="00356C43"/>
    <w:rsid w:val="00356D3E"/>
    <w:rsid w:val="00356E2E"/>
    <w:rsid w:val="00356FA9"/>
    <w:rsid w:val="00357148"/>
    <w:rsid w:val="00357193"/>
    <w:rsid w:val="00357391"/>
    <w:rsid w:val="0035777D"/>
    <w:rsid w:val="003577C1"/>
    <w:rsid w:val="00357ADD"/>
    <w:rsid w:val="00357C98"/>
    <w:rsid w:val="00357FDB"/>
    <w:rsid w:val="00360BEE"/>
    <w:rsid w:val="00360C47"/>
    <w:rsid w:val="0036135F"/>
    <w:rsid w:val="00361658"/>
    <w:rsid w:val="00361D52"/>
    <w:rsid w:val="00361DB7"/>
    <w:rsid w:val="00361E6B"/>
    <w:rsid w:val="00361F54"/>
    <w:rsid w:val="00362069"/>
    <w:rsid w:val="003620A4"/>
    <w:rsid w:val="003620F2"/>
    <w:rsid w:val="00362319"/>
    <w:rsid w:val="0036240F"/>
    <w:rsid w:val="00362415"/>
    <w:rsid w:val="00362546"/>
    <w:rsid w:val="0036293F"/>
    <w:rsid w:val="00362A17"/>
    <w:rsid w:val="00362A66"/>
    <w:rsid w:val="00362E4C"/>
    <w:rsid w:val="00362EC4"/>
    <w:rsid w:val="00362F74"/>
    <w:rsid w:val="0036305B"/>
    <w:rsid w:val="00363459"/>
    <w:rsid w:val="00363739"/>
    <w:rsid w:val="003644AC"/>
    <w:rsid w:val="003648F6"/>
    <w:rsid w:val="00364D70"/>
    <w:rsid w:val="00364FD9"/>
    <w:rsid w:val="00365057"/>
    <w:rsid w:val="003650DC"/>
    <w:rsid w:val="00365486"/>
    <w:rsid w:val="00365507"/>
    <w:rsid w:val="0036555D"/>
    <w:rsid w:val="0036568A"/>
    <w:rsid w:val="00365935"/>
    <w:rsid w:val="003659B4"/>
    <w:rsid w:val="00365FA9"/>
    <w:rsid w:val="00366175"/>
    <w:rsid w:val="00366192"/>
    <w:rsid w:val="00366318"/>
    <w:rsid w:val="00366431"/>
    <w:rsid w:val="0036672C"/>
    <w:rsid w:val="00366ADF"/>
    <w:rsid w:val="00366CD0"/>
    <w:rsid w:val="00366DD8"/>
    <w:rsid w:val="00366EA8"/>
    <w:rsid w:val="00366F3E"/>
    <w:rsid w:val="00367038"/>
    <w:rsid w:val="00367135"/>
    <w:rsid w:val="003673C1"/>
    <w:rsid w:val="003674DF"/>
    <w:rsid w:val="0036751C"/>
    <w:rsid w:val="00367948"/>
    <w:rsid w:val="00367A4B"/>
    <w:rsid w:val="00367DD5"/>
    <w:rsid w:val="003702C4"/>
    <w:rsid w:val="00370768"/>
    <w:rsid w:val="00370BD9"/>
    <w:rsid w:val="00370C24"/>
    <w:rsid w:val="00370C99"/>
    <w:rsid w:val="003715AE"/>
    <w:rsid w:val="003715C9"/>
    <w:rsid w:val="00371900"/>
    <w:rsid w:val="00371B80"/>
    <w:rsid w:val="00372031"/>
    <w:rsid w:val="00372121"/>
    <w:rsid w:val="003724B9"/>
    <w:rsid w:val="00372848"/>
    <w:rsid w:val="00372A94"/>
    <w:rsid w:val="00372A95"/>
    <w:rsid w:val="00372A9F"/>
    <w:rsid w:val="00373687"/>
    <w:rsid w:val="00373D21"/>
    <w:rsid w:val="0037404F"/>
    <w:rsid w:val="00374098"/>
    <w:rsid w:val="00374203"/>
    <w:rsid w:val="00374487"/>
    <w:rsid w:val="00374533"/>
    <w:rsid w:val="00374723"/>
    <w:rsid w:val="00374B04"/>
    <w:rsid w:val="00374B52"/>
    <w:rsid w:val="00374E66"/>
    <w:rsid w:val="003750A7"/>
    <w:rsid w:val="0037523C"/>
    <w:rsid w:val="00375409"/>
    <w:rsid w:val="0037557F"/>
    <w:rsid w:val="003757AC"/>
    <w:rsid w:val="00375A36"/>
    <w:rsid w:val="00375CED"/>
    <w:rsid w:val="00375ED8"/>
    <w:rsid w:val="00375F1C"/>
    <w:rsid w:val="00375FA3"/>
    <w:rsid w:val="00376138"/>
    <w:rsid w:val="0037620A"/>
    <w:rsid w:val="00376647"/>
    <w:rsid w:val="003768B5"/>
    <w:rsid w:val="00376AF1"/>
    <w:rsid w:val="00376E2D"/>
    <w:rsid w:val="0037730E"/>
    <w:rsid w:val="0037743A"/>
    <w:rsid w:val="00377526"/>
    <w:rsid w:val="0038010E"/>
    <w:rsid w:val="00380229"/>
    <w:rsid w:val="00380261"/>
    <w:rsid w:val="0038054E"/>
    <w:rsid w:val="003805F5"/>
    <w:rsid w:val="00380808"/>
    <w:rsid w:val="00380887"/>
    <w:rsid w:val="00380AE9"/>
    <w:rsid w:val="00380C2E"/>
    <w:rsid w:val="00380ED2"/>
    <w:rsid w:val="00381118"/>
    <w:rsid w:val="00381385"/>
    <w:rsid w:val="0038193D"/>
    <w:rsid w:val="0038205E"/>
    <w:rsid w:val="003828F7"/>
    <w:rsid w:val="00382E30"/>
    <w:rsid w:val="0038313E"/>
    <w:rsid w:val="00383336"/>
    <w:rsid w:val="00383345"/>
    <w:rsid w:val="00383861"/>
    <w:rsid w:val="00383E4B"/>
    <w:rsid w:val="00384582"/>
    <w:rsid w:val="00384904"/>
    <w:rsid w:val="00384A93"/>
    <w:rsid w:val="00384D3B"/>
    <w:rsid w:val="00384D8E"/>
    <w:rsid w:val="00384FC2"/>
    <w:rsid w:val="003852C2"/>
    <w:rsid w:val="003853B6"/>
    <w:rsid w:val="0038541B"/>
    <w:rsid w:val="00385731"/>
    <w:rsid w:val="003859FA"/>
    <w:rsid w:val="00385A92"/>
    <w:rsid w:val="00385EA5"/>
    <w:rsid w:val="00386611"/>
    <w:rsid w:val="00386956"/>
    <w:rsid w:val="003869EE"/>
    <w:rsid w:val="00386CE3"/>
    <w:rsid w:val="00386E9B"/>
    <w:rsid w:val="00387036"/>
    <w:rsid w:val="0038721C"/>
    <w:rsid w:val="003876FB"/>
    <w:rsid w:val="00387741"/>
    <w:rsid w:val="00387788"/>
    <w:rsid w:val="003877B3"/>
    <w:rsid w:val="003879AF"/>
    <w:rsid w:val="00387E8F"/>
    <w:rsid w:val="00387EB7"/>
    <w:rsid w:val="0039004C"/>
    <w:rsid w:val="00390071"/>
    <w:rsid w:val="00390292"/>
    <w:rsid w:val="0039052B"/>
    <w:rsid w:val="0039070C"/>
    <w:rsid w:val="00390B87"/>
    <w:rsid w:val="00390D73"/>
    <w:rsid w:val="00391004"/>
    <w:rsid w:val="003911D2"/>
    <w:rsid w:val="00391294"/>
    <w:rsid w:val="003914E4"/>
    <w:rsid w:val="0039156E"/>
    <w:rsid w:val="0039178D"/>
    <w:rsid w:val="00391888"/>
    <w:rsid w:val="0039193F"/>
    <w:rsid w:val="003919B5"/>
    <w:rsid w:val="00391B63"/>
    <w:rsid w:val="00391BB9"/>
    <w:rsid w:val="00391E98"/>
    <w:rsid w:val="00391FF7"/>
    <w:rsid w:val="0039224C"/>
    <w:rsid w:val="00392605"/>
    <w:rsid w:val="00392651"/>
    <w:rsid w:val="0039281B"/>
    <w:rsid w:val="003928C6"/>
    <w:rsid w:val="00392CA9"/>
    <w:rsid w:val="00392F2F"/>
    <w:rsid w:val="00392F85"/>
    <w:rsid w:val="00393322"/>
    <w:rsid w:val="00393A87"/>
    <w:rsid w:val="00393CC4"/>
    <w:rsid w:val="0039469A"/>
    <w:rsid w:val="00394C46"/>
    <w:rsid w:val="003951AD"/>
    <w:rsid w:val="00395259"/>
    <w:rsid w:val="0039552E"/>
    <w:rsid w:val="0039575E"/>
    <w:rsid w:val="003959C0"/>
    <w:rsid w:val="00395BB3"/>
    <w:rsid w:val="00395CCA"/>
    <w:rsid w:val="00395D16"/>
    <w:rsid w:val="00395E99"/>
    <w:rsid w:val="00396168"/>
    <w:rsid w:val="0039619A"/>
    <w:rsid w:val="003961F4"/>
    <w:rsid w:val="00396357"/>
    <w:rsid w:val="0039636F"/>
    <w:rsid w:val="003969FF"/>
    <w:rsid w:val="00396DD9"/>
    <w:rsid w:val="0039776D"/>
    <w:rsid w:val="003977FF"/>
    <w:rsid w:val="003979CC"/>
    <w:rsid w:val="00397C71"/>
    <w:rsid w:val="00397C91"/>
    <w:rsid w:val="003A0308"/>
    <w:rsid w:val="003A0925"/>
    <w:rsid w:val="003A097A"/>
    <w:rsid w:val="003A0BF8"/>
    <w:rsid w:val="003A0D33"/>
    <w:rsid w:val="003A0F7F"/>
    <w:rsid w:val="003A14B0"/>
    <w:rsid w:val="003A1D8E"/>
    <w:rsid w:val="003A22D5"/>
    <w:rsid w:val="003A2475"/>
    <w:rsid w:val="003A2673"/>
    <w:rsid w:val="003A2862"/>
    <w:rsid w:val="003A2B84"/>
    <w:rsid w:val="003A2BA4"/>
    <w:rsid w:val="003A30D6"/>
    <w:rsid w:val="003A3201"/>
    <w:rsid w:val="003A3261"/>
    <w:rsid w:val="003A32DC"/>
    <w:rsid w:val="003A3AA7"/>
    <w:rsid w:val="003A3ACF"/>
    <w:rsid w:val="003A4100"/>
    <w:rsid w:val="003A4203"/>
    <w:rsid w:val="003A42D5"/>
    <w:rsid w:val="003A43E9"/>
    <w:rsid w:val="003A455E"/>
    <w:rsid w:val="003A49D6"/>
    <w:rsid w:val="003A4BDD"/>
    <w:rsid w:val="003A4EDC"/>
    <w:rsid w:val="003A4F83"/>
    <w:rsid w:val="003A4FD4"/>
    <w:rsid w:val="003A55D1"/>
    <w:rsid w:val="003A5925"/>
    <w:rsid w:val="003A5B78"/>
    <w:rsid w:val="003A5DC8"/>
    <w:rsid w:val="003A5E29"/>
    <w:rsid w:val="003A64B3"/>
    <w:rsid w:val="003A65A6"/>
    <w:rsid w:val="003A6824"/>
    <w:rsid w:val="003A69F0"/>
    <w:rsid w:val="003A6CFB"/>
    <w:rsid w:val="003A6E6F"/>
    <w:rsid w:val="003A70D6"/>
    <w:rsid w:val="003A7194"/>
    <w:rsid w:val="003A7235"/>
    <w:rsid w:val="003A7346"/>
    <w:rsid w:val="003A74B2"/>
    <w:rsid w:val="003A7B08"/>
    <w:rsid w:val="003A7EED"/>
    <w:rsid w:val="003B0460"/>
    <w:rsid w:val="003B0A09"/>
    <w:rsid w:val="003B0CF1"/>
    <w:rsid w:val="003B0E24"/>
    <w:rsid w:val="003B0F03"/>
    <w:rsid w:val="003B141C"/>
    <w:rsid w:val="003B1920"/>
    <w:rsid w:val="003B1DF0"/>
    <w:rsid w:val="003B1E3E"/>
    <w:rsid w:val="003B1FD9"/>
    <w:rsid w:val="003B2049"/>
    <w:rsid w:val="003B210C"/>
    <w:rsid w:val="003B2557"/>
    <w:rsid w:val="003B2652"/>
    <w:rsid w:val="003B266B"/>
    <w:rsid w:val="003B2B03"/>
    <w:rsid w:val="003B3105"/>
    <w:rsid w:val="003B31C6"/>
    <w:rsid w:val="003B32ED"/>
    <w:rsid w:val="003B3448"/>
    <w:rsid w:val="003B381B"/>
    <w:rsid w:val="003B41A2"/>
    <w:rsid w:val="003B531E"/>
    <w:rsid w:val="003B53D5"/>
    <w:rsid w:val="003B56C3"/>
    <w:rsid w:val="003B5D3D"/>
    <w:rsid w:val="003B6104"/>
    <w:rsid w:val="003B62AE"/>
    <w:rsid w:val="003B66C2"/>
    <w:rsid w:val="003B6732"/>
    <w:rsid w:val="003B683D"/>
    <w:rsid w:val="003B6BB1"/>
    <w:rsid w:val="003B6D83"/>
    <w:rsid w:val="003B6FEB"/>
    <w:rsid w:val="003B70D9"/>
    <w:rsid w:val="003B72F7"/>
    <w:rsid w:val="003B77A7"/>
    <w:rsid w:val="003B78FF"/>
    <w:rsid w:val="003B79CC"/>
    <w:rsid w:val="003B7AD0"/>
    <w:rsid w:val="003B7F64"/>
    <w:rsid w:val="003C02A1"/>
    <w:rsid w:val="003C044B"/>
    <w:rsid w:val="003C0B7D"/>
    <w:rsid w:val="003C0B84"/>
    <w:rsid w:val="003C1022"/>
    <w:rsid w:val="003C1147"/>
    <w:rsid w:val="003C11DA"/>
    <w:rsid w:val="003C12D3"/>
    <w:rsid w:val="003C141F"/>
    <w:rsid w:val="003C1440"/>
    <w:rsid w:val="003C1817"/>
    <w:rsid w:val="003C183A"/>
    <w:rsid w:val="003C1C10"/>
    <w:rsid w:val="003C1E67"/>
    <w:rsid w:val="003C2084"/>
    <w:rsid w:val="003C2182"/>
    <w:rsid w:val="003C242F"/>
    <w:rsid w:val="003C26FD"/>
    <w:rsid w:val="003C270C"/>
    <w:rsid w:val="003C28B0"/>
    <w:rsid w:val="003C2B29"/>
    <w:rsid w:val="003C30A1"/>
    <w:rsid w:val="003C3110"/>
    <w:rsid w:val="003C315F"/>
    <w:rsid w:val="003C319E"/>
    <w:rsid w:val="003C3301"/>
    <w:rsid w:val="003C38EB"/>
    <w:rsid w:val="003C39AF"/>
    <w:rsid w:val="003C39FD"/>
    <w:rsid w:val="003C3B12"/>
    <w:rsid w:val="003C45A0"/>
    <w:rsid w:val="003C4E0D"/>
    <w:rsid w:val="003C5160"/>
    <w:rsid w:val="003C5216"/>
    <w:rsid w:val="003C5603"/>
    <w:rsid w:val="003C57B8"/>
    <w:rsid w:val="003C5927"/>
    <w:rsid w:val="003C61AE"/>
    <w:rsid w:val="003C61D2"/>
    <w:rsid w:val="003C6BBC"/>
    <w:rsid w:val="003C6ED8"/>
    <w:rsid w:val="003C7014"/>
    <w:rsid w:val="003C7117"/>
    <w:rsid w:val="003C739C"/>
    <w:rsid w:val="003C7834"/>
    <w:rsid w:val="003C7A03"/>
    <w:rsid w:val="003D0072"/>
    <w:rsid w:val="003D0398"/>
    <w:rsid w:val="003D03D7"/>
    <w:rsid w:val="003D0607"/>
    <w:rsid w:val="003D06B1"/>
    <w:rsid w:val="003D0BD3"/>
    <w:rsid w:val="003D0F2A"/>
    <w:rsid w:val="003D0F3F"/>
    <w:rsid w:val="003D0FBF"/>
    <w:rsid w:val="003D1484"/>
    <w:rsid w:val="003D196D"/>
    <w:rsid w:val="003D1A5D"/>
    <w:rsid w:val="003D1BAF"/>
    <w:rsid w:val="003D1C6F"/>
    <w:rsid w:val="003D2129"/>
    <w:rsid w:val="003D21EA"/>
    <w:rsid w:val="003D2306"/>
    <w:rsid w:val="003D278F"/>
    <w:rsid w:val="003D2C6E"/>
    <w:rsid w:val="003D30E5"/>
    <w:rsid w:val="003D3886"/>
    <w:rsid w:val="003D38C6"/>
    <w:rsid w:val="003D3A13"/>
    <w:rsid w:val="003D3F2F"/>
    <w:rsid w:val="003D43D0"/>
    <w:rsid w:val="003D44D7"/>
    <w:rsid w:val="003D463D"/>
    <w:rsid w:val="003D475D"/>
    <w:rsid w:val="003D47BB"/>
    <w:rsid w:val="003D4AE6"/>
    <w:rsid w:val="003D4BD4"/>
    <w:rsid w:val="003D4EDF"/>
    <w:rsid w:val="003D4F14"/>
    <w:rsid w:val="003D5142"/>
    <w:rsid w:val="003D52E2"/>
    <w:rsid w:val="003D560A"/>
    <w:rsid w:val="003D5687"/>
    <w:rsid w:val="003D5ADD"/>
    <w:rsid w:val="003D5C0D"/>
    <w:rsid w:val="003D5E28"/>
    <w:rsid w:val="003D679B"/>
    <w:rsid w:val="003D7A60"/>
    <w:rsid w:val="003D7B46"/>
    <w:rsid w:val="003D7D3F"/>
    <w:rsid w:val="003D7DCD"/>
    <w:rsid w:val="003E008A"/>
    <w:rsid w:val="003E02E0"/>
    <w:rsid w:val="003E0419"/>
    <w:rsid w:val="003E052C"/>
    <w:rsid w:val="003E08CA"/>
    <w:rsid w:val="003E0B2C"/>
    <w:rsid w:val="003E0BE9"/>
    <w:rsid w:val="003E1193"/>
    <w:rsid w:val="003E1330"/>
    <w:rsid w:val="003E139D"/>
    <w:rsid w:val="003E19E0"/>
    <w:rsid w:val="003E1A24"/>
    <w:rsid w:val="003E1A51"/>
    <w:rsid w:val="003E1BB2"/>
    <w:rsid w:val="003E1BF3"/>
    <w:rsid w:val="003E1E15"/>
    <w:rsid w:val="003E1E81"/>
    <w:rsid w:val="003E1F69"/>
    <w:rsid w:val="003E215A"/>
    <w:rsid w:val="003E2226"/>
    <w:rsid w:val="003E24C8"/>
    <w:rsid w:val="003E24D3"/>
    <w:rsid w:val="003E2933"/>
    <w:rsid w:val="003E2D3A"/>
    <w:rsid w:val="003E3469"/>
    <w:rsid w:val="003E35C1"/>
    <w:rsid w:val="003E369F"/>
    <w:rsid w:val="003E3843"/>
    <w:rsid w:val="003E388A"/>
    <w:rsid w:val="003E3AB8"/>
    <w:rsid w:val="003E4143"/>
    <w:rsid w:val="003E4179"/>
    <w:rsid w:val="003E44E6"/>
    <w:rsid w:val="003E45D4"/>
    <w:rsid w:val="003E4806"/>
    <w:rsid w:val="003E48EC"/>
    <w:rsid w:val="003E4993"/>
    <w:rsid w:val="003E4F9B"/>
    <w:rsid w:val="003E53A1"/>
    <w:rsid w:val="003E5469"/>
    <w:rsid w:val="003E5530"/>
    <w:rsid w:val="003E566B"/>
    <w:rsid w:val="003E56FF"/>
    <w:rsid w:val="003E5CF1"/>
    <w:rsid w:val="003E5CF3"/>
    <w:rsid w:val="003E60DE"/>
    <w:rsid w:val="003E61CE"/>
    <w:rsid w:val="003E693C"/>
    <w:rsid w:val="003E6B07"/>
    <w:rsid w:val="003E6EBC"/>
    <w:rsid w:val="003E6EFF"/>
    <w:rsid w:val="003E700B"/>
    <w:rsid w:val="003E78B0"/>
    <w:rsid w:val="003E7BEB"/>
    <w:rsid w:val="003E7D2A"/>
    <w:rsid w:val="003E7D6A"/>
    <w:rsid w:val="003E7FF7"/>
    <w:rsid w:val="003F0130"/>
    <w:rsid w:val="003F01A6"/>
    <w:rsid w:val="003F03CC"/>
    <w:rsid w:val="003F088E"/>
    <w:rsid w:val="003F0C10"/>
    <w:rsid w:val="003F17C4"/>
    <w:rsid w:val="003F18C2"/>
    <w:rsid w:val="003F1BBC"/>
    <w:rsid w:val="003F1C67"/>
    <w:rsid w:val="003F1DB5"/>
    <w:rsid w:val="003F1E6B"/>
    <w:rsid w:val="003F1FF6"/>
    <w:rsid w:val="003F20D5"/>
    <w:rsid w:val="003F21A8"/>
    <w:rsid w:val="003F2350"/>
    <w:rsid w:val="003F242F"/>
    <w:rsid w:val="003F297D"/>
    <w:rsid w:val="003F2A77"/>
    <w:rsid w:val="003F2BB1"/>
    <w:rsid w:val="003F2E3D"/>
    <w:rsid w:val="003F2FC2"/>
    <w:rsid w:val="003F326F"/>
    <w:rsid w:val="003F339C"/>
    <w:rsid w:val="003F3A6C"/>
    <w:rsid w:val="003F3D0C"/>
    <w:rsid w:val="003F466B"/>
    <w:rsid w:val="003F46FE"/>
    <w:rsid w:val="003F4A94"/>
    <w:rsid w:val="003F4EF3"/>
    <w:rsid w:val="003F4FE4"/>
    <w:rsid w:val="003F517B"/>
    <w:rsid w:val="003F5199"/>
    <w:rsid w:val="003F5263"/>
    <w:rsid w:val="003F53E2"/>
    <w:rsid w:val="003F5460"/>
    <w:rsid w:val="003F5536"/>
    <w:rsid w:val="003F55A4"/>
    <w:rsid w:val="003F5A70"/>
    <w:rsid w:val="003F5E64"/>
    <w:rsid w:val="003F6326"/>
    <w:rsid w:val="003F63B9"/>
    <w:rsid w:val="003F67F9"/>
    <w:rsid w:val="003F6805"/>
    <w:rsid w:val="003F6881"/>
    <w:rsid w:val="003F6BA9"/>
    <w:rsid w:val="003F6CCF"/>
    <w:rsid w:val="003F6F2F"/>
    <w:rsid w:val="003F7109"/>
    <w:rsid w:val="003F7681"/>
    <w:rsid w:val="003F76D4"/>
    <w:rsid w:val="003F798F"/>
    <w:rsid w:val="003F79D8"/>
    <w:rsid w:val="003F7D06"/>
    <w:rsid w:val="003F7D77"/>
    <w:rsid w:val="003F7DEE"/>
    <w:rsid w:val="004005D1"/>
    <w:rsid w:val="004007BF"/>
    <w:rsid w:val="00400A7F"/>
    <w:rsid w:val="00400DFA"/>
    <w:rsid w:val="00400F26"/>
    <w:rsid w:val="0040140C"/>
    <w:rsid w:val="00401469"/>
    <w:rsid w:val="00401A15"/>
    <w:rsid w:val="00401A66"/>
    <w:rsid w:val="00402664"/>
    <w:rsid w:val="004027A5"/>
    <w:rsid w:val="004027EC"/>
    <w:rsid w:val="00402847"/>
    <w:rsid w:val="00402888"/>
    <w:rsid w:val="00402CB8"/>
    <w:rsid w:val="004032B7"/>
    <w:rsid w:val="00403541"/>
    <w:rsid w:val="00403726"/>
    <w:rsid w:val="0040374F"/>
    <w:rsid w:val="0040382E"/>
    <w:rsid w:val="00403A58"/>
    <w:rsid w:val="00403BBB"/>
    <w:rsid w:val="00403C1D"/>
    <w:rsid w:val="00403D8B"/>
    <w:rsid w:val="00403EAC"/>
    <w:rsid w:val="004042B4"/>
    <w:rsid w:val="004047B8"/>
    <w:rsid w:val="004049E2"/>
    <w:rsid w:val="00404ACA"/>
    <w:rsid w:val="00404BEC"/>
    <w:rsid w:val="00404CE9"/>
    <w:rsid w:val="00404D31"/>
    <w:rsid w:val="00404DC5"/>
    <w:rsid w:val="00404E6A"/>
    <w:rsid w:val="00405341"/>
    <w:rsid w:val="004053F3"/>
    <w:rsid w:val="00405531"/>
    <w:rsid w:val="0040576D"/>
    <w:rsid w:val="00405A6A"/>
    <w:rsid w:val="00406577"/>
    <w:rsid w:val="004067EC"/>
    <w:rsid w:val="00406893"/>
    <w:rsid w:val="00406E67"/>
    <w:rsid w:val="00406F02"/>
    <w:rsid w:val="00406F86"/>
    <w:rsid w:val="00407028"/>
    <w:rsid w:val="00407245"/>
    <w:rsid w:val="0040737E"/>
    <w:rsid w:val="0040744E"/>
    <w:rsid w:val="004075F3"/>
    <w:rsid w:val="004079DE"/>
    <w:rsid w:val="00407DD1"/>
    <w:rsid w:val="00407DFD"/>
    <w:rsid w:val="004101AF"/>
    <w:rsid w:val="00410400"/>
    <w:rsid w:val="00410596"/>
    <w:rsid w:val="00410702"/>
    <w:rsid w:val="004108AA"/>
    <w:rsid w:val="00410A7E"/>
    <w:rsid w:val="00410D55"/>
    <w:rsid w:val="00410DB5"/>
    <w:rsid w:val="00411105"/>
    <w:rsid w:val="004112A4"/>
    <w:rsid w:val="0041161E"/>
    <w:rsid w:val="00411881"/>
    <w:rsid w:val="004118D9"/>
    <w:rsid w:val="00411A4F"/>
    <w:rsid w:val="00411ED7"/>
    <w:rsid w:val="004127F2"/>
    <w:rsid w:val="00412C1A"/>
    <w:rsid w:val="00412E8A"/>
    <w:rsid w:val="0041344C"/>
    <w:rsid w:val="00413533"/>
    <w:rsid w:val="00413950"/>
    <w:rsid w:val="00413A34"/>
    <w:rsid w:val="00413B2B"/>
    <w:rsid w:val="00413CD4"/>
    <w:rsid w:val="00413DB5"/>
    <w:rsid w:val="00413EE1"/>
    <w:rsid w:val="0041434C"/>
    <w:rsid w:val="004143B6"/>
    <w:rsid w:val="0041448B"/>
    <w:rsid w:val="004147B9"/>
    <w:rsid w:val="00414A4D"/>
    <w:rsid w:val="00415488"/>
    <w:rsid w:val="004156B2"/>
    <w:rsid w:val="004160A9"/>
    <w:rsid w:val="004166F8"/>
    <w:rsid w:val="00416B49"/>
    <w:rsid w:val="00416BD6"/>
    <w:rsid w:val="00416EAA"/>
    <w:rsid w:val="00416F7D"/>
    <w:rsid w:val="00416F8F"/>
    <w:rsid w:val="0041718A"/>
    <w:rsid w:val="00417464"/>
    <w:rsid w:val="0041770E"/>
    <w:rsid w:val="00417717"/>
    <w:rsid w:val="00417754"/>
    <w:rsid w:val="00417EC0"/>
    <w:rsid w:val="0042048A"/>
    <w:rsid w:val="004206F4"/>
    <w:rsid w:val="004207AD"/>
    <w:rsid w:val="00420878"/>
    <w:rsid w:val="004209D1"/>
    <w:rsid w:val="00420B4A"/>
    <w:rsid w:val="00420F4A"/>
    <w:rsid w:val="004210CC"/>
    <w:rsid w:val="004210EA"/>
    <w:rsid w:val="00421229"/>
    <w:rsid w:val="00421580"/>
    <w:rsid w:val="004215ED"/>
    <w:rsid w:val="0042193C"/>
    <w:rsid w:val="00421A1F"/>
    <w:rsid w:val="00421C9F"/>
    <w:rsid w:val="00421EDB"/>
    <w:rsid w:val="00421F49"/>
    <w:rsid w:val="0042240F"/>
    <w:rsid w:val="004224D5"/>
    <w:rsid w:val="00422D97"/>
    <w:rsid w:val="0042316D"/>
    <w:rsid w:val="0042337F"/>
    <w:rsid w:val="00423649"/>
    <w:rsid w:val="00423B1B"/>
    <w:rsid w:val="00424582"/>
    <w:rsid w:val="004248B8"/>
    <w:rsid w:val="00424950"/>
    <w:rsid w:val="00424A30"/>
    <w:rsid w:val="00424CED"/>
    <w:rsid w:val="00424DF3"/>
    <w:rsid w:val="00424FCD"/>
    <w:rsid w:val="00425143"/>
    <w:rsid w:val="0042516E"/>
    <w:rsid w:val="00425265"/>
    <w:rsid w:val="0042570E"/>
    <w:rsid w:val="00425777"/>
    <w:rsid w:val="00425A8F"/>
    <w:rsid w:val="00425C8D"/>
    <w:rsid w:val="00425E60"/>
    <w:rsid w:val="004260EC"/>
    <w:rsid w:val="00426113"/>
    <w:rsid w:val="004261C3"/>
    <w:rsid w:val="004262BD"/>
    <w:rsid w:val="00426635"/>
    <w:rsid w:val="00426E59"/>
    <w:rsid w:val="00426FD0"/>
    <w:rsid w:val="00427224"/>
    <w:rsid w:val="00427630"/>
    <w:rsid w:val="004276DB"/>
    <w:rsid w:val="00430385"/>
    <w:rsid w:val="00430564"/>
    <w:rsid w:val="00430D5E"/>
    <w:rsid w:val="00430D9F"/>
    <w:rsid w:val="0043124A"/>
    <w:rsid w:val="00431283"/>
    <w:rsid w:val="004312BC"/>
    <w:rsid w:val="004314C0"/>
    <w:rsid w:val="004314C6"/>
    <w:rsid w:val="0043179F"/>
    <w:rsid w:val="00431AAE"/>
    <w:rsid w:val="00431AB1"/>
    <w:rsid w:val="00431AB4"/>
    <w:rsid w:val="0043220B"/>
    <w:rsid w:val="004322C2"/>
    <w:rsid w:val="0043237F"/>
    <w:rsid w:val="00432609"/>
    <w:rsid w:val="00432F44"/>
    <w:rsid w:val="0043301B"/>
    <w:rsid w:val="004333BD"/>
    <w:rsid w:val="004336A1"/>
    <w:rsid w:val="00433803"/>
    <w:rsid w:val="0043394B"/>
    <w:rsid w:val="00433A88"/>
    <w:rsid w:val="00433AF9"/>
    <w:rsid w:val="0043433A"/>
    <w:rsid w:val="0043437F"/>
    <w:rsid w:val="00434567"/>
    <w:rsid w:val="00434A27"/>
    <w:rsid w:val="00434A3D"/>
    <w:rsid w:val="00434C3E"/>
    <w:rsid w:val="00434C41"/>
    <w:rsid w:val="00434D5F"/>
    <w:rsid w:val="00435050"/>
    <w:rsid w:val="00435259"/>
    <w:rsid w:val="00435368"/>
    <w:rsid w:val="004355A0"/>
    <w:rsid w:val="004356C1"/>
    <w:rsid w:val="00435D35"/>
    <w:rsid w:val="00435F93"/>
    <w:rsid w:val="00436035"/>
    <w:rsid w:val="004361D2"/>
    <w:rsid w:val="004363B9"/>
    <w:rsid w:val="00436775"/>
    <w:rsid w:val="00437345"/>
    <w:rsid w:val="00437B85"/>
    <w:rsid w:val="00437F00"/>
    <w:rsid w:val="00440096"/>
    <w:rsid w:val="004404F9"/>
    <w:rsid w:val="00440559"/>
    <w:rsid w:val="004405EE"/>
    <w:rsid w:val="004409F0"/>
    <w:rsid w:val="00440B66"/>
    <w:rsid w:val="00440CF9"/>
    <w:rsid w:val="00440D75"/>
    <w:rsid w:val="00441119"/>
    <w:rsid w:val="00441345"/>
    <w:rsid w:val="0044135E"/>
    <w:rsid w:val="00441503"/>
    <w:rsid w:val="0044178B"/>
    <w:rsid w:val="00441E18"/>
    <w:rsid w:val="00441EA5"/>
    <w:rsid w:val="00442111"/>
    <w:rsid w:val="004421EB"/>
    <w:rsid w:val="0044220B"/>
    <w:rsid w:val="00442396"/>
    <w:rsid w:val="004425FF"/>
    <w:rsid w:val="004428A0"/>
    <w:rsid w:val="00442FB7"/>
    <w:rsid w:val="00443303"/>
    <w:rsid w:val="00443775"/>
    <w:rsid w:val="00443A7A"/>
    <w:rsid w:val="00443DD5"/>
    <w:rsid w:val="00443E57"/>
    <w:rsid w:val="00443EED"/>
    <w:rsid w:val="00444091"/>
    <w:rsid w:val="00444965"/>
    <w:rsid w:val="00444986"/>
    <w:rsid w:val="004449A7"/>
    <w:rsid w:val="00444C53"/>
    <w:rsid w:val="00444DBB"/>
    <w:rsid w:val="00444DD3"/>
    <w:rsid w:val="00444E46"/>
    <w:rsid w:val="00444ECD"/>
    <w:rsid w:val="00445044"/>
    <w:rsid w:val="004457B3"/>
    <w:rsid w:val="0044588B"/>
    <w:rsid w:val="004458BB"/>
    <w:rsid w:val="00445D15"/>
    <w:rsid w:val="00445D19"/>
    <w:rsid w:val="00445FB9"/>
    <w:rsid w:val="004463A9"/>
    <w:rsid w:val="00446558"/>
    <w:rsid w:val="00446681"/>
    <w:rsid w:val="00446790"/>
    <w:rsid w:val="00446EB6"/>
    <w:rsid w:val="004472E8"/>
    <w:rsid w:val="004476A2"/>
    <w:rsid w:val="004476EC"/>
    <w:rsid w:val="00447F62"/>
    <w:rsid w:val="00450072"/>
    <w:rsid w:val="004506C8"/>
    <w:rsid w:val="004506F6"/>
    <w:rsid w:val="0045078E"/>
    <w:rsid w:val="004508A9"/>
    <w:rsid w:val="004508C2"/>
    <w:rsid w:val="00450B7F"/>
    <w:rsid w:val="00451247"/>
    <w:rsid w:val="0045133F"/>
    <w:rsid w:val="004521B9"/>
    <w:rsid w:val="00452613"/>
    <w:rsid w:val="00452C2F"/>
    <w:rsid w:val="00452C8D"/>
    <w:rsid w:val="00452CA7"/>
    <w:rsid w:val="00453328"/>
    <w:rsid w:val="004533A8"/>
    <w:rsid w:val="00453434"/>
    <w:rsid w:val="004534A6"/>
    <w:rsid w:val="0045359B"/>
    <w:rsid w:val="0045365D"/>
    <w:rsid w:val="00454065"/>
    <w:rsid w:val="0045406A"/>
    <w:rsid w:val="0045431C"/>
    <w:rsid w:val="004545BA"/>
    <w:rsid w:val="00454A60"/>
    <w:rsid w:val="00454DAE"/>
    <w:rsid w:val="00454FE5"/>
    <w:rsid w:val="00455175"/>
    <w:rsid w:val="004553B4"/>
    <w:rsid w:val="004557E3"/>
    <w:rsid w:val="004559E0"/>
    <w:rsid w:val="00455A25"/>
    <w:rsid w:val="00455E2D"/>
    <w:rsid w:val="00456D79"/>
    <w:rsid w:val="00456F59"/>
    <w:rsid w:val="004573D6"/>
    <w:rsid w:val="0045758B"/>
    <w:rsid w:val="00457602"/>
    <w:rsid w:val="004576C4"/>
    <w:rsid w:val="00457833"/>
    <w:rsid w:val="00457B24"/>
    <w:rsid w:val="00460189"/>
    <w:rsid w:val="004604EF"/>
    <w:rsid w:val="0046078A"/>
    <w:rsid w:val="00460947"/>
    <w:rsid w:val="00460CC4"/>
    <w:rsid w:val="00460D47"/>
    <w:rsid w:val="004615C8"/>
    <w:rsid w:val="00461697"/>
    <w:rsid w:val="00461AD0"/>
    <w:rsid w:val="00461B7A"/>
    <w:rsid w:val="00461CA5"/>
    <w:rsid w:val="00461DD6"/>
    <w:rsid w:val="00462047"/>
    <w:rsid w:val="004620E5"/>
    <w:rsid w:val="00462364"/>
    <w:rsid w:val="004627A8"/>
    <w:rsid w:val="00462837"/>
    <w:rsid w:val="004628AA"/>
    <w:rsid w:val="00462972"/>
    <w:rsid w:val="00462993"/>
    <w:rsid w:val="00462E81"/>
    <w:rsid w:val="00462F08"/>
    <w:rsid w:val="0046312D"/>
    <w:rsid w:val="00463265"/>
    <w:rsid w:val="004634C7"/>
    <w:rsid w:val="00463546"/>
    <w:rsid w:val="0046388D"/>
    <w:rsid w:val="0046396E"/>
    <w:rsid w:val="00463CCD"/>
    <w:rsid w:val="00463DA9"/>
    <w:rsid w:val="00463FD0"/>
    <w:rsid w:val="00464788"/>
    <w:rsid w:val="004647C5"/>
    <w:rsid w:val="004647D0"/>
    <w:rsid w:val="00465786"/>
    <w:rsid w:val="00465CAB"/>
    <w:rsid w:val="00465D72"/>
    <w:rsid w:val="00466197"/>
    <w:rsid w:val="0046630F"/>
    <w:rsid w:val="00466AA6"/>
    <w:rsid w:val="00466C92"/>
    <w:rsid w:val="00466D05"/>
    <w:rsid w:val="004673C5"/>
    <w:rsid w:val="004674AF"/>
    <w:rsid w:val="00467C0A"/>
    <w:rsid w:val="004704BC"/>
    <w:rsid w:val="00470905"/>
    <w:rsid w:val="004709B8"/>
    <w:rsid w:val="00470BF1"/>
    <w:rsid w:val="00470C9A"/>
    <w:rsid w:val="00470E68"/>
    <w:rsid w:val="00471023"/>
    <w:rsid w:val="004710F2"/>
    <w:rsid w:val="00471BD8"/>
    <w:rsid w:val="00471DA0"/>
    <w:rsid w:val="00471F9D"/>
    <w:rsid w:val="00471FF2"/>
    <w:rsid w:val="004726A6"/>
    <w:rsid w:val="00472944"/>
    <w:rsid w:val="004730EC"/>
    <w:rsid w:val="00473239"/>
    <w:rsid w:val="0047350C"/>
    <w:rsid w:val="00473608"/>
    <w:rsid w:val="00473797"/>
    <w:rsid w:val="00474086"/>
    <w:rsid w:val="00474144"/>
    <w:rsid w:val="004742A4"/>
    <w:rsid w:val="00474314"/>
    <w:rsid w:val="0047448C"/>
    <w:rsid w:val="00474604"/>
    <w:rsid w:val="00474A71"/>
    <w:rsid w:val="00474CD8"/>
    <w:rsid w:val="00474DA9"/>
    <w:rsid w:val="00474E6D"/>
    <w:rsid w:val="00475223"/>
    <w:rsid w:val="004752D2"/>
    <w:rsid w:val="004753F3"/>
    <w:rsid w:val="004757B5"/>
    <w:rsid w:val="00475D8A"/>
    <w:rsid w:val="004761EB"/>
    <w:rsid w:val="00476268"/>
    <w:rsid w:val="0047647F"/>
    <w:rsid w:val="004766F6"/>
    <w:rsid w:val="00476BE5"/>
    <w:rsid w:val="00476C06"/>
    <w:rsid w:val="00476DB8"/>
    <w:rsid w:val="00476ECC"/>
    <w:rsid w:val="00476EED"/>
    <w:rsid w:val="00477100"/>
    <w:rsid w:val="004772C7"/>
    <w:rsid w:val="00477806"/>
    <w:rsid w:val="0047786C"/>
    <w:rsid w:val="00477B8A"/>
    <w:rsid w:val="00477FFD"/>
    <w:rsid w:val="0048063A"/>
    <w:rsid w:val="00480871"/>
    <w:rsid w:val="00480AD2"/>
    <w:rsid w:val="004810E0"/>
    <w:rsid w:val="0048117F"/>
    <w:rsid w:val="004813A9"/>
    <w:rsid w:val="004815C1"/>
    <w:rsid w:val="00481719"/>
    <w:rsid w:val="00481967"/>
    <w:rsid w:val="004819A6"/>
    <w:rsid w:val="00481C34"/>
    <w:rsid w:val="00481D79"/>
    <w:rsid w:val="004821F8"/>
    <w:rsid w:val="00482273"/>
    <w:rsid w:val="00482B63"/>
    <w:rsid w:val="00482BC8"/>
    <w:rsid w:val="00482D07"/>
    <w:rsid w:val="00482D9F"/>
    <w:rsid w:val="004835E3"/>
    <w:rsid w:val="0048381C"/>
    <w:rsid w:val="00483AC3"/>
    <w:rsid w:val="00483B99"/>
    <w:rsid w:val="00483C56"/>
    <w:rsid w:val="00483CA9"/>
    <w:rsid w:val="00484138"/>
    <w:rsid w:val="004841F4"/>
    <w:rsid w:val="00484319"/>
    <w:rsid w:val="004843D4"/>
    <w:rsid w:val="00484546"/>
    <w:rsid w:val="00484561"/>
    <w:rsid w:val="004847C8"/>
    <w:rsid w:val="004849F2"/>
    <w:rsid w:val="00484ACC"/>
    <w:rsid w:val="00484B1D"/>
    <w:rsid w:val="00484D21"/>
    <w:rsid w:val="00485297"/>
    <w:rsid w:val="004853DF"/>
    <w:rsid w:val="004854A9"/>
    <w:rsid w:val="00485658"/>
    <w:rsid w:val="00485D15"/>
    <w:rsid w:val="00486444"/>
    <w:rsid w:val="00486A48"/>
    <w:rsid w:val="00486BDE"/>
    <w:rsid w:val="00486ED4"/>
    <w:rsid w:val="00486FC1"/>
    <w:rsid w:val="00487153"/>
    <w:rsid w:val="004876C6"/>
    <w:rsid w:val="00487CCB"/>
    <w:rsid w:val="00487EA9"/>
    <w:rsid w:val="00487FA9"/>
    <w:rsid w:val="004901C9"/>
    <w:rsid w:val="0049032C"/>
    <w:rsid w:val="004904A9"/>
    <w:rsid w:val="00490604"/>
    <w:rsid w:val="004906E2"/>
    <w:rsid w:val="00490B5B"/>
    <w:rsid w:val="00490B66"/>
    <w:rsid w:val="004912A7"/>
    <w:rsid w:val="0049153A"/>
    <w:rsid w:val="0049163C"/>
    <w:rsid w:val="004917D6"/>
    <w:rsid w:val="00491CB6"/>
    <w:rsid w:val="0049217D"/>
    <w:rsid w:val="00492555"/>
    <w:rsid w:val="0049278B"/>
    <w:rsid w:val="0049279F"/>
    <w:rsid w:val="004927B7"/>
    <w:rsid w:val="00492C3A"/>
    <w:rsid w:val="00492D50"/>
    <w:rsid w:val="0049308B"/>
    <w:rsid w:val="004932FA"/>
    <w:rsid w:val="00493388"/>
    <w:rsid w:val="00493511"/>
    <w:rsid w:val="004937B0"/>
    <w:rsid w:val="00493800"/>
    <w:rsid w:val="004939C8"/>
    <w:rsid w:val="00493B52"/>
    <w:rsid w:val="00493BB4"/>
    <w:rsid w:val="00493BDC"/>
    <w:rsid w:val="00493C90"/>
    <w:rsid w:val="00494074"/>
    <w:rsid w:val="00494075"/>
    <w:rsid w:val="0049425B"/>
    <w:rsid w:val="0049479B"/>
    <w:rsid w:val="00494893"/>
    <w:rsid w:val="004954F0"/>
    <w:rsid w:val="00495717"/>
    <w:rsid w:val="00495774"/>
    <w:rsid w:val="00495878"/>
    <w:rsid w:val="004959A9"/>
    <w:rsid w:val="00495B10"/>
    <w:rsid w:val="0049635F"/>
    <w:rsid w:val="00496370"/>
    <w:rsid w:val="00496484"/>
    <w:rsid w:val="00496706"/>
    <w:rsid w:val="00496799"/>
    <w:rsid w:val="00496B98"/>
    <w:rsid w:val="00496F3B"/>
    <w:rsid w:val="00496F56"/>
    <w:rsid w:val="00497233"/>
    <w:rsid w:val="004977DA"/>
    <w:rsid w:val="004977F6"/>
    <w:rsid w:val="00497900"/>
    <w:rsid w:val="00497912"/>
    <w:rsid w:val="00497FD3"/>
    <w:rsid w:val="004A0407"/>
    <w:rsid w:val="004A08AA"/>
    <w:rsid w:val="004A0CF5"/>
    <w:rsid w:val="004A0FF9"/>
    <w:rsid w:val="004A1055"/>
    <w:rsid w:val="004A158F"/>
    <w:rsid w:val="004A1832"/>
    <w:rsid w:val="004A1B45"/>
    <w:rsid w:val="004A1E51"/>
    <w:rsid w:val="004A1FAD"/>
    <w:rsid w:val="004A212B"/>
    <w:rsid w:val="004A2469"/>
    <w:rsid w:val="004A2632"/>
    <w:rsid w:val="004A27FC"/>
    <w:rsid w:val="004A2B34"/>
    <w:rsid w:val="004A2BB7"/>
    <w:rsid w:val="004A2C20"/>
    <w:rsid w:val="004A35E8"/>
    <w:rsid w:val="004A380C"/>
    <w:rsid w:val="004A3AFD"/>
    <w:rsid w:val="004A3CD2"/>
    <w:rsid w:val="004A3FB2"/>
    <w:rsid w:val="004A3FE7"/>
    <w:rsid w:val="004A42DD"/>
    <w:rsid w:val="004A45AD"/>
    <w:rsid w:val="004A45CB"/>
    <w:rsid w:val="004A4654"/>
    <w:rsid w:val="004A466B"/>
    <w:rsid w:val="004A46F8"/>
    <w:rsid w:val="004A4BFA"/>
    <w:rsid w:val="004A515C"/>
    <w:rsid w:val="004A56D1"/>
    <w:rsid w:val="004A57EC"/>
    <w:rsid w:val="004A5A45"/>
    <w:rsid w:val="004A5A95"/>
    <w:rsid w:val="004A5E1F"/>
    <w:rsid w:val="004A5F22"/>
    <w:rsid w:val="004A6247"/>
    <w:rsid w:val="004A6279"/>
    <w:rsid w:val="004A63C4"/>
    <w:rsid w:val="004A6591"/>
    <w:rsid w:val="004A66D5"/>
    <w:rsid w:val="004A68D5"/>
    <w:rsid w:val="004A7538"/>
    <w:rsid w:val="004A7826"/>
    <w:rsid w:val="004A784A"/>
    <w:rsid w:val="004A7AAD"/>
    <w:rsid w:val="004A7AFB"/>
    <w:rsid w:val="004B00E6"/>
    <w:rsid w:val="004B0224"/>
    <w:rsid w:val="004B023A"/>
    <w:rsid w:val="004B05D3"/>
    <w:rsid w:val="004B076C"/>
    <w:rsid w:val="004B0A04"/>
    <w:rsid w:val="004B0E69"/>
    <w:rsid w:val="004B0EE2"/>
    <w:rsid w:val="004B1025"/>
    <w:rsid w:val="004B132B"/>
    <w:rsid w:val="004B1741"/>
    <w:rsid w:val="004B1965"/>
    <w:rsid w:val="004B1AB7"/>
    <w:rsid w:val="004B1AE7"/>
    <w:rsid w:val="004B1E80"/>
    <w:rsid w:val="004B208D"/>
    <w:rsid w:val="004B2630"/>
    <w:rsid w:val="004B2715"/>
    <w:rsid w:val="004B276B"/>
    <w:rsid w:val="004B3243"/>
    <w:rsid w:val="004B3339"/>
    <w:rsid w:val="004B3678"/>
    <w:rsid w:val="004B3B57"/>
    <w:rsid w:val="004B3E6E"/>
    <w:rsid w:val="004B3FF3"/>
    <w:rsid w:val="004B416F"/>
    <w:rsid w:val="004B4702"/>
    <w:rsid w:val="004B4871"/>
    <w:rsid w:val="004B527F"/>
    <w:rsid w:val="004B54BA"/>
    <w:rsid w:val="004B5609"/>
    <w:rsid w:val="004B59FC"/>
    <w:rsid w:val="004B5A73"/>
    <w:rsid w:val="004B5B33"/>
    <w:rsid w:val="004B5FAC"/>
    <w:rsid w:val="004B5FB2"/>
    <w:rsid w:val="004B615A"/>
    <w:rsid w:val="004B63B0"/>
    <w:rsid w:val="004B6870"/>
    <w:rsid w:val="004B690A"/>
    <w:rsid w:val="004B6E29"/>
    <w:rsid w:val="004B6E3B"/>
    <w:rsid w:val="004B6FEF"/>
    <w:rsid w:val="004B7193"/>
    <w:rsid w:val="004B71F3"/>
    <w:rsid w:val="004B7433"/>
    <w:rsid w:val="004B75D3"/>
    <w:rsid w:val="004B7661"/>
    <w:rsid w:val="004B7B6F"/>
    <w:rsid w:val="004B7FD2"/>
    <w:rsid w:val="004C03E8"/>
    <w:rsid w:val="004C0707"/>
    <w:rsid w:val="004C07FA"/>
    <w:rsid w:val="004C0DCB"/>
    <w:rsid w:val="004C0FFC"/>
    <w:rsid w:val="004C1034"/>
    <w:rsid w:val="004C1403"/>
    <w:rsid w:val="004C1756"/>
    <w:rsid w:val="004C1886"/>
    <w:rsid w:val="004C1899"/>
    <w:rsid w:val="004C198A"/>
    <w:rsid w:val="004C2140"/>
    <w:rsid w:val="004C21BF"/>
    <w:rsid w:val="004C220C"/>
    <w:rsid w:val="004C2671"/>
    <w:rsid w:val="004C2695"/>
    <w:rsid w:val="004C2A59"/>
    <w:rsid w:val="004C2BD4"/>
    <w:rsid w:val="004C2C5A"/>
    <w:rsid w:val="004C367E"/>
    <w:rsid w:val="004C3856"/>
    <w:rsid w:val="004C386C"/>
    <w:rsid w:val="004C3D3E"/>
    <w:rsid w:val="004C3D70"/>
    <w:rsid w:val="004C3E3C"/>
    <w:rsid w:val="004C4150"/>
    <w:rsid w:val="004C4168"/>
    <w:rsid w:val="004C4288"/>
    <w:rsid w:val="004C4BC8"/>
    <w:rsid w:val="004C4BDF"/>
    <w:rsid w:val="004C4F60"/>
    <w:rsid w:val="004C5420"/>
    <w:rsid w:val="004C5432"/>
    <w:rsid w:val="004C5782"/>
    <w:rsid w:val="004C585C"/>
    <w:rsid w:val="004C5D12"/>
    <w:rsid w:val="004C5FB9"/>
    <w:rsid w:val="004C602E"/>
    <w:rsid w:val="004C6107"/>
    <w:rsid w:val="004C61D9"/>
    <w:rsid w:val="004C6451"/>
    <w:rsid w:val="004C6713"/>
    <w:rsid w:val="004C69DC"/>
    <w:rsid w:val="004C6DD1"/>
    <w:rsid w:val="004C6F1D"/>
    <w:rsid w:val="004C7186"/>
    <w:rsid w:val="004C740B"/>
    <w:rsid w:val="004C76DC"/>
    <w:rsid w:val="004C7955"/>
    <w:rsid w:val="004C79A1"/>
    <w:rsid w:val="004C7CC7"/>
    <w:rsid w:val="004C7D72"/>
    <w:rsid w:val="004C7EBA"/>
    <w:rsid w:val="004D01A0"/>
    <w:rsid w:val="004D022D"/>
    <w:rsid w:val="004D03A8"/>
    <w:rsid w:val="004D04BD"/>
    <w:rsid w:val="004D0588"/>
    <w:rsid w:val="004D0AAB"/>
    <w:rsid w:val="004D0D7B"/>
    <w:rsid w:val="004D1790"/>
    <w:rsid w:val="004D1BB9"/>
    <w:rsid w:val="004D2074"/>
    <w:rsid w:val="004D210B"/>
    <w:rsid w:val="004D2642"/>
    <w:rsid w:val="004D27DC"/>
    <w:rsid w:val="004D2902"/>
    <w:rsid w:val="004D2DCA"/>
    <w:rsid w:val="004D305B"/>
    <w:rsid w:val="004D33DD"/>
    <w:rsid w:val="004D347B"/>
    <w:rsid w:val="004D3613"/>
    <w:rsid w:val="004D39FB"/>
    <w:rsid w:val="004D3DCF"/>
    <w:rsid w:val="004D3EBE"/>
    <w:rsid w:val="004D3EDF"/>
    <w:rsid w:val="004D412C"/>
    <w:rsid w:val="004D45D1"/>
    <w:rsid w:val="004D46C2"/>
    <w:rsid w:val="004D46C5"/>
    <w:rsid w:val="004D4811"/>
    <w:rsid w:val="004D4AA5"/>
    <w:rsid w:val="004D4EFB"/>
    <w:rsid w:val="004D52FA"/>
    <w:rsid w:val="004D54CE"/>
    <w:rsid w:val="004D5BB1"/>
    <w:rsid w:val="004D5F53"/>
    <w:rsid w:val="004D66FE"/>
    <w:rsid w:val="004D67B2"/>
    <w:rsid w:val="004D67EE"/>
    <w:rsid w:val="004D69A0"/>
    <w:rsid w:val="004D6A20"/>
    <w:rsid w:val="004D6BD9"/>
    <w:rsid w:val="004D6D5C"/>
    <w:rsid w:val="004D6E24"/>
    <w:rsid w:val="004D6E6F"/>
    <w:rsid w:val="004D6EAC"/>
    <w:rsid w:val="004D7128"/>
    <w:rsid w:val="004D717D"/>
    <w:rsid w:val="004D761C"/>
    <w:rsid w:val="004D76CD"/>
    <w:rsid w:val="004D78C5"/>
    <w:rsid w:val="004D7972"/>
    <w:rsid w:val="004D7B53"/>
    <w:rsid w:val="004D7C8B"/>
    <w:rsid w:val="004D7DC0"/>
    <w:rsid w:val="004E0AD0"/>
    <w:rsid w:val="004E0B56"/>
    <w:rsid w:val="004E0E2D"/>
    <w:rsid w:val="004E1091"/>
    <w:rsid w:val="004E150E"/>
    <w:rsid w:val="004E1D16"/>
    <w:rsid w:val="004E1FF1"/>
    <w:rsid w:val="004E218C"/>
    <w:rsid w:val="004E247D"/>
    <w:rsid w:val="004E25B2"/>
    <w:rsid w:val="004E25E6"/>
    <w:rsid w:val="004E2943"/>
    <w:rsid w:val="004E2982"/>
    <w:rsid w:val="004E2A1F"/>
    <w:rsid w:val="004E2EA0"/>
    <w:rsid w:val="004E3AB2"/>
    <w:rsid w:val="004E4184"/>
    <w:rsid w:val="004E45D5"/>
    <w:rsid w:val="004E4644"/>
    <w:rsid w:val="004E469E"/>
    <w:rsid w:val="004E49F3"/>
    <w:rsid w:val="004E4D2C"/>
    <w:rsid w:val="004E5391"/>
    <w:rsid w:val="004E5454"/>
    <w:rsid w:val="004E551E"/>
    <w:rsid w:val="004E57C6"/>
    <w:rsid w:val="004E5823"/>
    <w:rsid w:val="004E590D"/>
    <w:rsid w:val="004E5917"/>
    <w:rsid w:val="004E59B8"/>
    <w:rsid w:val="004E5C14"/>
    <w:rsid w:val="004E5FEC"/>
    <w:rsid w:val="004E60A0"/>
    <w:rsid w:val="004E65D5"/>
    <w:rsid w:val="004E6A8A"/>
    <w:rsid w:val="004E6E00"/>
    <w:rsid w:val="004E6F1A"/>
    <w:rsid w:val="004E6F8E"/>
    <w:rsid w:val="004E6FC5"/>
    <w:rsid w:val="004E70DD"/>
    <w:rsid w:val="004E70E8"/>
    <w:rsid w:val="004E7A68"/>
    <w:rsid w:val="004E7FD3"/>
    <w:rsid w:val="004F0AE2"/>
    <w:rsid w:val="004F0BCD"/>
    <w:rsid w:val="004F0DA0"/>
    <w:rsid w:val="004F10C8"/>
    <w:rsid w:val="004F1116"/>
    <w:rsid w:val="004F126B"/>
    <w:rsid w:val="004F13B8"/>
    <w:rsid w:val="004F189A"/>
    <w:rsid w:val="004F19C6"/>
    <w:rsid w:val="004F1A5F"/>
    <w:rsid w:val="004F1B14"/>
    <w:rsid w:val="004F1BB7"/>
    <w:rsid w:val="004F1EE3"/>
    <w:rsid w:val="004F1F18"/>
    <w:rsid w:val="004F2042"/>
    <w:rsid w:val="004F2370"/>
    <w:rsid w:val="004F243E"/>
    <w:rsid w:val="004F26FB"/>
    <w:rsid w:val="004F2909"/>
    <w:rsid w:val="004F2AA5"/>
    <w:rsid w:val="004F368F"/>
    <w:rsid w:val="004F3CC2"/>
    <w:rsid w:val="004F42D5"/>
    <w:rsid w:val="004F4566"/>
    <w:rsid w:val="004F4B3D"/>
    <w:rsid w:val="004F4DDD"/>
    <w:rsid w:val="004F4FDF"/>
    <w:rsid w:val="004F610A"/>
    <w:rsid w:val="004F6806"/>
    <w:rsid w:val="004F69A5"/>
    <w:rsid w:val="004F6BB4"/>
    <w:rsid w:val="004F7000"/>
    <w:rsid w:val="004F7389"/>
    <w:rsid w:val="004F738C"/>
    <w:rsid w:val="004F746F"/>
    <w:rsid w:val="004F7763"/>
    <w:rsid w:val="004F7889"/>
    <w:rsid w:val="004F7E2E"/>
    <w:rsid w:val="00500179"/>
    <w:rsid w:val="005003CF"/>
    <w:rsid w:val="0050043A"/>
    <w:rsid w:val="005004E7"/>
    <w:rsid w:val="0050056D"/>
    <w:rsid w:val="005005DE"/>
    <w:rsid w:val="005009A5"/>
    <w:rsid w:val="00500A2D"/>
    <w:rsid w:val="00500D90"/>
    <w:rsid w:val="005010F9"/>
    <w:rsid w:val="005014CF"/>
    <w:rsid w:val="00501EA8"/>
    <w:rsid w:val="00502004"/>
    <w:rsid w:val="005026D2"/>
    <w:rsid w:val="00502747"/>
    <w:rsid w:val="005027B1"/>
    <w:rsid w:val="00502B1A"/>
    <w:rsid w:val="00502B29"/>
    <w:rsid w:val="00502D4A"/>
    <w:rsid w:val="00502EE5"/>
    <w:rsid w:val="00503163"/>
    <w:rsid w:val="005034B5"/>
    <w:rsid w:val="00503569"/>
    <w:rsid w:val="005037A0"/>
    <w:rsid w:val="00503C20"/>
    <w:rsid w:val="00503C50"/>
    <w:rsid w:val="0050413B"/>
    <w:rsid w:val="00504247"/>
    <w:rsid w:val="005046EF"/>
    <w:rsid w:val="00504816"/>
    <w:rsid w:val="00504B9F"/>
    <w:rsid w:val="00504BC0"/>
    <w:rsid w:val="00504C29"/>
    <w:rsid w:val="0050522C"/>
    <w:rsid w:val="005054E0"/>
    <w:rsid w:val="005055A5"/>
    <w:rsid w:val="005055BD"/>
    <w:rsid w:val="00505CE5"/>
    <w:rsid w:val="00505D89"/>
    <w:rsid w:val="00505DAA"/>
    <w:rsid w:val="005063B5"/>
    <w:rsid w:val="0050669A"/>
    <w:rsid w:val="005068A6"/>
    <w:rsid w:val="00506985"/>
    <w:rsid w:val="00506A9C"/>
    <w:rsid w:val="00506AD1"/>
    <w:rsid w:val="00506BF6"/>
    <w:rsid w:val="00506CA5"/>
    <w:rsid w:val="00507455"/>
    <w:rsid w:val="00507614"/>
    <w:rsid w:val="0050783D"/>
    <w:rsid w:val="00507BD8"/>
    <w:rsid w:val="00507D4E"/>
    <w:rsid w:val="00510058"/>
    <w:rsid w:val="00510233"/>
    <w:rsid w:val="005110B9"/>
    <w:rsid w:val="005110BF"/>
    <w:rsid w:val="005111A0"/>
    <w:rsid w:val="005115B4"/>
    <w:rsid w:val="005118F5"/>
    <w:rsid w:val="00511963"/>
    <w:rsid w:val="005122BF"/>
    <w:rsid w:val="00512309"/>
    <w:rsid w:val="00512390"/>
    <w:rsid w:val="005127E3"/>
    <w:rsid w:val="00512967"/>
    <w:rsid w:val="00512CF4"/>
    <w:rsid w:val="00513048"/>
    <w:rsid w:val="005131C3"/>
    <w:rsid w:val="005134EF"/>
    <w:rsid w:val="00513883"/>
    <w:rsid w:val="00513985"/>
    <w:rsid w:val="00513A58"/>
    <w:rsid w:val="00513E08"/>
    <w:rsid w:val="0051411A"/>
    <w:rsid w:val="0051424D"/>
    <w:rsid w:val="005144B2"/>
    <w:rsid w:val="005146EB"/>
    <w:rsid w:val="00514928"/>
    <w:rsid w:val="005149EF"/>
    <w:rsid w:val="00514BB4"/>
    <w:rsid w:val="00514F29"/>
    <w:rsid w:val="00514F62"/>
    <w:rsid w:val="00515057"/>
    <w:rsid w:val="00515441"/>
    <w:rsid w:val="00515608"/>
    <w:rsid w:val="005156D1"/>
    <w:rsid w:val="00515968"/>
    <w:rsid w:val="00515A42"/>
    <w:rsid w:val="00515EAD"/>
    <w:rsid w:val="00515ED3"/>
    <w:rsid w:val="0051636F"/>
    <w:rsid w:val="005164C4"/>
    <w:rsid w:val="00516598"/>
    <w:rsid w:val="00516698"/>
    <w:rsid w:val="00516D36"/>
    <w:rsid w:val="00516D87"/>
    <w:rsid w:val="00516DCF"/>
    <w:rsid w:val="00516EC0"/>
    <w:rsid w:val="00516FFD"/>
    <w:rsid w:val="005173FB"/>
    <w:rsid w:val="00517726"/>
    <w:rsid w:val="005177F8"/>
    <w:rsid w:val="005179A2"/>
    <w:rsid w:val="00517A11"/>
    <w:rsid w:val="00517AEF"/>
    <w:rsid w:val="00517C30"/>
    <w:rsid w:val="00517D5A"/>
    <w:rsid w:val="00517DDE"/>
    <w:rsid w:val="00517ECD"/>
    <w:rsid w:val="0052009A"/>
    <w:rsid w:val="00520111"/>
    <w:rsid w:val="0052033F"/>
    <w:rsid w:val="0052036D"/>
    <w:rsid w:val="00520ABD"/>
    <w:rsid w:val="00520E5D"/>
    <w:rsid w:val="0052119E"/>
    <w:rsid w:val="00522495"/>
    <w:rsid w:val="00522510"/>
    <w:rsid w:val="00522AF1"/>
    <w:rsid w:val="00522BF2"/>
    <w:rsid w:val="00522EF1"/>
    <w:rsid w:val="00523282"/>
    <w:rsid w:val="0052342F"/>
    <w:rsid w:val="0052425B"/>
    <w:rsid w:val="005244F4"/>
    <w:rsid w:val="00524666"/>
    <w:rsid w:val="0052472A"/>
    <w:rsid w:val="00524823"/>
    <w:rsid w:val="005248A6"/>
    <w:rsid w:val="00524D13"/>
    <w:rsid w:val="00525189"/>
    <w:rsid w:val="0052522B"/>
    <w:rsid w:val="00525793"/>
    <w:rsid w:val="00525D5F"/>
    <w:rsid w:val="00525F6C"/>
    <w:rsid w:val="005267DA"/>
    <w:rsid w:val="00526960"/>
    <w:rsid w:val="00526DB9"/>
    <w:rsid w:val="00527323"/>
    <w:rsid w:val="00527658"/>
    <w:rsid w:val="00527716"/>
    <w:rsid w:val="00527D0F"/>
    <w:rsid w:val="0053006D"/>
    <w:rsid w:val="00530090"/>
    <w:rsid w:val="00530095"/>
    <w:rsid w:val="0053017E"/>
    <w:rsid w:val="005304D5"/>
    <w:rsid w:val="00530504"/>
    <w:rsid w:val="00530AFC"/>
    <w:rsid w:val="00530BDE"/>
    <w:rsid w:val="00530C45"/>
    <w:rsid w:val="00530EA5"/>
    <w:rsid w:val="0053107F"/>
    <w:rsid w:val="0053110D"/>
    <w:rsid w:val="0053114F"/>
    <w:rsid w:val="005311C1"/>
    <w:rsid w:val="00531353"/>
    <w:rsid w:val="005315F7"/>
    <w:rsid w:val="0053188C"/>
    <w:rsid w:val="00531D71"/>
    <w:rsid w:val="00531DC3"/>
    <w:rsid w:val="0053204A"/>
    <w:rsid w:val="005321CA"/>
    <w:rsid w:val="00532756"/>
    <w:rsid w:val="005327E3"/>
    <w:rsid w:val="0053285B"/>
    <w:rsid w:val="005329F0"/>
    <w:rsid w:val="00532A4B"/>
    <w:rsid w:val="00532D6B"/>
    <w:rsid w:val="00532F1B"/>
    <w:rsid w:val="00532FAB"/>
    <w:rsid w:val="005332CA"/>
    <w:rsid w:val="00533425"/>
    <w:rsid w:val="0053350E"/>
    <w:rsid w:val="005338BC"/>
    <w:rsid w:val="0053396E"/>
    <w:rsid w:val="005344FF"/>
    <w:rsid w:val="00534774"/>
    <w:rsid w:val="005347DF"/>
    <w:rsid w:val="00534B0C"/>
    <w:rsid w:val="00534D54"/>
    <w:rsid w:val="00535044"/>
    <w:rsid w:val="00535232"/>
    <w:rsid w:val="0053535C"/>
    <w:rsid w:val="00535365"/>
    <w:rsid w:val="00535C06"/>
    <w:rsid w:val="00535C9C"/>
    <w:rsid w:val="00535D84"/>
    <w:rsid w:val="0053609D"/>
    <w:rsid w:val="005363B2"/>
    <w:rsid w:val="00536A87"/>
    <w:rsid w:val="0053719B"/>
    <w:rsid w:val="00537515"/>
    <w:rsid w:val="00537B57"/>
    <w:rsid w:val="00537B77"/>
    <w:rsid w:val="00537DB7"/>
    <w:rsid w:val="00537EB8"/>
    <w:rsid w:val="00540012"/>
    <w:rsid w:val="0054017E"/>
    <w:rsid w:val="005401D6"/>
    <w:rsid w:val="005402C1"/>
    <w:rsid w:val="0054032F"/>
    <w:rsid w:val="005407B5"/>
    <w:rsid w:val="00540AF8"/>
    <w:rsid w:val="005413A7"/>
    <w:rsid w:val="00541470"/>
    <w:rsid w:val="005417B0"/>
    <w:rsid w:val="00541875"/>
    <w:rsid w:val="00541949"/>
    <w:rsid w:val="00541994"/>
    <w:rsid w:val="00541BAF"/>
    <w:rsid w:val="005420DB"/>
    <w:rsid w:val="00542AC8"/>
    <w:rsid w:val="00542AFA"/>
    <w:rsid w:val="00542D7E"/>
    <w:rsid w:val="00542D9F"/>
    <w:rsid w:val="00543414"/>
    <w:rsid w:val="00543922"/>
    <w:rsid w:val="00543AA4"/>
    <w:rsid w:val="00543B11"/>
    <w:rsid w:val="00543C21"/>
    <w:rsid w:val="00544042"/>
    <w:rsid w:val="00544184"/>
    <w:rsid w:val="0054467E"/>
    <w:rsid w:val="005446C3"/>
    <w:rsid w:val="005447DE"/>
    <w:rsid w:val="00544A5F"/>
    <w:rsid w:val="00545108"/>
    <w:rsid w:val="0054518D"/>
    <w:rsid w:val="00545559"/>
    <w:rsid w:val="0054569D"/>
    <w:rsid w:val="005456E4"/>
    <w:rsid w:val="00545A75"/>
    <w:rsid w:val="00545CCC"/>
    <w:rsid w:val="00545D6C"/>
    <w:rsid w:val="00545E78"/>
    <w:rsid w:val="0054630B"/>
    <w:rsid w:val="00547170"/>
    <w:rsid w:val="00547175"/>
    <w:rsid w:val="00547252"/>
    <w:rsid w:val="00547359"/>
    <w:rsid w:val="00547461"/>
    <w:rsid w:val="00547AB3"/>
    <w:rsid w:val="00550181"/>
    <w:rsid w:val="005502C7"/>
    <w:rsid w:val="00550440"/>
    <w:rsid w:val="00550502"/>
    <w:rsid w:val="00550961"/>
    <w:rsid w:val="00550A1B"/>
    <w:rsid w:val="00550FA3"/>
    <w:rsid w:val="00550FED"/>
    <w:rsid w:val="005510F8"/>
    <w:rsid w:val="00551141"/>
    <w:rsid w:val="005511CB"/>
    <w:rsid w:val="00551305"/>
    <w:rsid w:val="00551316"/>
    <w:rsid w:val="00551974"/>
    <w:rsid w:val="00551AC6"/>
    <w:rsid w:val="00551CA4"/>
    <w:rsid w:val="00551D03"/>
    <w:rsid w:val="00551DED"/>
    <w:rsid w:val="00551E50"/>
    <w:rsid w:val="005525D7"/>
    <w:rsid w:val="0055289B"/>
    <w:rsid w:val="00552968"/>
    <w:rsid w:val="00552AF9"/>
    <w:rsid w:val="00552B6E"/>
    <w:rsid w:val="0055302B"/>
    <w:rsid w:val="00553891"/>
    <w:rsid w:val="00553F1A"/>
    <w:rsid w:val="0055408E"/>
    <w:rsid w:val="0055457E"/>
    <w:rsid w:val="00554C20"/>
    <w:rsid w:val="00554C51"/>
    <w:rsid w:val="005550DD"/>
    <w:rsid w:val="00555293"/>
    <w:rsid w:val="005552E6"/>
    <w:rsid w:val="00555A83"/>
    <w:rsid w:val="0055651E"/>
    <w:rsid w:val="005567E7"/>
    <w:rsid w:val="00556996"/>
    <w:rsid w:val="00556A31"/>
    <w:rsid w:val="0055704E"/>
    <w:rsid w:val="00557620"/>
    <w:rsid w:val="00557708"/>
    <w:rsid w:val="00557D0D"/>
    <w:rsid w:val="00557F25"/>
    <w:rsid w:val="0056026D"/>
    <w:rsid w:val="00560368"/>
    <w:rsid w:val="00560618"/>
    <w:rsid w:val="0056094F"/>
    <w:rsid w:val="00560999"/>
    <w:rsid w:val="00560A66"/>
    <w:rsid w:val="00560AEE"/>
    <w:rsid w:val="00560D31"/>
    <w:rsid w:val="00560DFF"/>
    <w:rsid w:val="005613D8"/>
    <w:rsid w:val="00561441"/>
    <w:rsid w:val="0056168C"/>
    <w:rsid w:val="00561BDB"/>
    <w:rsid w:val="00561EE4"/>
    <w:rsid w:val="00562385"/>
    <w:rsid w:val="0056245C"/>
    <w:rsid w:val="00562C16"/>
    <w:rsid w:val="005633CE"/>
    <w:rsid w:val="0056344C"/>
    <w:rsid w:val="005636DD"/>
    <w:rsid w:val="00563BD9"/>
    <w:rsid w:val="00563DE6"/>
    <w:rsid w:val="00564038"/>
    <w:rsid w:val="0056413C"/>
    <w:rsid w:val="005641C4"/>
    <w:rsid w:val="0056439E"/>
    <w:rsid w:val="005643E0"/>
    <w:rsid w:val="005646F1"/>
    <w:rsid w:val="0056497A"/>
    <w:rsid w:val="005649A5"/>
    <w:rsid w:val="00564A05"/>
    <w:rsid w:val="00564AC9"/>
    <w:rsid w:val="00564B9E"/>
    <w:rsid w:val="00564BFC"/>
    <w:rsid w:val="005650A2"/>
    <w:rsid w:val="005653D7"/>
    <w:rsid w:val="0056560A"/>
    <w:rsid w:val="00565904"/>
    <w:rsid w:val="00565A05"/>
    <w:rsid w:val="00565A1F"/>
    <w:rsid w:val="00565AC2"/>
    <w:rsid w:val="00565DB6"/>
    <w:rsid w:val="005665B2"/>
    <w:rsid w:val="00566932"/>
    <w:rsid w:val="00566F2B"/>
    <w:rsid w:val="00567051"/>
    <w:rsid w:val="0056736B"/>
    <w:rsid w:val="0056795F"/>
    <w:rsid w:val="00567D3B"/>
    <w:rsid w:val="00567E6F"/>
    <w:rsid w:val="0057006A"/>
    <w:rsid w:val="005703DE"/>
    <w:rsid w:val="0057043B"/>
    <w:rsid w:val="0057061F"/>
    <w:rsid w:val="00570634"/>
    <w:rsid w:val="00570F50"/>
    <w:rsid w:val="005713D2"/>
    <w:rsid w:val="00571860"/>
    <w:rsid w:val="00571A9F"/>
    <w:rsid w:val="00571EFB"/>
    <w:rsid w:val="00572617"/>
    <w:rsid w:val="0057278F"/>
    <w:rsid w:val="00572843"/>
    <w:rsid w:val="0057285C"/>
    <w:rsid w:val="0057290B"/>
    <w:rsid w:val="005729B6"/>
    <w:rsid w:val="00572F0C"/>
    <w:rsid w:val="00573345"/>
    <w:rsid w:val="005733C3"/>
    <w:rsid w:val="00573876"/>
    <w:rsid w:val="00573BA2"/>
    <w:rsid w:val="005743E6"/>
    <w:rsid w:val="005746F6"/>
    <w:rsid w:val="00574933"/>
    <w:rsid w:val="00574AD6"/>
    <w:rsid w:val="00574C29"/>
    <w:rsid w:val="00575154"/>
    <w:rsid w:val="0057566B"/>
    <w:rsid w:val="00575711"/>
    <w:rsid w:val="00575C21"/>
    <w:rsid w:val="00575E71"/>
    <w:rsid w:val="00576684"/>
    <w:rsid w:val="0057675F"/>
    <w:rsid w:val="00576825"/>
    <w:rsid w:val="00576DF3"/>
    <w:rsid w:val="00576E1B"/>
    <w:rsid w:val="00577016"/>
    <w:rsid w:val="00577089"/>
    <w:rsid w:val="00577C4A"/>
    <w:rsid w:val="00580126"/>
    <w:rsid w:val="005803D3"/>
    <w:rsid w:val="005803F3"/>
    <w:rsid w:val="0058073C"/>
    <w:rsid w:val="00580846"/>
    <w:rsid w:val="0058096F"/>
    <w:rsid w:val="005809A9"/>
    <w:rsid w:val="00580B8C"/>
    <w:rsid w:val="00581242"/>
    <w:rsid w:val="00581B42"/>
    <w:rsid w:val="005820E7"/>
    <w:rsid w:val="005824B5"/>
    <w:rsid w:val="005829BC"/>
    <w:rsid w:val="00582C76"/>
    <w:rsid w:val="00582E26"/>
    <w:rsid w:val="005837F5"/>
    <w:rsid w:val="0058387C"/>
    <w:rsid w:val="00583D9C"/>
    <w:rsid w:val="005842C4"/>
    <w:rsid w:val="00584990"/>
    <w:rsid w:val="005849D4"/>
    <w:rsid w:val="00584A16"/>
    <w:rsid w:val="00584C19"/>
    <w:rsid w:val="00584E5D"/>
    <w:rsid w:val="00585302"/>
    <w:rsid w:val="005856A6"/>
    <w:rsid w:val="00586478"/>
    <w:rsid w:val="0058689E"/>
    <w:rsid w:val="00586F94"/>
    <w:rsid w:val="00587212"/>
    <w:rsid w:val="00587791"/>
    <w:rsid w:val="00587832"/>
    <w:rsid w:val="005878C5"/>
    <w:rsid w:val="005878E7"/>
    <w:rsid w:val="00587CCE"/>
    <w:rsid w:val="00587D14"/>
    <w:rsid w:val="00587D35"/>
    <w:rsid w:val="00587F93"/>
    <w:rsid w:val="00590500"/>
    <w:rsid w:val="00590545"/>
    <w:rsid w:val="00590697"/>
    <w:rsid w:val="00590831"/>
    <w:rsid w:val="0059090F"/>
    <w:rsid w:val="00590CD0"/>
    <w:rsid w:val="005913D2"/>
    <w:rsid w:val="0059179E"/>
    <w:rsid w:val="00591B69"/>
    <w:rsid w:val="00591C30"/>
    <w:rsid w:val="00591C3A"/>
    <w:rsid w:val="00591CCA"/>
    <w:rsid w:val="00591F38"/>
    <w:rsid w:val="00592222"/>
    <w:rsid w:val="00592577"/>
    <w:rsid w:val="00592ED5"/>
    <w:rsid w:val="00593A05"/>
    <w:rsid w:val="00593BAF"/>
    <w:rsid w:val="00593E3C"/>
    <w:rsid w:val="00594022"/>
    <w:rsid w:val="00594262"/>
    <w:rsid w:val="005944D5"/>
    <w:rsid w:val="00594591"/>
    <w:rsid w:val="0059468E"/>
    <w:rsid w:val="00594F6D"/>
    <w:rsid w:val="00594FA2"/>
    <w:rsid w:val="005951CB"/>
    <w:rsid w:val="0059564E"/>
    <w:rsid w:val="0059565B"/>
    <w:rsid w:val="005957DD"/>
    <w:rsid w:val="00595943"/>
    <w:rsid w:val="005960BD"/>
    <w:rsid w:val="00596361"/>
    <w:rsid w:val="005964D8"/>
    <w:rsid w:val="00596B30"/>
    <w:rsid w:val="00596CDE"/>
    <w:rsid w:val="00596EC1"/>
    <w:rsid w:val="00596EFE"/>
    <w:rsid w:val="00596F4D"/>
    <w:rsid w:val="00597265"/>
    <w:rsid w:val="005974DD"/>
    <w:rsid w:val="00597908"/>
    <w:rsid w:val="00597979"/>
    <w:rsid w:val="00597E8F"/>
    <w:rsid w:val="005A024D"/>
    <w:rsid w:val="005A02A0"/>
    <w:rsid w:val="005A03F6"/>
    <w:rsid w:val="005A077C"/>
    <w:rsid w:val="005A086E"/>
    <w:rsid w:val="005A09F6"/>
    <w:rsid w:val="005A0DF4"/>
    <w:rsid w:val="005A0EC1"/>
    <w:rsid w:val="005A1063"/>
    <w:rsid w:val="005A19BD"/>
    <w:rsid w:val="005A1C13"/>
    <w:rsid w:val="005A1FFD"/>
    <w:rsid w:val="005A2422"/>
    <w:rsid w:val="005A2DBA"/>
    <w:rsid w:val="005A2FC6"/>
    <w:rsid w:val="005A30D7"/>
    <w:rsid w:val="005A31A7"/>
    <w:rsid w:val="005A3559"/>
    <w:rsid w:val="005A3CD9"/>
    <w:rsid w:val="005A4204"/>
    <w:rsid w:val="005A4435"/>
    <w:rsid w:val="005A4557"/>
    <w:rsid w:val="005A47F8"/>
    <w:rsid w:val="005A4D75"/>
    <w:rsid w:val="005A4E29"/>
    <w:rsid w:val="005A4FDD"/>
    <w:rsid w:val="005A5154"/>
    <w:rsid w:val="005A528B"/>
    <w:rsid w:val="005A57EA"/>
    <w:rsid w:val="005A58FB"/>
    <w:rsid w:val="005A59DE"/>
    <w:rsid w:val="005A5ACE"/>
    <w:rsid w:val="005A62A6"/>
    <w:rsid w:val="005A6362"/>
    <w:rsid w:val="005A63D4"/>
    <w:rsid w:val="005A63D9"/>
    <w:rsid w:val="005A6476"/>
    <w:rsid w:val="005A6548"/>
    <w:rsid w:val="005A65DB"/>
    <w:rsid w:val="005A6DD2"/>
    <w:rsid w:val="005A6FF8"/>
    <w:rsid w:val="005A708C"/>
    <w:rsid w:val="005A71D0"/>
    <w:rsid w:val="005A736C"/>
    <w:rsid w:val="005A76BE"/>
    <w:rsid w:val="005A7C4B"/>
    <w:rsid w:val="005B017B"/>
    <w:rsid w:val="005B01FE"/>
    <w:rsid w:val="005B0261"/>
    <w:rsid w:val="005B03DF"/>
    <w:rsid w:val="005B085A"/>
    <w:rsid w:val="005B0CEB"/>
    <w:rsid w:val="005B0FC3"/>
    <w:rsid w:val="005B15C8"/>
    <w:rsid w:val="005B16A8"/>
    <w:rsid w:val="005B16C9"/>
    <w:rsid w:val="005B18BF"/>
    <w:rsid w:val="005B19B5"/>
    <w:rsid w:val="005B2024"/>
    <w:rsid w:val="005B2154"/>
    <w:rsid w:val="005B21C1"/>
    <w:rsid w:val="005B231B"/>
    <w:rsid w:val="005B293B"/>
    <w:rsid w:val="005B2DAA"/>
    <w:rsid w:val="005B3352"/>
    <w:rsid w:val="005B33A8"/>
    <w:rsid w:val="005B3576"/>
    <w:rsid w:val="005B358D"/>
    <w:rsid w:val="005B365D"/>
    <w:rsid w:val="005B392E"/>
    <w:rsid w:val="005B39E7"/>
    <w:rsid w:val="005B3A1B"/>
    <w:rsid w:val="005B3A77"/>
    <w:rsid w:val="005B3AC9"/>
    <w:rsid w:val="005B4284"/>
    <w:rsid w:val="005B42EA"/>
    <w:rsid w:val="005B46DA"/>
    <w:rsid w:val="005B47A1"/>
    <w:rsid w:val="005B4C73"/>
    <w:rsid w:val="005B4D35"/>
    <w:rsid w:val="005B50A2"/>
    <w:rsid w:val="005B546C"/>
    <w:rsid w:val="005B54F3"/>
    <w:rsid w:val="005B561C"/>
    <w:rsid w:val="005B5676"/>
    <w:rsid w:val="005B5965"/>
    <w:rsid w:val="005B59B6"/>
    <w:rsid w:val="005B5B3F"/>
    <w:rsid w:val="005B5F14"/>
    <w:rsid w:val="005B6013"/>
    <w:rsid w:val="005B6071"/>
    <w:rsid w:val="005B6113"/>
    <w:rsid w:val="005B613B"/>
    <w:rsid w:val="005B6146"/>
    <w:rsid w:val="005B6431"/>
    <w:rsid w:val="005B65BA"/>
    <w:rsid w:val="005B6C71"/>
    <w:rsid w:val="005B6C8C"/>
    <w:rsid w:val="005B6CB0"/>
    <w:rsid w:val="005B6DF1"/>
    <w:rsid w:val="005B6F83"/>
    <w:rsid w:val="005B7420"/>
    <w:rsid w:val="005B759C"/>
    <w:rsid w:val="005B75AB"/>
    <w:rsid w:val="005B7661"/>
    <w:rsid w:val="005B7B6D"/>
    <w:rsid w:val="005B7EB3"/>
    <w:rsid w:val="005C001D"/>
    <w:rsid w:val="005C0330"/>
    <w:rsid w:val="005C0546"/>
    <w:rsid w:val="005C06F9"/>
    <w:rsid w:val="005C0862"/>
    <w:rsid w:val="005C09AF"/>
    <w:rsid w:val="005C09FC"/>
    <w:rsid w:val="005C0F99"/>
    <w:rsid w:val="005C0FAB"/>
    <w:rsid w:val="005C117C"/>
    <w:rsid w:val="005C1373"/>
    <w:rsid w:val="005C172E"/>
    <w:rsid w:val="005C18B5"/>
    <w:rsid w:val="005C18FD"/>
    <w:rsid w:val="005C1AF3"/>
    <w:rsid w:val="005C1C72"/>
    <w:rsid w:val="005C1C79"/>
    <w:rsid w:val="005C1E75"/>
    <w:rsid w:val="005C210E"/>
    <w:rsid w:val="005C213A"/>
    <w:rsid w:val="005C2141"/>
    <w:rsid w:val="005C22F5"/>
    <w:rsid w:val="005C250F"/>
    <w:rsid w:val="005C2648"/>
    <w:rsid w:val="005C2724"/>
    <w:rsid w:val="005C27D3"/>
    <w:rsid w:val="005C2BC9"/>
    <w:rsid w:val="005C2E2D"/>
    <w:rsid w:val="005C2EC3"/>
    <w:rsid w:val="005C3072"/>
    <w:rsid w:val="005C3264"/>
    <w:rsid w:val="005C32B3"/>
    <w:rsid w:val="005C33DF"/>
    <w:rsid w:val="005C34BA"/>
    <w:rsid w:val="005C355C"/>
    <w:rsid w:val="005C3588"/>
    <w:rsid w:val="005C385F"/>
    <w:rsid w:val="005C40CD"/>
    <w:rsid w:val="005C42A3"/>
    <w:rsid w:val="005C42BA"/>
    <w:rsid w:val="005C43C1"/>
    <w:rsid w:val="005C4515"/>
    <w:rsid w:val="005C462D"/>
    <w:rsid w:val="005C47FD"/>
    <w:rsid w:val="005C488F"/>
    <w:rsid w:val="005C4B93"/>
    <w:rsid w:val="005C4F9D"/>
    <w:rsid w:val="005C53E4"/>
    <w:rsid w:val="005C5748"/>
    <w:rsid w:val="005C58B8"/>
    <w:rsid w:val="005C5D58"/>
    <w:rsid w:val="005C5FBB"/>
    <w:rsid w:val="005C6054"/>
    <w:rsid w:val="005C6122"/>
    <w:rsid w:val="005C62E9"/>
    <w:rsid w:val="005C6390"/>
    <w:rsid w:val="005C6507"/>
    <w:rsid w:val="005C68A3"/>
    <w:rsid w:val="005C6969"/>
    <w:rsid w:val="005C6D0F"/>
    <w:rsid w:val="005C78A5"/>
    <w:rsid w:val="005C79BF"/>
    <w:rsid w:val="005C7E0C"/>
    <w:rsid w:val="005C7E23"/>
    <w:rsid w:val="005D0025"/>
    <w:rsid w:val="005D0065"/>
    <w:rsid w:val="005D0331"/>
    <w:rsid w:val="005D03BC"/>
    <w:rsid w:val="005D0402"/>
    <w:rsid w:val="005D06CF"/>
    <w:rsid w:val="005D073B"/>
    <w:rsid w:val="005D09F6"/>
    <w:rsid w:val="005D0ACC"/>
    <w:rsid w:val="005D0F86"/>
    <w:rsid w:val="005D1330"/>
    <w:rsid w:val="005D1C88"/>
    <w:rsid w:val="005D1E9D"/>
    <w:rsid w:val="005D20AE"/>
    <w:rsid w:val="005D25BD"/>
    <w:rsid w:val="005D2665"/>
    <w:rsid w:val="005D26AE"/>
    <w:rsid w:val="005D2F48"/>
    <w:rsid w:val="005D33BB"/>
    <w:rsid w:val="005D3646"/>
    <w:rsid w:val="005D3AAF"/>
    <w:rsid w:val="005D3F60"/>
    <w:rsid w:val="005D4996"/>
    <w:rsid w:val="005D4ADF"/>
    <w:rsid w:val="005D4C04"/>
    <w:rsid w:val="005D532C"/>
    <w:rsid w:val="005D5354"/>
    <w:rsid w:val="005D55B1"/>
    <w:rsid w:val="005D562E"/>
    <w:rsid w:val="005D62A8"/>
    <w:rsid w:val="005D64DB"/>
    <w:rsid w:val="005D6595"/>
    <w:rsid w:val="005D66F1"/>
    <w:rsid w:val="005D68C3"/>
    <w:rsid w:val="005D6EF9"/>
    <w:rsid w:val="005D73F7"/>
    <w:rsid w:val="005D755B"/>
    <w:rsid w:val="005D7A7E"/>
    <w:rsid w:val="005D7C7E"/>
    <w:rsid w:val="005D7CF7"/>
    <w:rsid w:val="005D7D20"/>
    <w:rsid w:val="005D7D84"/>
    <w:rsid w:val="005D7F11"/>
    <w:rsid w:val="005E0055"/>
    <w:rsid w:val="005E0361"/>
    <w:rsid w:val="005E050A"/>
    <w:rsid w:val="005E0858"/>
    <w:rsid w:val="005E085E"/>
    <w:rsid w:val="005E098F"/>
    <w:rsid w:val="005E0B58"/>
    <w:rsid w:val="005E0BA8"/>
    <w:rsid w:val="005E0BFB"/>
    <w:rsid w:val="005E0CAE"/>
    <w:rsid w:val="005E0EE6"/>
    <w:rsid w:val="005E10C8"/>
    <w:rsid w:val="005E150C"/>
    <w:rsid w:val="005E1529"/>
    <w:rsid w:val="005E15D5"/>
    <w:rsid w:val="005E1D7D"/>
    <w:rsid w:val="005E2499"/>
    <w:rsid w:val="005E2520"/>
    <w:rsid w:val="005E265D"/>
    <w:rsid w:val="005E26E7"/>
    <w:rsid w:val="005E28F6"/>
    <w:rsid w:val="005E2B89"/>
    <w:rsid w:val="005E2D7D"/>
    <w:rsid w:val="005E2FE6"/>
    <w:rsid w:val="005E3064"/>
    <w:rsid w:val="005E30D3"/>
    <w:rsid w:val="005E34FC"/>
    <w:rsid w:val="005E353E"/>
    <w:rsid w:val="005E3663"/>
    <w:rsid w:val="005E3EAF"/>
    <w:rsid w:val="005E3FFF"/>
    <w:rsid w:val="005E446D"/>
    <w:rsid w:val="005E475A"/>
    <w:rsid w:val="005E4DB7"/>
    <w:rsid w:val="005E4F05"/>
    <w:rsid w:val="005E4F95"/>
    <w:rsid w:val="005E565A"/>
    <w:rsid w:val="005E5962"/>
    <w:rsid w:val="005E5B45"/>
    <w:rsid w:val="005E5C5C"/>
    <w:rsid w:val="005E60F8"/>
    <w:rsid w:val="005E67CC"/>
    <w:rsid w:val="005E681F"/>
    <w:rsid w:val="005E6843"/>
    <w:rsid w:val="005E6855"/>
    <w:rsid w:val="005E68A4"/>
    <w:rsid w:val="005E6C34"/>
    <w:rsid w:val="005E6E89"/>
    <w:rsid w:val="005E7629"/>
    <w:rsid w:val="005E774B"/>
    <w:rsid w:val="005E7B62"/>
    <w:rsid w:val="005E7C27"/>
    <w:rsid w:val="005E7CC5"/>
    <w:rsid w:val="005F00C6"/>
    <w:rsid w:val="005F012E"/>
    <w:rsid w:val="005F0169"/>
    <w:rsid w:val="005F0198"/>
    <w:rsid w:val="005F0490"/>
    <w:rsid w:val="005F04D0"/>
    <w:rsid w:val="005F0CC9"/>
    <w:rsid w:val="005F0CFC"/>
    <w:rsid w:val="005F0DBD"/>
    <w:rsid w:val="005F13DC"/>
    <w:rsid w:val="005F14AD"/>
    <w:rsid w:val="005F186A"/>
    <w:rsid w:val="005F1F4F"/>
    <w:rsid w:val="005F203E"/>
    <w:rsid w:val="005F2388"/>
    <w:rsid w:val="005F25A7"/>
    <w:rsid w:val="005F28E3"/>
    <w:rsid w:val="005F2AFF"/>
    <w:rsid w:val="005F2EA9"/>
    <w:rsid w:val="005F31B6"/>
    <w:rsid w:val="005F32BA"/>
    <w:rsid w:val="005F3600"/>
    <w:rsid w:val="005F367C"/>
    <w:rsid w:val="005F36F9"/>
    <w:rsid w:val="005F3B12"/>
    <w:rsid w:val="005F3B57"/>
    <w:rsid w:val="005F3BA9"/>
    <w:rsid w:val="005F3D35"/>
    <w:rsid w:val="005F40CA"/>
    <w:rsid w:val="005F4310"/>
    <w:rsid w:val="005F459C"/>
    <w:rsid w:val="005F459D"/>
    <w:rsid w:val="005F48D7"/>
    <w:rsid w:val="005F497F"/>
    <w:rsid w:val="005F4980"/>
    <w:rsid w:val="005F4AA9"/>
    <w:rsid w:val="005F4B3C"/>
    <w:rsid w:val="005F4B79"/>
    <w:rsid w:val="005F4D6B"/>
    <w:rsid w:val="005F4D9D"/>
    <w:rsid w:val="005F4F0E"/>
    <w:rsid w:val="005F51A6"/>
    <w:rsid w:val="005F527F"/>
    <w:rsid w:val="005F54AD"/>
    <w:rsid w:val="005F57E9"/>
    <w:rsid w:val="005F6123"/>
    <w:rsid w:val="005F6138"/>
    <w:rsid w:val="005F6189"/>
    <w:rsid w:val="005F6467"/>
    <w:rsid w:val="005F65A5"/>
    <w:rsid w:val="005F6918"/>
    <w:rsid w:val="005F6950"/>
    <w:rsid w:val="005F6B85"/>
    <w:rsid w:val="005F6C1E"/>
    <w:rsid w:val="005F6E98"/>
    <w:rsid w:val="005F705B"/>
    <w:rsid w:val="005F7495"/>
    <w:rsid w:val="005F7529"/>
    <w:rsid w:val="005F7835"/>
    <w:rsid w:val="005F78E9"/>
    <w:rsid w:val="005F7E6E"/>
    <w:rsid w:val="005F7FF0"/>
    <w:rsid w:val="0060053D"/>
    <w:rsid w:val="006006AC"/>
    <w:rsid w:val="006008B5"/>
    <w:rsid w:val="00600DDA"/>
    <w:rsid w:val="00600E35"/>
    <w:rsid w:val="00600F62"/>
    <w:rsid w:val="00601267"/>
    <w:rsid w:val="006012B4"/>
    <w:rsid w:val="00601A1E"/>
    <w:rsid w:val="00601A83"/>
    <w:rsid w:val="00601B29"/>
    <w:rsid w:val="00602195"/>
    <w:rsid w:val="006023AC"/>
    <w:rsid w:val="0060254C"/>
    <w:rsid w:val="00602786"/>
    <w:rsid w:val="0060305A"/>
    <w:rsid w:val="00603478"/>
    <w:rsid w:val="006034A3"/>
    <w:rsid w:val="00603596"/>
    <w:rsid w:val="00603674"/>
    <w:rsid w:val="006037FB"/>
    <w:rsid w:val="00603955"/>
    <w:rsid w:val="00603BDE"/>
    <w:rsid w:val="00603DFA"/>
    <w:rsid w:val="00604135"/>
    <w:rsid w:val="00604530"/>
    <w:rsid w:val="006049FE"/>
    <w:rsid w:val="00604BE5"/>
    <w:rsid w:val="00605117"/>
    <w:rsid w:val="006057C1"/>
    <w:rsid w:val="00605905"/>
    <w:rsid w:val="00605B26"/>
    <w:rsid w:val="00605D53"/>
    <w:rsid w:val="006061E6"/>
    <w:rsid w:val="006063FB"/>
    <w:rsid w:val="00606F2D"/>
    <w:rsid w:val="006073B1"/>
    <w:rsid w:val="00607686"/>
    <w:rsid w:val="00607828"/>
    <w:rsid w:val="00607A68"/>
    <w:rsid w:val="00607A79"/>
    <w:rsid w:val="00607ECA"/>
    <w:rsid w:val="00610175"/>
    <w:rsid w:val="006103BD"/>
    <w:rsid w:val="006105C9"/>
    <w:rsid w:val="00610FC0"/>
    <w:rsid w:val="00611148"/>
    <w:rsid w:val="0061191C"/>
    <w:rsid w:val="00611BCC"/>
    <w:rsid w:val="00611C97"/>
    <w:rsid w:val="00611CC3"/>
    <w:rsid w:val="00611EAA"/>
    <w:rsid w:val="00611EDF"/>
    <w:rsid w:val="00612113"/>
    <w:rsid w:val="00612371"/>
    <w:rsid w:val="00612CEF"/>
    <w:rsid w:val="00613657"/>
    <w:rsid w:val="006137E8"/>
    <w:rsid w:val="00613852"/>
    <w:rsid w:val="00613CD2"/>
    <w:rsid w:val="00613DBD"/>
    <w:rsid w:val="0061424C"/>
    <w:rsid w:val="00614AAE"/>
    <w:rsid w:val="00614B0F"/>
    <w:rsid w:val="00614EAE"/>
    <w:rsid w:val="00615154"/>
    <w:rsid w:val="00615390"/>
    <w:rsid w:val="0061557E"/>
    <w:rsid w:val="0061602C"/>
    <w:rsid w:val="00616366"/>
    <w:rsid w:val="0061644E"/>
    <w:rsid w:val="0061673B"/>
    <w:rsid w:val="0061676B"/>
    <w:rsid w:val="006175E7"/>
    <w:rsid w:val="006176A5"/>
    <w:rsid w:val="00617DEF"/>
    <w:rsid w:val="00617E54"/>
    <w:rsid w:val="006201C3"/>
    <w:rsid w:val="00620265"/>
    <w:rsid w:val="006207F3"/>
    <w:rsid w:val="006209D4"/>
    <w:rsid w:val="006210C4"/>
    <w:rsid w:val="00621213"/>
    <w:rsid w:val="0062163A"/>
    <w:rsid w:val="00621D69"/>
    <w:rsid w:val="00621DBC"/>
    <w:rsid w:val="00621E49"/>
    <w:rsid w:val="00621F29"/>
    <w:rsid w:val="00621FBB"/>
    <w:rsid w:val="00622244"/>
    <w:rsid w:val="00622341"/>
    <w:rsid w:val="00622471"/>
    <w:rsid w:val="00622791"/>
    <w:rsid w:val="00622917"/>
    <w:rsid w:val="00622C71"/>
    <w:rsid w:val="00623097"/>
    <w:rsid w:val="006230BC"/>
    <w:rsid w:val="0062326F"/>
    <w:rsid w:val="00623338"/>
    <w:rsid w:val="006238B7"/>
    <w:rsid w:val="00623A0E"/>
    <w:rsid w:val="00623BC2"/>
    <w:rsid w:val="00623EF5"/>
    <w:rsid w:val="0062401F"/>
    <w:rsid w:val="0062404B"/>
    <w:rsid w:val="006241B1"/>
    <w:rsid w:val="006242D1"/>
    <w:rsid w:val="00624565"/>
    <w:rsid w:val="006248F9"/>
    <w:rsid w:val="00624AF2"/>
    <w:rsid w:val="00624EB2"/>
    <w:rsid w:val="00624F19"/>
    <w:rsid w:val="00625292"/>
    <w:rsid w:val="006252E6"/>
    <w:rsid w:val="00625491"/>
    <w:rsid w:val="00625831"/>
    <w:rsid w:val="00625AC1"/>
    <w:rsid w:val="00625B49"/>
    <w:rsid w:val="00625B99"/>
    <w:rsid w:val="00625BA5"/>
    <w:rsid w:val="00625C21"/>
    <w:rsid w:val="00625C26"/>
    <w:rsid w:val="00625C5F"/>
    <w:rsid w:val="00625E2A"/>
    <w:rsid w:val="0062620F"/>
    <w:rsid w:val="00626313"/>
    <w:rsid w:val="00626810"/>
    <w:rsid w:val="0062689E"/>
    <w:rsid w:val="00626CDD"/>
    <w:rsid w:val="00626EBA"/>
    <w:rsid w:val="006272BF"/>
    <w:rsid w:val="00627C84"/>
    <w:rsid w:val="00627D12"/>
    <w:rsid w:val="00627D6C"/>
    <w:rsid w:val="00627FDA"/>
    <w:rsid w:val="00630007"/>
    <w:rsid w:val="00630014"/>
    <w:rsid w:val="006302D8"/>
    <w:rsid w:val="00630898"/>
    <w:rsid w:val="00630ADA"/>
    <w:rsid w:val="00631536"/>
    <w:rsid w:val="0063169E"/>
    <w:rsid w:val="00631B39"/>
    <w:rsid w:val="00631BFF"/>
    <w:rsid w:val="00631C09"/>
    <w:rsid w:val="00631E75"/>
    <w:rsid w:val="00631EE9"/>
    <w:rsid w:val="0063230C"/>
    <w:rsid w:val="006323CC"/>
    <w:rsid w:val="006327E2"/>
    <w:rsid w:val="00632966"/>
    <w:rsid w:val="006329F4"/>
    <w:rsid w:val="00632F14"/>
    <w:rsid w:val="00633764"/>
    <w:rsid w:val="006337C8"/>
    <w:rsid w:val="006339E5"/>
    <w:rsid w:val="00634226"/>
    <w:rsid w:val="0063431B"/>
    <w:rsid w:val="00634668"/>
    <w:rsid w:val="00634703"/>
    <w:rsid w:val="00634853"/>
    <w:rsid w:val="00634DCA"/>
    <w:rsid w:val="00634FB1"/>
    <w:rsid w:val="00635004"/>
    <w:rsid w:val="006350C9"/>
    <w:rsid w:val="0063518F"/>
    <w:rsid w:val="006355A0"/>
    <w:rsid w:val="006355DE"/>
    <w:rsid w:val="00635882"/>
    <w:rsid w:val="00635897"/>
    <w:rsid w:val="006359B1"/>
    <w:rsid w:val="00635AA7"/>
    <w:rsid w:val="00635DF6"/>
    <w:rsid w:val="00635E23"/>
    <w:rsid w:val="00635F0B"/>
    <w:rsid w:val="0063600E"/>
    <w:rsid w:val="0063603B"/>
    <w:rsid w:val="006364FA"/>
    <w:rsid w:val="00636629"/>
    <w:rsid w:val="00636C00"/>
    <w:rsid w:val="00636EE6"/>
    <w:rsid w:val="00637549"/>
    <w:rsid w:val="00637836"/>
    <w:rsid w:val="00637C89"/>
    <w:rsid w:val="00637CF7"/>
    <w:rsid w:val="00637ED3"/>
    <w:rsid w:val="00637F4F"/>
    <w:rsid w:val="00640128"/>
    <w:rsid w:val="0064039E"/>
    <w:rsid w:val="006404C2"/>
    <w:rsid w:val="0064051F"/>
    <w:rsid w:val="00640B9E"/>
    <w:rsid w:val="006411A4"/>
    <w:rsid w:val="00641334"/>
    <w:rsid w:val="00641337"/>
    <w:rsid w:val="006414B9"/>
    <w:rsid w:val="0064160A"/>
    <w:rsid w:val="00641CF5"/>
    <w:rsid w:val="006420FB"/>
    <w:rsid w:val="006423BB"/>
    <w:rsid w:val="00642416"/>
    <w:rsid w:val="00642713"/>
    <w:rsid w:val="00642820"/>
    <w:rsid w:val="0064292C"/>
    <w:rsid w:val="00642E9F"/>
    <w:rsid w:val="00643578"/>
    <w:rsid w:val="0064365C"/>
    <w:rsid w:val="00643E31"/>
    <w:rsid w:val="00644059"/>
    <w:rsid w:val="006441AB"/>
    <w:rsid w:val="00644829"/>
    <w:rsid w:val="00644F2F"/>
    <w:rsid w:val="00645129"/>
    <w:rsid w:val="00645663"/>
    <w:rsid w:val="0064581B"/>
    <w:rsid w:val="00645BFD"/>
    <w:rsid w:val="00645F6E"/>
    <w:rsid w:val="0064618B"/>
    <w:rsid w:val="00646775"/>
    <w:rsid w:val="00646AE2"/>
    <w:rsid w:val="00646D64"/>
    <w:rsid w:val="00647096"/>
    <w:rsid w:val="006470B9"/>
    <w:rsid w:val="00647295"/>
    <w:rsid w:val="006474A9"/>
    <w:rsid w:val="00647F95"/>
    <w:rsid w:val="00647FFB"/>
    <w:rsid w:val="006503AF"/>
    <w:rsid w:val="00650818"/>
    <w:rsid w:val="00650FDB"/>
    <w:rsid w:val="0065100A"/>
    <w:rsid w:val="00651068"/>
    <w:rsid w:val="0065147E"/>
    <w:rsid w:val="00651503"/>
    <w:rsid w:val="006516AA"/>
    <w:rsid w:val="006517D7"/>
    <w:rsid w:val="00651A6E"/>
    <w:rsid w:val="00651B81"/>
    <w:rsid w:val="00651CB6"/>
    <w:rsid w:val="00651FA8"/>
    <w:rsid w:val="006520D7"/>
    <w:rsid w:val="0065241D"/>
    <w:rsid w:val="006524ED"/>
    <w:rsid w:val="00652A12"/>
    <w:rsid w:val="00652C45"/>
    <w:rsid w:val="00652C63"/>
    <w:rsid w:val="00653449"/>
    <w:rsid w:val="00653D76"/>
    <w:rsid w:val="00653F38"/>
    <w:rsid w:val="00654277"/>
    <w:rsid w:val="00654593"/>
    <w:rsid w:val="00654A26"/>
    <w:rsid w:val="00654C7F"/>
    <w:rsid w:val="00654CFE"/>
    <w:rsid w:val="00654D69"/>
    <w:rsid w:val="006552E7"/>
    <w:rsid w:val="0065553E"/>
    <w:rsid w:val="006558E0"/>
    <w:rsid w:val="006559AB"/>
    <w:rsid w:val="006559DD"/>
    <w:rsid w:val="00655E08"/>
    <w:rsid w:val="00655E3E"/>
    <w:rsid w:val="00655E5D"/>
    <w:rsid w:val="00655FA9"/>
    <w:rsid w:val="006560D4"/>
    <w:rsid w:val="00656151"/>
    <w:rsid w:val="006562AE"/>
    <w:rsid w:val="00656552"/>
    <w:rsid w:val="006566D6"/>
    <w:rsid w:val="00656AB2"/>
    <w:rsid w:val="00656B5A"/>
    <w:rsid w:val="00656C47"/>
    <w:rsid w:val="006571BA"/>
    <w:rsid w:val="00657574"/>
    <w:rsid w:val="006575A2"/>
    <w:rsid w:val="006576D2"/>
    <w:rsid w:val="006578AF"/>
    <w:rsid w:val="00657B8C"/>
    <w:rsid w:val="00657C27"/>
    <w:rsid w:val="00657CF4"/>
    <w:rsid w:val="0066032E"/>
    <w:rsid w:val="00660808"/>
    <w:rsid w:val="00660CF5"/>
    <w:rsid w:val="00660F91"/>
    <w:rsid w:val="00661A39"/>
    <w:rsid w:val="00661B93"/>
    <w:rsid w:val="00661DF3"/>
    <w:rsid w:val="00661E56"/>
    <w:rsid w:val="006620F3"/>
    <w:rsid w:val="006623A4"/>
    <w:rsid w:val="00662FA3"/>
    <w:rsid w:val="00663653"/>
    <w:rsid w:val="006636AB"/>
    <w:rsid w:val="00663771"/>
    <w:rsid w:val="00663BEE"/>
    <w:rsid w:val="00663C80"/>
    <w:rsid w:val="00663CC1"/>
    <w:rsid w:val="00664352"/>
    <w:rsid w:val="00664353"/>
    <w:rsid w:val="00664420"/>
    <w:rsid w:val="006645A0"/>
    <w:rsid w:val="006647E1"/>
    <w:rsid w:val="00664AF4"/>
    <w:rsid w:val="00664C08"/>
    <w:rsid w:val="006650E3"/>
    <w:rsid w:val="006652CD"/>
    <w:rsid w:val="006652E7"/>
    <w:rsid w:val="00665408"/>
    <w:rsid w:val="00665517"/>
    <w:rsid w:val="0066563D"/>
    <w:rsid w:val="006658FC"/>
    <w:rsid w:val="00665AD8"/>
    <w:rsid w:val="00665BC7"/>
    <w:rsid w:val="00665BF3"/>
    <w:rsid w:val="00665E4F"/>
    <w:rsid w:val="006661EE"/>
    <w:rsid w:val="0066663E"/>
    <w:rsid w:val="00666688"/>
    <w:rsid w:val="006666BD"/>
    <w:rsid w:val="0066694F"/>
    <w:rsid w:val="00666996"/>
    <w:rsid w:val="00666AFF"/>
    <w:rsid w:val="00666B59"/>
    <w:rsid w:val="00666DC7"/>
    <w:rsid w:val="006670F6"/>
    <w:rsid w:val="00667542"/>
    <w:rsid w:val="00667B12"/>
    <w:rsid w:val="00667F17"/>
    <w:rsid w:val="0067021F"/>
    <w:rsid w:val="006707AF"/>
    <w:rsid w:val="0067134A"/>
    <w:rsid w:val="00671383"/>
    <w:rsid w:val="006715ED"/>
    <w:rsid w:val="00671834"/>
    <w:rsid w:val="006718C1"/>
    <w:rsid w:val="0067193E"/>
    <w:rsid w:val="00671AF1"/>
    <w:rsid w:val="00671AFF"/>
    <w:rsid w:val="00671D16"/>
    <w:rsid w:val="00672222"/>
    <w:rsid w:val="006723DC"/>
    <w:rsid w:val="00672789"/>
    <w:rsid w:val="0067290D"/>
    <w:rsid w:val="00672C5E"/>
    <w:rsid w:val="00672CA1"/>
    <w:rsid w:val="00672F9B"/>
    <w:rsid w:val="00673227"/>
    <w:rsid w:val="00673AEA"/>
    <w:rsid w:val="00673B0E"/>
    <w:rsid w:val="00673C3E"/>
    <w:rsid w:val="00673C4E"/>
    <w:rsid w:val="00673D0A"/>
    <w:rsid w:val="00674023"/>
    <w:rsid w:val="0067467F"/>
    <w:rsid w:val="0067498B"/>
    <w:rsid w:val="00674A39"/>
    <w:rsid w:val="00674BCF"/>
    <w:rsid w:val="00675278"/>
    <w:rsid w:val="00675358"/>
    <w:rsid w:val="00675B42"/>
    <w:rsid w:val="00676794"/>
    <w:rsid w:val="0067702D"/>
    <w:rsid w:val="0067729B"/>
    <w:rsid w:val="00677399"/>
    <w:rsid w:val="006776C6"/>
    <w:rsid w:val="0067792C"/>
    <w:rsid w:val="00677A22"/>
    <w:rsid w:val="00677B79"/>
    <w:rsid w:val="00677EB3"/>
    <w:rsid w:val="0068002C"/>
    <w:rsid w:val="0068013A"/>
    <w:rsid w:val="0068025A"/>
    <w:rsid w:val="00680A1A"/>
    <w:rsid w:val="006812D5"/>
    <w:rsid w:val="0068163C"/>
    <w:rsid w:val="00681916"/>
    <w:rsid w:val="00681B39"/>
    <w:rsid w:val="00681D76"/>
    <w:rsid w:val="00681F25"/>
    <w:rsid w:val="00681F30"/>
    <w:rsid w:val="0068215C"/>
    <w:rsid w:val="006823A2"/>
    <w:rsid w:val="0068299F"/>
    <w:rsid w:val="00682CC4"/>
    <w:rsid w:val="00682D5D"/>
    <w:rsid w:val="006830CC"/>
    <w:rsid w:val="00683229"/>
    <w:rsid w:val="00683BAC"/>
    <w:rsid w:val="00683DAD"/>
    <w:rsid w:val="00684431"/>
    <w:rsid w:val="006846F1"/>
    <w:rsid w:val="00684775"/>
    <w:rsid w:val="006847A7"/>
    <w:rsid w:val="00684D02"/>
    <w:rsid w:val="00684F17"/>
    <w:rsid w:val="00684FE3"/>
    <w:rsid w:val="006851A7"/>
    <w:rsid w:val="006856FE"/>
    <w:rsid w:val="00685770"/>
    <w:rsid w:val="0068615D"/>
    <w:rsid w:val="006862C0"/>
    <w:rsid w:val="00686691"/>
    <w:rsid w:val="00686745"/>
    <w:rsid w:val="0068690C"/>
    <w:rsid w:val="00686AB9"/>
    <w:rsid w:val="00686B37"/>
    <w:rsid w:val="00686BA9"/>
    <w:rsid w:val="00687609"/>
    <w:rsid w:val="00687A3C"/>
    <w:rsid w:val="00687A47"/>
    <w:rsid w:val="00687A78"/>
    <w:rsid w:val="00687E6B"/>
    <w:rsid w:val="006901A6"/>
    <w:rsid w:val="0069040C"/>
    <w:rsid w:val="006904AF"/>
    <w:rsid w:val="0069075C"/>
    <w:rsid w:val="006909D8"/>
    <w:rsid w:val="00690A4C"/>
    <w:rsid w:val="00690A61"/>
    <w:rsid w:val="00690B36"/>
    <w:rsid w:val="00690D61"/>
    <w:rsid w:val="00690E9C"/>
    <w:rsid w:val="00690EAC"/>
    <w:rsid w:val="00690EE8"/>
    <w:rsid w:val="00690FCE"/>
    <w:rsid w:val="00691400"/>
    <w:rsid w:val="00691485"/>
    <w:rsid w:val="00691D52"/>
    <w:rsid w:val="00691FA1"/>
    <w:rsid w:val="006920CF"/>
    <w:rsid w:val="006920E9"/>
    <w:rsid w:val="006924D8"/>
    <w:rsid w:val="006928F9"/>
    <w:rsid w:val="00692D3B"/>
    <w:rsid w:val="00693108"/>
    <w:rsid w:val="00693439"/>
    <w:rsid w:val="006934D7"/>
    <w:rsid w:val="00693703"/>
    <w:rsid w:val="00693B41"/>
    <w:rsid w:val="00693DD2"/>
    <w:rsid w:val="00693F05"/>
    <w:rsid w:val="006940D1"/>
    <w:rsid w:val="006948F5"/>
    <w:rsid w:val="00694A27"/>
    <w:rsid w:val="00694B30"/>
    <w:rsid w:val="00694BE1"/>
    <w:rsid w:val="006950D5"/>
    <w:rsid w:val="0069522F"/>
    <w:rsid w:val="006953CA"/>
    <w:rsid w:val="006957EA"/>
    <w:rsid w:val="00695C49"/>
    <w:rsid w:val="00695DB4"/>
    <w:rsid w:val="00695F12"/>
    <w:rsid w:val="00695F6F"/>
    <w:rsid w:val="0069614C"/>
    <w:rsid w:val="00696D0B"/>
    <w:rsid w:val="0069712F"/>
    <w:rsid w:val="00697439"/>
    <w:rsid w:val="006979AC"/>
    <w:rsid w:val="00697CC8"/>
    <w:rsid w:val="00697EAF"/>
    <w:rsid w:val="006A0147"/>
    <w:rsid w:val="006A0625"/>
    <w:rsid w:val="006A07E3"/>
    <w:rsid w:val="006A0910"/>
    <w:rsid w:val="006A0DD9"/>
    <w:rsid w:val="006A144C"/>
    <w:rsid w:val="006A1729"/>
    <w:rsid w:val="006A1A40"/>
    <w:rsid w:val="006A1C69"/>
    <w:rsid w:val="006A1EDC"/>
    <w:rsid w:val="006A2015"/>
    <w:rsid w:val="006A20E1"/>
    <w:rsid w:val="006A2316"/>
    <w:rsid w:val="006A23D0"/>
    <w:rsid w:val="006A25D5"/>
    <w:rsid w:val="006A2B15"/>
    <w:rsid w:val="006A3143"/>
    <w:rsid w:val="006A336D"/>
    <w:rsid w:val="006A3542"/>
    <w:rsid w:val="006A3D47"/>
    <w:rsid w:val="006A3DBB"/>
    <w:rsid w:val="006A3F38"/>
    <w:rsid w:val="006A4343"/>
    <w:rsid w:val="006A4560"/>
    <w:rsid w:val="006A4642"/>
    <w:rsid w:val="006A498A"/>
    <w:rsid w:val="006A49AB"/>
    <w:rsid w:val="006A4B12"/>
    <w:rsid w:val="006A4B61"/>
    <w:rsid w:val="006A52E9"/>
    <w:rsid w:val="006A53FA"/>
    <w:rsid w:val="006A5438"/>
    <w:rsid w:val="006A5655"/>
    <w:rsid w:val="006A5844"/>
    <w:rsid w:val="006A5C3C"/>
    <w:rsid w:val="006A5F8D"/>
    <w:rsid w:val="006A60F9"/>
    <w:rsid w:val="006A633B"/>
    <w:rsid w:val="006A6B85"/>
    <w:rsid w:val="006A6BD1"/>
    <w:rsid w:val="006A6DE6"/>
    <w:rsid w:val="006A6FB1"/>
    <w:rsid w:val="006A7D4F"/>
    <w:rsid w:val="006A7E13"/>
    <w:rsid w:val="006A7E7E"/>
    <w:rsid w:val="006B0419"/>
    <w:rsid w:val="006B0B5D"/>
    <w:rsid w:val="006B0D91"/>
    <w:rsid w:val="006B1046"/>
    <w:rsid w:val="006B1358"/>
    <w:rsid w:val="006B1454"/>
    <w:rsid w:val="006B1536"/>
    <w:rsid w:val="006B16C5"/>
    <w:rsid w:val="006B1724"/>
    <w:rsid w:val="006B1E54"/>
    <w:rsid w:val="006B1ED6"/>
    <w:rsid w:val="006B2192"/>
    <w:rsid w:val="006B21D4"/>
    <w:rsid w:val="006B2216"/>
    <w:rsid w:val="006B224C"/>
    <w:rsid w:val="006B28A1"/>
    <w:rsid w:val="006B2A1A"/>
    <w:rsid w:val="006B2C25"/>
    <w:rsid w:val="006B2E27"/>
    <w:rsid w:val="006B2EB5"/>
    <w:rsid w:val="006B35B7"/>
    <w:rsid w:val="006B3975"/>
    <w:rsid w:val="006B3A10"/>
    <w:rsid w:val="006B3B52"/>
    <w:rsid w:val="006B3E04"/>
    <w:rsid w:val="006B4203"/>
    <w:rsid w:val="006B44E5"/>
    <w:rsid w:val="006B47F2"/>
    <w:rsid w:val="006B4A2A"/>
    <w:rsid w:val="006B4A83"/>
    <w:rsid w:val="006B4C21"/>
    <w:rsid w:val="006B4F34"/>
    <w:rsid w:val="006B5195"/>
    <w:rsid w:val="006B5683"/>
    <w:rsid w:val="006B56A3"/>
    <w:rsid w:val="006B5E46"/>
    <w:rsid w:val="006B5ED5"/>
    <w:rsid w:val="006B6239"/>
    <w:rsid w:val="006B636D"/>
    <w:rsid w:val="006B638E"/>
    <w:rsid w:val="006B6A8A"/>
    <w:rsid w:val="006B6F5C"/>
    <w:rsid w:val="006B6FCB"/>
    <w:rsid w:val="006B7108"/>
    <w:rsid w:val="006B747E"/>
    <w:rsid w:val="006B77B2"/>
    <w:rsid w:val="006B78F7"/>
    <w:rsid w:val="006B7B8E"/>
    <w:rsid w:val="006B7EAF"/>
    <w:rsid w:val="006B7ECD"/>
    <w:rsid w:val="006B7F06"/>
    <w:rsid w:val="006B7FD4"/>
    <w:rsid w:val="006C00D2"/>
    <w:rsid w:val="006C086F"/>
    <w:rsid w:val="006C0A69"/>
    <w:rsid w:val="006C0FC5"/>
    <w:rsid w:val="006C1A9A"/>
    <w:rsid w:val="006C1DA6"/>
    <w:rsid w:val="006C223F"/>
    <w:rsid w:val="006C248F"/>
    <w:rsid w:val="006C268B"/>
    <w:rsid w:val="006C2A34"/>
    <w:rsid w:val="006C2C01"/>
    <w:rsid w:val="006C2C50"/>
    <w:rsid w:val="006C2C51"/>
    <w:rsid w:val="006C2C64"/>
    <w:rsid w:val="006C3034"/>
    <w:rsid w:val="006C30D7"/>
    <w:rsid w:val="006C30FB"/>
    <w:rsid w:val="006C3334"/>
    <w:rsid w:val="006C352D"/>
    <w:rsid w:val="006C3AA9"/>
    <w:rsid w:val="006C3BBC"/>
    <w:rsid w:val="006C3C1C"/>
    <w:rsid w:val="006C3F28"/>
    <w:rsid w:val="006C4763"/>
    <w:rsid w:val="006C4918"/>
    <w:rsid w:val="006C55B7"/>
    <w:rsid w:val="006C5FAC"/>
    <w:rsid w:val="006C6119"/>
    <w:rsid w:val="006C630E"/>
    <w:rsid w:val="006C6493"/>
    <w:rsid w:val="006C6842"/>
    <w:rsid w:val="006C685D"/>
    <w:rsid w:val="006C69F5"/>
    <w:rsid w:val="006C7061"/>
    <w:rsid w:val="006C7194"/>
    <w:rsid w:val="006C71DD"/>
    <w:rsid w:val="006C769A"/>
    <w:rsid w:val="006C7850"/>
    <w:rsid w:val="006C7A6E"/>
    <w:rsid w:val="006D02E3"/>
    <w:rsid w:val="006D066C"/>
    <w:rsid w:val="006D0766"/>
    <w:rsid w:val="006D07BA"/>
    <w:rsid w:val="006D087C"/>
    <w:rsid w:val="006D0B47"/>
    <w:rsid w:val="006D0FAC"/>
    <w:rsid w:val="006D11A5"/>
    <w:rsid w:val="006D2174"/>
    <w:rsid w:val="006D2266"/>
    <w:rsid w:val="006D23BF"/>
    <w:rsid w:val="006D265A"/>
    <w:rsid w:val="006D2830"/>
    <w:rsid w:val="006D2870"/>
    <w:rsid w:val="006D2B79"/>
    <w:rsid w:val="006D2BE1"/>
    <w:rsid w:val="006D3743"/>
    <w:rsid w:val="006D3CCE"/>
    <w:rsid w:val="006D3FF1"/>
    <w:rsid w:val="006D449F"/>
    <w:rsid w:val="006D460D"/>
    <w:rsid w:val="006D4950"/>
    <w:rsid w:val="006D4E2B"/>
    <w:rsid w:val="006D5002"/>
    <w:rsid w:val="006D55BB"/>
    <w:rsid w:val="006D5825"/>
    <w:rsid w:val="006D5897"/>
    <w:rsid w:val="006D5A89"/>
    <w:rsid w:val="006D5CA7"/>
    <w:rsid w:val="006D5D8A"/>
    <w:rsid w:val="006D5DB1"/>
    <w:rsid w:val="006D6190"/>
    <w:rsid w:val="006D6D14"/>
    <w:rsid w:val="006D6E32"/>
    <w:rsid w:val="006D6F33"/>
    <w:rsid w:val="006D72DF"/>
    <w:rsid w:val="006D7795"/>
    <w:rsid w:val="006D7A05"/>
    <w:rsid w:val="006D7B44"/>
    <w:rsid w:val="006D7DD9"/>
    <w:rsid w:val="006D7FF1"/>
    <w:rsid w:val="006E0181"/>
    <w:rsid w:val="006E023B"/>
    <w:rsid w:val="006E02E1"/>
    <w:rsid w:val="006E044E"/>
    <w:rsid w:val="006E048A"/>
    <w:rsid w:val="006E05CA"/>
    <w:rsid w:val="006E0795"/>
    <w:rsid w:val="006E09E6"/>
    <w:rsid w:val="006E0E89"/>
    <w:rsid w:val="006E1638"/>
    <w:rsid w:val="006E16BA"/>
    <w:rsid w:val="006E1784"/>
    <w:rsid w:val="006E18C9"/>
    <w:rsid w:val="006E1A50"/>
    <w:rsid w:val="006E1D0C"/>
    <w:rsid w:val="006E1D8F"/>
    <w:rsid w:val="006E1F4C"/>
    <w:rsid w:val="006E2237"/>
    <w:rsid w:val="006E27E5"/>
    <w:rsid w:val="006E28AC"/>
    <w:rsid w:val="006E2B90"/>
    <w:rsid w:val="006E2C0A"/>
    <w:rsid w:val="006E30FC"/>
    <w:rsid w:val="006E3732"/>
    <w:rsid w:val="006E3880"/>
    <w:rsid w:val="006E3ACF"/>
    <w:rsid w:val="006E40B5"/>
    <w:rsid w:val="006E4341"/>
    <w:rsid w:val="006E4627"/>
    <w:rsid w:val="006E4818"/>
    <w:rsid w:val="006E4A44"/>
    <w:rsid w:val="006E4B06"/>
    <w:rsid w:val="006E4B4A"/>
    <w:rsid w:val="006E4B87"/>
    <w:rsid w:val="006E4D53"/>
    <w:rsid w:val="006E4E89"/>
    <w:rsid w:val="006E4FEE"/>
    <w:rsid w:val="006E533B"/>
    <w:rsid w:val="006E5955"/>
    <w:rsid w:val="006E5B39"/>
    <w:rsid w:val="006E605F"/>
    <w:rsid w:val="006E629D"/>
    <w:rsid w:val="006E637B"/>
    <w:rsid w:val="006E67AD"/>
    <w:rsid w:val="006E699D"/>
    <w:rsid w:val="006E69FA"/>
    <w:rsid w:val="006E6BC4"/>
    <w:rsid w:val="006E7405"/>
    <w:rsid w:val="006E7997"/>
    <w:rsid w:val="006E7B00"/>
    <w:rsid w:val="006E7B55"/>
    <w:rsid w:val="006E7D03"/>
    <w:rsid w:val="006E7FD7"/>
    <w:rsid w:val="006F0121"/>
    <w:rsid w:val="006F0747"/>
    <w:rsid w:val="006F0D4F"/>
    <w:rsid w:val="006F11EC"/>
    <w:rsid w:val="006F14BE"/>
    <w:rsid w:val="006F181C"/>
    <w:rsid w:val="006F1923"/>
    <w:rsid w:val="006F1A67"/>
    <w:rsid w:val="006F2041"/>
    <w:rsid w:val="006F20B2"/>
    <w:rsid w:val="006F2103"/>
    <w:rsid w:val="006F252C"/>
    <w:rsid w:val="006F261B"/>
    <w:rsid w:val="006F2768"/>
    <w:rsid w:val="006F2A4A"/>
    <w:rsid w:val="006F2F5C"/>
    <w:rsid w:val="006F2FC6"/>
    <w:rsid w:val="006F2FF7"/>
    <w:rsid w:val="006F3290"/>
    <w:rsid w:val="006F33E3"/>
    <w:rsid w:val="006F3433"/>
    <w:rsid w:val="006F3A2D"/>
    <w:rsid w:val="006F3C74"/>
    <w:rsid w:val="006F3EFD"/>
    <w:rsid w:val="006F3F23"/>
    <w:rsid w:val="006F409C"/>
    <w:rsid w:val="006F45C1"/>
    <w:rsid w:val="006F45C8"/>
    <w:rsid w:val="006F45CD"/>
    <w:rsid w:val="006F4CD6"/>
    <w:rsid w:val="006F50FD"/>
    <w:rsid w:val="006F5E72"/>
    <w:rsid w:val="006F5EDB"/>
    <w:rsid w:val="006F6138"/>
    <w:rsid w:val="006F614C"/>
    <w:rsid w:val="006F6185"/>
    <w:rsid w:val="006F63CD"/>
    <w:rsid w:val="006F6819"/>
    <w:rsid w:val="006F6B2C"/>
    <w:rsid w:val="006F6D2E"/>
    <w:rsid w:val="006F735A"/>
    <w:rsid w:val="006F74F1"/>
    <w:rsid w:val="006F7A6C"/>
    <w:rsid w:val="006F7CB5"/>
    <w:rsid w:val="0070037C"/>
    <w:rsid w:val="007005DF"/>
    <w:rsid w:val="00700954"/>
    <w:rsid w:val="00700965"/>
    <w:rsid w:val="007009E4"/>
    <w:rsid w:val="00700DBA"/>
    <w:rsid w:val="00700E53"/>
    <w:rsid w:val="00701745"/>
    <w:rsid w:val="0070190E"/>
    <w:rsid w:val="00701EAD"/>
    <w:rsid w:val="0070209F"/>
    <w:rsid w:val="00702AC7"/>
    <w:rsid w:val="00703246"/>
    <w:rsid w:val="007035F2"/>
    <w:rsid w:val="00703BD7"/>
    <w:rsid w:val="00703CCB"/>
    <w:rsid w:val="00703D2C"/>
    <w:rsid w:val="00704019"/>
    <w:rsid w:val="00704119"/>
    <w:rsid w:val="00704336"/>
    <w:rsid w:val="00704904"/>
    <w:rsid w:val="007049AA"/>
    <w:rsid w:val="007052C7"/>
    <w:rsid w:val="00705441"/>
    <w:rsid w:val="00705767"/>
    <w:rsid w:val="0070587B"/>
    <w:rsid w:val="00705CA7"/>
    <w:rsid w:val="00705CFC"/>
    <w:rsid w:val="0070617A"/>
    <w:rsid w:val="007061AF"/>
    <w:rsid w:val="00706729"/>
    <w:rsid w:val="00706811"/>
    <w:rsid w:val="00707939"/>
    <w:rsid w:val="00707ED7"/>
    <w:rsid w:val="0071000E"/>
    <w:rsid w:val="007106D3"/>
    <w:rsid w:val="00710920"/>
    <w:rsid w:val="0071093B"/>
    <w:rsid w:val="00710AC8"/>
    <w:rsid w:val="00710CF7"/>
    <w:rsid w:val="00710DD7"/>
    <w:rsid w:val="00710FB4"/>
    <w:rsid w:val="0071179A"/>
    <w:rsid w:val="00711831"/>
    <w:rsid w:val="00711BBE"/>
    <w:rsid w:val="00712605"/>
    <w:rsid w:val="007126CA"/>
    <w:rsid w:val="007129AB"/>
    <w:rsid w:val="00712A37"/>
    <w:rsid w:val="00712B6D"/>
    <w:rsid w:val="00712DB9"/>
    <w:rsid w:val="00713618"/>
    <w:rsid w:val="00713684"/>
    <w:rsid w:val="00713C20"/>
    <w:rsid w:val="00713C98"/>
    <w:rsid w:val="00714034"/>
    <w:rsid w:val="007141A2"/>
    <w:rsid w:val="00714792"/>
    <w:rsid w:val="00714AFA"/>
    <w:rsid w:val="00714B81"/>
    <w:rsid w:val="00715048"/>
    <w:rsid w:val="0071512E"/>
    <w:rsid w:val="007154B9"/>
    <w:rsid w:val="0071550F"/>
    <w:rsid w:val="00715719"/>
    <w:rsid w:val="0071593F"/>
    <w:rsid w:val="007159E5"/>
    <w:rsid w:val="00715BD9"/>
    <w:rsid w:val="00715C19"/>
    <w:rsid w:val="00715CE2"/>
    <w:rsid w:val="00716268"/>
    <w:rsid w:val="007165E3"/>
    <w:rsid w:val="00716A72"/>
    <w:rsid w:val="00716DA4"/>
    <w:rsid w:val="00716DB2"/>
    <w:rsid w:val="00716E1F"/>
    <w:rsid w:val="00716FE8"/>
    <w:rsid w:val="0071711D"/>
    <w:rsid w:val="0071719A"/>
    <w:rsid w:val="007172DA"/>
    <w:rsid w:val="0071741A"/>
    <w:rsid w:val="007174E1"/>
    <w:rsid w:val="00717866"/>
    <w:rsid w:val="0071795C"/>
    <w:rsid w:val="00717D41"/>
    <w:rsid w:val="00717DA4"/>
    <w:rsid w:val="00717E4D"/>
    <w:rsid w:val="007204A8"/>
    <w:rsid w:val="007204D5"/>
    <w:rsid w:val="007204DA"/>
    <w:rsid w:val="007206BB"/>
    <w:rsid w:val="007209BC"/>
    <w:rsid w:val="00720C91"/>
    <w:rsid w:val="00720CA0"/>
    <w:rsid w:val="00720F07"/>
    <w:rsid w:val="00721003"/>
    <w:rsid w:val="007210D6"/>
    <w:rsid w:val="0072126E"/>
    <w:rsid w:val="007215DD"/>
    <w:rsid w:val="00721E91"/>
    <w:rsid w:val="00721EE8"/>
    <w:rsid w:val="00721FDA"/>
    <w:rsid w:val="0072213A"/>
    <w:rsid w:val="00722630"/>
    <w:rsid w:val="00722C71"/>
    <w:rsid w:val="00722D49"/>
    <w:rsid w:val="007231B6"/>
    <w:rsid w:val="007234B3"/>
    <w:rsid w:val="00723711"/>
    <w:rsid w:val="0072376A"/>
    <w:rsid w:val="00723D10"/>
    <w:rsid w:val="0072498B"/>
    <w:rsid w:val="00724A15"/>
    <w:rsid w:val="007254ED"/>
    <w:rsid w:val="00725534"/>
    <w:rsid w:val="00725768"/>
    <w:rsid w:val="00725D49"/>
    <w:rsid w:val="00726113"/>
    <w:rsid w:val="0072616B"/>
    <w:rsid w:val="00726174"/>
    <w:rsid w:val="0072630A"/>
    <w:rsid w:val="007263EB"/>
    <w:rsid w:val="007266BB"/>
    <w:rsid w:val="00726B91"/>
    <w:rsid w:val="00726C03"/>
    <w:rsid w:val="00726C0E"/>
    <w:rsid w:val="0072710B"/>
    <w:rsid w:val="00727296"/>
    <w:rsid w:val="0072745E"/>
    <w:rsid w:val="0072747C"/>
    <w:rsid w:val="00727501"/>
    <w:rsid w:val="007275FD"/>
    <w:rsid w:val="0072765F"/>
    <w:rsid w:val="007278B3"/>
    <w:rsid w:val="00727A1B"/>
    <w:rsid w:val="00727E06"/>
    <w:rsid w:val="00727F8C"/>
    <w:rsid w:val="0073009B"/>
    <w:rsid w:val="00730293"/>
    <w:rsid w:val="0073057C"/>
    <w:rsid w:val="007305CC"/>
    <w:rsid w:val="00730765"/>
    <w:rsid w:val="0073077C"/>
    <w:rsid w:val="0073082B"/>
    <w:rsid w:val="00730D1E"/>
    <w:rsid w:val="00730F7E"/>
    <w:rsid w:val="0073120D"/>
    <w:rsid w:val="00731364"/>
    <w:rsid w:val="0073178E"/>
    <w:rsid w:val="0073179C"/>
    <w:rsid w:val="00731C00"/>
    <w:rsid w:val="00731D5D"/>
    <w:rsid w:val="00732027"/>
    <w:rsid w:val="00732369"/>
    <w:rsid w:val="007328A9"/>
    <w:rsid w:val="00732A6C"/>
    <w:rsid w:val="00732D7D"/>
    <w:rsid w:val="00732D7E"/>
    <w:rsid w:val="007332CB"/>
    <w:rsid w:val="00733435"/>
    <w:rsid w:val="0073356A"/>
    <w:rsid w:val="007337F2"/>
    <w:rsid w:val="00733C32"/>
    <w:rsid w:val="0073422F"/>
    <w:rsid w:val="00734235"/>
    <w:rsid w:val="00734B4B"/>
    <w:rsid w:val="00734D34"/>
    <w:rsid w:val="00734DA8"/>
    <w:rsid w:val="00734DDD"/>
    <w:rsid w:val="00734F6E"/>
    <w:rsid w:val="00735617"/>
    <w:rsid w:val="0073586B"/>
    <w:rsid w:val="00735977"/>
    <w:rsid w:val="007359BB"/>
    <w:rsid w:val="00735F96"/>
    <w:rsid w:val="00736027"/>
    <w:rsid w:val="007361B8"/>
    <w:rsid w:val="00736361"/>
    <w:rsid w:val="00736592"/>
    <w:rsid w:val="00736614"/>
    <w:rsid w:val="00736DE2"/>
    <w:rsid w:val="00736F13"/>
    <w:rsid w:val="00737079"/>
    <w:rsid w:val="007371D8"/>
    <w:rsid w:val="007376EA"/>
    <w:rsid w:val="00737E33"/>
    <w:rsid w:val="00737EA4"/>
    <w:rsid w:val="00737EB2"/>
    <w:rsid w:val="00740537"/>
    <w:rsid w:val="007407A3"/>
    <w:rsid w:val="00740889"/>
    <w:rsid w:val="00740C8D"/>
    <w:rsid w:val="00740D0F"/>
    <w:rsid w:val="00740E13"/>
    <w:rsid w:val="00740E66"/>
    <w:rsid w:val="00741051"/>
    <w:rsid w:val="00741303"/>
    <w:rsid w:val="00741837"/>
    <w:rsid w:val="007418B1"/>
    <w:rsid w:val="00741A0A"/>
    <w:rsid w:val="00741FAE"/>
    <w:rsid w:val="007420FC"/>
    <w:rsid w:val="0074231D"/>
    <w:rsid w:val="007428D7"/>
    <w:rsid w:val="00743618"/>
    <w:rsid w:val="00743918"/>
    <w:rsid w:val="00743B26"/>
    <w:rsid w:val="00743D26"/>
    <w:rsid w:val="0074422C"/>
    <w:rsid w:val="00744531"/>
    <w:rsid w:val="00744766"/>
    <w:rsid w:val="00744CB8"/>
    <w:rsid w:val="0074529A"/>
    <w:rsid w:val="0074552A"/>
    <w:rsid w:val="007459A1"/>
    <w:rsid w:val="00745B83"/>
    <w:rsid w:val="00745C3F"/>
    <w:rsid w:val="00746072"/>
    <w:rsid w:val="007461C4"/>
    <w:rsid w:val="00746379"/>
    <w:rsid w:val="0074637B"/>
    <w:rsid w:val="007463F2"/>
    <w:rsid w:val="00746C2E"/>
    <w:rsid w:val="00746D82"/>
    <w:rsid w:val="00746E47"/>
    <w:rsid w:val="00747388"/>
    <w:rsid w:val="007478FC"/>
    <w:rsid w:val="00747BD5"/>
    <w:rsid w:val="00747FFD"/>
    <w:rsid w:val="00750054"/>
    <w:rsid w:val="00750121"/>
    <w:rsid w:val="0075029E"/>
    <w:rsid w:val="00750312"/>
    <w:rsid w:val="00750791"/>
    <w:rsid w:val="00750821"/>
    <w:rsid w:val="007508EA"/>
    <w:rsid w:val="00750CA9"/>
    <w:rsid w:val="00750FDC"/>
    <w:rsid w:val="007511E7"/>
    <w:rsid w:val="007512D8"/>
    <w:rsid w:val="007519D9"/>
    <w:rsid w:val="00751B95"/>
    <w:rsid w:val="00751BEC"/>
    <w:rsid w:val="00752258"/>
    <w:rsid w:val="0075253C"/>
    <w:rsid w:val="00752745"/>
    <w:rsid w:val="00752FCC"/>
    <w:rsid w:val="00752FE4"/>
    <w:rsid w:val="007533AF"/>
    <w:rsid w:val="00753624"/>
    <w:rsid w:val="007537AE"/>
    <w:rsid w:val="007537F2"/>
    <w:rsid w:val="0075393F"/>
    <w:rsid w:val="00753A97"/>
    <w:rsid w:val="00753DCC"/>
    <w:rsid w:val="00754087"/>
    <w:rsid w:val="00754121"/>
    <w:rsid w:val="007543B6"/>
    <w:rsid w:val="0075452A"/>
    <w:rsid w:val="00754900"/>
    <w:rsid w:val="00754D05"/>
    <w:rsid w:val="00755138"/>
    <w:rsid w:val="00755468"/>
    <w:rsid w:val="00755A1C"/>
    <w:rsid w:val="00755AE1"/>
    <w:rsid w:val="0075616E"/>
    <w:rsid w:val="0075622A"/>
    <w:rsid w:val="007562C7"/>
    <w:rsid w:val="007562E9"/>
    <w:rsid w:val="00756436"/>
    <w:rsid w:val="00756713"/>
    <w:rsid w:val="00756959"/>
    <w:rsid w:val="00756AB0"/>
    <w:rsid w:val="00757651"/>
    <w:rsid w:val="00757A31"/>
    <w:rsid w:val="00757B14"/>
    <w:rsid w:val="00757E77"/>
    <w:rsid w:val="00760031"/>
    <w:rsid w:val="0076029B"/>
    <w:rsid w:val="007603BC"/>
    <w:rsid w:val="00760B7E"/>
    <w:rsid w:val="00760C55"/>
    <w:rsid w:val="00760E21"/>
    <w:rsid w:val="00760ED7"/>
    <w:rsid w:val="00761199"/>
    <w:rsid w:val="0076123C"/>
    <w:rsid w:val="0076136F"/>
    <w:rsid w:val="00761408"/>
    <w:rsid w:val="00761470"/>
    <w:rsid w:val="00761511"/>
    <w:rsid w:val="007619A5"/>
    <w:rsid w:val="00761A16"/>
    <w:rsid w:val="00761D91"/>
    <w:rsid w:val="0076204F"/>
    <w:rsid w:val="00762353"/>
    <w:rsid w:val="007623C7"/>
    <w:rsid w:val="00762786"/>
    <w:rsid w:val="007627B9"/>
    <w:rsid w:val="007628B2"/>
    <w:rsid w:val="00762B77"/>
    <w:rsid w:val="00762D36"/>
    <w:rsid w:val="00762E23"/>
    <w:rsid w:val="00763093"/>
    <w:rsid w:val="007637AB"/>
    <w:rsid w:val="0076389B"/>
    <w:rsid w:val="00763A1A"/>
    <w:rsid w:val="00763E36"/>
    <w:rsid w:val="00763FA9"/>
    <w:rsid w:val="0076422A"/>
    <w:rsid w:val="00764427"/>
    <w:rsid w:val="00764A10"/>
    <w:rsid w:val="007656C4"/>
    <w:rsid w:val="00765A2D"/>
    <w:rsid w:val="00765AB4"/>
    <w:rsid w:val="00765B3C"/>
    <w:rsid w:val="00765B4B"/>
    <w:rsid w:val="00765CB9"/>
    <w:rsid w:val="00765D9A"/>
    <w:rsid w:val="00766073"/>
    <w:rsid w:val="007662A9"/>
    <w:rsid w:val="007664F1"/>
    <w:rsid w:val="007664F5"/>
    <w:rsid w:val="0076662D"/>
    <w:rsid w:val="00766638"/>
    <w:rsid w:val="00766644"/>
    <w:rsid w:val="00766E70"/>
    <w:rsid w:val="00766F1E"/>
    <w:rsid w:val="00767305"/>
    <w:rsid w:val="00767416"/>
    <w:rsid w:val="00767518"/>
    <w:rsid w:val="007675BA"/>
    <w:rsid w:val="007677F1"/>
    <w:rsid w:val="007677FE"/>
    <w:rsid w:val="007679CC"/>
    <w:rsid w:val="00767ADC"/>
    <w:rsid w:val="00767B34"/>
    <w:rsid w:val="00767BFE"/>
    <w:rsid w:val="00770628"/>
    <w:rsid w:val="007706B4"/>
    <w:rsid w:val="00770B98"/>
    <w:rsid w:val="007710A8"/>
    <w:rsid w:val="00771331"/>
    <w:rsid w:val="00771723"/>
    <w:rsid w:val="00771848"/>
    <w:rsid w:val="00771AD2"/>
    <w:rsid w:val="00771B24"/>
    <w:rsid w:val="00771CD5"/>
    <w:rsid w:val="00771F0D"/>
    <w:rsid w:val="0077222A"/>
    <w:rsid w:val="0077238E"/>
    <w:rsid w:val="007726E4"/>
    <w:rsid w:val="007728CF"/>
    <w:rsid w:val="00772E37"/>
    <w:rsid w:val="00772FF0"/>
    <w:rsid w:val="0077312B"/>
    <w:rsid w:val="00773FB4"/>
    <w:rsid w:val="0077416C"/>
    <w:rsid w:val="007743F2"/>
    <w:rsid w:val="0077441C"/>
    <w:rsid w:val="00774B6E"/>
    <w:rsid w:val="00774CCE"/>
    <w:rsid w:val="00774D8D"/>
    <w:rsid w:val="00774DE7"/>
    <w:rsid w:val="00775023"/>
    <w:rsid w:val="007756F9"/>
    <w:rsid w:val="0077584D"/>
    <w:rsid w:val="007759CD"/>
    <w:rsid w:val="00775A24"/>
    <w:rsid w:val="007760CB"/>
    <w:rsid w:val="00776174"/>
    <w:rsid w:val="00776995"/>
    <w:rsid w:val="00776A76"/>
    <w:rsid w:val="00776EC5"/>
    <w:rsid w:val="00776F00"/>
    <w:rsid w:val="007770D0"/>
    <w:rsid w:val="00777187"/>
    <w:rsid w:val="00777259"/>
    <w:rsid w:val="007772EC"/>
    <w:rsid w:val="007774FC"/>
    <w:rsid w:val="007776C3"/>
    <w:rsid w:val="007776FC"/>
    <w:rsid w:val="00777887"/>
    <w:rsid w:val="00777D72"/>
    <w:rsid w:val="007804B9"/>
    <w:rsid w:val="00780AA1"/>
    <w:rsid w:val="00780C48"/>
    <w:rsid w:val="00780F05"/>
    <w:rsid w:val="0078119A"/>
    <w:rsid w:val="0078120A"/>
    <w:rsid w:val="00781312"/>
    <w:rsid w:val="00781611"/>
    <w:rsid w:val="00781A09"/>
    <w:rsid w:val="00781B97"/>
    <w:rsid w:val="00781C28"/>
    <w:rsid w:val="00781F25"/>
    <w:rsid w:val="00781F3A"/>
    <w:rsid w:val="00782061"/>
    <w:rsid w:val="00782554"/>
    <w:rsid w:val="00782693"/>
    <w:rsid w:val="0078281E"/>
    <w:rsid w:val="0078294F"/>
    <w:rsid w:val="00782BF2"/>
    <w:rsid w:val="00782E32"/>
    <w:rsid w:val="00783005"/>
    <w:rsid w:val="00783377"/>
    <w:rsid w:val="007835F5"/>
    <w:rsid w:val="0078392A"/>
    <w:rsid w:val="00783946"/>
    <w:rsid w:val="00783948"/>
    <w:rsid w:val="007839C3"/>
    <w:rsid w:val="00783E74"/>
    <w:rsid w:val="00783EA2"/>
    <w:rsid w:val="00783ED1"/>
    <w:rsid w:val="00784324"/>
    <w:rsid w:val="00784341"/>
    <w:rsid w:val="007846A6"/>
    <w:rsid w:val="007847DD"/>
    <w:rsid w:val="00784ADB"/>
    <w:rsid w:val="00784B3E"/>
    <w:rsid w:val="00784B84"/>
    <w:rsid w:val="007852D1"/>
    <w:rsid w:val="00785697"/>
    <w:rsid w:val="007857AD"/>
    <w:rsid w:val="00785B13"/>
    <w:rsid w:val="00785E2C"/>
    <w:rsid w:val="00785FD7"/>
    <w:rsid w:val="00786156"/>
    <w:rsid w:val="00786185"/>
    <w:rsid w:val="00786468"/>
    <w:rsid w:val="007864AF"/>
    <w:rsid w:val="007868D7"/>
    <w:rsid w:val="00786A22"/>
    <w:rsid w:val="00786DCB"/>
    <w:rsid w:val="00786E6D"/>
    <w:rsid w:val="00786FFF"/>
    <w:rsid w:val="007877F3"/>
    <w:rsid w:val="007879DD"/>
    <w:rsid w:val="007879EF"/>
    <w:rsid w:val="00787B20"/>
    <w:rsid w:val="00787C40"/>
    <w:rsid w:val="00787E04"/>
    <w:rsid w:val="007900CF"/>
    <w:rsid w:val="00790883"/>
    <w:rsid w:val="00790BDD"/>
    <w:rsid w:val="00790EC4"/>
    <w:rsid w:val="00790F3F"/>
    <w:rsid w:val="00791088"/>
    <w:rsid w:val="007918ED"/>
    <w:rsid w:val="00791A51"/>
    <w:rsid w:val="00791D2C"/>
    <w:rsid w:val="00792031"/>
    <w:rsid w:val="007922A7"/>
    <w:rsid w:val="007922ED"/>
    <w:rsid w:val="00792522"/>
    <w:rsid w:val="0079283A"/>
    <w:rsid w:val="007928B9"/>
    <w:rsid w:val="00792A0F"/>
    <w:rsid w:val="00792E0A"/>
    <w:rsid w:val="00792ED5"/>
    <w:rsid w:val="00792F1D"/>
    <w:rsid w:val="00792F62"/>
    <w:rsid w:val="0079309F"/>
    <w:rsid w:val="007931CF"/>
    <w:rsid w:val="007932B8"/>
    <w:rsid w:val="00793509"/>
    <w:rsid w:val="00793704"/>
    <w:rsid w:val="007940FD"/>
    <w:rsid w:val="007941B7"/>
    <w:rsid w:val="00794CB6"/>
    <w:rsid w:val="00794DF9"/>
    <w:rsid w:val="00794E87"/>
    <w:rsid w:val="00794F3B"/>
    <w:rsid w:val="00794FF2"/>
    <w:rsid w:val="0079524E"/>
    <w:rsid w:val="0079527D"/>
    <w:rsid w:val="007954C5"/>
    <w:rsid w:val="0079569E"/>
    <w:rsid w:val="007965C1"/>
    <w:rsid w:val="00796639"/>
    <w:rsid w:val="007969B3"/>
    <w:rsid w:val="00796A0D"/>
    <w:rsid w:val="00796D6E"/>
    <w:rsid w:val="0079705D"/>
    <w:rsid w:val="00797087"/>
    <w:rsid w:val="007971CB"/>
    <w:rsid w:val="0079764A"/>
    <w:rsid w:val="007979CB"/>
    <w:rsid w:val="00797A31"/>
    <w:rsid w:val="007A01D5"/>
    <w:rsid w:val="007A0506"/>
    <w:rsid w:val="007A0521"/>
    <w:rsid w:val="007A073A"/>
    <w:rsid w:val="007A09E1"/>
    <w:rsid w:val="007A1046"/>
    <w:rsid w:val="007A11BD"/>
    <w:rsid w:val="007A12D4"/>
    <w:rsid w:val="007A12ED"/>
    <w:rsid w:val="007A1514"/>
    <w:rsid w:val="007A15B0"/>
    <w:rsid w:val="007A1748"/>
    <w:rsid w:val="007A1977"/>
    <w:rsid w:val="007A1CD0"/>
    <w:rsid w:val="007A1EFA"/>
    <w:rsid w:val="007A1FEF"/>
    <w:rsid w:val="007A2014"/>
    <w:rsid w:val="007A2443"/>
    <w:rsid w:val="007A2470"/>
    <w:rsid w:val="007A25AA"/>
    <w:rsid w:val="007A27D6"/>
    <w:rsid w:val="007A2B6A"/>
    <w:rsid w:val="007A2D1F"/>
    <w:rsid w:val="007A30EC"/>
    <w:rsid w:val="007A3132"/>
    <w:rsid w:val="007A33D2"/>
    <w:rsid w:val="007A34C4"/>
    <w:rsid w:val="007A45BA"/>
    <w:rsid w:val="007A4A29"/>
    <w:rsid w:val="007A4A5B"/>
    <w:rsid w:val="007A4B71"/>
    <w:rsid w:val="007A4D19"/>
    <w:rsid w:val="007A4D66"/>
    <w:rsid w:val="007A4E46"/>
    <w:rsid w:val="007A53BC"/>
    <w:rsid w:val="007A5474"/>
    <w:rsid w:val="007A59A6"/>
    <w:rsid w:val="007A693C"/>
    <w:rsid w:val="007A6B3F"/>
    <w:rsid w:val="007A6F7A"/>
    <w:rsid w:val="007A743A"/>
    <w:rsid w:val="007A74F3"/>
    <w:rsid w:val="007A76DB"/>
    <w:rsid w:val="007A78BC"/>
    <w:rsid w:val="007A7B1C"/>
    <w:rsid w:val="007A7D2C"/>
    <w:rsid w:val="007A7DC1"/>
    <w:rsid w:val="007A7F5D"/>
    <w:rsid w:val="007B015C"/>
    <w:rsid w:val="007B0207"/>
    <w:rsid w:val="007B024B"/>
    <w:rsid w:val="007B02AD"/>
    <w:rsid w:val="007B0388"/>
    <w:rsid w:val="007B056D"/>
    <w:rsid w:val="007B0634"/>
    <w:rsid w:val="007B067B"/>
    <w:rsid w:val="007B07D6"/>
    <w:rsid w:val="007B0891"/>
    <w:rsid w:val="007B0AB6"/>
    <w:rsid w:val="007B0D8C"/>
    <w:rsid w:val="007B0F51"/>
    <w:rsid w:val="007B0FEE"/>
    <w:rsid w:val="007B11BB"/>
    <w:rsid w:val="007B1542"/>
    <w:rsid w:val="007B1837"/>
    <w:rsid w:val="007B1AEC"/>
    <w:rsid w:val="007B1C54"/>
    <w:rsid w:val="007B1C7D"/>
    <w:rsid w:val="007B20B4"/>
    <w:rsid w:val="007B23BB"/>
    <w:rsid w:val="007B2490"/>
    <w:rsid w:val="007B24E3"/>
    <w:rsid w:val="007B2751"/>
    <w:rsid w:val="007B28EF"/>
    <w:rsid w:val="007B2B6C"/>
    <w:rsid w:val="007B2DE7"/>
    <w:rsid w:val="007B2EED"/>
    <w:rsid w:val="007B3008"/>
    <w:rsid w:val="007B322E"/>
    <w:rsid w:val="007B331E"/>
    <w:rsid w:val="007B3678"/>
    <w:rsid w:val="007B3F32"/>
    <w:rsid w:val="007B4157"/>
    <w:rsid w:val="007B4241"/>
    <w:rsid w:val="007B4256"/>
    <w:rsid w:val="007B46E7"/>
    <w:rsid w:val="007B4AD1"/>
    <w:rsid w:val="007B4B8A"/>
    <w:rsid w:val="007B4D07"/>
    <w:rsid w:val="007B4F6C"/>
    <w:rsid w:val="007B4FEC"/>
    <w:rsid w:val="007B527D"/>
    <w:rsid w:val="007B5709"/>
    <w:rsid w:val="007B5D00"/>
    <w:rsid w:val="007B611B"/>
    <w:rsid w:val="007B6353"/>
    <w:rsid w:val="007B6374"/>
    <w:rsid w:val="007B6767"/>
    <w:rsid w:val="007B6C1E"/>
    <w:rsid w:val="007B6F6E"/>
    <w:rsid w:val="007B7426"/>
    <w:rsid w:val="007B7A86"/>
    <w:rsid w:val="007B7B3E"/>
    <w:rsid w:val="007B7CEC"/>
    <w:rsid w:val="007C004F"/>
    <w:rsid w:val="007C020F"/>
    <w:rsid w:val="007C04C0"/>
    <w:rsid w:val="007C069A"/>
    <w:rsid w:val="007C0AC3"/>
    <w:rsid w:val="007C11C9"/>
    <w:rsid w:val="007C125E"/>
    <w:rsid w:val="007C12AD"/>
    <w:rsid w:val="007C1852"/>
    <w:rsid w:val="007C195A"/>
    <w:rsid w:val="007C19A2"/>
    <w:rsid w:val="007C1CD6"/>
    <w:rsid w:val="007C1EDD"/>
    <w:rsid w:val="007C202E"/>
    <w:rsid w:val="007C22F6"/>
    <w:rsid w:val="007C244E"/>
    <w:rsid w:val="007C2790"/>
    <w:rsid w:val="007C2A3F"/>
    <w:rsid w:val="007C2CCA"/>
    <w:rsid w:val="007C34B2"/>
    <w:rsid w:val="007C3699"/>
    <w:rsid w:val="007C390F"/>
    <w:rsid w:val="007C3B73"/>
    <w:rsid w:val="007C41AF"/>
    <w:rsid w:val="007C4319"/>
    <w:rsid w:val="007C4382"/>
    <w:rsid w:val="007C442B"/>
    <w:rsid w:val="007C45C1"/>
    <w:rsid w:val="007C4A2F"/>
    <w:rsid w:val="007C4BA8"/>
    <w:rsid w:val="007C4C11"/>
    <w:rsid w:val="007C4E85"/>
    <w:rsid w:val="007C4FC7"/>
    <w:rsid w:val="007C4FD7"/>
    <w:rsid w:val="007C5093"/>
    <w:rsid w:val="007C51AC"/>
    <w:rsid w:val="007C53B8"/>
    <w:rsid w:val="007C574B"/>
    <w:rsid w:val="007C57CF"/>
    <w:rsid w:val="007C5E96"/>
    <w:rsid w:val="007C5FD2"/>
    <w:rsid w:val="007C60C4"/>
    <w:rsid w:val="007C67FD"/>
    <w:rsid w:val="007C720B"/>
    <w:rsid w:val="007C727E"/>
    <w:rsid w:val="007C7524"/>
    <w:rsid w:val="007C7BBD"/>
    <w:rsid w:val="007C7EEB"/>
    <w:rsid w:val="007C7F57"/>
    <w:rsid w:val="007D0256"/>
    <w:rsid w:val="007D0693"/>
    <w:rsid w:val="007D07F7"/>
    <w:rsid w:val="007D083A"/>
    <w:rsid w:val="007D083D"/>
    <w:rsid w:val="007D0EAA"/>
    <w:rsid w:val="007D12DE"/>
    <w:rsid w:val="007D14BA"/>
    <w:rsid w:val="007D181D"/>
    <w:rsid w:val="007D1A92"/>
    <w:rsid w:val="007D1D7E"/>
    <w:rsid w:val="007D1F7A"/>
    <w:rsid w:val="007D22F5"/>
    <w:rsid w:val="007D2633"/>
    <w:rsid w:val="007D27BE"/>
    <w:rsid w:val="007D2935"/>
    <w:rsid w:val="007D2B7B"/>
    <w:rsid w:val="007D2BA1"/>
    <w:rsid w:val="007D2E3C"/>
    <w:rsid w:val="007D2F08"/>
    <w:rsid w:val="007D3103"/>
    <w:rsid w:val="007D3B23"/>
    <w:rsid w:val="007D40BD"/>
    <w:rsid w:val="007D45FF"/>
    <w:rsid w:val="007D4815"/>
    <w:rsid w:val="007D4C68"/>
    <w:rsid w:val="007D4E6D"/>
    <w:rsid w:val="007D4FEC"/>
    <w:rsid w:val="007D5188"/>
    <w:rsid w:val="007D5273"/>
    <w:rsid w:val="007D53A2"/>
    <w:rsid w:val="007D5846"/>
    <w:rsid w:val="007D59B9"/>
    <w:rsid w:val="007D6132"/>
    <w:rsid w:val="007D6229"/>
    <w:rsid w:val="007D629B"/>
    <w:rsid w:val="007D67E3"/>
    <w:rsid w:val="007D6AC8"/>
    <w:rsid w:val="007D6E28"/>
    <w:rsid w:val="007D724B"/>
    <w:rsid w:val="007D7261"/>
    <w:rsid w:val="007D75A8"/>
    <w:rsid w:val="007D7733"/>
    <w:rsid w:val="007D7859"/>
    <w:rsid w:val="007D79C7"/>
    <w:rsid w:val="007D7AF5"/>
    <w:rsid w:val="007E00F1"/>
    <w:rsid w:val="007E01A1"/>
    <w:rsid w:val="007E05B3"/>
    <w:rsid w:val="007E08F2"/>
    <w:rsid w:val="007E0941"/>
    <w:rsid w:val="007E09F0"/>
    <w:rsid w:val="007E12C4"/>
    <w:rsid w:val="007E12C5"/>
    <w:rsid w:val="007E135A"/>
    <w:rsid w:val="007E149A"/>
    <w:rsid w:val="007E18F7"/>
    <w:rsid w:val="007E2231"/>
    <w:rsid w:val="007E249B"/>
    <w:rsid w:val="007E2536"/>
    <w:rsid w:val="007E2917"/>
    <w:rsid w:val="007E35A6"/>
    <w:rsid w:val="007E3757"/>
    <w:rsid w:val="007E3C9F"/>
    <w:rsid w:val="007E3E03"/>
    <w:rsid w:val="007E415C"/>
    <w:rsid w:val="007E41A1"/>
    <w:rsid w:val="007E4270"/>
    <w:rsid w:val="007E47A5"/>
    <w:rsid w:val="007E47C6"/>
    <w:rsid w:val="007E4AC1"/>
    <w:rsid w:val="007E4B0C"/>
    <w:rsid w:val="007E4CE1"/>
    <w:rsid w:val="007E5479"/>
    <w:rsid w:val="007E556D"/>
    <w:rsid w:val="007E56D8"/>
    <w:rsid w:val="007E5958"/>
    <w:rsid w:val="007E59C1"/>
    <w:rsid w:val="007E5A32"/>
    <w:rsid w:val="007E5AEA"/>
    <w:rsid w:val="007E5F2A"/>
    <w:rsid w:val="007E627C"/>
    <w:rsid w:val="007E63AD"/>
    <w:rsid w:val="007E6799"/>
    <w:rsid w:val="007E68C2"/>
    <w:rsid w:val="007E6C68"/>
    <w:rsid w:val="007E6D0C"/>
    <w:rsid w:val="007E6D88"/>
    <w:rsid w:val="007E71F8"/>
    <w:rsid w:val="007E748F"/>
    <w:rsid w:val="007E74AF"/>
    <w:rsid w:val="007E7669"/>
    <w:rsid w:val="007E776B"/>
    <w:rsid w:val="007E7796"/>
    <w:rsid w:val="007E7991"/>
    <w:rsid w:val="007E79B7"/>
    <w:rsid w:val="007E7AE5"/>
    <w:rsid w:val="007E7ECD"/>
    <w:rsid w:val="007E7FF0"/>
    <w:rsid w:val="007F0586"/>
    <w:rsid w:val="007F069B"/>
    <w:rsid w:val="007F073F"/>
    <w:rsid w:val="007F0AC8"/>
    <w:rsid w:val="007F0D69"/>
    <w:rsid w:val="007F12F2"/>
    <w:rsid w:val="007F13C4"/>
    <w:rsid w:val="007F14DD"/>
    <w:rsid w:val="007F16CE"/>
    <w:rsid w:val="007F1C7B"/>
    <w:rsid w:val="007F1CDB"/>
    <w:rsid w:val="007F214A"/>
    <w:rsid w:val="007F2368"/>
    <w:rsid w:val="007F24C6"/>
    <w:rsid w:val="007F2512"/>
    <w:rsid w:val="007F2B2D"/>
    <w:rsid w:val="007F2BB4"/>
    <w:rsid w:val="007F2D7D"/>
    <w:rsid w:val="007F2E9E"/>
    <w:rsid w:val="007F2F03"/>
    <w:rsid w:val="007F2F8A"/>
    <w:rsid w:val="007F33A9"/>
    <w:rsid w:val="007F3C69"/>
    <w:rsid w:val="007F3CE3"/>
    <w:rsid w:val="007F3DDE"/>
    <w:rsid w:val="007F3E90"/>
    <w:rsid w:val="007F410E"/>
    <w:rsid w:val="007F41D2"/>
    <w:rsid w:val="007F42B2"/>
    <w:rsid w:val="007F4568"/>
    <w:rsid w:val="007F4699"/>
    <w:rsid w:val="007F4C28"/>
    <w:rsid w:val="007F4F26"/>
    <w:rsid w:val="007F5351"/>
    <w:rsid w:val="007F5963"/>
    <w:rsid w:val="007F59A6"/>
    <w:rsid w:val="007F5A88"/>
    <w:rsid w:val="007F5AC9"/>
    <w:rsid w:val="007F5B71"/>
    <w:rsid w:val="007F5F0E"/>
    <w:rsid w:val="007F6599"/>
    <w:rsid w:val="007F65A5"/>
    <w:rsid w:val="007F6654"/>
    <w:rsid w:val="007F67FC"/>
    <w:rsid w:val="007F6DA3"/>
    <w:rsid w:val="007F70D1"/>
    <w:rsid w:val="007F7112"/>
    <w:rsid w:val="007F7284"/>
    <w:rsid w:val="007F76AF"/>
    <w:rsid w:val="007F778E"/>
    <w:rsid w:val="007F7839"/>
    <w:rsid w:val="007F79B8"/>
    <w:rsid w:val="00800216"/>
    <w:rsid w:val="00800555"/>
    <w:rsid w:val="008006D7"/>
    <w:rsid w:val="00800D72"/>
    <w:rsid w:val="00800E20"/>
    <w:rsid w:val="008013D0"/>
    <w:rsid w:val="008013DD"/>
    <w:rsid w:val="0080159C"/>
    <w:rsid w:val="00801702"/>
    <w:rsid w:val="00801846"/>
    <w:rsid w:val="008018D3"/>
    <w:rsid w:val="0080193E"/>
    <w:rsid w:val="008019FB"/>
    <w:rsid w:val="00801D23"/>
    <w:rsid w:val="00801EE6"/>
    <w:rsid w:val="008024B9"/>
    <w:rsid w:val="0080288D"/>
    <w:rsid w:val="008029A6"/>
    <w:rsid w:val="00802B98"/>
    <w:rsid w:val="00802C0B"/>
    <w:rsid w:val="00802E1D"/>
    <w:rsid w:val="00802E78"/>
    <w:rsid w:val="008030B3"/>
    <w:rsid w:val="0080360A"/>
    <w:rsid w:val="00803E51"/>
    <w:rsid w:val="00804421"/>
    <w:rsid w:val="0080444F"/>
    <w:rsid w:val="0080478D"/>
    <w:rsid w:val="00804986"/>
    <w:rsid w:val="00804A4B"/>
    <w:rsid w:val="00804B28"/>
    <w:rsid w:val="008051A6"/>
    <w:rsid w:val="0080571D"/>
    <w:rsid w:val="00805894"/>
    <w:rsid w:val="00805A25"/>
    <w:rsid w:val="008066BE"/>
    <w:rsid w:val="00806B44"/>
    <w:rsid w:val="00806CCB"/>
    <w:rsid w:val="0080720A"/>
    <w:rsid w:val="0080729C"/>
    <w:rsid w:val="00807440"/>
    <w:rsid w:val="0080748D"/>
    <w:rsid w:val="0080771D"/>
    <w:rsid w:val="00807A19"/>
    <w:rsid w:val="00807B7F"/>
    <w:rsid w:val="00807B92"/>
    <w:rsid w:val="00807C5B"/>
    <w:rsid w:val="00807E1A"/>
    <w:rsid w:val="00807F56"/>
    <w:rsid w:val="00807FF7"/>
    <w:rsid w:val="008109FF"/>
    <w:rsid w:val="00810AB3"/>
    <w:rsid w:val="00810B8F"/>
    <w:rsid w:val="00810DF6"/>
    <w:rsid w:val="00810E0E"/>
    <w:rsid w:val="00810F5B"/>
    <w:rsid w:val="00810FF8"/>
    <w:rsid w:val="0081111F"/>
    <w:rsid w:val="0081118A"/>
    <w:rsid w:val="008117A0"/>
    <w:rsid w:val="00811B6C"/>
    <w:rsid w:val="00811DE0"/>
    <w:rsid w:val="00812128"/>
    <w:rsid w:val="008122FA"/>
    <w:rsid w:val="00812429"/>
    <w:rsid w:val="00812482"/>
    <w:rsid w:val="008124AA"/>
    <w:rsid w:val="008126B2"/>
    <w:rsid w:val="00812E0C"/>
    <w:rsid w:val="00812ED4"/>
    <w:rsid w:val="008137F1"/>
    <w:rsid w:val="00813813"/>
    <w:rsid w:val="0081386B"/>
    <w:rsid w:val="00814D79"/>
    <w:rsid w:val="00814D86"/>
    <w:rsid w:val="00814EAA"/>
    <w:rsid w:val="00815003"/>
    <w:rsid w:val="00815024"/>
    <w:rsid w:val="00815427"/>
    <w:rsid w:val="008155B0"/>
    <w:rsid w:val="00815872"/>
    <w:rsid w:val="00815C3F"/>
    <w:rsid w:val="00815E80"/>
    <w:rsid w:val="008160A5"/>
    <w:rsid w:val="008165E6"/>
    <w:rsid w:val="0081666A"/>
    <w:rsid w:val="00816F79"/>
    <w:rsid w:val="00817081"/>
    <w:rsid w:val="0081710B"/>
    <w:rsid w:val="00817BAD"/>
    <w:rsid w:val="00817F4C"/>
    <w:rsid w:val="008200A9"/>
    <w:rsid w:val="0082022E"/>
    <w:rsid w:val="00820236"/>
    <w:rsid w:val="008202AD"/>
    <w:rsid w:val="008206FA"/>
    <w:rsid w:val="00820CBA"/>
    <w:rsid w:val="00821AF2"/>
    <w:rsid w:val="00821BA0"/>
    <w:rsid w:val="00821CBA"/>
    <w:rsid w:val="00821CBB"/>
    <w:rsid w:val="00821EBB"/>
    <w:rsid w:val="0082235B"/>
    <w:rsid w:val="00822443"/>
    <w:rsid w:val="0082265B"/>
    <w:rsid w:val="008226C4"/>
    <w:rsid w:val="00822B77"/>
    <w:rsid w:val="00822CB2"/>
    <w:rsid w:val="00822F69"/>
    <w:rsid w:val="00823039"/>
    <w:rsid w:val="00823598"/>
    <w:rsid w:val="008236A4"/>
    <w:rsid w:val="00823DF1"/>
    <w:rsid w:val="00823E88"/>
    <w:rsid w:val="008246E9"/>
    <w:rsid w:val="008247A3"/>
    <w:rsid w:val="00824829"/>
    <w:rsid w:val="00824AE5"/>
    <w:rsid w:val="00824DB2"/>
    <w:rsid w:val="0082504A"/>
    <w:rsid w:val="00825402"/>
    <w:rsid w:val="0082554B"/>
    <w:rsid w:val="00825ACE"/>
    <w:rsid w:val="00825AFA"/>
    <w:rsid w:val="00825BB4"/>
    <w:rsid w:val="00825DD0"/>
    <w:rsid w:val="00826387"/>
    <w:rsid w:val="0082659B"/>
    <w:rsid w:val="008267A0"/>
    <w:rsid w:val="0082692A"/>
    <w:rsid w:val="00826BE4"/>
    <w:rsid w:val="00826D79"/>
    <w:rsid w:val="008274F2"/>
    <w:rsid w:val="0082794D"/>
    <w:rsid w:val="00827A2F"/>
    <w:rsid w:val="00827F65"/>
    <w:rsid w:val="0083038F"/>
    <w:rsid w:val="00830553"/>
    <w:rsid w:val="00830BBA"/>
    <w:rsid w:val="00830C17"/>
    <w:rsid w:val="00830D64"/>
    <w:rsid w:val="00831A65"/>
    <w:rsid w:val="00831CEC"/>
    <w:rsid w:val="00831D15"/>
    <w:rsid w:val="00831E23"/>
    <w:rsid w:val="00832207"/>
    <w:rsid w:val="00832233"/>
    <w:rsid w:val="008324FE"/>
    <w:rsid w:val="0083262F"/>
    <w:rsid w:val="00832636"/>
    <w:rsid w:val="00832804"/>
    <w:rsid w:val="008329A8"/>
    <w:rsid w:val="00832BA8"/>
    <w:rsid w:val="00832BF1"/>
    <w:rsid w:val="00832D7C"/>
    <w:rsid w:val="0083324A"/>
    <w:rsid w:val="0083332B"/>
    <w:rsid w:val="00833363"/>
    <w:rsid w:val="0083342A"/>
    <w:rsid w:val="0083390C"/>
    <w:rsid w:val="00833BCC"/>
    <w:rsid w:val="00833CFF"/>
    <w:rsid w:val="00834062"/>
    <w:rsid w:val="008341C7"/>
    <w:rsid w:val="008343FD"/>
    <w:rsid w:val="00834646"/>
    <w:rsid w:val="008346BB"/>
    <w:rsid w:val="008346ED"/>
    <w:rsid w:val="008348AB"/>
    <w:rsid w:val="00834A9E"/>
    <w:rsid w:val="00834B2E"/>
    <w:rsid w:val="00834F03"/>
    <w:rsid w:val="00835093"/>
    <w:rsid w:val="00835420"/>
    <w:rsid w:val="008354B8"/>
    <w:rsid w:val="00835860"/>
    <w:rsid w:val="00835CBE"/>
    <w:rsid w:val="00835F5C"/>
    <w:rsid w:val="0083624B"/>
    <w:rsid w:val="0083627F"/>
    <w:rsid w:val="008363A0"/>
    <w:rsid w:val="00836644"/>
    <w:rsid w:val="00836797"/>
    <w:rsid w:val="00836FC7"/>
    <w:rsid w:val="00837469"/>
    <w:rsid w:val="00837B29"/>
    <w:rsid w:val="0084047C"/>
    <w:rsid w:val="008407EB"/>
    <w:rsid w:val="008408C2"/>
    <w:rsid w:val="00840C3A"/>
    <w:rsid w:val="00840EAC"/>
    <w:rsid w:val="008410A1"/>
    <w:rsid w:val="008410C4"/>
    <w:rsid w:val="0084122E"/>
    <w:rsid w:val="0084169D"/>
    <w:rsid w:val="00841A63"/>
    <w:rsid w:val="00841AE0"/>
    <w:rsid w:val="00841D57"/>
    <w:rsid w:val="00842311"/>
    <w:rsid w:val="00842437"/>
    <w:rsid w:val="00842809"/>
    <w:rsid w:val="008428B2"/>
    <w:rsid w:val="008431DE"/>
    <w:rsid w:val="008432CE"/>
    <w:rsid w:val="008436AA"/>
    <w:rsid w:val="00843BD4"/>
    <w:rsid w:val="00844060"/>
    <w:rsid w:val="00844449"/>
    <w:rsid w:val="00844481"/>
    <w:rsid w:val="008449D3"/>
    <w:rsid w:val="00844A05"/>
    <w:rsid w:val="00844CEF"/>
    <w:rsid w:val="00844DCD"/>
    <w:rsid w:val="00845233"/>
    <w:rsid w:val="0084590F"/>
    <w:rsid w:val="00845E29"/>
    <w:rsid w:val="00846296"/>
    <w:rsid w:val="008462B6"/>
    <w:rsid w:val="008464BA"/>
    <w:rsid w:val="00846822"/>
    <w:rsid w:val="008468BB"/>
    <w:rsid w:val="00846ED1"/>
    <w:rsid w:val="00846FA4"/>
    <w:rsid w:val="00847028"/>
    <w:rsid w:val="008470A8"/>
    <w:rsid w:val="00847187"/>
    <w:rsid w:val="008476BC"/>
    <w:rsid w:val="0084792D"/>
    <w:rsid w:val="008479B1"/>
    <w:rsid w:val="00847FA8"/>
    <w:rsid w:val="00850467"/>
    <w:rsid w:val="0085053A"/>
    <w:rsid w:val="00850796"/>
    <w:rsid w:val="00850862"/>
    <w:rsid w:val="00850ADB"/>
    <w:rsid w:val="00850B75"/>
    <w:rsid w:val="00850ED7"/>
    <w:rsid w:val="00850EF2"/>
    <w:rsid w:val="008510F4"/>
    <w:rsid w:val="00851202"/>
    <w:rsid w:val="008512C0"/>
    <w:rsid w:val="00851E45"/>
    <w:rsid w:val="00852009"/>
    <w:rsid w:val="0085232B"/>
    <w:rsid w:val="008524AC"/>
    <w:rsid w:val="00852875"/>
    <w:rsid w:val="00852977"/>
    <w:rsid w:val="008529AF"/>
    <w:rsid w:val="00852A67"/>
    <w:rsid w:val="00853035"/>
    <w:rsid w:val="00853293"/>
    <w:rsid w:val="0085353F"/>
    <w:rsid w:val="00853A4D"/>
    <w:rsid w:val="00853B2C"/>
    <w:rsid w:val="008547F4"/>
    <w:rsid w:val="00854C73"/>
    <w:rsid w:val="00854E01"/>
    <w:rsid w:val="0085507A"/>
    <w:rsid w:val="008550E5"/>
    <w:rsid w:val="0085525B"/>
    <w:rsid w:val="008552F6"/>
    <w:rsid w:val="00855695"/>
    <w:rsid w:val="0085579B"/>
    <w:rsid w:val="00855A6D"/>
    <w:rsid w:val="00855F94"/>
    <w:rsid w:val="0085604D"/>
    <w:rsid w:val="008567D9"/>
    <w:rsid w:val="00856B74"/>
    <w:rsid w:val="00856CDC"/>
    <w:rsid w:val="00857195"/>
    <w:rsid w:val="008573C6"/>
    <w:rsid w:val="00857684"/>
    <w:rsid w:val="00857C5C"/>
    <w:rsid w:val="00857DF9"/>
    <w:rsid w:val="0086027F"/>
    <w:rsid w:val="00860296"/>
    <w:rsid w:val="00860363"/>
    <w:rsid w:val="0086052A"/>
    <w:rsid w:val="00860684"/>
    <w:rsid w:val="008606F7"/>
    <w:rsid w:val="00860A76"/>
    <w:rsid w:val="00860BB2"/>
    <w:rsid w:val="0086106B"/>
    <w:rsid w:val="0086115B"/>
    <w:rsid w:val="008614A4"/>
    <w:rsid w:val="00861935"/>
    <w:rsid w:val="008619BF"/>
    <w:rsid w:val="00861A7E"/>
    <w:rsid w:val="00861B12"/>
    <w:rsid w:val="00861B37"/>
    <w:rsid w:val="00861CCB"/>
    <w:rsid w:val="008624DD"/>
    <w:rsid w:val="00862550"/>
    <w:rsid w:val="00862C0C"/>
    <w:rsid w:val="008633CF"/>
    <w:rsid w:val="00863B9E"/>
    <w:rsid w:val="00863D0B"/>
    <w:rsid w:val="00863EE7"/>
    <w:rsid w:val="00863F03"/>
    <w:rsid w:val="0086412C"/>
    <w:rsid w:val="00864506"/>
    <w:rsid w:val="00864D65"/>
    <w:rsid w:val="00864EB4"/>
    <w:rsid w:val="00865121"/>
    <w:rsid w:val="00865452"/>
    <w:rsid w:val="00865953"/>
    <w:rsid w:val="00865954"/>
    <w:rsid w:val="00865A1B"/>
    <w:rsid w:val="00865A58"/>
    <w:rsid w:val="00865DA9"/>
    <w:rsid w:val="00865EF4"/>
    <w:rsid w:val="008660E9"/>
    <w:rsid w:val="0086627A"/>
    <w:rsid w:val="008662E7"/>
    <w:rsid w:val="008664EF"/>
    <w:rsid w:val="00866B2D"/>
    <w:rsid w:val="00866C2A"/>
    <w:rsid w:val="00866E4F"/>
    <w:rsid w:val="008675EC"/>
    <w:rsid w:val="00867DE7"/>
    <w:rsid w:val="00867FC7"/>
    <w:rsid w:val="00870410"/>
    <w:rsid w:val="008705A6"/>
    <w:rsid w:val="0087066C"/>
    <w:rsid w:val="00870792"/>
    <w:rsid w:val="008709C4"/>
    <w:rsid w:val="00870BE2"/>
    <w:rsid w:val="00870DBD"/>
    <w:rsid w:val="00870E2A"/>
    <w:rsid w:val="00871097"/>
    <w:rsid w:val="00871409"/>
    <w:rsid w:val="008715A8"/>
    <w:rsid w:val="00871AA4"/>
    <w:rsid w:val="00871C1F"/>
    <w:rsid w:val="00871D5A"/>
    <w:rsid w:val="00871ECC"/>
    <w:rsid w:val="00871F33"/>
    <w:rsid w:val="00872296"/>
    <w:rsid w:val="008724F2"/>
    <w:rsid w:val="00872678"/>
    <w:rsid w:val="00872929"/>
    <w:rsid w:val="0087294D"/>
    <w:rsid w:val="00872B19"/>
    <w:rsid w:val="008730C5"/>
    <w:rsid w:val="00873181"/>
    <w:rsid w:val="008739E4"/>
    <w:rsid w:val="00873C40"/>
    <w:rsid w:val="00874145"/>
    <w:rsid w:val="008744E8"/>
    <w:rsid w:val="00874E09"/>
    <w:rsid w:val="008751EF"/>
    <w:rsid w:val="008752B8"/>
    <w:rsid w:val="00875339"/>
    <w:rsid w:val="00875B49"/>
    <w:rsid w:val="00875B90"/>
    <w:rsid w:val="00875BCA"/>
    <w:rsid w:val="00875D1F"/>
    <w:rsid w:val="00875D6C"/>
    <w:rsid w:val="00876127"/>
    <w:rsid w:val="0087633E"/>
    <w:rsid w:val="0087638A"/>
    <w:rsid w:val="008764B6"/>
    <w:rsid w:val="0087659D"/>
    <w:rsid w:val="00876900"/>
    <w:rsid w:val="00876E46"/>
    <w:rsid w:val="00880358"/>
    <w:rsid w:val="008806A2"/>
    <w:rsid w:val="00880D77"/>
    <w:rsid w:val="008817FD"/>
    <w:rsid w:val="008818A6"/>
    <w:rsid w:val="00881961"/>
    <w:rsid w:val="00881AFC"/>
    <w:rsid w:val="00881C81"/>
    <w:rsid w:val="00881CA4"/>
    <w:rsid w:val="00881EBB"/>
    <w:rsid w:val="00882042"/>
    <w:rsid w:val="00882078"/>
    <w:rsid w:val="008827AF"/>
    <w:rsid w:val="008829E1"/>
    <w:rsid w:val="00882B24"/>
    <w:rsid w:val="00882E5E"/>
    <w:rsid w:val="00882EB9"/>
    <w:rsid w:val="008831E0"/>
    <w:rsid w:val="008834E3"/>
    <w:rsid w:val="00883644"/>
    <w:rsid w:val="00883834"/>
    <w:rsid w:val="008838B1"/>
    <w:rsid w:val="00883BB2"/>
    <w:rsid w:val="00883FAC"/>
    <w:rsid w:val="00884044"/>
    <w:rsid w:val="008844A0"/>
    <w:rsid w:val="008846A8"/>
    <w:rsid w:val="008849FC"/>
    <w:rsid w:val="00884B73"/>
    <w:rsid w:val="00884C3D"/>
    <w:rsid w:val="00884D77"/>
    <w:rsid w:val="00884F76"/>
    <w:rsid w:val="008851F9"/>
    <w:rsid w:val="00885570"/>
    <w:rsid w:val="008857A5"/>
    <w:rsid w:val="00885AAB"/>
    <w:rsid w:val="00885AE0"/>
    <w:rsid w:val="008865B3"/>
    <w:rsid w:val="008866D4"/>
    <w:rsid w:val="0088675A"/>
    <w:rsid w:val="008867B6"/>
    <w:rsid w:val="00886807"/>
    <w:rsid w:val="0088686A"/>
    <w:rsid w:val="0088701C"/>
    <w:rsid w:val="008872D1"/>
    <w:rsid w:val="00887412"/>
    <w:rsid w:val="00887816"/>
    <w:rsid w:val="00887ACE"/>
    <w:rsid w:val="008900D6"/>
    <w:rsid w:val="0089011F"/>
    <w:rsid w:val="0089024D"/>
    <w:rsid w:val="0089038F"/>
    <w:rsid w:val="008907B9"/>
    <w:rsid w:val="008907C6"/>
    <w:rsid w:val="00890B42"/>
    <w:rsid w:val="00890D71"/>
    <w:rsid w:val="00890E62"/>
    <w:rsid w:val="00891190"/>
    <w:rsid w:val="0089181A"/>
    <w:rsid w:val="00891A16"/>
    <w:rsid w:val="00891A71"/>
    <w:rsid w:val="00891A7E"/>
    <w:rsid w:val="00891C01"/>
    <w:rsid w:val="00891FCA"/>
    <w:rsid w:val="0089236F"/>
    <w:rsid w:val="00892445"/>
    <w:rsid w:val="008924FF"/>
    <w:rsid w:val="00892774"/>
    <w:rsid w:val="00892BF0"/>
    <w:rsid w:val="00892D71"/>
    <w:rsid w:val="008933D0"/>
    <w:rsid w:val="00893727"/>
    <w:rsid w:val="00893B37"/>
    <w:rsid w:val="00893DD8"/>
    <w:rsid w:val="00893EA1"/>
    <w:rsid w:val="00893EC3"/>
    <w:rsid w:val="00893F1C"/>
    <w:rsid w:val="00893FEE"/>
    <w:rsid w:val="00894117"/>
    <w:rsid w:val="008942D8"/>
    <w:rsid w:val="00894424"/>
    <w:rsid w:val="008944A6"/>
    <w:rsid w:val="0089469C"/>
    <w:rsid w:val="00894739"/>
    <w:rsid w:val="00894BC9"/>
    <w:rsid w:val="00894EAF"/>
    <w:rsid w:val="00894F43"/>
    <w:rsid w:val="00895252"/>
    <w:rsid w:val="00895695"/>
    <w:rsid w:val="008956EC"/>
    <w:rsid w:val="008957A6"/>
    <w:rsid w:val="008957B0"/>
    <w:rsid w:val="00896457"/>
    <w:rsid w:val="0089648C"/>
    <w:rsid w:val="0089691A"/>
    <w:rsid w:val="00896D52"/>
    <w:rsid w:val="008970AC"/>
    <w:rsid w:val="008973EA"/>
    <w:rsid w:val="00897CD9"/>
    <w:rsid w:val="008A00C8"/>
    <w:rsid w:val="008A03E0"/>
    <w:rsid w:val="008A0442"/>
    <w:rsid w:val="008A04EC"/>
    <w:rsid w:val="008A0502"/>
    <w:rsid w:val="008A07E5"/>
    <w:rsid w:val="008A0A8B"/>
    <w:rsid w:val="008A0B6D"/>
    <w:rsid w:val="008A0BFC"/>
    <w:rsid w:val="008A0C38"/>
    <w:rsid w:val="008A0C4D"/>
    <w:rsid w:val="008A0D15"/>
    <w:rsid w:val="008A0D3E"/>
    <w:rsid w:val="008A1063"/>
    <w:rsid w:val="008A10F5"/>
    <w:rsid w:val="008A1477"/>
    <w:rsid w:val="008A1568"/>
    <w:rsid w:val="008A15CC"/>
    <w:rsid w:val="008A1CD0"/>
    <w:rsid w:val="008A1F14"/>
    <w:rsid w:val="008A2726"/>
    <w:rsid w:val="008A2891"/>
    <w:rsid w:val="008A28E0"/>
    <w:rsid w:val="008A2A4F"/>
    <w:rsid w:val="008A2AD1"/>
    <w:rsid w:val="008A2AF1"/>
    <w:rsid w:val="008A2BA0"/>
    <w:rsid w:val="008A2C71"/>
    <w:rsid w:val="008A3582"/>
    <w:rsid w:val="008A35CF"/>
    <w:rsid w:val="008A3868"/>
    <w:rsid w:val="008A3B21"/>
    <w:rsid w:val="008A43F9"/>
    <w:rsid w:val="008A46AB"/>
    <w:rsid w:val="008A4815"/>
    <w:rsid w:val="008A4ADF"/>
    <w:rsid w:val="008A4C35"/>
    <w:rsid w:val="008A4E9E"/>
    <w:rsid w:val="008A4F05"/>
    <w:rsid w:val="008A529B"/>
    <w:rsid w:val="008A531A"/>
    <w:rsid w:val="008A551F"/>
    <w:rsid w:val="008A59E8"/>
    <w:rsid w:val="008A59F0"/>
    <w:rsid w:val="008A6093"/>
    <w:rsid w:val="008A60BF"/>
    <w:rsid w:val="008A658B"/>
    <w:rsid w:val="008A6952"/>
    <w:rsid w:val="008A69DA"/>
    <w:rsid w:val="008A6A50"/>
    <w:rsid w:val="008A6D8B"/>
    <w:rsid w:val="008A76D8"/>
    <w:rsid w:val="008A78C5"/>
    <w:rsid w:val="008A797A"/>
    <w:rsid w:val="008A7986"/>
    <w:rsid w:val="008A7B1A"/>
    <w:rsid w:val="008B0066"/>
    <w:rsid w:val="008B0103"/>
    <w:rsid w:val="008B041B"/>
    <w:rsid w:val="008B0466"/>
    <w:rsid w:val="008B0964"/>
    <w:rsid w:val="008B0B1E"/>
    <w:rsid w:val="008B0DBC"/>
    <w:rsid w:val="008B12B6"/>
    <w:rsid w:val="008B1569"/>
    <w:rsid w:val="008B168B"/>
    <w:rsid w:val="008B1701"/>
    <w:rsid w:val="008B1A00"/>
    <w:rsid w:val="008B1A5C"/>
    <w:rsid w:val="008B2059"/>
    <w:rsid w:val="008B20F6"/>
    <w:rsid w:val="008B211F"/>
    <w:rsid w:val="008B223E"/>
    <w:rsid w:val="008B2285"/>
    <w:rsid w:val="008B244C"/>
    <w:rsid w:val="008B25AD"/>
    <w:rsid w:val="008B26C5"/>
    <w:rsid w:val="008B2AB0"/>
    <w:rsid w:val="008B2D1E"/>
    <w:rsid w:val="008B34C8"/>
    <w:rsid w:val="008B3B1B"/>
    <w:rsid w:val="008B3C90"/>
    <w:rsid w:val="008B4048"/>
    <w:rsid w:val="008B408D"/>
    <w:rsid w:val="008B40D6"/>
    <w:rsid w:val="008B42BF"/>
    <w:rsid w:val="008B46D6"/>
    <w:rsid w:val="008B48DF"/>
    <w:rsid w:val="008B4A61"/>
    <w:rsid w:val="008B4A68"/>
    <w:rsid w:val="008B4C77"/>
    <w:rsid w:val="008B4FBE"/>
    <w:rsid w:val="008B5035"/>
    <w:rsid w:val="008B5043"/>
    <w:rsid w:val="008B54EA"/>
    <w:rsid w:val="008B5759"/>
    <w:rsid w:val="008B596D"/>
    <w:rsid w:val="008B5C2C"/>
    <w:rsid w:val="008B5D96"/>
    <w:rsid w:val="008B60A6"/>
    <w:rsid w:val="008B626A"/>
    <w:rsid w:val="008B62D5"/>
    <w:rsid w:val="008B6692"/>
    <w:rsid w:val="008B685E"/>
    <w:rsid w:val="008B6AE7"/>
    <w:rsid w:val="008B75DF"/>
    <w:rsid w:val="008B7744"/>
    <w:rsid w:val="008B7B83"/>
    <w:rsid w:val="008B7BC1"/>
    <w:rsid w:val="008B7E72"/>
    <w:rsid w:val="008C009F"/>
    <w:rsid w:val="008C01A6"/>
    <w:rsid w:val="008C07F4"/>
    <w:rsid w:val="008C0894"/>
    <w:rsid w:val="008C0A7D"/>
    <w:rsid w:val="008C0C2E"/>
    <w:rsid w:val="008C0DD9"/>
    <w:rsid w:val="008C0DE7"/>
    <w:rsid w:val="008C0FE1"/>
    <w:rsid w:val="008C11DB"/>
    <w:rsid w:val="008C13B4"/>
    <w:rsid w:val="008C1557"/>
    <w:rsid w:val="008C179D"/>
    <w:rsid w:val="008C1C6A"/>
    <w:rsid w:val="008C1D15"/>
    <w:rsid w:val="008C1F04"/>
    <w:rsid w:val="008C2021"/>
    <w:rsid w:val="008C2373"/>
    <w:rsid w:val="008C2690"/>
    <w:rsid w:val="008C270C"/>
    <w:rsid w:val="008C2BDE"/>
    <w:rsid w:val="008C2E1F"/>
    <w:rsid w:val="008C2E7F"/>
    <w:rsid w:val="008C35B9"/>
    <w:rsid w:val="008C3800"/>
    <w:rsid w:val="008C437E"/>
    <w:rsid w:val="008C473C"/>
    <w:rsid w:val="008C4818"/>
    <w:rsid w:val="008C5128"/>
    <w:rsid w:val="008C53D8"/>
    <w:rsid w:val="008C5635"/>
    <w:rsid w:val="008C5CB0"/>
    <w:rsid w:val="008C5E92"/>
    <w:rsid w:val="008C5F6C"/>
    <w:rsid w:val="008C61AF"/>
    <w:rsid w:val="008C63A8"/>
    <w:rsid w:val="008C6851"/>
    <w:rsid w:val="008C6BE6"/>
    <w:rsid w:val="008C6E4F"/>
    <w:rsid w:val="008C6E6C"/>
    <w:rsid w:val="008C7727"/>
    <w:rsid w:val="008C7870"/>
    <w:rsid w:val="008C7927"/>
    <w:rsid w:val="008D00C9"/>
    <w:rsid w:val="008D05C4"/>
    <w:rsid w:val="008D0668"/>
    <w:rsid w:val="008D06FC"/>
    <w:rsid w:val="008D0A25"/>
    <w:rsid w:val="008D0B7B"/>
    <w:rsid w:val="008D10D7"/>
    <w:rsid w:val="008D10F7"/>
    <w:rsid w:val="008D1465"/>
    <w:rsid w:val="008D18B8"/>
    <w:rsid w:val="008D1BD3"/>
    <w:rsid w:val="008D1FE7"/>
    <w:rsid w:val="008D226B"/>
    <w:rsid w:val="008D2748"/>
    <w:rsid w:val="008D27B3"/>
    <w:rsid w:val="008D2895"/>
    <w:rsid w:val="008D2C7C"/>
    <w:rsid w:val="008D37B1"/>
    <w:rsid w:val="008D382A"/>
    <w:rsid w:val="008D38D3"/>
    <w:rsid w:val="008D3960"/>
    <w:rsid w:val="008D3D6F"/>
    <w:rsid w:val="008D3E2F"/>
    <w:rsid w:val="008D413D"/>
    <w:rsid w:val="008D473B"/>
    <w:rsid w:val="008D478B"/>
    <w:rsid w:val="008D47C5"/>
    <w:rsid w:val="008D4AEE"/>
    <w:rsid w:val="008D4DF8"/>
    <w:rsid w:val="008D4EAE"/>
    <w:rsid w:val="008D505C"/>
    <w:rsid w:val="008D5183"/>
    <w:rsid w:val="008D53BA"/>
    <w:rsid w:val="008D53C3"/>
    <w:rsid w:val="008D5429"/>
    <w:rsid w:val="008D55CD"/>
    <w:rsid w:val="008D5608"/>
    <w:rsid w:val="008D56E4"/>
    <w:rsid w:val="008D5717"/>
    <w:rsid w:val="008D5C3E"/>
    <w:rsid w:val="008D5F4A"/>
    <w:rsid w:val="008D6306"/>
    <w:rsid w:val="008D64C3"/>
    <w:rsid w:val="008D6600"/>
    <w:rsid w:val="008D662F"/>
    <w:rsid w:val="008D6B8A"/>
    <w:rsid w:val="008D6C93"/>
    <w:rsid w:val="008D6E58"/>
    <w:rsid w:val="008D7157"/>
    <w:rsid w:val="008D7397"/>
    <w:rsid w:val="008D7691"/>
    <w:rsid w:val="008D7A61"/>
    <w:rsid w:val="008D7D68"/>
    <w:rsid w:val="008D7ECE"/>
    <w:rsid w:val="008E066B"/>
    <w:rsid w:val="008E06C5"/>
    <w:rsid w:val="008E0714"/>
    <w:rsid w:val="008E08B0"/>
    <w:rsid w:val="008E0AAB"/>
    <w:rsid w:val="008E0EDA"/>
    <w:rsid w:val="008E1251"/>
    <w:rsid w:val="008E182A"/>
    <w:rsid w:val="008E1AF8"/>
    <w:rsid w:val="008E1D84"/>
    <w:rsid w:val="008E218F"/>
    <w:rsid w:val="008E228B"/>
    <w:rsid w:val="008E2357"/>
    <w:rsid w:val="008E25A7"/>
    <w:rsid w:val="008E28A5"/>
    <w:rsid w:val="008E299A"/>
    <w:rsid w:val="008E310B"/>
    <w:rsid w:val="008E31E1"/>
    <w:rsid w:val="008E33BF"/>
    <w:rsid w:val="008E3AD2"/>
    <w:rsid w:val="008E3E71"/>
    <w:rsid w:val="008E3E92"/>
    <w:rsid w:val="008E40F4"/>
    <w:rsid w:val="008E4708"/>
    <w:rsid w:val="008E4991"/>
    <w:rsid w:val="008E4B57"/>
    <w:rsid w:val="008E4E73"/>
    <w:rsid w:val="008E5051"/>
    <w:rsid w:val="008E5064"/>
    <w:rsid w:val="008E5496"/>
    <w:rsid w:val="008E5BEC"/>
    <w:rsid w:val="008E5C86"/>
    <w:rsid w:val="008E5DEF"/>
    <w:rsid w:val="008E6164"/>
    <w:rsid w:val="008E627A"/>
    <w:rsid w:val="008E6734"/>
    <w:rsid w:val="008E694D"/>
    <w:rsid w:val="008E7063"/>
    <w:rsid w:val="008E7359"/>
    <w:rsid w:val="008E74AA"/>
    <w:rsid w:val="008E784B"/>
    <w:rsid w:val="008E7870"/>
    <w:rsid w:val="008E7AD7"/>
    <w:rsid w:val="008E7C6E"/>
    <w:rsid w:val="008F01B7"/>
    <w:rsid w:val="008F03C5"/>
    <w:rsid w:val="008F041B"/>
    <w:rsid w:val="008F0574"/>
    <w:rsid w:val="008F0B5F"/>
    <w:rsid w:val="008F0CAA"/>
    <w:rsid w:val="008F0F09"/>
    <w:rsid w:val="008F11E0"/>
    <w:rsid w:val="008F11F1"/>
    <w:rsid w:val="008F1999"/>
    <w:rsid w:val="008F1DF9"/>
    <w:rsid w:val="008F1FF1"/>
    <w:rsid w:val="008F2137"/>
    <w:rsid w:val="008F2175"/>
    <w:rsid w:val="008F2249"/>
    <w:rsid w:val="008F267C"/>
    <w:rsid w:val="008F27F8"/>
    <w:rsid w:val="008F2843"/>
    <w:rsid w:val="008F2858"/>
    <w:rsid w:val="008F2900"/>
    <w:rsid w:val="008F299B"/>
    <w:rsid w:val="008F2A06"/>
    <w:rsid w:val="008F2DFF"/>
    <w:rsid w:val="008F2F38"/>
    <w:rsid w:val="008F2FAE"/>
    <w:rsid w:val="008F326C"/>
    <w:rsid w:val="008F367E"/>
    <w:rsid w:val="008F3BB8"/>
    <w:rsid w:val="008F3D60"/>
    <w:rsid w:val="008F3E7B"/>
    <w:rsid w:val="008F3F09"/>
    <w:rsid w:val="008F41F6"/>
    <w:rsid w:val="008F4422"/>
    <w:rsid w:val="008F4626"/>
    <w:rsid w:val="008F47EA"/>
    <w:rsid w:val="008F4939"/>
    <w:rsid w:val="008F4942"/>
    <w:rsid w:val="008F4A35"/>
    <w:rsid w:val="008F4A40"/>
    <w:rsid w:val="008F4A44"/>
    <w:rsid w:val="008F4B16"/>
    <w:rsid w:val="008F4C42"/>
    <w:rsid w:val="008F4D95"/>
    <w:rsid w:val="008F50FD"/>
    <w:rsid w:val="008F51D7"/>
    <w:rsid w:val="008F536A"/>
    <w:rsid w:val="008F5BB1"/>
    <w:rsid w:val="008F6140"/>
    <w:rsid w:val="008F61FD"/>
    <w:rsid w:val="008F6492"/>
    <w:rsid w:val="008F6628"/>
    <w:rsid w:val="008F66C3"/>
    <w:rsid w:val="008F66F6"/>
    <w:rsid w:val="008F68ED"/>
    <w:rsid w:val="008F6B68"/>
    <w:rsid w:val="008F6CAF"/>
    <w:rsid w:val="008F6E9D"/>
    <w:rsid w:val="008F7069"/>
    <w:rsid w:val="008F72B0"/>
    <w:rsid w:val="008F73D0"/>
    <w:rsid w:val="008F7DA1"/>
    <w:rsid w:val="008F7E96"/>
    <w:rsid w:val="0090020B"/>
    <w:rsid w:val="00900364"/>
    <w:rsid w:val="00900446"/>
    <w:rsid w:val="00900570"/>
    <w:rsid w:val="00900694"/>
    <w:rsid w:val="0090098C"/>
    <w:rsid w:val="00900C33"/>
    <w:rsid w:val="00900CC0"/>
    <w:rsid w:val="00900F39"/>
    <w:rsid w:val="00901200"/>
    <w:rsid w:val="0090127B"/>
    <w:rsid w:val="00901371"/>
    <w:rsid w:val="0090147C"/>
    <w:rsid w:val="00901807"/>
    <w:rsid w:val="00901928"/>
    <w:rsid w:val="00901BEC"/>
    <w:rsid w:val="00902683"/>
    <w:rsid w:val="009027C2"/>
    <w:rsid w:val="00902AA6"/>
    <w:rsid w:val="00902D12"/>
    <w:rsid w:val="00902DB6"/>
    <w:rsid w:val="00902ED1"/>
    <w:rsid w:val="0090324C"/>
    <w:rsid w:val="00903404"/>
    <w:rsid w:val="0090344E"/>
    <w:rsid w:val="009039E5"/>
    <w:rsid w:val="00903A8D"/>
    <w:rsid w:val="00903AD8"/>
    <w:rsid w:val="00903E2A"/>
    <w:rsid w:val="00903FBD"/>
    <w:rsid w:val="00904044"/>
    <w:rsid w:val="009041C8"/>
    <w:rsid w:val="0090496F"/>
    <w:rsid w:val="00904B0E"/>
    <w:rsid w:val="00904C42"/>
    <w:rsid w:val="00904CA3"/>
    <w:rsid w:val="00904E76"/>
    <w:rsid w:val="00904EC1"/>
    <w:rsid w:val="009053D6"/>
    <w:rsid w:val="0090553E"/>
    <w:rsid w:val="009057F4"/>
    <w:rsid w:val="00905C28"/>
    <w:rsid w:val="00905CDF"/>
    <w:rsid w:val="0090600F"/>
    <w:rsid w:val="0090602A"/>
    <w:rsid w:val="0090606C"/>
    <w:rsid w:val="00906744"/>
    <w:rsid w:val="0090693A"/>
    <w:rsid w:val="00906D11"/>
    <w:rsid w:val="00906E5B"/>
    <w:rsid w:val="00906EF2"/>
    <w:rsid w:val="00907251"/>
    <w:rsid w:val="009073A9"/>
    <w:rsid w:val="00907ACA"/>
    <w:rsid w:val="00907EB2"/>
    <w:rsid w:val="009100CD"/>
    <w:rsid w:val="00910169"/>
    <w:rsid w:val="00910484"/>
    <w:rsid w:val="009104DF"/>
    <w:rsid w:val="00910879"/>
    <w:rsid w:val="009108EB"/>
    <w:rsid w:val="00910A12"/>
    <w:rsid w:val="00910A1E"/>
    <w:rsid w:val="00910A4F"/>
    <w:rsid w:val="00910C04"/>
    <w:rsid w:val="00910C5B"/>
    <w:rsid w:val="00910D20"/>
    <w:rsid w:val="00910E83"/>
    <w:rsid w:val="00910FBB"/>
    <w:rsid w:val="009111C1"/>
    <w:rsid w:val="00911287"/>
    <w:rsid w:val="0091183E"/>
    <w:rsid w:val="00911CC6"/>
    <w:rsid w:val="00911CDE"/>
    <w:rsid w:val="00911E85"/>
    <w:rsid w:val="0091226E"/>
    <w:rsid w:val="00912276"/>
    <w:rsid w:val="00912394"/>
    <w:rsid w:val="00912503"/>
    <w:rsid w:val="0091270D"/>
    <w:rsid w:val="0091274A"/>
    <w:rsid w:val="009127F2"/>
    <w:rsid w:val="0091298D"/>
    <w:rsid w:val="00912CE9"/>
    <w:rsid w:val="00912D67"/>
    <w:rsid w:val="00912FE1"/>
    <w:rsid w:val="00913285"/>
    <w:rsid w:val="009133A2"/>
    <w:rsid w:val="009139FF"/>
    <w:rsid w:val="00913A1F"/>
    <w:rsid w:val="00913BEC"/>
    <w:rsid w:val="00913DED"/>
    <w:rsid w:val="00913F6E"/>
    <w:rsid w:val="009143ED"/>
    <w:rsid w:val="0091467B"/>
    <w:rsid w:val="009148D9"/>
    <w:rsid w:val="00914CC0"/>
    <w:rsid w:val="00914F62"/>
    <w:rsid w:val="00915062"/>
    <w:rsid w:val="0091525E"/>
    <w:rsid w:val="00915454"/>
    <w:rsid w:val="00915624"/>
    <w:rsid w:val="00915767"/>
    <w:rsid w:val="00915DB9"/>
    <w:rsid w:val="009162BB"/>
    <w:rsid w:val="00916471"/>
    <w:rsid w:val="009164F6"/>
    <w:rsid w:val="0091667D"/>
    <w:rsid w:val="0091674C"/>
    <w:rsid w:val="00916B8B"/>
    <w:rsid w:val="00916BEE"/>
    <w:rsid w:val="00917004"/>
    <w:rsid w:val="00917270"/>
    <w:rsid w:val="00917668"/>
    <w:rsid w:val="00917729"/>
    <w:rsid w:val="009178A8"/>
    <w:rsid w:val="00917AB6"/>
    <w:rsid w:val="00917AEA"/>
    <w:rsid w:val="00917DE2"/>
    <w:rsid w:val="00917FA7"/>
    <w:rsid w:val="009203A8"/>
    <w:rsid w:val="009208F1"/>
    <w:rsid w:val="0092091B"/>
    <w:rsid w:val="00920AD4"/>
    <w:rsid w:val="00920DBE"/>
    <w:rsid w:val="00920EF1"/>
    <w:rsid w:val="00920F18"/>
    <w:rsid w:val="00920F43"/>
    <w:rsid w:val="00921017"/>
    <w:rsid w:val="00921212"/>
    <w:rsid w:val="00921492"/>
    <w:rsid w:val="0092178F"/>
    <w:rsid w:val="00921933"/>
    <w:rsid w:val="00921A1C"/>
    <w:rsid w:val="0092223D"/>
    <w:rsid w:val="00922357"/>
    <w:rsid w:val="00922416"/>
    <w:rsid w:val="009224C5"/>
    <w:rsid w:val="00922858"/>
    <w:rsid w:val="009228DD"/>
    <w:rsid w:val="00922B26"/>
    <w:rsid w:val="00922B56"/>
    <w:rsid w:val="00922CBC"/>
    <w:rsid w:val="0092307F"/>
    <w:rsid w:val="0092310F"/>
    <w:rsid w:val="009232F5"/>
    <w:rsid w:val="00923629"/>
    <w:rsid w:val="0092364F"/>
    <w:rsid w:val="009238BF"/>
    <w:rsid w:val="00923EBF"/>
    <w:rsid w:val="00923F75"/>
    <w:rsid w:val="00924368"/>
    <w:rsid w:val="0092479C"/>
    <w:rsid w:val="00924CB7"/>
    <w:rsid w:val="00924CCF"/>
    <w:rsid w:val="00924F2A"/>
    <w:rsid w:val="0092506F"/>
    <w:rsid w:val="00925742"/>
    <w:rsid w:val="009259A7"/>
    <w:rsid w:val="009259F5"/>
    <w:rsid w:val="00925A22"/>
    <w:rsid w:val="00925B04"/>
    <w:rsid w:val="00925B33"/>
    <w:rsid w:val="00925B45"/>
    <w:rsid w:val="00925B76"/>
    <w:rsid w:val="00925D07"/>
    <w:rsid w:val="00925FE6"/>
    <w:rsid w:val="009269D6"/>
    <w:rsid w:val="00926A5B"/>
    <w:rsid w:val="00926BE4"/>
    <w:rsid w:val="00926D4B"/>
    <w:rsid w:val="009270DD"/>
    <w:rsid w:val="009272F0"/>
    <w:rsid w:val="009275D3"/>
    <w:rsid w:val="00927783"/>
    <w:rsid w:val="00927C18"/>
    <w:rsid w:val="00927F3E"/>
    <w:rsid w:val="00930260"/>
    <w:rsid w:val="00930288"/>
    <w:rsid w:val="009310B4"/>
    <w:rsid w:val="00931314"/>
    <w:rsid w:val="00931454"/>
    <w:rsid w:val="009314C9"/>
    <w:rsid w:val="0093165B"/>
    <w:rsid w:val="00931760"/>
    <w:rsid w:val="0093199D"/>
    <w:rsid w:val="00931EC8"/>
    <w:rsid w:val="0093228D"/>
    <w:rsid w:val="00932641"/>
    <w:rsid w:val="00932659"/>
    <w:rsid w:val="00932932"/>
    <w:rsid w:val="00932BF3"/>
    <w:rsid w:val="00932C49"/>
    <w:rsid w:val="00933EC6"/>
    <w:rsid w:val="00933F5F"/>
    <w:rsid w:val="00933FB0"/>
    <w:rsid w:val="0093412E"/>
    <w:rsid w:val="00934AC6"/>
    <w:rsid w:val="00934BB9"/>
    <w:rsid w:val="00934D14"/>
    <w:rsid w:val="00934DFF"/>
    <w:rsid w:val="00934E00"/>
    <w:rsid w:val="00935155"/>
    <w:rsid w:val="00935313"/>
    <w:rsid w:val="0093561C"/>
    <w:rsid w:val="00935E9A"/>
    <w:rsid w:val="00935F48"/>
    <w:rsid w:val="0093618D"/>
    <w:rsid w:val="009364CB"/>
    <w:rsid w:val="009366C5"/>
    <w:rsid w:val="009368EF"/>
    <w:rsid w:val="00936D2C"/>
    <w:rsid w:val="00937444"/>
    <w:rsid w:val="009374BF"/>
    <w:rsid w:val="009377F7"/>
    <w:rsid w:val="00937AE0"/>
    <w:rsid w:val="00937D1B"/>
    <w:rsid w:val="00937D29"/>
    <w:rsid w:val="009401A3"/>
    <w:rsid w:val="00940265"/>
    <w:rsid w:val="00940363"/>
    <w:rsid w:val="009403F5"/>
    <w:rsid w:val="00940599"/>
    <w:rsid w:val="00940965"/>
    <w:rsid w:val="00940E72"/>
    <w:rsid w:val="00941AE2"/>
    <w:rsid w:val="009421B9"/>
    <w:rsid w:val="009421CB"/>
    <w:rsid w:val="009421DA"/>
    <w:rsid w:val="009428B1"/>
    <w:rsid w:val="00942C71"/>
    <w:rsid w:val="00942CF3"/>
    <w:rsid w:val="00942E2D"/>
    <w:rsid w:val="00943181"/>
    <w:rsid w:val="009435FF"/>
    <w:rsid w:val="00943935"/>
    <w:rsid w:val="0094397C"/>
    <w:rsid w:val="00943EF3"/>
    <w:rsid w:val="00944617"/>
    <w:rsid w:val="009447D3"/>
    <w:rsid w:val="00944FEC"/>
    <w:rsid w:val="009451DE"/>
    <w:rsid w:val="0094532F"/>
    <w:rsid w:val="009454A4"/>
    <w:rsid w:val="0094575F"/>
    <w:rsid w:val="009458EA"/>
    <w:rsid w:val="0094590E"/>
    <w:rsid w:val="00945AC7"/>
    <w:rsid w:val="00945C0A"/>
    <w:rsid w:val="0094605D"/>
    <w:rsid w:val="009468A6"/>
    <w:rsid w:val="00946A66"/>
    <w:rsid w:val="00946E5D"/>
    <w:rsid w:val="009471D1"/>
    <w:rsid w:val="009472BE"/>
    <w:rsid w:val="0094766C"/>
    <w:rsid w:val="00947AF5"/>
    <w:rsid w:val="00947B23"/>
    <w:rsid w:val="00947B58"/>
    <w:rsid w:val="00947C06"/>
    <w:rsid w:val="00947C3D"/>
    <w:rsid w:val="00947EF4"/>
    <w:rsid w:val="0095061B"/>
    <w:rsid w:val="009508AB"/>
    <w:rsid w:val="00950933"/>
    <w:rsid w:val="00950DBD"/>
    <w:rsid w:val="009515B4"/>
    <w:rsid w:val="00951BB8"/>
    <w:rsid w:val="00952119"/>
    <w:rsid w:val="00952129"/>
    <w:rsid w:val="0095215C"/>
    <w:rsid w:val="009521D6"/>
    <w:rsid w:val="009522DD"/>
    <w:rsid w:val="0095231F"/>
    <w:rsid w:val="00952381"/>
    <w:rsid w:val="00952667"/>
    <w:rsid w:val="009529B6"/>
    <w:rsid w:val="00952B59"/>
    <w:rsid w:val="00952D74"/>
    <w:rsid w:val="0095337D"/>
    <w:rsid w:val="0095350A"/>
    <w:rsid w:val="00953573"/>
    <w:rsid w:val="0095386F"/>
    <w:rsid w:val="00953B8C"/>
    <w:rsid w:val="00953D2C"/>
    <w:rsid w:val="0095414D"/>
    <w:rsid w:val="009544D0"/>
    <w:rsid w:val="00954760"/>
    <w:rsid w:val="009547CA"/>
    <w:rsid w:val="00954990"/>
    <w:rsid w:val="00954BC8"/>
    <w:rsid w:val="00954E37"/>
    <w:rsid w:val="00955120"/>
    <w:rsid w:val="00955136"/>
    <w:rsid w:val="0095513E"/>
    <w:rsid w:val="00955200"/>
    <w:rsid w:val="00955217"/>
    <w:rsid w:val="009552DC"/>
    <w:rsid w:val="0095554E"/>
    <w:rsid w:val="009558B9"/>
    <w:rsid w:val="0095591A"/>
    <w:rsid w:val="00955E99"/>
    <w:rsid w:val="00955F95"/>
    <w:rsid w:val="00956056"/>
    <w:rsid w:val="009561EE"/>
    <w:rsid w:val="0095628B"/>
    <w:rsid w:val="00956D04"/>
    <w:rsid w:val="00956EEE"/>
    <w:rsid w:val="009570C6"/>
    <w:rsid w:val="0095765F"/>
    <w:rsid w:val="00957831"/>
    <w:rsid w:val="009578EA"/>
    <w:rsid w:val="00957B52"/>
    <w:rsid w:val="00957B67"/>
    <w:rsid w:val="00957D0C"/>
    <w:rsid w:val="00960010"/>
    <w:rsid w:val="009605CA"/>
    <w:rsid w:val="009605D8"/>
    <w:rsid w:val="0096073F"/>
    <w:rsid w:val="00960B32"/>
    <w:rsid w:val="00960BC2"/>
    <w:rsid w:val="00960F08"/>
    <w:rsid w:val="00960F36"/>
    <w:rsid w:val="009612EC"/>
    <w:rsid w:val="009618B2"/>
    <w:rsid w:val="00961A5D"/>
    <w:rsid w:val="00961F57"/>
    <w:rsid w:val="00962407"/>
    <w:rsid w:val="00962640"/>
    <w:rsid w:val="0096264B"/>
    <w:rsid w:val="00962650"/>
    <w:rsid w:val="009626AF"/>
    <w:rsid w:val="00962733"/>
    <w:rsid w:val="00962E47"/>
    <w:rsid w:val="00962F25"/>
    <w:rsid w:val="0096307C"/>
    <w:rsid w:val="00963259"/>
    <w:rsid w:val="009633EE"/>
    <w:rsid w:val="009638CC"/>
    <w:rsid w:val="00963C14"/>
    <w:rsid w:val="00964766"/>
    <w:rsid w:val="009651DD"/>
    <w:rsid w:val="00965B8C"/>
    <w:rsid w:val="00965EB7"/>
    <w:rsid w:val="00965FEC"/>
    <w:rsid w:val="009667B9"/>
    <w:rsid w:val="0096680D"/>
    <w:rsid w:val="00966EBC"/>
    <w:rsid w:val="00967419"/>
    <w:rsid w:val="009676F7"/>
    <w:rsid w:val="00967A2D"/>
    <w:rsid w:val="00967BA8"/>
    <w:rsid w:val="00967ED0"/>
    <w:rsid w:val="009704F8"/>
    <w:rsid w:val="009705A4"/>
    <w:rsid w:val="009706FA"/>
    <w:rsid w:val="0097080F"/>
    <w:rsid w:val="00970C69"/>
    <w:rsid w:val="00971167"/>
    <w:rsid w:val="0097124D"/>
    <w:rsid w:val="00971296"/>
    <w:rsid w:val="00971397"/>
    <w:rsid w:val="00971685"/>
    <w:rsid w:val="00971AD5"/>
    <w:rsid w:val="00971DBD"/>
    <w:rsid w:val="00971E9D"/>
    <w:rsid w:val="00972030"/>
    <w:rsid w:val="009720DF"/>
    <w:rsid w:val="0097213B"/>
    <w:rsid w:val="00972207"/>
    <w:rsid w:val="009722FA"/>
    <w:rsid w:val="009727B2"/>
    <w:rsid w:val="0097280B"/>
    <w:rsid w:val="009729EC"/>
    <w:rsid w:val="00972C76"/>
    <w:rsid w:val="00972EEC"/>
    <w:rsid w:val="00973291"/>
    <w:rsid w:val="009733B8"/>
    <w:rsid w:val="009737C8"/>
    <w:rsid w:val="009738FE"/>
    <w:rsid w:val="00973908"/>
    <w:rsid w:val="00973A1D"/>
    <w:rsid w:val="00974021"/>
    <w:rsid w:val="00974382"/>
    <w:rsid w:val="009745D4"/>
    <w:rsid w:val="009747FB"/>
    <w:rsid w:val="00974D4B"/>
    <w:rsid w:val="009750B7"/>
    <w:rsid w:val="0097533C"/>
    <w:rsid w:val="009756CD"/>
    <w:rsid w:val="00975741"/>
    <w:rsid w:val="00975B80"/>
    <w:rsid w:val="0097676F"/>
    <w:rsid w:val="00976977"/>
    <w:rsid w:val="009769FA"/>
    <w:rsid w:val="00976B8C"/>
    <w:rsid w:val="0097799D"/>
    <w:rsid w:val="009779CD"/>
    <w:rsid w:val="0098031A"/>
    <w:rsid w:val="009803F8"/>
    <w:rsid w:val="0098048B"/>
    <w:rsid w:val="0098061C"/>
    <w:rsid w:val="00980ACD"/>
    <w:rsid w:val="00980E25"/>
    <w:rsid w:val="00980F86"/>
    <w:rsid w:val="0098104A"/>
    <w:rsid w:val="009811B1"/>
    <w:rsid w:val="0098131C"/>
    <w:rsid w:val="00981596"/>
    <w:rsid w:val="0098161B"/>
    <w:rsid w:val="009820F1"/>
    <w:rsid w:val="009823B8"/>
    <w:rsid w:val="00982517"/>
    <w:rsid w:val="00982534"/>
    <w:rsid w:val="00982537"/>
    <w:rsid w:val="00982717"/>
    <w:rsid w:val="00982944"/>
    <w:rsid w:val="00982C2B"/>
    <w:rsid w:val="00982DA0"/>
    <w:rsid w:val="00982F7E"/>
    <w:rsid w:val="00983123"/>
    <w:rsid w:val="009832B4"/>
    <w:rsid w:val="00983467"/>
    <w:rsid w:val="0098346B"/>
    <w:rsid w:val="00983637"/>
    <w:rsid w:val="009836A8"/>
    <w:rsid w:val="009838FF"/>
    <w:rsid w:val="00983C7D"/>
    <w:rsid w:val="00983C7E"/>
    <w:rsid w:val="00983FD0"/>
    <w:rsid w:val="00984357"/>
    <w:rsid w:val="0098458A"/>
    <w:rsid w:val="009847D0"/>
    <w:rsid w:val="00984D77"/>
    <w:rsid w:val="00984DD5"/>
    <w:rsid w:val="009851E4"/>
    <w:rsid w:val="009851EC"/>
    <w:rsid w:val="00985269"/>
    <w:rsid w:val="0098544B"/>
    <w:rsid w:val="00985629"/>
    <w:rsid w:val="0098578A"/>
    <w:rsid w:val="009857FE"/>
    <w:rsid w:val="00985B4C"/>
    <w:rsid w:val="009860B1"/>
    <w:rsid w:val="009865B0"/>
    <w:rsid w:val="009867E3"/>
    <w:rsid w:val="00986867"/>
    <w:rsid w:val="00986AA8"/>
    <w:rsid w:val="00986BD6"/>
    <w:rsid w:val="00986C23"/>
    <w:rsid w:val="00986FDE"/>
    <w:rsid w:val="00987147"/>
    <w:rsid w:val="0098743E"/>
    <w:rsid w:val="009876D2"/>
    <w:rsid w:val="009876E0"/>
    <w:rsid w:val="00987907"/>
    <w:rsid w:val="00990045"/>
    <w:rsid w:val="009901ED"/>
    <w:rsid w:val="0099022B"/>
    <w:rsid w:val="00990399"/>
    <w:rsid w:val="00990BDC"/>
    <w:rsid w:val="009910C6"/>
    <w:rsid w:val="00991217"/>
    <w:rsid w:val="00992062"/>
    <w:rsid w:val="009923A2"/>
    <w:rsid w:val="009923C9"/>
    <w:rsid w:val="00992B27"/>
    <w:rsid w:val="00992F16"/>
    <w:rsid w:val="0099356D"/>
    <w:rsid w:val="00993624"/>
    <w:rsid w:val="00993A67"/>
    <w:rsid w:val="00993B70"/>
    <w:rsid w:val="00993D03"/>
    <w:rsid w:val="00993DB3"/>
    <w:rsid w:val="00993F15"/>
    <w:rsid w:val="00994090"/>
    <w:rsid w:val="00994147"/>
    <w:rsid w:val="00994544"/>
    <w:rsid w:val="00994849"/>
    <w:rsid w:val="00994EC4"/>
    <w:rsid w:val="00995141"/>
    <w:rsid w:val="00995597"/>
    <w:rsid w:val="0099582C"/>
    <w:rsid w:val="00995B5A"/>
    <w:rsid w:val="009964D1"/>
    <w:rsid w:val="00996751"/>
    <w:rsid w:val="009971A6"/>
    <w:rsid w:val="00997551"/>
    <w:rsid w:val="0099766C"/>
    <w:rsid w:val="009977BA"/>
    <w:rsid w:val="00997AC8"/>
    <w:rsid w:val="00997B10"/>
    <w:rsid w:val="00997D3E"/>
    <w:rsid w:val="00997E2E"/>
    <w:rsid w:val="009A06D6"/>
    <w:rsid w:val="009A0985"/>
    <w:rsid w:val="009A10A0"/>
    <w:rsid w:val="009A1365"/>
    <w:rsid w:val="009A15C1"/>
    <w:rsid w:val="009A17DB"/>
    <w:rsid w:val="009A19D6"/>
    <w:rsid w:val="009A1AC7"/>
    <w:rsid w:val="009A1ADD"/>
    <w:rsid w:val="009A1F2E"/>
    <w:rsid w:val="009A21D9"/>
    <w:rsid w:val="009A221C"/>
    <w:rsid w:val="009A2254"/>
    <w:rsid w:val="009A239F"/>
    <w:rsid w:val="009A2911"/>
    <w:rsid w:val="009A2972"/>
    <w:rsid w:val="009A2D3F"/>
    <w:rsid w:val="009A2D65"/>
    <w:rsid w:val="009A2E49"/>
    <w:rsid w:val="009A2FBB"/>
    <w:rsid w:val="009A3116"/>
    <w:rsid w:val="009A37A3"/>
    <w:rsid w:val="009A3B91"/>
    <w:rsid w:val="009A3BB8"/>
    <w:rsid w:val="009A3CFD"/>
    <w:rsid w:val="009A4090"/>
    <w:rsid w:val="009A4162"/>
    <w:rsid w:val="009A43E1"/>
    <w:rsid w:val="009A46F9"/>
    <w:rsid w:val="009A474A"/>
    <w:rsid w:val="009A48D0"/>
    <w:rsid w:val="009A4957"/>
    <w:rsid w:val="009A4D79"/>
    <w:rsid w:val="009A4E72"/>
    <w:rsid w:val="009A4F69"/>
    <w:rsid w:val="009A5138"/>
    <w:rsid w:val="009A5483"/>
    <w:rsid w:val="009A5C9D"/>
    <w:rsid w:val="009A61F6"/>
    <w:rsid w:val="009A638D"/>
    <w:rsid w:val="009A64AD"/>
    <w:rsid w:val="009A6965"/>
    <w:rsid w:val="009A6DC9"/>
    <w:rsid w:val="009A6E05"/>
    <w:rsid w:val="009A712D"/>
    <w:rsid w:val="009A7BFA"/>
    <w:rsid w:val="009A7EE6"/>
    <w:rsid w:val="009A7F2C"/>
    <w:rsid w:val="009B05E0"/>
    <w:rsid w:val="009B0AA0"/>
    <w:rsid w:val="009B0C46"/>
    <w:rsid w:val="009B0DE9"/>
    <w:rsid w:val="009B11C0"/>
    <w:rsid w:val="009B1BCD"/>
    <w:rsid w:val="009B1F5D"/>
    <w:rsid w:val="009B1F8D"/>
    <w:rsid w:val="009B1FFB"/>
    <w:rsid w:val="009B240F"/>
    <w:rsid w:val="009B24CF"/>
    <w:rsid w:val="009B2A6C"/>
    <w:rsid w:val="009B2CB8"/>
    <w:rsid w:val="009B32FA"/>
    <w:rsid w:val="009B36D9"/>
    <w:rsid w:val="009B39CA"/>
    <w:rsid w:val="009B3A21"/>
    <w:rsid w:val="009B3BA6"/>
    <w:rsid w:val="009B3CFD"/>
    <w:rsid w:val="009B40A5"/>
    <w:rsid w:val="009B4244"/>
    <w:rsid w:val="009B44E9"/>
    <w:rsid w:val="009B4666"/>
    <w:rsid w:val="009B4B48"/>
    <w:rsid w:val="009B4C9A"/>
    <w:rsid w:val="009B4D24"/>
    <w:rsid w:val="009B4E70"/>
    <w:rsid w:val="009B50C8"/>
    <w:rsid w:val="009B5100"/>
    <w:rsid w:val="009B5880"/>
    <w:rsid w:val="009B58DE"/>
    <w:rsid w:val="009B5967"/>
    <w:rsid w:val="009B5DBF"/>
    <w:rsid w:val="009B5E6B"/>
    <w:rsid w:val="009B601D"/>
    <w:rsid w:val="009B615C"/>
    <w:rsid w:val="009B6199"/>
    <w:rsid w:val="009B625E"/>
    <w:rsid w:val="009B6574"/>
    <w:rsid w:val="009B6903"/>
    <w:rsid w:val="009B6BF4"/>
    <w:rsid w:val="009B6E3C"/>
    <w:rsid w:val="009B6F21"/>
    <w:rsid w:val="009B715D"/>
    <w:rsid w:val="009B7229"/>
    <w:rsid w:val="009B7591"/>
    <w:rsid w:val="009B763A"/>
    <w:rsid w:val="009B7666"/>
    <w:rsid w:val="009B775C"/>
    <w:rsid w:val="009B79A9"/>
    <w:rsid w:val="009B7BE5"/>
    <w:rsid w:val="009B7E9A"/>
    <w:rsid w:val="009B7EBC"/>
    <w:rsid w:val="009C0116"/>
    <w:rsid w:val="009C01D3"/>
    <w:rsid w:val="009C053E"/>
    <w:rsid w:val="009C0681"/>
    <w:rsid w:val="009C0E39"/>
    <w:rsid w:val="009C0F3C"/>
    <w:rsid w:val="009C0F45"/>
    <w:rsid w:val="009C0FA9"/>
    <w:rsid w:val="009C109F"/>
    <w:rsid w:val="009C199C"/>
    <w:rsid w:val="009C1BE3"/>
    <w:rsid w:val="009C1D45"/>
    <w:rsid w:val="009C1E5B"/>
    <w:rsid w:val="009C1EBE"/>
    <w:rsid w:val="009C1EC5"/>
    <w:rsid w:val="009C20FB"/>
    <w:rsid w:val="009C22A8"/>
    <w:rsid w:val="009C36F7"/>
    <w:rsid w:val="009C3B25"/>
    <w:rsid w:val="009C3BB0"/>
    <w:rsid w:val="009C3DB5"/>
    <w:rsid w:val="009C461E"/>
    <w:rsid w:val="009C46BA"/>
    <w:rsid w:val="009C4AC1"/>
    <w:rsid w:val="009C4E4F"/>
    <w:rsid w:val="009C5D17"/>
    <w:rsid w:val="009C60BC"/>
    <w:rsid w:val="009C69E9"/>
    <w:rsid w:val="009C6D13"/>
    <w:rsid w:val="009C7029"/>
    <w:rsid w:val="009C7116"/>
    <w:rsid w:val="009C71B7"/>
    <w:rsid w:val="009C71D4"/>
    <w:rsid w:val="009C7241"/>
    <w:rsid w:val="009C7EDC"/>
    <w:rsid w:val="009D0038"/>
    <w:rsid w:val="009D00BB"/>
    <w:rsid w:val="009D014F"/>
    <w:rsid w:val="009D02D3"/>
    <w:rsid w:val="009D0449"/>
    <w:rsid w:val="009D068D"/>
    <w:rsid w:val="009D07E6"/>
    <w:rsid w:val="009D0D71"/>
    <w:rsid w:val="009D0FBD"/>
    <w:rsid w:val="009D10A4"/>
    <w:rsid w:val="009D12D4"/>
    <w:rsid w:val="009D1471"/>
    <w:rsid w:val="009D19D7"/>
    <w:rsid w:val="009D1A6D"/>
    <w:rsid w:val="009D1CF7"/>
    <w:rsid w:val="009D1FEF"/>
    <w:rsid w:val="009D293E"/>
    <w:rsid w:val="009D2CCC"/>
    <w:rsid w:val="009D2E5B"/>
    <w:rsid w:val="009D2FE9"/>
    <w:rsid w:val="009D348D"/>
    <w:rsid w:val="009D3663"/>
    <w:rsid w:val="009D39D3"/>
    <w:rsid w:val="009D44B0"/>
    <w:rsid w:val="009D480F"/>
    <w:rsid w:val="009D4A02"/>
    <w:rsid w:val="009D4A97"/>
    <w:rsid w:val="009D4BF4"/>
    <w:rsid w:val="009D4ED8"/>
    <w:rsid w:val="009D500F"/>
    <w:rsid w:val="009D516F"/>
    <w:rsid w:val="009D51C1"/>
    <w:rsid w:val="009D52C3"/>
    <w:rsid w:val="009D59B1"/>
    <w:rsid w:val="009D59B2"/>
    <w:rsid w:val="009D5CA7"/>
    <w:rsid w:val="009D6036"/>
    <w:rsid w:val="009D6402"/>
    <w:rsid w:val="009D657E"/>
    <w:rsid w:val="009D686F"/>
    <w:rsid w:val="009D6A59"/>
    <w:rsid w:val="009D6B30"/>
    <w:rsid w:val="009D6C1F"/>
    <w:rsid w:val="009D6D3B"/>
    <w:rsid w:val="009D7011"/>
    <w:rsid w:val="009D7399"/>
    <w:rsid w:val="009D73DF"/>
    <w:rsid w:val="009D73F9"/>
    <w:rsid w:val="009D74CB"/>
    <w:rsid w:val="009D7692"/>
    <w:rsid w:val="009D77F9"/>
    <w:rsid w:val="009D780E"/>
    <w:rsid w:val="009D7B78"/>
    <w:rsid w:val="009E0578"/>
    <w:rsid w:val="009E0A5A"/>
    <w:rsid w:val="009E0CC6"/>
    <w:rsid w:val="009E1361"/>
    <w:rsid w:val="009E13EF"/>
    <w:rsid w:val="009E174B"/>
    <w:rsid w:val="009E1934"/>
    <w:rsid w:val="009E21E8"/>
    <w:rsid w:val="009E226C"/>
    <w:rsid w:val="009E2887"/>
    <w:rsid w:val="009E2922"/>
    <w:rsid w:val="009E2966"/>
    <w:rsid w:val="009E29DC"/>
    <w:rsid w:val="009E2A22"/>
    <w:rsid w:val="009E2ABF"/>
    <w:rsid w:val="009E3356"/>
    <w:rsid w:val="009E356E"/>
    <w:rsid w:val="009E3A2E"/>
    <w:rsid w:val="009E3A6A"/>
    <w:rsid w:val="009E3B43"/>
    <w:rsid w:val="009E45C5"/>
    <w:rsid w:val="009E462C"/>
    <w:rsid w:val="009E4749"/>
    <w:rsid w:val="009E490E"/>
    <w:rsid w:val="009E4C85"/>
    <w:rsid w:val="009E4D40"/>
    <w:rsid w:val="009E5331"/>
    <w:rsid w:val="009E5463"/>
    <w:rsid w:val="009E5555"/>
    <w:rsid w:val="009E59EE"/>
    <w:rsid w:val="009E6087"/>
    <w:rsid w:val="009E60DE"/>
    <w:rsid w:val="009E60EA"/>
    <w:rsid w:val="009E63B2"/>
    <w:rsid w:val="009E66C8"/>
    <w:rsid w:val="009E6794"/>
    <w:rsid w:val="009E6C51"/>
    <w:rsid w:val="009E7240"/>
    <w:rsid w:val="009E79E4"/>
    <w:rsid w:val="009E7AD3"/>
    <w:rsid w:val="009F055D"/>
    <w:rsid w:val="009F0580"/>
    <w:rsid w:val="009F0623"/>
    <w:rsid w:val="009F0911"/>
    <w:rsid w:val="009F0D99"/>
    <w:rsid w:val="009F0DF3"/>
    <w:rsid w:val="009F11C2"/>
    <w:rsid w:val="009F12FA"/>
    <w:rsid w:val="009F1386"/>
    <w:rsid w:val="009F1387"/>
    <w:rsid w:val="009F1456"/>
    <w:rsid w:val="009F166B"/>
    <w:rsid w:val="009F18B7"/>
    <w:rsid w:val="009F19D3"/>
    <w:rsid w:val="009F1A6D"/>
    <w:rsid w:val="009F1B66"/>
    <w:rsid w:val="009F1FBA"/>
    <w:rsid w:val="009F1FBB"/>
    <w:rsid w:val="009F272B"/>
    <w:rsid w:val="009F29AC"/>
    <w:rsid w:val="009F2A3B"/>
    <w:rsid w:val="009F2CF5"/>
    <w:rsid w:val="009F2DD0"/>
    <w:rsid w:val="009F2F2B"/>
    <w:rsid w:val="009F307B"/>
    <w:rsid w:val="009F30E8"/>
    <w:rsid w:val="009F31D2"/>
    <w:rsid w:val="009F3227"/>
    <w:rsid w:val="009F3DB8"/>
    <w:rsid w:val="009F400D"/>
    <w:rsid w:val="009F42A2"/>
    <w:rsid w:val="009F435C"/>
    <w:rsid w:val="009F4A70"/>
    <w:rsid w:val="009F4A8F"/>
    <w:rsid w:val="009F52B4"/>
    <w:rsid w:val="009F53CA"/>
    <w:rsid w:val="009F5728"/>
    <w:rsid w:val="009F6194"/>
    <w:rsid w:val="009F64C4"/>
    <w:rsid w:val="009F64F5"/>
    <w:rsid w:val="009F6C0C"/>
    <w:rsid w:val="009F6C37"/>
    <w:rsid w:val="009F6F8E"/>
    <w:rsid w:val="009F7372"/>
    <w:rsid w:val="009F7385"/>
    <w:rsid w:val="009F741A"/>
    <w:rsid w:val="009F7681"/>
    <w:rsid w:val="009F78CA"/>
    <w:rsid w:val="009F78CB"/>
    <w:rsid w:val="009F7AC0"/>
    <w:rsid w:val="009F7C50"/>
    <w:rsid w:val="009F7EB8"/>
    <w:rsid w:val="009F7EF1"/>
    <w:rsid w:val="00A0004A"/>
    <w:rsid w:val="00A002A7"/>
    <w:rsid w:val="00A00489"/>
    <w:rsid w:val="00A00532"/>
    <w:rsid w:val="00A00B60"/>
    <w:rsid w:val="00A00F89"/>
    <w:rsid w:val="00A0130F"/>
    <w:rsid w:val="00A0157C"/>
    <w:rsid w:val="00A0165D"/>
    <w:rsid w:val="00A017A4"/>
    <w:rsid w:val="00A01962"/>
    <w:rsid w:val="00A01BAC"/>
    <w:rsid w:val="00A01F20"/>
    <w:rsid w:val="00A01F61"/>
    <w:rsid w:val="00A01FE1"/>
    <w:rsid w:val="00A02035"/>
    <w:rsid w:val="00A022F3"/>
    <w:rsid w:val="00A023A0"/>
    <w:rsid w:val="00A025C4"/>
    <w:rsid w:val="00A02671"/>
    <w:rsid w:val="00A02841"/>
    <w:rsid w:val="00A02B69"/>
    <w:rsid w:val="00A02CCE"/>
    <w:rsid w:val="00A0347F"/>
    <w:rsid w:val="00A0352A"/>
    <w:rsid w:val="00A035DE"/>
    <w:rsid w:val="00A03840"/>
    <w:rsid w:val="00A04002"/>
    <w:rsid w:val="00A04429"/>
    <w:rsid w:val="00A0473A"/>
    <w:rsid w:val="00A04777"/>
    <w:rsid w:val="00A0479B"/>
    <w:rsid w:val="00A0480E"/>
    <w:rsid w:val="00A0485C"/>
    <w:rsid w:val="00A0499E"/>
    <w:rsid w:val="00A04AFB"/>
    <w:rsid w:val="00A04B24"/>
    <w:rsid w:val="00A04DDF"/>
    <w:rsid w:val="00A05160"/>
    <w:rsid w:val="00A05207"/>
    <w:rsid w:val="00A0530C"/>
    <w:rsid w:val="00A055FC"/>
    <w:rsid w:val="00A0579A"/>
    <w:rsid w:val="00A05957"/>
    <w:rsid w:val="00A05CEA"/>
    <w:rsid w:val="00A06073"/>
    <w:rsid w:val="00A06406"/>
    <w:rsid w:val="00A0674D"/>
    <w:rsid w:val="00A069B2"/>
    <w:rsid w:val="00A06BC1"/>
    <w:rsid w:val="00A06CD4"/>
    <w:rsid w:val="00A06E5E"/>
    <w:rsid w:val="00A06E84"/>
    <w:rsid w:val="00A06F13"/>
    <w:rsid w:val="00A07268"/>
    <w:rsid w:val="00A0758D"/>
    <w:rsid w:val="00A076C0"/>
    <w:rsid w:val="00A07990"/>
    <w:rsid w:val="00A07A66"/>
    <w:rsid w:val="00A07BD9"/>
    <w:rsid w:val="00A07CDF"/>
    <w:rsid w:val="00A07D23"/>
    <w:rsid w:val="00A07D45"/>
    <w:rsid w:val="00A10233"/>
    <w:rsid w:val="00A10589"/>
    <w:rsid w:val="00A1062C"/>
    <w:rsid w:val="00A1082D"/>
    <w:rsid w:val="00A10D6B"/>
    <w:rsid w:val="00A10FDC"/>
    <w:rsid w:val="00A114FE"/>
    <w:rsid w:val="00A11632"/>
    <w:rsid w:val="00A11A0A"/>
    <w:rsid w:val="00A11E31"/>
    <w:rsid w:val="00A12400"/>
    <w:rsid w:val="00A12449"/>
    <w:rsid w:val="00A127EF"/>
    <w:rsid w:val="00A1286F"/>
    <w:rsid w:val="00A12EA5"/>
    <w:rsid w:val="00A12F26"/>
    <w:rsid w:val="00A1340A"/>
    <w:rsid w:val="00A13603"/>
    <w:rsid w:val="00A1384A"/>
    <w:rsid w:val="00A13CF1"/>
    <w:rsid w:val="00A13E69"/>
    <w:rsid w:val="00A14011"/>
    <w:rsid w:val="00A1405E"/>
    <w:rsid w:val="00A142C3"/>
    <w:rsid w:val="00A1492C"/>
    <w:rsid w:val="00A14B2E"/>
    <w:rsid w:val="00A14C81"/>
    <w:rsid w:val="00A14E02"/>
    <w:rsid w:val="00A14FE0"/>
    <w:rsid w:val="00A15954"/>
    <w:rsid w:val="00A15DD7"/>
    <w:rsid w:val="00A15DDA"/>
    <w:rsid w:val="00A15EEF"/>
    <w:rsid w:val="00A160ED"/>
    <w:rsid w:val="00A16252"/>
    <w:rsid w:val="00A16479"/>
    <w:rsid w:val="00A1674A"/>
    <w:rsid w:val="00A16D27"/>
    <w:rsid w:val="00A16D28"/>
    <w:rsid w:val="00A16FD6"/>
    <w:rsid w:val="00A170B6"/>
    <w:rsid w:val="00A170DD"/>
    <w:rsid w:val="00A171C0"/>
    <w:rsid w:val="00A1728B"/>
    <w:rsid w:val="00A172E4"/>
    <w:rsid w:val="00A17753"/>
    <w:rsid w:val="00A17B87"/>
    <w:rsid w:val="00A20246"/>
    <w:rsid w:val="00A2035F"/>
    <w:rsid w:val="00A20516"/>
    <w:rsid w:val="00A205E1"/>
    <w:rsid w:val="00A2092A"/>
    <w:rsid w:val="00A20B91"/>
    <w:rsid w:val="00A20CBD"/>
    <w:rsid w:val="00A20CE2"/>
    <w:rsid w:val="00A20DDE"/>
    <w:rsid w:val="00A20FE2"/>
    <w:rsid w:val="00A210DD"/>
    <w:rsid w:val="00A212D3"/>
    <w:rsid w:val="00A2131D"/>
    <w:rsid w:val="00A21A61"/>
    <w:rsid w:val="00A21C58"/>
    <w:rsid w:val="00A21CB4"/>
    <w:rsid w:val="00A21CD7"/>
    <w:rsid w:val="00A21E7D"/>
    <w:rsid w:val="00A21F3D"/>
    <w:rsid w:val="00A22070"/>
    <w:rsid w:val="00A221F4"/>
    <w:rsid w:val="00A22B2E"/>
    <w:rsid w:val="00A22F43"/>
    <w:rsid w:val="00A2367F"/>
    <w:rsid w:val="00A2372D"/>
    <w:rsid w:val="00A23791"/>
    <w:rsid w:val="00A23799"/>
    <w:rsid w:val="00A237D4"/>
    <w:rsid w:val="00A238AF"/>
    <w:rsid w:val="00A23A94"/>
    <w:rsid w:val="00A23B69"/>
    <w:rsid w:val="00A24079"/>
    <w:rsid w:val="00A2411C"/>
    <w:rsid w:val="00A2425F"/>
    <w:rsid w:val="00A242A3"/>
    <w:rsid w:val="00A24308"/>
    <w:rsid w:val="00A24338"/>
    <w:rsid w:val="00A245B4"/>
    <w:rsid w:val="00A24D3D"/>
    <w:rsid w:val="00A24EAA"/>
    <w:rsid w:val="00A2509C"/>
    <w:rsid w:val="00A25462"/>
    <w:rsid w:val="00A2549E"/>
    <w:rsid w:val="00A25829"/>
    <w:rsid w:val="00A259B3"/>
    <w:rsid w:val="00A25AC2"/>
    <w:rsid w:val="00A25B1B"/>
    <w:rsid w:val="00A25C47"/>
    <w:rsid w:val="00A25FA7"/>
    <w:rsid w:val="00A25FC7"/>
    <w:rsid w:val="00A260DE"/>
    <w:rsid w:val="00A2612F"/>
    <w:rsid w:val="00A261D5"/>
    <w:rsid w:val="00A262CE"/>
    <w:rsid w:val="00A2631A"/>
    <w:rsid w:val="00A26E4D"/>
    <w:rsid w:val="00A26ECF"/>
    <w:rsid w:val="00A26FB7"/>
    <w:rsid w:val="00A274AA"/>
    <w:rsid w:val="00A274E8"/>
    <w:rsid w:val="00A27A3A"/>
    <w:rsid w:val="00A27B3B"/>
    <w:rsid w:val="00A27B77"/>
    <w:rsid w:val="00A3034F"/>
    <w:rsid w:val="00A30741"/>
    <w:rsid w:val="00A307AD"/>
    <w:rsid w:val="00A308B0"/>
    <w:rsid w:val="00A30C14"/>
    <w:rsid w:val="00A30C18"/>
    <w:rsid w:val="00A30E70"/>
    <w:rsid w:val="00A30F3A"/>
    <w:rsid w:val="00A31305"/>
    <w:rsid w:val="00A31386"/>
    <w:rsid w:val="00A31398"/>
    <w:rsid w:val="00A3154C"/>
    <w:rsid w:val="00A31CE1"/>
    <w:rsid w:val="00A31E54"/>
    <w:rsid w:val="00A31E6C"/>
    <w:rsid w:val="00A31EDE"/>
    <w:rsid w:val="00A31F0B"/>
    <w:rsid w:val="00A320A6"/>
    <w:rsid w:val="00A3221A"/>
    <w:rsid w:val="00A3260C"/>
    <w:rsid w:val="00A3295F"/>
    <w:rsid w:val="00A32ACF"/>
    <w:rsid w:val="00A32BF8"/>
    <w:rsid w:val="00A32DD1"/>
    <w:rsid w:val="00A33111"/>
    <w:rsid w:val="00A33236"/>
    <w:rsid w:val="00A33852"/>
    <w:rsid w:val="00A33A83"/>
    <w:rsid w:val="00A33AFA"/>
    <w:rsid w:val="00A33C3B"/>
    <w:rsid w:val="00A33D30"/>
    <w:rsid w:val="00A341D7"/>
    <w:rsid w:val="00A34427"/>
    <w:rsid w:val="00A3460C"/>
    <w:rsid w:val="00A34A75"/>
    <w:rsid w:val="00A3524B"/>
    <w:rsid w:val="00A358F9"/>
    <w:rsid w:val="00A35D63"/>
    <w:rsid w:val="00A36041"/>
    <w:rsid w:val="00A363E3"/>
    <w:rsid w:val="00A367BD"/>
    <w:rsid w:val="00A36BAC"/>
    <w:rsid w:val="00A36C7E"/>
    <w:rsid w:val="00A36CF5"/>
    <w:rsid w:val="00A36E08"/>
    <w:rsid w:val="00A36F10"/>
    <w:rsid w:val="00A372DB"/>
    <w:rsid w:val="00A37316"/>
    <w:rsid w:val="00A379F5"/>
    <w:rsid w:val="00A37ADE"/>
    <w:rsid w:val="00A40215"/>
    <w:rsid w:val="00A40332"/>
    <w:rsid w:val="00A4036F"/>
    <w:rsid w:val="00A40853"/>
    <w:rsid w:val="00A40F98"/>
    <w:rsid w:val="00A410D1"/>
    <w:rsid w:val="00A4112A"/>
    <w:rsid w:val="00A41150"/>
    <w:rsid w:val="00A411D4"/>
    <w:rsid w:val="00A41200"/>
    <w:rsid w:val="00A41448"/>
    <w:rsid w:val="00A4194C"/>
    <w:rsid w:val="00A41D79"/>
    <w:rsid w:val="00A41E18"/>
    <w:rsid w:val="00A4212E"/>
    <w:rsid w:val="00A42657"/>
    <w:rsid w:val="00A4285E"/>
    <w:rsid w:val="00A42866"/>
    <w:rsid w:val="00A42CC3"/>
    <w:rsid w:val="00A42E03"/>
    <w:rsid w:val="00A43540"/>
    <w:rsid w:val="00A43573"/>
    <w:rsid w:val="00A435C3"/>
    <w:rsid w:val="00A43773"/>
    <w:rsid w:val="00A437FD"/>
    <w:rsid w:val="00A43856"/>
    <w:rsid w:val="00A43942"/>
    <w:rsid w:val="00A43A6F"/>
    <w:rsid w:val="00A43FB7"/>
    <w:rsid w:val="00A44589"/>
    <w:rsid w:val="00A4510E"/>
    <w:rsid w:val="00A45115"/>
    <w:rsid w:val="00A45127"/>
    <w:rsid w:val="00A4513E"/>
    <w:rsid w:val="00A45186"/>
    <w:rsid w:val="00A453B6"/>
    <w:rsid w:val="00A455D1"/>
    <w:rsid w:val="00A456F5"/>
    <w:rsid w:val="00A45787"/>
    <w:rsid w:val="00A45AE5"/>
    <w:rsid w:val="00A46148"/>
    <w:rsid w:val="00A461C5"/>
    <w:rsid w:val="00A461D4"/>
    <w:rsid w:val="00A4627E"/>
    <w:rsid w:val="00A462A5"/>
    <w:rsid w:val="00A462B0"/>
    <w:rsid w:val="00A46454"/>
    <w:rsid w:val="00A46460"/>
    <w:rsid w:val="00A464A6"/>
    <w:rsid w:val="00A46701"/>
    <w:rsid w:val="00A46715"/>
    <w:rsid w:val="00A46769"/>
    <w:rsid w:val="00A467FC"/>
    <w:rsid w:val="00A4689E"/>
    <w:rsid w:val="00A46B1C"/>
    <w:rsid w:val="00A46B9F"/>
    <w:rsid w:val="00A46DD2"/>
    <w:rsid w:val="00A473CF"/>
    <w:rsid w:val="00A47792"/>
    <w:rsid w:val="00A477DB"/>
    <w:rsid w:val="00A478BA"/>
    <w:rsid w:val="00A47DBA"/>
    <w:rsid w:val="00A47E0A"/>
    <w:rsid w:val="00A47EF1"/>
    <w:rsid w:val="00A50139"/>
    <w:rsid w:val="00A501F2"/>
    <w:rsid w:val="00A50484"/>
    <w:rsid w:val="00A505C7"/>
    <w:rsid w:val="00A508B4"/>
    <w:rsid w:val="00A50B42"/>
    <w:rsid w:val="00A50E8A"/>
    <w:rsid w:val="00A516A8"/>
    <w:rsid w:val="00A519DC"/>
    <w:rsid w:val="00A51FA8"/>
    <w:rsid w:val="00A52016"/>
    <w:rsid w:val="00A5217E"/>
    <w:rsid w:val="00A529D9"/>
    <w:rsid w:val="00A52D52"/>
    <w:rsid w:val="00A530EB"/>
    <w:rsid w:val="00A5316A"/>
    <w:rsid w:val="00A53256"/>
    <w:rsid w:val="00A5385A"/>
    <w:rsid w:val="00A5385B"/>
    <w:rsid w:val="00A53A83"/>
    <w:rsid w:val="00A53C8A"/>
    <w:rsid w:val="00A540B4"/>
    <w:rsid w:val="00A5432D"/>
    <w:rsid w:val="00A543C2"/>
    <w:rsid w:val="00A54E9F"/>
    <w:rsid w:val="00A55797"/>
    <w:rsid w:val="00A558FB"/>
    <w:rsid w:val="00A55ADA"/>
    <w:rsid w:val="00A55C53"/>
    <w:rsid w:val="00A55DDE"/>
    <w:rsid w:val="00A56148"/>
    <w:rsid w:val="00A5675E"/>
    <w:rsid w:val="00A5679C"/>
    <w:rsid w:val="00A5716F"/>
    <w:rsid w:val="00A571D1"/>
    <w:rsid w:val="00A57341"/>
    <w:rsid w:val="00A57586"/>
    <w:rsid w:val="00A57AFB"/>
    <w:rsid w:val="00A57D68"/>
    <w:rsid w:val="00A57F52"/>
    <w:rsid w:val="00A60303"/>
    <w:rsid w:val="00A60A04"/>
    <w:rsid w:val="00A60AA3"/>
    <w:rsid w:val="00A60BE5"/>
    <w:rsid w:val="00A619DB"/>
    <w:rsid w:val="00A61E43"/>
    <w:rsid w:val="00A62331"/>
    <w:rsid w:val="00A627B8"/>
    <w:rsid w:val="00A62976"/>
    <w:rsid w:val="00A62AC1"/>
    <w:rsid w:val="00A62B30"/>
    <w:rsid w:val="00A62BED"/>
    <w:rsid w:val="00A62CC8"/>
    <w:rsid w:val="00A62D34"/>
    <w:rsid w:val="00A62DED"/>
    <w:rsid w:val="00A63006"/>
    <w:rsid w:val="00A63019"/>
    <w:rsid w:val="00A634B3"/>
    <w:rsid w:val="00A635AB"/>
    <w:rsid w:val="00A636CF"/>
    <w:rsid w:val="00A63791"/>
    <w:rsid w:val="00A63C8B"/>
    <w:rsid w:val="00A63F87"/>
    <w:rsid w:val="00A64093"/>
    <w:rsid w:val="00A643F8"/>
    <w:rsid w:val="00A648CF"/>
    <w:rsid w:val="00A64A10"/>
    <w:rsid w:val="00A64C0C"/>
    <w:rsid w:val="00A65480"/>
    <w:rsid w:val="00A6555B"/>
    <w:rsid w:val="00A655DC"/>
    <w:rsid w:val="00A65C6F"/>
    <w:rsid w:val="00A65CCB"/>
    <w:rsid w:val="00A66238"/>
    <w:rsid w:val="00A66259"/>
    <w:rsid w:val="00A66390"/>
    <w:rsid w:val="00A6694D"/>
    <w:rsid w:val="00A66ADC"/>
    <w:rsid w:val="00A66D11"/>
    <w:rsid w:val="00A66F74"/>
    <w:rsid w:val="00A67329"/>
    <w:rsid w:val="00A67670"/>
    <w:rsid w:val="00A67834"/>
    <w:rsid w:val="00A70185"/>
    <w:rsid w:val="00A702D2"/>
    <w:rsid w:val="00A70411"/>
    <w:rsid w:val="00A70E7E"/>
    <w:rsid w:val="00A70F7E"/>
    <w:rsid w:val="00A710D4"/>
    <w:rsid w:val="00A716A0"/>
    <w:rsid w:val="00A71735"/>
    <w:rsid w:val="00A7179E"/>
    <w:rsid w:val="00A71971"/>
    <w:rsid w:val="00A71E62"/>
    <w:rsid w:val="00A7225F"/>
    <w:rsid w:val="00A7248B"/>
    <w:rsid w:val="00A72579"/>
    <w:rsid w:val="00A72EF4"/>
    <w:rsid w:val="00A732FE"/>
    <w:rsid w:val="00A73312"/>
    <w:rsid w:val="00A735A0"/>
    <w:rsid w:val="00A737DE"/>
    <w:rsid w:val="00A7388C"/>
    <w:rsid w:val="00A7391D"/>
    <w:rsid w:val="00A73A0A"/>
    <w:rsid w:val="00A73D3D"/>
    <w:rsid w:val="00A73ED2"/>
    <w:rsid w:val="00A74067"/>
    <w:rsid w:val="00A740BA"/>
    <w:rsid w:val="00A74161"/>
    <w:rsid w:val="00A74923"/>
    <w:rsid w:val="00A7499B"/>
    <w:rsid w:val="00A74E32"/>
    <w:rsid w:val="00A752C6"/>
    <w:rsid w:val="00A75351"/>
    <w:rsid w:val="00A7539A"/>
    <w:rsid w:val="00A7585E"/>
    <w:rsid w:val="00A75A5B"/>
    <w:rsid w:val="00A75AE7"/>
    <w:rsid w:val="00A75D34"/>
    <w:rsid w:val="00A75F3D"/>
    <w:rsid w:val="00A76013"/>
    <w:rsid w:val="00A7610A"/>
    <w:rsid w:val="00A761C2"/>
    <w:rsid w:val="00A761F2"/>
    <w:rsid w:val="00A76C26"/>
    <w:rsid w:val="00A76FDB"/>
    <w:rsid w:val="00A7755F"/>
    <w:rsid w:val="00A77589"/>
    <w:rsid w:val="00A77790"/>
    <w:rsid w:val="00A778B4"/>
    <w:rsid w:val="00A7790C"/>
    <w:rsid w:val="00A77ACE"/>
    <w:rsid w:val="00A77E51"/>
    <w:rsid w:val="00A80617"/>
    <w:rsid w:val="00A8079A"/>
    <w:rsid w:val="00A80DFC"/>
    <w:rsid w:val="00A80EE6"/>
    <w:rsid w:val="00A81764"/>
    <w:rsid w:val="00A817EC"/>
    <w:rsid w:val="00A81C66"/>
    <w:rsid w:val="00A81C75"/>
    <w:rsid w:val="00A81E00"/>
    <w:rsid w:val="00A82214"/>
    <w:rsid w:val="00A82528"/>
    <w:rsid w:val="00A826DA"/>
    <w:rsid w:val="00A827C2"/>
    <w:rsid w:val="00A8283B"/>
    <w:rsid w:val="00A828E0"/>
    <w:rsid w:val="00A82AF9"/>
    <w:rsid w:val="00A82B22"/>
    <w:rsid w:val="00A82DB9"/>
    <w:rsid w:val="00A82DC7"/>
    <w:rsid w:val="00A82F23"/>
    <w:rsid w:val="00A83214"/>
    <w:rsid w:val="00A83376"/>
    <w:rsid w:val="00A836FB"/>
    <w:rsid w:val="00A837D4"/>
    <w:rsid w:val="00A83963"/>
    <w:rsid w:val="00A83D34"/>
    <w:rsid w:val="00A83D3C"/>
    <w:rsid w:val="00A83E98"/>
    <w:rsid w:val="00A84153"/>
    <w:rsid w:val="00A844BC"/>
    <w:rsid w:val="00A84568"/>
    <w:rsid w:val="00A84D3B"/>
    <w:rsid w:val="00A850CC"/>
    <w:rsid w:val="00A85B66"/>
    <w:rsid w:val="00A85E1D"/>
    <w:rsid w:val="00A86003"/>
    <w:rsid w:val="00A86248"/>
    <w:rsid w:val="00A868C5"/>
    <w:rsid w:val="00A86A6C"/>
    <w:rsid w:val="00A86C1D"/>
    <w:rsid w:val="00A86D5A"/>
    <w:rsid w:val="00A86D8C"/>
    <w:rsid w:val="00A87571"/>
    <w:rsid w:val="00A87B80"/>
    <w:rsid w:val="00A87E7A"/>
    <w:rsid w:val="00A9018D"/>
    <w:rsid w:val="00A903A7"/>
    <w:rsid w:val="00A90555"/>
    <w:rsid w:val="00A9059F"/>
    <w:rsid w:val="00A907AD"/>
    <w:rsid w:val="00A90AE8"/>
    <w:rsid w:val="00A9114B"/>
    <w:rsid w:val="00A91214"/>
    <w:rsid w:val="00A91453"/>
    <w:rsid w:val="00A917A5"/>
    <w:rsid w:val="00A91927"/>
    <w:rsid w:val="00A91AB3"/>
    <w:rsid w:val="00A91AEC"/>
    <w:rsid w:val="00A91D15"/>
    <w:rsid w:val="00A92048"/>
    <w:rsid w:val="00A92143"/>
    <w:rsid w:val="00A92152"/>
    <w:rsid w:val="00A929D5"/>
    <w:rsid w:val="00A92A30"/>
    <w:rsid w:val="00A92A3E"/>
    <w:rsid w:val="00A92FFB"/>
    <w:rsid w:val="00A93051"/>
    <w:rsid w:val="00A93173"/>
    <w:rsid w:val="00A93359"/>
    <w:rsid w:val="00A939DA"/>
    <w:rsid w:val="00A941CA"/>
    <w:rsid w:val="00A94382"/>
    <w:rsid w:val="00A94431"/>
    <w:rsid w:val="00A944FD"/>
    <w:rsid w:val="00A94538"/>
    <w:rsid w:val="00A945E6"/>
    <w:rsid w:val="00A947F0"/>
    <w:rsid w:val="00A94A2A"/>
    <w:rsid w:val="00A94BBF"/>
    <w:rsid w:val="00A94CCC"/>
    <w:rsid w:val="00A94D00"/>
    <w:rsid w:val="00A94D15"/>
    <w:rsid w:val="00A94F1F"/>
    <w:rsid w:val="00A9553E"/>
    <w:rsid w:val="00A95BAA"/>
    <w:rsid w:val="00A95CFA"/>
    <w:rsid w:val="00A96096"/>
    <w:rsid w:val="00A96214"/>
    <w:rsid w:val="00A96408"/>
    <w:rsid w:val="00A966D2"/>
    <w:rsid w:val="00A96978"/>
    <w:rsid w:val="00A96E0C"/>
    <w:rsid w:val="00A96FF8"/>
    <w:rsid w:val="00A9701F"/>
    <w:rsid w:val="00A97051"/>
    <w:rsid w:val="00A97223"/>
    <w:rsid w:val="00A97552"/>
    <w:rsid w:val="00A97C52"/>
    <w:rsid w:val="00A97D75"/>
    <w:rsid w:val="00AA03E4"/>
    <w:rsid w:val="00AA05AD"/>
    <w:rsid w:val="00AA05B5"/>
    <w:rsid w:val="00AA0625"/>
    <w:rsid w:val="00AA07BD"/>
    <w:rsid w:val="00AA0FC9"/>
    <w:rsid w:val="00AA135F"/>
    <w:rsid w:val="00AA1ABB"/>
    <w:rsid w:val="00AA1EB8"/>
    <w:rsid w:val="00AA2593"/>
    <w:rsid w:val="00AA2AEE"/>
    <w:rsid w:val="00AA2DA8"/>
    <w:rsid w:val="00AA2E02"/>
    <w:rsid w:val="00AA2EEA"/>
    <w:rsid w:val="00AA31E7"/>
    <w:rsid w:val="00AA37F4"/>
    <w:rsid w:val="00AA42B1"/>
    <w:rsid w:val="00AA44DB"/>
    <w:rsid w:val="00AA44E1"/>
    <w:rsid w:val="00AA4659"/>
    <w:rsid w:val="00AA4B51"/>
    <w:rsid w:val="00AA5247"/>
    <w:rsid w:val="00AA535D"/>
    <w:rsid w:val="00AA5A94"/>
    <w:rsid w:val="00AA5CFC"/>
    <w:rsid w:val="00AA5D08"/>
    <w:rsid w:val="00AA5D2E"/>
    <w:rsid w:val="00AA5D41"/>
    <w:rsid w:val="00AA5F4F"/>
    <w:rsid w:val="00AA61FD"/>
    <w:rsid w:val="00AA6A7E"/>
    <w:rsid w:val="00AA6BAE"/>
    <w:rsid w:val="00AA6D9D"/>
    <w:rsid w:val="00AA70F0"/>
    <w:rsid w:val="00AA7280"/>
    <w:rsid w:val="00AA7653"/>
    <w:rsid w:val="00AA76DC"/>
    <w:rsid w:val="00AA77C9"/>
    <w:rsid w:val="00AA7E00"/>
    <w:rsid w:val="00AA7E2E"/>
    <w:rsid w:val="00AB0345"/>
    <w:rsid w:val="00AB04DF"/>
    <w:rsid w:val="00AB063C"/>
    <w:rsid w:val="00AB06E6"/>
    <w:rsid w:val="00AB0B06"/>
    <w:rsid w:val="00AB10A6"/>
    <w:rsid w:val="00AB1372"/>
    <w:rsid w:val="00AB1381"/>
    <w:rsid w:val="00AB13BB"/>
    <w:rsid w:val="00AB17FF"/>
    <w:rsid w:val="00AB1821"/>
    <w:rsid w:val="00AB1869"/>
    <w:rsid w:val="00AB1A3F"/>
    <w:rsid w:val="00AB1B8E"/>
    <w:rsid w:val="00AB1BAF"/>
    <w:rsid w:val="00AB1BB8"/>
    <w:rsid w:val="00AB1C18"/>
    <w:rsid w:val="00AB1E2B"/>
    <w:rsid w:val="00AB2277"/>
    <w:rsid w:val="00AB2D5E"/>
    <w:rsid w:val="00AB2D6E"/>
    <w:rsid w:val="00AB2E98"/>
    <w:rsid w:val="00AB2EBA"/>
    <w:rsid w:val="00AB2ECE"/>
    <w:rsid w:val="00AB3474"/>
    <w:rsid w:val="00AB36F3"/>
    <w:rsid w:val="00AB3A6E"/>
    <w:rsid w:val="00AB3BC8"/>
    <w:rsid w:val="00AB3C42"/>
    <w:rsid w:val="00AB3C74"/>
    <w:rsid w:val="00AB4057"/>
    <w:rsid w:val="00AB42D9"/>
    <w:rsid w:val="00AB48DA"/>
    <w:rsid w:val="00AB4962"/>
    <w:rsid w:val="00AB4C04"/>
    <w:rsid w:val="00AB4D03"/>
    <w:rsid w:val="00AB4FB8"/>
    <w:rsid w:val="00AB4FFF"/>
    <w:rsid w:val="00AB536A"/>
    <w:rsid w:val="00AB53D1"/>
    <w:rsid w:val="00AB5CE7"/>
    <w:rsid w:val="00AB5DBE"/>
    <w:rsid w:val="00AB5DD2"/>
    <w:rsid w:val="00AB5F1F"/>
    <w:rsid w:val="00AB5F51"/>
    <w:rsid w:val="00AB62A5"/>
    <w:rsid w:val="00AB62C9"/>
    <w:rsid w:val="00AB66D2"/>
    <w:rsid w:val="00AB6CF2"/>
    <w:rsid w:val="00AB6D1A"/>
    <w:rsid w:val="00AB6EDD"/>
    <w:rsid w:val="00AB6F5E"/>
    <w:rsid w:val="00AC005D"/>
    <w:rsid w:val="00AC03EB"/>
    <w:rsid w:val="00AC0486"/>
    <w:rsid w:val="00AC05C4"/>
    <w:rsid w:val="00AC07A5"/>
    <w:rsid w:val="00AC0A61"/>
    <w:rsid w:val="00AC0B47"/>
    <w:rsid w:val="00AC0CAB"/>
    <w:rsid w:val="00AC0D8B"/>
    <w:rsid w:val="00AC0EC8"/>
    <w:rsid w:val="00AC10D8"/>
    <w:rsid w:val="00AC1D79"/>
    <w:rsid w:val="00AC2128"/>
    <w:rsid w:val="00AC2719"/>
    <w:rsid w:val="00AC290E"/>
    <w:rsid w:val="00AC2A21"/>
    <w:rsid w:val="00AC2C74"/>
    <w:rsid w:val="00AC2D40"/>
    <w:rsid w:val="00AC38C8"/>
    <w:rsid w:val="00AC3AE0"/>
    <w:rsid w:val="00AC3C3F"/>
    <w:rsid w:val="00AC3E4F"/>
    <w:rsid w:val="00AC423A"/>
    <w:rsid w:val="00AC454D"/>
    <w:rsid w:val="00AC479F"/>
    <w:rsid w:val="00AC4E5A"/>
    <w:rsid w:val="00AC5318"/>
    <w:rsid w:val="00AC53D8"/>
    <w:rsid w:val="00AC56E8"/>
    <w:rsid w:val="00AC58A3"/>
    <w:rsid w:val="00AC5B64"/>
    <w:rsid w:val="00AC600F"/>
    <w:rsid w:val="00AC6319"/>
    <w:rsid w:val="00AC63AA"/>
    <w:rsid w:val="00AC64E8"/>
    <w:rsid w:val="00AC6501"/>
    <w:rsid w:val="00AC665D"/>
    <w:rsid w:val="00AC6714"/>
    <w:rsid w:val="00AC6999"/>
    <w:rsid w:val="00AC6CC6"/>
    <w:rsid w:val="00AC7369"/>
    <w:rsid w:val="00AC743A"/>
    <w:rsid w:val="00AC7458"/>
    <w:rsid w:val="00AC792F"/>
    <w:rsid w:val="00AC7A6D"/>
    <w:rsid w:val="00AC7FC0"/>
    <w:rsid w:val="00AD073B"/>
    <w:rsid w:val="00AD0A62"/>
    <w:rsid w:val="00AD1028"/>
    <w:rsid w:val="00AD11E2"/>
    <w:rsid w:val="00AD1305"/>
    <w:rsid w:val="00AD131C"/>
    <w:rsid w:val="00AD13DA"/>
    <w:rsid w:val="00AD13DD"/>
    <w:rsid w:val="00AD14FE"/>
    <w:rsid w:val="00AD1947"/>
    <w:rsid w:val="00AD1AC8"/>
    <w:rsid w:val="00AD1B87"/>
    <w:rsid w:val="00AD2A3A"/>
    <w:rsid w:val="00AD2B83"/>
    <w:rsid w:val="00AD2E3B"/>
    <w:rsid w:val="00AD30EB"/>
    <w:rsid w:val="00AD361C"/>
    <w:rsid w:val="00AD3675"/>
    <w:rsid w:val="00AD3815"/>
    <w:rsid w:val="00AD3975"/>
    <w:rsid w:val="00AD3CFF"/>
    <w:rsid w:val="00AD3FDC"/>
    <w:rsid w:val="00AD405C"/>
    <w:rsid w:val="00AD476C"/>
    <w:rsid w:val="00AD4850"/>
    <w:rsid w:val="00AD4BB2"/>
    <w:rsid w:val="00AD4D6E"/>
    <w:rsid w:val="00AD4FA7"/>
    <w:rsid w:val="00AD5B5B"/>
    <w:rsid w:val="00AD628F"/>
    <w:rsid w:val="00AD6A35"/>
    <w:rsid w:val="00AD6A37"/>
    <w:rsid w:val="00AD7137"/>
    <w:rsid w:val="00AD7148"/>
    <w:rsid w:val="00AD7424"/>
    <w:rsid w:val="00AD7968"/>
    <w:rsid w:val="00AD7B8E"/>
    <w:rsid w:val="00AD7C8A"/>
    <w:rsid w:val="00AD7D66"/>
    <w:rsid w:val="00AE0007"/>
    <w:rsid w:val="00AE003C"/>
    <w:rsid w:val="00AE056F"/>
    <w:rsid w:val="00AE0653"/>
    <w:rsid w:val="00AE06A8"/>
    <w:rsid w:val="00AE0BDA"/>
    <w:rsid w:val="00AE0F60"/>
    <w:rsid w:val="00AE14A4"/>
    <w:rsid w:val="00AE18BD"/>
    <w:rsid w:val="00AE1A0F"/>
    <w:rsid w:val="00AE1C33"/>
    <w:rsid w:val="00AE1C9C"/>
    <w:rsid w:val="00AE20EC"/>
    <w:rsid w:val="00AE2535"/>
    <w:rsid w:val="00AE2AAF"/>
    <w:rsid w:val="00AE30EC"/>
    <w:rsid w:val="00AE338C"/>
    <w:rsid w:val="00AE3987"/>
    <w:rsid w:val="00AE3CBC"/>
    <w:rsid w:val="00AE3D05"/>
    <w:rsid w:val="00AE4077"/>
    <w:rsid w:val="00AE49DE"/>
    <w:rsid w:val="00AE4BA7"/>
    <w:rsid w:val="00AE4C08"/>
    <w:rsid w:val="00AE4C40"/>
    <w:rsid w:val="00AE4DDA"/>
    <w:rsid w:val="00AE50D8"/>
    <w:rsid w:val="00AE51A3"/>
    <w:rsid w:val="00AE52BC"/>
    <w:rsid w:val="00AE537D"/>
    <w:rsid w:val="00AE54E1"/>
    <w:rsid w:val="00AE594D"/>
    <w:rsid w:val="00AE5B71"/>
    <w:rsid w:val="00AE5C6F"/>
    <w:rsid w:val="00AE5E5C"/>
    <w:rsid w:val="00AE6164"/>
    <w:rsid w:val="00AE630E"/>
    <w:rsid w:val="00AE6409"/>
    <w:rsid w:val="00AE6537"/>
    <w:rsid w:val="00AE65CB"/>
    <w:rsid w:val="00AE6777"/>
    <w:rsid w:val="00AE6C9D"/>
    <w:rsid w:val="00AE6D6B"/>
    <w:rsid w:val="00AE6E63"/>
    <w:rsid w:val="00AE77D3"/>
    <w:rsid w:val="00AE7CD6"/>
    <w:rsid w:val="00AE7DDF"/>
    <w:rsid w:val="00AF01EF"/>
    <w:rsid w:val="00AF021C"/>
    <w:rsid w:val="00AF0617"/>
    <w:rsid w:val="00AF069B"/>
    <w:rsid w:val="00AF0711"/>
    <w:rsid w:val="00AF1137"/>
    <w:rsid w:val="00AF17EC"/>
    <w:rsid w:val="00AF1890"/>
    <w:rsid w:val="00AF1B64"/>
    <w:rsid w:val="00AF1D19"/>
    <w:rsid w:val="00AF24CB"/>
    <w:rsid w:val="00AF2579"/>
    <w:rsid w:val="00AF25CA"/>
    <w:rsid w:val="00AF2620"/>
    <w:rsid w:val="00AF26AB"/>
    <w:rsid w:val="00AF28DE"/>
    <w:rsid w:val="00AF2F35"/>
    <w:rsid w:val="00AF3135"/>
    <w:rsid w:val="00AF3356"/>
    <w:rsid w:val="00AF34C6"/>
    <w:rsid w:val="00AF37AF"/>
    <w:rsid w:val="00AF3814"/>
    <w:rsid w:val="00AF387D"/>
    <w:rsid w:val="00AF3B70"/>
    <w:rsid w:val="00AF408E"/>
    <w:rsid w:val="00AF41CA"/>
    <w:rsid w:val="00AF4258"/>
    <w:rsid w:val="00AF48B2"/>
    <w:rsid w:val="00AF4940"/>
    <w:rsid w:val="00AF4A84"/>
    <w:rsid w:val="00AF4C6E"/>
    <w:rsid w:val="00AF4CEA"/>
    <w:rsid w:val="00AF4F41"/>
    <w:rsid w:val="00AF4FE2"/>
    <w:rsid w:val="00AF510D"/>
    <w:rsid w:val="00AF525A"/>
    <w:rsid w:val="00AF5BB5"/>
    <w:rsid w:val="00AF604F"/>
    <w:rsid w:val="00AF605F"/>
    <w:rsid w:val="00AF60A4"/>
    <w:rsid w:val="00AF60AA"/>
    <w:rsid w:val="00AF6801"/>
    <w:rsid w:val="00AF6A0E"/>
    <w:rsid w:val="00AF6DD5"/>
    <w:rsid w:val="00AF6F30"/>
    <w:rsid w:val="00AF7233"/>
    <w:rsid w:val="00AF75F9"/>
    <w:rsid w:val="00AF7628"/>
    <w:rsid w:val="00AF7A2F"/>
    <w:rsid w:val="00AF7B05"/>
    <w:rsid w:val="00AF7B42"/>
    <w:rsid w:val="00AF7BF8"/>
    <w:rsid w:val="00AF7EAB"/>
    <w:rsid w:val="00B00400"/>
    <w:rsid w:val="00B004E2"/>
    <w:rsid w:val="00B0055E"/>
    <w:rsid w:val="00B0077F"/>
    <w:rsid w:val="00B00BEF"/>
    <w:rsid w:val="00B00D22"/>
    <w:rsid w:val="00B00D96"/>
    <w:rsid w:val="00B0136B"/>
    <w:rsid w:val="00B0148F"/>
    <w:rsid w:val="00B01544"/>
    <w:rsid w:val="00B01762"/>
    <w:rsid w:val="00B01786"/>
    <w:rsid w:val="00B0188A"/>
    <w:rsid w:val="00B01BF6"/>
    <w:rsid w:val="00B01CF0"/>
    <w:rsid w:val="00B0210B"/>
    <w:rsid w:val="00B02291"/>
    <w:rsid w:val="00B026A8"/>
    <w:rsid w:val="00B027F0"/>
    <w:rsid w:val="00B02C30"/>
    <w:rsid w:val="00B02CCB"/>
    <w:rsid w:val="00B02D75"/>
    <w:rsid w:val="00B02D9C"/>
    <w:rsid w:val="00B02E56"/>
    <w:rsid w:val="00B02F80"/>
    <w:rsid w:val="00B02F99"/>
    <w:rsid w:val="00B03470"/>
    <w:rsid w:val="00B03E6D"/>
    <w:rsid w:val="00B04140"/>
    <w:rsid w:val="00B0439B"/>
    <w:rsid w:val="00B0453A"/>
    <w:rsid w:val="00B0468B"/>
    <w:rsid w:val="00B04B3C"/>
    <w:rsid w:val="00B04DC6"/>
    <w:rsid w:val="00B05286"/>
    <w:rsid w:val="00B054AB"/>
    <w:rsid w:val="00B0560E"/>
    <w:rsid w:val="00B056C1"/>
    <w:rsid w:val="00B057D9"/>
    <w:rsid w:val="00B0598D"/>
    <w:rsid w:val="00B059B6"/>
    <w:rsid w:val="00B060C9"/>
    <w:rsid w:val="00B06197"/>
    <w:rsid w:val="00B0632F"/>
    <w:rsid w:val="00B06892"/>
    <w:rsid w:val="00B0716E"/>
    <w:rsid w:val="00B0740A"/>
    <w:rsid w:val="00B07635"/>
    <w:rsid w:val="00B07751"/>
    <w:rsid w:val="00B07D6D"/>
    <w:rsid w:val="00B07E16"/>
    <w:rsid w:val="00B106FC"/>
    <w:rsid w:val="00B10851"/>
    <w:rsid w:val="00B109A1"/>
    <w:rsid w:val="00B109E4"/>
    <w:rsid w:val="00B10C5E"/>
    <w:rsid w:val="00B10CE5"/>
    <w:rsid w:val="00B10DB3"/>
    <w:rsid w:val="00B10EB1"/>
    <w:rsid w:val="00B11121"/>
    <w:rsid w:val="00B11241"/>
    <w:rsid w:val="00B116A7"/>
    <w:rsid w:val="00B11C3B"/>
    <w:rsid w:val="00B11D97"/>
    <w:rsid w:val="00B11EBD"/>
    <w:rsid w:val="00B120CF"/>
    <w:rsid w:val="00B124A4"/>
    <w:rsid w:val="00B12A24"/>
    <w:rsid w:val="00B12AFF"/>
    <w:rsid w:val="00B12B5C"/>
    <w:rsid w:val="00B13128"/>
    <w:rsid w:val="00B13604"/>
    <w:rsid w:val="00B13733"/>
    <w:rsid w:val="00B14024"/>
    <w:rsid w:val="00B14068"/>
    <w:rsid w:val="00B14712"/>
    <w:rsid w:val="00B152C8"/>
    <w:rsid w:val="00B155A3"/>
    <w:rsid w:val="00B155C3"/>
    <w:rsid w:val="00B15659"/>
    <w:rsid w:val="00B15985"/>
    <w:rsid w:val="00B15A79"/>
    <w:rsid w:val="00B15D1D"/>
    <w:rsid w:val="00B162CA"/>
    <w:rsid w:val="00B1647C"/>
    <w:rsid w:val="00B1659F"/>
    <w:rsid w:val="00B166A0"/>
    <w:rsid w:val="00B166D7"/>
    <w:rsid w:val="00B16E39"/>
    <w:rsid w:val="00B16F4C"/>
    <w:rsid w:val="00B171D4"/>
    <w:rsid w:val="00B172AC"/>
    <w:rsid w:val="00B17493"/>
    <w:rsid w:val="00B1771C"/>
    <w:rsid w:val="00B177D5"/>
    <w:rsid w:val="00B17848"/>
    <w:rsid w:val="00B17E7E"/>
    <w:rsid w:val="00B17F47"/>
    <w:rsid w:val="00B2000F"/>
    <w:rsid w:val="00B20014"/>
    <w:rsid w:val="00B20052"/>
    <w:rsid w:val="00B20203"/>
    <w:rsid w:val="00B2023D"/>
    <w:rsid w:val="00B203B6"/>
    <w:rsid w:val="00B20469"/>
    <w:rsid w:val="00B20A4D"/>
    <w:rsid w:val="00B20ADE"/>
    <w:rsid w:val="00B20E3C"/>
    <w:rsid w:val="00B21243"/>
    <w:rsid w:val="00B213A8"/>
    <w:rsid w:val="00B21703"/>
    <w:rsid w:val="00B218C4"/>
    <w:rsid w:val="00B219F9"/>
    <w:rsid w:val="00B21AF8"/>
    <w:rsid w:val="00B21B33"/>
    <w:rsid w:val="00B21EBC"/>
    <w:rsid w:val="00B22167"/>
    <w:rsid w:val="00B2306D"/>
    <w:rsid w:val="00B2331B"/>
    <w:rsid w:val="00B23347"/>
    <w:rsid w:val="00B233C7"/>
    <w:rsid w:val="00B237D1"/>
    <w:rsid w:val="00B238DC"/>
    <w:rsid w:val="00B239B0"/>
    <w:rsid w:val="00B23BC0"/>
    <w:rsid w:val="00B23EF4"/>
    <w:rsid w:val="00B23FD5"/>
    <w:rsid w:val="00B243AE"/>
    <w:rsid w:val="00B243CE"/>
    <w:rsid w:val="00B24B90"/>
    <w:rsid w:val="00B251CC"/>
    <w:rsid w:val="00B25634"/>
    <w:rsid w:val="00B2564D"/>
    <w:rsid w:val="00B2571F"/>
    <w:rsid w:val="00B259EC"/>
    <w:rsid w:val="00B25C06"/>
    <w:rsid w:val="00B25C28"/>
    <w:rsid w:val="00B260B5"/>
    <w:rsid w:val="00B264CA"/>
    <w:rsid w:val="00B26644"/>
    <w:rsid w:val="00B26BA8"/>
    <w:rsid w:val="00B26BF3"/>
    <w:rsid w:val="00B271AC"/>
    <w:rsid w:val="00B27460"/>
    <w:rsid w:val="00B27847"/>
    <w:rsid w:val="00B27998"/>
    <w:rsid w:val="00B27A07"/>
    <w:rsid w:val="00B27A3A"/>
    <w:rsid w:val="00B27A5F"/>
    <w:rsid w:val="00B27B14"/>
    <w:rsid w:val="00B306BB"/>
    <w:rsid w:val="00B309D3"/>
    <w:rsid w:val="00B30A04"/>
    <w:rsid w:val="00B30A3B"/>
    <w:rsid w:val="00B30C1A"/>
    <w:rsid w:val="00B30C6F"/>
    <w:rsid w:val="00B3113B"/>
    <w:rsid w:val="00B3127B"/>
    <w:rsid w:val="00B314BE"/>
    <w:rsid w:val="00B316C2"/>
    <w:rsid w:val="00B31953"/>
    <w:rsid w:val="00B319BF"/>
    <w:rsid w:val="00B31B07"/>
    <w:rsid w:val="00B31D77"/>
    <w:rsid w:val="00B31E64"/>
    <w:rsid w:val="00B31ED7"/>
    <w:rsid w:val="00B323AE"/>
    <w:rsid w:val="00B32C1A"/>
    <w:rsid w:val="00B3350A"/>
    <w:rsid w:val="00B33C76"/>
    <w:rsid w:val="00B3409E"/>
    <w:rsid w:val="00B342DA"/>
    <w:rsid w:val="00B3441F"/>
    <w:rsid w:val="00B34533"/>
    <w:rsid w:val="00B34913"/>
    <w:rsid w:val="00B34BA0"/>
    <w:rsid w:val="00B34DF6"/>
    <w:rsid w:val="00B35037"/>
    <w:rsid w:val="00B35092"/>
    <w:rsid w:val="00B350C5"/>
    <w:rsid w:val="00B3514A"/>
    <w:rsid w:val="00B35406"/>
    <w:rsid w:val="00B3549B"/>
    <w:rsid w:val="00B355E7"/>
    <w:rsid w:val="00B35C1D"/>
    <w:rsid w:val="00B35C7F"/>
    <w:rsid w:val="00B35F1D"/>
    <w:rsid w:val="00B35F51"/>
    <w:rsid w:val="00B36084"/>
    <w:rsid w:val="00B362FB"/>
    <w:rsid w:val="00B3688D"/>
    <w:rsid w:val="00B368E5"/>
    <w:rsid w:val="00B36A1E"/>
    <w:rsid w:val="00B36C1B"/>
    <w:rsid w:val="00B37010"/>
    <w:rsid w:val="00B3717A"/>
    <w:rsid w:val="00B3719D"/>
    <w:rsid w:val="00B3784C"/>
    <w:rsid w:val="00B37969"/>
    <w:rsid w:val="00B40137"/>
    <w:rsid w:val="00B40361"/>
    <w:rsid w:val="00B4044E"/>
    <w:rsid w:val="00B40A31"/>
    <w:rsid w:val="00B40C3F"/>
    <w:rsid w:val="00B40EB2"/>
    <w:rsid w:val="00B40EC5"/>
    <w:rsid w:val="00B417A6"/>
    <w:rsid w:val="00B418A8"/>
    <w:rsid w:val="00B41A0F"/>
    <w:rsid w:val="00B41AB1"/>
    <w:rsid w:val="00B41B04"/>
    <w:rsid w:val="00B422E4"/>
    <w:rsid w:val="00B4238D"/>
    <w:rsid w:val="00B424EA"/>
    <w:rsid w:val="00B42882"/>
    <w:rsid w:val="00B42E0C"/>
    <w:rsid w:val="00B42EAF"/>
    <w:rsid w:val="00B42EBE"/>
    <w:rsid w:val="00B432C2"/>
    <w:rsid w:val="00B43481"/>
    <w:rsid w:val="00B43BB3"/>
    <w:rsid w:val="00B441FB"/>
    <w:rsid w:val="00B445C9"/>
    <w:rsid w:val="00B4470C"/>
    <w:rsid w:val="00B4476D"/>
    <w:rsid w:val="00B449AA"/>
    <w:rsid w:val="00B44C5F"/>
    <w:rsid w:val="00B44D50"/>
    <w:rsid w:val="00B44F7F"/>
    <w:rsid w:val="00B4592C"/>
    <w:rsid w:val="00B459A7"/>
    <w:rsid w:val="00B45BD7"/>
    <w:rsid w:val="00B45E54"/>
    <w:rsid w:val="00B45FEE"/>
    <w:rsid w:val="00B463C1"/>
    <w:rsid w:val="00B4659A"/>
    <w:rsid w:val="00B466D4"/>
    <w:rsid w:val="00B46A13"/>
    <w:rsid w:val="00B46BFB"/>
    <w:rsid w:val="00B46E2A"/>
    <w:rsid w:val="00B46F53"/>
    <w:rsid w:val="00B47003"/>
    <w:rsid w:val="00B47569"/>
    <w:rsid w:val="00B476B0"/>
    <w:rsid w:val="00B47812"/>
    <w:rsid w:val="00B4785D"/>
    <w:rsid w:val="00B47B3A"/>
    <w:rsid w:val="00B47DE6"/>
    <w:rsid w:val="00B47E0E"/>
    <w:rsid w:val="00B47F2D"/>
    <w:rsid w:val="00B5000F"/>
    <w:rsid w:val="00B50478"/>
    <w:rsid w:val="00B5085B"/>
    <w:rsid w:val="00B50A13"/>
    <w:rsid w:val="00B50AE0"/>
    <w:rsid w:val="00B50D19"/>
    <w:rsid w:val="00B51134"/>
    <w:rsid w:val="00B51141"/>
    <w:rsid w:val="00B511B8"/>
    <w:rsid w:val="00B512FA"/>
    <w:rsid w:val="00B513C4"/>
    <w:rsid w:val="00B514C0"/>
    <w:rsid w:val="00B516DB"/>
    <w:rsid w:val="00B518C8"/>
    <w:rsid w:val="00B51FBA"/>
    <w:rsid w:val="00B52529"/>
    <w:rsid w:val="00B52622"/>
    <w:rsid w:val="00B52635"/>
    <w:rsid w:val="00B528FF"/>
    <w:rsid w:val="00B52A2A"/>
    <w:rsid w:val="00B52C67"/>
    <w:rsid w:val="00B52FB9"/>
    <w:rsid w:val="00B537D7"/>
    <w:rsid w:val="00B539EA"/>
    <w:rsid w:val="00B53C2B"/>
    <w:rsid w:val="00B5429C"/>
    <w:rsid w:val="00B543D9"/>
    <w:rsid w:val="00B54468"/>
    <w:rsid w:val="00B54AE7"/>
    <w:rsid w:val="00B54B1C"/>
    <w:rsid w:val="00B54B6B"/>
    <w:rsid w:val="00B55389"/>
    <w:rsid w:val="00B5542A"/>
    <w:rsid w:val="00B5560D"/>
    <w:rsid w:val="00B557A4"/>
    <w:rsid w:val="00B5593F"/>
    <w:rsid w:val="00B559D7"/>
    <w:rsid w:val="00B55A33"/>
    <w:rsid w:val="00B55C44"/>
    <w:rsid w:val="00B55C9A"/>
    <w:rsid w:val="00B55DEF"/>
    <w:rsid w:val="00B5605D"/>
    <w:rsid w:val="00B56243"/>
    <w:rsid w:val="00B5660F"/>
    <w:rsid w:val="00B5674E"/>
    <w:rsid w:val="00B56ACF"/>
    <w:rsid w:val="00B571E2"/>
    <w:rsid w:val="00B572FC"/>
    <w:rsid w:val="00B573AF"/>
    <w:rsid w:val="00B57538"/>
    <w:rsid w:val="00B57637"/>
    <w:rsid w:val="00B576EE"/>
    <w:rsid w:val="00B57AE8"/>
    <w:rsid w:val="00B57EB0"/>
    <w:rsid w:val="00B60009"/>
    <w:rsid w:val="00B6007A"/>
    <w:rsid w:val="00B60750"/>
    <w:rsid w:val="00B60C4E"/>
    <w:rsid w:val="00B60CBA"/>
    <w:rsid w:val="00B60FA4"/>
    <w:rsid w:val="00B612E6"/>
    <w:rsid w:val="00B6148F"/>
    <w:rsid w:val="00B617D8"/>
    <w:rsid w:val="00B61824"/>
    <w:rsid w:val="00B61BF1"/>
    <w:rsid w:val="00B61DF0"/>
    <w:rsid w:val="00B620A0"/>
    <w:rsid w:val="00B62255"/>
    <w:rsid w:val="00B62975"/>
    <w:rsid w:val="00B62A8D"/>
    <w:rsid w:val="00B62A91"/>
    <w:rsid w:val="00B62C2A"/>
    <w:rsid w:val="00B62E2E"/>
    <w:rsid w:val="00B63112"/>
    <w:rsid w:val="00B632F1"/>
    <w:rsid w:val="00B638EB"/>
    <w:rsid w:val="00B63CC0"/>
    <w:rsid w:val="00B63E68"/>
    <w:rsid w:val="00B64180"/>
    <w:rsid w:val="00B6459B"/>
    <w:rsid w:val="00B6460D"/>
    <w:rsid w:val="00B6492D"/>
    <w:rsid w:val="00B64DBD"/>
    <w:rsid w:val="00B64E53"/>
    <w:rsid w:val="00B6513D"/>
    <w:rsid w:val="00B6513F"/>
    <w:rsid w:val="00B653CE"/>
    <w:rsid w:val="00B655A0"/>
    <w:rsid w:val="00B655DB"/>
    <w:rsid w:val="00B65C3B"/>
    <w:rsid w:val="00B6613F"/>
    <w:rsid w:val="00B6656F"/>
    <w:rsid w:val="00B66936"/>
    <w:rsid w:val="00B66A2D"/>
    <w:rsid w:val="00B66BEB"/>
    <w:rsid w:val="00B66D9A"/>
    <w:rsid w:val="00B66E25"/>
    <w:rsid w:val="00B66EB3"/>
    <w:rsid w:val="00B66EF9"/>
    <w:rsid w:val="00B67753"/>
    <w:rsid w:val="00B677E4"/>
    <w:rsid w:val="00B67B1E"/>
    <w:rsid w:val="00B67D86"/>
    <w:rsid w:val="00B67E02"/>
    <w:rsid w:val="00B7007B"/>
    <w:rsid w:val="00B70104"/>
    <w:rsid w:val="00B704F3"/>
    <w:rsid w:val="00B70586"/>
    <w:rsid w:val="00B70788"/>
    <w:rsid w:val="00B7087E"/>
    <w:rsid w:val="00B710C3"/>
    <w:rsid w:val="00B71478"/>
    <w:rsid w:val="00B71555"/>
    <w:rsid w:val="00B7185B"/>
    <w:rsid w:val="00B71B28"/>
    <w:rsid w:val="00B72314"/>
    <w:rsid w:val="00B7257C"/>
    <w:rsid w:val="00B72A55"/>
    <w:rsid w:val="00B72EC8"/>
    <w:rsid w:val="00B72ED6"/>
    <w:rsid w:val="00B7348F"/>
    <w:rsid w:val="00B735ED"/>
    <w:rsid w:val="00B73A60"/>
    <w:rsid w:val="00B73D80"/>
    <w:rsid w:val="00B74190"/>
    <w:rsid w:val="00B74754"/>
    <w:rsid w:val="00B74DC7"/>
    <w:rsid w:val="00B75243"/>
    <w:rsid w:val="00B754CC"/>
    <w:rsid w:val="00B754EC"/>
    <w:rsid w:val="00B755B7"/>
    <w:rsid w:val="00B75675"/>
    <w:rsid w:val="00B7595C"/>
    <w:rsid w:val="00B75EAE"/>
    <w:rsid w:val="00B75F90"/>
    <w:rsid w:val="00B766E8"/>
    <w:rsid w:val="00B77DED"/>
    <w:rsid w:val="00B802EC"/>
    <w:rsid w:val="00B80342"/>
    <w:rsid w:val="00B803B6"/>
    <w:rsid w:val="00B804A0"/>
    <w:rsid w:val="00B8053A"/>
    <w:rsid w:val="00B8095D"/>
    <w:rsid w:val="00B809F9"/>
    <w:rsid w:val="00B80A85"/>
    <w:rsid w:val="00B81136"/>
    <w:rsid w:val="00B8160F"/>
    <w:rsid w:val="00B81776"/>
    <w:rsid w:val="00B817B0"/>
    <w:rsid w:val="00B817DD"/>
    <w:rsid w:val="00B81855"/>
    <w:rsid w:val="00B818E6"/>
    <w:rsid w:val="00B81C6D"/>
    <w:rsid w:val="00B81E21"/>
    <w:rsid w:val="00B820C6"/>
    <w:rsid w:val="00B822D7"/>
    <w:rsid w:val="00B82B78"/>
    <w:rsid w:val="00B83604"/>
    <w:rsid w:val="00B83763"/>
    <w:rsid w:val="00B838F3"/>
    <w:rsid w:val="00B8394C"/>
    <w:rsid w:val="00B839F5"/>
    <w:rsid w:val="00B83EE4"/>
    <w:rsid w:val="00B84214"/>
    <w:rsid w:val="00B84594"/>
    <w:rsid w:val="00B84655"/>
    <w:rsid w:val="00B8472E"/>
    <w:rsid w:val="00B8479B"/>
    <w:rsid w:val="00B84953"/>
    <w:rsid w:val="00B84A45"/>
    <w:rsid w:val="00B84CB3"/>
    <w:rsid w:val="00B84D0F"/>
    <w:rsid w:val="00B84E2D"/>
    <w:rsid w:val="00B84F37"/>
    <w:rsid w:val="00B85240"/>
    <w:rsid w:val="00B85367"/>
    <w:rsid w:val="00B855AD"/>
    <w:rsid w:val="00B8574A"/>
    <w:rsid w:val="00B86387"/>
    <w:rsid w:val="00B86393"/>
    <w:rsid w:val="00B86F44"/>
    <w:rsid w:val="00B86FB6"/>
    <w:rsid w:val="00B8706C"/>
    <w:rsid w:val="00B877AE"/>
    <w:rsid w:val="00B87BF3"/>
    <w:rsid w:val="00B87C05"/>
    <w:rsid w:val="00B87DDB"/>
    <w:rsid w:val="00B90BA3"/>
    <w:rsid w:val="00B90CD7"/>
    <w:rsid w:val="00B90E2D"/>
    <w:rsid w:val="00B90E6D"/>
    <w:rsid w:val="00B90ED0"/>
    <w:rsid w:val="00B91043"/>
    <w:rsid w:val="00B9106B"/>
    <w:rsid w:val="00B9177B"/>
    <w:rsid w:val="00B91857"/>
    <w:rsid w:val="00B91C4F"/>
    <w:rsid w:val="00B91CAE"/>
    <w:rsid w:val="00B91D76"/>
    <w:rsid w:val="00B91E95"/>
    <w:rsid w:val="00B92531"/>
    <w:rsid w:val="00B926D3"/>
    <w:rsid w:val="00B92A8A"/>
    <w:rsid w:val="00B92B6A"/>
    <w:rsid w:val="00B92C2C"/>
    <w:rsid w:val="00B92DDF"/>
    <w:rsid w:val="00B931D7"/>
    <w:rsid w:val="00B93667"/>
    <w:rsid w:val="00B93737"/>
    <w:rsid w:val="00B9382A"/>
    <w:rsid w:val="00B9386E"/>
    <w:rsid w:val="00B93885"/>
    <w:rsid w:val="00B9389F"/>
    <w:rsid w:val="00B93957"/>
    <w:rsid w:val="00B9395B"/>
    <w:rsid w:val="00B93BD7"/>
    <w:rsid w:val="00B93D05"/>
    <w:rsid w:val="00B93D2D"/>
    <w:rsid w:val="00B9401D"/>
    <w:rsid w:val="00B9402C"/>
    <w:rsid w:val="00B94070"/>
    <w:rsid w:val="00B943C1"/>
    <w:rsid w:val="00B945AF"/>
    <w:rsid w:val="00B9466E"/>
    <w:rsid w:val="00B94C28"/>
    <w:rsid w:val="00B94C2C"/>
    <w:rsid w:val="00B95063"/>
    <w:rsid w:val="00B950DC"/>
    <w:rsid w:val="00B951DD"/>
    <w:rsid w:val="00B95829"/>
    <w:rsid w:val="00B95863"/>
    <w:rsid w:val="00B95C7A"/>
    <w:rsid w:val="00B95C99"/>
    <w:rsid w:val="00B95D46"/>
    <w:rsid w:val="00B95FB1"/>
    <w:rsid w:val="00B96054"/>
    <w:rsid w:val="00B962AB"/>
    <w:rsid w:val="00B96366"/>
    <w:rsid w:val="00B9647B"/>
    <w:rsid w:val="00B9673D"/>
    <w:rsid w:val="00B967B3"/>
    <w:rsid w:val="00B96820"/>
    <w:rsid w:val="00B96A00"/>
    <w:rsid w:val="00B96A08"/>
    <w:rsid w:val="00B96A3A"/>
    <w:rsid w:val="00B96C1D"/>
    <w:rsid w:val="00B97175"/>
    <w:rsid w:val="00B9722E"/>
    <w:rsid w:val="00B97276"/>
    <w:rsid w:val="00B9738B"/>
    <w:rsid w:val="00B975A5"/>
    <w:rsid w:val="00B97A03"/>
    <w:rsid w:val="00B97B3B"/>
    <w:rsid w:val="00BA00AC"/>
    <w:rsid w:val="00BA06FE"/>
    <w:rsid w:val="00BA0796"/>
    <w:rsid w:val="00BA0C27"/>
    <w:rsid w:val="00BA1417"/>
    <w:rsid w:val="00BA1435"/>
    <w:rsid w:val="00BA14E5"/>
    <w:rsid w:val="00BA166A"/>
    <w:rsid w:val="00BA1877"/>
    <w:rsid w:val="00BA188C"/>
    <w:rsid w:val="00BA1B11"/>
    <w:rsid w:val="00BA1B2F"/>
    <w:rsid w:val="00BA1BE0"/>
    <w:rsid w:val="00BA228F"/>
    <w:rsid w:val="00BA251D"/>
    <w:rsid w:val="00BA2D61"/>
    <w:rsid w:val="00BA3103"/>
    <w:rsid w:val="00BA3979"/>
    <w:rsid w:val="00BA3ACA"/>
    <w:rsid w:val="00BA3AF1"/>
    <w:rsid w:val="00BA3FB6"/>
    <w:rsid w:val="00BA4087"/>
    <w:rsid w:val="00BA4163"/>
    <w:rsid w:val="00BA41F8"/>
    <w:rsid w:val="00BA4291"/>
    <w:rsid w:val="00BA436B"/>
    <w:rsid w:val="00BA455A"/>
    <w:rsid w:val="00BA46E1"/>
    <w:rsid w:val="00BA499A"/>
    <w:rsid w:val="00BA4A1F"/>
    <w:rsid w:val="00BA4B0F"/>
    <w:rsid w:val="00BA4D6E"/>
    <w:rsid w:val="00BA4E98"/>
    <w:rsid w:val="00BA52B3"/>
    <w:rsid w:val="00BA53F6"/>
    <w:rsid w:val="00BA5887"/>
    <w:rsid w:val="00BA5A0C"/>
    <w:rsid w:val="00BA5C8B"/>
    <w:rsid w:val="00BA5FC3"/>
    <w:rsid w:val="00BA5FFF"/>
    <w:rsid w:val="00BA68AF"/>
    <w:rsid w:val="00BA6E89"/>
    <w:rsid w:val="00BA7472"/>
    <w:rsid w:val="00BA74EF"/>
    <w:rsid w:val="00BA77E9"/>
    <w:rsid w:val="00BA7A3E"/>
    <w:rsid w:val="00BA7CBF"/>
    <w:rsid w:val="00BA7F56"/>
    <w:rsid w:val="00BB031C"/>
    <w:rsid w:val="00BB0468"/>
    <w:rsid w:val="00BB04C8"/>
    <w:rsid w:val="00BB06AF"/>
    <w:rsid w:val="00BB07A0"/>
    <w:rsid w:val="00BB0B26"/>
    <w:rsid w:val="00BB0DFC"/>
    <w:rsid w:val="00BB1122"/>
    <w:rsid w:val="00BB1480"/>
    <w:rsid w:val="00BB14CB"/>
    <w:rsid w:val="00BB17C1"/>
    <w:rsid w:val="00BB1A0C"/>
    <w:rsid w:val="00BB1CDF"/>
    <w:rsid w:val="00BB1D82"/>
    <w:rsid w:val="00BB1F24"/>
    <w:rsid w:val="00BB28A2"/>
    <w:rsid w:val="00BB2F48"/>
    <w:rsid w:val="00BB3084"/>
    <w:rsid w:val="00BB365D"/>
    <w:rsid w:val="00BB398E"/>
    <w:rsid w:val="00BB3B0F"/>
    <w:rsid w:val="00BB3D68"/>
    <w:rsid w:val="00BB40C5"/>
    <w:rsid w:val="00BB413F"/>
    <w:rsid w:val="00BB437F"/>
    <w:rsid w:val="00BB4714"/>
    <w:rsid w:val="00BB4DAD"/>
    <w:rsid w:val="00BB4FA9"/>
    <w:rsid w:val="00BB51D4"/>
    <w:rsid w:val="00BB52B3"/>
    <w:rsid w:val="00BB57F0"/>
    <w:rsid w:val="00BB5BE2"/>
    <w:rsid w:val="00BB5C1A"/>
    <w:rsid w:val="00BB6159"/>
    <w:rsid w:val="00BB62CF"/>
    <w:rsid w:val="00BB68F2"/>
    <w:rsid w:val="00BB69BE"/>
    <w:rsid w:val="00BB6A89"/>
    <w:rsid w:val="00BB6B47"/>
    <w:rsid w:val="00BB6EA2"/>
    <w:rsid w:val="00BB7295"/>
    <w:rsid w:val="00BB72DC"/>
    <w:rsid w:val="00BB730A"/>
    <w:rsid w:val="00BB781C"/>
    <w:rsid w:val="00BB7C75"/>
    <w:rsid w:val="00BB7FFE"/>
    <w:rsid w:val="00BC00C0"/>
    <w:rsid w:val="00BC01EC"/>
    <w:rsid w:val="00BC05EE"/>
    <w:rsid w:val="00BC0615"/>
    <w:rsid w:val="00BC085C"/>
    <w:rsid w:val="00BC0BBF"/>
    <w:rsid w:val="00BC1468"/>
    <w:rsid w:val="00BC19D0"/>
    <w:rsid w:val="00BC1B59"/>
    <w:rsid w:val="00BC1BA6"/>
    <w:rsid w:val="00BC1D88"/>
    <w:rsid w:val="00BC1EA1"/>
    <w:rsid w:val="00BC2178"/>
    <w:rsid w:val="00BC26DD"/>
    <w:rsid w:val="00BC2D15"/>
    <w:rsid w:val="00BC2D3B"/>
    <w:rsid w:val="00BC3260"/>
    <w:rsid w:val="00BC3321"/>
    <w:rsid w:val="00BC34DB"/>
    <w:rsid w:val="00BC3592"/>
    <w:rsid w:val="00BC374A"/>
    <w:rsid w:val="00BC37BE"/>
    <w:rsid w:val="00BC41E0"/>
    <w:rsid w:val="00BC46A6"/>
    <w:rsid w:val="00BC46CD"/>
    <w:rsid w:val="00BC4735"/>
    <w:rsid w:val="00BC47D1"/>
    <w:rsid w:val="00BC4EC7"/>
    <w:rsid w:val="00BC4EEE"/>
    <w:rsid w:val="00BC50AB"/>
    <w:rsid w:val="00BC53B2"/>
    <w:rsid w:val="00BC547A"/>
    <w:rsid w:val="00BC5794"/>
    <w:rsid w:val="00BC5AC3"/>
    <w:rsid w:val="00BC5BFF"/>
    <w:rsid w:val="00BC5D66"/>
    <w:rsid w:val="00BC60F9"/>
    <w:rsid w:val="00BC628F"/>
    <w:rsid w:val="00BC63EC"/>
    <w:rsid w:val="00BC66C0"/>
    <w:rsid w:val="00BC731E"/>
    <w:rsid w:val="00BD00F1"/>
    <w:rsid w:val="00BD03E4"/>
    <w:rsid w:val="00BD04C2"/>
    <w:rsid w:val="00BD0899"/>
    <w:rsid w:val="00BD09BC"/>
    <w:rsid w:val="00BD0E05"/>
    <w:rsid w:val="00BD0E5F"/>
    <w:rsid w:val="00BD1031"/>
    <w:rsid w:val="00BD1567"/>
    <w:rsid w:val="00BD1FF5"/>
    <w:rsid w:val="00BD249F"/>
    <w:rsid w:val="00BD2766"/>
    <w:rsid w:val="00BD279C"/>
    <w:rsid w:val="00BD27E3"/>
    <w:rsid w:val="00BD2BC8"/>
    <w:rsid w:val="00BD2C30"/>
    <w:rsid w:val="00BD3876"/>
    <w:rsid w:val="00BD3885"/>
    <w:rsid w:val="00BD3AB7"/>
    <w:rsid w:val="00BD3E4E"/>
    <w:rsid w:val="00BD3F42"/>
    <w:rsid w:val="00BD40DC"/>
    <w:rsid w:val="00BD4290"/>
    <w:rsid w:val="00BD4969"/>
    <w:rsid w:val="00BD4B2C"/>
    <w:rsid w:val="00BD4C64"/>
    <w:rsid w:val="00BD596D"/>
    <w:rsid w:val="00BD5E3F"/>
    <w:rsid w:val="00BD6111"/>
    <w:rsid w:val="00BD6400"/>
    <w:rsid w:val="00BD640B"/>
    <w:rsid w:val="00BD6842"/>
    <w:rsid w:val="00BD6ABB"/>
    <w:rsid w:val="00BD6DE6"/>
    <w:rsid w:val="00BD7179"/>
    <w:rsid w:val="00BD727F"/>
    <w:rsid w:val="00BD72F1"/>
    <w:rsid w:val="00BD74BA"/>
    <w:rsid w:val="00BD76E5"/>
    <w:rsid w:val="00BD7904"/>
    <w:rsid w:val="00BE0134"/>
    <w:rsid w:val="00BE036A"/>
    <w:rsid w:val="00BE03C3"/>
    <w:rsid w:val="00BE052E"/>
    <w:rsid w:val="00BE09DA"/>
    <w:rsid w:val="00BE0C00"/>
    <w:rsid w:val="00BE0DB9"/>
    <w:rsid w:val="00BE103A"/>
    <w:rsid w:val="00BE1391"/>
    <w:rsid w:val="00BE19A7"/>
    <w:rsid w:val="00BE224A"/>
    <w:rsid w:val="00BE2297"/>
    <w:rsid w:val="00BE24A0"/>
    <w:rsid w:val="00BE2B5D"/>
    <w:rsid w:val="00BE2CE8"/>
    <w:rsid w:val="00BE2F4F"/>
    <w:rsid w:val="00BE301B"/>
    <w:rsid w:val="00BE32C4"/>
    <w:rsid w:val="00BE34C2"/>
    <w:rsid w:val="00BE34E5"/>
    <w:rsid w:val="00BE3B53"/>
    <w:rsid w:val="00BE3F35"/>
    <w:rsid w:val="00BE4021"/>
    <w:rsid w:val="00BE46CE"/>
    <w:rsid w:val="00BE4742"/>
    <w:rsid w:val="00BE48FC"/>
    <w:rsid w:val="00BE4921"/>
    <w:rsid w:val="00BE50B2"/>
    <w:rsid w:val="00BE57C7"/>
    <w:rsid w:val="00BE5A35"/>
    <w:rsid w:val="00BE5A49"/>
    <w:rsid w:val="00BE6154"/>
    <w:rsid w:val="00BE617F"/>
    <w:rsid w:val="00BE6767"/>
    <w:rsid w:val="00BE67CA"/>
    <w:rsid w:val="00BE6824"/>
    <w:rsid w:val="00BE6A5F"/>
    <w:rsid w:val="00BE6C2D"/>
    <w:rsid w:val="00BE6C4D"/>
    <w:rsid w:val="00BE6D8C"/>
    <w:rsid w:val="00BE7512"/>
    <w:rsid w:val="00BE7D4A"/>
    <w:rsid w:val="00BE7DAB"/>
    <w:rsid w:val="00BE7FD7"/>
    <w:rsid w:val="00BF02B0"/>
    <w:rsid w:val="00BF046E"/>
    <w:rsid w:val="00BF0772"/>
    <w:rsid w:val="00BF0854"/>
    <w:rsid w:val="00BF0954"/>
    <w:rsid w:val="00BF0D2D"/>
    <w:rsid w:val="00BF11D8"/>
    <w:rsid w:val="00BF14F2"/>
    <w:rsid w:val="00BF1D0C"/>
    <w:rsid w:val="00BF1DB7"/>
    <w:rsid w:val="00BF1E17"/>
    <w:rsid w:val="00BF222B"/>
    <w:rsid w:val="00BF246C"/>
    <w:rsid w:val="00BF250E"/>
    <w:rsid w:val="00BF255D"/>
    <w:rsid w:val="00BF2AF3"/>
    <w:rsid w:val="00BF2B6B"/>
    <w:rsid w:val="00BF2C64"/>
    <w:rsid w:val="00BF2D92"/>
    <w:rsid w:val="00BF2F20"/>
    <w:rsid w:val="00BF2F57"/>
    <w:rsid w:val="00BF2F91"/>
    <w:rsid w:val="00BF31ED"/>
    <w:rsid w:val="00BF3329"/>
    <w:rsid w:val="00BF3484"/>
    <w:rsid w:val="00BF363A"/>
    <w:rsid w:val="00BF391E"/>
    <w:rsid w:val="00BF3920"/>
    <w:rsid w:val="00BF39C8"/>
    <w:rsid w:val="00BF3A9A"/>
    <w:rsid w:val="00BF3FD3"/>
    <w:rsid w:val="00BF3FF6"/>
    <w:rsid w:val="00BF4165"/>
    <w:rsid w:val="00BF42E4"/>
    <w:rsid w:val="00BF4435"/>
    <w:rsid w:val="00BF4670"/>
    <w:rsid w:val="00BF4808"/>
    <w:rsid w:val="00BF4837"/>
    <w:rsid w:val="00BF4F40"/>
    <w:rsid w:val="00BF4FD2"/>
    <w:rsid w:val="00BF56FD"/>
    <w:rsid w:val="00BF5982"/>
    <w:rsid w:val="00BF59CE"/>
    <w:rsid w:val="00BF5DEF"/>
    <w:rsid w:val="00BF6253"/>
    <w:rsid w:val="00BF653D"/>
    <w:rsid w:val="00BF6A25"/>
    <w:rsid w:val="00BF6CB4"/>
    <w:rsid w:val="00BF6EB1"/>
    <w:rsid w:val="00BF7275"/>
    <w:rsid w:val="00BF76F8"/>
    <w:rsid w:val="00BF7745"/>
    <w:rsid w:val="00BF79B6"/>
    <w:rsid w:val="00BF7B60"/>
    <w:rsid w:val="00BF7CE4"/>
    <w:rsid w:val="00BF7F47"/>
    <w:rsid w:val="00C00039"/>
    <w:rsid w:val="00C0011C"/>
    <w:rsid w:val="00C003E8"/>
    <w:rsid w:val="00C005AA"/>
    <w:rsid w:val="00C007BC"/>
    <w:rsid w:val="00C00B96"/>
    <w:rsid w:val="00C00F77"/>
    <w:rsid w:val="00C01344"/>
    <w:rsid w:val="00C0195C"/>
    <w:rsid w:val="00C01C21"/>
    <w:rsid w:val="00C01DD7"/>
    <w:rsid w:val="00C021BF"/>
    <w:rsid w:val="00C0269C"/>
    <w:rsid w:val="00C02A02"/>
    <w:rsid w:val="00C02CAB"/>
    <w:rsid w:val="00C02E3A"/>
    <w:rsid w:val="00C030AD"/>
    <w:rsid w:val="00C032F4"/>
    <w:rsid w:val="00C034D3"/>
    <w:rsid w:val="00C03505"/>
    <w:rsid w:val="00C0352D"/>
    <w:rsid w:val="00C03564"/>
    <w:rsid w:val="00C03640"/>
    <w:rsid w:val="00C03922"/>
    <w:rsid w:val="00C0397D"/>
    <w:rsid w:val="00C03D21"/>
    <w:rsid w:val="00C03D25"/>
    <w:rsid w:val="00C03F06"/>
    <w:rsid w:val="00C04085"/>
    <w:rsid w:val="00C042F9"/>
    <w:rsid w:val="00C043C6"/>
    <w:rsid w:val="00C04576"/>
    <w:rsid w:val="00C045CA"/>
    <w:rsid w:val="00C048AB"/>
    <w:rsid w:val="00C04980"/>
    <w:rsid w:val="00C051E7"/>
    <w:rsid w:val="00C052F3"/>
    <w:rsid w:val="00C0530C"/>
    <w:rsid w:val="00C0537B"/>
    <w:rsid w:val="00C05634"/>
    <w:rsid w:val="00C05F7E"/>
    <w:rsid w:val="00C060E0"/>
    <w:rsid w:val="00C06204"/>
    <w:rsid w:val="00C0634B"/>
    <w:rsid w:val="00C063C7"/>
    <w:rsid w:val="00C063CD"/>
    <w:rsid w:val="00C065A3"/>
    <w:rsid w:val="00C0669D"/>
    <w:rsid w:val="00C06D44"/>
    <w:rsid w:val="00C07080"/>
    <w:rsid w:val="00C07727"/>
    <w:rsid w:val="00C07A48"/>
    <w:rsid w:val="00C07A67"/>
    <w:rsid w:val="00C07ADC"/>
    <w:rsid w:val="00C07CBC"/>
    <w:rsid w:val="00C07E61"/>
    <w:rsid w:val="00C07F5C"/>
    <w:rsid w:val="00C10139"/>
    <w:rsid w:val="00C1013A"/>
    <w:rsid w:val="00C103C7"/>
    <w:rsid w:val="00C10417"/>
    <w:rsid w:val="00C10698"/>
    <w:rsid w:val="00C109FC"/>
    <w:rsid w:val="00C10B34"/>
    <w:rsid w:val="00C10E09"/>
    <w:rsid w:val="00C10FF7"/>
    <w:rsid w:val="00C11076"/>
    <w:rsid w:val="00C11092"/>
    <w:rsid w:val="00C111BA"/>
    <w:rsid w:val="00C1130C"/>
    <w:rsid w:val="00C1168F"/>
    <w:rsid w:val="00C11826"/>
    <w:rsid w:val="00C1183C"/>
    <w:rsid w:val="00C11CEC"/>
    <w:rsid w:val="00C12029"/>
    <w:rsid w:val="00C12792"/>
    <w:rsid w:val="00C1289C"/>
    <w:rsid w:val="00C12957"/>
    <w:rsid w:val="00C12A4C"/>
    <w:rsid w:val="00C12B73"/>
    <w:rsid w:val="00C12B8C"/>
    <w:rsid w:val="00C12C1A"/>
    <w:rsid w:val="00C12C9D"/>
    <w:rsid w:val="00C12E36"/>
    <w:rsid w:val="00C12F87"/>
    <w:rsid w:val="00C12FC2"/>
    <w:rsid w:val="00C1315A"/>
    <w:rsid w:val="00C13372"/>
    <w:rsid w:val="00C1368C"/>
    <w:rsid w:val="00C13F38"/>
    <w:rsid w:val="00C13F7E"/>
    <w:rsid w:val="00C146A9"/>
    <w:rsid w:val="00C146AC"/>
    <w:rsid w:val="00C14823"/>
    <w:rsid w:val="00C14915"/>
    <w:rsid w:val="00C14A00"/>
    <w:rsid w:val="00C14EF8"/>
    <w:rsid w:val="00C15A9B"/>
    <w:rsid w:val="00C15BA7"/>
    <w:rsid w:val="00C15CE1"/>
    <w:rsid w:val="00C15D02"/>
    <w:rsid w:val="00C15D26"/>
    <w:rsid w:val="00C15F48"/>
    <w:rsid w:val="00C15F67"/>
    <w:rsid w:val="00C165FB"/>
    <w:rsid w:val="00C16B38"/>
    <w:rsid w:val="00C16D59"/>
    <w:rsid w:val="00C16FE7"/>
    <w:rsid w:val="00C17502"/>
    <w:rsid w:val="00C176A7"/>
    <w:rsid w:val="00C1780D"/>
    <w:rsid w:val="00C1783A"/>
    <w:rsid w:val="00C178CC"/>
    <w:rsid w:val="00C179D8"/>
    <w:rsid w:val="00C17C12"/>
    <w:rsid w:val="00C17F18"/>
    <w:rsid w:val="00C2023F"/>
    <w:rsid w:val="00C209CC"/>
    <w:rsid w:val="00C20D86"/>
    <w:rsid w:val="00C20E2A"/>
    <w:rsid w:val="00C21373"/>
    <w:rsid w:val="00C21543"/>
    <w:rsid w:val="00C21C58"/>
    <w:rsid w:val="00C22005"/>
    <w:rsid w:val="00C222B1"/>
    <w:rsid w:val="00C229B2"/>
    <w:rsid w:val="00C22DA2"/>
    <w:rsid w:val="00C22F86"/>
    <w:rsid w:val="00C23101"/>
    <w:rsid w:val="00C23293"/>
    <w:rsid w:val="00C23685"/>
    <w:rsid w:val="00C23A27"/>
    <w:rsid w:val="00C23D08"/>
    <w:rsid w:val="00C23D42"/>
    <w:rsid w:val="00C23E13"/>
    <w:rsid w:val="00C23F5C"/>
    <w:rsid w:val="00C2425C"/>
    <w:rsid w:val="00C2426D"/>
    <w:rsid w:val="00C24303"/>
    <w:rsid w:val="00C24470"/>
    <w:rsid w:val="00C24670"/>
    <w:rsid w:val="00C246E5"/>
    <w:rsid w:val="00C24A72"/>
    <w:rsid w:val="00C24B21"/>
    <w:rsid w:val="00C24E30"/>
    <w:rsid w:val="00C24F43"/>
    <w:rsid w:val="00C2543A"/>
    <w:rsid w:val="00C2572B"/>
    <w:rsid w:val="00C25872"/>
    <w:rsid w:val="00C2587E"/>
    <w:rsid w:val="00C25965"/>
    <w:rsid w:val="00C25C81"/>
    <w:rsid w:val="00C26199"/>
    <w:rsid w:val="00C2631E"/>
    <w:rsid w:val="00C266DA"/>
    <w:rsid w:val="00C26892"/>
    <w:rsid w:val="00C269DA"/>
    <w:rsid w:val="00C26C7F"/>
    <w:rsid w:val="00C26E56"/>
    <w:rsid w:val="00C27161"/>
    <w:rsid w:val="00C272F7"/>
    <w:rsid w:val="00C2766A"/>
    <w:rsid w:val="00C27B48"/>
    <w:rsid w:val="00C27BD9"/>
    <w:rsid w:val="00C27DAE"/>
    <w:rsid w:val="00C27E11"/>
    <w:rsid w:val="00C3009E"/>
    <w:rsid w:val="00C30139"/>
    <w:rsid w:val="00C303CF"/>
    <w:rsid w:val="00C3047F"/>
    <w:rsid w:val="00C30976"/>
    <w:rsid w:val="00C30A99"/>
    <w:rsid w:val="00C30B4A"/>
    <w:rsid w:val="00C30B8B"/>
    <w:rsid w:val="00C3168B"/>
    <w:rsid w:val="00C31800"/>
    <w:rsid w:val="00C31B46"/>
    <w:rsid w:val="00C31B82"/>
    <w:rsid w:val="00C321E7"/>
    <w:rsid w:val="00C32356"/>
    <w:rsid w:val="00C32B1A"/>
    <w:rsid w:val="00C32E20"/>
    <w:rsid w:val="00C33899"/>
    <w:rsid w:val="00C34493"/>
    <w:rsid w:val="00C344F9"/>
    <w:rsid w:val="00C34899"/>
    <w:rsid w:val="00C3497C"/>
    <w:rsid w:val="00C34FB0"/>
    <w:rsid w:val="00C35435"/>
    <w:rsid w:val="00C354DA"/>
    <w:rsid w:val="00C35B1E"/>
    <w:rsid w:val="00C35DE7"/>
    <w:rsid w:val="00C35E45"/>
    <w:rsid w:val="00C35E8F"/>
    <w:rsid w:val="00C3615A"/>
    <w:rsid w:val="00C363A8"/>
    <w:rsid w:val="00C36CA2"/>
    <w:rsid w:val="00C37835"/>
    <w:rsid w:val="00C37880"/>
    <w:rsid w:val="00C37DB8"/>
    <w:rsid w:val="00C37DDE"/>
    <w:rsid w:val="00C40025"/>
    <w:rsid w:val="00C400B1"/>
    <w:rsid w:val="00C402FF"/>
    <w:rsid w:val="00C40704"/>
    <w:rsid w:val="00C40967"/>
    <w:rsid w:val="00C40B4E"/>
    <w:rsid w:val="00C40D5D"/>
    <w:rsid w:val="00C41158"/>
    <w:rsid w:val="00C4115B"/>
    <w:rsid w:val="00C418D0"/>
    <w:rsid w:val="00C41ACA"/>
    <w:rsid w:val="00C41B45"/>
    <w:rsid w:val="00C41BD9"/>
    <w:rsid w:val="00C41C09"/>
    <w:rsid w:val="00C41CB1"/>
    <w:rsid w:val="00C4215C"/>
    <w:rsid w:val="00C4234F"/>
    <w:rsid w:val="00C425CC"/>
    <w:rsid w:val="00C42BEB"/>
    <w:rsid w:val="00C43124"/>
    <w:rsid w:val="00C43447"/>
    <w:rsid w:val="00C43E45"/>
    <w:rsid w:val="00C4403C"/>
    <w:rsid w:val="00C4405D"/>
    <w:rsid w:val="00C4411E"/>
    <w:rsid w:val="00C442B5"/>
    <w:rsid w:val="00C442EB"/>
    <w:rsid w:val="00C44354"/>
    <w:rsid w:val="00C44379"/>
    <w:rsid w:val="00C44466"/>
    <w:rsid w:val="00C44556"/>
    <w:rsid w:val="00C44679"/>
    <w:rsid w:val="00C44778"/>
    <w:rsid w:val="00C44830"/>
    <w:rsid w:val="00C44B24"/>
    <w:rsid w:val="00C44BB6"/>
    <w:rsid w:val="00C44BD0"/>
    <w:rsid w:val="00C44C62"/>
    <w:rsid w:val="00C44CC2"/>
    <w:rsid w:val="00C4500A"/>
    <w:rsid w:val="00C453BE"/>
    <w:rsid w:val="00C4572D"/>
    <w:rsid w:val="00C45912"/>
    <w:rsid w:val="00C45A9F"/>
    <w:rsid w:val="00C45C81"/>
    <w:rsid w:val="00C45D17"/>
    <w:rsid w:val="00C45D4E"/>
    <w:rsid w:val="00C46250"/>
    <w:rsid w:val="00C462C9"/>
    <w:rsid w:val="00C46366"/>
    <w:rsid w:val="00C463E7"/>
    <w:rsid w:val="00C469FD"/>
    <w:rsid w:val="00C46D5A"/>
    <w:rsid w:val="00C46FC9"/>
    <w:rsid w:val="00C47373"/>
    <w:rsid w:val="00C473F6"/>
    <w:rsid w:val="00C47AC7"/>
    <w:rsid w:val="00C47B01"/>
    <w:rsid w:val="00C47C9C"/>
    <w:rsid w:val="00C50697"/>
    <w:rsid w:val="00C518C8"/>
    <w:rsid w:val="00C51BD9"/>
    <w:rsid w:val="00C51E62"/>
    <w:rsid w:val="00C523F7"/>
    <w:rsid w:val="00C5249F"/>
    <w:rsid w:val="00C5261F"/>
    <w:rsid w:val="00C52815"/>
    <w:rsid w:val="00C52884"/>
    <w:rsid w:val="00C52A60"/>
    <w:rsid w:val="00C52A98"/>
    <w:rsid w:val="00C52BB6"/>
    <w:rsid w:val="00C52C0B"/>
    <w:rsid w:val="00C53216"/>
    <w:rsid w:val="00C5322E"/>
    <w:rsid w:val="00C537F9"/>
    <w:rsid w:val="00C539FC"/>
    <w:rsid w:val="00C54313"/>
    <w:rsid w:val="00C5438D"/>
    <w:rsid w:val="00C54787"/>
    <w:rsid w:val="00C54913"/>
    <w:rsid w:val="00C54918"/>
    <w:rsid w:val="00C54951"/>
    <w:rsid w:val="00C54B10"/>
    <w:rsid w:val="00C54BC3"/>
    <w:rsid w:val="00C54DB1"/>
    <w:rsid w:val="00C54EF5"/>
    <w:rsid w:val="00C5525A"/>
    <w:rsid w:val="00C55357"/>
    <w:rsid w:val="00C5558A"/>
    <w:rsid w:val="00C55CC6"/>
    <w:rsid w:val="00C55D14"/>
    <w:rsid w:val="00C55EB1"/>
    <w:rsid w:val="00C56313"/>
    <w:rsid w:val="00C5667F"/>
    <w:rsid w:val="00C56860"/>
    <w:rsid w:val="00C568A2"/>
    <w:rsid w:val="00C56B0F"/>
    <w:rsid w:val="00C56CAC"/>
    <w:rsid w:val="00C56D66"/>
    <w:rsid w:val="00C56F21"/>
    <w:rsid w:val="00C574F9"/>
    <w:rsid w:val="00C576C9"/>
    <w:rsid w:val="00C5773F"/>
    <w:rsid w:val="00C57ADD"/>
    <w:rsid w:val="00C57AFB"/>
    <w:rsid w:val="00C6013E"/>
    <w:rsid w:val="00C6025F"/>
    <w:rsid w:val="00C60307"/>
    <w:rsid w:val="00C6074A"/>
    <w:rsid w:val="00C6078F"/>
    <w:rsid w:val="00C608E5"/>
    <w:rsid w:val="00C60966"/>
    <w:rsid w:val="00C60CC5"/>
    <w:rsid w:val="00C60FA2"/>
    <w:rsid w:val="00C610B1"/>
    <w:rsid w:val="00C613AF"/>
    <w:rsid w:val="00C61DCF"/>
    <w:rsid w:val="00C61DEA"/>
    <w:rsid w:val="00C61E67"/>
    <w:rsid w:val="00C62143"/>
    <w:rsid w:val="00C62442"/>
    <w:rsid w:val="00C626C1"/>
    <w:rsid w:val="00C62C42"/>
    <w:rsid w:val="00C62D55"/>
    <w:rsid w:val="00C62F13"/>
    <w:rsid w:val="00C63743"/>
    <w:rsid w:val="00C63865"/>
    <w:rsid w:val="00C63A6A"/>
    <w:rsid w:val="00C63B43"/>
    <w:rsid w:val="00C63CD2"/>
    <w:rsid w:val="00C63D30"/>
    <w:rsid w:val="00C63DDA"/>
    <w:rsid w:val="00C63E9D"/>
    <w:rsid w:val="00C6460C"/>
    <w:rsid w:val="00C649A6"/>
    <w:rsid w:val="00C64D82"/>
    <w:rsid w:val="00C655BB"/>
    <w:rsid w:val="00C65DE2"/>
    <w:rsid w:val="00C65FDC"/>
    <w:rsid w:val="00C66212"/>
    <w:rsid w:val="00C6639F"/>
    <w:rsid w:val="00C6680D"/>
    <w:rsid w:val="00C66AC1"/>
    <w:rsid w:val="00C66DAC"/>
    <w:rsid w:val="00C67259"/>
    <w:rsid w:val="00C6733B"/>
    <w:rsid w:val="00C6737A"/>
    <w:rsid w:val="00C67416"/>
    <w:rsid w:val="00C67591"/>
    <w:rsid w:val="00C67705"/>
    <w:rsid w:val="00C679B2"/>
    <w:rsid w:val="00C67AB3"/>
    <w:rsid w:val="00C67B6D"/>
    <w:rsid w:val="00C67FF1"/>
    <w:rsid w:val="00C70236"/>
    <w:rsid w:val="00C704BC"/>
    <w:rsid w:val="00C706EC"/>
    <w:rsid w:val="00C7083A"/>
    <w:rsid w:val="00C70D17"/>
    <w:rsid w:val="00C710B9"/>
    <w:rsid w:val="00C71647"/>
    <w:rsid w:val="00C71898"/>
    <w:rsid w:val="00C71973"/>
    <w:rsid w:val="00C71A09"/>
    <w:rsid w:val="00C71A9D"/>
    <w:rsid w:val="00C72504"/>
    <w:rsid w:val="00C72787"/>
    <w:rsid w:val="00C72819"/>
    <w:rsid w:val="00C72842"/>
    <w:rsid w:val="00C72912"/>
    <w:rsid w:val="00C72A10"/>
    <w:rsid w:val="00C72D96"/>
    <w:rsid w:val="00C73045"/>
    <w:rsid w:val="00C73984"/>
    <w:rsid w:val="00C73C9D"/>
    <w:rsid w:val="00C73D25"/>
    <w:rsid w:val="00C73FC0"/>
    <w:rsid w:val="00C74545"/>
    <w:rsid w:val="00C745F3"/>
    <w:rsid w:val="00C74727"/>
    <w:rsid w:val="00C7478C"/>
    <w:rsid w:val="00C7484A"/>
    <w:rsid w:val="00C74BE8"/>
    <w:rsid w:val="00C74DA1"/>
    <w:rsid w:val="00C74E2C"/>
    <w:rsid w:val="00C750D2"/>
    <w:rsid w:val="00C75476"/>
    <w:rsid w:val="00C755A5"/>
    <w:rsid w:val="00C756F5"/>
    <w:rsid w:val="00C7574A"/>
    <w:rsid w:val="00C758B2"/>
    <w:rsid w:val="00C75CB4"/>
    <w:rsid w:val="00C763ED"/>
    <w:rsid w:val="00C764F4"/>
    <w:rsid w:val="00C765C3"/>
    <w:rsid w:val="00C76626"/>
    <w:rsid w:val="00C766E9"/>
    <w:rsid w:val="00C76795"/>
    <w:rsid w:val="00C76908"/>
    <w:rsid w:val="00C76981"/>
    <w:rsid w:val="00C76998"/>
    <w:rsid w:val="00C76C68"/>
    <w:rsid w:val="00C7724E"/>
    <w:rsid w:val="00C77371"/>
    <w:rsid w:val="00C77462"/>
    <w:rsid w:val="00C77590"/>
    <w:rsid w:val="00C77BDA"/>
    <w:rsid w:val="00C77E83"/>
    <w:rsid w:val="00C8016F"/>
    <w:rsid w:val="00C80396"/>
    <w:rsid w:val="00C80BC0"/>
    <w:rsid w:val="00C80EA2"/>
    <w:rsid w:val="00C80EF3"/>
    <w:rsid w:val="00C8118F"/>
    <w:rsid w:val="00C8160B"/>
    <w:rsid w:val="00C81B1E"/>
    <w:rsid w:val="00C81B92"/>
    <w:rsid w:val="00C81C7C"/>
    <w:rsid w:val="00C81CD4"/>
    <w:rsid w:val="00C8245D"/>
    <w:rsid w:val="00C82530"/>
    <w:rsid w:val="00C82549"/>
    <w:rsid w:val="00C82588"/>
    <w:rsid w:val="00C826C7"/>
    <w:rsid w:val="00C82A56"/>
    <w:rsid w:val="00C82A98"/>
    <w:rsid w:val="00C82DD5"/>
    <w:rsid w:val="00C83079"/>
    <w:rsid w:val="00C831DC"/>
    <w:rsid w:val="00C831E9"/>
    <w:rsid w:val="00C83274"/>
    <w:rsid w:val="00C83381"/>
    <w:rsid w:val="00C8339F"/>
    <w:rsid w:val="00C83410"/>
    <w:rsid w:val="00C83597"/>
    <w:rsid w:val="00C836A5"/>
    <w:rsid w:val="00C83757"/>
    <w:rsid w:val="00C83D99"/>
    <w:rsid w:val="00C83DF4"/>
    <w:rsid w:val="00C844D8"/>
    <w:rsid w:val="00C845ED"/>
    <w:rsid w:val="00C84804"/>
    <w:rsid w:val="00C8488E"/>
    <w:rsid w:val="00C84D33"/>
    <w:rsid w:val="00C8539D"/>
    <w:rsid w:val="00C856EF"/>
    <w:rsid w:val="00C86138"/>
    <w:rsid w:val="00C862F4"/>
    <w:rsid w:val="00C8643D"/>
    <w:rsid w:val="00C864F1"/>
    <w:rsid w:val="00C8688D"/>
    <w:rsid w:val="00C86A0F"/>
    <w:rsid w:val="00C86B13"/>
    <w:rsid w:val="00C86B6F"/>
    <w:rsid w:val="00C86C36"/>
    <w:rsid w:val="00C86D11"/>
    <w:rsid w:val="00C87469"/>
    <w:rsid w:val="00C87938"/>
    <w:rsid w:val="00C87A90"/>
    <w:rsid w:val="00C87B90"/>
    <w:rsid w:val="00C87C59"/>
    <w:rsid w:val="00C87D2B"/>
    <w:rsid w:val="00C87DF6"/>
    <w:rsid w:val="00C90541"/>
    <w:rsid w:val="00C90781"/>
    <w:rsid w:val="00C90978"/>
    <w:rsid w:val="00C90C80"/>
    <w:rsid w:val="00C90CE7"/>
    <w:rsid w:val="00C90F91"/>
    <w:rsid w:val="00C91174"/>
    <w:rsid w:val="00C91463"/>
    <w:rsid w:val="00C91655"/>
    <w:rsid w:val="00C92044"/>
    <w:rsid w:val="00C9235C"/>
    <w:rsid w:val="00C9277A"/>
    <w:rsid w:val="00C9286A"/>
    <w:rsid w:val="00C92D56"/>
    <w:rsid w:val="00C92EE8"/>
    <w:rsid w:val="00C92F20"/>
    <w:rsid w:val="00C92FFC"/>
    <w:rsid w:val="00C9317F"/>
    <w:rsid w:val="00C93305"/>
    <w:rsid w:val="00C93D74"/>
    <w:rsid w:val="00C93E3C"/>
    <w:rsid w:val="00C9400D"/>
    <w:rsid w:val="00C94420"/>
    <w:rsid w:val="00C945F3"/>
    <w:rsid w:val="00C94798"/>
    <w:rsid w:val="00C94ADE"/>
    <w:rsid w:val="00C94B8E"/>
    <w:rsid w:val="00C94E80"/>
    <w:rsid w:val="00C94F08"/>
    <w:rsid w:val="00C951B5"/>
    <w:rsid w:val="00C9595C"/>
    <w:rsid w:val="00C95A4C"/>
    <w:rsid w:val="00C95B1F"/>
    <w:rsid w:val="00C95E7E"/>
    <w:rsid w:val="00C96469"/>
    <w:rsid w:val="00C96556"/>
    <w:rsid w:val="00C9658C"/>
    <w:rsid w:val="00C966DF"/>
    <w:rsid w:val="00C96A75"/>
    <w:rsid w:val="00C96C70"/>
    <w:rsid w:val="00C96ED4"/>
    <w:rsid w:val="00C971CC"/>
    <w:rsid w:val="00C97244"/>
    <w:rsid w:val="00C97277"/>
    <w:rsid w:val="00C9779D"/>
    <w:rsid w:val="00C9780C"/>
    <w:rsid w:val="00C9796C"/>
    <w:rsid w:val="00C97BB4"/>
    <w:rsid w:val="00C97F8E"/>
    <w:rsid w:val="00C97FBD"/>
    <w:rsid w:val="00CA00BF"/>
    <w:rsid w:val="00CA022A"/>
    <w:rsid w:val="00CA0380"/>
    <w:rsid w:val="00CA067C"/>
    <w:rsid w:val="00CA0909"/>
    <w:rsid w:val="00CA09BB"/>
    <w:rsid w:val="00CA0F30"/>
    <w:rsid w:val="00CA1210"/>
    <w:rsid w:val="00CA139D"/>
    <w:rsid w:val="00CA13EA"/>
    <w:rsid w:val="00CA1A38"/>
    <w:rsid w:val="00CA1AAB"/>
    <w:rsid w:val="00CA23B7"/>
    <w:rsid w:val="00CA2461"/>
    <w:rsid w:val="00CA263F"/>
    <w:rsid w:val="00CA28CB"/>
    <w:rsid w:val="00CA297B"/>
    <w:rsid w:val="00CA2A14"/>
    <w:rsid w:val="00CA2D6E"/>
    <w:rsid w:val="00CA3390"/>
    <w:rsid w:val="00CA384A"/>
    <w:rsid w:val="00CA3C9D"/>
    <w:rsid w:val="00CA3EFC"/>
    <w:rsid w:val="00CA3F84"/>
    <w:rsid w:val="00CA4011"/>
    <w:rsid w:val="00CA4067"/>
    <w:rsid w:val="00CA4645"/>
    <w:rsid w:val="00CA48B8"/>
    <w:rsid w:val="00CA49C4"/>
    <w:rsid w:val="00CA4BF5"/>
    <w:rsid w:val="00CA54F5"/>
    <w:rsid w:val="00CA56A6"/>
    <w:rsid w:val="00CA5718"/>
    <w:rsid w:val="00CA58C0"/>
    <w:rsid w:val="00CA5CAD"/>
    <w:rsid w:val="00CA60BE"/>
    <w:rsid w:val="00CA6244"/>
    <w:rsid w:val="00CA636C"/>
    <w:rsid w:val="00CA651C"/>
    <w:rsid w:val="00CA678E"/>
    <w:rsid w:val="00CA6868"/>
    <w:rsid w:val="00CA73B8"/>
    <w:rsid w:val="00CA73C5"/>
    <w:rsid w:val="00CA7424"/>
    <w:rsid w:val="00CA77D6"/>
    <w:rsid w:val="00CA7A6C"/>
    <w:rsid w:val="00CA7BA9"/>
    <w:rsid w:val="00CA7E2A"/>
    <w:rsid w:val="00CA7F34"/>
    <w:rsid w:val="00CB01D8"/>
    <w:rsid w:val="00CB04C2"/>
    <w:rsid w:val="00CB0537"/>
    <w:rsid w:val="00CB056E"/>
    <w:rsid w:val="00CB0790"/>
    <w:rsid w:val="00CB086D"/>
    <w:rsid w:val="00CB0B96"/>
    <w:rsid w:val="00CB0E3F"/>
    <w:rsid w:val="00CB1B0D"/>
    <w:rsid w:val="00CB1C8F"/>
    <w:rsid w:val="00CB1EEE"/>
    <w:rsid w:val="00CB232B"/>
    <w:rsid w:val="00CB2456"/>
    <w:rsid w:val="00CB2628"/>
    <w:rsid w:val="00CB2697"/>
    <w:rsid w:val="00CB26B9"/>
    <w:rsid w:val="00CB2749"/>
    <w:rsid w:val="00CB2773"/>
    <w:rsid w:val="00CB27AF"/>
    <w:rsid w:val="00CB2841"/>
    <w:rsid w:val="00CB301C"/>
    <w:rsid w:val="00CB32C7"/>
    <w:rsid w:val="00CB3388"/>
    <w:rsid w:val="00CB35D4"/>
    <w:rsid w:val="00CB3C4E"/>
    <w:rsid w:val="00CB3E5D"/>
    <w:rsid w:val="00CB4069"/>
    <w:rsid w:val="00CB429B"/>
    <w:rsid w:val="00CB4463"/>
    <w:rsid w:val="00CB4488"/>
    <w:rsid w:val="00CB4AD7"/>
    <w:rsid w:val="00CB4D5F"/>
    <w:rsid w:val="00CB4E95"/>
    <w:rsid w:val="00CB52A4"/>
    <w:rsid w:val="00CB552D"/>
    <w:rsid w:val="00CB57C9"/>
    <w:rsid w:val="00CB5917"/>
    <w:rsid w:val="00CB5AAC"/>
    <w:rsid w:val="00CB6B36"/>
    <w:rsid w:val="00CB6DC5"/>
    <w:rsid w:val="00CB7016"/>
    <w:rsid w:val="00CB7248"/>
    <w:rsid w:val="00CB78AE"/>
    <w:rsid w:val="00CB78D2"/>
    <w:rsid w:val="00CB7A92"/>
    <w:rsid w:val="00CB7F40"/>
    <w:rsid w:val="00CC0518"/>
    <w:rsid w:val="00CC06B6"/>
    <w:rsid w:val="00CC073A"/>
    <w:rsid w:val="00CC0B55"/>
    <w:rsid w:val="00CC0D41"/>
    <w:rsid w:val="00CC0DBC"/>
    <w:rsid w:val="00CC1638"/>
    <w:rsid w:val="00CC1684"/>
    <w:rsid w:val="00CC16D5"/>
    <w:rsid w:val="00CC18A4"/>
    <w:rsid w:val="00CC1B18"/>
    <w:rsid w:val="00CC1B1E"/>
    <w:rsid w:val="00CC20F3"/>
    <w:rsid w:val="00CC212B"/>
    <w:rsid w:val="00CC27A3"/>
    <w:rsid w:val="00CC2B5C"/>
    <w:rsid w:val="00CC2E83"/>
    <w:rsid w:val="00CC3043"/>
    <w:rsid w:val="00CC344A"/>
    <w:rsid w:val="00CC34D2"/>
    <w:rsid w:val="00CC355F"/>
    <w:rsid w:val="00CC35F6"/>
    <w:rsid w:val="00CC38DB"/>
    <w:rsid w:val="00CC3A06"/>
    <w:rsid w:val="00CC3A95"/>
    <w:rsid w:val="00CC3B92"/>
    <w:rsid w:val="00CC3BC9"/>
    <w:rsid w:val="00CC3DC4"/>
    <w:rsid w:val="00CC3FD8"/>
    <w:rsid w:val="00CC3FEF"/>
    <w:rsid w:val="00CC4255"/>
    <w:rsid w:val="00CC4319"/>
    <w:rsid w:val="00CC463E"/>
    <w:rsid w:val="00CC47B2"/>
    <w:rsid w:val="00CC4AB1"/>
    <w:rsid w:val="00CC540E"/>
    <w:rsid w:val="00CC5941"/>
    <w:rsid w:val="00CC5F56"/>
    <w:rsid w:val="00CC60EA"/>
    <w:rsid w:val="00CC6199"/>
    <w:rsid w:val="00CC6532"/>
    <w:rsid w:val="00CC698F"/>
    <w:rsid w:val="00CC6DF1"/>
    <w:rsid w:val="00CC7136"/>
    <w:rsid w:val="00CC71C3"/>
    <w:rsid w:val="00CC755A"/>
    <w:rsid w:val="00CC755D"/>
    <w:rsid w:val="00CC7A0B"/>
    <w:rsid w:val="00CC7A56"/>
    <w:rsid w:val="00CC7B52"/>
    <w:rsid w:val="00CC7DD6"/>
    <w:rsid w:val="00CD064E"/>
    <w:rsid w:val="00CD07BC"/>
    <w:rsid w:val="00CD0AE6"/>
    <w:rsid w:val="00CD0F18"/>
    <w:rsid w:val="00CD10A7"/>
    <w:rsid w:val="00CD10FC"/>
    <w:rsid w:val="00CD13C0"/>
    <w:rsid w:val="00CD1492"/>
    <w:rsid w:val="00CD14A7"/>
    <w:rsid w:val="00CD151D"/>
    <w:rsid w:val="00CD15E5"/>
    <w:rsid w:val="00CD15F3"/>
    <w:rsid w:val="00CD1BBF"/>
    <w:rsid w:val="00CD2348"/>
    <w:rsid w:val="00CD2701"/>
    <w:rsid w:val="00CD2728"/>
    <w:rsid w:val="00CD295E"/>
    <w:rsid w:val="00CD2990"/>
    <w:rsid w:val="00CD2B3B"/>
    <w:rsid w:val="00CD317F"/>
    <w:rsid w:val="00CD31DF"/>
    <w:rsid w:val="00CD373B"/>
    <w:rsid w:val="00CD3766"/>
    <w:rsid w:val="00CD377B"/>
    <w:rsid w:val="00CD394B"/>
    <w:rsid w:val="00CD39C6"/>
    <w:rsid w:val="00CD3B31"/>
    <w:rsid w:val="00CD3E91"/>
    <w:rsid w:val="00CD4036"/>
    <w:rsid w:val="00CD41A3"/>
    <w:rsid w:val="00CD438F"/>
    <w:rsid w:val="00CD46C7"/>
    <w:rsid w:val="00CD4A82"/>
    <w:rsid w:val="00CD4B6E"/>
    <w:rsid w:val="00CD4CF3"/>
    <w:rsid w:val="00CD52D9"/>
    <w:rsid w:val="00CD537F"/>
    <w:rsid w:val="00CD56A9"/>
    <w:rsid w:val="00CD5BE4"/>
    <w:rsid w:val="00CD5DB4"/>
    <w:rsid w:val="00CD645E"/>
    <w:rsid w:val="00CD64E8"/>
    <w:rsid w:val="00CD6617"/>
    <w:rsid w:val="00CD671E"/>
    <w:rsid w:val="00CD6741"/>
    <w:rsid w:val="00CD69CC"/>
    <w:rsid w:val="00CD6C39"/>
    <w:rsid w:val="00CD6C44"/>
    <w:rsid w:val="00CD6C79"/>
    <w:rsid w:val="00CD6D76"/>
    <w:rsid w:val="00CD6DCA"/>
    <w:rsid w:val="00CD7119"/>
    <w:rsid w:val="00CD76AB"/>
    <w:rsid w:val="00CD78D0"/>
    <w:rsid w:val="00CD7EC2"/>
    <w:rsid w:val="00CE00FC"/>
    <w:rsid w:val="00CE01EA"/>
    <w:rsid w:val="00CE02AA"/>
    <w:rsid w:val="00CE0508"/>
    <w:rsid w:val="00CE05C7"/>
    <w:rsid w:val="00CE0687"/>
    <w:rsid w:val="00CE085E"/>
    <w:rsid w:val="00CE08E8"/>
    <w:rsid w:val="00CE1124"/>
    <w:rsid w:val="00CE13A6"/>
    <w:rsid w:val="00CE1736"/>
    <w:rsid w:val="00CE1959"/>
    <w:rsid w:val="00CE1A96"/>
    <w:rsid w:val="00CE1AC9"/>
    <w:rsid w:val="00CE1C4A"/>
    <w:rsid w:val="00CE1D30"/>
    <w:rsid w:val="00CE1D8E"/>
    <w:rsid w:val="00CE1EED"/>
    <w:rsid w:val="00CE2053"/>
    <w:rsid w:val="00CE2178"/>
    <w:rsid w:val="00CE2234"/>
    <w:rsid w:val="00CE236D"/>
    <w:rsid w:val="00CE2660"/>
    <w:rsid w:val="00CE2A18"/>
    <w:rsid w:val="00CE2C20"/>
    <w:rsid w:val="00CE2EA4"/>
    <w:rsid w:val="00CE31F9"/>
    <w:rsid w:val="00CE3211"/>
    <w:rsid w:val="00CE32A9"/>
    <w:rsid w:val="00CE32C2"/>
    <w:rsid w:val="00CE33DD"/>
    <w:rsid w:val="00CE34CD"/>
    <w:rsid w:val="00CE3551"/>
    <w:rsid w:val="00CE374E"/>
    <w:rsid w:val="00CE39DE"/>
    <w:rsid w:val="00CE3A77"/>
    <w:rsid w:val="00CE3D8D"/>
    <w:rsid w:val="00CE41E5"/>
    <w:rsid w:val="00CE4220"/>
    <w:rsid w:val="00CE4255"/>
    <w:rsid w:val="00CE436E"/>
    <w:rsid w:val="00CE43BD"/>
    <w:rsid w:val="00CE461F"/>
    <w:rsid w:val="00CE4A4F"/>
    <w:rsid w:val="00CE50B2"/>
    <w:rsid w:val="00CE518C"/>
    <w:rsid w:val="00CE529C"/>
    <w:rsid w:val="00CE53A9"/>
    <w:rsid w:val="00CE53F8"/>
    <w:rsid w:val="00CE542B"/>
    <w:rsid w:val="00CE55BA"/>
    <w:rsid w:val="00CE594C"/>
    <w:rsid w:val="00CE594D"/>
    <w:rsid w:val="00CE5E29"/>
    <w:rsid w:val="00CE5EC2"/>
    <w:rsid w:val="00CE5ED2"/>
    <w:rsid w:val="00CE62F3"/>
    <w:rsid w:val="00CE6B72"/>
    <w:rsid w:val="00CE6D9A"/>
    <w:rsid w:val="00CE703B"/>
    <w:rsid w:val="00CE7127"/>
    <w:rsid w:val="00CE7647"/>
    <w:rsid w:val="00CE7A83"/>
    <w:rsid w:val="00CE7C2B"/>
    <w:rsid w:val="00CF058F"/>
    <w:rsid w:val="00CF0A7A"/>
    <w:rsid w:val="00CF0B0A"/>
    <w:rsid w:val="00CF0D76"/>
    <w:rsid w:val="00CF0F8F"/>
    <w:rsid w:val="00CF0FDA"/>
    <w:rsid w:val="00CF115C"/>
    <w:rsid w:val="00CF118E"/>
    <w:rsid w:val="00CF120A"/>
    <w:rsid w:val="00CF1288"/>
    <w:rsid w:val="00CF1299"/>
    <w:rsid w:val="00CF1482"/>
    <w:rsid w:val="00CF154F"/>
    <w:rsid w:val="00CF177B"/>
    <w:rsid w:val="00CF190E"/>
    <w:rsid w:val="00CF198B"/>
    <w:rsid w:val="00CF1CD0"/>
    <w:rsid w:val="00CF2074"/>
    <w:rsid w:val="00CF22D4"/>
    <w:rsid w:val="00CF23AD"/>
    <w:rsid w:val="00CF2658"/>
    <w:rsid w:val="00CF26D4"/>
    <w:rsid w:val="00CF289F"/>
    <w:rsid w:val="00CF28B5"/>
    <w:rsid w:val="00CF2BD1"/>
    <w:rsid w:val="00CF2FE0"/>
    <w:rsid w:val="00CF3036"/>
    <w:rsid w:val="00CF334C"/>
    <w:rsid w:val="00CF3A0D"/>
    <w:rsid w:val="00CF3AC9"/>
    <w:rsid w:val="00CF4126"/>
    <w:rsid w:val="00CF46C3"/>
    <w:rsid w:val="00CF4A49"/>
    <w:rsid w:val="00CF4D80"/>
    <w:rsid w:val="00CF4E85"/>
    <w:rsid w:val="00CF4E90"/>
    <w:rsid w:val="00CF500B"/>
    <w:rsid w:val="00CF5074"/>
    <w:rsid w:val="00CF5413"/>
    <w:rsid w:val="00CF57F7"/>
    <w:rsid w:val="00CF583C"/>
    <w:rsid w:val="00CF5BBB"/>
    <w:rsid w:val="00CF5EDB"/>
    <w:rsid w:val="00CF6806"/>
    <w:rsid w:val="00CF6B12"/>
    <w:rsid w:val="00CF6B18"/>
    <w:rsid w:val="00CF6F7D"/>
    <w:rsid w:val="00CF7098"/>
    <w:rsid w:val="00CF70C2"/>
    <w:rsid w:val="00CF721B"/>
    <w:rsid w:val="00CF7818"/>
    <w:rsid w:val="00CF7A17"/>
    <w:rsid w:val="00CF7B16"/>
    <w:rsid w:val="00CF7B57"/>
    <w:rsid w:val="00CF7C6D"/>
    <w:rsid w:val="00D00661"/>
    <w:rsid w:val="00D00A3C"/>
    <w:rsid w:val="00D00E59"/>
    <w:rsid w:val="00D00EEF"/>
    <w:rsid w:val="00D01157"/>
    <w:rsid w:val="00D015E2"/>
    <w:rsid w:val="00D021EA"/>
    <w:rsid w:val="00D022F3"/>
    <w:rsid w:val="00D02429"/>
    <w:rsid w:val="00D02869"/>
    <w:rsid w:val="00D033FA"/>
    <w:rsid w:val="00D03579"/>
    <w:rsid w:val="00D036F6"/>
    <w:rsid w:val="00D03A6D"/>
    <w:rsid w:val="00D03F11"/>
    <w:rsid w:val="00D0416E"/>
    <w:rsid w:val="00D043C2"/>
    <w:rsid w:val="00D046A3"/>
    <w:rsid w:val="00D046A4"/>
    <w:rsid w:val="00D04E29"/>
    <w:rsid w:val="00D04F2A"/>
    <w:rsid w:val="00D04F87"/>
    <w:rsid w:val="00D0570F"/>
    <w:rsid w:val="00D057C6"/>
    <w:rsid w:val="00D0616A"/>
    <w:rsid w:val="00D061C9"/>
    <w:rsid w:val="00D065C3"/>
    <w:rsid w:val="00D06F2E"/>
    <w:rsid w:val="00D073C7"/>
    <w:rsid w:val="00D0742E"/>
    <w:rsid w:val="00D07452"/>
    <w:rsid w:val="00D07588"/>
    <w:rsid w:val="00D078BA"/>
    <w:rsid w:val="00D07C10"/>
    <w:rsid w:val="00D07DED"/>
    <w:rsid w:val="00D102C8"/>
    <w:rsid w:val="00D105D5"/>
    <w:rsid w:val="00D10E64"/>
    <w:rsid w:val="00D1103A"/>
    <w:rsid w:val="00D113BD"/>
    <w:rsid w:val="00D114BD"/>
    <w:rsid w:val="00D11612"/>
    <w:rsid w:val="00D11BC8"/>
    <w:rsid w:val="00D11BCC"/>
    <w:rsid w:val="00D12265"/>
    <w:rsid w:val="00D1235D"/>
    <w:rsid w:val="00D124E0"/>
    <w:rsid w:val="00D125D1"/>
    <w:rsid w:val="00D1267E"/>
    <w:rsid w:val="00D1295E"/>
    <w:rsid w:val="00D12B0A"/>
    <w:rsid w:val="00D132AF"/>
    <w:rsid w:val="00D13C4E"/>
    <w:rsid w:val="00D140A3"/>
    <w:rsid w:val="00D1456D"/>
    <w:rsid w:val="00D146D4"/>
    <w:rsid w:val="00D14963"/>
    <w:rsid w:val="00D14ABE"/>
    <w:rsid w:val="00D14C40"/>
    <w:rsid w:val="00D14EAA"/>
    <w:rsid w:val="00D151EA"/>
    <w:rsid w:val="00D1565D"/>
    <w:rsid w:val="00D157FA"/>
    <w:rsid w:val="00D15DD4"/>
    <w:rsid w:val="00D15FDE"/>
    <w:rsid w:val="00D16302"/>
    <w:rsid w:val="00D16493"/>
    <w:rsid w:val="00D1680A"/>
    <w:rsid w:val="00D168F6"/>
    <w:rsid w:val="00D16B7B"/>
    <w:rsid w:val="00D17306"/>
    <w:rsid w:val="00D173E8"/>
    <w:rsid w:val="00D17737"/>
    <w:rsid w:val="00D17C27"/>
    <w:rsid w:val="00D17CB3"/>
    <w:rsid w:val="00D17F66"/>
    <w:rsid w:val="00D200A4"/>
    <w:rsid w:val="00D200C1"/>
    <w:rsid w:val="00D201F3"/>
    <w:rsid w:val="00D20970"/>
    <w:rsid w:val="00D209FE"/>
    <w:rsid w:val="00D20C4F"/>
    <w:rsid w:val="00D20CD9"/>
    <w:rsid w:val="00D20E5E"/>
    <w:rsid w:val="00D213D6"/>
    <w:rsid w:val="00D218E4"/>
    <w:rsid w:val="00D21C32"/>
    <w:rsid w:val="00D21EC0"/>
    <w:rsid w:val="00D2213B"/>
    <w:rsid w:val="00D22234"/>
    <w:rsid w:val="00D2235B"/>
    <w:rsid w:val="00D223F4"/>
    <w:rsid w:val="00D22485"/>
    <w:rsid w:val="00D224FE"/>
    <w:rsid w:val="00D22882"/>
    <w:rsid w:val="00D22ABB"/>
    <w:rsid w:val="00D22DC5"/>
    <w:rsid w:val="00D22E72"/>
    <w:rsid w:val="00D22FB5"/>
    <w:rsid w:val="00D22FD2"/>
    <w:rsid w:val="00D2328E"/>
    <w:rsid w:val="00D23533"/>
    <w:rsid w:val="00D23601"/>
    <w:rsid w:val="00D2373D"/>
    <w:rsid w:val="00D238A2"/>
    <w:rsid w:val="00D2392B"/>
    <w:rsid w:val="00D2398A"/>
    <w:rsid w:val="00D24456"/>
    <w:rsid w:val="00D2473D"/>
    <w:rsid w:val="00D24DD9"/>
    <w:rsid w:val="00D24F4B"/>
    <w:rsid w:val="00D2556A"/>
    <w:rsid w:val="00D26555"/>
    <w:rsid w:val="00D2664E"/>
    <w:rsid w:val="00D26894"/>
    <w:rsid w:val="00D26AED"/>
    <w:rsid w:val="00D26BE4"/>
    <w:rsid w:val="00D26EDF"/>
    <w:rsid w:val="00D26F89"/>
    <w:rsid w:val="00D271EF"/>
    <w:rsid w:val="00D278B4"/>
    <w:rsid w:val="00D27A00"/>
    <w:rsid w:val="00D27CE4"/>
    <w:rsid w:val="00D27EF3"/>
    <w:rsid w:val="00D3006F"/>
    <w:rsid w:val="00D309AF"/>
    <w:rsid w:val="00D30DE2"/>
    <w:rsid w:val="00D30F6F"/>
    <w:rsid w:val="00D3109D"/>
    <w:rsid w:val="00D312C3"/>
    <w:rsid w:val="00D31577"/>
    <w:rsid w:val="00D3161F"/>
    <w:rsid w:val="00D31954"/>
    <w:rsid w:val="00D31B4D"/>
    <w:rsid w:val="00D320BD"/>
    <w:rsid w:val="00D32480"/>
    <w:rsid w:val="00D325FD"/>
    <w:rsid w:val="00D326B8"/>
    <w:rsid w:val="00D32AC8"/>
    <w:rsid w:val="00D32C30"/>
    <w:rsid w:val="00D330B4"/>
    <w:rsid w:val="00D33141"/>
    <w:rsid w:val="00D331CC"/>
    <w:rsid w:val="00D3383E"/>
    <w:rsid w:val="00D33890"/>
    <w:rsid w:val="00D3389A"/>
    <w:rsid w:val="00D339D1"/>
    <w:rsid w:val="00D33BC6"/>
    <w:rsid w:val="00D33BD1"/>
    <w:rsid w:val="00D33C5F"/>
    <w:rsid w:val="00D33DF5"/>
    <w:rsid w:val="00D3440C"/>
    <w:rsid w:val="00D34BD9"/>
    <w:rsid w:val="00D34CEC"/>
    <w:rsid w:val="00D34F74"/>
    <w:rsid w:val="00D3528C"/>
    <w:rsid w:val="00D35BA1"/>
    <w:rsid w:val="00D35F00"/>
    <w:rsid w:val="00D36098"/>
    <w:rsid w:val="00D36C25"/>
    <w:rsid w:val="00D36DAB"/>
    <w:rsid w:val="00D36E9E"/>
    <w:rsid w:val="00D3703D"/>
    <w:rsid w:val="00D37056"/>
    <w:rsid w:val="00D378D3"/>
    <w:rsid w:val="00D37E31"/>
    <w:rsid w:val="00D40149"/>
    <w:rsid w:val="00D40959"/>
    <w:rsid w:val="00D40A1E"/>
    <w:rsid w:val="00D40BE8"/>
    <w:rsid w:val="00D40D1E"/>
    <w:rsid w:val="00D410D7"/>
    <w:rsid w:val="00D415DC"/>
    <w:rsid w:val="00D41810"/>
    <w:rsid w:val="00D4185F"/>
    <w:rsid w:val="00D41E67"/>
    <w:rsid w:val="00D420F2"/>
    <w:rsid w:val="00D421DE"/>
    <w:rsid w:val="00D4222F"/>
    <w:rsid w:val="00D422BC"/>
    <w:rsid w:val="00D42665"/>
    <w:rsid w:val="00D42BB5"/>
    <w:rsid w:val="00D42FEF"/>
    <w:rsid w:val="00D434F0"/>
    <w:rsid w:val="00D4388D"/>
    <w:rsid w:val="00D44157"/>
    <w:rsid w:val="00D4448D"/>
    <w:rsid w:val="00D444F1"/>
    <w:rsid w:val="00D44700"/>
    <w:rsid w:val="00D44AB7"/>
    <w:rsid w:val="00D44BBF"/>
    <w:rsid w:val="00D44F29"/>
    <w:rsid w:val="00D44F65"/>
    <w:rsid w:val="00D451CD"/>
    <w:rsid w:val="00D4534D"/>
    <w:rsid w:val="00D4562E"/>
    <w:rsid w:val="00D45785"/>
    <w:rsid w:val="00D457DE"/>
    <w:rsid w:val="00D45910"/>
    <w:rsid w:val="00D4598D"/>
    <w:rsid w:val="00D45B8B"/>
    <w:rsid w:val="00D45C50"/>
    <w:rsid w:val="00D45F92"/>
    <w:rsid w:val="00D45F98"/>
    <w:rsid w:val="00D45FD1"/>
    <w:rsid w:val="00D46245"/>
    <w:rsid w:val="00D46653"/>
    <w:rsid w:val="00D46874"/>
    <w:rsid w:val="00D46A05"/>
    <w:rsid w:val="00D46A91"/>
    <w:rsid w:val="00D47062"/>
    <w:rsid w:val="00D471A6"/>
    <w:rsid w:val="00D47517"/>
    <w:rsid w:val="00D47554"/>
    <w:rsid w:val="00D47B22"/>
    <w:rsid w:val="00D47C82"/>
    <w:rsid w:val="00D5003A"/>
    <w:rsid w:val="00D50498"/>
    <w:rsid w:val="00D50655"/>
    <w:rsid w:val="00D507F4"/>
    <w:rsid w:val="00D50897"/>
    <w:rsid w:val="00D50E66"/>
    <w:rsid w:val="00D5165C"/>
    <w:rsid w:val="00D51689"/>
    <w:rsid w:val="00D51914"/>
    <w:rsid w:val="00D5215E"/>
    <w:rsid w:val="00D52224"/>
    <w:rsid w:val="00D52874"/>
    <w:rsid w:val="00D528C1"/>
    <w:rsid w:val="00D52C71"/>
    <w:rsid w:val="00D52ED5"/>
    <w:rsid w:val="00D52EFC"/>
    <w:rsid w:val="00D5301F"/>
    <w:rsid w:val="00D5393F"/>
    <w:rsid w:val="00D53AE4"/>
    <w:rsid w:val="00D53FDC"/>
    <w:rsid w:val="00D54000"/>
    <w:rsid w:val="00D5400E"/>
    <w:rsid w:val="00D5401D"/>
    <w:rsid w:val="00D54352"/>
    <w:rsid w:val="00D54500"/>
    <w:rsid w:val="00D54594"/>
    <w:rsid w:val="00D54686"/>
    <w:rsid w:val="00D547EC"/>
    <w:rsid w:val="00D547F9"/>
    <w:rsid w:val="00D54B3A"/>
    <w:rsid w:val="00D54FB9"/>
    <w:rsid w:val="00D5557A"/>
    <w:rsid w:val="00D55C0F"/>
    <w:rsid w:val="00D55E8C"/>
    <w:rsid w:val="00D562BA"/>
    <w:rsid w:val="00D5667D"/>
    <w:rsid w:val="00D5673A"/>
    <w:rsid w:val="00D56BC7"/>
    <w:rsid w:val="00D56CB8"/>
    <w:rsid w:val="00D56FC3"/>
    <w:rsid w:val="00D5729D"/>
    <w:rsid w:val="00D5735D"/>
    <w:rsid w:val="00D5756D"/>
    <w:rsid w:val="00D577BC"/>
    <w:rsid w:val="00D57D80"/>
    <w:rsid w:val="00D6061F"/>
    <w:rsid w:val="00D6078E"/>
    <w:rsid w:val="00D6083A"/>
    <w:rsid w:val="00D60B06"/>
    <w:rsid w:val="00D61243"/>
    <w:rsid w:val="00D6176C"/>
    <w:rsid w:val="00D617A0"/>
    <w:rsid w:val="00D61B59"/>
    <w:rsid w:val="00D61CBC"/>
    <w:rsid w:val="00D61E83"/>
    <w:rsid w:val="00D620AE"/>
    <w:rsid w:val="00D621E9"/>
    <w:rsid w:val="00D626ED"/>
    <w:rsid w:val="00D62D26"/>
    <w:rsid w:val="00D62DB9"/>
    <w:rsid w:val="00D6318D"/>
    <w:rsid w:val="00D631C7"/>
    <w:rsid w:val="00D6337B"/>
    <w:rsid w:val="00D634CC"/>
    <w:rsid w:val="00D640FC"/>
    <w:rsid w:val="00D6420B"/>
    <w:rsid w:val="00D642F1"/>
    <w:rsid w:val="00D643C2"/>
    <w:rsid w:val="00D6443E"/>
    <w:rsid w:val="00D64B12"/>
    <w:rsid w:val="00D64C34"/>
    <w:rsid w:val="00D64E41"/>
    <w:rsid w:val="00D65266"/>
    <w:rsid w:val="00D652FB"/>
    <w:rsid w:val="00D65731"/>
    <w:rsid w:val="00D6574C"/>
    <w:rsid w:val="00D657D6"/>
    <w:rsid w:val="00D65B23"/>
    <w:rsid w:val="00D665BE"/>
    <w:rsid w:val="00D668E5"/>
    <w:rsid w:val="00D66A82"/>
    <w:rsid w:val="00D66AAB"/>
    <w:rsid w:val="00D66C4A"/>
    <w:rsid w:val="00D66E30"/>
    <w:rsid w:val="00D66F54"/>
    <w:rsid w:val="00D67097"/>
    <w:rsid w:val="00D67435"/>
    <w:rsid w:val="00D67543"/>
    <w:rsid w:val="00D67544"/>
    <w:rsid w:val="00D675BE"/>
    <w:rsid w:val="00D67A40"/>
    <w:rsid w:val="00D7019C"/>
    <w:rsid w:val="00D70721"/>
    <w:rsid w:val="00D7080E"/>
    <w:rsid w:val="00D70880"/>
    <w:rsid w:val="00D70993"/>
    <w:rsid w:val="00D70FE4"/>
    <w:rsid w:val="00D716E1"/>
    <w:rsid w:val="00D71730"/>
    <w:rsid w:val="00D718E5"/>
    <w:rsid w:val="00D71BDE"/>
    <w:rsid w:val="00D71D82"/>
    <w:rsid w:val="00D71F73"/>
    <w:rsid w:val="00D72615"/>
    <w:rsid w:val="00D7271C"/>
    <w:rsid w:val="00D729B9"/>
    <w:rsid w:val="00D72BC3"/>
    <w:rsid w:val="00D72C67"/>
    <w:rsid w:val="00D72D2D"/>
    <w:rsid w:val="00D72D51"/>
    <w:rsid w:val="00D72F4C"/>
    <w:rsid w:val="00D733DA"/>
    <w:rsid w:val="00D7378D"/>
    <w:rsid w:val="00D73904"/>
    <w:rsid w:val="00D73A55"/>
    <w:rsid w:val="00D73A9B"/>
    <w:rsid w:val="00D73FD9"/>
    <w:rsid w:val="00D74069"/>
    <w:rsid w:val="00D7460D"/>
    <w:rsid w:val="00D74832"/>
    <w:rsid w:val="00D74DFC"/>
    <w:rsid w:val="00D75458"/>
    <w:rsid w:val="00D756D2"/>
    <w:rsid w:val="00D756E1"/>
    <w:rsid w:val="00D7574D"/>
    <w:rsid w:val="00D76108"/>
    <w:rsid w:val="00D76BF6"/>
    <w:rsid w:val="00D76F6E"/>
    <w:rsid w:val="00D773A3"/>
    <w:rsid w:val="00D7768C"/>
    <w:rsid w:val="00D7771E"/>
    <w:rsid w:val="00D7774C"/>
    <w:rsid w:val="00D779DC"/>
    <w:rsid w:val="00D77D02"/>
    <w:rsid w:val="00D77D79"/>
    <w:rsid w:val="00D77DC2"/>
    <w:rsid w:val="00D801CE"/>
    <w:rsid w:val="00D805D1"/>
    <w:rsid w:val="00D80874"/>
    <w:rsid w:val="00D8091C"/>
    <w:rsid w:val="00D81873"/>
    <w:rsid w:val="00D81A2A"/>
    <w:rsid w:val="00D81AF1"/>
    <w:rsid w:val="00D81F34"/>
    <w:rsid w:val="00D81FE8"/>
    <w:rsid w:val="00D8204A"/>
    <w:rsid w:val="00D83116"/>
    <w:rsid w:val="00D831DE"/>
    <w:rsid w:val="00D8335A"/>
    <w:rsid w:val="00D83601"/>
    <w:rsid w:val="00D83704"/>
    <w:rsid w:val="00D83937"/>
    <w:rsid w:val="00D8408E"/>
    <w:rsid w:val="00D84BD5"/>
    <w:rsid w:val="00D84D1E"/>
    <w:rsid w:val="00D84D6D"/>
    <w:rsid w:val="00D85121"/>
    <w:rsid w:val="00D851BB"/>
    <w:rsid w:val="00D85261"/>
    <w:rsid w:val="00D852DF"/>
    <w:rsid w:val="00D8534C"/>
    <w:rsid w:val="00D85717"/>
    <w:rsid w:val="00D86107"/>
    <w:rsid w:val="00D86216"/>
    <w:rsid w:val="00D865A5"/>
    <w:rsid w:val="00D8677C"/>
    <w:rsid w:val="00D8683E"/>
    <w:rsid w:val="00D868C6"/>
    <w:rsid w:val="00D86A7C"/>
    <w:rsid w:val="00D86BCB"/>
    <w:rsid w:val="00D870BE"/>
    <w:rsid w:val="00D871A9"/>
    <w:rsid w:val="00D8777F"/>
    <w:rsid w:val="00D877D7"/>
    <w:rsid w:val="00D87826"/>
    <w:rsid w:val="00D878F8"/>
    <w:rsid w:val="00D87FD9"/>
    <w:rsid w:val="00D900AC"/>
    <w:rsid w:val="00D90A66"/>
    <w:rsid w:val="00D916F0"/>
    <w:rsid w:val="00D91831"/>
    <w:rsid w:val="00D91F8F"/>
    <w:rsid w:val="00D92347"/>
    <w:rsid w:val="00D925AA"/>
    <w:rsid w:val="00D9283F"/>
    <w:rsid w:val="00D92A6C"/>
    <w:rsid w:val="00D930B0"/>
    <w:rsid w:val="00D930FA"/>
    <w:rsid w:val="00D93564"/>
    <w:rsid w:val="00D93593"/>
    <w:rsid w:val="00D936DA"/>
    <w:rsid w:val="00D93721"/>
    <w:rsid w:val="00D93A53"/>
    <w:rsid w:val="00D93B64"/>
    <w:rsid w:val="00D93FE0"/>
    <w:rsid w:val="00D94070"/>
    <w:rsid w:val="00D94108"/>
    <w:rsid w:val="00D942FA"/>
    <w:rsid w:val="00D943E4"/>
    <w:rsid w:val="00D94414"/>
    <w:rsid w:val="00D949DB"/>
    <w:rsid w:val="00D94CBA"/>
    <w:rsid w:val="00D94CC5"/>
    <w:rsid w:val="00D95061"/>
    <w:rsid w:val="00D95366"/>
    <w:rsid w:val="00D95483"/>
    <w:rsid w:val="00D955CB"/>
    <w:rsid w:val="00D95714"/>
    <w:rsid w:val="00D9598B"/>
    <w:rsid w:val="00D95C68"/>
    <w:rsid w:val="00D95F9E"/>
    <w:rsid w:val="00D9601E"/>
    <w:rsid w:val="00D96338"/>
    <w:rsid w:val="00D96552"/>
    <w:rsid w:val="00D969A8"/>
    <w:rsid w:val="00D96D8F"/>
    <w:rsid w:val="00D96EAE"/>
    <w:rsid w:val="00D97707"/>
    <w:rsid w:val="00D978BD"/>
    <w:rsid w:val="00D97C30"/>
    <w:rsid w:val="00D97D3B"/>
    <w:rsid w:val="00DA0838"/>
    <w:rsid w:val="00DA0AE2"/>
    <w:rsid w:val="00DA0F03"/>
    <w:rsid w:val="00DA0FA3"/>
    <w:rsid w:val="00DA1250"/>
    <w:rsid w:val="00DA14E4"/>
    <w:rsid w:val="00DA1695"/>
    <w:rsid w:val="00DA16F1"/>
    <w:rsid w:val="00DA21B0"/>
    <w:rsid w:val="00DA2347"/>
    <w:rsid w:val="00DA2626"/>
    <w:rsid w:val="00DA2795"/>
    <w:rsid w:val="00DA27BA"/>
    <w:rsid w:val="00DA29F0"/>
    <w:rsid w:val="00DA2CF4"/>
    <w:rsid w:val="00DA2D0C"/>
    <w:rsid w:val="00DA34CA"/>
    <w:rsid w:val="00DA380F"/>
    <w:rsid w:val="00DA3A8A"/>
    <w:rsid w:val="00DA3F0C"/>
    <w:rsid w:val="00DA40E6"/>
    <w:rsid w:val="00DA4205"/>
    <w:rsid w:val="00DA422D"/>
    <w:rsid w:val="00DA4274"/>
    <w:rsid w:val="00DA44DA"/>
    <w:rsid w:val="00DA4AE1"/>
    <w:rsid w:val="00DA4E44"/>
    <w:rsid w:val="00DA529A"/>
    <w:rsid w:val="00DA5847"/>
    <w:rsid w:val="00DA598B"/>
    <w:rsid w:val="00DA59ED"/>
    <w:rsid w:val="00DA5D7A"/>
    <w:rsid w:val="00DA5E4F"/>
    <w:rsid w:val="00DA61F8"/>
    <w:rsid w:val="00DA6271"/>
    <w:rsid w:val="00DA641A"/>
    <w:rsid w:val="00DA6486"/>
    <w:rsid w:val="00DA64DF"/>
    <w:rsid w:val="00DA6550"/>
    <w:rsid w:val="00DA65AF"/>
    <w:rsid w:val="00DA6829"/>
    <w:rsid w:val="00DA6872"/>
    <w:rsid w:val="00DA689D"/>
    <w:rsid w:val="00DA6A25"/>
    <w:rsid w:val="00DA738E"/>
    <w:rsid w:val="00DA7691"/>
    <w:rsid w:val="00DA7A8F"/>
    <w:rsid w:val="00DA7B6A"/>
    <w:rsid w:val="00DA7F3B"/>
    <w:rsid w:val="00DA7F3E"/>
    <w:rsid w:val="00DB0345"/>
    <w:rsid w:val="00DB0666"/>
    <w:rsid w:val="00DB0831"/>
    <w:rsid w:val="00DB08BD"/>
    <w:rsid w:val="00DB0B82"/>
    <w:rsid w:val="00DB11A4"/>
    <w:rsid w:val="00DB15DD"/>
    <w:rsid w:val="00DB1617"/>
    <w:rsid w:val="00DB1BF3"/>
    <w:rsid w:val="00DB1DD6"/>
    <w:rsid w:val="00DB2292"/>
    <w:rsid w:val="00DB2307"/>
    <w:rsid w:val="00DB25C9"/>
    <w:rsid w:val="00DB2AAC"/>
    <w:rsid w:val="00DB2CD2"/>
    <w:rsid w:val="00DB34F9"/>
    <w:rsid w:val="00DB36F7"/>
    <w:rsid w:val="00DB378B"/>
    <w:rsid w:val="00DB37FA"/>
    <w:rsid w:val="00DB39DD"/>
    <w:rsid w:val="00DB3C6F"/>
    <w:rsid w:val="00DB463A"/>
    <w:rsid w:val="00DB4D76"/>
    <w:rsid w:val="00DB5313"/>
    <w:rsid w:val="00DB554C"/>
    <w:rsid w:val="00DB5705"/>
    <w:rsid w:val="00DB5717"/>
    <w:rsid w:val="00DB5AC6"/>
    <w:rsid w:val="00DB5AD5"/>
    <w:rsid w:val="00DB60C3"/>
    <w:rsid w:val="00DB6413"/>
    <w:rsid w:val="00DB65A6"/>
    <w:rsid w:val="00DB6755"/>
    <w:rsid w:val="00DB6BC0"/>
    <w:rsid w:val="00DB6FD0"/>
    <w:rsid w:val="00DB7131"/>
    <w:rsid w:val="00DB725B"/>
    <w:rsid w:val="00DB748A"/>
    <w:rsid w:val="00DB7604"/>
    <w:rsid w:val="00DB7788"/>
    <w:rsid w:val="00DB7810"/>
    <w:rsid w:val="00DB7EBB"/>
    <w:rsid w:val="00DB7FCC"/>
    <w:rsid w:val="00DC01C3"/>
    <w:rsid w:val="00DC02F3"/>
    <w:rsid w:val="00DC0AE0"/>
    <w:rsid w:val="00DC0B07"/>
    <w:rsid w:val="00DC0DF7"/>
    <w:rsid w:val="00DC1012"/>
    <w:rsid w:val="00DC11C5"/>
    <w:rsid w:val="00DC13A6"/>
    <w:rsid w:val="00DC1734"/>
    <w:rsid w:val="00DC18CF"/>
    <w:rsid w:val="00DC18F2"/>
    <w:rsid w:val="00DC1996"/>
    <w:rsid w:val="00DC1AC3"/>
    <w:rsid w:val="00DC1E74"/>
    <w:rsid w:val="00DC1EED"/>
    <w:rsid w:val="00DC2060"/>
    <w:rsid w:val="00DC21BB"/>
    <w:rsid w:val="00DC2259"/>
    <w:rsid w:val="00DC2306"/>
    <w:rsid w:val="00DC2599"/>
    <w:rsid w:val="00DC26E5"/>
    <w:rsid w:val="00DC2724"/>
    <w:rsid w:val="00DC29F6"/>
    <w:rsid w:val="00DC2D86"/>
    <w:rsid w:val="00DC31E3"/>
    <w:rsid w:val="00DC325E"/>
    <w:rsid w:val="00DC371C"/>
    <w:rsid w:val="00DC42FA"/>
    <w:rsid w:val="00DC45EC"/>
    <w:rsid w:val="00DC4ACD"/>
    <w:rsid w:val="00DC4C11"/>
    <w:rsid w:val="00DC4F5B"/>
    <w:rsid w:val="00DC529F"/>
    <w:rsid w:val="00DC545E"/>
    <w:rsid w:val="00DC5670"/>
    <w:rsid w:val="00DC5CE2"/>
    <w:rsid w:val="00DC5D0B"/>
    <w:rsid w:val="00DC65CF"/>
    <w:rsid w:val="00DC67C9"/>
    <w:rsid w:val="00DC6C8C"/>
    <w:rsid w:val="00DC6E8F"/>
    <w:rsid w:val="00DC7160"/>
    <w:rsid w:val="00DC7757"/>
    <w:rsid w:val="00DC789F"/>
    <w:rsid w:val="00DC7966"/>
    <w:rsid w:val="00DC7A17"/>
    <w:rsid w:val="00DC7A2C"/>
    <w:rsid w:val="00DC7CB5"/>
    <w:rsid w:val="00DD0488"/>
    <w:rsid w:val="00DD0738"/>
    <w:rsid w:val="00DD0BD7"/>
    <w:rsid w:val="00DD0F76"/>
    <w:rsid w:val="00DD115A"/>
    <w:rsid w:val="00DD1178"/>
    <w:rsid w:val="00DD11BD"/>
    <w:rsid w:val="00DD121E"/>
    <w:rsid w:val="00DD12B4"/>
    <w:rsid w:val="00DD14C5"/>
    <w:rsid w:val="00DD1F66"/>
    <w:rsid w:val="00DD1F7B"/>
    <w:rsid w:val="00DD2006"/>
    <w:rsid w:val="00DD21E1"/>
    <w:rsid w:val="00DD2279"/>
    <w:rsid w:val="00DD24B2"/>
    <w:rsid w:val="00DD2BD2"/>
    <w:rsid w:val="00DD2FC4"/>
    <w:rsid w:val="00DD3223"/>
    <w:rsid w:val="00DD32D6"/>
    <w:rsid w:val="00DD36FC"/>
    <w:rsid w:val="00DD3AB9"/>
    <w:rsid w:val="00DD3B43"/>
    <w:rsid w:val="00DD3DA8"/>
    <w:rsid w:val="00DD3EB8"/>
    <w:rsid w:val="00DD4032"/>
    <w:rsid w:val="00DD4200"/>
    <w:rsid w:val="00DD4650"/>
    <w:rsid w:val="00DD4662"/>
    <w:rsid w:val="00DD4F14"/>
    <w:rsid w:val="00DD52D8"/>
    <w:rsid w:val="00DD54CF"/>
    <w:rsid w:val="00DD5AFC"/>
    <w:rsid w:val="00DD5BC3"/>
    <w:rsid w:val="00DD5C48"/>
    <w:rsid w:val="00DD5D08"/>
    <w:rsid w:val="00DD616C"/>
    <w:rsid w:val="00DD655E"/>
    <w:rsid w:val="00DD6BFF"/>
    <w:rsid w:val="00DD6F0A"/>
    <w:rsid w:val="00DD6FD7"/>
    <w:rsid w:val="00DD7064"/>
    <w:rsid w:val="00DD7145"/>
    <w:rsid w:val="00DD7331"/>
    <w:rsid w:val="00DD7472"/>
    <w:rsid w:val="00DD762A"/>
    <w:rsid w:val="00DD7732"/>
    <w:rsid w:val="00DD798D"/>
    <w:rsid w:val="00DD7BEA"/>
    <w:rsid w:val="00DD7D35"/>
    <w:rsid w:val="00DE0327"/>
    <w:rsid w:val="00DE04FE"/>
    <w:rsid w:val="00DE0745"/>
    <w:rsid w:val="00DE08B1"/>
    <w:rsid w:val="00DE08FD"/>
    <w:rsid w:val="00DE0A56"/>
    <w:rsid w:val="00DE0B64"/>
    <w:rsid w:val="00DE1025"/>
    <w:rsid w:val="00DE107E"/>
    <w:rsid w:val="00DE1538"/>
    <w:rsid w:val="00DE1A76"/>
    <w:rsid w:val="00DE20BB"/>
    <w:rsid w:val="00DE276C"/>
    <w:rsid w:val="00DE2800"/>
    <w:rsid w:val="00DE2942"/>
    <w:rsid w:val="00DE2BAF"/>
    <w:rsid w:val="00DE30F3"/>
    <w:rsid w:val="00DE33CA"/>
    <w:rsid w:val="00DE348C"/>
    <w:rsid w:val="00DE34B2"/>
    <w:rsid w:val="00DE3646"/>
    <w:rsid w:val="00DE3785"/>
    <w:rsid w:val="00DE379A"/>
    <w:rsid w:val="00DE3A76"/>
    <w:rsid w:val="00DE3F41"/>
    <w:rsid w:val="00DE445E"/>
    <w:rsid w:val="00DE4781"/>
    <w:rsid w:val="00DE49D4"/>
    <w:rsid w:val="00DE4A94"/>
    <w:rsid w:val="00DE4B71"/>
    <w:rsid w:val="00DE4D20"/>
    <w:rsid w:val="00DE55D9"/>
    <w:rsid w:val="00DE567C"/>
    <w:rsid w:val="00DE5780"/>
    <w:rsid w:val="00DE5820"/>
    <w:rsid w:val="00DE5E21"/>
    <w:rsid w:val="00DE619E"/>
    <w:rsid w:val="00DE61BF"/>
    <w:rsid w:val="00DE6297"/>
    <w:rsid w:val="00DE6599"/>
    <w:rsid w:val="00DE69C2"/>
    <w:rsid w:val="00DE69FD"/>
    <w:rsid w:val="00DE6B12"/>
    <w:rsid w:val="00DE6C40"/>
    <w:rsid w:val="00DE6DE3"/>
    <w:rsid w:val="00DE6E44"/>
    <w:rsid w:val="00DE76F5"/>
    <w:rsid w:val="00DE7812"/>
    <w:rsid w:val="00DE7BEB"/>
    <w:rsid w:val="00DE7E27"/>
    <w:rsid w:val="00DE7EC6"/>
    <w:rsid w:val="00DF021C"/>
    <w:rsid w:val="00DF025A"/>
    <w:rsid w:val="00DF02E6"/>
    <w:rsid w:val="00DF0321"/>
    <w:rsid w:val="00DF0554"/>
    <w:rsid w:val="00DF06D9"/>
    <w:rsid w:val="00DF0937"/>
    <w:rsid w:val="00DF0A54"/>
    <w:rsid w:val="00DF1116"/>
    <w:rsid w:val="00DF113A"/>
    <w:rsid w:val="00DF121D"/>
    <w:rsid w:val="00DF13C3"/>
    <w:rsid w:val="00DF14E8"/>
    <w:rsid w:val="00DF1669"/>
    <w:rsid w:val="00DF1BE8"/>
    <w:rsid w:val="00DF1C5E"/>
    <w:rsid w:val="00DF1CC3"/>
    <w:rsid w:val="00DF1E89"/>
    <w:rsid w:val="00DF25D1"/>
    <w:rsid w:val="00DF26F2"/>
    <w:rsid w:val="00DF270E"/>
    <w:rsid w:val="00DF2763"/>
    <w:rsid w:val="00DF28E4"/>
    <w:rsid w:val="00DF29D9"/>
    <w:rsid w:val="00DF2BE6"/>
    <w:rsid w:val="00DF2DFF"/>
    <w:rsid w:val="00DF3274"/>
    <w:rsid w:val="00DF3451"/>
    <w:rsid w:val="00DF38B8"/>
    <w:rsid w:val="00DF3904"/>
    <w:rsid w:val="00DF3A9D"/>
    <w:rsid w:val="00DF3B39"/>
    <w:rsid w:val="00DF3CBA"/>
    <w:rsid w:val="00DF3D60"/>
    <w:rsid w:val="00DF3ECC"/>
    <w:rsid w:val="00DF463F"/>
    <w:rsid w:val="00DF483E"/>
    <w:rsid w:val="00DF49ED"/>
    <w:rsid w:val="00DF4A26"/>
    <w:rsid w:val="00DF4B85"/>
    <w:rsid w:val="00DF4B91"/>
    <w:rsid w:val="00DF4DA6"/>
    <w:rsid w:val="00DF5113"/>
    <w:rsid w:val="00DF51BC"/>
    <w:rsid w:val="00DF5873"/>
    <w:rsid w:val="00DF58AF"/>
    <w:rsid w:val="00DF5B0B"/>
    <w:rsid w:val="00DF611D"/>
    <w:rsid w:val="00DF6300"/>
    <w:rsid w:val="00DF6614"/>
    <w:rsid w:val="00DF66FF"/>
    <w:rsid w:val="00DF6AA2"/>
    <w:rsid w:val="00DF6C2C"/>
    <w:rsid w:val="00DF6DEA"/>
    <w:rsid w:val="00DF6F6C"/>
    <w:rsid w:val="00DF7E27"/>
    <w:rsid w:val="00DF7E7B"/>
    <w:rsid w:val="00DF7F59"/>
    <w:rsid w:val="00E000A3"/>
    <w:rsid w:val="00E0020C"/>
    <w:rsid w:val="00E0068A"/>
    <w:rsid w:val="00E0073D"/>
    <w:rsid w:val="00E00743"/>
    <w:rsid w:val="00E0075A"/>
    <w:rsid w:val="00E00C18"/>
    <w:rsid w:val="00E00E1E"/>
    <w:rsid w:val="00E00F41"/>
    <w:rsid w:val="00E013CB"/>
    <w:rsid w:val="00E016B4"/>
    <w:rsid w:val="00E01775"/>
    <w:rsid w:val="00E019A2"/>
    <w:rsid w:val="00E019BC"/>
    <w:rsid w:val="00E01A36"/>
    <w:rsid w:val="00E01B0C"/>
    <w:rsid w:val="00E01FB7"/>
    <w:rsid w:val="00E0209B"/>
    <w:rsid w:val="00E0268D"/>
    <w:rsid w:val="00E02B5E"/>
    <w:rsid w:val="00E02CD6"/>
    <w:rsid w:val="00E02E6A"/>
    <w:rsid w:val="00E02FC0"/>
    <w:rsid w:val="00E03204"/>
    <w:rsid w:val="00E0332F"/>
    <w:rsid w:val="00E03B12"/>
    <w:rsid w:val="00E03E75"/>
    <w:rsid w:val="00E03E78"/>
    <w:rsid w:val="00E03F26"/>
    <w:rsid w:val="00E043E6"/>
    <w:rsid w:val="00E0442C"/>
    <w:rsid w:val="00E04D9B"/>
    <w:rsid w:val="00E04E6B"/>
    <w:rsid w:val="00E04F48"/>
    <w:rsid w:val="00E0530B"/>
    <w:rsid w:val="00E05949"/>
    <w:rsid w:val="00E0597D"/>
    <w:rsid w:val="00E05CE0"/>
    <w:rsid w:val="00E06291"/>
    <w:rsid w:val="00E065CE"/>
    <w:rsid w:val="00E065EB"/>
    <w:rsid w:val="00E06F72"/>
    <w:rsid w:val="00E07733"/>
    <w:rsid w:val="00E077D5"/>
    <w:rsid w:val="00E07B11"/>
    <w:rsid w:val="00E07B3C"/>
    <w:rsid w:val="00E07C95"/>
    <w:rsid w:val="00E07F84"/>
    <w:rsid w:val="00E10081"/>
    <w:rsid w:val="00E101C9"/>
    <w:rsid w:val="00E10225"/>
    <w:rsid w:val="00E10226"/>
    <w:rsid w:val="00E10292"/>
    <w:rsid w:val="00E102F4"/>
    <w:rsid w:val="00E10435"/>
    <w:rsid w:val="00E1099B"/>
    <w:rsid w:val="00E10AA8"/>
    <w:rsid w:val="00E10C32"/>
    <w:rsid w:val="00E10C43"/>
    <w:rsid w:val="00E10C83"/>
    <w:rsid w:val="00E10E72"/>
    <w:rsid w:val="00E10FC8"/>
    <w:rsid w:val="00E11054"/>
    <w:rsid w:val="00E11302"/>
    <w:rsid w:val="00E11458"/>
    <w:rsid w:val="00E115D9"/>
    <w:rsid w:val="00E11AA9"/>
    <w:rsid w:val="00E11C10"/>
    <w:rsid w:val="00E11E1A"/>
    <w:rsid w:val="00E11E7E"/>
    <w:rsid w:val="00E11FA0"/>
    <w:rsid w:val="00E12222"/>
    <w:rsid w:val="00E122A9"/>
    <w:rsid w:val="00E12513"/>
    <w:rsid w:val="00E1273A"/>
    <w:rsid w:val="00E128D4"/>
    <w:rsid w:val="00E12B18"/>
    <w:rsid w:val="00E12BC6"/>
    <w:rsid w:val="00E12FF0"/>
    <w:rsid w:val="00E13469"/>
    <w:rsid w:val="00E14092"/>
    <w:rsid w:val="00E1419E"/>
    <w:rsid w:val="00E1435E"/>
    <w:rsid w:val="00E14493"/>
    <w:rsid w:val="00E14947"/>
    <w:rsid w:val="00E14A5F"/>
    <w:rsid w:val="00E14B9E"/>
    <w:rsid w:val="00E15174"/>
    <w:rsid w:val="00E154D3"/>
    <w:rsid w:val="00E1567E"/>
    <w:rsid w:val="00E1569F"/>
    <w:rsid w:val="00E157A9"/>
    <w:rsid w:val="00E15974"/>
    <w:rsid w:val="00E15A5C"/>
    <w:rsid w:val="00E15C83"/>
    <w:rsid w:val="00E15DF2"/>
    <w:rsid w:val="00E15FBA"/>
    <w:rsid w:val="00E1614B"/>
    <w:rsid w:val="00E16492"/>
    <w:rsid w:val="00E169D0"/>
    <w:rsid w:val="00E16AC7"/>
    <w:rsid w:val="00E16F2C"/>
    <w:rsid w:val="00E17211"/>
    <w:rsid w:val="00E1761F"/>
    <w:rsid w:val="00E17BC6"/>
    <w:rsid w:val="00E200E6"/>
    <w:rsid w:val="00E203F1"/>
    <w:rsid w:val="00E20402"/>
    <w:rsid w:val="00E20F87"/>
    <w:rsid w:val="00E21E08"/>
    <w:rsid w:val="00E21E12"/>
    <w:rsid w:val="00E222BC"/>
    <w:rsid w:val="00E22687"/>
    <w:rsid w:val="00E22737"/>
    <w:rsid w:val="00E2273D"/>
    <w:rsid w:val="00E2274F"/>
    <w:rsid w:val="00E22870"/>
    <w:rsid w:val="00E228D2"/>
    <w:rsid w:val="00E22A13"/>
    <w:rsid w:val="00E23263"/>
    <w:rsid w:val="00E2340B"/>
    <w:rsid w:val="00E2388D"/>
    <w:rsid w:val="00E23A52"/>
    <w:rsid w:val="00E23B72"/>
    <w:rsid w:val="00E23DE6"/>
    <w:rsid w:val="00E24A6A"/>
    <w:rsid w:val="00E24AAE"/>
    <w:rsid w:val="00E24EE1"/>
    <w:rsid w:val="00E25162"/>
    <w:rsid w:val="00E25999"/>
    <w:rsid w:val="00E25D0E"/>
    <w:rsid w:val="00E2634A"/>
    <w:rsid w:val="00E266F2"/>
    <w:rsid w:val="00E2687C"/>
    <w:rsid w:val="00E26AF1"/>
    <w:rsid w:val="00E26B1E"/>
    <w:rsid w:val="00E26CD6"/>
    <w:rsid w:val="00E26CF6"/>
    <w:rsid w:val="00E26E53"/>
    <w:rsid w:val="00E26EB3"/>
    <w:rsid w:val="00E26EF2"/>
    <w:rsid w:val="00E26F0A"/>
    <w:rsid w:val="00E26F29"/>
    <w:rsid w:val="00E271CC"/>
    <w:rsid w:val="00E276F1"/>
    <w:rsid w:val="00E2779B"/>
    <w:rsid w:val="00E27AB2"/>
    <w:rsid w:val="00E27CC2"/>
    <w:rsid w:val="00E27D51"/>
    <w:rsid w:val="00E27D61"/>
    <w:rsid w:val="00E27D73"/>
    <w:rsid w:val="00E301D8"/>
    <w:rsid w:val="00E30BE8"/>
    <w:rsid w:val="00E30D29"/>
    <w:rsid w:val="00E315C5"/>
    <w:rsid w:val="00E3179E"/>
    <w:rsid w:val="00E32241"/>
    <w:rsid w:val="00E32435"/>
    <w:rsid w:val="00E32722"/>
    <w:rsid w:val="00E3272C"/>
    <w:rsid w:val="00E3287E"/>
    <w:rsid w:val="00E32D8A"/>
    <w:rsid w:val="00E32E50"/>
    <w:rsid w:val="00E33136"/>
    <w:rsid w:val="00E3315F"/>
    <w:rsid w:val="00E3320E"/>
    <w:rsid w:val="00E3355A"/>
    <w:rsid w:val="00E3372E"/>
    <w:rsid w:val="00E3380F"/>
    <w:rsid w:val="00E33A0E"/>
    <w:rsid w:val="00E34290"/>
    <w:rsid w:val="00E34502"/>
    <w:rsid w:val="00E34C4F"/>
    <w:rsid w:val="00E34D5E"/>
    <w:rsid w:val="00E34F37"/>
    <w:rsid w:val="00E35219"/>
    <w:rsid w:val="00E35482"/>
    <w:rsid w:val="00E354F0"/>
    <w:rsid w:val="00E35A19"/>
    <w:rsid w:val="00E35D9C"/>
    <w:rsid w:val="00E35F4E"/>
    <w:rsid w:val="00E360B3"/>
    <w:rsid w:val="00E363A3"/>
    <w:rsid w:val="00E368AA"/>
    <w:rsid w:val="00E36C29"/>
    <w:rsid w:val="00E374C3"/>
    <w:rsid w:val="00E37D88"/>
    <w:rsid w:val="00E400A5"/>
    <w:rsid w:val="00E40362"/>
    <w:rsid w:val="00E403B2"/>
    <w:rsid w:val="00E40BC8"/>
    <w:rsid w:val="00E40C01"/>
    <w:rsid w:val="00E40D18"/>
    <w:rsid w:val="00E4115D"/>
    <w:rsid w:val="00E4116C"/>
    <w:rsid w:val="00E413D7"/>
    <w:rsid w:val="00E4141B"/>
    <w:rsid w:val="00E41555"/>
    <w:rsid w:val="00E417A2"/>
    <w:rsid w:val="00E41B2E"/>
    <w:rsid w:val="00E41BA3"/>
    <w:rsid w:val="00E42AF2"/>
    <w:rsid w:val="00E42B83"/>
    <w:rsid w:val="00E43896"/>
    <w:rsid w:val="00E44070"/>
    <w:rsid w:val="00E442DD"/>
    <w:rsid w:val="00E44872"/>
    <w:rsid w:val="00E449A8"/>
    <w:rsid w:val="00E449EA"/>
    <w:rsid w:val="00E44E1A"/>
    <w:rsid w:val="00E44EEA"/>
    <w:rsid w:val="00E44F1A"/>
    <w:rsid w:val="00E4522C"/>
    <w:rsid w:val="00E452E8"/>
    <w:rsid w:val="00E452EB"/>
    <w:rsid w:val="00E4532F"/>
    <w:rsid w:val="00E45561"/>
    <w:rsid w:val="00E456B1"/>
    <w:rsid w:val="00E4599E"/>
    <w:rsid w:val="00E459F9"/>
    <w:rsid w:val="00E45FBC"/>
    <w:rsid w:val="00E4600B"/>
    <w:rsid w:val="00E4603E"/>
    <w:rsid w:val="00E46794"/>
    <w:rsid w:val="00E467EC"/>
    <w:rsid w:val="00E46CBF"/>
    <w:rsid w:val="00E46CDD"/>
    <w:rsid w:val="00E46E15"/>
    <w:rsid w:val="00E47368"/>
    <w:rsid w:val="00E474FE"/>
    <w:rsid w:val="00E475B9"/>
    <w:rsid w:val="00E47959"/>
    <w:rsid w:val="00E47AF2"/>
    <w:rsid w:val="00E47CE0"/>
    <w:rsid w:val="00E47DBE"/>
    <w:rsid w:val="00E500E6"/>
    <w:rsid w:val="00E5052F"/>
    <w:rsid w:val="00E5098A"/>
    <w:rsid w:val="00E517C2"/>
    <w:rsid w:val="00E51C6D"/>
    <w:rsid w:val="00E51D75"/>
    <w:rsid w:val="00E520D0"/>
    <w:rsid w:val="00E5216A"/>
    <w:rsid w:val="00E5247D"/>
    <w:rsid w:val="00E52767"/>
    <w:rsid w:val="00E52BEF"/>
    <w:rsid w:val="00E52E53"/>
    <w:rsid w:val="00E53120"/>
    <w:rsid w:val="00E5339E"/>
    <w:rsid w:val="00E5344E"/>
    <w:rsid w:val="00E536D5"/>
    <w:rsid w:val="00E54519"/>
    <w:rsid w:val="00E5463E"/>
    <w:rsid w:val="00E546CB"/>
    <w:rsid w:val="00E54B62"/>
    <w:rsid w:val="00E54BA0"/>
    <w:rsid w:val="00E54EBB"/>
    <w:rsid w:val="00E552DB"/>
    <w:rsid w:val="00E555C9"/>
    <w:rsid w:val="00E56513"/>
    <w:rsid w:val="00E569F8"/>
    <w:rsid w:val="00E56CD6"/>
    <w:rsid w:val="00E56E05"/>
    <w:rsid w:val="00E56F87"/>
    <w:rsid w:val="00E56FD0"/>
    <w:rsid w:val="00E57728"/>
    <w:rsid w:val="00E57AA7"/>
    <w:rsid w:val="00E57CA1"/>
    <w:rsid w:val="00E57DAB"/>
    <w:rsid w:val="00E604B9"/>
    <w:rsid w:val="00E605E2"/>
    <w:rsid w:val="00E60601"/>
    <w:rsid w:val="00E607EB"/>
    <w:rsid w:val="00E60EC8"/>
    <w:rsid w:val="00E611C9"/>
    <w:rsid w:val="00E6182F"/>
    <w:rsid w:val="00E61B11"/>
    <w:rsid w:val="00E61F89"/>
    <w:rsid w:val="00E621AE"/>
    <w:rsid w:val="00E6247B"/>
    <w:rsid w:val="00E628A0"/>
    <w:rsid w:val="00E62E84"/>
    <w:rsid w:val="00E6301A"/>
    <w:rsid w:val="00E635B6"/>
    <w:rsid w:val="00E63804"/>
    <w:rsid w:val="00E639F8"/>
    <w:rsid w:val="00E63A24"/>
    <w:rsid w:val="00E63C2D"/>
    <w:rsid w:val="00E64217"/>
    <w:rsid w:val="00E642A2"/>
    <w:rsid w:val="00E64817"/>
    <w:rsid w:val="00E64894"/>
    <w:rsid w:val="00E64D2A"/>
    <w:rsid w:val="00E64E2B"/>
    <w:rsid w:val="00E6506D"/>
    <w:rsid w:val="00E65140"/>
    <w:rsid w:val="00E652B1"/>
    <w:rsid w:val="00E65BC7"/>
    <w:rsid w:val="00E65C2F"/>
    <w:rsid w:val="00E65D79"/>
    <w:rsid w:val="00E66232"/>
    <w:rsid w:val="00E66489"/>
    <w:rsid w:val="00E664F7"/>
    <w:rsid w:val="00E66566"/>
    <w:rsid w:val="00E66DA2"/>
    <w:rsid w:val="00E67001"/>
    <w:rsid w:val="00E67498"/>
    <w:rsid w:val="00E67741"/>
    <w:rsid w:val="00E67941"/>
    <w:rsid w:val="00E67A50"/>
    <w:rsid w:val="00E67C61"/>
    <w:rsid w:val="00E67F5F"/>
    <w:rsid w:val="00E702A8"/>
    <w:rsid w:val="00E70455"/>
    <w:rsid w:val="00E7070D"/>
    <w:rsid w:val="00E707A3"/>
    <w:rsid w:val="00E70CD1"/>
    <w:rsid w:val="00E7110E"/>
    <w:rsid w:val="00E715AA"/>
    <w:rsid w:val="00E715F0"/>
    <w:rsid w:val="00E716F9"/>
    <w:rsid w:val="00E717B1"/>
    <w:rsid w:val="00E717D2"/>
    <w:rsid w:val="00E71904"/>
    <w:rsid w:val="00E72040"/>
    <w:rsid w:val="00E726AC"/>
    <w:rsid w:val="00E72A67"/>
    <w:rsid w:val="00E72D6E"/>
    <w:rsid w:val="00E73018"/>
    <w:rsid w:val="00E7319E"/>
    <w:rsid w:val="00E732DD"/>
    <w:rsid w:val="00E733E1"/>
    <w:rsid w:val="00E733E9"/>
    <w:rsid w:val="00E735EF"/>
    <w:rsid w:val="00E73653"/>
    <w:rsid w:val="00E73748"/>
    <w:rsid w:val="00E73773"/>
    <w:rsid w:val="00E7386F"/>
    <w:rsid w:val="00E738B9"/>
    <w:rsid w:val="00E73C54"/>
    <w:rsid w:val="00E73DCB"/>
    <w:rsid w:val="00E7443F"/>
    <w:rsid w:val="00E74491"/>
    <w:rsid w:val="00E74541"/>
    <w:rsid w:val="00E7470A"/>
    <w:rsid w:val="00E74743"/>
    <w:rsid w:val="00E74776"/>
    <w:rsid w:val="00E7484F"/>
    <w:rsid w:val="00E74976"/>
    <w:rsid w:val="00E749A5"/>
    <w:rsid w:val="00E749BE"/>
    <w:rsid w:val="00E74CCD"/>
    <w:rsid w:val="00E74D06"/>
    <w:rsid w:val="00E752CB"/>
    <w:rsid w:val="00E7541E"/>
    <w:rsid w:val="00E75529"/>
    <w:rsid w:val="00E7574A"/>
    <w:rsid w:val="00E759C9"/>
    <w:rsid w:val="00E75A02"/>
    <w:rsid w:val="00E75E0D"/>
    <w:rsid w:val="00E75E3A"/>
    <w:rsid w:val="00E76099"/>
    <w:rsid w:val="00E76827"/>
    <w:rsid w:val="00E769B6"/>
    <w:rsid w:val="00E76D2C"/>
    <w:rsid w:val="00E76E59"/>
    <w:rsid w:val="00E770BD"/>
    <w:rsid w:val="00E773AC"/>
    <w:rsid w:val="00E7740E"/>
    <w:rsid w:val="00E77536"/>
    <w:rsid w:val="00E77582"/>
    <w:rsid w:val="00E77F2F"/>
    <w:rsid w:val="00E77FE7"/>
    <w:rsid w:val="00E802CC"/>
    <w:rsid w:val="00E80448"/>
    <w:rsid w:val="00E8057D"/>
    <w:rsid w:val="00E805F9"/>
    <w:rsid w:val="00E8082D"/>
    <w:rsid w:val="00E8090E"/>
    <w:rsid w:val="00E8091C"/>
    <w:rsid w:val="00E815DE"/>
    <w:rsid w:val="00E81A33"/>
    <w:rsid w:val="00E822CB"/>
    <w:rsid w:val="00E825E3"/>
    <w:rsid w:val="00E827B6"/>
    <w:rsid w:val="00E82903"/>
    <w:rsid w:val="00E82A1D"/>
    <w:rsid w:val="00E82BB4"/>
    <w:rsid w:val="00E82BD9"/>
    <w:rsid w:val="00E82D1F"/>
    <w:rsid w:val="00E82F27"/>
    <w:rsid w:val="00E83426"/>
    <w:rsid w:val="00E83558"/>
    <w:rsid w:val="00E83AFB"/>
    <w:rsid w:val="00E83C00"/>
    <w:rsid w:val="00E83F67"/>
    <w:rsid w:val="00E84539"/>
    <w:rsid w:val="00E84758"/>
    <w:rsid w:val="00E84790"/>
    <w:rsid w:val="00E849DB"/>
    <w:rsid w:val="00E84AC7"/>
    <w:rsid w:val="00E85442"/>
    <w:rsid w:val="00E855C3"/>
    <w:rsid w:val="00E85713"/>
    <w:rsid w:val="00E857A7"/>
    <w:rsid w:val="00E863F6"/>
    <w:rsid w:val="00E86401"/>
    <w:rsid w:val="00E865CF"/>
    <w:rsid w:val="00E866FF"/>
    <w:rsid w:val="00E8692C"/>
    <w:rsid w:val="00E86B17"/>
    <w:rsid w:val="00E8743B"/>
    <w:rsid w:val="00E87459"/>
    <w:rsid w:val="00E87570"/>
    <w:rsid w:val="00E87F70"/>
    <w:rsid w:val="00E87FF0"/>
    <w:rsid w:val="00E90135"/>
    <w:rsid w:val="00E9030B"/>
    <w:rsid w:val="00E90632"/>
    <w:rsid w:val="00E907DE"/>
    <w:rsid w:val="00E908C1"/>
    <w:rsid w:val="00E908C3"/>
    <w:rsid w:val="00E90BF3"/>
    <w:rsid w:val="00E90CBF"/>
    <w:rsid w:val="00E90E89"/>
    <w:rsid w:val="00E90F71"/>
    <w:rsid w:val="00E9101B"/>
    <w:rsid w:val="00E91945"/>
    <w:rsid w:val="00E919AE"/>
    <w:rsid w:val="00E91A8A"/>
    <w:rsid w:val="00E91AA6"/>
    <w:rsid w:val="00E91CDB"/>
    <w:rsid w:val="00E91E32"/>
    <w:rsid w:val="00E91F62"/>
    <w:rsid w:val="00E91FC2"/>
    <w:rsid w:val="00E92473"/>
    <w:rsid w:val="00E926AE"/>
    <w:rsid w:val="00E927EC"/>
    <w:rsid w:val="00E92835"/>
    <w:rsid w:val="00E92A0A"/>
    <w:rsid w:val="00E92B29"/>
    <w:rsid w:val="00E92C56"/>
    <w:rsid w:val="00E92D52"/>
    <w:rsid w:val="00E92D8F"/>
    <w:rsid w:val="00E92E8B"/>
    <w:rsid w:val="00E92FFB"/>
    <w:rsid w:val="00E93028"/>
    <w:rsid w:val="00E93613"/>
    <w:rsid w:val="00E938F9"/>
    <w:rsid w:val="00E93AFE"/>
    <w:rsid w:val="00E93DB4"/>
    <w:rsid w:val="00E93FA0"/>
    <w:rsid w:val="00E947F3"/>
    <w:rsid w:val="00E94B95"/>
    <w:rsid w:val="00E94CA6"/>
    <w:rsid w:val="00E94EAA"/>
    <w:rsid w:val="00E9520B"/>
    <w:rsid w:val="00E95226"/>
    <w:rsid w:val="00E953A1"/>
    <w:rsid w:val="00E95612"/>
    <w:rsid w:val="00E9578D"/>
    <w:rsid w:val="00E95C67"/>
    <w:rsid w:val="00E95D03"/>
    <w:rsid w:val="00E96124"/>
    <w:rsid w:val="00E96134"/>
    <w:rsid w:val="00E96896"/>
    <w:rsid w:val="00E96A8C"/>
    <w:rsid w:val="00E96BA9"/>
    <w:rsid w:val="00E96FF3"/>
    <w:rsid w:val="00E96FFC"/>
    <w:rsid w:val="00E97155"/>
    <w:rsid w:val="00E9754C"/>
    <w:rsid w:val="00E9771A"/>
    <w:rsid w:val="00E9772B"/>
    <w:rsid w:val="00E97730"/>
    <w:rsid w:val="00E97858"/>
    <w:rsid w:val="00E97906"/>
    <w:rsid w:val="00E97BFA"/>
    <w:rsid w:val="00E97CD9"/>
    <w:rsid w:val="00EA0092"/>
    <w:rsid w:val="00EA012D"/>
    <w:rsid w:val="00EA01AD"/>
    <w:rsid w:val="00EA02A0"/>
    <w:rsid w:val="00EA02C5"/>
    <w:rsid w:val="00EA037D"/>
    <w:rsid w:val="00EA0412"/>
    <w:rsid w:val="00EA04AF"/>
    <w:rsid w:val="00EA0523"/>
    <w:rsid w:val="00EA058A"/>
    <w:rsid w:val="00EA138A"/>
    <w:rsid w:val="00EA1826"/>
    <w:rsid w:val="00EA18F7"/>
    <w:rsid w:val="00EA1C9A"/>
    <w:rsid w:val="00EA2118"/>
    <w:rsid w:val="00EA2363"/>
    <w:rsid w:val="00EA245A"/>
    <w:rsid w:val="00EA2953"/>
    <w:rsid w:val="00EA2D20"/>
    <w:rsid w:val="00EA2E20"/>
    <w:rsid w:val="00EA3B4B"/>
    <w:rsid w:val="00EA3C02"/>
    <w:rsid w:val="00EA4357"/>
    <w:rsid w:val="00EA4520"/>
    <w:rsid w:val="00EA483B"/>
    <w:rsid w:val="00EA4920"/>
    <w:rsid w:val="00EA4AF5"/>
    <w:rsid w:val="00EA4DF2"/>
    <w:rsid w:val="00EA50A2"/>
    <w:rsid w:val="00EA597C"/>
    <w:rsid w:val="00EA5F5A"/>
    <w:rsid w:val="00EA627F"/>
    <w:rsid w:val="00EA63F8"/>
    <w:rsid w:val="00EA641A"/>
    <w:rsid w:val="00EA654D"/>
    <w:rsid w:val="00EA69FB"/>
    <w:rsid w:val="00EA6E26"/>
    <w:rsid w:val="00EA739C"/>
    <w:rsid w:val="00EA76B1"/>
    <w:rsid w:val="00EA7745"/>
    <w:rsid w:val="00EA78F5"/>
    <w:rsid w:val="00EA7F95"/>
    <w:rsid w:val="00EB0B7B"/>
    <w:rsid w:val="00EB0C89"/>
    <w:rsid w:val="00EB0F06"/>
    <w:rsid w:val="00EB0F3C"/>
    <w:rsid w:val="00EB1218"/>
    <w:rsid w:val="00EB14E2"/>
    <w:rsid w:val="00EB15B6"/>
    <w:rsid w:val="00EB1843"/>
    <w:rsid w:val="00EB1960"/>
    <w:rsid w:val="00EB1C18"/>
    <w:rsid w:val="00EB1C33"/>
    <w:rsid w:val="00EB1F19"/>
    <w:rsid w:val="00EB205C"/>
    <w:rsid w:val="00EB2133"/>
    <w:rsid w:val="00EB21A2"/>
    <w:rsid w:val="00EB224D"/>
    <w:rsid w:val="00EB22C2"/>
    <w:rsid w:val="00EB22D2"/>
    <w:rsid w:val="00EB2541"/>
    <w:rsid w:val="00EB28D3"/>
    <w:rsid w:val="00EB2D5E"/>
    <w:rsid w:val="00EB3101"/>
    <w:rsid w:val="00EB317A"/>
    <w:rsid w:val="00EB318D"/>
    <w:rsid w:val="00EB326E"/>
    <w:rsid w:val="00EB3454"/>
    <w:rsid w:val="00EB35AB"/>
    <w:rsid w:val="00EB3735"/>
    <w:rsid w:val="00EB37CE"/>
    <w:rsid w:val="00EB3B0D"/>
    <w:rsid w:val="00EB3CAE"/>
    <w:rsid w:val="00EB3E18"/>
    <w:rsid w:val="00EB3FFA"/>
    <w:rsid w:val="00EB42C5"/>
    <w:rsid w:val="00EB4592"/>
    <w:rsid w:val="00EB45BB"/>
    <w:rsid w:val="00EB4703"/>
    <w:rsid w:val="00EB4850"/>
    <w:rsid w:val="00EB48C8"/>
    <w:rsid w:val="00EB4BBA"/>
    <w:rsid w:val="00EB4BFE"/>
    <w:rsid w:val="00EB4F4F"/>
    <w:rsid w:val="00EB4F72"/>
    <w:rsid w:val="00EB5145"/>
    <w:rsid w:val="00EB522A"/>
    <w:rsid w:val="00EB534F"/>
    <w:rsid w:val="00EB5734"/>
    <w:rsid w:val="00EB5923"/>
    <w:rsid w:val="00EB59FB"/>
    <w:rsid w:val="00EB5D63"/>
    <w:rsid w:val="00EB68F7"/>
    <w:rsid w:val="00EB6964"/>
    <w:rsid w:val="00EB6A18"/>
    <w:rsid w:val="00EB7045"/>
    <w:rsid w:val="00EB74E3"/>
    <w:rsid w:val="00EB755B"/>
    <w:rsid w:val="00EB77DE"/>
    <w:rsid w:val="00EB7BB8"/>
    <w:rsid w:val="00EB7BFD"/>
    <w:rsid w:val="00EB7CBB"/>
    <w:rsid w:val="00EB7DB1"/>
    <w:rsid w:val="00EC00AE"/>
    <w:rsid w:val="00EC01B5"/>
    <w:rsid w:val="00EC06DC"/>
    <w:rsid w:val="00EC1013"/>
    <w:rsid w:val="00EC1068"/>
    <w:rsid w:val="00EC114E"/>
    <w:rsid w:val="00EC1152"/>
    <w:rsid w:val="00EC14B7"/>
    <w:rsid w:val="00EC14D5"/>
    <w:rsid w:val="00EC1710"/>
    <w:rsid w:val="00EC1934"/>
    <w:rsid w:val="00EC2412"/>
    <w:rsid w:val="00EC2851"/>
    <w:rsid w:val="00EC28FF"/>
    <w:rsid w:val="00EC29CC"/>
    <w:rsid w:val="00EC2ABE"/>
    <w:rsid w:val="00EC2DA4"/>
    <w:rsid w:val="00EC2FCE"/>
    <w:rsid w:val="00EC3055"/>
    <w:rsid w:val="00EC311C"/>
    <w:rsid w:val="00EC3181"/>
    <w:rsid w:val="00EC3395"/>
    <w:rsid w:val="00EC33A8"/>
    <w:rsid w:val="00EC388E"/>
    <w:rsid w:val="00EC3C34"/>
    <w:rsid w:val="00EC3D5D"/>
    <w:rsid w:val="00EC3DD5"/>
    <w:rsid w:val="00EC40C5"/>
    <w:rsid w:val="00EC436F"/>
    <w:rsid w:val="00EC45DF"/>
    <w:rsid w:val="00EC46C8"/>
    <w:rsid w:val="00EC4A0F"/>
    <w:rsid w:val="00EC4EDA"/>
    <w:rsid w:val="00EC50E2"/>
    <w:rsid w:val="00EC5161"/>
    <w:rsid w:val="00EC534D"/>
    <w:rsid w:val="00EC552F"/>
    <w:rsid w:val="00EC560B"/>
    <w:rsid w:val="00EC5AD7"/>
    <w:rsid w:val="00EC5DCC"/>
    <w:rsid w:val="00EC62E1"/>
    <w:rsid w:val="00EC6390"/>
    <w:rsid w:val="00EC6C7C"/>
    <w:rsid w:val="00EC6DCE"/>
    <w:rsid w:val="00EC6F1D"/>
    <w:rsid w:val="00EC7268"/>
    <w:rsid w:val="00EC738F"/>
    <w:rsid w:val="00EC754B"/>
    <w:rsid w:val="00EC7740"/>
    <w:rsid w:val="00EC78BA"/>
    <w:rsid w:val="00EC7D07"/>
    <w:rsid w:val="00ED031C"/>
    <w:rsid w:val="00ED067C"/>
    <w:rsid w:val="00ED0684"/>
    <w:rsid w:val="00ED0811"/>
    <w:rsid w:val="00ED083F"/>
    <w:rsid w:val="00ED0BAE"/>
    <w:rsid w:val="00ED0E10"/>
    <w:rsid w:val="00ED1462"/>
    <w:rsid w:val="00ED158C"/>
    <w:rsid w:val="00ED16CB"/>
    <w:rsid w:val="00ED1A8E"/>
    <w:rsid w:val="00ED1B6B"/>
    <w:rsid w:val="00ED1C51"/>
    <w:rsid w:val="00ED1DF6"/>
    <w:rsid w:val="00ED1F8A"/>
    <w:rsid w:val="00ED1FFE"/>
    <w:rsid w:val="00ED20D9"/>
    <w:rsid w:val="00ED2117"/>
    <w:rsid w:val="00ED22A7"/>
    <w:rsid w:val="00ED2581"/>
    <w:rsid w:val="00ED295F"/>
    <w:rsid w:val="00ED2D10"/>
    <w:rsid w:val="00ED2D44"/>
    <w:rsid w:val="00ED3117"/>
    <w:rsid w:val="00ED32B2"/>
    <w:rsid w:val="00ED3448"/>
    <w:rsid w:val="00ED3A14"/>
    <w:rsid w:val="00ED3BAB"/>
    <w:rsid w:val="00ED3BB0"/>
    <w:rsid w:val="00ED3CEB"/>
    <w:rsid w:val="00ED3DEB"/>
    <w:rsid w:val="00ED3F17"/>
    <w:rsid w:val="00ED3FA9"/>
    <w:rsid w:val="00ED49C6"/>
    <w:rsid w:val="00ED4A1B"/>
    <w:rsid w:val="00ED4C3A"/>
    <w:rsid w:val="00ED4D7E"/>
    <w:rsid w:val="00ED4FF2"/>
    <w:rsid w:val="00ED5C5A"/>
    <w:rsid w:val="00ED64A0"/>
    <w:rsid w:val="00ED68C7"/>
    <w:rsid w:val="00ED6F1F"/>
    <w:rsid w:val="00ED733F"/>
    <w:rsid w:val="00ED749B"/>
    <w:rsid w:val="00ED761B"/>
    <w:rsid w:val="00ED788B"/>
    <w:rsid w:val="00ED79BE"/>
    <w:rsid w:val="00ED7AE8"/>
    <w:rsid w:val="00ED7B35"/>
    <w:rsid w:val="00ED7D48"/>
    <w:rsid w:val="00ED7D9F"/>
    <w:rsid w:val="00ED7F21"/>
    <w:rsid w:val="00EE001A"/>
    <w:rsid w:val="00EE03C1"/>
    <w:rsid w:val="00EE07CA"/>
    <w:rsid w:val="00EE080C"/>
    <w:rsid w:val="00EE098B"/>
    <w:rsid w:val="00EE09F0"/>
    <w:rsid w:val="00EE0BF1"/>
    <w:rsid w:val="00EE0D30"/>
    <w:rsid w:val="00EE1088"/>
    <w:rsid w:val="00EE1089"/>
    <w:rsid w:val="00EE15B3"/>
    <w:rsid w:val="00EE15FF"/>
    <w:rsid w:val="00EE1637"/>
    <w:rsid w:val="00EE166D"/>
    <w:rsid w:val="00EE1754"/>
    <w:rsid w:val="00EE1BA8"/>
    <w:rsid w:val="00EE1DD4"/>
    <w:rsid w:val="00EE22A5"/>
    <w:rsid w:val="00EE33D8"/>
    <w:rsid w:val="00EE3536"/>
    <w:rsid w:val="00EE3543"/>
    <w:rsid w:val="00EE399A"/>
    <w:rsid w:val="00EE3D7B"/>
    <w:rsid w:val="00EE4071"/>
    <w:rsid w:val="00EE41F2"/>
    <w:rsid w:val="00EE4738"/>
    <w:rsid w:val="00EE4A7B"/>
    <w:rsid w:val="00EE4E20"/>
    <w:rsid w:val="00EE5025"/>
    <w:rsid w:val="00EE53D3"/>
    <w:rsid w:val="00EE56AF"/>
    <w:rsid w:val="00EE5B46"/>
    <w:rsid w:val="00EE5DE4"/>
    <w:rsid w:val="00EE5F60"/>
    <w:rsid w:val="00EE611F"/>
    <w:rsid w:val="00EE61BC"/>
    <w:rsid w:val="00EE63D8"/>
    <w:rsid w:val="00EE65B0"/>
    <w:rsid w:val="00EE676B"/>
    <w:rsid w:val="00EE6820"/>
    <w:rsid w:val="00EE6978"/>
    <w:rsid w:val="00EE6C7B"/>
    <w:rsid w:val="00EE7037"/>
    <w:rsid w:val="00EE745C"/>
    <w:rsid w:val="00EE7462"/>
    <w:rsid w:val="00EE7A55"/>
    <w:rsid w:val="00EE7D88"/>
    <w:rsid w:val="00EF02C1"/>
    <w:rsid w:val="00EF03A5"/>
    <w:rsid w:val="00EF05F6"/>
    <w:rsid w:val="00EF070D"/>
    <w:rsid w:val="00EF0746"/>
    <w:rsid w:val="00EF07FF"/>
    <w:rsid w:val="00EF0876"/>
    <w:rsid w:val="00EF08AF"/>
    <w:rsid w:val="00EF093C"/>
    <w:rsid w:val="00EF0C1A"/>
    <w:rsid w:val="00EF0C92"/>
    <w:rsid w:val="00EF0E93"/>
    <w:rsid w:val="00EF0EE9"/>
    <w:rsid w:val="00EF1094"/>
    <w:rsid w:val="00EF11B3"/>
    <w:rsid w:val="00EF1478"/>
    <w:rsid w:val="00EF18DD"/>
    <w:rsid w:val="00EF1C9F"/>
    <w:rsid w:val="00EF1E6A"/>
    <w:rsid w:val="00EF2042"/>
    <w:rsid w:val="00EF2275"/>
    <w:rsid w:val="00EF24B6"/>
    <w:rsid w:val="00EF27DE"/>
    <w:rsid w:val="00EF29A1"/>
    <w:rsid w:val="00EF2CBF"/>
    <w:rsid w:val="00EF3725"/>
    <w:rsid w:val="00EF3807"/>
    <w:rsid w:val="00EF3822"/>
    <w:rsid w:val="00EF3E36"/>
    <w:rsid w:val="00EF3FBF"/>
    <w:rsid w:val="00EF3FD4"/>
    <w:rsid w:val="00EF44ED"/>
    <w:rsid w:val="00EF4980"/>
    <w:rsid w:val="00EF49C7"/>
    <w:rsid w:val="00EF54A5"/>
    <w:rsid w:val="00EF56E7"/>
    <w:rsid w:val="00EF58FC"/>
    <w:rsid w:val="00EF5940"/>
    <w:rsid w:val="00EF5C79"/>
    <w:rsid w:val="00EF5CB5"/>
    <w:rsid w:val="00EF5DC7"/>
    <w:rsid w:val="00EF6489"/>
    <w:rsid w:val="00EF6718"/>
    <w:rsid w:val="00EF6AC3"/>
    <w:rsid w:val="00EF6AE0"/>
    <w:rsid w:val="00EF6C6F"/>
    <w:rsid w:val="00EF6EE0"/>
    <w:rsid w:val="00EF71EF"/>
    <w:rsid w:val="00EF7233"/>
    <w:rsid w:val="00EF728B"/>
    <w:rsid w:val="00EF760E"/>
    <w:rsid w:val="00EF78CD"/>
    <w:rsid w:val="00EF7BFD"/>
    <w:rsid w:val="00F0124A"/>
    <w:rsid w:val="00F01276"/>
    <w:rsid w:val="00F0138B"/>
    <w:rsid w:val="00F014D7"/>
    <w:rsid w:val="00F0163A"/>
    <w:rsid w:val="00F01727"/>
    <w:rsid w:val="00F01B1B"/>
    <w:rsid w:val="00F01B1E"/>
    <w:rsid w:val="00F01BB0"/>
    <w:rsid w:val="00F01BFD"/>
    <w:rsid w:val="00F01E73"/>
    <w:rsid w:val="00F0209D"/>
    <w:rsid w:val="00F020BA"/>
    <w:rsid w:val="00F02455"/>
    <w:rsid w:val="00F024B5"/>
    <w:rsid w:val="00F0274A"/>
    <w:rsid w:val="00F0298F"/>
    <w:rsid w:val="00F02A9D"/>
    <w:rsid w:val="00F0306E"/>
    <w:rsid w:val="00F03106"/>
    <w:rsid w:val="00F0370F"/>
    <w:rsid w:val="00F03716"/>
    <w:rsid w:val="00F039E1"/>
    <w:rsid w:val="00F0435F"/>
    <w:rsid w:val="00F043BC"/>
    <w:rsid w:val="00F043E1"/>
    <w:rsid w:val="00F04444"/>
    <w:rsid w:val="00F04473"/>
    <w:rsid w:val="00F046E4"/>
    <w:rsid w:val="00F04A9F"/>
    <w:rsid w:val="00F04BF7"/>
    <w:rsid w:val="00F04C2C"/>
    <w:rsid w:val="00F04C4D"/>
    <w:rsid w:val="00F04E1D"/>
    <w:rsid w:val="00F051CE"/>
    <w:rsid w:val="00F0523C"/>
    <w:rsid w:val="00F052E8"/>
    <w:rsid w:val="00F058BE"/>
    <w:rsid w:val="00F059B5"/>
    <w:rsid w:val="00F05B1A"/>
    <w:rsid w:val="00F05F20"/>
    <w:rsid w:val="00F06364"/>
    <w:rsid w:val="00F063BF"/>
    <w:rsid w:val="00F064DC"/>
    <w:rsid w:val="00F064FE"/>
    <w:rsid w:val="00F065CC"/>
    <w:rsid w:val="00F06715"/>
    <w:rsid w:val="00F068F8"/>
    <w:rsid w:val="00F06921"/>
    <w:rsid w:val="00F06D5C"/>
    <w:rsid w:val="00F06E08"/>
    <w:rsid w:val="00F077F5"/>
    <w:rsid w:val="00F07B1E"/>
    <w:rsid w:val="00F07D24"/>
    <w:rsid w:val="00F102A6"/>
    <w:rsid w:val="00F10B7D"/>
    <w:rsid w:val="00F10EFB"/>
    <w:rsid w:val="00F11020"/>
    <w:rsid w:val="00F11113"/>
    <w:rsid w:val="00F114FE"/>
    <w:rsid w:val="00F11D48"/>
    <w:rsid w:val="00F11DD8"/>
    <w:rsid w:val="00F12234"/>
    <w:rsid w:val="00F122ED"/>
    <w:rsid w:val="00F124DD"/>
    <w:rsid w:val="00F125C8"/>
    <w:rsid w:val="00F1262F"/>
    <w:rsid w:val="00F1294F"/>
    <w:rsid w:val="00F12DE1"/>
    <w:rsid w:val="00F13132"/>
    <w:rsid w:val="00F13462"/>
    <w:rsid w:val="00F139E9"/>
    <w:rsid w:val="00F13DBB"/>
    <w:rsid w:val="00F14796"/>
    <w:rsid w:val="00F14A18"/>
    <w:rsid w:val="00F14A81"/>
    <w:rsid w:val="00F14AFD"/>
    <w:rsid w:val="00F14B02"/>
    <w:rsid w:val="00F14B1B"/>
    <w:rsid w:val="00F14B51"/>
    <w:rsid w:val="00F14C53"/>
    <w:rsid w:val="00F150B5"/>
    <w:rsid w:val="00F15258"/>
    <w:rsid w:val="00F152B6"/>
    <w:rsid w:val="00F15521"/>
    <w:rsid w:val="00F15B76"/>
    <w:rsid w:val="00F15D08"/>
    <w:rsid w:val="00F160FE"/>
    <w:rsid w:val="00F16496"/>
    <w:rsid w:val="00F168AA"/>
    <w:rsid w:val="00F16B96"/>
    <w:rsid w:val="00F178BE"/>
    <w:rsid w:val="00F17B25"/>
    <w:rsid w:val="00F17C13"/>
    <w:rsid w:val="00F17EC7"/>
    <w:rsid w:val="00F2010F"/>
    <w:rsid w:val="00F203D4"/>
    <w:rsid w:val="00F2041E"/>
    <w:rsid w:val="00F20DEB"/>
    <w:rsid w:val="00F20F29"/>
    <w:rsid w:val="00F21044"/>
    <w:rsid w:val="00F213F8"/>
    <w:rsid w:val="00F2153C"/>
    <w:rsid w:val="00F21D52"/>
    <w:rsid w:val="00F21E6A"/>
    <w:rsid w:val="00F224A1"/>
    <w:rsid w:val="00F22566"/>
    <w:rsid w:val="00F2258B"/>
    <w:rsid w:val="00F226AE"/>
    <w:rsid w:val="00F22B9B"/>
    <w:rsid w:val="00F22D8B"/>
    <w:rsid w:val="00F22F8C"/>
    <w:rsid w:val="00F236B6"/>
    <w:rsid w:val="00F236D7"/>
    <w:rsid w:val="00F236FD"/>
    <w:rsid w:val="00F2372E"/>
    <w:rsid w:val="00F23742"/>
    <w:rsid w:val="00F2380C"/>
    <w:rsid w:val="00F23B6E"/>
    <w:rsid w:val="00F23C46"/>
    <w:rsid w:val="00F23D96"/>
    <w:rsid w:val="00F23E93"/>
    <w:rsid w:val="00F24098"/>
    <w:rsid w:val="00F24406"/>
    <w:rsid w:val="00F24524"/>
    <w:rsid w:val="00F24848"/>
    <w:rsid w:val="00F2497F"/>
    <w:rsid w:val="00F24BF9"/>
    <w:rsid w:val="00F24EF5"/>
    <w:rsid w:val="00F2514A"/>
    <w:rsid w:val="00F25396"/>
    <w:rsid w:val="00F25D9E"/>
    <w:rsid w:val="00F25F6C"/>
    <w:rsid w:val="00F26318"/>
    <w:rsid w:val="00F263A6"/>
    <w:rsid w:val="00F2656A"/>
    <w:rsid w:val="00F266D0"/>
    <w:rsid w:val="00F26B27"/>
    <w:rsid w:val="00F27793"/>
    <w:rsid w:val="00F27B21"/>
    <w:rsid w:val="00F27B90"/>
    <w:rsid w:val="00F27D88"/>
    <w:rsid w:val="00F27D91"/>
    <w:rsid w:val="00F27DCD"/>
    <w:rsid w:val="00F30222"/>
    <w:rsid w:val="00F30541"/>
    <w:rsid w:val="00F306AE"/>
    <w:rsid w:val="00F306CA"/>
    <w:rsid w:val="00F3092C"/>
    <w:rsid w:val="00F30CD7"/>
    <w:rsid w:val="00F31031"/>
    <w:rsid w:val="00F31097"/>
    <w:rsid w:val="00F311E9"/>
    <w:rsid w:val="00F312A4"/>
    <w:rsid w:val="00F313AA"/>
    <w:rsid w:val="00F31731"/>
    <w:rsid w:val="00F3179A"/>
    <w:rsid w:val="00F31FD2"/>
    <w:rsid w:val="00F323B9"/>
    <w:rsid w:val="00F32447"/>
    <w:rsid w:val="00F32661"/>
    <w:rsid w:val="00F32A67"/>
    <w:rsid w:val="00F32B22"/>
    <w:rsid w:val="00F32B54"/>
    <w:rsid w:val="00F33061"/>
    <w:rsid w:val="00F3334A"/>
    <w:rsid w:val="00F333CF"/>
    <w:rsid w:val="00F335F2"/>
    <w:rsid w:val="00F339F4"/>
    <w:rsid w:val="00F33BB2"/>
    <w:rsid w:val="00F33EF1"/>
    <w:rsid w:val="00F34085"/>
    <w:rsid w:val="00F3434B"/>
    <w:rsid w:val="00F34430"/>
    <w:rsid w:val="00F34621"/>
    <w:rsid w:val="00F346E5"/>
    <w:rsid w:val="00F347D0"/>
    <w:rsid w:val="00F34859"/>
    <w:rsid w:val="00F34DD1"/>
    <w:rsid w:val="00F34F9D"/>
    <w:rsid w:val="00F35374"/>
    <w:rsid w:val="00F3551B"/>
    <w:rsid w:val="00F358B6"/>
    <w:rsid w:val="00F358D8"/>
    <w:rsid w:val="00F35F18"/>
    <w:rsid w:val="00F35FF3"/>
    <w:rsid w:val="00F36049"/>
    <w:rsid w:val="00F3625E"/>
    <w:rsid w:val="00F363F9"/>
    <w:rsid w:val="00F36B02"/>
    <w:rsid w:val="00F36CC0"/>
    <w:rsid w:val="00F37156"/>
    <w:rsid w:val="00F3722A"/>
    <w:rsid w:val="00F3724D"/>
    <w:rsid w:val="00F373A6"/>
    <w:rsid w:val="00F3756F"/>
    <w:rsid w:val="00F377F3"/>
    <w:rsid w:val="00F37C02"/>
    <w:rsid w:val="00F37E4F"/>
    <w:rsid w:val="00F40107"/>
    <w:rsid w:val="00F4030A"/>
    <w:rsid w:val="00F40321"/>
    <w:rsid w:val="00F40403"/>
    <w:rsid w:val="00F406F1"/>
    <w:rsid w:val="00F4089D"/>
    <w:rsid w:val="00F4094C"/>
    <w:rsid w:val="00F40A81"/>
    <w:rsid w:val="00F40C9C"/>
    <w:rsid w:val="00F40F2D"/>
    <w:rsid w:val="00F411E4"/>
    <w:rsid w:val="00F415AC"/>
    <w:rsid w:val="00F416AE"/>
    <w:rsid w:val="00F41DDF"/>
    <w:rsid w:val="00F42310"/>
    <w:rsid w:val="00F423FA"/>
    <w:rsid w:val="00F426CA"/>
    <w:rsid w:val="00F4274D"/>
    <w:rsid w:val="00F428A5"/>
    <w:rsid w:val="00F42A7F"/>
    <w:rsid w:val="00F42BB1"/>
    <w:rsid w:val="00F42CD0"/>
    <w:rsid w:val="00F42E53"/>
    <w:rsid w:val="00F431D1"/>
    <w:rsid w:val="00F432DF"/>
    <w:rsid w:val="00F43418"/>
    <w:rsid w:val="00F4362C"/>
    <w:rsid w:val="00F43C9A"/>
    <w:rsid w:val="00F43C9B"/>
    <w:rsid w:val="00F43DAE"/>
    <w:rsid w:val="00F43E6C"/>
    <w:rsid w:val="00F4407F"/>
    <w:rsid w:val="00F4461A"/>
    <w:rsid w:val="00F44CE2"/>
    <w:rsid w:val="00F44F45"/>
    <w:rsid w:val="00F44FFD"/>
    <w:rsid w:val="00F450C1"/>
    <w:rsid w:val="00F45329"/>
    <w:rsid w:val="00F453AF"/>
    <w:rsid w:val="00F45B63"/>
    <w:rsid w:val="00F45BAB"/>
    <w:rsid w:val="00F45BF8"/>
    <w:rsid w:val="00F46371"/>
    <w:rsid w:val="00F4640A"/>
    <w:rsid w:val="00F46425"/>
    <w:rsid w:val="00F4665F"/>
    <w:rsid w:val="00F46820"/>
    <w:rsid w:val="00F4690C"/>
    <w:rsid w:val="00F46983"/>
    <w:rsid w:val="00F46A92"/>
    <w:rsid w:val="00F46C63"/>
    <w:rsid w:val="00F46C6C"/>
    <w:rsid w:val="00F47190"/>
    <w:rsid w:val="00F471A2"/>
    <w:rsid w:val="00F4726D"/>
    <w:rsid w:val="00F472D8"/>
    <w:rsid w:val="00F472F8"/>
    <w:rsid w:val="00F47500"/>
    <w:rsid w:val="00F47E68"/>
    <w:rsid w:val="00F47FA5"/>
    <w:rsid w:val="00F47FDD"/>
    <w:rsid w:val="00F50071"/>
    <w:rsid w:val="00F500AF"/>
    <w:rsid w:val="00F500B4"/>
    <w:rsid w:val="00F50140"/>
    <w:rsid w:val="00F5044C"/>
    <w:rsid w:val="00F5052F"/>
    <w:rsid w:val="00F50673"/>
    <w:rsid w:val="00F5097F"/>
    <w:rsid w:val="00F50985"/>
    <w:rsid w:val="00F50C33"/>
    <w:rsid w:val="00F511EC"/>
    <w:rsid w:val="00F51597"/>
    <w:rsid w:val="00F51656"/>
    <w:rsid w:val="00F51869"/>
    <w:rsid w:val="00F518FB"/>
    <w:rsid w:val="00F51A35"/>
    <w:rsid w:val="00F51B99"/>
    <w:rsid w:val="00F52715"/>
    <w:rsid w:val="00F528DF"/>
    <w:rsid w:val="00F52A57"/>
    <w:rsid w:val="00F5347B"/>
    <w:rsid w:val="00F53ACF"/>
    <w:rsid w:val="00F53C41"/>
    <w:rsid w:val="00F53C8F"/>
    <w:rsid w:val="00F53E05"/>
    <w:rsid w:val="00F54004"/>
    <w:rsid w:val="00F540D2"/>
    <w:rsid w:val="00F54347"/>
    <w:rsid w:val="00F54456"/>
    <w:rsid w:val="00F5460B"/>
    <w:rsid w:val="00F5482A"/>
    <w:rsid w:val="00F54901"/>
    <w:rsid w:val="00F54A48"/>
    <w:rsid w:val="00F54CF5"/>
    <w:rsid w:val="00F54EC1"/>
    <w:rsid w:val="00F54FD9"/>
    <w:rsid w:val="00F55249"/>
    <w:rsid w:val="00F55DCC"/>
    <w:rsid w:val="00F55E3D"/>
    <w:rsid w:val="00F561C9"/>
    <w:rsid w:val="00F5646F"/>
    <w:rsid w:val="00F565CF"/>
    <w:rsid w:val="00F56AE3"/>
    <w:rsid w:val="00F56E3F"/>
    <w:rsid w:val="00F57072"/>
    <w:rsid w:val="00F576AF"/>
    <w:rsid w:val="00F57B59"/>
    <w:rsid w:val="00F57C6A"/>
    <w:rsid w:val="00F57C90"/>
    <w:rsid w:val="00F601F3"/>
    <w:rsid w:val="00F605D7"/>
    <w:rsid w:val="00F609A0"/>
    <w:rsid w:val="00F60A98"/>
    <w:rsid w:val="00F60B8C"/>
    <w:rsid w:val="00F60DD0"/>
    <w:rsid w:val="00F611CA"/>
    <w:rsid w:val="00F612C6"/>
    <w:rsid w:val="00F61396"/>
    <w:rsid w:val="00F614E4"/>
    <w:rsid w:val="00F61AED"/>
    <w:rsid w:val="00F61C3F"/>
    <w:rsid w:val="00F620C1"/>
    <w:rsid w:val="00F62109"/>
    <w:rsid w:val="00F62AFE"/>
    <w:rsid w:val="00F62BAD"/>
    <w:rsid w:val="00F62DA3"/>
    <w:rsid w:val="00F636F5"/>
    <w:rsid w:val="00F63738"/>
    <w:rsid w:val="00F63E96"/>
    <w:rsid w:val="00F64467"/>
    <w:rsid w:val="00F64C12"/>
    <w:rsid w:val="00F64F30"/>
    <w:rsid w:val="00F6508A"/>
    <w:rsid w:val="00F6567E"/>
    <w:rsid w:val="00F65D19"/>
    <w:rsid w:val="00F65DD6"/>
    <w:rsid w:val="00F65EC8"/>
    <w:rsid w:val="00F6627F"/>
    <w:rsid w:val="00F663AD"/>
    <w:rsid w:val="00F66491"/>
    <w:rsid w:val="00F66E86"/>
    <w:rsid w:val="00F67580"/>
    <w:rsid w:val="00F6771E"/>
    <w:rsid w:val="00F6789F"/>
    <w:rsid w:val="00F67963"/>
    <w:rsid w:val="00F6796D"/>
    <w:rsid w:val="00F67C3A"/>
    <w:rsid w:val="00F70039"/>
    <w:rsid w:val="00F702FC"/>
    <w:rsid w:val="00F7031D"/>
    <w:rsid w:val="00F7062D"/>
    <w:rsid w:val="00F70B50"/>
    <w:rsid w:val="00F70D52"/>
    <w:rsid w:val="00F70DA9"/>
    <w:rsid w:val="00F7177D"/>
    <w:rsid w:val="00F71AA3"/>
    <w:rsid w:val="00F71E15"/>
    <w:rsid w:val="00F7202F"/>
    <w:rsid w:val="00F7208E"/>
    <w:rsid w:val="00F72295"/>
    <w:rsid w:val="00F724C1"/>
    <w:rsid w:val="00F728B7"/>
    <w:rsid w:val="00F72FC5"/>
    <w:rsid w:val="00F72FE7"/>
    <w:rsid w:val="00F734AF"/>
    <w:rsid w:val="00F73876"/>
    <w:rsid w:val="00F73BE8"/>
    <w:rsid w:val="00F73C1C"/>
    <w:rsid w:val="00F73F82"/>
    <w:rsid w:val="00F74833"/>
    <w:rsid w:val="00F749B0"/>
    <w:rsid w:val="00F74B90"/>
    <w:rsid w:val="00F74E7B"/>
    <w:rsid w:val="00F74EC8"/>
    <w:rsid w:val="00F74F4F"/>
    <w:rsid w:val="00F74FE7"/>
    <w:rsid w:val="00F75679"/>
    <w:rsid w:val="00F75883"/>
    <w:rsid w:val="00F75AEF"/>
    <w:rsid w:val="00F75EF4"/>
    <w:rsid w:val="00F76386"/>
    <w:rsid w:val="00F76395"/>
    <w:rsid w:val="00F7666E"/>
    <w:rsid w:val="00F7697B"/>
    <w:rsid w:val="00F76A65"/>
    <w:rsid w:val="00F76C65"/>
    <w:rsid w:val="00F77364"/>
    <w:rsid w:val="00F7741B"/>
    <w:rsid w:val="00F774F1"/>
    <w:rsid w:val="00F778D6"/>
    <w:rsid w:val="00F77A68"/>
    <w:rsid w:val="00F77DB5"/>
    <w:rsid w:val="00F77DFA"/>
    <w:rsid w:val="00F80211"/>
    <w:rsid w:val="00F802B6"/>
    <w:rsid w:val="00F803E7"/>
    <w:rsid w:val="00F807FA"/>
    <w:rsid w:val="00F80823"/>
    <w:rsid w:val="00F80B0C"/>
    <w:rsid w:val="00F80E78"/>
    <w:rsid w:val="00F80EB8"/>
    <w:rsid w:val="00F81599"/>
    <w:rsid w:val="00F8170F"/>
    <w:rsid w:val="00F817B4"/>
    <w:rsid w:val="00F81BB6"/>
    <w:rsid w:val="00F81D49"/>
    <w:rsid w:val="00F81DB6"/>
    <w:rsid w:val="00F822B7"/>
    <w:rsid w:val="00F823F0"/>
    <w:rsid w:val="00F82945"/>
    <w:rsid w:val="00F82A99"/>
    <w:rsid w:val="00F82F46"/>
    <w:rsid w:val="00F83021"/>
    <w:rsid w:val="00F8340A"/>
    <w:rsid w:val="00F8348B"/>
    <w:rsid w:val="00F83852"/>
    <w:rsid w:val="00F83F8B"/>
    <w:rsid w:val="00F8411E"/>
    <w:rsid w:val="00F84476"/>
    <w:rsid w:val="00F84881"/>
    <w:rsid w:val="00F84C8D"/>
    <w:rsid w:val="00F84DCD"/>
    <w:rsid w:val="00F85407"/>
    <w:rsid w:val="00F859A7"/>
    <w:rsid w:val="00F859DF"/>
    <w:rsid w:val="00F85A24"/>
    <w:rsid w:val="00F85D26"/>
    <w:rsid w:val="00F863F8"/>
    <w:rsid w:val="00F86C10"/>
    <w:rsid w:val="00F86FEA"/>
    <w:rsid w:val="00F8788D"/>
    <w:rsid w:val="00F900F0"/>
    <w:rsid w:val="00F901EC"/>
    <w:rsid w:val="00F90A13"/>
    <w:rsid w:val="00F90AA0"/>
    <w:rsid w:val="00F90F1C"/>
    <w:rsid w:val="00F9106F"/>
    <w:rsid w:val="00F911C9"/>
    <w:rsid w:val="00F918CD"/>
    <w:rsid w:val="00F9197C"/>
    <w:rsid w:val="00F91C3C"/>
    <w:rsid w:val="00F91E03"/>
    <w:rsid w:val="00F920DA"/>
    <w:rsid w:val="00F92414"/>
    <w:rsid w:val="00F92797"/>
    <w:rsid w:val="00F9296F"/>
    <w:rsid w:val="00F92984"/>
    <w:rsid w:val="00F92AD5"/>
    <w:rsid w:val="00F92B9E"/>
    <w:rsid w:val="00F92BFB"/>
    <w:rsid w:val="00F92E46"/>
    <w:rsid w:val="00F92E68"/>
    <w:rsid w:val="00F92ED1"/>
    <w:rsid w:val="00F932F7"/>
    <w:rsid w:val="00F93339"/>
    <w:rsid w:val="00F937C9"/>
    <w:rsid w:val="00F93850"/>
    <w:rsid w:val="00F93B59"/>
    <w:rsid w:val="00F9413A"/>
    <w:rsid w:val="00F941A6"/>
    <w:rsid w:val="00F941C4"/>
    <w:rsid w:val="00F94BC7"/>
    <w:rsid w:val="00F94BD9"/>
    <w:rsid w:val="00F95464"/>
    <w:rsid w:val="00F9546B"/>
    <w:rsid w:val="00F958DE"/>
    <w:rsid w:val="00F9599E"/>
    <w:rsid w:val="00F959AE"/>
    <w:rsid w:val="00F95F79"/>
    <w:rsid w:val="00F962E3"/>
    <w:rsid w:val="00F9665A"/>
    <w:rsid w:val="00F969CE"/>
    <w:rsid w:val="00F96D8E"/>
    <w:rsid w:val="00F96E00"/>
    <w:rsid w:val="00F97649"/>
    <w:rsid w:val="00F97721"/>
    <w:rsid w:val="00F977D7"/>
    <w:rsid w:val="00F979E6"/>
    <w:rsid w:val="00F97C55"/>
    <w:rsid w:val="00FA0053"/>
    <w:rsid w:val="00FA009B"/>
    <w:rsid w:val="00FA0157"/>
    <w:rsid w:val="00FA0FA1"/>
    <w:rsid w:val="00FA10A7"/>
    <w:rsid w:val="00FA15FE"/>
    <w:rsid w:val="00FA177E"/>
    <w:rsid w:val="00FA1AA6"/>
    <w:rsid w:val="00FA1AD5"/>
    <w:rsid w:val="00FA1FD0"/>
    <w:rsid w:val="00FA2055"/>
    <w:rsid w:val="00FA265F"/>
    <w:rsid w:val="00FA2914"/>
    <w:rsid w:val="00FA295E"/>
    <w:rsid w:val="00FA2B7C"/>
    <w:rsid w:val="00FA3333"/>
    <w:rsid w:val="00FA35A2"/>
    <w:rsid w:val="00FA385E"/>
    <w:rsid w:val="00FA3963"/>
    <w:rsid w:val="00FA39C9"/>
    <w:rsid w:val="00FA43A5"/>
    <w:rsid w:val="00FA465A"/>
    <w:rsid w:val="00FA483E"/>
    <w:rsid w:val="00FA48F6"/>
    <w:rsid w:val="00FA4A24"/>
    <w:rsid w:val="00FA4E44"/>
    <w:rsid w:val="00FA50A3"/>
    <w:rsid w:val="00FA5101"/>
    <w:rsid w:val="00FA514D"/>
    <w:rsid w:val="00FA5323"/>
    <w:rsid w:val="00FA55F9"/>
    <w:rsid w:val="00FA596F"/>
    <w:rsid w:val="00FA5A34"/>
    <w:rsid w:val="00FA5C95"/>
    <w:rsid w:val="00FA60FE"/>
    <w:rsid w:val="00FA687C"/>
    <w:rsid w:val="00FA6CFA"/>
    <w:rsid w:val="00FA6E37"/>
    <w:rsid w:val="00FA6F47"/>
    <w:rsid w:val="00FA7922"/>
    <w:rsid w:val="00FA79B9"/>
    <w:rsid w:val="00FA7D60"/>
    <w:rsid w:val="00FA7E0D"/>
    <w:rsid w:val="00FA7F99"/>
    <w:rsid w:val="00FA7FB8"/>
    <w:rsid w:val="00FB05D8"/>
    <w:rsid w:val="00FB07B3"/>
    <w:rsid w:val="00FB0AF0"/>
    <w:rsid w:val="00FB0B76"/>
    <w:rsid w:val="00FB0E80"/>
    <w:rsid w:val="00FB1364"/>
    <w:rsid w:val="00FB147C"/>
    <w:rsid w:val="00FB16F4"/>
    <w:rsid w:val="00FB18A5"/>
    <w:rsid w:val="00FB1B6E"/>
    <w:rsid w:val="00FB1E24"/>
    <w:rsid w:val="00FB220A"/>
    <w:rsid w:val="00FB25EC"/>
    <w:rsid w:val="00FB274A"/>
    <w:rsid w:val="00FB2A74"/>
    <w:rsid w:val="00FB2AD2"/>
    <w:rsid w:val="00FB2C2D"/>
    <w:rsid w:val="00FB3255"/>
    <w:rsid w:val="00FB329E"/>
    <w:rsid w:val="00FB332C"/>
    <w:rsid w:val="00FB3A31"/>
    <w:rsid w:val="00FB3F6D"/>
    <w:rsid w:val="00FB413B"/>
    <w:rsid w:val="00FB43EB"/>
    <w:rsid w:val="00FB4539"/>
    <w:rsid w:val="00FB465B"/>
    <w:rsid w:val="00FB46A1"/>
    <w:rsid w:val="00FB4A6D"/>
    <w:rsid w:val="00FB4B1F"/>
    <w:rsid w:val="00FB4CB3"/>
    <w:rsid w:val="00FB4D35"/>
    <w:rsid w:val="00FB4D8C"/>
    <w:rsid w:val="00FB4F28"/>
    <w:rsid w:val="00FB504C"/>
    <w:rsid w:val="00FB507E"/>
    <w:rsid w:val="00FB5370"/>
    <w:rsid w:val="00FB58B9"/>
    <w:rsid w:val="00FB5E35"/>
    <w:rsid w:val="00FB5F0F"/>
    <w:rsid w:val="00FB5F46"/>
    <w:rsid w:val="00FB6237"/>
    <w:rsid w:val="00FB657C"/>
    <w:rsid w:val="00FB6867"/>
    <w:rsid w:val="00FB6AAA"/>
    <w:rsid w:val="00FB6AF0"/>
    <w:rsid w:val="00FB6B9B"/>
    <w:rsid w:val="00FB6BB9"/>
    <w:rsid w:val="00FB6BFD"/>
    <w:rsid w:val="00FB6E97"/>
    <w:rsid w:val="00FB6FB7"/>
    <w:rsid w:val="00FB73F7"/>
    <w:rsid w:val="00FB779C"/>
    <w:rsid w:val="00FB7CDA"/>
    <w:rsid w:val="00FC033E"/>
    <w:rsid w:val="00FC06DC"/>
    <w:rsid w:val="00FC0ACE"/>
    <w:rsid w:val="00FC0E90"/>
    <w:rsid w:val="00FC10A1"/>
    <w:rsid w:val="00FC113F"/>
    <w:rsid w:val="00FC11A9"/>
    <w:rsid w:val="00FC1255"/>
    <w:rsid w:val="00FC13AC"/>
    <w:rsid w:val="00FC1476"/>
    <w:rsid w:val="00FC162B"/>
    <w:rsid w:val="00FC1AD1"/>
    <w:rsid w:val="00FC1AD8"/>
    <w:rsid w:val="00FC1BC7"/>
    <w:rsid w:val="00FC1D5D"/>
    <w:rsid w:val="00FC2267"/>
    <w:rsid w:val="00FC25DB"/>
    <w:rsid w:val="00FC2C15"/>
    <w:rsid w:val="00FC2C22"/>
    <w:rsid w:val="00FC2ECC"/>
    <w:rsid w:val="00FC3205"/>
    <w:rsid w:val="00FC329B"/>
    <w:rsid w:val="00FC37E9"/>
    <w:rsid w:val="00FC3B45"/>
    <w:rsid w:val="00FC4070"/>
    <w:rsid w:val="00FC4201"/>
    <w:rsid w:val="00FC42CF"/>
    <w:rsid w:val="00FC42D7"/>
    <w:rsid w:val="00FC4764"/>
    <w:rsid w:val="00FC4E96"/>
    <w:rsid w:val="00FC4F44"/>
    <w:rsid w:val="00FC50D0"/>
    <w:rsid w:val="00FC5346"/>
    <w:rsid w:val="00FC5500"/>
    <w:rsid w:val="00FC599B"/>
    <w:rsid w:val="00FC5C8A"/>
    <w:rsid w:val="00FC5D3F"/>
    <w:rsid w:val="00FC61DA"/>
    <w:rsid w:val="00FC6663"/>
    <w:rsid w:val="00FC6A58"/>
    <w:rsid w:val="00FC6FB6"/>
    <w:rsid w:val="00FC7014"/>
    <w:rsid w:val="00FC7675"/>
    <w:rsid w:val="00FC7ECE"/>
    <w:rsid w:val="00FD01DB"/>
    <w:rsid w:val="00FD041B"/>
    <w:rsid w:val="00FD0589"/>
    <w:rsid w:val="00FD08DF"/>
    <w:rsid w:val="00FD0BA5"/>
    <w:rsid w:val="00FD1599"/>
    <w:rsid w:val="00FD1E2B"/>
    <w:rsid w:val="00FD1F5B"/>
    <w:rsid w:val="00FD20F9"/>
    <w:rsid w:val="00FD274F"/>
    <w:rsid w:val="00FD2AB2"/>
    <w:rsid w:val="00FD2CDD"/>
    <w:rsid w:val="00FD2FD0"/>
    <w:rsid w:val="00FD3000"/>
    <w:rsid w:val="00FD31A0"/>
    <w:rsid w:val="00FD31A3"/>
    <w:rsid w:val="00FD3737"/>
    <w:rsid w:val="00FD38E9"/>
    <w:rsid w:val="00FD3E0C"/>
    <w:rsid w:val="00FD4130"/>
    <w:rsid w:val="00FD48E3"/>
    <w:rsid w:val="00FD494B"/>
    <w:rsid w:val="00FD4C8D"/>
    <w:rsid w:val="00FD4EE8"/>
    <w:rsid w:val="00FD5383"/>
    <w:rsid w:val="00FD53CE"/>
    <w:rsid w:val="00FD581E"/>
    <w:rsid w:val="00FD59F1"/>
    <w:rsid w:val="00FD6067"/>
    <w:rsid w:val="00FD6070"/>
    <w:rsid w:val="00FD61AC"/>
    <w:rsid w:val="00FD6381"/>
    <w:rsid w:val="00FD6CCF"/>
    <w:rsid w:val="00FD6D72"/>
    <w:rsid w:val="00FD6E2E"/>
    <w:rsid w:val="00FD7366"/>
    <w:rsid w:val="00FD75B1"/>
    <w:rsid w:val="00FD78BF"/>
    <w:rsid w:val="00FD7A26"/>
    <w:rsid w:val="00FD7C5E"/>
    <w:rsid w:val="00FE010E"/>
    <w:rsid w:val="00FE018A"/>
    <w:rsid w:val="00FE0262"/>
    <w:rsid w:val="00FE0714"/>
    <w:rsid w:val="00FE071B"/>
    <w:rsid w:val="00FE0744"/>
    <w:rsid w:val="00FE08B7"/>
    <w:rsid w:val="00FE0B1D"/>
    <w:rsid w:val="00FE0C23"/>
    <w:rsid w:val="00FE0E4C"/>
    <w:rsid w:val="00FE0EE3"/>
    <w:rsid w:val="00FE127B"/>
    <w:rsid w:val="00FE1548"/>
    <w:rsid w:val="00FE19A9"/>
    <w:rsid w:val="00FE1B84"/>
    <w:rsid w:val="00FE1C0F"/>
    <w:rsid w:val="00FE21C4"/>
    <w:rsid w:val="00FE221B"/>
    <w:rsid w:val="00FE2274"/>
    <w:rsid w:val="00FE268B"/>
    <w:rsid w:val="00FE2D92"/>
    <w:rsid w:val="00FE3151"/>
    <w:rsid w:val="00FE3322"/>
    <w:rsid w:val="00FE34E5"/>
    <w:rsid w:val="00FE38A3"/>
    <w:rsid w:val="00FE3C03"/>
    <w:rsid w:val="00FE3FEA"/>
    <w:rsid w:val="00FE416C"/>
    <w:rsid w:val="00FE4BD5"/>
    <w:rsid w:val="00FE4C95"/>
    <w:rsid w:val="00FE4D44"/>
    <w:rsid w:val="00FE4D58"/>
    <w:rsid w:val="00FE4D93"/>
    <w:rsid w:val="00FE4DF8"/>
    <w:rsid w:val="00FE4FA4"/>
    <w:rsid w:val="00FE50FD"/>
    <w:rsid w:val="00FE55EF"/>
    <w:rsid w:val="00FE56BA"/>
    <w:rsid w:val="00FE5B66"/>
    <w:rsid w:val="00FE631F"/>
    <w:rsid w:val="00FE6366"/>
    <w:rsid w:val="00FE66D1"/>
    <w:rsid w:val="00FE66FB"/>
    <w:rsid w:val="00FE6971"/>
    <w:rsid w:val="00FE6E9D"/>
    <w:rsid w:val="00FE6F8E"/>
    <w:rsid w:val="00FE76C6"/>
    <w:rsid w:val="00FE7B0D"/>
    <w:rsid w:val="00FE7B31"/>
    <w:rsid w:val="00FE7B5F"/>
    <w:rsid w:val="00FF07D9"/>
    <w:rsid w:val="00FF0882"/>
    <w:rsid w:val="00FF0A47"/>
    <w:rsid w:val="00FF0B7B"/>
    <w:rsid w:val="00FF0CB1"/>
    <w:rsid w:val="00FF0CD7"/>
    <w:rsid w:val="00FF0E80"/>
    <w:rsid w:val="00FF0E98"/>
    <w:rsid w:val="00FF102D"/>
    <w:rsid w:val="00FF1074"/>
    <w:rsid w:val="00FF1239"/>
    <w:rsid w:val="00FF17E3"/>
    <w:rsid w:val="00FF1AF1"/>
    <w:rsid w:val="00FF1B1A"/>
    <w:rsid w:val="00FF2039"/>
    <w:rsid w:val="00FF22DC"/>
    <w:rsid w:val="00FF23A6"/>
    <w:rsid w:val="00FF27E8"/>
    <w:rsid w:val="00FF2C30"/>
    <w:rsid w:val="00FF2CF6"/>
    <w:rsid w:val="00FF31EF"/>
    <w:rsid w:val="00FF32D0"/>
    <w:rsid w:val="00FF356A"/>
    <w:rsid w:val="00FF3629"/>
    <w:rsid w:val="00FF382F"/>
    <w:rsid w:val="00FF3B83"/>
    <w:rsid w:val="00FF4175"/>
    <w:rsid w:val="00FF485C"/>
    <w:rsid w:val="00FF4923"/>
    <w:rsid w:val="00FF4945"/>
    <w:rsid w:val="00FF497F"/>
    <w:rsid w:val="00FF4B98"/>
    <w:rsid w:val="00FF5090"/>
    <w:rsid w:val="00FF50AE"/>
    <w:rsid w:val="00FF5141"/>
    <w:rsid w:val="00FF519D"/>
    <w:rsid w:val="00FF548E"/>
    <w:rsid w:val="00FF579E"/>
    <w:rsid w:val="00FF5A1D"/>
    <w:rsid w:val="00FF5C71"/>
    <w:rsid w:val="00FF5D69"/>
    <w:rsid w:val="00FF6098"/>
    <w:rsid w:val="00FF60B9"/>
    <w:rsid w:val="00FF6136"/>
    <w:rsid w:val="00FF645A"/>
    <w:rsid w:val="00FF64DF"/>
    <w:rsid w:val="00FF66E5"/>
    <w:rsid w:val="00FF6BD1"/>
    <w:rsid w:val="00FF6CA6"/>
    <w:rsid w:val="00FF6EB4"/>
    <w:rsid w:val="00FF6ED3"/>
    <w:rsid w:val="00FF709A"/>
    <w:rsid w:val="00FF70C3"/>
    <w:rsid w:val="00FF713E"/>
    <w:rsid w:val="00FF7294"/>
    <w:rsid w:val="00FF7407"/>
    <w:rsid w:val="00FF747E"/>
    <w:rsid w:val="00FF76C1"/>
    <w:rsid w:val="00FF77EE"/>
    <w:rsid w:val="00FF7CDC"/>
    <w:rsid w:val="00FF7E89"/>
    <w:rsid w:val="02E85594"/>
    <w:rsid w:val="043897AE"/>
    <w:rsid w:val="055F2D5B"/>
    <w:rsid w:val="07DCAD47"/>
    <w:rsid w:val="0A190951"/>
    <w:rsid w:val="0D9AE18D"/>
    <w:rsid w:val="0E74CF1F"/>
    <w:rsid w:val="0ED8DB9E"/>
    <w:rsid w:val="0FF536E4"/>
    <w:rsid w:val="1047E76D"/>
    <w:rsid w:val="107AE165"/>
    <w:rsid w:val="11E004BB"/>
    <w:rsid w:val="18670CDB"/>
    <w:rsid w:val="19116A94"/>
    <w:rsid w:val="196BFF12"/>
    <w:rsid w:val="19D15727"/>
    <w:rsid w:val="1BB69558"/>
    <w:rsid w:val="1C09E00E"/>
    <w:rsid w:val="1C827F64"/>
    <w:rsid w:val="1E38F731"/>
    <w:rsid w:val="2126AC40"/>
    <w:rsid w:val="22E1811E"/>
    <w:rsid w:val="235653C1"/>
    <w:rsid w:val="25BF7558"/>
    <w:rsid w:val="285C8F08"/>
    <w:rsid w:val="2ECAE06D"/>
    <w:rsid w:val="2F1D538D"/>
    <w:rsid w:val="2FAF869D"/>
    <w:rsid w:val="30C18D4D"/>
    <w:rsid w:val="319C574A"/>
    <w:rsid w:val="32B38D05"/>
    <w:rsid w:val="3320391E"/>
    <w:rsid w:val="339A94EC"/>
    <w:rsid w:val="33C9A133"/>
    <w:rsid w:val="35715763"/>
    <w:rsid w:val="36814890"/>
    <w:rsid w:val="3B78A74D"/>
    <w:rsid w:val="3BE02979"/>
    <w:rsid w:val="3D9BF383"/>
    <w:rsid w:val="3EBB0F4E"/>
    <w:rsid w:val="406C006A"/>
    <w:rsid w:val="40CC8114"/>
    <w:rsid w:val="4519C6AF"/>
    <w:rsid w:val="4581D5C9"/>
    <w:rsid w:val="46130DB5"/>
    <w:rsid w:val="46DC3375"/>
    <w:rsid w:val="488A8746"/>
    <w:rsid w:val="4CC64C78"/>
    <w:rsid w:val="4D8B2443"/>
    <w:rsid w:val="4E879277"/>
    <w:rsid w:val="4E8938CF"/>
    <w:rsid w:val="4FA1D2BA"/>
    <w:rsid w:val="51745390"/>
    <w:rsid w:val="51C61292"/>
    <w:rsid w:val="53FCF213"/>
    <w:rsid w:val="54A36D52"/>
    <w:rsid w:val="551AA450"/>
    <w:rsid w:val="553B8762"/>
    <w:rsid w:val="55511491"/>
    <w:rsid w:val="559619DE"/>
    <w:rsid w:val="56E6D3FF"/>
    <w:rsid w:val="57CF5A4D"/>
    <w:rsid w:val="589F45D1"/>
    <w:rsid w:val="58FF40B5"/>
    <w:rsid w:val="5C14ED16"/>
    <w:rsid w:val="5DA0E366"/>
    <w:rsid w:val="5E8DCB79"/>
    <w:rsid w:val="5F55A5E9"/>
    <w:rsid w:val="60812B9B"/>
    <w:rsid w:val="60FD989D"/>
    <w:rsid w:val="613AF52D"/>
    <w:rsid w:val="62B7503D"/>
    <w:rsid w:val="648E669C"/>
    <w:rsid w:val="66FFB227"/>
    <w:rsid w:val="673695C9"/>
    <w:rsid w:val="67B8E9B5"/>
    <w:rsid w:val="695AB280"/>
    <w:rsid w:val="6A76996F"/>
    <w:rsid w:val="70867C9F"/>
    <w:rsid w:val="7091691A"/>
    <w:rsid w:val="71553DAC"/>
    <w:rsid w:val="7167E6DE"/>
    <w:rsid w:val="722A6C5C"/>
    <w:rsid w:val="73EEB1AC"/>
    <w:rsid w:val="799B6737"/>
    <w:rsid w:val="7EA840BE"/>
    <w:rsid w:val="7F6588C2"/>
  </w:rsids>
  <m:mathPr>
    <m:mathFont m:val="Cambria Math"/>
    <m:brkBin m:val="before"/>
    <m:brkBinSub m:val="--"/>
    <m:smallFrac/>
    <m:dispDef/>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f4a8"/>
    </o:shapedefaults>
    <o:shapelayout v:ext="edit">
      <o:idmap v:ext="edit" data="1"/>
    </o:shapelayout>
  </w:shapeDefaults>
  <w:decimalSymbol w:val="."/>
  <w:listSeparator w:val=","/>
  <w15:docId w15:val="{EE92E1E6-DDDC-4657-92AD-2327D3F6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CA"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uiPriority="19" w:qFormat="1"/>
    <w:lsdException w:name="Medium List 2 Accent 6"/>
    <w:lsdException w:name="Medium Grid 1 Accent 6"/>
    <w:lsdException w:name="Medium Grid 2 Accent 6"/>
    <w:lsdException w:name="Medium Grid 3 Accent 6"/>
    <w:lsdException w:name="Dark List Accent 6"/>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4E4F"/>
    <w:pPr>
      <w:spacing w:after="200" w:line="276" w:lineRule="auto"/>
    </w:pPr>
    <w:rPr>
      <w:rFonts w:ascii="Calibri" w:eastAsia="Calibri" w:hAnsi="Calibri"/>
      <w:sz w:val="22"/>
      <w:szCs w:val="22"/>
      <w:lang w:val="en-GB"/>
    </w:rPr>
  </w:style>
  <w:style w:type="paragraph" w:styleId="Heading1">
    <w:name w:val="heading 1"/>
    <w:basedOn w:val="Normal"/>
    <w:next w:val="Normal"/>
    <w:link w:val="Heading1Char"/>
    <w:uiPriority w:val="99"/>
    <w:qFormat/>
    <w:rsid w:val="00916B8B"/>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916B8B"/>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rsid w:val="00287EBC"/>
    <w:pPr>
      <w:keepNext/>
      <w:keepLines/>
      <w:numPr>
        <w:ilvl w:val="2"/>
        <w:numId w:val="1"/>
      </w:numPr>
      <w:spacing w:before="200" w:after="0"/>
      <w:outlineLvl w:val="2"/>
    </w:pPr>
    <w:rPr>
      <w:rFonts w:ascii="Calibri Light" w:eastAsia="MS Gothic" w:hAnsi="Calibri Light"/>
      <w:b/>
      <w:bCs/>
      <w:color w:val="5B9BD5"/>
    </w:rPr>
  </w:style>
  <w:style w:type="paragraph" w:styleId="Heading4">
    <w:name w:val="heading 4"/>
    <w:basedOn w:val="Normal"/>
    <w:next w:val="Normal"/>
    <w:link w:val="Heading4Char"/>
    <w:rsid w:val="00287EBC"/>
    <w:pPr>
      <w:keepNext/>
      <w:keepLines/>
      <w:numPr>
        <w:ilvl w:val="3"/>
        <w:numId w:val="1"/>
      </w:numPr>
      <w:spacing w:before="200" w:after="0"/>
      <w:outlineLvl w:val="3"/>
    </w:pPr>
    <w:rPr>
      <w:rFonts w:ascii="Calibri Light" w:eastAsia="MS Gothic" w:hAnsi="Calibri Light"/>
      <w:b/>
      <w:bCs/>
      <w:i/>
      <w:iCs/>
      <w:color w:val="5B9BD5"/>
    </w:rPr>
  </w:style>
  <w:style w:type="paragraph" w:styleId="Heading5">
    <w:name w:val="heading 5"/>
    <w:basedOn w:val="Normal"/>
    <w:next w:val="Normal"/>
    <w:link w:val="Heading5Char"/>
    <w:rsid w:val="00287EBC"/>
    <w:pPr>
      <w:keepNext/>
      <w:keepLines/>
      <w:numPr>
        <w:ilvl w:val="4"/>
        <w:numId w:val="1"/>
      </w:numPr>
      <w:spacing w:before="200" w:after="0"/>
      <w:outlineLvl w:val="4"/>
    </w:pPr>
    <w:rPr>
      <w:rFonts w:ascii="Calibri Light" w:eastAsia="MS Gothic" w:hAnsi="Calibri Light"/>
      <w:color w:val="1F4E79"/>
    </w:rPr>
  </w:style>
  <w:style w:type="paragraph" w:styleId="Heading6">
    <w:name w:val="heading 6"/>
    <w:basedOn w:val="Normal"/>
    <w:next w:val="Normal"/>
    <w:link w:val="Heading6Char"/>
    <w:rsid w:val="00287EBC"/>
    <w:pPr>
      <w:keepNext/>
      <w:keepLines/>
      <w:numPr>
        <w:ilvl w:val="5"/>
        <w:numId w:val="1"/>
      </w:numPr>
      <w:spacing w:before="200" w:after="0"/>
      <w:outlineLvl w:val="5"/>
    </w:pPr>
    <w:rPr>
      <w:rFonts w:ascii="Calibri Light" w:eastAsia="MS Gothic" w:hAnsi="Calibri Light"/>
      <w:i/>
      <w:iCs/>
      <w:color w:val="1F4E79"/>
    </w:rPr>
  </w:style>
  <w:style w:type="paragraph" w:styleId="Heading7">
    <w:name w:val="heading 7"/>
    <w:basedOn w:val="Normal"/>
    <w:next w:val="Normal"/>
    <w:link w:val="Heading7Char"/>
    <w:rsid w:val="00287EBC"/>
    <w:pPr>
      <w:keepNext/>
      <w:keepLines/>
      <w:numPr>
        <w:ilvl w:val="6"/>
        <w:numId w:val="1"/>
      </w:numPr>
      <w:spacing w:before="200" w:after="0"/>
      <w:outlineLvl w:val="6"/>
    </w:pPr>
    <w:rPr>
      <w:rFonts w:ascii="Calibri Light" w:eastAsia="MS Gothic" w:hAnsi="Calibri Light"/>
      <w:i/>
      <w:iCs/>
      <w:color w:val="404040"/>
    </w:rPr>
  </w:style>
  <w:style w:type="paragraph" w:styleId="Heading8">
    <w:name w:val="heading 8"/>
    <w:basedOn w:val="Normal"/>
    <w:next w:val="Normal"/>
    <w:link w:val="Heading8Char"/>
    <w:rsid w:val="00287EBC"/>
    <w:pPr>
      <w:keepNext/>
      <w:keepLines/>
      <w:numPr>
        <w:ilvl w:val="7"/>
        <w:numId w:val="1"/>
      </w:numPr>
      <w:spacing w:before="200" w:after="0"/>
      <w:outlineLvl w:val="7"/>
    </w:pPr>
    <w:rPr>
      <w:rFonts w:ascii="Calibri Light" w:eastAsia="MS Gothic" w:hAnsi="Calibri Light"/>
      <w:color w:val="363636"/>
      <w:sz w:val="20"/>
      <w:szCs w:val="20"/>
    </w:rPr>
  </w:style>
  <w:style w:type="paragraph" w:styleId="Heading9">
    <w:name w:val="heading 9"/>
    <w:basedOn w:val="Normal"/>
    <w:next w:val="Normal"/>
    <w:link w:val="Heading9Char"/>
    <w:rsid w:val="00287EBC"/>
    <w:pPr>
      <w:keepNext/>
      <w:keepLines/>
      <w:numPr>
        <w:ilvl w:val="8"/>
        <w:numId w:val="1"/>
      </w:numPr>
      <w:spacing w:before="200" w:after="0"/>
      <w:outlineLvl w:val="8"/>
    </w:pPr>
    <w:rPr>
      <w:rFonts w:ascii="Calibri Light" w:eastAsia="MS Gothic" w:hAnsi="Calibri Light"/>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916B8B"/>
    <w:pPr>
      <w:spacing w:after="0" w:line="240" w:lineRule="auto"/>
    </w:pPr>
    <w:rPr>
      <w:rFonts w:ascii="Tahoma" w:hAnsi="Tahoma"/>
      <w:sz w:val="16"/>
      <w:szCs w:val="16"/>
    </w:rPr>
  </w:style>
  <w:style w:type="character" w:customStyle="1" w:styleId="BalloonTextChar">
    <w:name w:val="Balloon Text Char"/>
    <w:uiPriority w:val="99"/>
    <w:semiHidden/>
    <w:rsid w:val="00502B5D"/>
    <w:rPr>
      <w:rFonts w:ascii="Lucida Grande" w:hAnsi="Lucida Grande" w:cs="Lucida Grande"/>
      <w:sz w:val="18"/>
      <w:szCs w:val="18"/>
    </w:rPr>
  </w:style>
  <w:style w:type="character" w:customStyle="1" w:styleId="BalloonTextChar9">
    <w:name w:val="Balloon Text Char9"/>
    <w:uiPriority w:val="99"/>
    <w:semiHidden/>
    <w:rsid w:val="00502B5D"/>
    <w:rPr>
      <w:rFonts w:ascii="Lucida Grande" w:hAnsi="Lucida Grande" w:cs="Lucida Grande"/>
      <w:sz w:val="18"/>
      <w:szCs w:val="18"/>
    </w:rPr>
  </w:style>
  <w:style w:type="character" w:customStyle="1" w:styleId="BalloonTextChar8">
    <w:name w:val="Balloon Text Char8"/>
    <w:uiPriority w:val="99"/>
    <w:semiHidden/>
    <w:rsid w:val="00502B5D"/>
    <w:rPr>
      <w:rFonts w:ascii="Lucida Grande" w:hAnsi="Lucida Grande" w:cs="Lucida Grande"/>
      <w:sz w:val="18"/>
      <w:szCs w:val="18"/>
    </w:rPr>
  </w:style>
  <w:style w:type="character" w:customStyle="1" w:styleId="BalloonTextChar7">
    <w:name w:val="Balloon Text Char7"/>
    <w:uiPriority w:val="99"/>
    <w:semiHidden/>
    <w:rsid w:val="00502B5D"/>
    <w:rPr>
      <w:rFonts w:ascii="Lucida Grande" w:hAnsi="Lucida Grande" w:cs="Lucida Grande"/>
      <w:sz w:val="18"/>
      <w:szCs w:val="18"/>
    </w:rPr>
  </w:style>
  <w:style w:type="character" w:customStyle="1" w:styleId="BalloonTextChar6">
    <w:name w:val="Balloon Text Char6"/>
    <w:uiPriority w:val="99"/>
    <w:semiHidden/>
    <w:rsid w:val="008E2B1E"/>
    <w:rPr>
      <w:rFonts w:ascii="Lucida Grande" w:hAnsi="Lucida Grande" w:cs="Lucida Grande"/>
      <w:sz w:val="18"/>
      <w:szCs w:val="18"/>
    </w:rPr>
  </w:style>
  <w:style w:type="character" w:customStyle="1" w:styleId="BalloonTextChar5">
    <w:name w:val="Balloon Text Char5"/>
    <w:uiPriority w:val="99"/>
    <w:semiHidden/>
    <w:rsid w:val="008E2B1E"/>
    <w:rPr>
      <w:rFonts w:ascii="Lucida Grande" w:hAnsi="Lucida Grande" w:cs="Lucida Grande"/>
      <w:sz w:val="18"/>
      <w:szCs w:val="18"/>
    </w:rPr>
  </w:style>
  <w:style w:type="character" w:customStyle="1" w:styleId="BalloonTextChar4">
    <w:name w:val="Balloon Text Char4"/>
    <w:uiPriority w:val="99"/>
    <w:semiHidden/>
    <w:rsid w:val="008E2B1E"/>
    <w:rPr>
      <w:rFonts w:ascii="Lucida Grande" w:hAnsi="Lucida Grande" w:cs="Lucida Grande"/>
      <w:sz w:val="18"/>
      <w:szCs w:val="18"/>
    </w:rPr>
  </w:style>
  <w:style w:type="character" w:customStyle="1" w:styleId="Heading1Char">
    <w:name w:val="Heading 1 Char"/>
    <w:link w:val="Heading1"/>
    <w:uiPriority w:val="99"/>
    <w:rsid w:val="00916B8B"/>
    <w:rPr>
      <w:rFonts w:eastAsia="Calibri"/>
      <w:b/>
      <w:bCs/>
      <w:color w:val="365F91"/>
      <w:sz w:val="28"/>
      <w:szCs w:val="28"/>
      <w:lang w:val="en-GB"/>
    </w:rPr>
  </w:style>
  <w:style w:type="character" w:customStyle="1" w:styleId="Heading2Char">
    <w:name w:val="Heading 2 Char"/>
    <w:link w:val="Heading2"/>
    <w:uiPriority w:val="99"/>
    <w:rsid w:val="00916B8B"/>
    <w:rPr>
      <w:rFonts w:eastAsia="Calibri"/>
      <w:b/>
      <w:bCs/>
      <w:color w:val="4F81BD"/>
      <w:sz w:val="26"/>
      <w:szCs w:val="26"/>
      <w:lang w:val="en-GB"/>
    </w:rPr>
  </w:style>
  <w:style w:type="character" w:customStyle="1" w:styleId="BalloonTextChar3">
    <w:name w:val="Balloon Text Char3"/>
    <w:uiPriority w:val="99"/>
    <w:semiHidden/>
    <w:rsid w:val="00916B8B"/>
    <w:rPr>
      <w:rFonts w:ascii="Lucida Grande" w:eastAsia="Calibri" w:hAnsi="Lucida Grande" w:cs="Lucida Grande"/>
      <w:sz w:val="18"/>
      <w:szCs w:val="18"/>
    </w:rPr>
  </w:style>
  <w:style w:type="character" w:customStyle="1" w:styleId="BalloonTextChar2">
    <w:name w:val="Balloon Text Char2"/>
    <w:uiPriority w:val="99"/>
    <w:semiHidden/>
    <w:locked/>
    <w:rsid w:val="00916B8B"/>
    <w:rPr>
      <w:rFonts w:ascii="Lucida Grande" w:hAnsi="Lucida Grande" w:cs="Times New Roman"/>
      <w:sz w:val="18"/>
      <w:szCs w:val="18"/>
    </w:rPr>
  </w:style>
  <w:style w:type="paragraph" w:customStyle="1" w:styleId="ColorfulList-Accent11">
    <w:name w:val="Colorful List - Accent 11"/>
    <w:basedOn w:val="Normal"/>
    <w:uiPriority w:val="99"/>
    <w:qFormat/>
    <w:rsid w:val="00916B8B"/>
    <w:pPr>
      <w:ind w:left="720"/>
      <w:contextualSpacing/>
    </w:pPr>
  </w:style>
  <w:style w:type="character" w:customStyle="1" w:styleId="BalloonTextChar1">
    <w:name w:val="Balloon Text Char1"/>
    <w:link w:val="BalloonText"/>
    <w:uiPriority w:val="99"/>
    <w:semiHidden/>
    <w:locked/>
    <w:rsid w:val="00916B8B"/>
    <w:rPr>
      <w:rFonts w:ascii="Tahoma" w:eastAsia="Calibri" w:hAnsi="Tahoma" w:cs="Times New Roman"/>
      <w:sz w:val="16"/>
      <w:szCs w:val="16"/>
    </w:rPr>
  </w:style>
  <w:style w:type="paragraph" w:customStyle="1" w:styleId="MediumGrid21">
    <w:name w:val="Medium Grid 21"/>
    <w:link w:val="MediumGrid2Char"/>
    <w:uiPriority w:val="99"/>
    <w:semiHidden/>
    <w:qFormat/>
    <w:rsid w:val="00916B8B"/>
    <w:rPr>
      <w:rFonts w:ascii="Calibri" w:eastAsia="Times New Roman" w:hAnsi="Calibri"/>
      <w:sz w:val="22"/>
      <w:szCs w:val="22"/>
      <w:lang w:val="en-US"/>
    </w:rPr>
  </w:style>
  <w:style w:type="character" w:customStyle="1" w:styleId="MediumGrid2Char">
    <w:name w:val="Medium Grid 2 Char"/>
    <w:link w:val="MediumGrid21"/>
    <w:uiPriority w:val="99"/>
    <w:semiHidden/>
    <w:locked/>
    <w:rsid w:val="00916B8B"/>
    <w:rPr>
      <w:rFonts w:ascii="Calibri" w:eastAsia="Times New Roman" w:hAnsi="Calibri"/>
      <w:sz w:val="22"/>
      <w:szCs w:val="22"/>
      <w:lang w:bidi="ar-SA"/>
    </w:rPr>
  </w:style>
  <w:style w:type="paragraph" w:styleId="BodyText0">
    <w:name w:val="Body Text"/>
    <w:basedOn w:val="Normal"/>
    <w:link w:val="BodyTextChar"/>
    <w:uiPriority w:val="99"/>
    <w:semiHidden/>
    <w:rsid w:val="00916B8B"/>
    <w:pPr>
      <w:spacing w:after="0" w:line="240" w:lineRule="auto"/>
    </w:pPr>
    <w:rPr>
      <w:rFonts w:ascii="Arial" w:hAnsi="Arial"/>
      <w:b/>
      <w:bCs/>
      <w:sz w:val="20"/>
      <w:szCs w:val="20"/>
    </w:rPr>
  </w:style>
  <w:style w:type="character" w:customStyle="1" w:styleId="BodyTextChar">
    <w:name w:val="Body Text Char"/>
    <w:link w:val="BodyText0"/>
    <w:uiPriority w:val="99"/>
    <w:semiHidden/>
    <w:rsid w:val="00916B8B"/>
    <w:rPr>
      <w:rFonts w:ascii="Arial" w:eastAsia="Calibri" w:hAnsi="Arial" w:cs="Times New Roman"/>
      <w:b/>
      <w:bCs/>
      <w:sz w:val="20"/>
      <w:szCs w:val="20"/>
      <w:lang w:val="en-GB"/>
    </w:rPr>
  </w:style>
  <w:style w:type="character" w:customStyle="1" w:styleId="Normal1">
    <w:name w:val="Normal1"/>
    <w:uiPriority w:val="99"/>
    <w:rsid w:val="00916B8B"/>
    <w:rPr>
      <w:rFonts w:cs="Times New Roman"/>
    </w:rPr>
  </w:style>
  <w:style w:type="paragraph" w:customStyle="1" w:styleId="Default">
    <w:name w:val="Default"/>
    <w:rsid w:val="00916B8B"/>
    <w:pPr>
      <w:autoSpaceDE w:val="0"/>
      <w:autoSpaceDN w:val="0"/>
      <w:adjustRightInd w:val="0"/>
    </w:pPr>
    <w:rPr>
      <w:rFonts w:ascii="Calibri" w:eastAsia="Calibri" w:hAnsi="Calibri" w:cs="Calibri"/>
      <w:color w:val="000000"/>
      <w:sz w:val="24"/>
      <w:szCs w:val="24"/>
      <w:lang w:val="en-US"/>
    </w:rPr>
  </w:style>
  <w:style w:type="paragraph" w:styleId="FootnoteText">
    <w:name w:val="footnote text"/>
    <w:aliases w:val="Footnote Text Char1,Footnote Text Char2,Footnote Text Char1 Char1,Footnote Text Char Char Char1,Footnote Text Char1 Char Char,Footnote Text Char Char Char Char,Footnote Text Char Char1 Char,Footnote Text Char Char2,ft,single space,Char,f"/>
    <w:basedOn w:val="Normal"/>
    <w:link w:val="FootnoteTextChar"/>
    <w:uiPriority w:val="99"/>
    <w:qFormat/>
    <w:rsid w:val="00916B8B"/>
    <w:pPr>
      <w:spacing w:after="0" w:line="240" w:lineRule="auto"/>
    </w:pPr>
    <w:rPr>
      <w:sz w:val="20"/>
      <w:szCs w:val="20"/>
    </w:rPr>
  </w:style>
  <w:style w:type="character" w:customStyle="1" w:styleId="FootnoteTextChar">
    <w:name w:val="Footnote Text Char"/>
    <w:aliases w:val="Footnote Text Char1 Char,Footnote Text Char2 Char,Footnote Text Char1 Char1 Char,Footnote Text Char Char Char1 Char,Footnote Text Char1 Char Char Char,Footnote Text Char Char Char Char Char,Footnote Text Char Char1 Char Char,ft Char"/>
    <w:link w:val="FootnoteText"/>
    <w:uiPriority w:val="99"/>
    <w:rsid w:val="00916B8B"/>
    <w:rPr>
      <w:rFonts w:ascii="Calibri" w:eastAsia="Calibri" w:hAnsi="Calibri" w:cs="Times New Roman"/>
      <w:sz w:val="20"/>
      <w:szCs w:val="20"/>
    </w:rPr>
  </w:style>
  <w:style w:type="character" w:styleId="FootnoteReference">
    <w:name w:val="footnote reference"/>
    <w:aliases w:val="ftref,Carattere Char1,Carattere Char Char Carattere Carattere Char Char,16 Point,Superscript 6 Point,footnote ref,nota pié di pagina,FNRefe Char,BVI fnr Char,BVI fnr Char Char,BVI fnr Car Car Char Char,BVI fnr Car Char Char,fr,SUPERS"/>
    <w:link w:val="BVIfnrCarCar"/>
    <w:uiPriority w:val="99"/>
    <w:qFormat/>
    <w:rsid w:val="00916B8B"/>
    <w:rPr>
      <w:rFonts w:cs="Times New Roman"/>
      <w:vertAlign w:val="superscript"/>
    </w:rPr>
  </w:style>
  <w:style w:type="paragraph" w:styleId="Header">
    <w:name w:val="header"/>
    <w:basedOn w:val="Normal"/>
    <w:link w:val="HeaderChar"/>
    <w:uiPriority w:val="99"/>
    <w:rsid w:val="00916B8B"/>
    <w:pPr>
      <w:tabs>
        <w:tab w:val="center" w:pos="4680"/>
        <w:tab w:val="right" w:pos="9360"/>
      </w:tabs>
      <w:spacing w:after="0" w:line="240" w:lineRule="auto"/>
    </w:pPr>
    <w:rPr>
      <w:sz w:val="20"/>
      <w:szCs w:val="20"/>
    </w:rPr>
  </w:style>
  <w:style w:type="character" w:customStyle="1" w:styleId="HeaderChar">
    <w:name w:val="Header Char"/>
    <w:link w:val="Header"/>
    <w:uiPriority w:val="99"/>
    <w:rsid w:val="00916B8B"/>
    <w:rPr>
      <w:rFonts w:ascii="Calibri" w:eastAsia="Calibri" w:hAnsi="Calibri" w:cs="Times New Roman"/>
      <w:sz w:val="20"/>
      <w:szCs w:val="20"/>
    </w:rPr>
  </w:style>
  <w:style w:type="paragraph" w:styleId="Footer">
    <w:name w:val="footer"/>
    <w:basedOn w:val="Normal"/>
    <w:link w:val="FooterChar"/>
    <w:uiPriority w:val="99"/>
    <w:rsid w:val="00916B8B"/>
    <w:pPr>
      <w:tabs>
        <w:tab w:val="center" w:pos="4680"/>
        <w:tab w:val="right" w:pos="9360"/>
      </w:tabs>
      <w:spacing w:after="0" w:line="240" w:lineRule="auto"/>
    </w:pPr>
    <w:rPr>
      <w:sz w:val="20"/>
      <w:szCs w:val="20"/>
    </w:rPr>
  </w:style>
  <w:style w:type="character" w:customStyle="1" w:styleId="FooterChar">
    <w:name w:val="Footer Char"/>
    <w:link w:val="Footer"/>
    <w:uiPriority w:val="99"/>
    <w:rsid w:val="00916B8B"/>
    <w:rPr>
      <w:rFonts w:ascii="Calibri" w:eastAsia="Calibri" w:hAnsi="Calibri" w:cs="Times New Roman"/>
      <w:sz w:val="20"/>
      <w:szCs w:val="20"/>
    </w:rPr>
  </w:style>
  <w:style w:type="table" w:customStyle="1" w:styleId="LightShading-Accent11">
    <w:name w:val="Light Shading - Accent 11"/>
    <w:uiPriority w:val="99"/>
    <w:rsid w:val="00916B8B"/>
    <w:rPr>
      <w:rFonts w:ascii="Calibri" w:eastAsia="Calibri" w:hAnsi="Calibri"/>
      <w:color w:val="365F91"/>
      <w:sz w:val="24"/>
      <w:szCs w:val="24"/>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TableGrid">
    <w:name w:val="Table Grid"/>
    <w:basedOn w:val="TableNormal"/>
    <w:uiPriority w:val="39"/>
    <w:rsid w:val="00916B8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2">
    <w:name w:val="Light Shading - Accent 12"/>
    <w:uiPriority w:val="99"/>
    <w:rsid w:val="00916B8B"/>
    <w:rPr>
      <w:rFonts w:ascii="Calibri" w:eastAsia="Calibri" w:hAnsi="Calibri"/>
      <w:color w:val="365F91"/>
      <w:sz w:val="24"/>
      <w:szCs w:val="24"/>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SingleTxt">
    <w:name w:val="__Single Txt"/>
    <w:basedOn w:val="Normal"/>
    <w:uiPriority w:val="99"/>
    <w:rsid w:val="00916B8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rPr>
  </w:style>
  <w:style w:type="character" w:customStyle="1" w:styleId="CharChar">
    <w:name w:val="Char Char"/>
    <w:locked/>
    <w:rsid w:val="00916B8B"/>
    <w:rPr>
      <w:rFonts w:ascii="Times New Roman" w:hAnsi="Times New Roman" w:cs="Times New Roman"/>
      <w:sz w:val="16"/>
      <w:szCs w:val="16"/>
    </w:rPr>
  </w:style>
  <w:style w:type="paragraph" w:styleId="PlainText">
    <w:name w:val="Plain Text"/>
    <w:basedOn w:val="Normal"/>
    <w:link w:val="PlainTextChar"/>
    <w:uiPriority w:val="99"/>
    <w:rsid w:val="00916B8B"/>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916B8B"/>
    <w:rPr>
      <w:rFonts w:ascii="Consolas" w:eastAsia="Times New Roman" w:hAnsi="Consolas" w:cs="Times New Roman"/>
      <w:sz w:val="21"/>
      <w:szCs w:val="21"/>
    </w:rPr>
  </w:style>
  <w:style w:type="paragraph" w:styleId="NormalWeb">
    <w:name w:val="Normal (Web)"/>
    <w:basedOn w:val="Normal"/>
    <w:uiPriority w:val="99"/>
    <w:rsid w:val="00916B8B"/>
    <w:pPr>
      <w:spacing w:before="100" w:beforeAutospacing="1" w:after="100" w:afterAutospacing="1" w:line="312" w:lineRule="auto"/>
    </w:pPr>
    <w:rPr>
      <w:rFonts w:ascii="Times New Roman" w:eastAsia="Times New Roman" w:hAnsi="Times New Roman"/>
      <w:sz w:val="24"/>
      <w:szCs w:val="24"/>
    </w:rPr>
  </w:style>
  <w:style w:type="character" w:styleId="CommentReference">
    <w:name w:val="annotation reference"/>
    <w:uiPriority w:val="99"/>
    <w:rsid w:val="00916B8B"/>
    <w:rPr>
      <w:rFonts w:cs="Times New Roman"/>
      <w:sz w:val="16"/>
      <w:szCs w:val="16"/>
    </w:rPr>
  </w:style>
  <w:style w:type="paragraph" w:styleId="CommentText">
    <w:name w:val="annotation text"/>
    <w:aliases w:val="Char1"/>
    <w:basedOn w:val="Normal"/>
    <w:link w:val="CommentTextChar1"/>
    <w:uiPriority w:val="99"/>
    <w:rsid w:val="00916B8B"/>
    <w:pPr>
      <w:spacing w:line="240" w:lineRule="auto"/>
    </w:pPr>
    <w:rPr>
      <w:sz w:val="20"/>
      <w:szCs w:val="20"/>
    </w:rPr>
  </w:style>
  <w:style w:type="character" w:customStyle="1" w:styleId="CommentTextChar">
    <w:name w:val="Comment Text Char"/>
    <w:aliases w:val="Char1 Char"/>
    <w:uiPriority w:val="99"/>
    <w:rsid w:val="00916B8B"/>
    <w:rPr>
      <w:rFonts w:ascii="Calibri" w:eastAsia="Calibri" w:hAnsi="Calibri" w:cs="Times New Roman"/>
    </w:rPr>
  </w:style>
  <w:style w:type="character" w:customStyle="1" w:styleId="CommentTextChar1">
    <w:name w:val="Comment Text Char1"/>
    <w:aliases w:val="Char1 Char1"/>
    <w:link w:val="CommentText"/>
    <w:uiPriority w:val="99"/>
    <w:locked/>
    <w:rsid w:val="00916B8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rsid w:val="00916B8B"/>
    <w:rPr>
      <w:b/>
      <w:bCs/>
    </w:rPr>
  </w:style>
  <w:style w:type="character" w:customStyle="1" w:styleId="CommentSubjectChar">
    <w:name w:val="Comment Subject Char"/>
    <w:link w:val="CommentSubject"/>
    <w:uiPriority w:val="99"/>
    <w:rsid w:val="00916B8B"/>
    <w:rPr>
      <w:rFonts w:ascii="Calibri" w:eastAsia="Calibri" w:hAnsi="Calibri" w:cs="Times New Roman"/>
      <w:b/>
      <w:bCs/>
      <w:sz w:val="20"/>
      <w:szCs w:val="20"/>
    </w:rPr>
  </w:style>
  <w:style w:type="character" w:styleId="Hyperlink">
    <w:name w:val="Hyperlink"/>
    <w:uiPriority w:val="99"/>
    <w:rsid w:val="00916B8B"/>
    <w:rPr>
      <w:rFonts w:cs="Times New Roman"/>
      <w:color w:val="0000FF"/>
      <w:u w:val="none"/>
    </w:rPr>
  </w:style>
  <w:style w:type="paragraph" w:customStyle="1" w:styleId="HCh">
    <w:name w:val="_ H _Ch"/>
    <w:basedOn w:val="Normal"/>
    <w:next w:val="Normal"/>
    <w:rsid w:val="00916B8B"/>
    <w:pPr>
      <w:keepNext/>
      <w:keepLines/>
      <w:widowControl w:val="0"/>
      <w:suppressAutoHyphens/>
      <w:spacing w:after="120" w:line="300" w:lineRule="exact"/>
      <w:ind w:left="1195" w:right="1109"/>
      <w:jc w:val="both"/>
      <w:outlineLvl w:val="0"/>
    </w:pPr>
    <w:rPr>
      <w:rFonts w:ascii="Times New (W1)" w:eastAsia="Times New Roman" w:hAnsi="Times New (W1)" w:cs="Times New (W1)"/>
      <w:b/>
      <w:bCs/>
      <w:spacing w:val="-2"/>
      <w:w w:val="103"/>
      <w:kern w:val="14"/>
      <w:sz w:val="28"/>
      <w:szCs w:val="28"/>
    </w:rPr>
  </w:style>
  <w:style w:type="paragraph" w:customStyle="1" w:styleId="XLarge">
    <w:name w:val="XLarge"/>
    <w:basedOn w:val="Normal"/>
    <w:rsid w:val="00916B8B"/>
    <w:pPr>
      <w:keepNext/>
      <w:keepLines/>
      <w:tabs>
        <w:tab w:val="right" w:leader="dot" w:pos="360"/>
      </w:tabs>
      <w:suppressAutoHyphens/>
      <w:spacing w:after="0" w:line="390" w:lineRule="exact"/>
      <w:outlineLvl w:val="0"/>
    </w:pPr>
    <w:rPr>
      <w:rFonts w:ascii="Times New Roman" w:eastAsia="Times New Roman" w:hAnsi="Times New Roman"/>
      <w:b/>
      <w:spacing w:val="-4"/>
      <w:w w:val="98"/>
      <w:kern w:val="14"/>
      <w:sz w:val="40"/>
      <w:szCs w:val="20"/>
    </w:rPr>
  </w:style>
  <w:style w:type="character" w:customStyle="1" w:styleId="CharChar1">
    <w:name w:val="Char Char1"/>
    <w:uiPriority w:val="99"/>
    <w:locked/>
    <w:rsid w:val="00916B8B"/>
    <w:rPr>
      <w:rFonts w:cs="Times New Roman"/>
      <w:sz w:val="16"/>
      <w:szCs w:val="16"/>
      <w:lang w:val="en-US" w:eastAsia="en-US" w:bidi="ar-SA"/>
    </w:rPr>
  </w:style>
  <w:style w:type="paragraph" w:styleId="TOCHeading">
    <w:name w:val="TOC Heading"/>
    <w:basedOn w:val="Heading1"/>
    <w:next w:val="Normal"/>
    <w:uiPriority w:val="99"/>
    <w:qFormat/>
    <w:rsid w:val="00916B8B"/>
    <w:pPr>
      <w:tabs>
        <w:tab w:val="left" w:pos="900"/>
      </w:tabs>
      <w:ind w:right="1109"/>
      <w:outlineLvl w:val="9"/>
    </w:pPr>
  </w:style>
  <w:style w:type="paragraph" w:customStyle="1" w:styleId="HM">
    <w:name w:val="_ H __M"/>
    <w:basedOn w:val="Normal"/>
    <w:next w:val="Normal"/>
    <w:uiPriority w:val="99"/>
    <w:rsid w:val="00916B8B"/>
    <w:pPr>
      <w:keepNext/>
      <w:keepLines/>
      <w:suppressAutoHyphens/>
      <w:spacing w:after="0" w:line="360" w:lineRule="exact"/>
      <w:outlineLvl w:val="0"/>
    </w:pPr>
    <w:rPr>
      <w:rFonts w:ascii="Times New Roman" w:eastAsia="Times New Roman" w:hAnsi="Times New Roman"/>
      <w:b/>
      <w:spacing w:val="-3"/>
      <w:w w:val="99"/>
      <w:kern w:val="14"/>
      <w:sz w:val="34"/>
      <w:szCs w:val="20"/>
    </w:rPr>
  </w:style>
  <w:style w:type="character" w:styleId="Strong">
    <w:name w:val="Strong"/>
    <w:uiPriority w:val="22"/>
    <w:qFormat/>
    <w:rsid w:val="00916B8B"/>
    <w:rPr>
      <w:rFonts w:cs="Times New Roman"/>
      <w:b/>
      <w:bCs/>
    </w:rPr>
  </w:style>
  <w:style w:type="paragraph" w:customStyle="1" w:styleId="H56">
    <w:name w:val="_ H_5/6"/>
    <w:basedOn w:val="Normal"/>
    <w:next w:val="Normal"/>
    <w:rsid w:val="00916B8B"/>
    <w:pPr>
      <w:keepNext/>
      <w:keepLines/>
      <w:tabs>
        <w:tab w:val="right" w:pos="360"/>
      </w:tabs>
      <w:suppressAutoHyphens/>
      <w:spacing w:after="0" w:line="240" w:lineRule="exact"/>
      <w:outlineLvl w:val="4"/>
    </w:pPr>
    <w:rPr>
      <w:rFonts w:ascii="Times New Roman" w:eastAsia="Times New Roman" w:hAnsi="Times New Roman"/>
      <w:spacing w:val="4"/>
      <w:w w:val="103"/>
      <w:kern w:val="14"/>
      <w:sz w:val="20"/>
      <w:szCs w:val="20"/>
    </w:rPr>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L"/>
    <w:basedOn w:val="Normal"/>
    <w:link w:val="ListParagraphChar"/>
    <w:uiPriority w:val="34"/>
    <w:qFormat/>
    <w:rsid w:val="00916B8B"/>
    <w:pPr>
      <w:ind w:left="720"/>
      <w:contextualSpacing/>
    </w:pPr>
    <w:rPr>
      <w:rFonts w:ascii="Cambria" w:eastAsia="Times New Roman" w:hAnsi="Cambria"/>
      <w:lang w:eastAsia="ja-JP"/>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L Char"/>
    <w:link w:val="ListParagraph"/>
    <w:uiPriority w:val="34"/>
    <w:qFormat/>
    <w:rsid w:val="00916B8B"/>
    <w:rPr>
      <w:rFonts w:ascii="Cambria" w:eastAsia="Times New Roman" w:hAnsi="Cambria" w:cs="Times New Roman"/>
      <w:sz w:val="22"/>
      <w:szCs w:val="22"/>
      <w:lang w:eastAsia="ja-JP"/>
    </w:rPr>
  </w:style>
  <w:style w:type="character" w:styleId="Emphasis">
    <w:name w:val="Emphasis"/>
    <w:uiPriority w:val="20"/>
    <w:qFormat/>
    <w:rsid w:val="00916B8B"/>
    <w:rPr>
      <w:i/>
      <w:iCs/>
    </w:rPr>
  </w:style>
  <w:style w:type="character" w:customStyle="1" w:styleId="st">
    <w:name w:val="st"/>
    <w:basedOn w:val="DefaultParagraphFont"/>
    <w:rsid w:val="00C95DEF"/>
  </w:style>
  <w:style w:type="paragraph" w:styleId="Revision">
    <w:name w:val="Revision"/>
    <w:hidden/>
    <w:rsid w:val="00D83407"/>
    <w:rPr>
      <w:rFonts w:ascii="Calibri" w:eastAsia="Calibri" w:hAnsi="Calibri"/>
      <w:sz w:val="22"/>
      <w:szCs w:val="22"/>
      <w:lang w:val="en-US"/>
    </w:rPr>
  </w:style>
  <w:style w:type="table" w:customStyle="1" w:styleId="TableGrid1">
    <w:name w:val="Table Grid1"/>
    <w:basedOn w:val="TableNormal"/>
    <w:next w:val="TableGrid"/>
    <w:uiPriority w:val="99"/>
    <w:rsid w:val="000A17C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99"/>
    <w:rsid w:val="00B4015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rsid w:val="00516E18"/>
    <w:pPr>
      <w:spacing w:before="120" w:after="0"/>
    </w:pPr>
    <w:rPr>
      <w:rFonts w:ascii="Cambria" w:hAnsi="Cambria"/>
      <w:b/>
      <w:sz w:val="24"/>
      <w:szCs w:val="24"/>
    </w:rPr>
  </w:style>
  <w:style w:type="paragraph" w:styleId="TOC2">
    <w:name w:val="toc 2"/>
    <w:basedOn w:val="Normal"/>
    <w:next w:val="Normal"/>
    <w:autoRedefine/>
    <w:rsid w:val="00516E18"/>
    <w:pPr>
      <w:spacing w:after="0"/>
      <w:ind w:left="220"/>
    </w:pPr>
    <w:rPr>
      <w:rFonts w:ascii="Cambria" w:hAnsi="Cambria"/>
      <w:b/>
    </w:rPr>
  </w:style>
  <w:style w:type="paragraph" w:styleId="TOC3">
    <w:name w:val="toc 3"/>
    <w:basedOn w:val="Normal"/>
    <w:next w:val="Normal"/>
    <w:autoRedefine/>
    <w:rsid w:val="00516E18"/>
    <w:pPr>
      <w:spacing w:after="0"/>
      <w:ind w:left="440"/>
    </w:pPr>
    <w:rPr>
      <w:rFonts w:ascii="Cambria" w:hAnsi="Cambria"/>
    </w:rPr>
  </w:style>
  <w:style w:type="paragraph" w:styleId="TOC4">
    <w:name w:val="toc 4"/>
    <w:basedOn w:val="Normal"/>
    <w:next w:val="Normal"/>
    <w:autoRedefine/>
    <w:rsid w:val="00516E18"/>
    <w:pPr>
      <w:spacing w:after="0"/>
      <w:ind w:left="660"/>
    </w:pPr>
    <w:rPr>
      <w:rFonts w:ascii="Cambria" w:hAnsi="Cambria"/>
      <w:sz w:val="20"/>
      <w:szCs w:val="20"/>
    </w:rPr>
  </w:style>
  <w:style w:type="paragraph" w:styleId="TOC5">
    <w:name w:val="toc 5"/>
    <w:basedOn w:val="Normal"/>
    <w:next w:val="Normal"/>
    <w:autoRedefine/>
    <w:rsid w:val="00516E18"/>
    <w:pPr>
      <w:spacing w:after="0"/>
      <w:ind w:left="880"/>
    </w:pPr>
    <w:rPr>
      <w:rFonts w:ascii="Cambria" w:hAnsi="Cambria"/>
      <w:sz w:val="20"/>
      <w:szCs w:val="20"/>
    </w:rPr>
  </w:style>
  <w:style w:type="paragraph" w:styleId="TOC6">
    <w:name w:val="toc 6"/>
    <w:basedOn w:val="Normal"/>
    <w:next w:val="Normal"/>
    <w:autoRedefine/>
    <w:rsid w:val="00516E18"/>
    <w:pPr>
      <w:spacing w:after="0"/>
      <w:ind w:left="1100"/>
    </w:pPr>
    <w:rPr>
      <w:rFonts w:ascii="Cambria" w:hAnsi="Cambria"/>
      <w:sz w:val="20"/>
      <w:szCs w:val="20"/>
    </w:rPr>
  </w:style>
  <w:style w:type="paragraph" w:styleId="TOC7">
    <w:name w:val="toc 7"/>
    <w:basedOn w:val="Normal"/>
    <w:next w:val="Normal"/>
    <w:autoRedefine/>
    <w:rsid w:val="00516E18"/>
    <w:pPr>
      <w:spacing w:after="0"/>
      <w:ind w:left="1320"/>
    </w:pPr>
    <w:rPr>
      <w:rFonts w:ascii="Cambria" w:hAnsi="Cambria"/>
      <w:sz w:val="20"/>
      <w:szCs w:val="20"/>
    </w:rPr>
  </w:style>
  <w:style w:type="paragraph" w:styleId="TOC8">
    <w:name w:val="toc 8"/>
    <w:basedOn w:val="Normal"/>
    <w:next w:val="Normal"/>
    <w:autoRedefine/>
    <w:rsid w:val="00516E18"/>
    <w:pPr>
      <w:spacing w:after="0"/>
      <w:ind w:left="1540"/>
    </w:pPr>
    <w:rPr>
      <w:rFonts w:ascii="Cambria" w:hAnsi="Cambria"/>
      <w:sz w:val="20"/>
      <w:szCs w:val="20"/>
    </w:rPr>
  </w:style>
  <w:style w:type="paragraph" w:styleId="TOC9">
    <w:name w:val="toc 9"/>
    <w:basedOn w:val="Normal"/>
    <w:next w:val="Normal"/>
    <w:autoRedefine/>
    <w:rsid w:val="00516E18"/>
    <w:pPr>
      <w:spacing w:after="0"/>
      <w:ind w:left="1760"/>
    </w:pPr>
    <w:rPr>
      <w:rFonts w:ascii="Cambria" w:hAnsi="Cambria"/>
      <w:sz w:val="20"/>
      <w:szCs w:val="20"/>
    </w:rPr>
  </w:style>
  <w:style w:type="paragraph" w:customStyle="1" w:styleId="TableContents">
    <w:name w:val="Table Contents"/>
    <w:basedOn w:val="Default"/>
    <w:uiPriority w:val="99"/>
    <w:rsid w:val="00900BF2"/>
    <w:pPr>
      <w:widowControl w:val="0"/>
      <w:suppressLineNumbers/>
    </w:pPr>
    <w:rPr>
      <w:rFonts w:ascii="Times New Roman" w:eastAsia="Times New Roman" w:hAnsi="Times New Roman" w:cs="Times New Roman"/>
      <w:color w:val="auto"/>
    </w:rPr>
  </w:style>
  <w:style w:type="paragraph" w:styleId="NoSpacing">
    <w:name w:val="No Spacing"/>
    <w:basedOn w:val="Normal"/>
    <w:link w:val="NoSpacingChar"/>
    <w:uiPriority w:val="1"/>
    <w:qFormat/>
    <w:rsid w:val="007E0D42"/>
    <w:pPr>
      <w:spacing w:after="0" w:line="240" w:lineRule="auto"/>
    </w:pPr>
    <w:rPr>
      <w:rFonts w:eastAsia="Cambria"/>
    </w:rPr>
  </w:style>
  <w:style w:type="character" w:customStyle="1" w:styleId="apple-style-span">
    <w:name w:val="apple-style-span"/>
    <w:basedOn w:val="DefaultParagraphFont"/>
    <w:rsid w:val="007E0D42"/>
  </w:style>
  <w:style w:type="character" w:customStyle="1" w:styleId="hps">
    <w:name w:val="hps"/>
    <w:basedOn w:val="DefaultParagraphFont"/>
    <w:rsid w:val="007E0D42"/>
  </w:style>
  <w:style w:type="character" w:styleId="FollowedHyperlink">
    <w:name w:val="FollowedHyperlink"/>
    <w:rsid w:val="00DE3D06"/>
    <w:rPr>
      <w:color w:val="0000FF"/>
      <w:u w:val="none"/>
    </w:rPr>
  </w:style>
  <w:style w:type="character" w:customStyle="1" w:styleId="NoSpacingChar">
    <w:name w:val="No Spacing Char"/>
    <w:link w:val="NoSpacing"/>
    <w:uiPriority w:val="1"/>
    <w:locked/>
    <w:rsid w:val="000618BF"/>
    <w:rPr>
      <w:rFonts w:ascii="Calibri" w:eastAsia="Cambria" w:hAnsi="Calibri"/>
      <w:sz w:val="22"/>
      <w:szCs w:val="22"/>
    </w:rPr>
  </w:style>
  <w:style w:type="character" w:customStyle="1" w:styleId="apple-converted-space">
    <w:name w:val="apple-converted-space"/>
    <w:rsid w:val="00074FF0"/>
  </w:style>
  <w:style w:type="character" w:styleId="SubtleEmphasis">
    <w:name w:val="Subtle Emphasis"/>
    <w:uiPriority w:val="19"/>
    <w:qFormat/>
    <w:rsid w:val="005327E3"/>
    <w:rPr>
      <w:i/>
      <w:iCs/>
      <w:color w:val="808080"/>
    </w:rPr>
  </w:style>
  <w:style w:type="table" w:customStyle="1" w:styleId="TableGrid2">
    <w:name w:val="Table Grid2"/>
    <w:basedOn w:val="TableNormal"/>
    <w:next w:val="TableGrid"/>
    <w:uiPriority w:val="59"/>
    <w:rsid w:val="007C41AF"/>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53F21"/>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42016"/>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683BAC"/>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Default"/>
    <w:next w:val="Default"/>
    <w:uiPriority w:val="99"/>
    <w:rsid w:val="00C34FB0"/>
    <w:pPr>
      <w:spacing w:line="191" w:lineRule="atLeast"/>
    </w:pPr>
    <w:rPr>
      <w:rFonts w:eastAsia="MS Mincho" w:cs="Times New Roman"/>
      <w:color w:val="auto"/>
    </w:rPr>
  </w:style>
  <w:style w:type="paragraph" w:customStyle="1" w:styleId="Pa8">
    <w:name w:val="Pa8"/>
    <w:basedOn w:val="Default"/>
    <w:next w:val="Default"/>
    <w:uiPriority w:val="99"/>
    <w:rsid w:val="00C34FB0"/>
    <w:pPr>
      <w:spacing w:line="191" w:lineRule="atLeast"/>
    </w:pPr>
    <w:rPr>
      <w:rFonts w:eastAsia="MS Mincho" w:cs="Times New Roman"/>
      <w:color w:val="auto"/>
    </w:rPr>
  </w:style>
  <w:style w:type="character" w:customStyle="1" w:styleId="A7">
    <w:name w:val="A7"/>
    <w:uiPriority w:val="99"/>
    <w:rsid w:val="00C34FB0"/>
    <w:rPr>
      <w:rFonts w:ascii="Wingdings" w:hAnsi="Wingdings" w:cs="Wingdings"/>
      <w:color w:val="000000"/>
      <w:sz w:val="16"/>
      <w:szCs w:val="16"/>
    </w:rPr>
  </w:style>
  <w:style w:type="character" w:customStyle="1" w:styleId="roarvalidationrule">
    <w:name w:val="roar_validationrule"/>
    <w:basedOn w:val="DefaultParagraphFont"/>
    <w:rsid w:val="000271DD"/>
  </w:style>
  <w:style w:type="character" w:customStyle="1" w:styleId="Heading3Char">
    <w:name w:val="Heading 3 Char"/>
    <w:link w:val="Heading3"/>
    <w:rsid w:val="00287EBC"/>
    <w:rPr>
      <w:rFonts w:ascii="Calibri Light" w:eastAsia="MS Gothic" w:hAnsi="Calibri Light"/>
      <w:b/>
      <w:bCs/>
      <w:color w:val="5B9BD5"/>
      <w:sz w:val="22"/>
      <w:szCs w:val="22"/>
      <w:lang w:val="en-GB"/>
    </w:rPr>
  </w:style>
  <w:style w:type="character" w:customStyle="1" w:styleId="Heading4Char">
    <w:name w:val="Heading 4 Char"/>
    <w:link w:val="Heading4"/>
    <w:rsid w:val="00287EBC"/>
    <w:rPr>
      <w:rFonts w:ascii="Calibri Light" w:eastAsia="MS Gothic" w:hAnsi="Calibri Light"/>
      <w:b/>
      <w:bCs/>
      <w:i/>
      <w:iCs/>
      <w:color w:val="5B9BD5"/>
      <w:sz w:val="22"/>
      <w:szCs w:val="22"/>
      <w:lang w:val="en-GB"/>
    </w:rPr>
  </w:style>
  <w:style w:type="character" w:customStyle="1" w:styleId="Heading5Char">
    <w:name w:val="Heading 5 Char"/>
    <w:link w:val="Heading5"/>
    <w:rsid w:val="00287EBC"/>
    <w:rPr>
      <w:rFonts w:ascii="Calibri Light" w:eastAsia="MS Gothic" w:hAnsi="Calibri Light"/>
      <w:color w:val="1F4E79"/>
      <w:sz w:val="22"/>
      <w:szCs w:val="22"/>
      <w:lang w:val="en-GB"/>
    </w:rPr>
  </w:style>
  <w:style w:type="character" w:customStyle="1" w:styleId="Heading6Char">
    <w:name w:val="Heading 6 Char"/>
    <w:link w:val="Heading6"/>
    <w:rsid w:val="00287EBC"/>
    <w:rPr>
      <w:rFonts w:ascii="Calibri Light" w:eastAsia="MS Gothic" w:hAnsi="Calibri Light"/>
      <w:i/>
      <w:iCs/>
      <w:color w:val="1F4E79"/>
      <w:sz w:val="22"/>
      <w:szCs w:val="22"/>
      <w:lang w:val="en-GB"/>
    </w:rPr>
  </w:style>
  <w:style w:type="character" w:customStyle="1" w:styleId="Heading7Char">
    <w:name w:val="Heading 7 Char"/>
    <w:link w:val="Heading7"/>
    <w:rsid w:val="00287EBC"/>
    <w:rPr>
      <w:rFonts w:ascii="Calibri Light" w:eastAsia="MS Gothic" w:hAnsi="Calibri Light"/>
      <w:i/>
      <w:iCs/>
      <w:color w:val="404040"/>
      <w:sz w:val="22"/>
      <w:szCs w:val="22"/>
      <w:lang w:val="en-GB"/>
    </w:rPr>
  </w:style>
  <w:style w:type="character" w:customStyle="1" w:styleId="Heading8Char">
    <w:name w:val="Heading 8 Char"/>
    <w:link w:val="Heading8"/>
    <w:rsid w:val="00287EBC"/>
    <w:rPr>
      <w:rFonts w:ascii="Calibri Light" w:eastAsia="MS Gothic" w:hAnsi="Calibri Light"/>
      <w:color w:val="363636"/>
      <w:lang w:val="en-GB"/>
    </w:rPr>
  </w:style>
  <w:style w:type="character" w:customStyle="1" w:styleId="Heading9Char">
    <w:name w:val="Heading 9 Char"/>
    <w:link w:val="Heading9"/>
    <w:rsid w:val="00287EBC"/>
    <w:rPr>
      <w:rFonts w:ascii="Calibri Light" w:eastAsia="MS Gothic" w:hAnsi="Calibri Light"/>
      <w:i/>
      <w:iCs/>
      <w:color w:val="363636"/>
      <w:lang w:val="en-GB"/>
    </w:rPr>
  </w:style>
  <w:style w:type="paragraph" w:customStyle="1" w:styleId="ReleaseDate">
    <w:name w:val="Release Date"/>
    <w:next w:val="Footer"/>
    <w:rsid w:val="00901BEC"/>
    <w:rPr>
      <w:rFonts w:ascii="Times New Roman" w:eastAsia="Calibri" w:hAnsi="Times New Roman"/>
      <w:spacing w:val="4"/>
      <w:w w:val="103"/>
      <w:kern w:val="14"/>
      <w:lang w:val="en-GB"/>
    </w:rPr>
  </w:style>
  <w:style w:type="character" w:customStyle="1" w:styleId="normaltextrun">
    <w:name w:val="normaltextrun"/>
    <w:rsid w:val="00974382"/>
  </w:style>
  <w:style w:type="paragraph" w:customStyle="1" w:styleId="paragraph">
    <w:name w:val="paragraph"/>
    <w:basedOn w:val="Normal"/>
    <w:rsid w:val="00C2631E"/>
    <w:pPr>
      <w:spacing w:before="100" w:beforeAutospacing="1" w:after="100" w:afterAutospacing="1" w:line="240" w:lineRule="auto"/>
    </w:pPr>
    <w:rPr>
      <w:rFonts w:ascii="Times New Roman" w:eastAsia="Times New Roman" w:hAnsi="Times New Roman"/>
      <w:sz w:val="24"/>
      <w:szCs w:val="24"/>
      <w:lang w:val="en-US" w:eastAsia="ja-JP"/>
    </w:rPr>
  </w:style>
  <w:style w:type="character" w:customStyle="1" w:styleId="eop">
    <w:name w:val="eop"/>
    <w:basedOn w:val="DefaultParagraphFont"/>
    <w:rsid w:val="00C2631E"/>
  </w:style>
  <w:style w:type="paragraph" w:styleId="HTMLPreformatted">
    <w:name w:val="HTML Preformatted"/>
    <w:basedOn w:val="Normal"/>
    <w:link w:val="HTMLPreformattedChar"/>
    <w:uiPriority w:val="99"/>
    <w:semiHidden/>
    <w:unhideWhenUsed/>
    <w:rsid w:val="008A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A4F05"/>
    <w:rPr>
      <w:rFonts w:ascii="Courier New" w:eastAsia="Times New Roman" w:hAnsi="Courier New" w:cs="Courier New"/>
      <w:lang w:val="en-US"/>
    </w:rPr>
  </w:style>
  <w:style w:type="paragraph" w:styleId="EndnoteText">
    <w:name w:val="endnote text"/>
    <w:basedOn w:val="Normal"/>
    <w:link w:val="EndnoteTextChar"/>
    <w:semiHidden/>
    <w:unhideWhenUsed/>
    <w:rsid w:val="00D4388D"/>
    <w:pPr>
      <w:spacing w:after="0" w:line="240" w:lineRule="auto"/>
    </w:pPr>
    <w:rPr>
      <w:sz w:val="20"/>
      <w:szCs w:val="20"/>
    </w:rPr>
  </w:style>
  <w:style w:type="character" w:customStyle="1" w:styleId="EndnoteTextChar">
    <w:name w:val="Endnote Text Char"/>
    <w:basedOn w:val="DefaultParagraphFont"/>
    <w:link w:val="EndnoteText"/>
    <w:semiHidden/>
    <w:rsid w:val="00D4388D"/>
    <w:rPr>
      <w:rFonts w:ascii="Calibri" w:eastAsia="Calibri" w:hAnsi="Calibri"/>
      <w:lang w:val="en-GB"/>
    </w:rPr>
  </w:style>
  <w:style w:type="character" w:styleId="EndnoteReference">
    <w:name w:val="endnote reference"/>
    <w:basedOn w:val="DefaultParagraphFont"/>
    <w:semiHidden/>
    <w:unhideWhenUsed/>
    <w:rsid w:val="00D4388D"/>
    <w:rPr>
      <w:vertAlign w:val="superscript"/>
    </w:rPr>
  </w:style>
  <w:style w:type="character" w:customStyle="1" w:styleId="P1Zchn">
    <w:name w:val="P1 Zchn"/>
    <w:link w:val="P1"/>
    <w:locked/>
    <w:rsid w:val="006F2F5C"/>
    <w:rPr>
      <w:rFonts w:ascii="Calibri Light" w:hAnsi="Calibri Light" w:cs="Calibri Light"/>
    </w:rPr>
  </w:style>
  <w:style w:type="paragraph" w:customStyle="1" w:styleId="P1">
    <w:name w:val="P1"/>
    <w:basedOn w:val="Normal"/>
    <w:link w:val="P1Zchn"/>
    <w:qFormat/>
    <w:rsid w:val="006F2F5C"/>
    <w:pPr>
      <w:spacing w:before="120" w:after="120" w:line="240" w:lineRule="auto"/>
    </w:pPr>
    <w:rPr>
      <w:rFonts w:ascii="Calibri Light" w:eastAsia="MS Mincho" w:hAnsi="Calibri Light" w:cs="Calibri Light"/>
      <w:sz w:val="20"/>
      <w:szCs w:val="20"/>
      <w:lang w:val="en-CA"/>
    </w:rPr>
  </w:style>
  <w:style w:type="character" w:customStyle="1" w:styleId="one-liner">
    <w:name w:val="one-liner"/>
    <w:basedOn w:val="DefaultParagraphFont"/>
    <w:rsid w:val="006F2F5C"/>
  </w:style>
  <w:style w:type="paragraph" w:customStyle="1" w:styleId="BVIfnrCarCar">
    <w:name w:val="BVI fnr Car Car"/>
    <w:aliases w:val="BVI fnr Car,BVI fnr Car Car Car Car Char,BVI fnr Car Car Car Car Char Char Char Char Char,BVI fnr Car Car Car Car"/>
    <w:basedOn w:val="Normal"/>
    <w:link w:val="FootnoteReference"/>
    <w:uiPriority w:val="99"/>
    <w:rsid w:val="00862C0C"/>
    <w:pPr>
      <w:spacing w:after="160" w:line="240" w:lineRule="exact"/>
    </w:pPr>
    <w:rPr>
      <w:rFonts w:ascii="Cambria" w:eastAsia="MS Mincho" w:hAnsi="Cambria"/>
      <w:sz w:val="20"/>
      <w:szCs w:val="20"/>
      <w:vertAlign w:val="superscript"/>
      <w:lang w:val="en-CA"/>
    </w:rPr>
  </w:style>
  <w:style w:type="paragraph" w:customStyle="1" w:styleId="p10">
    <w:name w:val="p1"/>
    <w:basedOn w:val="Normal"/>
    <w:uiPriority w:val="99"/>
    <w:rsid w:val="00025D44"/>
    <w:pPr>
      <w:spacing w:after="0" w:line="240" w:lineRule="auto"/>
    </w:pPr>
    <w:rPr>
      <w:rFonts w:ascii="Helvetica Neue" w:eastAsiaTheme="minorHAnsi" w:hAnsi="Helvetica Neue"/>
      <w:color w:val="454545"/>
      <w:sz w:val="18"/>
      <w:szCs w:val="18"/>
      <w:lang w:val="en-US"/>
    </w:rPr>
  </w:style>
  <w:style w:type="paragraph" w:customStyle="1" w:styleId="BodyText">
    <w:name w:val="_BodyText"/>
    <w:basedOn w:val="ListParagraph"/>
    <w:link w:val="BodyTextChar0"/>
    <w:qFormat/>
    <w:rsid w:val="0014651F"/>
    <w:pPr>
      <w:numPr>
        <w:numId w:val="4"/>
      </w:numPr>
      <w:tabs>
        <w:tab w:val="left" w:pos="1620"/>
      </w:tabs>
      <w:spacing w:before="120" w:after="120" w:line="240" w:lineRule="auto"/>
      <w:ind w:left="1260" w:firstLine="0"/>
      <w:contextualSpacing w:val="0"/>
      <w:jc w:val="both"/>
    </w:pPr>
    <w:rPr>
      <w:rFonts w:ascii="Times New Roman" w:hAnsi="Times New Roman"/>
      <w:sz w:val="20"/>
      <w:szCs w:val="20"/>
      <w:lang w:val="en-US" w:eastAsia="en-US"/>
    </w:rPr>
  </w:style>
  <w:style w:type="character" w:customStyle="1" w:styleId="BodyTextChar0">
    <w:name w:val="_BodyText Char"/>
    <w:link w:val="BodyText"/>
    <w:rsid w:val="0014651F"/>
    <w:rPr>
      <w:rFonts w:ascii="Times New Roman" w:eastAsia="Times New Roman" w:hAnsi="Times New Roman"/>
      <w:lang w:val="en-US"/>
    </w:rPr>
  </w:style>
  <w:style w:type="paragraph" w:customStyle="1" w:styleId="normal2">
    <w:name w:val="normal 2"/>
    <w:basedOn w:val="Normal"/>
    <w:qFormat/>
    <w:rsid w:val="00C76795"/>
    <w:pPr>
      <w:numPr>
        <w:numId w:val="5"/>
      </w:numPr>
      <w:tabs>
        <w:tab w:val="left" w:pos="1620"/>
      </w:tabs>
      <w:autoSpaceDE w:val="0"/>
      <w:autoSpaceDN w:val="0"/>
      <w:adjustRightInd w:val="0"/>
      <w:spacing w:before="120" w:after="0" w:line="240" w:lineRule="auto"/>
      <w:ind w:right="446"/>
      <w:jc w:val="both"/>
    </w:pPr>
    <w:rPr>
      <w:rFonts w:ascii="Times New Roman" w:eastAsia="Times New Roman" w:hAnsi="Times New Roman"/>
      <w:w w:val="103"/>
      <w:sz w:val="20"/>
      <w:szCs w:val="20"/>
    </w:rPr>
  </w:style>
  <w:style w:type="paragraph" w:customStyle="1" w:styleId="xxmsonormal">
    <w:name w:val="x_x_msonormal"/>
    <w:basedOn w:val="Normal"/>
    <w:rsid w:val="008B3C90"/>
    <w:pPr>
      <w:spacing w:after="0" w:line="240" w:lineRule="auto"/>
    </w:pPr>
    <w:rPr>
      <w:rFonts w:eastAsiaTheme="minorEastAsia"/>
      <w:lang w:val="en-US" w:eastAsia="ja-JP"/>
    </w:rPr>
  </w:style>
  <w:style w:type="character" w:customStyle="1" w:styleId="A3">
    <w:name w:val="A3"/>
    <w:basedOn w:val="DefaultParagraphFont"/>
    <w:uiPriority w:val="99"/>
    <w:rsid w:val="009F3227"/>
    <w:rPr>
      <w:rFonts w:ascii="Open Sans" w:hAnsi="Open Sans" w:hint="default"/>
      <w:color w:val="000000"/>
    </w:rPr>
  </w:style>
  <w:style w:type="paragraph" w:customStyle="1" w:styleId="xmsonormal">
    <w:name w:val="x_msonormal"/>
    <w:basedOn w:val="Normal"/>
    <w:rsid w:val="00D6176C"/>
    <w:pPr>
      <w:spacing w:after="0" w:line="240" w:lineRule="auto"/>
    </w:pPr>
    <w:rPr>
      <w:rFonts w:eastAsiaTheme="minorEastAsia" w:cs="Calibri"/>
      <w:lang w:val="en-US" w:eastAsia="ja-JP"/>
    </w:rPr>
  </w:style>
  <w:style w:type="paragraph" w:customStyle="1" w:styleId="xmsolistparagraph">
    <w:name w:val="x_msolistparagraph"/>
    <w:basedOn w:val="Normal"/>
    <w:rsid w:val="00D6176C"/>
    <w:pPr>
      <w:spacing w:after="0" w:line="240" w:lineRule="auto"/>
    </w:pPr>
    <w:rPr>
      <w:rFonts w:eastAsiaTheme="minorEastAsia" w:cs="Calibri"/>
      <w:lang w:val="en-US" w:eastAsia="ja-JP"/>
    </w:rPr>
  </w:style>
  <w:style w:type="paragraph" w:customStyle="1" w:styleId="xdefault">
    <w:name w:val="x_default"/>
    <w:basedOn w:val="Normal"/>
    <w:rsid w:val="00D6176C"/>
    <w:pPr>
      <w:spacing w:after="0" w:line="240" w:lineRule="auto"/>
    </w:pPr>
    <w:rPr>
      <w:rFonts w:eastAsiaTheme="minorEastAsia" w:cs="Calibri"/>
      <w:lang w:val="en-US" w:eastAsia="ja-JP"/>
    </w:rPr>
  </w:style>
  <w:style w:type="character" w:customStyle="1" w:styleId="answertext">
    <w:name w:val="answer_text"/>
    <w:basedOn w:val="DefaultParagraphFont"/>
    <w:rsid w:val="00D6176C"/>
  </w:style>
  <w:style w:type="character" w:customStyle="1" w:styleId="A4">
    <w:name w:val="A4"/>
    <w:uiPriority w:val="99"/>
    <w:rsid w:val="00D6176C"/>
    <w:rPr>
      <w:rFonts w:cs="Myriad Pro"/>
      <w:color w:val="000000"/>
      <w:sz w:val="20"/>
      <w:szCs w:val="20"/>
    </w:rPr>
  </w:style>
  <w:style w:type="character" w:customStyle="1" w:styleId="UnresolvedMention1">
    <w:name w:val="Unresolved Mention1"/>
    <w:basedOn w:val="DefaultParagraphFont"/>
    <w:uiPriority w:val="99"/>
    <w:semiHidden/>
    <w:unhideWhenUsed/>
    <w:rsid w:val="00D6176C"/>
    <w:rPr>
      <w:color w:val="808080"/>
      <w:shd w:val="clear" w:color="auto" w:fill="E6E6E6"/>
    </w:rPr>
  </w:style>
  <w:style w:type="character" w:customStyle="1" w:styleId="UnresolvedMention2">
    <w:name w:val="Unresolved Mention2"/>
    <w:basedOn w:val="DefaultParagraphFont"/>
    <w:uiPriority w:val="99"/>
    <w:semiHidden/>
    <w:unhideWhenUsed/>
    <w:rsid w:val="00EC14B7"/>
    <w:rPr>
      <w:color w:val="808080"/>
      <w:shd w:val="clear" w:color="auto" w:fill="E6E6E6"/>
    </w:rPr>
  </w:style>
  <w:style w:type="character" w:styleId="UnresolvedMention">
    <w:name w:val="Unresolved Mention"/>
    <w:basedOn w:val="DefaultParagraphFont"/>
    <w:uiPriority w:val="99"/>
    <w:semiHidden/>
    <w:unhideWhenUsed/>
    <w:rsid w:val="00F54456"/>
    <w:rPr>
      <w:color w:val="808080"/>
      <w:shd w:val="clear" w:color="auto" w:fill="E6E6E6"/>
    </w:rPr>
  </w:style>
  <w:style w:type="table" w:customStyle="1" w:styleId="TableGrid3">
    <w:name w:val="Table Grid3"/>
    <w:basedOn w:val="TableNormal"/>
    <w:next w:val="TableGrid"/>
    <w:uiPriority w:val="59"/>
    <w:rsid w:val="006A4560"/>
    <w:rPr>
      <w:rFonts w:ascii="Times New Roman" w:eastAsia="Batang"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664">
      <w:bodyDiv w:val="1"/>
      <w:marLeft w:val="0"/>
      <w:marRight w:val="0"/>
      <w:marTop w:val="0"/>
      <w:marBottom w:val="0"/>
      <w:divBdr>
        <w:top w:val="none" w:sz="0" w:space="0" w:color="auto"/>
        <w:left w:val="none" w:sz="0" w:space="0" w:color="auto"/>
        <w:bottom w:val="none" w:sz="0" w:space="0" w:color="auto"/>
        <w:right w:val="none" w:sz="0" w:space="0" w:color="auto"/>
      </w:divBdr>
    </w:div>
    <w:div w:id="4480449">
      <w:bodyDiv w:val="1"/>
      <w:marLeft w:val="0"/>
      <w:marRight w:val="0"/>
      <w:marTop w:val="0"/>
      <w:marBottom w:val="0"/>
      <w:divBdr>
        <w:top w:val="none" w:sz="0" w:space="0" w:color="auto"/>
        <w:left w:val="none" w:sz="0" w:space="0" w:color="auto"/>
        <w:bottom w:val="none" w:sz="0" w:space="0" w:color="auto"/>
        <w:right w:val="none" w:sz="0" w:space="0" w:color="auto"/>
      </w:divBdr>
    </w:div>
    <w:div w:id="11497867">
      <w:bodyDiv w:val="1"/>
      <w:marLeft w:val="0"/>
      <w:marRight w:val="0"/>
      <w:marTop w:val="0"/>
      <w:marBottom w:val="0"/>
      <w:divBdr>
        <w:top w:val="none" w:sz="0" w:space="0" w:color="auto"/>
        <w:left w:val="none" w:sz="0" w:space="0" w:color="auto"/>
        <w:bottom w:val="none" w:sz="0" w:space="0" w:color="auto"/>
        <w:right w:val="none" w:sz="0" w:space="0" w:color="auto"/>
      </w:divBdr>
      <w:divsChild>
        <w:div w:id="1626808742">
          <w:marLeft w:val="547"/>
          <w:marRight w:val="0"/>
          <w:marTop w:val="0"/>
          <w:marBottom w:val="0"/>
          <w:divBdr>
            <w:top w:val="none" w:sz="0" w:space="0" w:color="auto"/>
            <w:left w:val="none" w:sz="0" w:space="0" w:color="auto"/>
            <w:bottom w:val="none" w:sz="0" w:space="0" w:color="auto"/>
            <w:right w:val="none" w:sz="0" w:space="0" w:color="auto"/>
          </w:divBdr>
        </w:div>
      </w:divsChild>
    </w:div>
    <w:div w:id="13115187">
      <w:bodyDiv w:val="1"/>
      <w:marLeft w:val="0"/>
      <w:marRight w:val="0"/>
      <w:marTop w:val="0"/>
      <w:marBottom w:val="0"/>
      <w:divBdr>
        <w:top w:val="none" w:sz="0" w:space="0" w:color="auto"/>
        <w:left w:val="none" w:sz="0" w:space="0" w:color="auto"/>
        <w:bottom w:val="none" w:sz="0" w:space="0" w:color="auto"/>
        <w:right w:val="none" w:sz="0" w:space="0" w:color="auto"/>
      </w:divBdr>
      <w:divsChild>
        <w:div w:id="1025517504">
          <w:marLeft w:val="0"/>
          <w:marRight w:val="0"/>
          <w:marTop w:val="0"/>
          <w:marBottom w:val="0"/>
          <w:divBdr>
            <w:top w:val="none" w:sz="0" w:space="0" w:color="auto"/>
            <w:left w:val="none" w:sz="0" w:space="0" w:color="auto"/>
            <w:bottom w:val="none" w:sz="0" w:space="0" w:color="auto"/>
            <w:right w:val="none" w:sz="0" w:space="0" w:color="auto"/>
          </w:divBdr>
          <w:divsChild>
            <w:div w:id="1282809693">
              <w:marLeft w:val="0"/>
              <w:marRight w:val="0"/>
              <w:marTop w:val="0"/>
              <w:marBottom w:val="0"/>
              <w:divBdr>
                <w:top w:val="none" w:sz="0" w:space="0" w:color="auto"/>
                <w:left w:val="none" w:sz="0" w:space="0" w:color="auto"/>
                <w:bottom w:val="none" w:sz="0" w:space="0" w:color="auto"/>
                <w:right w:val="none" w:sz="0" w:space="0" w:color="auto"/>
              </w:divBdr>
              <w:divsChild>
                <w:div w:id="1003361900">
                  <w:marLeft w:val="0"/>
                  <w:marRight w:val="0"/>
                  <w:marTop w:val="0"/>
                  <w:marBottom w:val="300"/>
                  <w:divBdr>
                    <w:top w:val="none" w:sz="0" w:space="0" w:color="auto"/>
                    <w:left w:val="none" w:sz="0" w:space="0" w:color="auto"/>
                    <w:bottom w:val="none" w:sz="0" w:space="0" w:color="auto"/>
                    <w:right w:val="none" w:sz="0" w:space="0" w:color="auto"/>
                  </w:divBdr>
                  <w:divsChild>
                    <w:div w:id="365717780">
                      <w:marLeft w:val="2325"/>
                      <w:marRight w:val="0"/>
                      <w:marTop w:val="0"/>
                      <w:marBottom w:val="0"/>
                      <w:divBdr>
                        <w:top w:val="none" w:sz="0" w:space="0" w:color="auto"/>
                        <w:left w:val="none" w:sz="0" w:space="0" w:color="auto"/>
                        <w:bottom w:val="none" w:sz="0" w:space="0" w:color="auto"/>
                        <w:right w:val="none" w:sz="0" w:space="0" w:color="auto"/>
                      </w:divBdr>
                      <w:divsChild>
                        <w:div w:id="1250895348">
                          <w:marLeft w:val="0"/>
                          <w:marRight w:val="0"/>
                          <w:marTop w:val="0"/>
                          <w:marBottom w:val="0"/>
                          <w:divBdr>
                            <w:top w:val="none" w:sz="0" w:space="0" w:color="auto"/>
                            <w:left w:val="none" w:sz="0" w:space="0" w:color="auto"/>
                            <w:bottom w:val="none" w:sz="0" w:space="0" w:color="auto"/>
                            <w:right w:val="none" w:sz="0" w:space="0" w:color="auto"/>
                          </w:divBdr>
                          <w:divsChild>
                            <w:div w:id="1006251593">
                              <w:marLeft w:val="0"/>
                              <w:marRight w:val="0"/>
                              <w:marTop w:val="0"/>
                              <w:marBottom w:val="0"/>
                              <w:divBdr>
                                <w:top w:val="none" w:sz="0" w:space="0" w:color="auto"/>
                                <w:left w:val="none" w:sz="0" w:space="0" w:color="auto"/>
                                <w:bottom w:val="none" w:sz="0" w:space="0" w:color="auto"/>
                                <w:right w:val="none" w:sz="0" w:space="0" w:color="auto"/>
                              </w:divBdr>
                              <w:divsChild>
                                <w:div w:id="26835945">
                                  <w:marLeft w:val="0"/>
                                  <w:marRight w:val="0"/>
                                  <w:marTop w:val="0"/>
                                  <w:marBottom w:val="0"/>
                                  <w:divBdr>
                                    <w:top w:val="none" w:sz="0" w:space="0" w:color="auto"/>
                                    <w:left w:val="none" w:sz="0" w:space="0" w:color="auto"/>
                                    <w:bottom w:val="none" w:sz="0" w:space="0" w:color="auto"/>
                                    <w:right w:val="none" w:sz="0" w:space="0" w:color="auto"/>
                                  </w:divBdr>
                                  <w:divsChild>
                                    <w:div w:id="972756990">
                                      <w:marLeft w:val="0"/>
                                      <w:marRight w:val="0"/>
                                      <w:marTop w:val="0"/>
                                      <w:marBottom w:val="0"/>
                                      <w:divBdr>
                                        <w:top w:val="none" w:sz="0" w:space="0" w:color="auto"/>
                                        <w:left w:val="none" w:sz="0" w:space="0" w:color="auto"/>
                                        <w:bottom w:val="none" w:sz="0" w:space="0" w:color="auto"/>
                                        <w:right w:val="none" w:sz="0" w:space="0" w:color="auto"/>
                                      </w:divBdr>
                                      <w:divsChild>
                                        <w:div w:id="2588445">
                                          <w:marLeft w:val="0"/>
                                          <w:marRight w:val="0"/>
                                          <w:marTop w:val="75"/>
                                          <w:marBottom w:val="0"/>
                                          <w:divBdr>
                                            <w:top w:val="none" w:sz="0" w:space="0" w:color="auto"/>
                                            <w:left w:val="none" w:sz="0" w:space="0" w:color="auto"/>
                                            <w:bottom w:val="none" w:sz="0" w:space="0" w:color="auto"/>
                                            <w:right w:val="none" w:sz="0" w:space="0" w:color="auto"/>
                                          </w:divBdr>
                                          <w:divsChild>
                                            <w:div w:id="1614164268">
                                              <w:marLeft w:val="0"/>
                                              <w:marRight w:val="0"/>
                                              <w:marTop w:val="0"/>
                                              <w:marBottom w:val="0"/>
                                              <w:divBdr>
                                                <w:top w:val="none" w:sz="0" w:space="0" w:color="auto"/>
                                                <w:left w:val="none" w:sz="0" w:space="0" w:color="auto"/>
                                                <w:bottom w:val="none" w:sz="0" w:space="0" w:color="auto"/>
                                                <w:right w:val="none" w:sz="0" w:space="0" w:color="auto"/>
                                              </w:divBdr>
                                              <w:divsChild>
                                                <w:div w:id="103382344">
                                                  <w:marLeft w:val="0"/>
                                                  <w:marRight w:val="0"/>
                                                  <w:marTop w:val="0"/>
                                                  <w:marBottom w:val="0"/>
                                                  <w:divBdr>
                                                    <w:top w:val="none" w:sz="0" w:space="0" w:color="auto"/>
                                                    <w:left w:val="none" w:sz="0" w:space="0" w:color="auto"/>
                                                    <w:bottom w:val="none" w:sz="0" w:space="0" w:color="auto"/>
                                                    <w:right w:val="none" w:sz="0" w:space="0" w:color="auto"/>
                                                  </w:divBdr>
                                                </w:div>
                                                <w:div w:id="1647124142">
                                                  <w:marLeft w:val="0"/>
                                                  <w:marRight w:val="0"/>
                                                  <w:marTop w:val="0"/>
                                                  <w:marBottom w:val="0"/>
                                                  <w:divBdr>
                                                    <w:top w:val="none" w:sz="0" w:space="0" w:color="auto"/>
                                                    <w:left w:val="none" w:sz="0" w:space="0" w:color="auto"/>
                                                    <w:bottom w:val="none" w:sz="0" w:space="0" w:color="auto"/>
                                                    <w:right w:val="none" w:sz="0" w:space="0" w:color="auto"/>
                                                  </w:divBdr>
                                                </w:div>
                                                <w:div w:id="20734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755523">
      <w:bodyDiv w:val="1"/>
      <w:marLeft w:val="0"/>
      <w:marRight w:val="0"/>
      <w:marTop w:val="0"/>
      <w:marBottom w:val="0"/>
      <w:divBdr>
        <w:top w:val="none" w:sz="0" w:space="0" w:color="auto"/>
        <w:left w:val="none" w:sz="0" w:space="0" w:color="auto"/>
        <w:bottom w:val="none" w:sz="0" w:space="0" w:color="auto"/>
        <w:right w:val="none" w:sz="0" w:space="0" w:color="auto"/>
      </w:divBdr>
    </w:div>
    <w:div w:id="32511445">
      <w:bodyDiv w:val="1"/>
      <w:marLeft w:val="0"/>
      <w:marRight w:val="0"/>
      <w:marTop w:val="0"/>
      <w:marBottom w:val="0"/>
      <w:divBdr>
        <w:top w:val="none" w:sz="0" w:space="0" w:color="auto"/>
        <w:left w:val="none" w:sz="0" w:space="0" w:color="auto"/>
        <w:bottom w:val="none" w:sz="0" w:space="0" w:color="auto"/>
        <w:right w:val="none" w:sz="0" w:space="0" w:color="auto"/>
      </w:divBdr>
    </w:div>
    <w:div w:id="34934557">
      <w:bodyDiv w:val="1"/>
      <w:marLeft w:val="0"/>
      <w:marRight w:val="0"/>
      <w:marTop w:val="0"/>
      <w:marBottom w:val="0"/>
      <w:divBdr>
        <w:top w:val="none" w:sz="0" w:space="0" w:color="auto"/>
        <w:left w:val="none" w:sz="0" w:space="0" w:color="auto"/>
        <w:bottom w:val="none" w:sz="0" w:space="0" w:color="auto"/>
        <w:right w:val="none" w:sz="0" w:space="0" w:color="auto"/>
      </w:divBdr>
    </w:div>
    <w:div w:id="47341928">
      <w:bodyDiv w:val="1"/>
      <w:marLeft w:val="0"/>
      <w:marRight w:val="0"/>
      <w:marTop w:val="0"/>
      <w:marBottom w:val="0"/>
      <w:divBdr>
        <w:top w:val="none" w:sz="0" w:space="0" w:color="auto"/>
        <w:left w:val="none" w:sz="0" w:space="0" w:color="auto"/>
        <w:bottom w:val="none" w:sz="0" w:space="0" w:color="auto"/>
        <w:right w:val="none" w:sz="0" w:space="0" w:color="auto"/>
      </w:divBdr>
    </w:div>
    <w:div w:id="53087549">
      <w:bodyDiv w:val="1"/>
      <w:marLeft w:val="0"/>
      <w:marRight w:val="0"/>
      <w:marTop w:val="0"/>
      <w:marBottom w:val="0"/>
      <w:divBdr>
        <w:top w:val="none" w:sz="0" w:space="0" w:color="auto"/>
        <w:left w:val="none" w:sz="0" w:space="0" w:color="auto"/>
        <w:bottom w:val="none" w:sz="0" w:space="0" w:color="auto"/>
        <w:right w:val="none" w:sz="0" w:space="0" w:color="auto"/>
      </w:divBdr>
    </w:div>
    <w:div w:id="59669716">
      <w:bodyDiv w:val="1"/>
      <w:marLeft w:val="0"/>
      <w:marRight w:val="0"/>
      <w:marTop w:val="0"/>
      <w:marBottom w:val="0"/>
      <w:divBdr>
        <w:top w:val="none" w:sz="0" w:space="0" w:color="auto"/>
        <w:left w:val="none" w:sz="0" w:space="0" w:color="auto"/>
        <w:bottom w:val="none" w:sz="0" w:space="0" w:color="auto"/>
        <w:right w:val="none" w:sz="0" w:space="0" w:color="auto"/>
      </w:divBdr>
    </w:div>
    <w:div w:id="63459055">
      <w:bodyDiv w:val="1"/>
      <w:marLeft w:val="0"/>
      <w:marRight w:val="0"/>
      <w:marTop w:val="0"/>
      <w:marBottom w:val="0"/>
      <w:divBdr>
        <w:top w:val="none" w:sz="0" w:space="0" w:color="auto"/>
        <w:left w:val="none" w:sz="0" w:space="0" w:color="auto"/>
        <w:bottom w:val="none" w:sz="0" w:space="0" w:color="auto"/>
        <w:right w:val="none" w:sz="0" w:space="0" w:color="auto"/>
      </w:divBdr>
    </w:div>
    <w:div w:id="75711916">
      <w:bodyDiv w:val="1"/>
      <w:marLeft w:val="0"/>
      <w:marRight w:val="0"/>
      <w:marTop w:val="0"/>
      <w:marBottom w:val="0"/>
      <w:divBdr>
        <w:top w:val="none" w:sz="0" w:space="0" w:color="auto"/>
        <w:left w:val="none" w:sz="0" w:space="0" w:color="auto"/>
        <w:bottom w:val="none" w:sz="0" w:space="0" w:color="auto"/>
        <w:right w:val="none" w:sz="0" w:space="0" w:color="auto"/>
      </w:divBdr>
    </w:div>
    <w:div w:id="78455372">
      <w:bodyDiv w:val="1"/>
      <w:marLeft w:val="0"/>
      <w:marRight w:val="0"/>
      <w:marTop w:val="0"/>
      <w:marBottom w:val="0"/>
      <w:divBdr>
        <w:top w:val="none" w:sz="0" w:space="0" w:color="auto"/>
        <w:left w:val="none" w:sz="0" w:space="0" w:color="auto"/>
        <w:bottom w:val="none" w:sz="0" w:space="0" w:color="auto"/>
        <w:right w:val="none" w:sz="0" w:space="0" w:color="auto"/>
      </w:divBdr>
    </w:div>
    <w:div w:id="78525432">
      <w:bodyDiv w:val="1"/>
      <w:marLeft w:val="0"/>
      <w:marRight w:val="0"/>
      <w:marTop w:val="0"/>
      <w:marBottom w:val="0"/>
      <w:divBdr>
        <w:top w:val="none" w:sz="0" w:space="0" w:color="auto"/>
        <w:left w:val="none" w:sz="0" w:space="0" w:color="auto"/>
        <w:bottom w:val="none" w:sz="0" w:space="0" w:color="auto"/>
        <w:right w:val="none" w:sz="0" w:space="0" w:color="auto"/>
      </w:divBdr>
    </w:div>
    <w:div w:id="84036727">
      <w:bodyDiv w:val="1"/>
      <w:marLeft w:val="0"/>
      <w:marRight w:val="0"/>
      <w:marTop w:val="0"/>
      <w:marBottom w:val="0"/>
      <w:divBdr>
        <w:top w:val="none" w:sz="0" w:space="0" w:color="auto"/>
        <w:left w:val="none" w:sz="0" w:space="0" w:color="auto"/>
        <w:bottom w:val="none" w:sz="0" w:space="0" w:color="auto"/>
        <w:right w:val="none" w:sz="0" w:space="0" w:color="auto"/>
      </w:divBdr>
    </w:div>
    <w:div w:id="86001013">
      <w:bodyDiv w:val="1"/>
      <w:marLeft w:val="0"/>
      <w:marRight w:val="0"/>
      <w:marTop w:val="0"/>
      <w:marBottom w:val="0"/>
      <w:divBdr>
        <w:top w:val="none" w:sz="0" w:space="0" w:color="auto"/>
        <w:left w:val="none" w:sz="0" w:space="0" w:color="auto"/>
        <w:bottom w:val="none" w:sz="0" w:space="0" w:color="auto"/>
        <w:right w:val="none" w:sz="0" w:space="0" w:color="auto"/>
      </w:divBdr>
    </w:div>
    <w:div w:id="96604645">
      <w:bodyDiv w:val="1"/>
      <w:marLeft w:val="0"/>
      <w:marRight w:val="0"/>
      <w:marTop w:val="0"/>
      <w:marBottom w:val="0"/>
      <w:divBdr>
        <w:top w:val="none" w:sz="0" w:space="0" w:color="auto"/>
        <w:left w:val="none" w:sz="0" w:space="0" w:color="auto"/>
        <w:bottom w:val="none" w:sz="0" w:space="0" w:color="auto"/>
        <w:right w:val="none" w:sz="0" w:space="0" w:color="auto"/>
      </w:divBdr>
    </w:div>
    <w:div w:id="98725882">
      <w:bodyDiv w:val="1"/>
      <w:marLeft w:val="0"/>
      <w:marRight w:val="0"/>
      <w:marTop w:val="0"/>
      <w:marBottom w:val="0"/>
      <w:divBdr>
        <w:top w:val="none" w:sz="0" w:space="0" w:color="auto"/>
        <w:left w:val="none" w:sz="0" w:space="0" w:color="auto"/>
        <w:bottom w:val="none" w:sz="0" w:space="0" w:color="auto"/>
        <w:right w:val="none" w:sz="0" w:space="0" w:color="auto"/>
      </w:divBdr>
    </w:div>
    <w:div w:id="106969705">
      <w:bodyDiv w:val="1"/>
      <w:marLeft w:val="0"/>
      <w:marRight w:val="0"/>
      <w:marTop w:val="0"/>
      <w:marBottom w:val="0"/>
      <w:divBdr>
        <w:top w:val="none" w:sz="0" w:space="0" w:color="auto"/>
        <w:left w:val="none" w:sz="0" w:space="0" w:color="auto"/>
        <w:bottom w:val="none" w:sz="0" w:space="0" w:color="auto"/>
        <w:right w:val="none" w:sz="0" w:space="0" w:color="auto"/>
      </w:divBdr>
    </w:div>
    <w:div w:id="117994558">
      <w:bodyDiv w:val="1"/>
      <w:marLeft w:val="0"/>
      <w:marRight w:val="0"/>
      <w:marTop w:val="0"/>
      <w:marBottom w:val="0"/>
      <w:divBdr>
        <w:top w:val="none" w:sz="0" w:space="0" w:color="auto"/>
        <w:left w:val="none" w:sz="0" w:space="0" w:color="auto"/>
        <w:bottom w:val="none" w:sz="0" w:space="0" w:color="auto"/>
        <w:right w:val="none" w:sz="0" w:space="0" w:color="auto"/>
      </w:divBdr>
    </w:div>
    <w:div w:id="127433732">
      <w:bodyDiv w:val="1"/>
      <w:marLeft w:val="0"/>
      <w:marRight w:val="0"/>
      <w:marTop w:val="0"/>
      <w:marBottom w:val="0"/>
      <w:divBdr>
        <w:top w:val="none" w:sz="0" w:space="0" w:color="auto"/>
        <w:left w:val="none" w:sz="0" w:space="0" w:color="auto"/>
        <w:bottom w:val="none" w:sz="0" w:space="0" w:color="auto"/>
        <w:right w:val="none" w:sz="0" w:space="0" w:color="auto"/>
      </w:divBdr>
    </w:div>
    <w:div w:id="149176715">
      <w:bodyDiv w:val="1"/>
      <w:marLeft w:val="0"/>
      <w:marRight w:val="0"/>
      <w:marTop w:val="0"/>
      <w:marBottom w:val="0"/>
      <w:divBdr>
        <w:top w:val="none" w:sz="0" w:space="0" w:color="auto"/>
        <w:left w:val="none" w:sz="0" w:space="0" w:color="auto"/>
        <w:bottom w:val="none" w:sz="0" w:space="0" w:color="auto"/>
        <w:right w:val="none" w:sz="0" w:space="0" w:color="auto"/>
      </w:divBdr>
    </w:div>
    <w:div w:id="154420606">
      <w:bodyDiv w:val="1"/>
      <w:marLeft w:val="0"/>
      <w:marRight w:val="0"/>
      <w:marTop w:val="0"/>
      <w:marBottom w:val="0"/>
      <w:divBdr>
        <w:top w:val="none" w:sz="0" w:space="0" w:color="auto"/>
        <w:left w:val="none" w:sz="0" w:space="0" w:color="auto"/>
        <w:bottom w:val="none" w:sz="0" w:space="0" w:color="auto"/>
        <w:right w:val="none" w:sz="0" w:space="0" w:color="auto"/>
      </w:divBdr>
    </w:div>
    <w:div w:id="154689572">
      <w:bodyDiv w:val="1"/>
      <w:marLeft w:val="0"/>
      <w:marRight w:val="0"/>
      <w:marTop w:val="0"/>
      <w:marBottom w:val="0"/>
      <w:divBdr>
        <w:top w:val="none" w:sz="0" w:space="0" w:color="auto"/>
        <w:left w:val="none" w:sz="0" w:space="0" w:color="auto"/>
        <w:bottom w:val="none" w:sz="0" w:space="0" w:color="auto"/>
        <w:right w:val="none" w:sz="0" w:space="0" w:color="auto"/>
      </w:divBdr>
    </w:div>
    <w:div w:id="154877273">
      <w:bodyDiv w:val="1"/>
      <w:marLeft w:val="0"/>
      <w:marRight w:val="0"/>
      <w:marTop w:val="0"/>
      <w:marBottom w:val="0"/>
      <w:divBdr>
        <w:top w:val="none" w:sz="0" w:space="0" w:color="auto"/>
        <w:left w:val="none" w:sz="0" w:space="0" w:color="auto"/>
        <w:bottom w:val="none" w:sz="0" w:space="0" w:color="auto"/>
        <w:right w:val="none" w:sz="0" w:space="0" w:color="auto"/>
      </w:divBdr>
    </w:div>
    <w:div w:id="160853658">
      <w:bodyDiv w:val="1"/>
      <w:marLeft w:val="0"/>
      <w:marRight w:val="0"/>
      <w:marTop w:val="0"/>
      <w:marBottom w:val="0"/>
      <w:divBdr>
        <w:top w:val="none" w:sz="0" w:space="0" w:color="auto"/>
        <w:left w:val="none" w:sz="0" w:space="0" w:color="auto"/>
        <w:bottom w:val="none" w:sz="0" w:space="0" w:color="auto"/>
        <w:right w:val="none" w:sz="0" w:space="0" w:color="auto"/>
      </w:divBdr>
    </w:div>
    <w:div w:id="161629574">
      <w:bodyDiv w:val="1"/>
      <w:marLeft w:val="0"/>
      <w:marRight w:val="0"/>
      <w:marTop w:val="0"/>
      <w:marBottom w:val="0"/>
      <w:divBdr>
        <w:top w:val="none" w:sz="0" w:space="0" w:color="auto"/>
        <w:left w:val="none" w:sz="0" w:space="0" w:color="auto"/>
        <w:bottom w:val="none" w:sz="0" w:space="0" w:color="auto"/>
        <w:right w:val="none" w:sz="0" w:space="0" w:color="auto"/>
      </w:divBdr>
    </w:div>
    <w:div w:id="167865466">
      <w:bodyDiv w:val="1"/>
      <w:marLeft w:val="0"/>
      <w:marRight w:val="0"/>
      <w:marTop w:val="0"/>
      <w:marBottom w:val="0"/>
      <w:divBdr>
        <w:top w:val="none" w:sz="0" w:space="0" w:color="auto"/>
        <w:left w:val="none" w:sz="0" w:space="0" w:color="auto"/>
        <w:bottom w:val="none" w:sz="0" w:space="0" w:color="auto"/>
        <w:right w:val="none" w:sz="0" w:space="0" w:color="auto"/>
      </w:divBdr>
    </w:div>
    <w:div w:id="172038157">
      <w:bodyDiv w:val="1"/>
      <w:marLeft w:val="0"/>
      <w:marRight w:val="0"/>
      <w:marTop w:val="0"/>
      <w:marBottom w:val="0"/>
      <w:divBdr>
        <w:top w:val="none" w:sz="0" w:space="0" w:color="auto"/>
        <w:left w:val="none" w:sz="0" w:space="0" w:color="auto"/>
        <w:bottom w:val="none" w:sz="0" w:space="0" w:color="auto"/>
        <w:right w:val="none" w:sz="0" w:space="0" w:color="auto"/>
      </w:divBdr>
    </w:div>
    <w:div w:id="182600664">
      <w:bodyDiv w:val="1"/>
      <w:marLeft w:val="0"/>
      <w:marRight w:val="0"/>
      <w:marTop w:val="0"/>
      <w:marBottom w:val="0"/>
      <w:divBdr>
        <w:top w:val="none" w:sz="0" w:space="0" w:color="auto"/>
        <w:left w:val="none" w:sz="0" w:space="0" w:color="auto"/>
        <w:bottom w:val="none" w:sz="0" w:space="0" w:color="auto"/>
        <w:right w:val="none" w:sz="0" w:space="0" w:color="auto"/>
      </w:divBdr>
    </w:div>
    <w:div w:id="186215106">
      <w:bodyDiv w:val="1"/>
      <w:marLeft w:val="0"/>
      <w:marRight w:val="0"/>
      <w:marTop w:val="0"/>
      <w:marBottom w:val="0"/>
      <w:divBdr>
        <w:top w:val="none" w:sz="0" w:space="0" w:color="auto"/>
        <w:left w:val="none" w:sz="0" w:space="0" w:color="auto"/>
        <w:bottom w:val="none" w:sz="0" w:space="0" w:color="auto"/>
        <w:right w:val="none" w:sz="0" w:space="0" w:color="auto"/>
      </w:divBdr>
    </w:div>
    <w:div w:id="197546642">
      <w:bodyDiv w:val="1"/>
      <w:marLeft w:val="0"/>
      <w:marRight w:val="0"/>
      <w:marTop w:val="0"/>
      <w:marBottom w:val="0"/>
      <w:divBdr>
        <w:top w:val="none" w:sz="0" w:space="0" w:color="auto"/>
        <w:left w:val="none" w:sz="0" w:space="0" w:color="auto"/>
        <w:bottom w:val="none" w:sz="0" w:space="0" w:color="auto"/>
        <w:right w:val="none" w:sz="0" w:space="0" w:color="auto"/>
      </w:divBdr>
    </w:div>
    <w:div w:id="212695685">
      <w:bodyDiv w:val="1"/>
      <w:marLeft w:val="0"/>
      <w:marRight w:val="0"/>
      <w:marTop w:val="0"/>
      <w:marBottom w:val="0"/>
      <w:divBdr>
        <w:top w:val="none" w:sz="0" w:space="0" w:color="auto"/>
        <w:left w:val="none" w:sz="0" w:space="0" w:color="auto"/>
        <w:bottom w:val="none" w:sz="0" w:space="0" w:color="auto"/>
        <w:right w:val="none" w:sz="0" w:space="0" w:color="auto"/>
      </w:divBdr>
    </w:div>
    <w:div w:id="226764650">
      <w:bodyDiv w:val="1"/>
      <w:marLeft w:val="0"/>
      <w:marRight w:val="0"/>
      <w:marTop w:val="0"/>
      <w:marBottom w:val="0"/>
      <w:divBdr>
        <w:top w:val="none" w:sz="0" w:space="0" w:color="auto"/>
        <w:left w:val="none" w:sz="0" w:space="0" w:color="auto"/>
        <w:bottom w:val="none" w:sz="0" w:space="0" w:color="auto"/>
        <w:right w:val="none" w:sz="0" w:space="0" w:color="auto"/>
      </w:divBdr>
    </w:div>
    <w:div w:id="233900194">
      <w:bodyDiv w:val="1"/>
      <w:marLeft w:val="0"/>
      <w:marRight w:val="0"/>
      <w:marTop w:val="0"/>
      <w:marBottom w:val="0"/>
      <w:divBdr>
        <w:top w:val="none" w:sz="0" w:space="0" w:color="auto"/>
        <w:left w:val="none" w:sz="0" w:space="0" w:color="auto"/>
        <w:bottom w:val="none" w:sz="0" w:space="0" w:color="auto"/>
        <w:right w:val="none" w:sz="0" w:space="0" w:color="auto"/>
      </w:divBdr>
    </w:div>
    <w:div w:id="240220400">
      <w:bodyDiv w:val="1"/>
      <w:marLeft w:val="0"/>
      <w:marRight w:val="0"/>
      <w:marTop w:val="0"/>
      <w:marBottom w:val="0"/>
      <w:divBdr>
        <w:top w:val="none" w:sz="0" w:space="0" w:color="auto"/>
        <w:left w:val="none" w:sz="0" w:space="0" w:color="auto"/>
        <w:bottom w:val="none" w:sz="0" w:space="0" w:color="auto"/>
        <w:right w:val="none" w:sz="0" w:space="0" w:color="auto"/>
      </w:divBdr>
    </w:div>
    <w:div w:id="243150544">
      <w:bodyDiv w:val="1"/>
      <w:marLeft w:val="0"/>
      <w:marRight w:val="0"/>
      <w:marTop w:val="0"/>
      <w:marBottom w:val="0"/>
      <w:divBdr>
        <w:top w:val="none" w:sz="0" w:space="0" w:color="auto"/>
        <w:left w:val="none" w:sz="0" w:space="0" w:color="auto"/>
        <w:bottom w:val="none" w:sz="0" w:space="0" w:color="auto"/>
        <w:right w:val="none" w:sz="0" w:space="0" w:color="auto"/>
      </w:divBdr>
    </w:div>
    <w:div w:id="247733274">
      <w:bodyDiv w:val="1"/>
      <w:marLeft w:val="0"/>
      <w:marRight w:val="0"/>
      <w:marTop w:val="0"/>
      <w:marBottom w:val="0"/>
      <w:divBdr>
        <w:top w:val="none" w:sz="0" w:space="0" w:color="auto"/>
        <w:left w:val="none" w:sz="0" w:space="0" w:color="auto"/>
        <w:bottom w:val="none" w:sz="0" w:space="0" w:color="auto"/>
        <w:right w:val="none" w:sz="0" w:space="0" w:color="auto"/>
      </w:divBdr>
    </w:div>
    <w:div w:id="262424964">
      <w:bodyDiv w:val="1"/>
      <w:marLeft w:val="0"/>
      <w:marRight w:val="0"/>
      <w:marTop w:val="0"/>
      <w:marBottom w:val="0"/>
      <w:divBdr>
        <w:top w:val="none" w:sz="0" w:space="0" w:color="auto"/>
        <w:left w:val="none" w:sz="0" w:space="0" w:color="auto"/>
        <w:bottom w:val="none" w:sz="0" w:space="0" w:color="auto"/>
        <w:right w:val="none" w:sz="0" w:space="0" w:color="auto"/>
      </w:divBdr>
    </w:div>
    <w:div w:id="263076001">
      <w:bodyDiv w:val="1"/>
      <w:marLeft w:val="0"/>
      <w:marRight w:val="0"/>
      <w:marTop w:val="0"/>
      <w:marBottom w:val="0"/>
      <w:divBdr>
        <w:top w:val="none" w:sz="0" w:space="0" w:color="auto"/>
        <w:left w:val="none" w:sz="0" w:space="0" w:color="auto"/>
        <w:bottom w:val="none" w:sz="0" w:space="0" w:color="auto"/>
        <w:right w:val="none" w:sz="0" w:space="0" w:color="auto"/>
      </w:divBdr>
    </w:div>
    <w:div w:id="280890041">
      <w:bodyDiv w:val="1"/>
      <w:marLeft w:val="0"/>
      <w:marRight w:val="0"/>
      <w:marTop w:val="0"/>
      <w:marBottom w:val="0"/>
      <w:divBdr>
        <w:top w:val="none" w:sz="0" w:space="0" w:color="auto"/>
        <w:left w:val="none" w:sz="0" w:space="0" w:color="auto"/>
        <w:bottom w:val="none" w:sz="0" w:space="0" w:color="auto"/>
        <w:right w:val="none" w:sz="0" w:space="0" w:color="auto"/>
      </w:divBdr>
    </w:div>
    <w:div w:id="295992468">
      <w:bodyDiv w:val="1"/>
      <w:marLeft w:val="0"/>
      <w:marRight w:val="0"/>
      <w:marTop w:val="0"/>
      <w:marBottom w:val="0"/>
      <w:divBdr>
        <w:top w:val="none" w:sz="0" w:space="0" w:color="auto"/>
        <w:left w:val="none" w:sz="0" w:space="0" w:color="auto"/>
        <w:bottom w:val="none" w:sz="0" w:space="0" w:color="auto"/>
        <w:right w:val="none" w:sz="0" w:space="0" w:color="auto"/>
      </w:divBdr>
    </w:div>
    <w:div w:id="297884931">
      <w:bodyDiv w:val="1"/>
      <w:marLeft w:val="0"/>
      <w:marRight w:val="0"/>
      <w:marTop w:val="0"/>
      <w:marBottom w:val="0"/>
      <w:divBdr>
        <w:top w:val="none" w:sz="0" w:space="0" w:color="auto"/>
        <w:left w:val="none" w:sz="0" w:space="0" w:color="auto"/>
        <w:bottom w:val="none" w:sz="0" w:space="0" w:color="auto"/>
        <w:right w:val="none" w:sz="0" w:space="0" w:color="auto"/>
      </w:divBdr>
    </w:div>
    <w:div w:id="305933136">
      <w:bodyDiv w:val="1"/>
      <w:marLeft w:val="0"/>
      <w:marRight w:val="0"/>
      <w:marTop w:val="0"/>
      <w:marBottom w:val="0"/>
      <w:divBdr>
        <w:top w:val="none" w:sz="0" w:space="0" w:color="auto"/>
        <w:left w:val="none" w:sz="0" w:space="0" w:color="auto"/>
        <w:bottom w:val="none" w:sz="0" w:space="0" w:color="auto"/>
        <w:right w:val="none" w:sz="0" w:space="0" w:color="auto"/>
      </w:divBdr>
    </w:div>
    <w:div w:id="308216416">
      <w:bodyDiv w:val="1"/>
      <w:marLeft w:val="0"/>
      <w:marRight w:val="0"/>
      <w:marTop w:val="0"/>
      <w:marBottom w:val="0"/>
      <w:divBdr>
        <w:top w:val="none" w:sz="0" w:space="0" w:color="auto"/>
        <w:left w:val="none" w:sz="0" w:space="0" w:color="auto"/>
        <w:bottom w:val="none" w:sz="0" w:space="0" w:color="auto"/>
        <w:right w:val="none" w:sz="0" w:space="0" w:color="auto"/>
      </w:divBdr>
    </w:div>
    <w:div w:id="311563110">
      <w:bodyDiv w:val="1"/>
      <w:marLeft w:val="0"/>
      <w:marRight w:val="0"/>
      <w:marTop w:val="0"/>
      <w:marBottom w:val="0"/>
      <w:divBdr>
        <w:top w:val="none" w:sz="0" w:space="0" w:color="auto"/>
        <w:left w:val="none" w:sz="0" w:space="0" w:color="auto"/>
        <w:bottom w:val="none" w:sz="0" w:space="0" w:color="auto"/>
        <w:right w:val="none" w:sz="0" w:space="0" w:color="auto"/>
      </w:divBdr>
    </w:div>
    <w:div w:id="316496771">
      <w:bodyDiv w:val="1"/>
      <w:marLeft w:val="0"/>
      <w:marRight w:val="0"/>
      <w:marTop w:val="0"/>
      <w:marBottom w:val="0"/>
      <w:divBdr>
        <w:top w:val="none" w:sz="0" w:space="0" w:color="auto"/>
        <w:left w:val="none" w:sz="0" w:space="0" w:color="auto"/>
        <w:bottom w:val="none" w:sz="0" w:space="0" w:color="auto"/>
        <w:right w:val="none" w:sz="0" w:space="0" w:color="auto"/>
      </w:divBdr>
    </w:div>
    <w:div w:id="320158519">
      <w:bodyDiv w:val="1"/>
      <w:marLeft w:val="0"/>
      <w:marRight w:val="0"/>
      <w:marTop w:val="0"/>
      <w:marBottom w:val="0"/>
      <w:divBdr>
        <w:top w:val="none" w:sz="0" w:space="0" w:color="auto"/>
        <w:left w:val="none" w:sz="0" w:space="0" w:color="auto"/>
        <w:bottom w:val="none" w:sz="0" w:space="0" w:color="auto"/>
        <w:right w:val="none" w:sz="0" w:space="0" w:color="auto"/>
      </w:divBdr>
    </w:div>
    <w:div w:id="336886630">
      <w:bodyDiv w:val="1"/>
      <w:marLeft w:val="0"/>
      <w:marRight w:val="0"/>
      <w:marTop w:val="0"/>
      <w:marBottom w:val="0"/>
      <w:divBdr>
        <w:top w:val="none" w:sz="0" w:space="0" w:color="auto"/>
        <w:left w:val="none" w:sz="0" w:space="0" w:color="auto"/>
        <w:bottom w:val="none" w:sz="0" w:space="0" w:color="auto"/>
        <w:right w:val="none" w:sz="0" w:space="0" w:color="auto"/>
      </w:divBdr>
    </w:div>
    <w:div w:id="347101986">
      <w:bodyDiv w:val="1"/>
      <w:marLeft w:val="0"/>
      <w:marRight w:val="0"/>
      <w:marTop w:val="0"/>
      <w:marBottom w:val="0"/>
      <w:divBdr>
        <w:top w:val="none" w:sz="0" w:space="0" w:color="auto"/>
        <w:left w:val="none" w:sz="0" w:space="0" w:color="auto"/>
        <w:bottom w:val="none" w:sz="0" w:space="0" w:color="auto"/>
        <w:right w:val="none" w:sz="0" w:space="0" w:color="auto"/>
      </w:divBdr>
    </w:div>
    <w:div w:id="354891666">
      <w:bodyDiv w:val="1"/>
      <w:marLeft w:val="0"/>
      <w:marRight w:val="0"/>
      <w:marTop w:val="0"/>
      <w:marBottom w:val="0"/>
      <w:divBdr>
        <w:top w:val="none" w:sz="0" w:space="0" w:color="auto"/>
        <w:left w:val="none" w:sz="0" w:space="0" w:color="auto"/>
        <w:bottom w:val="none" w:sz="0" w:space="0" w:color="auto"/>
        <w:right w:val="none" w:sz="0" w:space="0" w:color="auto"/>
      </w:divBdr>
    </w:div>
    <w:div w:id="358968560">
      <w:bodyDiv w:val="1"/>
      <w:marLeft w:val="0"/>
      <w:marRight w:val="0"/>
      <w:marTop w:val="0"/>
      <w:marBottom w:val="0"/>
      <w:divBdr>
        <w:top w:val="none" w:sz="0" w:space="0" w:color="auto"/>
        <w:left w:val="none" w:sz="0" w:space="0" w:color="auto"/>
        <w:bottom w:val="none" w:sz="0" w:space="0" w:color="auto"/>
        <w:right w:val="none" w:sz="0" w:space="0" w:color="auto"/>
      </w:divBdr>
    </w:div>
    <w:div w:id="359477705">
      <w:bodyDiv w:val="1"/>
      <w:marLeft w:val="0"/>
      <w:marRight w:val="0"/>
      <w:marTop w:val="0"/>
      <w:marBottom w:val="0"/>
      <w:divBdr>
        <w:top w:val="none" w:sz="0" w:space="0" w:color="auto"/>
        <w:left w:val="none" w:sz="0" w:space="0" w:color="auto"/>
        <w:bottom w:val="none" w:sz="0" w:space="0" w:color="auto"/>
        <w:right w:val="none" w:sz="0" w:space="0" w:color="auto"/>
      </w:divBdr>
    </w:div>
    <w:div w:id="378558330">
      <w:bodyDiv w:val="1"/>
      <w:marLeft w:val="0"/>
      <w:marRight w:val="0"/>
      <w:marTop w:val="0"/>
      <w:marBottom w:val="0"/>
      <w:divBdr>
        <w:top w:val="none" w:sz="0" w:space="0" w:color="auto"/>
        <w:left w:val="none" w:sz="0" w:space="0" w:color="auto"/>
        <w:bottom w:val="none" w:sz="0" w:space="0" w:color="auto"/>
        <w:right w:val="none" w:sz="0" w:space="0" w:color="auto"/>
      </w:divBdr>
    </w:div>
    <w:div w:id="380439874">
      <w:bodyDiv w:val="1"/>
      <w:marLeft w:val="0"/>
      <w:marRight w:val="0"/>
      <w:marTop w:val="0"/>
      <w:marBottom w:val="0"/>
      <w:divBdr>
        <w:top w:val="none" w:sz="0" w:space="0" w:color="auto"/>
        <w:left w:val="none" w:sz="0" w:space="0" w:color="auto"/>
        <w:bottom w:val="none" w:sz="0" w:space="0" w:color="auto"/>
        <w:right w:val="none" w:sz="0" w:space="0" w:color="auto"/>
      </w:divBdr>
    </w:div>
    <w:div w:id="381560158">
      <w:bodyDiv w:val="1"/>
      <w:marLeft w:val="0"/>
      <w:marRight w:val="0"/>
      <w:marTop w:val="0"/>
      <w:marBottom w:val="0"/>
      <w:divBdr>
        <w:top w:val="none" w:sz="0" w:space="0" w:color="auto"/>
        <w:left w:val="none" w:sz="0" w:space="0" w:color="auto"/>
        <w:bottom w:val="none" w:sz="0" w:space="0" w:color="auto"/>
        <w:right w:val="none" w:sz="0" w:space="0" w:color="auto"/>
      </w:divBdr>
    </w:div>
    <w:div w:id="386495053">
      <w:bodyDiv w:val="1"/>
      <w:marLeft w:val="0"/>
      <w:marRight w:val="0"/>
      <w:marTop w:val="0"/>
      <w:marBottom w:val="0"/>
      <w:divBdr>
        <w:top w:val="none" w:sz="0" w:space="0" w:color="auto"/>
        <w:left w:val="none" w:sz="0" w:space="0" w:color="auto"/>
        <w:bottom w:val="none" w:sz="0" w:space="0" w:color="auto"/>
        <w:right w:val="none" w:sz="0" w:space="0" w:color="auto"/>
      </w:divBdr>
    </w:div>
    <w:div w:id="396173641">
      <w:bodyDiv w:val="1"/>
      <w:marLeft w:val="0"/>
      <w:marRight w:val="0"/>
      <w:marTop w:val="0"/>
      <w:marBottom w:val="0"/>
      <w:divBdr>
        <w:top w:val="none" w:sz="0" w:space="0" w:color="auto"/>
        <w:left w:val="none" w:sz="0" w:space="0" w:color="auto"/>
        <w:bottom w:val="none" w:sz="0" w:space="0" w:color="auto"/>
        <w:right w:val="none" w:sz="0" w:space="0" w:color="auto"/>
      </w:divBdr>
    </w:div>
    <w:div w:id="406269477">
      <w:bodyDiv w:val="1"/>
      <w:marLeft w:val="0"/>
      <w:marRight w:val="0"/>
      <w:marTop w:val="0"/>
      <w:marBottom w:val="0"/>
      <w:divBdr>
        <w:top w:val="none" w:sz="0" w:space="0" w:color="auto"/>
        <w:left w:val="none" w:sz="0" w:space="0" w:color="auto"/>
        <w:bottom w:val="none" w:sz="0" w:space="0" w:color="auto"/>
        <w:right w:val="none" w:sz="0" w:space="0" w:color="auto"/>
      </w:divBdr>
    </w:div>
    <w:div w:id="421536575">
      <w:bodyDiv w:val="1"/>
      <w:marLeft w:val="0"/>
      <w:marRight w:val="0"/>
      <w:marTop w:val="0"/>
      <w:marBottom w:val="0"/>
      <w:divBdr>
        <w:top w:val="none" w:sz="0" w:space="0" w:color="auto"/>
        <w:left w:val="none" w:sz="0" w:space="0" w:color="auto"/>
        <w:bottom w:val="none" w:sz="0" w:space="0" w:color="auto"/>
        <w:right w:val="none" w:sz="0" w:space="0" w:color="auto"/>
      </w:divBdr>
    </w:div>
    <w:div w:id="427384599">
      <w:bodyDiv w:val="1"/>
      <w:marLeft w:val="0"/>
      <w:marRight w:val="0"/>
      <w:marTop w:val="0"/>
      <w:marBottom w:val="0"/>
      <w:divBdr>
        <w:top w:val="none" w:sz="0" w:space="0" w:color="auto"/>
        <w:left w:val="none" w:sz="0" w:space="0" w:color="auto"/>
        <w:bottom w:val="none" w:sz="0" w:space="0" w:color="auto"/>
        <w:right w:val="none" w:sz="0" w:space="0" w:color="auto"/>
      </w:divBdr>
    </w:div>
    <w:div w:id="429204701">
      <w:bodyDiv w:val="1"/>
      <w:marLeft w:val="0"/>
      <w:marRight w:val="0"/>
      <w:marTop w:val="0"/>
      <w:marBottom w:val="0"/>
      <w:divBdr>
        <w:top w:val="none" w:sz="0" w:space="0" w:color="auto"/>
        <w:left w:val="none" w:sz="0" w:space="0" w:color="auto"/>
        <w:bottom w:val="none" w:sz="0" w:space="0" w:color="auto"/>
        <w:right w:val="none" w:sz="0" w:space="0" w:color="auto"/>
      </w:divBdr>
    </w:div>
    <w:div w:id="434717053">
      <w:bodyDiv w:val="1"/>
      <w:marLeft w:val="0"/>
      <w:marRight w:val="0"/>
      <w:marTop w:val="0"/>
      <w:marBottom w:val="0"/>
      <w:divBdr>
        <w:top w:val="none" w:sz="0" w:space="0" w:color="auto"/>
        <w:left w:val="none" w:sz="0" w:space="0" w:color="auto"/>
        <w:bottom w:val="none" w:sz="0" w:space="0" w:color="auto"/>
        <w:right w:val="none" w:sz="0" w:space="0" w:color="auto"/>
      </w:divBdr>
    </w:div>
    <w:div w:id="443312630">
      <w:bodyDiv w:val="1"/>
      <w:marLeft w:val="0"/>
      <w:marRight w:val="0"/>
      <w:marTop w:val="0"/>
      <w:marBottom w:val="0"/>
      <w:divBdr>
        <w:top w:val="none" w:sz="0" w:space="0" w:color="auto"/>
        <w:left w:val="none" w:sz="0" w:space="0" w:color="auto"/>
        <w:bottom w:val="none" w:sz="0" w:space="0" w:color="auto"/>
        <w:right w:val="none" w:sz="0" w:space="0" w:color="auto"/>
      </w:divBdr>
    </w:div>
    <w:div w:id="449474751">
      <w:bodyDiv w:val="1"/>
      <w:marLeft w:val="0"/>
      <w:marRight w:val="0"/>
      <w:marTop w:val="0"/>
      <w:marBottom w:val="0"/>
      <w:divBdr>
        <w:top w:val="none" w:sz="0" w:space="0" w:color="auto"/>
        <w:left w:val="none" w:sz="0" w:space="0" w:color="auto"/>
        <w:bottom w:val="none" w:sz="0" w:space="0" w:color="auto"/>
        <w:right w:val="none" w:sz="0" w:space="0" w:color="auto"/>
      </w:divBdr>
    </w:div>
    <w:div w:id="457338272">
      <w:bodyDiv w:val="1"/>
      <w:marLeft w:val="0"/>
      <w:marRight w:val="0"/>
      <w:marTop w:val="0"/>
      <w:marBottom w:val="0"/>
      <w:divBdr>
        <w:top w:val="none" w:sz="0" w:space="0" w:color="auto"/>
        <w:left w:val="none" w:sz="0" w:space="0" w:color="auto"/>
        <w:bottom w:val="none" w:sz="0" w:space="0" w:color="auto"/>
        <w:right w:val="none" w:sz="0" w:space="0" w:color="auto"/>
      </w:divBdr>
    </w:div>
    <w:div w:id="477890272">
      <w:bodyDiv w:val="1"/>
      <w:marLeft w:val="0"/>
      <w:marRight w:val="0"/>
      <w:marTop w:val="0"/>
      <w:marBottom w:val="0"/>
      <w:divBdr>
        <w:top w:val="none" w:sz="0" w:space="0" w:color="auto"/>
        <w:left w:val="none" w:sz="0" w:space="0" w:color="auto"/>
        <w:bottom w:val="none" w:sz="0" w:space="0" w:color="auto"/>
        <w:right w:val="none" w:sz="0" w:space="0" w:color="auto"/>
      </w:divBdr>
    </w:div>
    <w:div w:id="478110156">
      <w:bodyDiv w:val="1"/>
      <w:marLeft w:val="0"/>
      <w:marRight w:val="0"/>
      <w:marTop w:val="0"/>
      <w:marBottom w:val="0"/>
      <w:divBdr>
        <w:top w:val="none" w:sz="0" w:space="0" w:color="auto"/>
        <w:left w:val="none" w:sz="0" w:space="0" w:color="auto"/>
        <w:bottom w:val="none" w:sz="0" w:space="0" w:color="auto"/>
        <w:right w:val="none" w:sz="0" w:space="0" w:color="auto"/>
      </w:divBdr>
    </w:div>
    <w:div w:id="483476028">
      <w:bodyDiv w:val="1"/>
      <w:marLeft w:val="0"/>
      <w:marRight w:val="0"/>
      <w:marTop w:val="0"/>
      <w:marBottom w:val="0"/>
      <w:divBdr>
        <w:top w:val="none" w:sz="0" w:space="0" w:color="auto"/>
        <w:left w:val="none" w:sz="0" w:space="0" w:color="auto"/>
        <w:bottom w:val="none" w:sz="0" w:space="0" w:color="auto"/>
        <w:right w:val="none" w:sz="0" w:space="0" w:color="auto"/>
      </w:divBdr>
    </w:div>
    <w:div w:id="488637686">
      <w:bodyDiv w:val="1"/>
      <w:marLeft w:val="0"/>
      <w:marRight w:val="0"/>
      <w:marTop w:val="0"/>
      <w:marBottom w:val="0"/>
      <w:divBdr>
        <w:top w:val="none" w:sz="0" w:space="0" w:color="auto"/>
        <w:left w:val="none" w:sz="0" w:space="0" w:color="auto"/>
        <w:bottom w:val="none" w:sz="0" w:space="0" w:color="auto"/>
        <w:right w:val="none" w:sz="0" w:space="0" w:color="auto"/>
      </w:divBdr>
    </w:div>
    <w:div w:id="501706877">
      <w:bodyDiv w:val="1"/>
      <w:marLeft w:val="0"/>
      <w:marRight w:val="0"/>
      <w:marTop w:val="0"/>
      <w:marBottom w:val="0"/>
      <w:divBdr>
        <w:top w:val="none" w:sz="0" w:space="0" w:color="auto"/>
        <w:left w:val="none" w:sz="0" w:space="0" w:color="auto"/>
        <w:bottom w:val="none" w:sz="0" w:space="0" w:color="auto"/>
        <w:right w:val="none" w:sz="0" w:space="0" w:color="auto"/>
      </w:divBdr>
    </w:div>
    <w:div w:id="528839461">
      <w:bodyDiv w:val="1"/>
      <w:marLeft w:val="0"/>
      <w:marRight w:val="0"/>
      <w:marTop w:val="0"/>
      <w:marBottom w:val="0"/>
      <w:divBdr>
        <w:top w:val="none" w:sz="0" w:space="0" w:color="auto"/>
        <w:left w:val="none" w:sz="0" w:space="0" w:color="auto"/>
        <w:bottom w:val="none" w:sz="0" w:space="0" w:color="auto"/>
        <w:right w:val="none" w:sz="0" w:space="0" w:color="auto"/>
      </w:divBdr>
    </w:div>
    <w:div w:id="534661885">
      <w:bodyDiv w:val="1"/>
      <w:marLeft w:val="0"/>
      <w:marRight w:val="0"/>
      <w:marTop w:val="0"/>
      <w:marBottom w:val="0"/>
      <w:divBdr>
        <w:top w:val="none" w:sz="0" w:space="0" w:color="auto"/>
        <w:left w:val="none" w:sz="0" w:space="0" w:color="auto"/>
        <w:bottom w:val="none" w:sz="0" w:space="0" w:color="auto"/>
        <w:right w:val="none" w:sz="0" w:space="0" w:color="auto"/>
      </w:divBdr>
    </w:div>
    <w:div w:id="553737405">
      <w:bodyDiv w:val="1"/>
      <w:marLeft w:val="0"/>
      <w:marRight w:val="0"/>
      <w:marTop w:val="0"/>
      <w:marBottom w:val="0"/>
      <w:divBdr>
        <w:top w:val="none" w:sz="0" w:space="0" w:color="auto"/>
        <w:left w:val="none" w:sz="0" w:space="0" w:color="auto"/>
        <w:bottom w:val="none" w:sz="0" w:space="0" w:color="auto"/>
        <w:right w:val="none" w:sz="0" w:space="0" w:color="auto"/>
      </w:divBdr>
    </w:div>
    <w:div w:id="554700260">
      <w:bodyDiv w:val="1"/>
      <w:marLeft w:val="0"/>
      <w:marRight w:val="0"/>
      <w:marTop w:val="0"/>
      <w:marBottom w:val="0"/>
      <w:divBdr>
        <w:top w:val="none" w:sz="0" w:space="0" w:color="auto"/>
        <w:left w:val="none" w:sz="0" w:space="0" w:color="auto"/>
        <w:bottom w:val="none" w:sz="0" w:space="0" w:color="auto"/>
        <w:right w:val="none" w:sz="0" w:space="0" w:color="auto"/>
      </w:divBdr>
    </w:div>
    <w:div w:id="557327754">
      <w:bodyDiv w:val="1"/>
      <w:marLeft w:val="0"/>
      <w:marRight w:val="0"/>
      <w:marTop w:val="0"/>
      <w:marBottom w:val="0"/>
      <w:divBdr>
        <w:top w:val="none" w:sz="0" w:space="0" w:color="auto"/>
        <w:left w:val="none" w:sz="0" w:space="0" w:color="auto"/>
        <w:bottom w:val="none" w:sz="0" w:space="0" w:color="auto"/>
        <w:right w:val="none" w:sz="0" w:space="0" w:color="auto"/>
      </w:divBdr>
    </w:div>
    <w:div w:id="562301242">
      <w:bodyDiv w:val="1"/>
      <w:marLeft w:val="0"/>
      <w:marRight w:val="0"/>
      <w:marTop w:val="0"/>
      <w:marBottom w:val="0"/>
      <w:divBdr>
        <w:top w:val="none" w:sz="0" w:space="0" w:color="auto"/>
        <w:left w:val="none" w:sz="0" w:space="0" w:color="auto"/>
        <w:bottom w:val="none" w:sz="0" w:space="0" w:color="auto"/>
        <w:right w:val="none" w:sz="0" w:space="0" w:color="auto"/>
      </w:divBdr>
    </w:div>
    <w:div w:id="566694001">
      <w:bodyDiv w:val="1"/>
      <w:marLeft w:val="0"/>
      <w:marRight w:val="0"/>
      <w:marTop w:val="0"/>
      <w:marBottom w:val="0"/>
      <w:divBdr>
        <w:top w:val="none" w:sz="0" w:space="0" w:color="auto"/>
        <w:left w:val="none" w:sz="0" w:space="0" w:color="auto"/>
        <w:bottom w:val="none" w:sz="0" w:space="0" w:color="auto"/>
        <w:right w:val="none" w:sz="0" w:space="0" w:color="auto"/>
      </w:divBdr>
    </w:div>
    <w:div w:id="569852396">
      <w:bodyDiv w:val="1"/>
      <w:marLeft w:val="0"/>
      <w:marRight w:val="0"/>
      <w:marTop w:val="0"/>
      <w:marBottom w:val="0"/>
      <w:divBdr>
        <w:top w:val="none" w:sz="0" w:space="0" w:color="auto"/>
        <w:left w:val="none" w:sz="0" w:space="0" w:color="auto"/>
        <w:bottom w:val="none" w:sz="0" w:space="0" w:color="auto"/>
        <w:right w:val="none" w:sz="0" w:space="0" w:color="auto"/>
      </w:divBdr>
    </w:div>
    <w:div w:id="570578956">
      <w:bodyDiv w:val="1"/>
      <w:marLeft w:val="0"/>
      <w:marRight w:val="0"/>
      <w:marTop w:val="0"/>
      <w:marBottom w:val="0"/>
      <w:divBdr>
        <w:top w:val="none" w:sz="0" w:space="0" w:color="auto"/>
        <w:left w:val="none" w:sz="0" w:space="0" w:color="auto"/>
        <w:bottom w:val="none" w:sz="0" w:space="0" w:color="auto"/>
        <w:right w:val="none" w:sz="0" w:space="0" w:color="auto"/>
      </w:divBdr>
      <w:divsChild>
        <w:div w:id="669019031">
          <w:marLeft w:val="0"/>
          <w:marRight w:val="0"/>
          <w:marTop w:val="0"/>
          <w:marBottom w:val="0"/>
          <w:divBdr>
            <w:top w:val="none" w:sz="0" w:space="0" w:color="auto"/>
            <w:left w:val="none" w:sz="0" w:space="0" w:color="auto"/>
            <w:bottom w:val="none" w:sz="0" w:space="0" w:color="auto"/>
            <w:right w:val="none" w:sz="0" w:space="0" w:color="auto"/>
          </w:divBdr>
        </w:div>
      </w:divsChild>
    </w:div>
    <w:div w:id="570777294">
      <w:bodyDiv w:val="1"/>
      <w:marLeft w:val="0"/>
      <w:marRight w:val="0"/>
      <w:marTop w:val="0"/>
      <w:marBottom w:val="0"/>
      <w:divBdr>
        <w:top w:val="none" w:sz="0" w:space="0" w:color="auto"/>
        <w:left w:val="none" w:sz="0" w:space="0" w:color="auto"/>
        <w:bottom w:val="none" w:sz="0" w:space="0" w:color="auto"/>
        <w:right w:val="none" w:sz="0" w:space="0" w:color="auto"/>
      </w:divBdr>
    </w:div>
    <w:div w:id="574097417">
      <w:bodyDiv w:val="1"/>
      <w:marLeft w:val="0"/>
      <w:marRight w:val="0"/>
      <w:marTop w:val="0"/>
      <w:marBottom w:val="0"/>
      <w:divBdr>
        <w:top w:val="none" w:sz="0" w:space="0" w:color="auto"/>
        <w:left w:val="none" w:sz="0" w:space="0" w:color="auto"/>
        <w:bottom w:val="none" w:sz="0" w:space="0" w:color="auto"/>
        <w:right w:val="none" w:sz="0" w:space="0" w:color="auto"/>
      </w:divBdr>
    </w:div>
    <w:div w:id="589316649">
      <w:bodyDiv w:val="1"/>
      <w:marLeft w:val="0"/>
      <w:marRight w:val="0"/>
      <w:marTop w:val="0"/>
      <w:marBottom w:val="0"/>
      <w:divBdr>
        <w:top w:val="none" w:sz="0" w:space="0" w:color="auto"/>
        <w:left w:val="none" w:sz="0" w:space="0" w:color="auto"/>
        <w:bottom w:val="none" w:sz="0" w:space="0" w:color="auto"/>
        <w:right w:val="none" w:sz="0" w:space="0" w:color="auto"/>
      </w:divBdr>
    </w:div>
    <w:div w:id="591014798">
      <w:bodyDiv w:val="1"/>
      <w:marLeft w:val="0"/>
      <w:marRight w:val="0"/>
      <w:marTop w:val="0"/>
      <w:marBottom w:val="0"/>
      <w:divBdr>
        <w:top w:val="none" w:sz="0" w:space="0" w:color="auto"/>
        <w:left w:val="none" w:sz="0" w:space="0" w:color="auto"/>
        <w:bottom w:val="none" w:sz="0" w:space="0" w:color="auto"/>
        <w:right w:val="none" w:sz="0" w:space="0" w:color="auto"/>
      </w:divBdr>
    </w:div>
    <w:div w:id="597640562">
      <w:bodyDiv w:val="1"/>
      <w:marLeft w:val="0"/>
      <w:marRight w:val="0"/>
      <w:marTop w:val="0"/>
      <w:marBottom w:val="0"/>
      <w:divBdr>
        <w:top w:val="none" w:sz="0" w:space="0" w:color="auto"/>
        <w:left w:val="none" w:sz="0" w:space="0" w:color="auto"/>
        <w:bottom w:val="none" w:sz="0" w:space="0" w:color="auto"/>
        <w:right w:val="none" w:sz="0" w:space="0" w:color="auto"/>
      </w:divBdr>
    </w:div>
    <w:div w:id="601455265">
      <w:bodyDiv w:val="1"/>
      <w:marLeft w:val="0"/>
      <w:marRight w:val="0"/>
      <w:marTop w:val="0"/>
      <w:marBottom w:val="0"/>
      <w:divBdr>
        <w:top w:val="none" w:sz="0" w:space="0" w:color="auto"/>
        <w:left w:val="none" w:sz="0" w:space="0" w:color="auto"/>
        <w:bottom w:val="none" w:sz="0" w:space="0" w:color="auto"/>
        <w:right w:val="none" w:sz="0" w:space="0" w:color="auto"/>
      </w:divBdr>
      <w:divsChild>
        <w:div w:id="1578636167">
          <w:marLeft w:val="0"/>
          <w:marRight w:val="0"/>
          <w:marTop w:val="0"/>
          <w:marBottom w:val="0"/>
          <w:divBdr>
            <w:top w:val="none" w:sz="0" w:space="0" w:color="auto"/>
            <w:left w:val="none" w:sz="0" w:space="0" w:color="auto"/>
            <w:bottom w:val="none" w:sz="0" w:space="0" w:color="auto"/>
            <w:right w:val="none" w:sz="0" w:space="0" w:color="auto"/>
          </w:divBdr>
          <w:divsChild>
            <w:div w:id="887187452">
              <w:marLeft w:val="0"/>
              <w:marRight w:val="0"/>
              <w:marTop w:val="0"/>
              <w:marBottom w:val="0"/>
              <w:divBdr>
                <w:top w:val="none" w:sz="0" w:space="0" w:color="auto"/>
                <w:left w:val="none" w:sz="0" w:space="0" w:color="auto"/>
                <w:bottom w:val="none" w:sz="0" w:space="0" w:color="auto"/>
                <w:right w:val="none" w:sz="0" w:space="0" w:color="auto"/>
              </w:divBdr>
              <w:divsChild>
                <w:div w:id="1326468002">
                  <w:marLeft w:val="0"/>
                  <w:marRight w:val="0"/>
                  <w:marTop w:val="0"/>
                  <w:marBottom w:val="300"/>
                  <w:divBdr>
                    <w:top w:val="none" w:sz="0" w:space="0" w:color="auto"/>
                    <w:left w:val="none" w:sz="0" w:space="0" w:color="auto"/>
                    <w:bottom w:val="none" w:sz="0" w:space="0" w:color="auto"/>
                    <w:right w:val="none" w:sz="0" w:space="0" w:color="auto"/>
                  </w:divBdr>
                  <w:divsChild>
                    <w:div w:id="1455247314">
                      <w:marLeft w:val="2325"/>
                      <w:marRight w:val="0"/>
                      <w:marTop w:val="0"/>
                      <w:marBottom w:val="0"/>
                      <w:divBdr>
                        <w:top w:val="none" w:sz="0" w:space="0" w:color="auto"/>
                        <w:left w:val="none" w:sz="0" w:space="0" w:color="auto"/>
                        <w:bottom w:val="none" w:sz="0" w:space="0" w:color="auto"/>
                        <w:right w:val="none" w:sz="0" w:space="0" w:color="auto"/>
                      </w:divBdr>
                      <w:divsChild>
                        <w:div w:id="771164947">
                          <w:marLeft w:val="0"/>
                          <w:marRight w:val="0"/>
                          <w:marTop w:val="0"/>
                          <w:marBottom w:val="0"/>
                          <w:divBdr>
                            <w:top w:val="none" w:sz="0" w:space="0" w:color="auto"/>
                            <w:left w:val="none" w:sz="0" w:space="0" w:color="auto"/>
                            <w:bottom w:val="none" w:sz="0" w:space="0" w:color="auto"/>
                            <w:right w:val="none" w:sz="0" w:space="0" w:color="auto"/>
                          </w:divBdr>
                          <w:divsChild>
                            <w:div w:id="90661022">
                              <w:marLeft w:val="0"/>
                              <w:marRight w:val="0"/>
                              <w:marTop w:val="0"/>
                              <w:marBottom w:val="0"/>
                              <w:divBdr>
                                <w:top w:val="none" w:sz="0" w:space="0" w:color="auto"/>
                                <w:left w:val="none" w:sz="0" w:space="0" w:color="auto"/>
                                <w:bottom w:val="none" w:sz="0" w:space="0" w:color="auto"/>
                                <w:right w:val="none" w:sz="0" w:space="0" w:color="auto"/>
                              </w:divBdr>
                              <w:divsChild>
                                <w:div w:id="1112020036">
                                  <w:marLeft w:val="0"/>
                                  <w:marRight w:val="0"/>
                                  <w:marTop w:val="0"/>
                                  <w:marBottom w:val="0"/>
                                  <w:divBdr>
                                    <w:top w:val="none" w:sz="0" w:space="0" w:color="auto"/>
                                    <w:left w:val="none" w:sz="0" w:space="0" w:color="auto"/>
                                    <w:bottom w:val="none" w:sz="0" w:space="0" w:color="auto"/>
                                    <w:right w:val="none" w:sz="0" w:space="0" w:color="auto"/>
                                  </w:divBdr>
                                  <w:divsChild>
                                    <w:div w:id="594946896">
                                      <w:marLeft w:val="0"/>
                                      <w:marRight w:val="0"/>
                                      <w:marTop w:val="0"/>
                                      <w:marBottom w:val="0"/>
                                      <w:divBdr>
                                        <w:top w:val="none" w:sz="0" w:space="0" w:color="auto"/>
                                        <w:left w:val="none" w:sz="0" w:space="0" w:color="auto"/>
                                        <w:bottom w:val="none" w:sz="0" w:space="0" w:color="auto"/>
                                        <w:right w:val="none" w:sz="0" w:space="0" w:color="auto"/>
                                      </w:divBdr>
                                      <w:divsChild>
                                        <w:div w:id="1160583027">
                                          <w:marLeft w:val="0"/>
                                          <w:marRight w:val="0"/>
                                          <w:marTop w:val="75"/>
                                          <w:marBottom w:val="0"/>
                                          <w:divBdr>
                                            <w:top w:val="none" w:sz="0" w:space="0" w:color="auto"/>
                                            <w:left w:val="none" w:sz="0" w:space="0" w:color="auto"/>
                                            <w:bottom w:val="none" w:sz="0" w:space="0" w:color="auto"/>
                                            <w:right w:val="none" w:sz="0" w:space="0" w:color="auto"/>
                                          </w:divBdr>
                                          <w:divsChild>
                                            <w:div w:id="911039066">
                                              <w:marLeft w:val="0"/>
                                              <w:marRight w:val="0"/>
                                              <w:marTop w:val="0"/>
                                              <w:marBottom w:val="0"/>
                                              <w:divBdr>
                                                <w:top w:val="none" w:sz="0" w:space="0" w:color="auto"/>
                                                <w:left w:val="none" w:sz="0" w:space="0" w:color="auto"/>
                                                <w:bottom w:val="none" w:sz="0" w:space="0" w:color="auto"/>
                                                <w:right w:val="none" w:sz="0" w:space="0" w:color="auto"/>
                                              </w:divBdr>
                                              <w:divsChild>
                                                <w:div w:id="72096314">
                                                  <w:marLeft w:val="720"/>
                                                  <w:marRight w:val="0"/>
                                                  <w:marTop w:val="0"/>
                                                  <w:marBottom w:val="0"/>
                                                  <w:divBdr>
                                                    <w:top w:val="none" w:sz="0" w:space="0" w:color="auto"/>
                                                    <w:left w:val="none" w:sz="0" w:space="0" w:color="auto"/>
                                                    <w:bottom w:val="none" w:sz="0" w:space="0" w:color="auto"/>
                                                    <w:right w:val="none" w:sz="0" w:space="0" w:color="auto"/>
                                                  </w:divBdr>
                                                </w:div>
                                                <w:div w:id="816798624">
                                                  <w:marLeft w:val="0"/>
                                                  <w:marRight w:val="0"/>
                                                  <w:marTop w:val="0"/>
                                                  <w:marBottom w:val="0"/>
                                                  <w:divBdr>
                                                    <w:top w:val="none" w:sz="0" w:space="0" w:color="auto"/>
                                                    <w:left w:val="none" w:sz="0" w:space="0" w:color="auto"/>
                                                    <w:bottom w:val="none" w:sz="0" w:space="0" w:color="auto"/>
                                                    <w:right w:val="none" w:sz="0" w:space="0" w:color="auto"/>
                                                  </w:divBdr>
                                                </w:div>
                                                <w:div w:id="1017346493">
                                                  <w:marLeft w:val="720"/>
                                                  <w:marRight w:val="0"/>
                                                  <w:marTop w:val="0"/>
                                                  <w:marBottom w:val="0"/>
                                                  <w:divBdr>
                                                    <w:top w:val="none" w:sz="0" w:space="0" w:color="auto"/>
                                                    <w:left w:val="none" w:sz="0" w:space="0" w:color="auto"/>
                                                    <w:bottom w:val="none" w:sz="0" w:space="0" w:color="auto"/>
                                                    <w:right w:val="none" w:sz="0" w:space="0" w:color="auto"/>
                                                  </w:divBdr>
                                                </w:div>
                                                <w:div w:id="1416316300">
                                                  <w:marLeft w:val="0"/>
                                                  <w:marRight w:val="0"/>
                                                  <w:marTop w:val="0"/>
                                                  <w:marBottom w:val="0"/>
                                                  <w:divBdr>
                                                    <w:top w:val="none" w:sz="0" w:space="0" w:color="auto"/>
                                                    <w:left w:val="none" w:sz="0" w:space="0" w:color="auto"/>
                                                    <w:bottom w:val="none" w:sz="0" w:space="0" w:color="auto"/>
                                                    <w:right w:val="none" w:sz="0" w:space="0" w:color="auto"/>
                                                  </w:divBdr>
                                                </w:div>
                                                <w:div w:id="165236525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336991">
      <w:bodyDiv w:val="1"/>
      <w:marLeft w:val="0"/>
      <w:marRight w:val="0"/>
      <w:marTop w:val="0"/>
      <w:marBottom w:val="0"/>
      <w:divBdr>
        <w:top w:val="none" w:sz="0" w:space="0" w:color="auto"/>
        <w:left w:val="none" w:sz="0" w:space="0" w:color="auto"/>
        <w:bottom w:val="none" w:sz="0" w:space="0" w:color="auto"/>
        <w:right w:val="none" w:sz="0" w:space="0" w:color="auto"/>
      </w:divBdr>
    </w:div>
    <w:div w:id="622541039">
      <w:bodyDiv w:val="1"/>
      <w:marLeft w:val="0"/>
      <w:marRight w:val="0"/>
      <w:marTop w:val="0"/>
      <w:marBottom w:val="0"/>
      <w:divBdr>
        <w:top w:val="none" w:sz="0" w:space="0" w:color="auto"/>
        <w:left w:val="none" w:sz="0" w:space="0" w:color="auto"/>
        <w:bottom w:val="none" w:sz="0" w:space="0" w:color="auto"/>
        <w:right w:val="none" w:sz="0" w:space="0" w:color="auto"/>
      </w:divBdr>
    </w:div>
    <w:div w:id="657535777">
      <w:bodyDiv w:val="1"/>
      <w:marLeft w:val="0"/>
      <w:marRight w:val="0"/>
      <w:marTop w:val="0"/>
      <w:marBottom w:val="0"/>
      <w:divBdr>
        <w:top w:val="none" w:sz="0" w:space="0" w:color="auto"/>
        <w:left w:val="none" w:sz="0" w:space="0" w:color="auto"/>
        <w:bottom w:val="none" w:sz="0" w:space="0" w:color="auto"/>
        <w:right w:val="none" w:sz="0" w:space="0" w:color="auto"/>
      </w:divBdr>
    </w:div>
    <w:div w:id="658582154">
      <w:bodyDiv w:val="1"/>
      <w:marLeft w:val="0"/>
      <w:marRight w:val="0"/>
      <w:marTop w:val="0"/>
      <w:marBottom w:val="0"/>
      <w:divBdr>
        <w:top w:val="none" w:sz="0" w:space="0" w:color="auto"/>
        <w:left w:val="none" w:sz="0" w:space="0" w:color="auto"/>
        <w:bottom w:val="none" w:sz="0" w:space="0" w:color="auto"/>
        <w:right w:val="none" w:sz="0" w:space="0" w:color="auto"/>
      </w:divBdr>
    </w:div>
    <w:div w:id="659045149">
      <w:bodyDiv w:val="1"/>
      <w:marLeft w:val="0"/>
      <w:marRight w:val="0"/>
      <w:marTop w:val="0"/>
      <w:marBottom w:val="0"/>
      <w:divBdr>
        <w:top w:val="none" w:sz="0" w:space="0" w:color="auto"/>
        <w:left w:val="none" w:sz="0" w:space="0" w:color="auto"/>
        <w:bottom w:val="none" w:sz="0" w:space="0" w:color="auto"/>
        <w:right w:val="none" w:sz="0" w:space="0" w:color="auto"/>
      </w:divBdr>
    </w:div>
    <w:div w:id="665010121">
      <w:bodyDiv w:val="1"/>
      <w:marLeft w:val="0"/>
      <w:marRight w:val="0"/>
      <w:marTop w:val="0"/>
      <w:marBottom w:val="0"/>
      <w:divBdr>
        <w:top w:val="none" w:sz="0" w:space="0" w:color="auto"/>
        <w:left w:val="none" w:sz="0" w:space="0" w:color="auto"/>
        <w:bottom w:val="none" w:sz="0" w:space="0" w:color="auto"/>
        <w:right w:val="none" w:sz="0" w:space="0" w:color="auto"/>
      </w:divBdr>
    </w:div>
    <w:div w:id="672024926">
      <w:bodyDiv w:val="1"/>
      <w:marLeft w:val="0"/>
      <w:marRight w:val="0"/>
      <w:marTop w:val="0"/>
      <w:marBottom w:val="0"/>
      <w:divBdr>
        <w:top w:val="none" w:sz="0" w:space="0" w:color="auto"/>
        <w:left w:val="none" w:sz="0" w:space="0" w:color="auto"/>
        <w:bottom w:val="none" w:sz="0" w:space="0" w:color="auto"/>
        <w:right w:val="none" w:sz="0" w:space="0" w:color="auto"/>
      </w:divBdr>
    </w:div>
    <w:div w:id="675309060">
      <w:bodyDiv w:val="1"/>
      <w:marLeft w:val="0"/>
      <w:marRight w:val="0"/>
      <w:marTop w:val="0"/>
      <w:marBottom w:val="0"/>
      <w:divBdr>
        <w:top w:val="none" w:sz="0" w:space="0" w:color="auto"/>
        <w:left w:val="none" w:sz="0" w:space="0" w:color="auto"/>
        <w:bottom w:val="none" w:sz="0" w:space="0" w:color="auto"/>
        <w:right w:val="none" w:sz="0" w:space="0" w:color="auto"/>
      </w:divBdr>
    </w:div>
    <w:div w:id="687364989">
      <w:bodyDiv w:val="1"/>
      <w:marLeft w:val="0"/>
      <w:marRight w:val="0"/>
      <w:marTop w:val="0"/>
      <w:marBottom w:val="0"/>
      <w:divBdr>
        <w:top w:val="none" w:sz="0" w:space="0" w:color="auto"/>
        <w:left w:val="none" w:sz="0" w:space="0" w:color="auto"/>
        <w:bottom w:val="none" w:sz="0" w:space="0" w:color="auto"/>
        <w:right w:val="none" w:sz="0" w:space="0" w:color="auto"/>
      </w:divBdr>
    </w:div>
    <w:div w:id="690760580">
      <w:bodyDiv w:val="1"/>
      <w:marLeft w:val="0"/>
      <w:marRight w:val="0"/>
      <w:marTop w:val="0"/>
      <w:marBottom w:val="0"/>
      <w:divBdr>
        <w:top w:val="none" w:sz="0" w:space="0" w:color="auto"/>
        <w:left w:val="none" w:sz="0" w:space="0" w:color="auto"/>
        <w:bottom w:val="none" w:sz="0" w:space="0" w:color="auto"/>
        <w:right w:val="none" w:sz="0" w:space="0" w:color="auto"/>
      </w:divBdr>
    </w:div>
    <w:div w:id="718213757">
      <w:bodyDiv w:val="1"/>
      <w:marLeft w:val="0"/>
      <w:marRight w:val="0"/>
      <w:marTop w:val="0"/>
      <w:marBottom w:val="0"/>
      <w:divBdr>
        <w:top w:val="none" w:sz="0" w:space="0" w:color="auto"/>
        <w:left w:val="none" w:sz="0" w:space="0" w:color="auto"/>
        <w:bottom w:val="none" w:sz="0" w:space="0" w:color="auto"/>
        <w:right w:val="none" w:sz="0" w:space="0" w:color="auto"/>
      </w:divBdr>
    </w:div>
    <w:div w:id="724107862">
      <w:bodyDiv w:val="1"/>
      <w:marLeft w:val="0"/>
      <w:marRight w:val="0"/>
      <w:marTop w:val="0"/>
      <w:marBottom w:val="0"/>
      <w:divBdr>
        <w:top w:val="none" w:sz="0" w:space="0" w:color="auto"/>
        <w:left w:val="none" w:sz="0" w:space="0" w:color="auto"/>
        <w:bottom w:val="none" w:sz="0" w:space="0" w:color="auto"/>
        <w:right w:val="none" w:sz="0" w:space="0" w:color="auto"/>
      </w:divBdr>
    </w:div>
    <w:div w:id="725370579">
      <w:bodyDiv w:val="1"/>
      <w:marLeft w:val="0"/>
      <w:marRight w:val="0"/>
      <w:marTop w:val="0"/>
      <w:marBottom w:val="0"/>
      <w:divBdr>
        <w:top w:val="none" w:sz="0" w:space="0" w:color="auto"/>
        <w:left w:val="none" w:sz="0" w:space="0" w:color="auto"/>
        <w:bottom w:val="none" w:sz="0" w:space="0" w:color="auto"/>
        <w:right w:val="none" w:sz="0" w:space="0" w:color="auto"/>
      </w:divBdr>
    </w:div>
    <w:div w:id="731470379">
      <w:bodyDiv w:val="1"/>
      <w:marLeft w:val="0"/>
      <w:marRight w:val="0"/>
      <w:marTop w:val="0"/>
      <w:marBottom w:val="0"/>
      <w:divBdr>
        <w:top w:val="none" w:sz="0" w:space="0" w:color="auto"/>
        <w:left w:val="none" w:sz="0" w:space="0" w:color="auto"/>
        <w:bottom w:val="none" w:sz="0" w:space="0" w:color="auto"/>
        <w:right w:val="none" w:sz="0" w:space="0" w:color="auto"/>
      </w:divBdr>
      <w:divsChild>
        <w:div w:id="820927789">
          <w:marLeft w:val="547"/>
          <w:marRight w:val="0"/>
          <w:marTop w:val="0"/>
          <w:marBottom w:val="0"/>
          <w:divBdr>
            <w:top w:val="none" w:sz="0" w:space="0" w:color="auto"/>
            <w:left w:val="none" w:sz="0" w:space="0" w:color="auto"/>
            <w:bottom w:val="none" w:sz="0" w:space="0" w:color="auto"/>
            <w:right w:val="none" w:sz="0" w:space="0" w:color="auto"/>
          </w:divBdr>
        </w:div>
      </w:divsChild>
    </w:div>
    <w:div w:id="731541511">
      <w:bodyDiv w:val="1"/>
      <w:marLeft w:val="0"/>
      <w:marRight w:val="0"/>
      <w:marTop w:val="0"/>
      <w:marBottom w:val="0"/>
      <w:divBdr>
        <w:top w:val="none" w:sz="0" w:space="0" w:color="auto"/>
        <w:left w:val="none" w:sz="0" w:space="0" w:color="auto"/>
        <w:bottom w:val="none" w:sz="0" w:space="0" w:color="auto"/>
        <w:right w:val="none" w:sz="0" w:space="0" w:color="auto"/>
      </w:divBdr>
    </w:div>
    <w:div w:id="732505208">
      <w:bodyDiv w:val="1"/>
      <w:marLeft w:val="0"/>
      <w:marRight w:val="0"/>
      <w:marTop w:val="0"/>
      <w:marBottom w:val="0"/>
      <w:divBdr>
        <w:top w:val="none" w:sz="0" w:space="0" w:color="auto"/>
        <w:left w:val="none" w:sz="0" w:space="0" w:color="auto"/>
        <w:bottom w:val="none" w:sz="0" w:space="0" w:color="auto"/>
        <w:right w:val="none" w:sz="0" w:space="0" w:color="auto"/>
      </w:divBdr>
    </w:div>
    <w:div w:id="743263701">
      <w:bodyDiv w:val="1"/>
      <w:marLeft w:val="0"/>
      <w:marRight w:val="0"/>
      <w:marTop w:val="0"/>
      <w:marBottom w:val="0"/>
      <w:divBdr>
        <w:top w:val="none" w:sz="0" w:space="0" w:color="auto"/>
        <w:left w:val="none" w:sz="0" w:space="0" w:color="auto"/>
        <w:bottom w:val="none" w:sz="0" w:space="0" w:color="auto"/>
        <w:right w:val="none" w:sz="0" w:space="0" w:color="auto"/>
      </w:divBdr>
    </w:div>
    <w:div w:id="761072129">
      <w:bodyDiv w:val="1"/>
      <w:marLeft w:val="0"/>
      <w:marRight w:val="0"/>
      <w:marTop w:val="0"/>
      <w:marBottom w:val="0"/>
      <w:divBdr>
        <w:top w:val="none" w:sz="0" w:space="0" w:color="auto"/>
        <w:left w:val="none" w:sz="0" w:space="0" w:color="auto"/>
        <w:bottom w:val="none" w:sz="0" w:space="0" w:color="auto"/>
        <w:right w:val="none" w:sz="0" w:space="0" w:color="auto"/>
      </w:divBdr>
    </w:div>
    <w:div w:id="770705606">
      <w:bodyDiv w:val="1"/>
      <w:marLeft w:val="0"/>
      <w:marRight w:val="0"/>
      <w:marTop w:val="0"/>
      <w:marBottom w:val="0"/>
      <w:divBdr>
        <w:top w:val="none" w:sz="0" w:space="0" w:color="auto"/>
        <w:left w:val="none" w:sz="0" w:space="0" w:color="auto"/>
        <w:bottom w:val="none" w:sz="0" w:space="0" w:color="auto"/>
        <w:right w:val="none" w:sz="0" w:space="0" w:color="auto"/>
      </w:divBdr>
    </w:div>
    <w:div w:id="773522112">
      <w:bodyDiv w:val="1"/>
      <w:marLeft w:val="0"/>
      <w:marRight w:val="0"/>
      <w:marTop w:val="0"/>
      <w:marBottom w:val="0"/>
      <w:divBdr>
        <w:top w:val="none" w:sz="0" w:space="0" w:color="auto"/>
        <w:left w:val="none" w:sz="0" w:space="0" w:color="auto"/>
        <w:bottom w:val="none" w:sz="0" w:space="0" w:color="auto"/>
        <w:right w:val="none" w:sz="0" w:space="0" w:color="auto"/>
      </w:divBdr>
    </w:div>
    <w:div w:id="779225896">
      <w:bodyDiv w:val="1"/>
      <w:marLeft w:val="0"/>
      <w:marRight w:val="0"/>
      <w:marTop w:val="0"/>
      <w:marBottom w:val="0"/>
      <w:divBdr>
        <w:top w:val="none" w:sz="0" w:space="0" w:color="auto"/>
        <w:left w:val="none" w:sz="0" w:space="0" w:color="auto"/>
        <w:bottom w:val="none" w:sz="0" w:space="0" w:color="auto"/>
        <w:right w:val="none" w:sz="0" w:space="0" w:color="auto"/>
      </w:divBdr>
    </w:div>
    <w:div w:id="779763781">
      <w:bodyDiv w:val="1"/>
      <w:marLeft w:val="0"/>
      <w:marRight w:val="0"/>
      <w:marTop w:val="0"/>
      <w:marBottom w:val="0"/>
      <w:divBdr>
        <w:top w:val="none" w:sz="0" w:space="0" w:color="auto"/>
        <w:left w:val="none" w:sz="0" w:space="0" w:color="auto"/>
        <w:bottom w:val="none" w:sz="0" w:space="0" w:color="auto"/>
        <w:right w:val="none" w:sz="0" w:space="0" w:color="auto"/>
      </w:divBdr>
    </w:div>
    <w:div w:id="783504830">
      <w:bodyDiv w:val="1"/>
      <w:marLeft w:val="0"/>
      <w:marRight w:val="0"/>
      <w:marTop w:val="0"/>
      <w:marBottom w:val="0"/>
      <w:divBdr>
        <w:top w:val="none" w:sz="0" w:space="0" w:color="auto"/>
        <w:left w:val="none" w:sz="0" w:space="0" w:color="auto"/>
        <w:bottom w:val="none" w:sz="0" w:space="0" w:color="auto"/>
        <w:right w:val="none" w:sz="0" w:space="0" w:color="auto"/>
      </w:divBdr>
    </w:div>
    <w:div w:id="790049769">
      <w:bodyDiv w:val="1"/>
      <w:marLeft w:val="0"/>
      <w:marRight w:val="0"/>
      <w:marTop w:val="0"/>
      <w:marBottom w:val="0"/>
      <w:divBdr>
        <w:top w:val="none" w:sz="0" w:space="0" w:color="auto"/>
        <w:left w:val="none" w:sz="0" w:space="0" w:color="auto"/>
        <w:bottom w:val="none" w:sz="0" w:space="0" w:color="auto"/>
        <w:right w:val="none" w:sz="0" w:space="0" w:color="auto"/>
      </w:divBdr>
    </w:div>
    <w:div w:id="803621362">
      <w:bodyDiv w:val="1"/>
      <w:marLeft w:val="0"/>
      <w:marRight w:val="0"/>
      <w:marTop w:val="0"/>
      <w:marBottom w:val="0"/>
      <w:divBdr>
        <w:top w:val="none" w:sz="0" w:space="0" w:color="auto"/>
        <w:left w:val="none" w:sz="0" w:space="0" w:color="auto"/>
        <w:bottom w:val="none" w:sz="0" w:space="0" w:color="auto"/>
        <w:right w:val="none" w:sz="0" w:space="0" w:color="auto"/>
      </w:divBdr>
    </w:div>
    <w:div w:id="811558615">
      <w:bodyDiv w:val="1"/>
      <w:marLeft w:val="0"/>
      <w:marRight w:val="0"/>
      <w:marTop w:val="0"/>
      <w:marBottom w:val="0"/>
      <w:divBdr>
        <w:top w:val="none" w:sz="0" w:space="0" w:color="auto"/>
        <w:left w:val="none" w:sz="0" w:space="0" w:color="auto"/>
        <w:bottom w:val="none" w:sz="0" w:space="0" w:color="auto"/>
        <w:right w:val="none" w:sz="0" w:space="0" w:color="auto"/>
      </w:divBdr>
    </w:div>
    <w:div w:id="816385529">
      <w:bodyDiv w:val="1"/>
      <w:marLeft w:val="0"/>
      <w:marRight w:val="0"/>
      <w:marTop w:val="0"/>
      <w:marBottom w:val="0"/>
      <w:divBdr>
        <w:top w:val="none" w:sz="0" w:space="0" w:color="auto"/>
        <w:left w:val="none" w:sz="0" w:space="0" w:color="auto"/>
        <w:bottom w:val="none" w:sz="0" w:space="0" w:color="auto"/>
        <w:right w:val="none" w:sz="0" w:space="0" w:color="auto"/>
      </w:divBdr>
    </w:div>
    <w:div w:id="831531362">
      <w:bodyDiv w:val="1"/>
      <w:marLeft w:val="0"/>
      <w:marRight w:val="0"/>
      <w:marTop w:val="0"/>
      <w:marBottom w:val="0"/>
      <w:divBdr>
        <w:top w:val="none" w:sz="0" w:space="0" w:color="auto"/>
        <w:left w:val="none" w:sz="0" w:space="0" w:color="auto"/>
        <w:bottom w:val="none" w:sz="0" w:space="0" w:color="auto"/>
        <w:right w:val="none" w:sz="0" w:space="0" w:color="auto"/>
      </w:divBdr>
    </w:div>
    <w:div w:id="831986631">
      <w:bodyDiv w:val="1"/>
      <w:marLeft w:val="0"/>
      <w:marRight w:val="0"/>
      <w:marTop w:val="0"/>
      <w:marBottom w:val="0"/>
      <w:divBdr>
        <w:top w:val="none" w:sz="0" w:space="0" w:color="auto"/>
        <w:left w:val="none" w:sz="0" w:space="0" w:color="auto"/>
        <w:bottom w:val="none" w:sz="0" w:space="0" w:color="auto"/>
        <w:right w:val="none" w:sz="0" w:space="0" w:color="auto"/>
      </w:divBdr>
    </w:div>
    <w:div w:id="843328267">
      <w:bodyDiv w:val="1"/>
      <w:marLeft w:val="0"/>
      <w:marRight w:val="0"/>
      <w:marTop w:val="0"/>
      <w:marBottom w:val="0"/>
      <w:divBdr>
        <w:top w:val="none" w:sz="0" w:space="0" w:color="auto"/>
        <w:left w:val="none" w:sz="0" w:space="0" w:color="auto"/>
        <w:bottom w:val="none" w:sz="0" w:space="0" w:color="auto"/>
        <w:right w:val="none" w:sz="0" w:space="0" w:color="auto"/>
      </w:divBdr>
    </w:div>
    <w:div w:id="844781197">
      <w:bodyDiv w:val="1"/>
      <w:marLeft w:val="0"/>
      <w:marRight w:val="0"/>
      <w:marTop w:val="0"/>
      <w:marBottom w:val="0"/>
      <w:divBdr>
        <w:top w:val="none" w:sz="0" w:space="0" w:color="auto"/>
        <w:left w:val="none" w:sz="0" w:space="0" w:color="auto"/>
        <w:bottom w:val="none" w:sz="0" w:space="0" w:color="auto"/>
        <w:right w:val="none" w:sz="0" w:space="0" w:color="auto"/>
      </w:divBdr>
    </w:div>
    <w:div w:id="849953357">
      <w:bodyDiv w:val="1"/>
      <w:marLeft w:val="0"/>
      <w:marRight w:val="0"/>
      <w:marTop w:val="0"/>
      <w:marBottom w:val="0"/>
      <w:divBdr>
        <w:top w:val="none" w:sz="0" w:space="0" w:color="auto"/>
        <w:left w:val="none" w:sz="0" w:space="0" w:color="auto"/>
        <w:bottom w:val="none" w:sz="0" w:space="0" w:color="auto"/>
        <w:right w:val="none" w:sz="0" w:space="0" w:color="auto"/>
      </w:divBdr>
    </w:div>
    <w:div w:id="853035023">
      <w:bodyDiv w:val="1"/>
      <w:marLeft w:val="0"/>
      <w:marRight w:val="0"/>
      <w:marTop w:val="0"/>
      <w:marBottom w:val="0"/>
      <w:divBdr>
        <w:top w:val="none" w:sz="0" w:space="0" w:color="auto"/>
        <w:left w:val="none" w:sz="0" w:space="0" w:color="auto"/>
        <w:bottom w:val="none" w:sz="0" w:space="0" w:color="auto"/>
        <w:right w:val="none" w:sz="0" w:space="0" w:color="auto"/>
      </w:divBdr>
    </w:div>
    <w:div w:id="856387289">
      <w:bodyDiv w:val="1"/>
      <w:marLeft w:val="0"/>
      <w:marRight w:val="0"/>
      <w:marTop w:val="0"/>
      <w:marBottom w:val="0"/>
      <w:divBdr>
        <w:top w:val="none" w:sz="0" w:space="0" w:color="auto"/>
        <w:left w:val="none" w:sz="0" w:space="0" w:color="auto"/>
        <w:bottom w:val="none" w:sz="0" w:space="0" w:color="auto"/>
        <w:right w:val="none" w:sz="0" w:space="0" w:color="auto"/>
      </w:divBdr>
    </w:div>
    <w:div w:id="867913464">
      <w:bodyDiv w:val="1"/>
      <w:marLeft w:val="0"/>
      <w:marRight w:val="0"/>
      <w:marTop w:val="0"/>
      <w:marBottom w:val="0"/>
      <w:divBdr>
        <w:top w:val="none" w:sz="0" w:space="0" w:color="auto"/>
        <w:left w:val="none" w:sz="0" w:space="0" w:color="auto"/>
        <w:bottom w:val="none" w:sz="0" w:space="0" w:color="auto"/>
        <w:right w:val="none" w:sz="0" w:space="0" w:color="auto"/>
      </w:divBdr>
    </w:div>
    <w:div w:id="871721446">
      <w:bodyDiv w:val="1"/>
      <w:marLeft w:val="0"/>
      <w:marRight w:val="0"/>
      <w:marTop w:val="0"/>
      <w:marBottom w:val="0"/>
      <w:divBdr>
        <w:top w:val="none" w:sz="0" w:space="0" w:color="auto"/>
        <w:left w:val="none" w:sz="0" w:space="0" w:color="auto"/>
        <w:bottom w:val="none" w:sz="0" w:space="0" w:color="auto"/>
        <w:right w:val="none" w:sz="0" w:space="0" w:color="auto"/>
      </w:divBdr>
    </w:div>
    <w:div w:id="883102292">
      <w:bodyDiv w:val="1"/>
      <w:marLeft w:val="0"/>
      <w:marRight w:val="0"/>
      <w:marTop w:val="0"/>
      <w:marBottom w:val="0"/>
      <w:divBdr>
        <w:top w:val="none" w:sz="0" w:space="0" w:color="auto"/>
        <w:left w:val="none" w:sz="0" w:space="0" w:color="auto"/>
        <w:bottom w:val="none" w:sz="0" w:space="0" w:color="auto"/>
        <w:right w:val="none" w:sz="0" w:space="0" w:color="auto"/>
      </w:divBdr>
    </w:div>
    <w:div w:id="898438248">
      <w:bodyDiv w:val="1"/>
      <w:marLeft w:val="0"/>
      <w:marRight w:val="0"/>
      <w:marTop w:val="0"/>
      <w:marBottom w:val="0"/>
      <w:divBdr>
        <w:top w:val="none" w:sz="0" w:space="0" w:color="auto"/>
        <w:left w:val="none" w:sz="0" w:space="0" w:color="auto"/>
        <w:bottom w:val="none" w:sz="0" w:space="0" w:color="auto"/>
        <w:right w:val="none" w:sz="0" w:space="0" w:color="auto"/>
      </w:divBdr>
    </w:div>
    <w:div w:id="900792496">
      <w:bodyDiv w:val="1"/>
      <w:marLeft w:val="0"/>
      <w:marRight w:val="0"/>
      <w:marTop w:val="0"/>
      <w:marBottom w:val="0"/>
      <w:divBdr>
        <w:top w:val="none" w:sz="0" w:space="0" w:color="auto"/>
        <w:left w:val="none" w:sz="0" w:space="0" w:color="auto"/>
        <w:bottom w:val="none" w:sz="0" w:space="0" w:color="auto"/>
        <w:right w:val="none" w:sz="0" w:space="0" w:color="auto"/>
      </w:divBdr>
    </w:div>
    <w:div w:id="914701448">
      <w:bodyDiv w:val="1"/>
      <w:marLeft w:val="0"/>
      <w:marRight w:val="0"/>
      <w:marTop w:val="0"/>
      <w:marBottom w:val="0"/>
      <w:divBdr>
        <w:top w:val="none" w:sz="0" w:space="0" w:color="auto"/>
        <w:left w:val="none" w:sz="0" w:space="0" w:color="auto"/>
        <w:bottom w:val="none" w:sz="0" w:space="0" w:color="auto"/>
        <w:right w:val="none" w:sz="0" w:space="0" w:color="auto"/>
      </w:divBdr>
    </w:div>
    <w:div w:id="917515889">
      <w:bodyDiv w:val="1"/>
      <w:marLeft w:val="0"/>
      <w:marRight w:val="0"/>
      <w:marTop w:val="0"/>
      <w:marBottom w:val="0"/>
      <w:divBdr>
        <w:top w:val="none" w:sz="0" w:space="0" w:color="auto"/>
        <w:left w:val="none" w:sz="0" w:space="0" w:color="auto"/>
        <w:bottom w:val="none" w:sz="0" w:space="0" w:color="auto"/>
        <w:right w:val="none" w:sz="0" w:space="0" w:color="auto"/>
      </w:divBdr>
    </w:div>
    <w:div w:id="929045504">
      <w:bodyDiv w:val="1"/>
      <w:marLeft w:val="0"/>
      <w:marRight w:val="0"/>
      <w:marTop w:val="0"/>
      <w:marBottom w:val="0"/>
      <w:divBdr>
        <w:top w:val="none" w:sz="0" w:space="0" w:color="auto"/>
        <w:left w:val="none" w:sz="0" w:space="0" w:color="auto"/>
        <w:bottom w:val="none" w:sz="0" w:space="0" w:color="auto"/>
        <w:right w:val="none" w:sz="0" w:space="0" w:color="auto"/>
      </w:divBdr>
    </w:div>
    <w:div w:id="933627959">
      <w:bodyDiv w:val="1"/>
      <w:marLeft w:val="0"/>
      <w:marRight w:val="0"/>
      <w:marTop w:val="0"/>
      <w:marBottom w:val="0"/>
      <w:divBdr>
        <w:top w:val="none" w:sz="0" w:space="0" w:color="auto"/>
        <w:left w:val="none" w:sz="0" w:space="0" w:color="auto"/>
        <w:bottom w:val="none" w:sz="0" w:space="0" w:color="auto"/>
        <w:right w:val="none" w:sz="0" w:space="0" w:color="auto"/>
      </w:divBdr>
    </w:div>
    <w:div w:id="936253409">
      <w:bodyDiv w:val="1"/>
      <w:marLeft w:val="0"/>
      <w:marRight w:val="0"/>
      <w:marTop w:val="0"/>
      <w:marBottom w:val="0"/>
      <w:divBdr>
        <w:top w:val="none" w:sz="0" w:space="0" w:color="auto"/>
        <w:left w:val="none" w:sz="0" w:space="0" w:color="auto"/>
        <w:bottom w:val="none" w:sz="0" w:space="0" w:color="auto"/>
        <w:right w:val="none" w:sz="0" w:space="0" w:color="auto"/>
      </w:divBdr>
    </w:div>
    <w:div w:id="951326201">
      <w:bodyDiv w:val="1"/>
      <w:marLeft w:val="0"/>
      <w:marRight w:val="0"/>
      <w:marTop w:val="0"/>
      <w:marBottom w:val="0"/>
      <w:divBdr>
        <w:top w:val="none" w:sz="0" w:space="0" w:color="auto"/>
        <w:left w:val="none" w:sz="0" w:space="0" w:color="auto"/>
        <w:bottom w:val="none" w:sz="0" w:space="0" w:color="auto"/>
        <w:right w:val="none" w:sz="0" w:space="0" w:color="auto"/>
      </w:divBdr>
    </w:div>
    <w:div w:id="953632013">
      <w:bodyDiv w:val="1"/>
      <w:marLeft w:val="0"/>
      <w:marRight w:val="0"/>
      <w:marTop w:val="0"/>
      <w:marBottom w:val="0"/>
      <w:divBdr>
        <w:top w:val="none" w:sz="0" w:space="0" w:color="auto"/>
        <w:left w:val="none" w:sz="0" w:space="0" w:color="auto"/>
        <w:bottom w:val="none" w:sz="0" w:space="0" w:color="auto"/>
        <w:right w:val="none" w:sz="0" w:space="0" w:color="auto"/>
      </w:divBdr>
    </w:div>
    <w:div w:id="956134387">
      <w:bodyDiv w:val="1"/>
      <w:marLeft w:val="0"/>
      <w:marRight w:val="0"/>
      <w:marTop w:val="0"/>
      <w:marBottom w:val="0"/>
      <w:divBdr>
        <w:top w:val="none" w:sz="0" w:space="0" w:color="auto"/>
        <w:left w:val="none" w:sz="0" w:space="0" w:color="auto"/>
        <w:bottom w:val="none" w:sz="0" w:space="0" w:color="auto"/>
        <w:right w:val="none" w:sz="0" w:space="0" w:color="auto"/>
      </w:divBdr>
    </w:div>
    <w:div w:id="956986155">
      <w:bodyDiv w:val="1"/>
      <w:marLeft w:val="0"/>
      <w:marRight w:val="0"/>
      <w:marTop w:val="0"/>
      <w:marBottom w:val="0"/>
      <w:divBdr>
        <w:top w:val="none" w:sz="0" w:space="0" w:color="auto"/>
        <w:left w:val="none" w:sz="0" w:space="0" w:color="auto"/>
        <w:bottom w:val="none" w:sz="0" w:space="0" w:color="auto"/>
        <w:right w:val="none" w:sz="0" w:space="0" w:color="auto"/>
      </w:divBdr>
    </w:div>
    <w:div w:id="963804931">
      <w:bodyDiv w:val="1"/>
      <w:marLeft w:val="0"/>
      <w:marRight w:val="0"/>
      <w:marTop w:val="0"/>
      <w:marBottom w:val="0"/>
      <w:divBdr>
        <w:top w:val="none" w:sz="0" w:space="0" w:color="auto"/>
        <w:left w:val="none" w:sz="0" w:space="0" w:color="auto"/>
        <w:bottom w:val="none" w:sz="0" w:space="0" w:color="auto"/>
        <w:right w:val="none" w:sz="0" w:space="0" w:color="auto"/>
      </w:divBdr>
    </w:div>
    <w:div w:id="964502229">
      <w:bodyDiv w:val="1"/>
      <w:marLeft w:val="0"/>
      <w:marRight w:val="0"/>
      <w:marTop w:val="0"/>
      <w:marBottom w:val="0"/>
      <w:divBdr>
        <w:top w:val="none" w:sz="0" w:space="0" w:color="auto"/>
        <w:left w:val="none" w:sz="0" w:space="0" w:color="auto"/>
        <w:bottom w:val="none" w:sz="0" w:space="0" w:color="auto"/>
        <w:right w:val="none" w:sz="0" w:space="0" w:color="auto"/>
      </w:divBdr>
    </w:div>
    <w:div w:id="966206445">
      <w:bodyDiv w:val="1"/>
      <w:marLeft w:val="0"/>
      <w:marRight w:val="0"/>
      <w:marTop w:val="0"/>
      <w:marBottom w:val="0"/>
      <w:divBdr>
        <w:top w:val="none" w:sz="0" w:space="0" w:color="auto"/>
        <w:left w:val="none" w:sz="0" w:space="0" w:color="auto"/>
        <w:bottom w:val="none" w:sz="0" w:space="0" w:color="auto"/>
        <w:right w:val="none" w:sz="0" w:space="0" w:color="auto"/>
      </w:divBdr>
    </w:div>
    <w:div w:id="975646512">
      <w:bodyDiv w:val="1"/>
      <w:marLeft w:val="0"/>
      <w:marRight w:val="0"/>
      <w:marTop w:val="0"/>
      <w:marBottom w:val="0"/>
      <w:divBdr>
        <w:top w:val="none" w:sz="0" w:space="0" w:color="auto"/>
        <w:left w:val="none" w:sz="0" w:space="0" w:color="auto"/>
        <w:bottom w:val="none" w:sz="0" w:space="0" w:color="auto"/>
        <w:right w:val="none" w:sz="0" w:space="0" w:color="auto"/>
      </w:divBdr>
    </w:div>
    <w:div w:id="979652026">
      <w:bodyDiv w:val="1"/>
      <w:marLeft w:val="0"/>
      <w:marRight w:val="0"/>
      <w:marTop w:val="0"/>
      <w:marBottom w:val="0"/>
      <w:divBdr>
        <w:top w:val="none" w:sz="0" w:space="0" w:color="auto"/>
        <w:left w:val="none" w:sz="0" w:space="0" w:color="auto"/>
        <w:bottom w:val="none" w:sz="0" w:space="0" w:color="auto"/>
        <w:right w:val="none" w:sz="0" w:space="0" w:color="auto"/>
      </w:divBdr>
      <w:divsChild>
        <w:div w:id="85425919">
          <w:marLeft w:val="0"/>
          <w:marRight w:val="0"/>
          <w:marTop w:val="0"/>
          <w:marBottom w:val="0"/>
          <w:divBdr>
            <w:top w:val="none" w:sz="0" w:space="0" w:color="auto"/>
            <w:left w:val="none" w:sz="0" w:space="0" w:color="auto"/>
            <w:bottom w:val="none" w:sz="0" w:space="0" w:color="auto"/>
            <w:right w:val="none" w:sz="0" w:space="0" w:color="auto"/>
          </w:divBdr>
          <w:divsChild>
            <w:div w:id="1530872850">
              <w:marLeft w:val="0"/>
              <w:marRight w:val="0"/>
              <w:marTop w:val="0"/>
              <w:marBottom w:val="0"/>
              <w:divBdr>
                <w:top w:val="none" w:sz="0" w:space="0" w:color="auto"/>
                <w:left w:val="none" w:sz="0" w:space="0" w:color="auto"/>
                <w:bottom w:val="none" w:sz="0" w:space="0" w:color="auto"/>
                <w:right w:val="none" w:sz="0" w:space="0" w:color="auto"/>
              </w:divBdr>
              <w:divsChild>
                <w:div w:id="1815564666">
                  <w:marLeft w:val="0"/>
                  <w:marRight w:val="0"/>
                  <w:marTop w:val="0"/>
                  <w:marBottom w:val="0"/>
                  <w:divBdr>
                    <w:top w:val="none" w:sz="0" w:space="0" w:color="auto"/>
                    <w:left w:val="none" w:sz="0" w:space="0" w:color="auto"/>
                    <w:bottom w:val="none" w:sz="0" w:space="0" w:color="auto"/>
                    <w:right w:val="none" w:sz="0" w:space="0" w:color="auto"/>
                  </w:divBdr>
                  <w:divsChild>
                    <w:div w:id="1605065744">
                      <w:marLeft w:val="0"/>
                      <w:marRight w:val="0"/>
                      <w:marTop w:val="0"/>
                      <w:marBottom w:val="0"/>
                      <w:divBdr>
                        <w:top w:val="none" w:sz="0" w:space="0" w:color="auto"/>
                        <w:left w:val="none" w:sz="0" w:space="0" w:color="auto"/>
                        <w:bottom w:val="none" w:sz="0" w:space="0" w:color="auto"/>
                        <w:right w:val="none" w:sz="0" w:space="0" w:color="auto"/>
                      </w:divBdr>
                      <w:divsChild>
                        <w:div w:id="1105729363">
                          <w:marLeft w:val="0"/>
                          <w:marRight w:val="0"/>
                          <w:marTop w:val="0"/>
                          <w:marBottom w:val="0"/>
                          <w:divBdr>
                            <w:top w:val="none" w:sz="0" w:space="0" w:color="auto"/>
                            <w:left w:val="none" w:sz="0" w:space="0" w:color="auto"/>
                            <w:bottom w:val="none" w:sz="0" w:space="0" w:color="auto"/>
                            <w:right w:val="none" w:sz="0" w:space="0" w:color="auto"/>
                          </w:divBdr>
                          <w:divsChild>
                            <w:div w:id="925383135">
                              <w:marLeft w:val="0"/>
                              <w:marRight w:val="0"/>
                              <w:marTop w:val="0"/>
                              <w:marBottom w:val="0"/>
                              <w:divBdr>
                                <w:top w:val="none" w:sz="0" w:space="0" w:color="auto"/>
                                <w:left w:val="none" w:sz="0" w:space="0" w:color="auto"/>
                                <w:bottom w:val="none" w:sz="0" w:space="0" w:color="auto"/>
                                <w:right w:val="none" w:sz="0" w:space="0" w:color="auto"/>
                              </w:divBdr>
                              <w:divsChild>
                                <w:div w:id="14132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917976">
      <w:bodyDiv w:val="1"/>
      <w:marLeft w:val="0"/>
      <w:marRight w:val="0"/>
      <w:marTop w:val="0"/>
      <w:marBottom w:val="0"/>
      <w:divBdr>
        <w:top w:val="none" w:sz="0" w:space="0" w:color="auto"/>
        <w:left w:val="none" w:sz="0" w:space="0" w:color="auto"/>
        <w:bottom w:val="none" w:sz="0" w:space="0" w:color="auto"/>
        <w:right w:val="none" w:sz="0" w:space="0" w:color="auto"/>
      </w:divBdr>
    </w:div>
    <w:div w:id="980690842">
      <w:bodyDiv w:val="1"/>
      <w:marLeft w:val="0"/>
      <w:marRight w:val="0"/>
      <w:marTop w:val="0"/>
      <w:marBottom w:val="0"/>
      <w:divBdr>
        <w:top w:val="none" w:sz="0" w:space="0" w:color="auto"/>
        <w:left w:val="none" w:sz="0" w:space="0" w:color="auto"/>
        <w:bottom w:val="none" w:sz="0" w:space="0" w:color="auto"/>
        <w:right w:val="none" w:sz="0" w:space="0" w:color="auto"/>
      </w:divBdr>
    </w:div>
    <w:div w:id="985937548">
      <w:bodyDiv w:val="1"/>
      <w:marLeft w:val="0"/>
      <w:marRight w:val="0"/>
      <w:marTop w:val="0"/>
      <w:marBottom w:val="0"/>
      <w:divBdr>
        <w:top w:val="none" w:sz="0" w:space="0" w:color="auto"/>
        <w:left w:val="none" w:sz="0" w:space="0" w:color="auto"/>
        <w:bottom w:val="none" w:sz="0" w:space="0" w:color="auto"/>
        <w:right w:val="none" w:sz="0" w:space="0" w:color="auto"/>
      </w:divBdr>
    </w:div>
    <w:div w:id="987709239">
      <w:bodyDiv w:val="1"/>
      <w:marLeft w:val="0"/>
      <w:marRight w:val="0"/>
      <w:marTop w:val="0"/>
      <w:marBottom w:val="0"/>
      <w:divBdr>
        <w:top w:val="none" w:sz="0" w:space="0" w:color="auto"/>
        <w:left w:val="none" w:sz="0" w:space="0" w:color="auto"/>
        <w:bottom w:val="none" w:sz="0" w:space="0" w:color="auto"/>
        <w:right w:val="none" w:sz="0" w:space="0" w:color="auto"/>
      </w:divBdr>
    </w:div>
    <w:div w:id="989866966">
      <w:bodyDiv w:val="1"/>
      <w:marLeft w:val="0"/>
      <w:marRight w:val="0"/>
      <w:marTop w:val="0"/>
      <w:marBottom w:val="0"/>
      <w:divBdr>
        <w:top w:val="none" w:sz="0" w:space="0" w:color="auto"/>
        <w:left w:val="none" w:sz="0" w:space="0" w:color="auto"/>
        <w:bottom w:val="none" w:sz="0" w:space="0" w:color="auto"/>
        <w:right w:val="none" w:sz="0" w:space="0" w:color="auto"/>
      </w:divBdr>
    </w:div>
    <w:div w:id="1013608987">
      <w:bodyDiv w:val="1"/>
      <w:marLeft w:val="0"/>
      <w:marRight w:val="0"/>
      <w:marTop w:val="0"/>
      <w:marBottom w:val="0"/>
      <w:divBdr>
        <w:top w:val="none" w:sz="0" w:space="0" w:color="auto"/>
        <w:left w:val="none" w:sz="0" w:space="0" w:color="auto"/>
        <w:bottom w:val="none" w:sz="0" w:space="0" w:color="auto"/>
        <w:right w:val="none" w:sz="0" w:space="0" w:color="auto"/>
      </w:divBdr>
    </w:div>
    <w:div w:id="1021930902">
      <w:bodyDiv w:val="1"/>
      <w:marLeft w:val="0"/>
      <w:marRight w:val="0"/>
      <w:marTop w:val="0"/>
      <w:marBottom w:val="0"/>
      <w:divBdr>
        <w:top w:val="none" w:sz="0" w:space="0" w:color="auto"/>
        <w:left w:val="none" w:sz="0" w:space="0" w:color="auto"/>
        <w:bottom w:val="none" w:sz="0" w:space="0" w:color="auto"/>
        <w:right w:val="none" w:sz="0" w:space="0" w:color="auto"/>
      </w:divBdr>
    </w:div>
    <w:div w:id="1022122008">
      <w:bodyDiv w:val="1"/>
      <w:marLeft w:val="0"/>
      <w:marRight w:val="0"/>
      <w:marTop w:val="0"/>
      <w:marBottom w:val="0"/>
      <w:divBdr>
        <w:top w:val="none" w:sz="0" w:space="0" w:color="auto"/>
        <w:left w:val="none" w:sz="0" w:space="0" w:color="auto"/>
        <w:bottom w:val="none" w:sz="0" w:space="0" w:color="auto"/>
        <w:right w:val="none" w:sz="0" w:space="0" w:color="auto"/>
      </w:divBdr>
    </w:div>
    <w:div w:id="1022434950">
      <w:bodyDiv w:val="1"/>
      <w:marLeft w:val="0"/>
      <w:marRight w:val="0"/>
      <w:marTop w:val="0"/>
      <w:marBottom w:val="0"/>
      <w:divBdr>
        <w:top w:val="none" w:sz="0" w:space="0" w:color="auto"/>
        <w:left w:val="none" w:sz="0" w:space="0" w:color="auto"/>
        <w:bottom w:val="none" w:sz="0" w:space="0" w:color="auto"/>
        <w:right w:val="none" w:sz="0" w:space="0" w:color="auto"/>
      </w:divBdr>
    </w:div>
    <w:div w:id="1026711539">
      <w:bodyDiv w:val="1"/>
      <w:marLeft w:val="0"/>
      <w:marRight w:val="0"/>
      <w:marTop w:val="0"/>
      <w:marBottom w:val="0"/>
      <w:divBdr>
        <w:top w:val="none" w:sz="0" w:space="0" w:color="auto"/>
        <w:left w:val="none" w:sz="0" w:space="0" w:color="auto"/>
        <w:bottom w:val="none" w:sz="0" w:space="0" w:color="auto"/>
        <w:right w:val="none" w:sz="0" w:space="0" w:color="auto"/>
      </w:divBdr>
    </w:div>
    <w:div w:id="1029836513">
      <w:bodyDiv w:val="1"/>
      <w:marLeft w:val="0"/>
      <w:marRight w:val="0"/>
      <w:marTop w:val="0"/>
      <w:marBottom w:val="0"/>
      <w:divBdr>
        <w:top w:val="none" w:sz="0" w:space="0" w:color="auto"/>
        <w:left w:val="none" w:sz="0" w:space="0" w:color="auto"/>
        <w:bottom w:val="none" w:sz="0" w:space="0" w:color="auto"/>
        <w:right w:val="none" w:sz="0" w:space="0" w:color="auto"/>
      </w:divBdr>
    </w:div>
    <w:div w:id="1041982154">
      <w:bodyDiv w:val="1"/>
      <w:marLeft w:val="0"/>
      <w:marRight w:val="0"/>
      <w:marTop w:val="0"/>
      <w:marBottom w:val="0"/>
      <w:divBdr>
        <w:top w:val="none" w:sz="0" w:space="0" w:color="auto"/>
        <w:left w:val="none" w:sz="0" w:space="0" w:color="auto"/>
        <w:bottom w:val="none" w:sz="0" w:space="0" w:color="auto"/>
        <w:right w:val="none" w:sz="0" w:space="0" w:color="auto"/>
      </w:divBdr>
    </w:div>
    <w:div w:id="1043361725">
      <w:bodyDiv w:val="1"/>
      <w:marLeft w:val="0"/>
      <w:marRight w:val="0"/>
      <w:marTop w:val="0"/>
      <w:marBottom w:val="0"/>
      <w:divBdr>
        <w:top w:val="none" w:sz="0" w:space="0" w:color="auto"/>
        <w:left w:val="none" w:sz="0" w:space="0" w:color="auto"/>
        <w:bottom w:val="none" w:sz="0" w:space="0" w:color="auto"/>
        <w:right w:val="none" w:sz="0" w:space="0" w:color="auto"/>
      </w:divBdr>
    </w:div>
    <w:div w:id="1063020434">
      <w:bodyDiv w:val="1"/>
      <w:marLeft w:val="0"/>
      <w:marRight w:val="0"/>
      <w:marTop w:val="0"/>
      <w:marBottom w:val="0"/>
      <w:divBdr>
        <w:top w:val="none" w:sz="0" w:space="0" w:color="auto"/>
        <w:left w:val="none" w:sz="0" w:space="0" w:color="auto"/>
        <w:bottom w:val="none" w:sz="0" w:space="0" w:color="auto"/>
        <w:right w:val="none" w:sz="0" w:space="0" w:color="auto"/>
      </w:divBdr>
    </w:div>
    <w:div w:id="1074350645">
      <w:bodyDiv w:val="1"/>
      <w:marLeft w:val="0"/>
      <w:marRight w:val="0"/>
      <w:marTop w:val="0"/>
      <w:marBottom w:val="0"/>
      <w:divBdr>
        <w:top w:val="none" w:sz="0" w:space="0" w:color="auto"/>
        <w:left w:val="none" w:sz="0" w:space="0" w:color="auto"/>
        <w:bottom w:val="none" w:sz="0" w:space="0" w:color="auto"/>
        <w:right w:val="none" w:sz="0" w:space="0" w:color="auto"/>
      </w:divBdr>
    </w:div>
    <w:div w:id="1076787529">
      <w:bodyDiv w:val="1"/>
      <w:marLeft w:val="0"/>
      <w:marRight w:val="0"/>
      <w:marTop w:val="0"/>
      <w:marBottom w:val="0"/>
      <w:divBdr>
        <w:top w:val="none" w:sz="0" w:space="0" w:color="auto"/>
        <w:left w:val="none" w:sz="0" w:space="0" w:color="auto"/>
        <w:bottom w:val="none" w:sz="0" w:space="0" w:color="auto"/>
        <w:right w:val="none" w:sz="0" w:space="0" w:color="auto"/>
      </w:divBdr>
    </w:div>
    <w:div w:id="1080640682">
      <w:bodyDiv w:val="1"/>
      <w:marLeft w:val="0"/>
      <w:marRight w:val="0"/>
      <w:marTop w:val="0"/>
      <w:marBottom w:val="0"/>
      <w:divBdr>
        <w:top w:val="none" w:sz="0" w:space="0" w:color="auto"/>
        <w:left w:val="none" w:sz="0" w:space="0" w:color="auto"/>
        <w:bottom w:val="none" w:sz="0" w:space="0" w:color="auto"/>
        <w:right w:val="none" w:sz="0" w:space="0" w:color="auto"/>
      </w:divBdr>
    </w:div>
    <w:div w:id="1092357986">
      <w:bodyDiv w:val="1"/>
      <w:marLeft w:val="0"/>
      <w:marRight w:val="0"/>
      <w:marTop w:val="0"/>
      <w:marBottom w:val="0"/>
      <w:divBdr>
        <w:top w:val="none" w:sz="0" w:space="0" w:color="auto"/>
        <w:left w:val="none" w:sz="0" w:space="0" w:color="auto"/>
        <w:bottom w:val="none" w:sz="0" w:space="0" w:color="auto"/>
        <w:right w:val="none" w:sz="0" w:space="0" w:color="auto"/>
      </w:divBdr>
    </w:div>
    <w:div w:id="1109396857">
      <w:bodyDiv w:val="1"/>
      <w:marLeft w:val="0"/>
      <w:marRight w:val="0"/>
      <w:marTop w:val="0"/>
      <w:marBottom w:val="0"/>
      <w:divBdr>
        <w:top w:val="none" w:sz="0" w:space="0" w:color="auto"/>
        <w:left w:val="none" w:sz="0" w:space="0" w:color="auto"/>
        <w:bottom w:val="none" w:sz="0" w:space="0" w:color="auto"/>
        <w:right w:val="none" w:sz="0" w:space="0" w:color="auto"/>
      </w:divBdr>
    </w:div>
    <w:div w:id="1128931458">
      <w:bodyDiv w:val="1"/>
      <w:marLeft w:val="0"/>
      <w:marRight w:val="0"/>
      <w:marTop w:val="0"/>
      <w:marBottom w:val="0"/>
      <w:divBdr>
        <w:top w:val="none" w:sz="0" w:space="0" w:color="auto"/>
        <w:left w:val="none" w:sz="0" w:space="0" w:color="auto"/>
        <w:bottom w:val="none" w:sz="0" w:space="0" w:color="auto"/>
        <w:right w:val="none" w:sz="0" w:space="0" w:color="auto"/>
      </w:divBdr>
    </w:div>
    <w:div w:id="1131283504">
      <w:bodyDiv w:val="1"/>
      <w:marLeft w:val="0"/>
      <w:marRight w:val="0"/>
      <w:marTop w:val="0"/>
      <w:marBottom w:val="0"/>
      <w:divBdr>
        <w:top w:val="none" w:sz="0" w:space="0" w:color="auto"/>
        <w:left w:val="none" w:sz="0" w:space="0" w:color="auto"/>
        <w:bottom w:val="none" w:sz="0" w:space="0" w:color="auto"/>
        <w:right w:val="none" w:sz="0" w:space="0" w:color="auto"/>
      </w:divBdr>
    </w:div>
    <w:div w:id="1134175712">
      <w:bodyDiv w:val="1"/>
      <w:marLeft w:val="0"/>
      <w:marRight w:val="0"/>
      <w:marTop w:val="0"/>
      <w:marBottom w:val="0"/>
      <w:divBdr>
        <w:top w:val="none" w:sz="0" w:space="0" w:color="auto"/>
        <w:left w:val="none" w:sz="0" w:space="0" w:color="auto"/>
        <w:bottom w:val="none" w:sz="0" w:space="0" w:color="auto"/>
        <w:right w:val="none" w:sz="0" w:space="0" w:color="auto"/>
      </w:divBdr>
    </w:div>
    <w:div w:id="1135172293">
      <w:bodyDiv w:val="1"/>
      <w:marLeft w:val="0"/>
      <w:marRight w:val="0"/>
      <w:marTop w:val="0"/>
      <w:marBottom w:val="0"/>
      <w:divBdr>
        <w:top w:val="none" w:sz="0" w:space="0" w:color="auto"/>
        <w:left w:val="none" w:sz="0" w:space="0" w:color="auto"/>
        <w:bottom w:val="none" w:sz="0" w:space="0" w:color="auto"/>
        <w:right w:val="none" w:sz="0" w:space="0" w:color="auto"/>
      </w:divBdr>
    </w:div>
    <w:div w:id="1138836390">
      <w:bodyDiv w:val="1"/>
      <w:marLeft w:val="0"/>
      <w:marRight w:val="0"/>
      <w:marTop w:val="0"/>
      <w:marBottom w:val="0"/>
      <w:divBdr>
        <w:top w:val="none" w:sz="0" w:space="0" w:color="auto"/>
        <w:left w:val="none" w:sz="0" w:space="0" w:color="auto"/>
        <w:bottom w:val="none" w:sz="0" w:space="0" w:color="auto"/>
        <w:right w:val="none" w:sz="0" w:space="0" w:color="auto"/>
      </w:divBdr>
    </w:div>
    <w:div w:id="1141656896">
      <w:bodyDiv w:val="1"/>
      <w:marLeft w:val="0"/>
      <w:marRight w:val="0"/>
      <w:marTop w:val="0"/>
      <w:marBottom w:val="0"/>
      <w:divBdr>
        <w:top w:val="none" w:sz="0" w:space="0" w:color="auto"/>
        <w:left w:val="none" w:sz="0" w:space="0" w:color="auto"/>
        <w:bottom w:val="none" w:sz="0" w:space="0" w:color="auto"/>
        <w:right w:val="none" w:sz="0" w:space="0" w:color="auto"/>
      </w:divBdr>
    </w:div>
    <w:div w:id="1147354054">
      <w:bodyDiv w:val="1"/>
      <w:marLeft w:val="0"/>
      <w:marRight w:val="0"/>
      <w:marTop w:val="0"/>
      <w:marBottom w:val="0"/>
      <w:divBdr>
        <w:top w:val="none" w:sz="0" w:space="0" w:color="auto"/>
        <w:left w:val="none" w:sz="0" w:space="0" w:color="auto"/>
        <w:bottom w:val="none" w:sz="0" w:space="0" w:color="auto"/>
        <w:right w:val="none" w:sz="0" w:space="0" w:color="auto"/>
      </w:divBdr>
    </w:div>
    <w:div w:id="1159543973">
      <w:bodyDiv w:val="1"/>
      <w:marLeft w:val="0"/>
      <w:marRight w:val="0"/>
      <w:marTop w:val="0"/>
      <w:marBottom w:val="0"/>
      <w:divBdr>
        <w:top w:val="none" w:sz="0" w:space="0" w:color="auto"/>
        <w:left w:val="none" w:sz="0" w:space="0" w:color="auto"/>
        <w:bottom w:val="none" w:sz="0" w:space="0" w:color="auto"/>
        <w:right w:val="none" w:sz="0" w:space="0" w:color="auto"/>
      </w:divBdr>
    </w:div>
    <w:div w:id="1163544615">
      <w:bodyDiv w:val="1"/>
      <w:marLeft w:val="0"/>
      <w:marRight w:val="0"/>
      <w:marTop w:val="0"/>
      <w:marBottom w:val="0"/>
      <w:divBdr>
        <w:top w:val="none" w:sz="0" w:space="0" w:color="auto"/>
        <w:left w:val="none" w:sz="0" w:space="0" w:color="auto"/>
        <w:bottom w:val="none" w:sz="0" w:space="0" w:color="auto"/>
        <w:right w:val="none" w:sz="0" w:space="0" w:color="auto"/>
      </w:divBdr>
    </w:div>
    <w:div w:id="1166476983">
      <w:bodyDiv w:val="1"/>
      <w:marLeft w:val="0"/>
      <w:marRight w:val="0"/>
      <w:marTop w:val="0"/>
      <w:marBottom w:val="0"/>
      <w:divBdr>
        <w:top w:val="none" w:sz="0" w:space="0" w:color="auto"/>
        <w:left w:val="none" w:sz="0" w:space="0" w:color="auto"/>
        <w:bottom w:val="none" w:sz="0" w:space="0" w:color="auto"/>
        <w:right w:val="none" w:sz="0" w:space="0" w:color="auto"/>
      </w:divBdr>
    </w:div>
    <w:div w:id="1168204968">
      <w:bodyDiv w:val="1"/>
      <w:marLeft w:val="0"/>
      <w:marRight w:val="0"/>
      <w:marTop w:val="0"/>
      <w:marBottom w:val="0"/>
      <w:divBdr>
        <w:top w:val="none" w:sz="0" w:space="0" w:color="auto"/>
        <w:left w:val="none" w:sz="0" w:space="0" w:color="auto"/>
        <w:bottom w:val="none" w:sz="0" w:space="0" w:color="auto"/>
        <w:right w:val="none" w:sz="0" w:space="0" w:color="auto"/>
      </w:divBdr>
    </w:div>
    <w:div w:id="1172381255">
      <w:bodyDiv w:val="1"/>
      <w:marLeft w:val="0"/>
      <w:marRight w:val="0"/>
      <w:marTop w:val="0"/>
      <w:marBottom w:val="0"/>
      <w:divBdr>
        <w:top w:val="none" w:sz="0" w:space="0" w:color="auto"/>
        <w:left w:val="none" w:sz="0" w:space="0" w:color="auto"/>
        <w:bottom w:val="none" w:sz="0" w:space="0" w:color="auto"/>
        <w:right w:val="none" w:sz="0" w:space="0" w:color="auto"/>
      </w:divBdr>
    </w:div>
    <w:div w:id="1186364590">
      <w:bodyDiv w:val="1"/>
      <w:marLeft w:val="0"/>
      <w:marRight w:val="0"/>
      <w:marTop w:val="0"/>
      <w:marBottom w:val="0"/>
      <w:divBdr>
        <w:top w:val="none" w:sz="0" w:space="0" w:color="auto"/>
        <w:left w:val="none" w:sz="0" w:space="0" w:color="auto"/>
        <w:bottom w:val="none" w:sz="0" w:space="0" w:color="auto"/>
        <w:right w:val="none" w:sz="0" w:space="0" w:color="auto"/>
      </w:divBdr>
      <w:divsChild>
        <w:div w:id="987245950">
          <w:marLeft w:val="0"/>
          <w:marRight w:val="0"/>
          <w:marTop w:val="0"/>
          <w:marBottom w:val="0"/>
          <w:divBdr>
            <w:top w:val="none" w:sz="0" w:space="0" w:color="auto"/>
            <w:left w:val="none" w:sz="0" w:space="0" w:color="auto"/>
            <w:bottom w:val="none" w:sz="0" w:space="0" w:color="auto"/>
            <w:right w:val="none" w:sz="0" w:space="0" w:color="auto"/>
          </w:divBdr>
          <w:divsChild>
            <w:div w:id="875041695">
              <w:marLeft w:val="0"/>
              <w:marRight w:val="0"/>
              <w:marTop w:val="0"/>
              <w:marBottom w:val="0"/>
              <w:divBdr>
                <w:top w:val="none" w:sz="0" w:space="0" w:color="auto"/>
                <w:left w:val="none" w:sz="0" w:space="0" w:color="auto"/>
                <w:bottom w:val="none" w:sz="0" w:space="0" w:color="auto"/>
                <w:right w:val="none" w:sz="0" w:space="0" w:color="auto"/>
              </w:divBdr>
              <w:divsChild>
                <w:div w:id="308946000">
                  <w:marLeft w:val="0"/>
                  <w:marRight w:val="0"/>
                  <w:marTop w:val="225"/>
                  <w:marBottom w:val="0"/>
                  <w:divBdr>
                    <w:top w:val="none" w:sz="0" w:space="0" w:color="auto"/>
                    <w:left w:val="none" w:sz="0" w:space="0" w:color="auto"/>
                    <w:bottom w:val="none" w:sz="0" w:space="0" w:color="auto"/>
                    <w:right w:val="none" w:sz="0" w:space="0" w:color="auto"/>
                  </w:divBdr>
                  <w:divsChild>
                    <w:div w:id="4919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058772">
      <w:bodyDiv w:val="1"/>
      <w:marLeft w:val="0"/>
      <w:marRight w:val="0"/>
      <w:marTop w:val="0"/>
      <w:marBottom w:val="0"/>
      <w:divBdr>
        <w:top w:val="none" w:sz="0" w:space="0" w:color="auto"/>
        <w:left w:val="none" w:sz="0" w:space="0" w:color="auto"/>
        <w:bottom w:val="none" w:sz="0" w:space="0" w:color="auto"/>
        <w:right w:val="none" w:sz="0" w:space="0" w:color="auto"/>
      </w:divBdr>
    </w:div>
    <w:div w:id="1203520212">
      <w:bodyDiv w:val="1"/>
      <w:marLeft w:val="0"/>
      <w:marRight w:val="0"/>
      <w:marTop w:val="0"/>
      <w:marBottom w:val="0"/>
      <w:divBdr>
        <w:top w:val="none" w:sz="0" w:space="0" w:color="auto"/>
        <w:left w:val="none" w:sz="0" w:space="0" w:color="auto"/>
        <w:bottom w:val="none" w:sz="0" w:space="0" w:color="auto"/>
        <w:right w:val="none" w:sz="0" w:space="0" w:color="auto"/>
      </w:divBdr>
    </w:div>
    <w:div w:id="1213224446">
      <w:bodyDiv w:val="1"/>
      <w:marLeft w:val="0"/>
      <w:marRight w:val="0"/>
      <w:marTop w:val="0"/>
      <w:marBottom w:val="0"/>
      <w:divBdr>
        <w:top w:val="none" w:sz="0" w:space="0" w:color="auto"/>
        <w:left w:val="none" w:sz="0" w:space="0" w:color="auto"/>
        <w:bottom w:val="none" w:sz="0" w:space="0" w:color="auto"/>
        <w:right w:val="none" w:sz="0" w:space="0" w:color="auto"/>
      </w:divBdr>
    </w:div>
    <w:div w:id="1214923693">
      <w:bodyDiv w:val="1"/>
      <w:marLeft w:val="0"/>
      <w:marRight w:val="0"/>
      <w:marTop w:val="0"/>
      <w:marBottom w:val="0"/>
      <w:divBdr>
        <w:top w:val="none" w:sz="0" w:space="0" w:color="auto"/>
        <w:left w:val="none" w:sz="0" w:space="0" w:color="auto"/>
        <w:bottom w:val="none" w:sz="0" w:space="0" w:color="auto"/>
        <w:right w:val="none" w:sz="0" w:space="0" w:color="auto"/>
      </w:divBdr>
    </w:div>
    <w:div w:id="1232424981">
      <w:bodyDiv w:val="1"/>
      <w:marLeft w:val="0"/>
      <w:marRight w:val="0"/>
      <w:marTop w:val="0"/>
      <w:marBottom w:val="0"/>
      <w:divBdr>
        <w:top w:val="none" w:sz="0" w:space="0" w:color="auto"/>
        <w:left w:val="none" w:sz="0" w:space="0" w:color="auto"/>
        <w:bottom w:val="none" w:sz="0" w:space="0" w:color="auto"/>
        <w:right w:val="none" w:sz="0" w:space="0" w:color="auto"/>
      </w:divBdr>
    </w:div>
    <w:div w:id="1247693730">
      <w:bodyDiv w:val="1"/>
      <w:marLeft w:val="0"/>
      <w:marRight w:val="0"/>
      <w:marTop w:val="0"/>
      <w:marBottom w:val="0"/>
      <w:divBdr>
        <w:top w:val="none" w:sz="0" w:space="0" w:color="auto"/>
        <w:left w:val="none" w:sz="0" w:space="0" w:color="auto"/>
        <w:bottom w:val="none" w:sz="0" w:space="0" w:color="auto"/>
        <w:right w:val="none" w:sz="0" w:space="0" w:color="auto"/>
      </w:divBdr>
    </w:div>
    <w:div w:id="1258250177">
      <w:bodyDiv w:val="1"/>
      <w:marLeft w:val="0"/>
      <w:marRight w:val="0"/>
      <w:marTop w:val="0"/>
      <w:marBottom w:val="0"/>
      <w:divBdr>
        <w:top w:val="none" w:sz="0" w:space="0" w:color="auto"/>
        <w:left w:val="none" w:sz="0" w:space="0" w:color="auto"/>
        <w:bottom w:val="none" w:sz="0" w:space="0" w:color="auto"/>
        <w:right w:val="none" w:sz="0" w:space="0" w:color="auto"/>
      </w:divBdr>
    </w:div>
    <w:div w:id="1270044985">
      <w:bodyDiv w:val="1"/>
      <w:marLeft w:val="0"/>
      <w:marRight w:val="0"/>
      <w:marTop w:val="0"/>
      <w:marBottom w:val="0"/>
      <w:divBdr>
        <w:top w:val="none" w:sz="0" w:space="0" w:color="auto"/>
        <w:left w:val="none" w:sz="0" w:space="0" w:color="auto"/>
        <w:bottom w:val="none" w:sz="0" w:space="0" w:color="auto"/>
        <w:right w:val="none" w:sz="0" w:space="0" w:color="auto"/>
      </w:divBdr>
    </w:div>
    <w:div w:id="1271819175">
      <w:bodyDiv w:val="1"/>
      <w:marLeft w:val="0"/>
      <w:marRight w:val="0"/>
      <w:marTop w:val="0"/>
      <w:marBottom w:val="0"/>
      <w:divBdr>
        <w:top w:val="none" w:sz="0" w:space="0" w:color="auto"/>
        <w:left w:val="none" w:sz="0" w:space="0" w:color="auto"/>
        <w:bottom w:val="none" w:sz="0" w:space="0" w:color="auto"/>
        <w:right w:val="none" w:sz="0" w:space="0" w:color="auto"/>
      </w:divBdr>
    </w:div>
    <w:div w:id="1283539124">
      <w:bodyDiv w:val="1"/>
      <w:marLeft w:val="0"/>
      <w:marRight w:val="0"/>
      <w:marTop w:val="0"/>
      <w:marBottom w:val="0"/>
      <w:divBdr>
        <w:top w:val="none" w:sz="0" w:space="0" w:color="auto"/>
        <w:left w:val="none" w:sz="0" w:space="0" w:color="auto"/>
        <w:bottom w:val="none" w:sz="0" w:space="0" w:color="auto"/>
        <w:right w:val="none" w:sz="0" w:space="0" w:color="auto"/>
      </w:divBdr>
    </w:div>
    <w:div w:id="1299413858">
      <w:bodyDiv w:val="1"/>
      <w:marLeft w:val="0"/>
      <w:marRight w:val="0"/>
      <w:marTop w:val="0"/>
      <w:marBottom w:val="0"/>
      <w:divBdr>
        <w:top w:val="none" w:sz="0" w:space="0" w:color="auto"/>
        <w:left w:val="none" w:sz="0" w:space="0" w:color="auto"/>
        <w:bottom w:val="none" w:sz="0" w:space="0" w:color="auto"/>
        <w:right w:val="none" w:sz="0" w:space="0" w:color="auto"/>
      </w:divBdr>
    </w:div>
    <w:div w:id="1300960698">
      <w:bodyDiv w:val="1"/>
      <w:marLeft w:val="0"/>
      <w:marRight w:val="0"/>
      <w:marTop w:val="0"/>
      <w:marBottom w:val="0"/>
      <w:divBdr>
        <w:top w:val="none" w:sz="0" w:space="0" w:color="auto"/>
        <w:left w:val="none" w:sz="0" w:space="0" w:color="auto"/>
        <w:bottom w:val="none" w:sz="0" w:space="0" w:color="auto"/>
        <w:right w:val="none" w:sz="0" w:space="0" w:color="auto"/>
      </w:divBdr>
    </w:div>
    <w:div w:id="1301492976">
      <w:bodyDiv w:val="1"/>
      <w:marLeft w:val="0"/>
      <w:marRight w:val="0"/>
      <w:marTop w:val="0"/>
      <w:marBottom w:val="0"/>
      <w:divBdr>
        <w:top w:val="none" w:sz="0" w:space="0" w:color="auto"/>
        <w:left w:val="none" w:sz="0" w:space="0" w:color="auto"/>
        <w:bottom w:val="none" w:sz="0" w:space="0" w:color="auto"/>
        <w:right w:val="none" w:sz="0" w:space="0" w:color="auto"/>
      </w:divBdr>
    </w:div>
    <w:div w:id="1302685331">
      <w:bodyDiv w:val="1"/>
      <w:marLeft w:val="0"/>
      <w:marRight w:val="0"/>
      <w:marTop w:val="0"/>
      <w:marBottom w:val="0"/>
      <w:divBdr>
        <w:top w:val="none" w:sz="0" w:space="0" w:color="auto"/>
        <w:left w:val="none" w:sz="0" w:space="0" w:color="auto"/>
        <w:bottom w:val="none" w:sz="0" w:space="0" w:color="auto"/>
        <w:right w:val="none" w:sz="0" w:space="0" w:color="auto"/>
      </w:divBdr>
    </w:div>
    <w:div w:id="1305742189">
      <w:bodyDiv w:val="1"/>
      <w:marLeft w:val="0"/>
      <w:marRight w:val="0"/>
      <w:marTop w:val="0"/>
      <w:marBottom w:val="0"/>
      <w:divBdr>
        <w:top w:val="none" w:sz="0" w:space="0" w:color="auto"/>
        <w:left w:val="none" w:sz="0" w:space="0" w:color="auto"/>
        <w:bottom w:val="none" w:sz="0" w:space="0" w:color="auto"/>
        <w:right w:val="none" w:sz="0" w:space="0" w:color="auto"/>
      </w:divBdr>
    </w:div>
    <w:div w:id="1309285890">
      <w:bodyDiv w:val="1"/>
      <w:marLeft w:val="0"/>
      <w:marRight w:val="0"/>
      <w:marTop w:val="0"/>
      <w:marBottom w:val="0"/>
      <w:divBdr>
        <w:top w:val="none" w:sz="0" w:space="0" w:color="auto"/>
        <w:left w:val="none" w:sz="0" w:space="0" w:color="auto"/>
        <w:bottom w:val="none" w:sz="0" w:space="0" w:color="auto"/>
        <w:right w:val="none" w:sz="0" w:space="0" w:color="auto"/>
      </w:divBdr>
    </w:div>
    <w:div w:id="1339887486">
      <w:bodyDiv w:val="1"/>
      <w:marLeft w:val="0"/>
      <w:marRight w:val="0"/>
      <w:marTop w:val="0"/>
      <w:marBottom w:val="0"/>
      <w:divBdr>
        <w:top w:val="none" w:sz="0" w:space="0" w:color="auto"/>
        <w:left w:val="none" w:sz="0" w:space="0" w:color="auto"/>
        <w:bottom w:val="none" w:sz="0" w:space="0" w:color="auto"/>
        <w:right w:val="none" w:sz="0" w:space="0" w:color="auto"/>
      </w:divBdr>
    </w:div>
    <w:div w:id="1341811121">
      <w:bodyDiv w:val="1"/>
      <w:marLeft w:val="0"/>
      <w:marRight w:val="0"/>
      <w:marTop w:val="0"/>
      <w:marBottom w:val="0"/>
      <w:divBdr>
        <w:top w:val="none" w:sz="0" w:space="0" w:color="auto"/>
        <w:left w:val="none" w:sz="0" w:space="0" w:color="auto"/>
        <w:bottom w:val="none" w:sz="0" w:space="0" w:color="auto"/>
        <w:right w:val="none" w:sz="0" w:space="0" w:color="auto"/>
      </w:divBdr>
    </w:div>
    <w:div w:id="1351948929">
      <w:bodyDiv w:val="1"/>
      <w:marLeft w:val="0"/>
      <w:marRight w:val="0"/>
      <w:marTop w:val="0"/>
      <w:marBottom w:val="0"/>
      <w:divBdr>
        <w:top w:val="none" w:sz="0" w:space="0" w:color="auto"/>
        <w:left w:val="none" w:sz="0" w:space="0" w:color="auto"/>
        <w:bottom w:val="none" w:sz="0" w:space="0" w:color="auto"/>
        <w:right w:val="none" w:sz="0" w:space="0" w:color="auto"/>
      </w:divBdr>
      <w:divsChild>
        <w:div w:id="202986861">
          <w:marLeft w:val="0"/>
          <w:marRight w:val="0"/>
          <w:marTop w:val="0"/>
          <w:marBottom w:val="0"/>
          <w:divBdr>
            <w:top w:val="none" w:sz="0" w:space="0" w:color="auto"/>
            <w:left w:val="none" w:sz="0" w:space="0" w:color="auto"/>
            <w:bottom w:val="none" w:sz="0" w:space="0" w:color="auto"/>
            <w:right w:val="none" w:sz="0" w:space="0" w:color="auto"/>
          </w:divBdr>
        </w:div>
        <w:div w:id="672034233">
          <w:marLeft w:val="0"/>
          <w:marRight w:val="0"/>
          <w:marTop w:val="0"/>
          <w:marBottom w:val="0"/>
          <w:divBdr>
            <w:top w:val="none" w:sz="0" w:space="0" w:color="auto"/>
            <w:left w:val="none" w:sz="0" w:space="0" w:color="auto"/>
            <w:bottom w:val="none" w:sz="0" w:space="0" w:color="auto"/>
            <w:right w:val="none" w:sz="0" w:space="0" w:color="auto"/>
          </w:divBdr>
        </w:div>
      </w:divsChild>
    </w:div>
    <w:div w:id="1356923107">
      <w:bodyDiv w:val="1"/>
      <w:marLeft w:val="0"/>
      <w:marRight w:val="0"/>
      <w:marTop w:val="0"/>
      <w:marBottom w:val="0"/>
      <w:divBdr>
        <w:top w:val="none" w:sz="0" w:space="0" w:color="auto"/>
        <w:left w:val="none" w:sz="0" w:space="0" w:color="auto"/>
        <w:bottom w:val="none" w:sz="0" w:space="0" w:color="auto"/>
        <w:right w:val="none" w:sz="0" w:space="0" w:color="auto"/>
      </w:divBdr>
    </w:div>
    <w:div w:id="1369178603">
      <w:bodyDiv w:val="1"/>
      <w:marLeft w:val="0"/>
      <w:marRight w:val="0"/>
      <w:marTop w:val="0"/>
      <w:marBottom w:val="0"/>
      <w:divBdr>
        <w:top w:val="none" w:sz="0" w:space="0" w:color="auto"/>
        <w:left w:val="none" w:sz="0" w:space="0" w:color="auto"/>
        <w:bottom w:val="none" w:sz="0" w:space="0" w:color="auto"/>
        <w:right w:val="none" w:sz="0" w:space="0" w:color="auto"/>
      </w:divBdr>
    </w:div>
    <w:div w:id="1375695791">
      <w:bodyDiv w:val="1"/>
      <w:marLeft w:val="0"/>
      <w:marRight w:val="0"/>
      <w:marTop w:val="0"/>
      <w:marBottom w:val="0"/>
      <w:divBdr>
        <w:top w:val="none" w:sz="0" w:space="0" w:color="auto"/>
        <w:left w:val="none" w:sz="0" w:space="0" w:color="auto"/>
        <w:bottom w:val="none" w:sz="0" w:space="0" w:color="auto"/>
        <w:right w:val="none" w:sz="0" w:space="0" w:color="auto"/>
      </w:divBdr>
    </w:div>
    <w:div w:id="1394113973">
      <w:bodyDiv w:val="1"/>
      <w:marLeft w:val="0"/>
      <w:marRight w:val="0"/>
      <w:marTop w:val="0"/>
      <w:marBottom w:val="0"/>
      <w:divBdr>
        <w:top w:val="none" w:sz="0" w:space="0" w:color="auto"/>
        <w:left w:val="none" w:sz="0" w:space="0" w:color="auto"/>
        <w:bottom w:val="none" w:sz="0" w:space="0" w:color="auto"/>
        <w:right w:val="none" w:sz="0" w:space="0" w:color="auto"/>
      </w:divBdr>
    </w:div>
    <w:div w:id="1400596489">
      <w:bodyDiv w:val="1"/>
      <w:marLeft w:val="0"/>
      <w:marRight w:val="0"/>
      <w:marTop w:val="0"/>
      <w:marBottom w:val="0"/>
      <w:divBdr>
        <w:top w:val="none" w:sz="0" w:space="0" w:color="auto"/>
        <w:left w:val="none" w:sz="0" w:space="0" w:color="auto"/>
        <w:bottom w:val="none" w:sz="0" w:space="0" w:color="auto"/>
        <w:right w:val="none" w:sz="0" w:space="0" w:color="auto"/>
      </w:divBdr>
    </w:div>
    <w:div w:id="1401782226">
      <w:bodyDiv w:val="1"/>
      <w:marLeft w:val="0"/>
      <w:marRight w:val="0"/>
      <w:marTop w:val="0"/>
      <w:marBottom w:val="0"/>
      <w:divBdr>
        <w:top w:val="none" w:sz="0" w:space="0" w:color="auto"/>
        <w:left w:val="none" w:sz="0" w:space="0" w:color="auto"/>
        <w:bottom w:val="none" w:sz="0" w:space="0" w:color="auto"/>
        <w:right w:val="none" w:sz="0" w:space="0" w:color="auto"/>
      </w:divBdr>
    </w:div>
    <w:div w:id="1404716886">
      <w:bodyDiv w:val="1"/>
      <w:marLeft w:val="0"/>
      <w:marRight w:val="0"/>
      <w:marTop w:val="0"/>
      <w:marBottom w:val="0"/>
      <w:divBdr>
        <w:top w:val="none" w:sz="0" w:space="0" w:color="auto"/>
        <w:left w:val="none" w:sz="0" w:space="0" w:color="auto"/>
        <w:bottom w:val="none" w:sz="0" w:space="0" w:color="auto"/>
        <w:right w:val="none" w:sz="0" w:space="0" w:color="auto"/>
      </w:divBdr>
    </w:div>
    <w:div w:id="1405298444">
      <w:bodyDiv w:val="1"/>
      <w:marLeft w:val="0"/>
      <w:marRight w:val="0"/>
      <w:marTop w:val="0"/>
      <w:marBottom w:val="0"/>
      <w:divBdr>
        <w:top w:val="none" w:sz="0" w:space="0" w:color="auto"/>
        <w:left w:val="none" w:sz="0" w:space="0" w:color="auto"/>
        <w:bottom w:val="none" w:sz="0" w:space="0" w:color="auto"/>
        <w:right w:val="none" w:sz="0" w:space="0" w:color="auto"/>
      </w:divBdr>
    </w:div>
    <w:div w:id="1420059442">
      <w:bodyDiv w:val="1"/>
      <w:marLeft w:val="0"/>
      <w:marRight w:val="0"/>
      <w:marTop w:val="0"/>
      <w:marBottom w:val="0"/>
      <w:divBdr>
        <w:top w:val="none" w:sz="0" w:space="0" w:color="auto"/>
        <w:left w:val="none" w:sz="0" w:space="0" w:color="auto"/>
        <w:bottom w:val="none" w:sz="0" w:space="0" w:color="auto"/>
        <w:right w:val="none" w:sz="0" w:space="0" w:color="auto"/>
      </w:divBdr>
    </w:div>
    <w:div w:id="1443912982">
      <w:bodyDiv w:val="1"/>
      <w:marLeft w:val="0"/>
      <w:marRight w:val="0"/>
      <w:marTop w:val="0"/>
      <w:marBottom w:val="0"/>
      <w:divBdr>
        <w:top w:val="none" w:sz="0" w:space="0" w:color="auto"/>
        <w:left w:val="none" w:sz="0" w:space="0" w:color="auto"/>
        <w:bottom w:val="none" w:sz="0" w:space="0" w:color="auto"/>
        <w:right w:val="none" w:sz="0" w:space="0" w:color="auto"/>
      </w:divBdr>
    </w:div>
    <w:div w:id="1456218906">
      <w:bodyDiv w:val="1"/>
      <w:marLeft w:val="0"/>
      <w:marRight w:val="0"/>
      <w:marTop w:val="0"/>
      <w:marBottom w:val="0"/>
      <w:divBdr>
        <w:top w:val="none" w:sz="0" w:space="0" w:color="auto"/>
        <w:left w:val="none" w:sz="0" w:space="0" w:color="auto"/>
        <w:bottom w:val="none" w:sz="0" w:space="0" w:color="auto"/>
        <w:right w:val="none" w:sz="0" w:space="0" w:color="auto"/>
      </w:divBdr>
    </w:div>
    <w:div w:id="1457063798">
      <w:bodyDiv w:val="1"/>
      <w:marLeft w:val="0"/>
      <w:marRight w:val="0"/>
      <w:marTop w:val="0"/>
      <w:marBottom w:val="0"/>
      <w:divBdr>
        <w:top w:val="none" w:sz="0" w:space="0" w:color="auto"/>
        <w:left w:val="none" w:sz="0" w:space="0" w:color="auto"/>
        <w:bottom w:val="none" w:sz="0" w:space="0" w:color="auto"/>
        <w:right w:val="none" w:sz="0" w:space="0" w:color="auto"/>
      </w:divBdr>
    </w:div>
    <w:div w:id="1469933399">
      <w:bodyDiv w:val="1"/>
      <w:marLeft w:val="0"/>
      <w:marRight w:val="0"/>
      <w:marTop w:val="0"/>
      <w:marBottom w:val="0"/>
      <w:divBdr>
        <w:top w:val="none" w:sz="0" w:space="0" w:color="auto"/>
        <w:left w:val="none" w:sz="0" w:space="0" w:color="auto"/>
        <w:bottom w:val="none" w:sz="0" w:space="0" w:color="auto"/>
        <w:right w:val="none" w:sz="0" w:space="0" w:color="auto"/>
      </w:divBdr>
    </w:div>
    <w:div w:id="1472408199">
      <w:bodyDiv w:val="1"/>
      <w:marLeft w:val="0"/>
      <w:marRight w:val="0"/>
      <w:marTop w:val="0"/>
      <w:marBottom w:val="0"/>
      <w:divBdr>
        <w:top w:val="none" w:sz="0" w:space="0" w:color="auto"/>
        <w:left w:val="none" w:sz="0" w:space="0" w:color="auto"/>
        <w:bottom w:val="none" w:sz="0" w:space="0" w:color="auto"/>
        <w:right w:val="none" w:sz="0" w:space="0" w:color="auto"/>
      </w:divBdr>
    </w:div>
    <w:div w:id="1485390349">
      <w:bodyDiv w:val="1"/>
      <w:marLeft w:val="0"/>
      <w:marRight w:val="0"/>
      <w:marTop w:val="0"/>
      <w:marBottom w:val="0"/>
      <w:divBdr>
        <w:top w:val="none" w:sz="0" w:space="0" w:color="auto"/>
        <w:left w:val="none" w:sz="0" w:space="0" w:color="auto"/>
        <w:bottom w:val="none" w:sz="0" w:space="0" w:color="auto"/>
        <w:right w:val="none" w:sz="0" w:space="0" w:color="auto"/>
      </w:divBdr>
    </w:div>
    <w:div w:id="1487360807">
      <w:bodyDiv w:val="1"/>
      <w:marLeft w:val="0"/>
      <w:marRight w:val="0"/>
      <w:marTop w:val="0"/>
      <w:marBottom w:val="0"/>
      <w:divBdr>
        <w:top w:val="none" w:sz="0" w:space="0" w:color="auto"/>
        <w:left w:val="none" w:sz="0" w:space="0" w:color="auto"/>
        <w:bottom w:val="none" w:sz="0" w:space="0" w:color="auto"/>
        <w:right w:val="none" w:sz="0" w:space="0" w:color="auto"/>
      </w:divBdr>
    </w:div>
    <w:div w:id="1493794758">
      <w:bodyDiv w:val="1"/>
      <w:marLeft w:val="0"/>
      <w:marRight w:val="0"/>
      <w:marTop w:val="0"/>
      <w:marBottom w:val="0"/>
      <w:divBdr>
        <w:top w:val="none" w:sz="0" w:space="0" w:color="auto"/>
        <w:left w:val="none" w:sz="0" w:space="0" w:color="auto"/>
        <w:bottom w:val="none" w:sz="0" w:space="0" w:color="auto"/>
        <w:right w:val="none" w:sz="0" w:space="0" w:color="auto"/>
      </w:divBdr>
    </w:div>
    <w:div w:id="1515413715">
      <w:bodyDiv w:val="1"/>
      <w:marLeft w:val="0"/>
      <w:marRight w:val="0"/>
      <w:marTop w:val="0"/>
      <w:marBottom w:val="0"/>
      <w:divBdr>
        <w:top w:val="none" w:sz="0" w:space="0" w:color="auto"/>
        <w:left w:val="none" w:sz="0" w:space="0" w:color="auto"/>
        <w:bottom w:val="none" w:sz="0" w:space="0" w:color="auto"/>
        <w:right w:val="none" w:sz="0" w:space="0" w:color="auto"/>
      </w:divBdr>
    </w:div>
    <w:div w:id="151939334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29341960">
          <w:marLeft w:val="0"/>
          <w:marRight w:val="0"/>
          <w:marTop w:val="0"/>
          <w:marBottom w:val="0"/>
          <w:divBdr>
            <w:top w:val="single" w:sz="6" w:space="0" w:color="FFFFFF"/>
            <w:left w:val="none" w:sz="0" w:space="0" w:color="auto"/>
            <w:bottom w:val="none" w:sz="0" w:space="0" w:color="auto"/>
            <w:right w:val="none" w:sz="0" w:space="0" w:color="auto"/>
          </w:divBdr>
          <w:divsChild>
            <w:div w:id="2829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4428">
      <w:bodyDiv w:val="1"/>
      <w:marLeft w:val="0"/>
      <w:marRight w:val="0"/>
      <w:marTop w:val="0"/>
      <w:marBottom w:val="0"/>
      <w:divBdr>
        <w:top w:val="none" w:sz="0" w:space="0" w:color="auto"/>
        <w:left w:val="none" w:sz="0" w:space="0" w:color="auto"/>
        <w:bottom w:val="none" w:sz="0" w:space="0" w:color="auto"/>
        <w:right w:val="none" w:sz="0" w:space="0" w:color="auto"/>
      </w:divBdr>
    </w:div>
    <w:div w:id="1555241746">
      <w:bodyDiv w:val="1"/>
      <w:marLeft w:val="0"/>
      <w:marRight w:val="0"/>
      <w:marTop w:val="0"/>
      <w:marBottom w:val="0"/>
      <w:divBdr>
        <w:top w:val="none" w:sz="0" w:space="0" w:color="auto"/>
        <w:left w:val="none" w:sz="0" w:space="0" w:color="auto"/>
        <w:bottom w:val="none" w:sz="0" w:space="0" w:color="auto"/>
        <w:right w:val="none" w:sz="0" w:space="0" w:color="auto"/>
      </w:divBdr>
    </w:div>
    <w:div w:id="1558010401">
      <w:bodyDiv w:val="1"/>
      <w:marLeft w:val="0"/>
      <w:marRight w:val="0"/>
      <w:marTop w:val="0"/>
      <w:marBottom w:val="0"/>
      <w:divBdr>
        <w:top w:val="none" w:sz="0" w:space="0" w:color="auto"/>
        <w:left w:val="none" w:sz="0" w:space="0" w:color="auto"/>
        <w:bottom w:val="none" w:sz="0" w:space="0" w:color="auto"/>
        <w:right w:val="none" w:sz="0" w:space="0" w:color="auto"/>
      </w:divBdr>
    </w:div>
    <w:div w:id="1558979317">
      <w:bodyDiv w:val="1"/>
      <w:marLeft w:val="0"/>
      <w:marRight w:val="0"/>
      <w:marTop w:val="0"/>
      <w:marBottom w:val="0"/>
      <w:divBdr>
        <w:top w:val="none" w:sz="0" w:space="0" w:color="auto"/>
        <w:left w:val="none" w:sz="0" w:space="0" w:color="auto"/>
        <w:bottom w:val="none" w:sz="0" w:space="0" w:color="auto"/>
        <w:right w:val="none" w:sz="0" w:space="0" w:color="auto"/>
      </w:divBdr>
    </w:div>
    <w:div w:id="1565066238">
      <w:bodyDiv w:val="1"/>
      <w:marLeft w:val="0"/>
      <w:marRight w:val="0"/>
      <w:marTop w:val="0"/>
      <w:marBottom w:val="0"/>
      <w:divBdr>
        <w:top w:val="none" w:sz="0" w:space="0" w:color="auto"/>
        <w:left w:val="none" w:sz="0" w:space="0" w:color="auto"/>
        <w:bottom w:val="none" w:sz="0" w:space="0" w:color="auto"/>
        <w:right w:val="none" w:sz="0" w:space="0" w:color="auto"/>
      </w:divBdr>
    </w:div>
    <w:div w:id="1589463248">
      <w:bodyDiv w:val="1"/>
      <w:marLeft w:val="0"/>
      <w:marRight w:val="0"/>
      <w:marTop w:val="0"/>
      <w:marBottom w:val="0"/>
      <w:divBdr>
        <w:top w:val="none" w:sz="0" w:space="0" w:color="auto"/>
        <w:left w:val="none" w:sz="0" w:space="0" w:color="auto"/>
        <w:bottom w:val="none" w:sz="0" w:space="0" w:color="auto"/>
        <w:right w:val="none" w:sz="0" w:space="0" w:color="auto"/>
      </w:divBdr>
    </w:div>
    <w:div w:id="1598294837">
      <w:bodyDiv w:val="1"/>
      <w:marLeft w:val="0"/>
      <w:marRight w:val="0"/>
      <w:marTop w:val="0"/>
      <w:marBottom w:val="0"/>
      <w:divBdr>
        <w:top w:val="none" w:sz="0" w:space="0" w:color="auto"/>
        <w:left w:val="none" w:sz="0" w:space="0" w:color="auto"/>
        <w:bottom w:val="none" w:sz="0" w:space="0" w:color="auto"/>
        <w:right w:val="none" w:sz="0" w:space="0" w:color="auto"/>
      </w:divBdr>
    </w:div>
    <w:div w:id="1611081297">
      <w:bodyDiv w:val="1"/>
      <w:marLeft w:val="0"/>
      <w:marRight w:val="0"/>
      <w:marTop w:val="0"/>
      <w:marBottom w:val="0"/>
      <w:divBdr>
        <w:top w:val="none" w:sz="0" w:space="0" w:color="auto"/>
        <w:left w:val="none" w:sz="0" w:space="0" w:color="auto"/>
        <w:bottom w:val="none" w:sz="0" w:space="0" w:color="auto"/>
        <w:right w:val="none" w:sz="0" w:space="0" w:color="auto"/>
      </w:divBdr>
    </w:div>
    <w:div w:id="1629238056">
      <w:bodyDiv w:val="1"/>
      <w:marLeft w:val="0"/>
      <w:marRight w:val="0"/>
      <w:marTop w:val="0"/>
      <w:marBottom w:val="0"/>
      <w:divBdr>
        <w:top w:val="none" w:sz="0" w:space="0" w:color="auto"/>
        <w:left w:val="none" w:sz="0" w:space="0" w:color="auto"/>
        <w:bottom w:val="none" w:sz="0" w:space="0" w:color="auto"/>
        <w:right w:val="none" w:sz="0" w:space="0" w:color="auto"/>
      </w:divBdr>
    </w:div>
    <w:div w:id="1640722780">
      <w:bodyDiv w:val="1"/>
      <w:marLeft w:val="0"/>
      <w:marRight w:val="0"/>
      <w:marTop w:val="0"/>
      <w:marBottom w:val="0"/>
      <w:divBdr>
        <w:top w:val="none" w:sz="0" w:space="0" w:color="auto"/>
        <w:left w:val="none" w:sz="0" w:space="0" w:color="auto"/>
        <w:bottom w:val="none" w:sz="0" w:space="0" w:color="auto"/>
        <w:right w:val="none" w:sz="0" w:space="0" w:color="auto"/>
      </w:divBdr>
    </w:div>
    <w:div w:id="1646550281">
      <w:bodyDiv w:val="1"/>
      <w:marLeft w:val="0"/>
      <w:marRight w:val="0"/>
      <w:marTop w:val="0"/>
      <w:marBottom w:val="0"/>
      <w:divBdr>
        <w:top w:val="none" w:sz="0" w:space="0" w:color="auto"/>
        <w:left w:val="none" w:sz="0" w:space="0" w:color="auto"/>
        <w:bottom w:val="none" w:sz="0" w:space="0" w:color="auto"/>
        <w:right w:val="none" w:sz="0" w:space="0" w:color="auto"/>
      </w:divBdr>
    </w:div>
    <w:div w:id="1658415922">
      <w:bodyDiv w:val="1"/>
      <w:marLeft w:val="0"/>
      <w:marRight w:val="0"/>
      <w:marTop w:val="0"/>
      <w:marBottom w:val="0"/>
      <w:divBdr>
        <w:top w:val="none" w:sz="0" w:space="0" w:color="auto"/>
        <w:left w:val="none" w:sz="0" w:space="0" w:color="auto"/>
        <w:bottom w:val="none" w:sz="0" w:space="0" w:color="auto"/>
        <w:right w:val="none" w:sz="0" w:space="0" w:color="auto"/>
      </w:divBdr>
    </w:div>
    <w:div w:id="1662351278">
      <w:bodyDiv w:val="1"/>
      <w:marLeft w:val="0"/>
      <w:marRight w:val="0"/>
      <w:marTop w:val="0"/>
      <w:marBottom w:val="0"/>
      <w:divBdr>
        <w:top w:val="none" w:sz="0" w:space="0" w:color="auto"/>
        <w:left w:val="none" w:sz="0" w:space="0" w:color="auto"/>
        <w:bottom w:val="none" w:sz="0" w:space="0" w:color="auto"/>
        <w:right w:val="none" w:sz="0" w:space="0" w:color="auto"/>
      </w:divBdr>
    </w:div>
    <w:div w:id="1672289820">
      <w:bodyDiv w:val="1"/>
      <w:marLeft w:val="0"/>
      <w:marRight w:val="0"/>
      <w:marTop w:val="0"/>
      <w:marBottom w:val="0"/>
      <w:divBdr>
        <w:top w:val="none" w:sz="0" w:space="0" w:color="auto"/>
        <w:left w:val="none" w:sz="0" w:space="0" w:color="auto"/>
        <w:bottom w:val="none" w:sz="0" w:space="0" w:color="auto"/>
        <w:right w:val="none" w:sz="0" w:space="0" w:color="auto"/>
      </w:divBdr>
    </w:div>
    <w:div w:id="1672609998">
      <w:bodyDiv w:val="1"/>
      <w:marLeft w:val="0"/>
      <w:marRight w:val="0"/>
      <w:marTop w:val="0"/>
      <w:marBottom w:val="0"/>
      <w:divBdr>
        <w:top w:val="none" w:sz="0" w:space="0" w:color="auto"/>
        <w:left w:val="none" w:sz="0" w:space="0" w:color="auto"/>
        <w:bottom w:val="none" w:sz="0" w:space="0" w:color="auto"/>
        <w:right w:val="none" w:sz="0" w:space="0" w:color="auto"/>
      </w:divBdr>
    </w:div>
    <w:div w:id="1679842286">
      <w:bodyDiv w:val="1"/>
      <w:marLeft w:val="0"/>
      <w:marRight w:val="0"/>
      <w:marTop w:val="0"/>
      <w:marBottom w:val="0"/>
      <w:divBdr>
        <w:top w:val="none" w:sz="0" w:space="0" w:color="auto"/>
        <w:left w:val="none" w:sz="0" w:space="0" w:color="auto"/>
        <w:bottom w:val="none" w:sz="0" w:space="0" w:color="auto"/>
        <w:right w:val="none" w:sz="0" w:space="0" w:color="auto"/>
      </w:divBdr>
    </w:div>
    <w:div w:id="1680696732">
      <w:bodyDiv w:val="1"/>
      <w:marLeft w:val="0"/>
      <w:marRight w:val="0"/>
      <w:marTop w:val="0"/>
      <w:marBottom w:val="0"/>
      <w:divBdr>
        <w:top w:val="none" w:sz="0" w:space="0" w:color="auto"/>
        <w:left w:val="none" w:sz="0" w:space="0" w:color="auto"/>
        <w:bottom w:val="none" w:sz="0" w:space="0" w:color="auto"/>
        <w:right w:val="none" w:sz="0" w:space="0" w:color="auto"/>
      </w:divBdr>
    </w:div>
    <w:div w:id="1684699309">
      <w:bodyDiv w:val="1"/>
      <w:marLeft w:val="0"/>
      <w:marRight w:val="0"/>
      <w:marTop w:val="0"/>
      <w:marBottom w:val="0"/>
      <w:divBdr>
        <w:top w:val="none" w:sz="0" w:space="0" w:color="auto"/>
        <w:left w:val="none" w:sz="0" w:space="0" w:color="auto"/>
        <w:bottom w:val="none" w:sz="0" w:space="0" w:color="auto"/>
        <w:right w:val="none" w:sz="0" w:space="0" w:color="auto"/>
      </w:divBdr>
    </w:div>
    <w:div w:id="1698191821">
      <w:bodyDiv w:val="1"/>
      <w:marLeft w:val="0"/>
      <w:marRight w:val="0"/>
      <w:marTop w:val="0"/>
      <w:marBottom w:val="0"/>
      <w:divBdr>
        <w:top w:val="none" w:sz="0" w:space="0" w:color="auto"/>
        <w:left w:val="none" w:sz="0" w:space="0" w:color="auto"/>
        <w:bottom w:val="none" w:sz="0" w:space="0" w:color="auto"/>
        <w:right w:val="none" w:sz="0" w:space="0" w:color="auto"/>
      </w:divBdr>
    </w:div>
    <w:div w:id="1702240501">
      <w:bodyDiv w:val="1"/>
      <w:marLeft w:val="0"/>
      <w:marRight w:val="0"/>
      <w:marTop w:val="0"/>
      <w:marBottom w:val="0"/>
      <w:divBdr>
        <w:top w:val="none" w:sz="0" w:space="0" w:color="auto"/>
        <w:left w:val="none" w:sz="0" w:space="0" w:color="auto"/>
        <w:bottom w:val="none" w:sz="0" w:space="0" w:color="auto"/>
        <w:right w:val="none" w:sz="0" w:space="0" w:color="auto"/>
      </w:divBdr>
    </w:div>
    <w:div w:id="1704014381">
      <w:bodyDiv w:val="1"/>
      <w:marLeft w:val="0"/>
      <w:marRight w:val="0"/>
      <w:marTop w:val="0"/>
      <w:marBottom w:val="0"/>
      <w:divBdr>
        <w:top w:val="none" w:sz="0" w:space="0" w:color="auto"/>
        <w:left w:val="none" w:sz="0" w:space="0" w:color="auto"/>
        <w:bottom w:val="none" w:sz="0" w:space="0" w:color="auto"/>
        <w:right w:val="none" w:sz="0" w:space="0" w:color="auto"/>
      </w:divBdr>
    </w:div>
    <w:div w:id="1708525734">
      <w:bodyDiv w:val="1"/>
      <w:marLeft w:val="0"/>
      <w:marRight w:val="0"/>
      <w:marTop w:val="0"/>
      <w:marBottom w:val="0"/>
      <w:divBdr>
        <w:top w:val="none" w:sz="0" w:space="0" w:color="auto"/>
        <w:left w:val="none" w:sz="0" w:space="0" w:color="auto"/>
        <w:bottom w:val="none" w:sz="0" w:space="0" w:color="auto"/>
        <w:right w:val="none" w:sz="0" w:space="0" w:color="auto"/>
      </w:divBdr>
    </w:div>
    <w:div w:id="1719088914">
      <w:bodyDiv w:val="1"/>
      <w:marLeft w:val="0"/>
      <w:marRight w:val="0"/>
      <w:marTop w:val="0"/>
      <w:marBottom w:val="0"/>
      <w:divBdr>
        <w:top w:val="none" w:sz="0" w:space="0" w:color="auto"/>
        <w:left w:val="none" w:sz="0" w:space="0" w:color="auto"/>
        <w:bottom w:val="none" w:sz="0" w:space="0" w:color="auto"/>
        <w:right w:val="none" w:sz="0" w:space="0" w:color="auto"/>
      </w:divBdr>
    </w:div>
    <w:div w:id="1722052454">
      <w:bodyDiv w:val="1"/>
      <w:marLeft w:val="0"/>
      <w:marRight w:val="0"/>
      <w:marTop w:val="0"/>
      <w:marBottom w:val="0"/>
      <w:divBdr>
        <w:top w:val="none" w:sz="0" w:space="0" w:color="auto"/>
        <w:left w:val="none" w:sz="0" w:space="0" w:color="auto"/>
        <w:bottom w:val="none" w:sz="0" w:space="0" w:color="auto"/>
        <w:right w:val="none" w:sz="0" w:space="0" w:color="auto"/>
      </w:divBdr>
    </w:div>
    <w:div w:id="1724524241">
      <w:bodyDiv w:val="1"/>
      <w:marLeft w:val="0"/>
      <w:marRight w:val="0"/>
      <w:marTop w:val="0"/>
      <w:marBottom w:val="0"/>
      <w:divBdr>
        <w:top w:val="none" w:sz="0" w:space="0" w:color="auto"/>
        <w:left w:val="none" w:sz="0" w:space="0" w:color="auto"/>
        <w:bottom w:val="none" w:sz="0" w:space="0" w:color="auto"/>
        <w:right w:val="none" w:sz="0" w:space="0" w:color="auto"/>
      </w:divBdr>
    </w:div>
    <w:div w:id="1727610402">
      <w:bodyDiv w:val="1"/>
      <w:marLeft w:val="0"/>
      <w:marRight w:val="0"/>
      <w:marTop w:val="0"/>
      <w:marBottom w:val="0"/>
      <w:divBdr>
        <w:top w:val="none" w:sz="0" w:space="0" w:color="auto"/>
        <w:left w:val="none" w:sz="0" w:space="0" w:color="auto"/>
        <w:bottom w:val="none" w:sz="0" w:space="0" w:color="auto"/>
        <w:right w:val="none" w:sz="0" w:space="0" w:color="auto"/>
      </w:divBdr>
    </w:div>
    <w:div w:id="1760908419">
      <w:bodyDiv w:val="1"/>
      <w:marLeft w:val="0"/>
      <w:marRight w:val="0"/>
      <w:marTop w:val="0"/>
      <w:marBottom w:val="0"/>
      <w:divBdr>
        <w:top w:val="none" w:sz="0" w:space="0" w:color="auto"/>
        <w:left w:val="none" w:sz="0" w:space="0" w:color="auto"/>
        <w:bottom w:val="none" w:sz="0" w:space="0" w:color="auto"/>
        <w:right w:val="none" w:sz="0" w:space="0" w:color="auto"/>
      </w:divBdr>
    </w:div>
    <w:div w:id="1765761885">
      <w:bodyDiv w:val="1"/>
      <w:marLeft w:val="0"/>
      <w:marRight w:val="0"/>
      <w:marTop w:val="0"/>
      <w:marBottom w:val="0"/>
      <w:divBdr>
        <w:top w:val="none" w:sz="0" w:space="0" w:color="auto"/>
        <w:left w:val="none" w:sz="0" w:space="0" w:color="auto"/>
        <w:bottom w:val="none" w:sz="0" w:space="0" w:color="auto"/>
        <w:right w:val="none" w:sz="0" w:space="0" w:color="auto"/>
      </w:divBdr>
    </w:div>
    <w:div w:id="1768690334">
      <w:bodyDiv w:val="1"/>
      <w:marLeft w:val="0"/>
      <w:marRight w:val="0"/>
      <w:marTop w:val="0"/>
      <w:marBottom w:val="0"/>
      <w:divBdr>
        <w:top w:val="none" w:sz="0" w:space="0" w:color="auto"/>
        <w:left w:val="none" w:sz="0" w:space="0" w:color="auto"/>
        <w:bottom w:val="none" w:sz="0" w:space="0" w:color="auto"/>
        <w:right w:val="none" w:sz="0" w:space="0" w:color="auto"/>
      </w:divBdr>
    </w:div>
    <w:div w:id="1771314936">
      <w:bodyDiv w:val="1"/>
      <w:marLeft w:val="0"/>
      <w:marRight w:val="0"/>
      <w:marTop w:val="0"/>
      <w:marBottom w:val="0"/>
      <w:divBdr>
        <w:top w:val="none" w:sz="0" w:space="0" w:color="auto"/>
        <w:left w:val="none" w:sz="0" w:space="0" w:color="auto"/>
        <w:bottom w:val="none" w:sz="0" w:space="0" w:color="auto"/>
        <w:right w:val="none" w:sz="0" w:space="0" w:color="auto"/>
      </w:divBdr>
    </w:div>
    <w:div w:id="1771462860">
      <w:bodyDiv w:val="1"/>
      <w:marLeft w:val="0"/>
      <w:marRight w:val="0"/>
      <w:marTop w:val="0"/>
      <w:marBottom w:val="0"/>
      <w:divBdr>
        <w:top w:val="none" w:sz="0" w:space="0" w:color="auto"/>
        <w:left w:val="none" w:sz="0" w:space="0" w:color="auto"/>
        <w:bottom w:val="none" w:sz="0" w:space="0" w:color="auto"/>
        <w:right w:val="none" w:sz="0" w:space="0" w:color="auto"/>
      </w:divBdr>
    </w:div>
    <w:div w:id="1787382070">
      <w:bodyDiv w:val="1"/>
      <w:marLeft w:val="0"/>
      <w:marRight w:val="0"/>
      <w:marTop w:val="0"/>
      <w:marBottom w:val="0"/>
      <w:divBdr>
        <w:top w:val="none" w:sz="0" w:space="0" w:color="auto"/>
        <w:left w:val="none" w:sz="0" w:space="0" w:color="auto"/>
        <w:bottom w:val="none" w:sz="0" w:space="0" w:color="auto"/>
        <w:right w:val="none" w:sz="0" w:space="0" w:color="auto"/>
      </w:divBdr>
    </w:div>
    <w:div w:id="1792628607">
      <w:bodyDiv w:val="1"/>
      <w:marLeft w:val="0"/>
      <w:marRight w:val="0"/>
      <w:marTop w:val="0"/>
      <w:marBottom w:val="0"/>
      <w:divBdr>
        <w:top w:val="none" w:sz="0" w:space="0" w:color="auto"/>
        <w:left w:val="none" w:sz="0" w:space="0" w:color="auto"/>
        <w:bottom w:val="none" w:sz="0" w:space="0" w:color="auto"/>
        <w:right w:val="none" w:sz="0" w:space="0" w:color="auto"/>
      </w:divBdr>
    </w:div>
    <w:div w:id="1805730656">
      <w:bodyDiv w:val="1"/>
      <w:marLeft w:val="0"/>
      <w:marRight w:val="0"/>
      <w:marTop w:val="0"/>
      <w:marBottom w:val="0"/>
      <w:divBdr>
        <w:top w:val="none" w:sz="0" w:space="0" w:color="auto"/>
        <w:left w:val="none" w:sz="0" w:space="0" w:color="auto"/>
        <w:bottom w:val="none" w:sz="0" w:space="0" w:color="auto"/>
        <w:right w:val="none" w:sz="0" w:space="0" w:color="auto"/>
      </w:divBdr>
    </w:div>
    <w:div w:id="1819609687">
      <w:bodyDiv w:val="1"/>
      <w:marLeft w:val="0"/>
      <w:marRight w:val="0"/>
      <w:marTop w:val="0"/>
      <w:marBottom w:val="0"/>
      <w:divBdr>
        <w:top w:val="none" w:sz="0" w:space="0" w:color="auto"/>
        <w:left w:val="none" w:sz="0" w:space="0" w:color="auto"/>
        <w:bottom w:val="none" w:sz="0" w:space="0" w:color="auto"/>
        <w:right w:val="none" w:sz="0" w:space="0" w:color="auto"/>
      </w:divBdr>
    </w:div>
    <w:div w:id="1821312979">
      <w:bodyDiv w:val="1"/>
      <w:marLeft w:val="0"/>
      <w:marRight w:val="0"/>
      <w:marTop w:val="0"/>
      <w:marBottom w:val="0"/>
      <w:divBdr>
        <w:top w:val="none" w:sz="0" w:space="0" w:color="auto"/>
        <w:left w:val="none" w:sz="0" w:space="0" w:color="auto"/>
        <w:bottom w:val="none" w:sz="0" w:space="0" w:color="auto"/>
        <w:right w:val="none" w:sz="0" w:space="0" w:color="auto"/>
      </w:divBdr>
    </w:div>
    <w:div w:id="1824345627">
      <w:bodyDiv w:val="1"/>
      <w:marLeft w:val="0"/>
      <w:marRight w:val="0"/>
      <w:marTop w:val="0"/>
      <w:marBottom w:val="0"/>
      <w:divBdr>
        <w:top w:val="none" w:sz="0" w:space="0" w:color="auto"/>
        <w:left w:val="none" w:sz="0" w:space="0" w:color="auto"/>
        <w:bottom w:val="none" w:sz="0" w:space="0" w:color="auto"/>
        <w:right w:val="none" w:sz="0" w:space="0" w:color="auto"/>
      </w:divBdr>
    </w:div>
    <w:div w:id="1831408775">
      <w:bodyDiv w:val="1"/>
      <w:marLeft w:val="0"/>
      <w:marRight w:val="0"/>
      <w:marTop w:val="0"/>
      <w:marBottom w:val="0"/>
      <w:divBdr>
        <w:top w:val="none" w:sz="0" w:space="0" w:color="auto"/>
        <w:left w:val="none" w:sz="0" w:space="0" w:color="auto"/>
        <w:bottom w:val="none" w:sz="0" w:space="0" w:color="auto"/>
        <w:right w:val="none" w:sz="0" w:space="0" w:color="auto"/>
      </w:divBdr>
    </w:div>
    <w:div w:id="1838184493">
      <w:bodyDiv w:val="1"/>
      <w:marLeft w:val="0"/>
      <w:marRight w:val="0"/>
      <w:marTop w:val="0"/>
      <w:marBottom w:val="0"/>
      <w:divBdr>
        <w:top w:val="none" w:sz="0" w:space="0" w:color="auto"/>
        <w:left w:val="none" w:sz="0" w:space="0" w:color="auto"/>
        <w:bottom w:val="none" w:sz="0" w:space="0" w:color="auto"/>
        <w:right w:val="none" w:sz="0" w:space="0" w:color="auto"/>
      </w:divBdr>
    </w:div>
    <w:div w:id="1838955454">
      <w:bodyDiv w:val="1"/>
      <w:marLeft w:val="0"/>
      <w:marRight w:val="0"/>
      <w:marTop w:val="0"/>
      <w:marBottom w:val="0"/>
      <w:divBdr>
        <w:top w:val="none" w:sz="0" w:space="0" w:color="auto"/>
        <w:left w:val="none" w:sz="0" w:space="0" w:color="auto"/>
        <w:bottom w:val="none" w:sz="0" w:space="0" w:color="auto"/>
        <w:right w:val="none" w:sz="0" w:space="0" w:color="auto"/>
      </w:divBdr>
    </w:div>
    <w:div w:id="1861311233">
      <w:bodyDiv w:val="1"/>
      <w:marLeft w:val="0"/>
      <w:marRight w:val="0"/>
      <w:marTop w:val="0"/>
      <w:marBottom w:val="0"/>
      <w:divBdr>
        <w:top w:val="none" w:sz="0" w:space="0" w:color="auto"/>
        <w:left w:val="none" w:sz="0" w:space="0" w:color="auto"/>
        <w:bottom w:val="none" w:sz="0" w:space="0" w:color="auto"/>
        <w:right w:val="none" w:sz="0" w:space="0" w:color="auto"/>
      </w:divBdr>
    </w:div>
    <w:div w:id="1882475851">
      <w:bodyDiv w:val="1"/>
      <w:marLeft w:val="0"/>
      <w:marRight w:val="0"/>
      <w:marTop w:val="0"/>
      <w:marBottom w:val="0"/>
      <w:divBdr>
        <w:top w:val="none" w:sz="0" w:space="0" w:color="auto"/>
        <w:left w:val="none" w:sz="0" w:space="0" w:color="auto"/>
        <w:bottom w:val="none" w:sz="0" w:space="0" w:color="auto"/>
        <w:right w:val="none" w:sz="0" w:space="0" w:color="auto"/>
      </w:divBdr>
    </w:div>
    <w:div w:id="1890342477">
      <w:bodyDiv w:val="1"/>
      <w:marLeft w:val="0"/>
      <w:marRight w:val="0"/>
      <w:marTop w:val="0"/>
      <w:marBottom w:val="0"/>
      <w:divBdr>
        <w:top w:val="none" w:sz="0" w:space="0" w:color="auto"/>
        <w:left w:val="none" w:sz="0" w:space="0" w:color="auto"/>
        <w:bottom w:val="none" w:sz="0" w:space="0" w:color="auto"/>
        <w:right w:val="none" w:sz="0" w:space="0" w:color="auto"/>
      </w:divBdr>
    </w:div>
    <w:div w:id="1894077146">
      <w:bodyDiv w:val="1"/>
      <w:marLeft w:val="0"/>
      <w:marRight w:val="0"/>
      <w:marTop w:val="0"/>
      <w:marBottom w:val="0"/>
      <w:divBdr>
        <w:top w:val="none" w:sz="0" w:space="0" w:color="auto"/>
        <w:left w:val="none" w:sz="0" w:space="0" w:color="auto"/>
        <w:bottom w:val="none" w:sz="0" w:space="0" w:color="auto"/>
        <w:right w:val="none" w:sz="0" w:space="0" w:color="auto"/>
      </w:divBdr>
    </w:div>
    <w:div w:id="1906648413">
      <w:bodyDiv w:val="1"/>
      <w:marLeft w:val="0"/>
      <w:marRight w:val="0"/>
      <w:marTop w:val="0"/>
      <w:marBottom w:val="0"/>
      <w:divBdr>
        <w:top w:val="none" w:sz="0" w:space="0" w:color="auto"/>
        <w:left w:val="none" w:sz="0" w:space="0" w:color="auto"/>
        <w:bottom w:val="none" w:sz="0" w:space="0" w:color="auto"/>
        <w:right w:val="none" w:sz="0" w:space="0" w:color="auto"/>
      </w:divBdr>
    </w:div>
    <w:div w:id="1925450238">
      <w:bodyDiv w:val="1"/>
      <w:marLeft w:val="0"/>
      <w:marRight w:val="0"/>
      <w:marTop w:val="0"/>
      <w:marBottom w:val="0"/>
      <w:divBdr>
        <w:top w:val="none" w:sz="0" w:space="0" w:color="auto"/>
        <w:left w:val="none" w:sz="0" w:space="0" w:color="auto"/>
        <w:bottom w:val="none" w:sz="0" w:space="0" w:color="auto"/>
        <w:right w:val="none" w:sz="0" w:space="0" w:color="auto"/>
      </w:divBdr>
    </w:div>
    <w:div w:id="1931625243">
      <w:bodyDiv w:val="1"/>
      <w:marLeft w:val="0"/>
      <w:marRight w:val="0"/>
      <w:marTop w:val="0"/>
      <w:marBottom w:val="0"/>
      <w:divBdr>
        <w:top w:val="none" w:sz="0" w:space="0" w:color="auto"/>
        <w:left w:val="none" w:sz="0" w:space="0" w:color="auto"/>
        <w:bottom w:val="none" w:sz="0" w:space="0" w:color="auto"/>
        <w:right w:val="none" w:sz="0" w:space="0" w:color="auto"/>
      </w:divBdr>
    </w:div>
    <w:div w:id="1941643786">
      <w:bodyDiv w:val="1"/>
      <w:marLeft w:val="0"/>
      <w:marRight w:val="0"/>
      <w:marTop w:val="0"/>
      <w:marBottom w:val="0"/>
      <w:divBdr>
        <w:top w:val="none" w:sz="0" w:space="0" w:color="auto"/>
        <w:left w:val="none" w:sz="0" w:space="0" w:color="auto"/>
        <w:bottom w:val="none" w:sz="0" w:space="0" w:color="auto"/>
        <w:right w:val="none" w:sz="0" w:space="0" w:color="auto"/>
      </w:divBdr>
    </w:div>
    <w:div w:id="1947618510">
      <w:bodyDiv w:val="1"/>
      <w:marLeft w:val="0"/>
      <w:marRight w:val="0"/>
      <w:marTop w:val="0"/>
      <w:marBottom w:val="0"/>
      <w:divBdr>
        <w:top w:val="none" w:sz="0" w:space="0" w:color="auto"/>
        <w:left w:val="none" w:sz="0" w:space="0" w:color="auto"/>
        <w:bottom w:val="none" w:sz="0" w:space="0" w:color="auto"/>
        <w:right w:val="none" w:sz="0" w:space="0" w:color="auto"/>
      </w:divBdr>
    </w:div>
    <w:div w:id="1951158285">
      <w:bodyDiv w:val="1"/>
      <w:marLeft w:val="0"/>
      <w:marRight w:val="0"/>
      <w:marTop w:val="0"/>
      <w:marBottom w:val="0"/>
      <w:divBdr>
        <w:top w:val="none" w:sz="0" w:space="0" w:color="auto"/>
        <w:left w:val="none" w:sz="0" w:space="0" w:color="auto"/>
        <w:bottom w:val="none" w:sz="0" w:space="0" w:color="auto"/>
        <w:right w:val="none" w:sz="0" w:space="0" w:color="auto"/>
      </w:divBdr>
    </w:div>
    <w:div w:id="1952199952">
      <w:bodyDiv w:val="1"/>
      <w:marLeft w:val="0"/>
      <w:marRight w:val="0"/>
      <w:marTop w:val="0"/>
      <w:marBottom w:val="0"/>
      <w:divBdr>
        <w:top w:val="none" w:sz="0" w:space="0" w:color="auto"/>
        <w:left w:val="none" w:sz="0" w:space="0" w:color="auto"/>
        <w:bottom w:val="none" w:sz="0" w:space="0" w:color="auto"/>
        <w:right w:val="none" w:sz="0" w:space="0" w:color="auto"/>
      </w:divBdr>
    </w:div>
    <w:div w:id="1970161217">
      <w:bodyDiv w:val="1"/>
      <w:marLeft w:val="0"/>
      <w:marRight w:val="0"/>
      <w:marTop w:val="0"/>
      <w:marBottom w:val="0"/>
      <w:divBdr>
        <w:top w:val="none" w:sz="0" w:space="0" w:color="auto"/>
        <w:left w:val="none" w:sz="0" w:space="0" w:color="auto"/>
        <w:bottom w:val="none" w:sz="0" w:space="0" w:color="auto"/>
        <w:right w:val="none" w:sz="0" w:space="0" w:color="auto"/>
      </w:divBdr>
    </w:div>
    <w:div w:id="1971476150">
      <w:bodyDiv w:val="1"/>
      <w:marLeft w:val="0"/>
      <w:marRight w:val="0"/>
      <w:marTop w:val="0"/>
      <w:marBottom w:val="0"/>
      <w:divBdr>
        <w:top w:val="none" w:sz="0" w:space="0" w:color="auto"/>
        <w:left w:val="none" w:sz="0" w:space="0" w:color="auto"/>
        <w:bottom w:val="none" w:sz="0" w:space="0" w:color="auto"/>
        <w:right w:val="none" w:sz="0" w:space="0" w:color="auto"/>
      </w:divBdr>
    </w:div>
    <w:div w:id="1983193071">
      <w:bodyDiv w:val="1"/>
      <w:marLeft w:val="0"/>
      <w:marRight w:val="0"/>
      <w:marTop w:val="0"/>
      <w:marBottom w:val="0"/>
      <w:divBdr>
        <w:top w:val="none" w:sz="0" w:space="0" w:color="auto"/>
        <w:left w:val="none" w:sz="0" w:space="0" w:color="auto"/>
        <w:bottom w:val="none" w:sz="0" w:space="0" w:color="auto"/>
        <w:right w:val="none" w:sz="0" w:space="0" w:color="auto"/>
      </w:divBdr>
    </w:div>
    <w:div w:id="1991210516">
      <w:bodyDiv w:val="1"/>
      <w:marLeft w:val="0"/>
      <w:marRight w:val="0"/>
      <w:marTop w:val="0"/>
      <w:marBottom w:val="0"/>
      <w:divBdr>
        <w:top w:val="none" w:sz="0" w:space="0" w:color="auto"/>
        <w:left w:val="none" w:sz="0" w:space="0" w:color="auto"/>
        <w:bottom w:val="none" w:sz="0" w:space="0" w:color="auto"/>
        <w:right w:val="none" w:sz="0" w:space="0" w:color="auto"/>
      </w:divBdr>
    </w:div>
    <w:div w:id="1993679241">
      <w:bodyDiv w:val="1"/>
      <w:marLeft w:val="0"/>
      <w:marRight w:val="0"/>
      <w:marTop w:val="0"/>
      <w:marBottom w:val="0"/>
      <w:divBdr>
        <w:top w:val="none" w:sz="0" w:space="0" w:color="auto"/>
        <w:left w:val="none" w:sz="0" w:space="0" w:color="auto"/>
        <w:bottom w:val="none" w:sz="0" w:space="0" w:color="auto"/>
        <w:right w:val="none" w:sz="0" w:space="0" w:color="auto"/>
      </w:divBdr>
    </w:div>
    <w:div w:id="1995254875">
      <w:bodyDiv w:val="1"/>
      <w:marLeft w:val="0"/>
      <w:marRight w:val="0"/>
      <w:marTop w:val="0"/>
      <w:marBottom w:val="0"/>
      <w:divBdr>
        <w:top w:val="none" w:sz="0" w:space="0" w:color="auto"/>
        <w:left w:val="none" w:sz="0" w:space="0" w:color="auto"/>
        <w:bottom w:val="none" w:sz="0" w:space="0" w:color="auto"/>
        <w:right w:val="none" w:sz="0" w:space="0" w:color="auto"/>
      </w:divBdr>
    </w:div>
    <w:div w:id="2008434507">
      <w:bodyDiv w:val="1"/>
      <w:marLeft w:val="0"/>
      <w:marRight w:val="0"/>
      <w:marTop w:val="0"/>
      <w:marBottom w:val="0"/>
      <w:divBdr>
        <w:top w:val="none" w:sz="0" w:space="0" w:color="auto"/>
        <w:left w:val="none" w:sz="0" w:space="0" w:color="auto"/>
        <w:bottom w:val="none" w:sz="0" w:space="0" w:color="auto"/>
        <w:right w:val="none" w:sz="0" w:space="0" w:color="auto"/>
      </w:divBdr>
    </w:div>
    <w:div w:id="2010283697">
      <w:bodyDiv w:val="1"/>
      <w:marLeft w:val="0"/>
      <w:marRight w:val="0"/>
      <w:marTop w:val="0"/>
      <w:marBottom w:val="0"/>
      <w:divBdr>
        <w:top w:val="none" w:sz="0" w:space="0" w:color="auto"/>
        <w:left w:val="none" w:sz="0" w:space="0" w:color="auto"/>
        <w:bottom w:val="none" w:sz="0" w:space="0" w:color="auto"/>
        <w:right w:val="none" w:sz="0" w:space="0" w:color="auto"/>
      </w:divBdr>
    </w:div>
    <w:div w:id="2015104621">
      <w:bodyDiv w:val="1"/>
      <w:marLeft w:val="0"/>
      <w:marRight w:val="0"/>
      <w:marTop w:val="0"/>
      <w:marBottom w:val="0"/>
      <w:divBdr>
        <w:top w:val="none" w:sz="0" w:space="0" w:color="auto"/>
        <w:left w:val="none" w:sz="0" w:space="0" w:color="auto"/>
        <w:bottom w:val="none" w:sz="0" w:space="0" w:color="auto"/>
        <w:right w:val="none" w:sz="0" w:space="0" w:color="auto"/>
      </w:divBdr>
    </w:div>
    <w:div w:id="2022926803">
      <w:bodyDiv w:val="1"/>
      <w:marLeft w:val="0"/>
      <w:marRight w:val="0"/>
      <w:marTop w:val="0"/>
      <w:marBottom w:val="0"/>
      <w:divBdr>
        <w:top w:val="none" w:sz="0" w:space="0" w:color="auto"/>
        <w:left w:val="none" w:sz="0" w:space="0" w:color="auto"/>
        <w:bottom w:val="none" w:sz="0" w:space="0" w:color="auto"/>
        <w:right w:val="none" w:sz="0" w:space="0" w:color="auto"/>
      </w:divBdr>
    </w:div>
    <w:div w:id="2026050244">
      <w:bodyDiv w:val="1"/>
      <w:marLeft w:val="0"/>
      <w:marRight w:val="0"/>
      <w:marTop w:val="0"/>
      <w:marBottom w:val="0"/>
      <w:divBdr>
        <w:top w:val="none" w:sz="0" w:space="0" w:color="auto"/>
        <w:left w:val="none" w:sz="0" w:space="0" w:color="auto"/>
        <w:bottom w:val="none" w:sz="0" w:space="0" w:color="auto"/>
        <w:right w:val="none" w:sz="0" w:space="0" w:color="auto"/>
      </w:divBdr>
    </w:div>
    <w:div w:id="2037928589">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4574626">
      <w:bodyDiv w:val="1"/>
      <w:marLeft w:val="0"/>
      <w:marRight w:val="0"/>
      <w:marTop w:val="0"/>
      <w:marBottom w:val="0"/>
      <w:divBdr>
        <w:top w:val="none" w:sz="0" w:space="0" w:color="auto"/>
        <w:left w:val="none" w:sz="0" w:space="0" w:color="auto"/>
        <w:bottom w:val="none" w:sz="0" w:space="0" w:color="auto"/>
        <w:right w:val="none" w:sz="0" w:space="0" w:color="auto"/>
      </w:divBdr>
      <w:divsChild>
        <w:div w:id="1637946866">
          <w:marLeft w:val="0"/>
          <w:marRight w:val="0"/>
          <w:marTop w:val="0"/>
          <w:marBottom w:val="0"/>
          <w:divBdr>
            <w:top w:val="single" w:sz="6" w:space="0" w:color="D2D3D4"/>
            <w:left w:val="none" w:sz="0" w:space="23" w:color="D2D3D4"/>
            <w:bottom w:val="single" w:sz="6" w:space="0" w:color="D2D3D4"/>
            <w:right w:val="none" w:sz="0" w:space="23" w:color="D2D3D4"/>
          </w:divBdr>
          <w:divsChild>
            <w:div w:id="520707188">
              <w:marLeft w:val="0"/>
              <w:marRight w:val="0"/>
              <w:marTop w:val="0"/>
              <w:marBottom w:val="0"/>
              <w:divBdr>
                <w:top w:val="none" w:sz="0" w:space="0" w:color="auto"/>
                <w:left w:val="none" w:sz="0" w:space="0" w:color="auto"/>
                <w:bottom w:val="none" w:sz="0" w:space="0" w:color="auto"/>
                <w:right w:val="none" w:sz="0" w:space="0" w:color="auto"/>
              </w:divBdr>
              <w:divsChild>
                <w:div w:id="1159737815">
                  <w:marLeft w:val="0"/>
                  <w:marRight w:val="0"/>
                  <w:marTop w:val="0"/>
                  <w:marBottom w:val="0"/>
                  <w:divBdr>
                    <w:top w:val="none" w:sz="0" w:space="0" w:color="auto"/>
                    <w:left w:val="none" w:sz="0" w:space="0" w:color="auto"/>
                    <w:bottom w:val="none" w:sz="0" w:space="0" w:color="auto"/>
                    <w:right w:val="none" w:sz="0" w:space="0" w:color="auto"/>
                  </w:divBdr>
                  <w:divsChild>
                    <w:div w:id="361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844938">
          <w:marLeft w:val="0"/>
          <w:marRight w:val="0"/>
          <w:marTop w:val="0"/>
          <w:marBottom w:val="0"/>
          <w:divBdr>
            <w:top w:val="none" w:sz="0" w:space="0" w:color="auto"/>
            <w:left w:val="none" w:sz="0" w:space="0" w:color="auto"/>
            <w:bottom w:val="none" w:sz="0" w:space="0" w:color="auto"/>
            <w:right w:val="none" w:sz="0" w:space="0" w:color="auto"/>
          </w:divBdr>
          <w:divsChild>
            <w:div w:id="1258710596">
              <w:marLeft w:val="0"/>
              <w:marRight w:val="0"/>
              <w:marTop w:val="0"/>
              <w:marBottom w:val="0"/>
              <w:divBdr>
                <w:top w:val="none" w:sz="0" w:space="0" w:color="auto"/>
                <w:left w:val="none" w:sz="0" w:space="0" w:color="auto"/>
                <w:bottom w:val="none" w:sz="0" w:space="0" w:color="auto"/>
                <w:right w:val="none" w:sz="0" w:space="0" w:color="auto"/>
              </w:divBdr>
              <w:divsChild>
                <w:div w:id="959603991">
                  <w:marLeft w:val="0"/>
                  <w:marRight w:val="0"/>
                  <w:marTop w:val="0"/>
                  <w:marBottom w:val="0"/>
                  <w:divBdr>
                    <w:top w:val="none" w:sz="0" w:space="0" w:color="auto"/>
                    <w:left w:val="none" w:sz="0" w:space="0" w:color="auto"/>
                    <w:bottom w:val="none" w:sz="0" w:space="0" w:color="auto"/>
                    <w:right w:val="none" w:sz="0" w:space="0" w:color="auto"/>
                  </w:divBdr>
                  <w:divsChild>
                    <w:div w:id="1069156120">
                      <w:marLeft w:val="0"/>
                      <w:marRight w:val="0"/>
                      <w:marTop w:val="0"/>
                      <w:marBottom w:val="0"/>
                      <w:divBdr>
                        <w:top w:val="none" w:sz="0" w:space="0" w:color="auto"/>
                        <w:left w:val="none" w:sz="0" w:space="0" w:color="auto"/>
                        <w:bottom w:val="none" w:sz="0" w:space="0" w:color="auto"/>
                        <w:right w:val="none" w:sz="0" w:space="0" w:color="auto"/>
                      </w:divBdr>
                      <w:divsChild>
                        <w:div w:id="2073312275">
                          <w:marLeft w:val="0"/>
                          <w:marRight w:val="0"/>
                          <w:marTop w:val="0"/>
                          <w:marBottom w:val="0"/>
                          <w:divBdr>
                            <w:top w:val="single" w:sz="6" w:space="19" w:color="E5E4E4"/>
                            <w:left w:val="none" w:sz="0" w:space="0" w:color="E5E4E4"/>
                            <w:bottom w:val="single" w:sz="6" w:space="0" w:color="E5E4E4"/>
                            <w:right w:val="none" w:sz="0" w:space="0" w:color="E5E4E4"/>
                          </w:divBdr>
                          <w:divsChild>
                            <w:div w:id="166361553">
                              <w:marLeft w:val="0"/>
                              <w:marRight w:val="0"/>
                              <w:marTop w:val="0"/>
                              <w:marBottom w:val="0"/>
                              <w:divBdr>
                                <w:top w:val="none" w:sz="0" w:space="0" w:color="auto"/>
                                <w:left w:val="none" w:sz="0" w:space="0" w:color="auto"/>
                                <w:bottom w:val="none" w:sz="0" w:space="0" w:color="auto"/>
                                <w:right w:val="none" w:sz="0" w:space="0" w:color="auto"/>
                              </w:divBdr>
                              <w:divsChild>
                                <w:div w:id="767972164">
                                  <w:marLeft w:val="0"/>
                                  <w:marRight w:val="0"/>
                                  <w:marTop w:val="0"/>
                                  <w:marBottom w:val="0"/>
                                  <w:divBdr>
                                    <w:top w:val="none" w:sz="0" w:space="0" w:color="auto"/>
                                    <w:left w:val="none" w:sz="0" w:space="0" w:color="auto"/>
                                    <w:bottom w:val="none" w:sz="0" w:space="0" w:color="auto"/>
                                    <w:right w:val="none" w:sz="0" w:space="0" w:color="auto"/>
                                  </w:divBdr>
                                  <w:divsChild>
                                    <w:div w:id="551428897">
                                      <w:marLeft w:val="0"/>
                                      <w:marRight w:val="0"/>
                                      <w:marTop w:val="0"/>
                                      <w:marBottom w:val="0"/>
                                      <w:divBdr>
                                        <w:top w:val="none" w:sz="0" w:space="0" w:color="auto"/>
                                        <w:left w:val="none" w:sz="0" w:space="0" w:color="auto"/>
                                        <w:bottom w:val="none" w:sz="0" w:space="0" w:color="auto"/>
                                        <w:right w:val="none" w:sz="0" w:space="0" w:color="auto"/>
                                      </w:divBdr>
                                      <w:divsChild>
                                        <w:div w:id="16673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744919">
      <w:bodyDiv w:val="1"/>
      <w:marLeft w:val="0"/>
      <w:marRight w:val="0"/>
      <w:marTop w:val="0"/>
      <w:marBottom w:val="0"/>
      <w:divBdr>
        <w:top w:val="none" w:sz="0" w:space="0" w:color="auto"/>
        <w:left w:val="none" w:sz="0" w:space="0" w:color="auto"/>
        <w:bottom w:val="none" w:sz="0" w:space="0" w:color="auto"/>
        <w:right w:val="none" w:sz="0" w:space="0" w:color="auto"/>
      </w:divBdr>
      <w:divsChild>
        <w:div w:id="119037388">
          <w:marLeft w:val="0"/>
          <w:marRight w:val="0"/>
          <w:marTop w:val="0"/>
          <w:marBottom w:val="0"/>
          <w:divBdr>
            <w:top w:val="none" w:sz="0" w:space="0" w:color="auto"/>
            <w:left w:val="none" w:sz="0" w:space="0" w:color="auto"/>
            <w:bottom w:val="none" w:sz="0" w:space="0" w:color="auto"/>
            <w:right w:val="none" w:sz="0" w:space="0" w:color="auto"/>
          </w:divBdr>
          <w:divsChild>
            <w:div w:id="306012164">
              <w:marLeft w:val="0"/>
              <w:marRight w:val="0"/>
              <w:marTop w:val="0"/>
              <w:marBottom w:val="0"/>
              <w:divBdr>
                <w:top w:val="none" w:sz="0" w:space="0" w:color="auto"/>
                <w:left w:val="none" w:sz="0" w:space="0" w:color="auto"/>
                <w:bottom w:val="none" w:sz="0" w:space="0" w:color="auto"/>
                <w:right w:val="none" w:sz="0" w:space="0" w:color="auto"/>
              </w:divBdr>
              <w:divsChild>
                <w:div w:id="86580548">
                  <w:marLeft w:val="0"/>
                  <w:marRight w:val="0"/>
                  <w:marTop w:val="0"/>
                  <w:marBottom w:val="0"/>
                  <w:divBdr>
                    <w:top w:val="none" w:sz="0" w:space="0" w:color="auto"/>
                    <w:left w:val="none" w:sz="0" w:space="0" w:color="auto"/>
                    <w:bottom w:val="none" w:sz="0" w:space="0" w:color="auto"/>
                    <w:right w:val="none" w:sz="0" w:space="0" w:color="auto"/>
                  </w:divBdr>
                  <w:divsChild>
                    <w:div w:id="274869088">
                      <w:marLeft w:val="0"/>
                      <w:marRight w:val="0"/>
                      <w:marTop w:val="0"/>
                      <w:marBottom w:val="0"/>
                      <w:divBdr>
                        <w:top w:val="none" w:sz="0" w:space="0" w:color="auto"/>
                        <w:left w:val="none" w:sz="0" w:space="0" w:color="auto"/>
                        <w:bottom w:val="none" w:sz="0" w:space="0" w:color="auto"/>
                        <w:right w:val="none" w:sz="0" w:space="0" w:color="auto"/>
                      </w:divBdr>
                    </w:div>
                    <w:div w:id="1543440398">
                      <w:marLeft w:val="0"/>
                      <w:marRight w:val="0"/>
                      <w:marTop w:val="0"/>
                      <w:marBottom w:val="0"/>
                      <w:divBdr>
                        <w:top w:val="none" w:sz="0" w:space="0" w:color="auto"/>
                        <w:left w:val="none" w:sz="0" w:space="0" w:color="auto"/>
                        <w:bottom w:val="none" w:sz="0" w:space="0" w:color="auto"/>
                        <w:right w:val="none" w:sz="0" w:space="0" w:color="auto"/>
                      </w:divBdr>
                    </w:div>
                  </w:divsChild>
                </w:div>
                <w:div w:id="937441448">
                  <w:marLeft w:val="0"/>
                  <w:marRight w:val="0"/>
                  <w:marTop w:val="0"/>
                  <w:marBottom w:val="0"/>
                  <w:divBdr>
                    <w:top w:val="none" w:sz="0" w:space="0" w:color="auto"/>
                    <w:left w:val="none" w:sz="0" w:space="0" w:color="auto"/>
                    <w:bottom w:val="none" w:sz="0" w:space="0" w:color="auto"/>
                    <w:right w:val="none" w:sz="0" w:space="0" w:color="auto"/>
                  </w:divBdr>
                  <w:divsChild>
                    <w:div w:id="1270114990">
                      <w:marLeft w:val="0"/>
                      <w:marRight w:val="0"/>
                      <w:marTop w:val="0"/>
                      <w:marBottom w:val="0"/>
                      <w:divBdr>
                        <w:top w:val="none" w:sz="0" w:space="0" w:color="auto"/>
                        <w:left w:val="none" w:sz="0" w:space="0" w:color="auto"/>
                        <w:bottom w:val="none" w:sz="0" w:space="0" w:color="auto"/>
                        <w:right w:val="none" w:sz="0" w:space="0" w:color="auto"/>
                      </w:divBdr>
                    </w:div>
                  </w:divsChild>
                </w:div>
                <w:div w:id="996300264">
                  <w:marLeft w:val="0"/>
                  <w:marRight w:val="0"/>
                  <w:marTop w:val="0"/>
                  <w:marBottom w:val="0"/>
                  <w:divBdr>
                    <w:top w:val="none" w:sz="0" w:space="0" w:color="auto"/>
                    <w:left w:val="none" w:sz="0" w:space="0" w:color="auto"/>
                    <w:bottom w:val="none" w:sz="0" w:space="0" w:color="auto"/>
                    <w:right w:val="none" w:sz="0" w:space="0" w:color="auto"/>
                  </w:divBdr>
                  <w:divsChild>
                    <w:div w:id="127941119">
                      <w:marLeft w:val="0"/>
                      <w:marRight w:val="0"/>
                      <w:marTop w:val="0"/>
                      <w:marBottom w:val="0"/>
                      <w:divBdr>
                        <w:top w:val="none" w:sz="0" w:space="0" w:color="auto"/>
                        <w:left w:val="none" w:sz="0" w:space="0" w:color="auto"/>
                        <w:bottom w:val="none" w:sz="0" w:space="0" w:color="auto"/>
                        <w:right w:val="none" w:sz="0" w:space="0" w:color="auto"/>
                      </w:divBdr>
                      <w:divsChild>
                        <w:div w:id="1317077422">
                          <w:marLeft w:val="0"/>
                          <w:marRight w:val="0"/>
                          <w:marTop w:val="0"/>
                          <w:marBottom w:val="0"/>
                          <w:divBdr>
                            <w:top w:val="none" w:sz="0" w:space="0" w:color="auto"/>
                            <w:left w:val="none" w:sz="0" w:space="0" w:color="auto"/>
                            <w:bottom w:val="none" w:sz="0" w:space="0" w:color="auto"/>
                            <w:right w:val="none" w:sz="0" w:space="0" w:color="auto"/>
                          </w:divBdr>
                        </w:div>
                      </w:divsChild>
                    </w:div>
                    <w:div w:id="266935015">
                      <w:marLeft w:val="0"/>
                      <w:marRight w:val="0"/>
                      <w:marTop w:val="0"/>
                      <w:marBottom w:val="0"/>
                      <w:divBdr>
                        <w:top w:val="none" w:sz="0" w:space="0" w:color="auto"/>
                        <w:left w:val="none" w:sz="0" w:space="0" w:color="auto"/>
                        <w:bottom w:val="none" w:sz="0" w:space="0" w:color="auto"/>
                        <w:right w:val="none" w:sz="0" w:space="0" w:color="auto"/>
                      </w:divBdr>
                      <w:divsChild>
                        <w:div w:id="178325154">
                          <w:marLeft w:val="0"/>
                          <w:marRight w:val="0"/>
                          <w:marTop w:val="0"/>
                          <w:marBottom w:val="0"/>
                          <w:divBdr>
                            <w:top w:val="none" w:sz="0" w:space="0" w:color="auto"/>
                            <w:left w:val="none" w:sz="0" w:space="0" w:color="auto"/>
                            <w:bottom w:val="none" w:sz="0" w:space="0" w:color="auto"/>
                            <w:right w:val="none" w:sz="0" w:space="0" w:color="auto"/>
                          </w:divBdr>
                        </w:div>
                      </w:divsChild>
                    </w:div>
                    <w:div w:id="354042725">
                      <w:marLeft w:val="0"/>
                      <w:marRight w:val="0"/>
                      <w:marTop w:val="0"/>
                      <w:marBottom w:val="0"/>
                      <w:divBdr>
                        <w:top w:val="none" w:sz="0" w:space="0" w:color="auto"/>
                        <w:left w:val="none" w:sz="0" w:space="0" w:color="auto"/>
                        <w:bottom w:val="none" w:sz="0" w:space="0" w:color="auto"/>
                        <w:right w:val="none" w:sz="0" w:space="0" w:color="auto"/>
                      </w:divBdr>
                      <w:divsChild>
                        <w:div w:id="7877116">
                          <w:marLeft w:val="0"/>
                          <w:marRight w:val="0"/>
                          <w:marTop w:val="0"/>
                          <w:marBottom w:val="0"/>
                          <w:divBdr>
                            <w:top w:val="none" w:sz="0" w:space="0" w:color="auto"/>
                            <w:left w:val="none" w:sz="0" w:space="0" w:color="auto"/>
                            <w:bottom w:val="none" w:sz="0" w:space="0" w:color="auto"/>
                            <w:right w:val="none" w:sz="0" w:space="0" w:color="auto"/>
                          </w:divBdr>
                        </w:div>
                      </w:divsChild>
                    </w:div>
                    <w:div w:id="651905456">
                      <w:marLeft w:val="0"/>
                      <w:marRight w:val="0"/>
                      <w:marTop w:val="0"/>
                      <w:marBottom w:val="0"/>
                      <w:divBdr>
                        <w:top w:val="none" w:sz="0" w:space="0" w:color="auto"/>
                        <w:left w:val="none" w:sz="0" w:space="0" w:color="auto"/>
                        <w:bottom w:val="none" w:sz="0" w:space="0" w:color="auto"/>
                        <w:right w:val="none" w:sz="0" w:space="0" w:color="auto"/>
                      </w:divBdr>
                      <w:divsChild>
                        <w:div w:id="344207881">
                          <w:marLeft w:val="0"/>
                          <w:marRight w:val="0"/>
                          <w:marTop w:val="0"/>
                          <w:marBottom w:val="0"/>
                          <w:divBdr>
                            <w:top w:val="none" w:sz="0" w:space="0" w:color="auto"/>
                            <w:left w:val="none" w:sz="0" w:space="0" w:color="auto"/>
                            <w:bottom w:val="none" w:sz="0" w:space="0" w:color="auto"/>
                            <w:right w:val="none" w:sz="0" w:space="0" w:color="auto"/>
                          </w:divBdr>
                        </w:div>
                        <w:div w:id="617224031">
                          <w:marLeft w:val="0"/>
                          <w:marRight w:val="0"/>
                          <w:marTop w:val="0"/>
                          <w:marBottom w:val="0"/>
                          <w:divBdr>
                            <w:top w:val="none" w:sz="0" w:space="0" w:color="auto"/>
                            <w:left w:val="none" w:sz="0" w:space="0" w:color="auto"/>
                            <w:bottom w:val="none" w:sz="0" w:space="0" w:color="auto"/>
                            <w:right w:val="none" w:sz="0" w:space="0" w:color="auto"/>
                          </w:divBdr>
                        </w:div>
                      </w:divsChild>
                    </w:div>
                    <w:div w:id="750737036">
                      <w:marLeft w:val="0"/>
                      <w:marRight w:val="0"/>
                      <w:marTop w:val="0"/>
                      <w:marBottom w:val="0"/>
                      <w:divBdr>
                        <w:top w:val="none" w:sz="0" w:space="0" w:color="auto"/>
                        <w:left w:val="none" w:sz="0" w:space="0" w:color="auto"/>
                        <w:bottom w:val="none" w:sz="0" w:space="0" w:color="auto"/>
                        <w:right w:val="none" w:sz="0" w:space="0" w:color="auto"/>
                      </w:divBdr>
                      <w:divsChild>
                        <w:div w:id="740909758">
                          <w:marLeft w:val="0"/>
                          <w:marRight w:val="0"/>
                          <w:marTop w:val="0"/>
                          <w:marBottom w:val="0"/>
                          <w:divBdr>
                            <w:top w:val="none" w:sz="0" w:space="0" w:color="auto"/>
                            <w:left w:val="none" w:sz="0" w:space="0" w:color="auto"/>
                            <w:bottom w:val="none" w:sz="0" w:space="0" w:color="auto"/>
                            <w:right w:val="none" w:sz="0" w:space="0" w:color="auto"/>
                          </w:divBdr>
                        </w:div>
                      </w:divsChild>
                    </w:div>
                    <w:div w:id="828519422">
                      <w:marLeft w:val="0"/>
                      <w:marRight w:val="0"/>
                      <w:marTop w:val="0"/>
                      <w:marBottom w:val="0"/>
                      <w:divBdr>
                        <w:top w:val="none" w:sz="0" w:space="0" w:color="auto"/>
                        <w:left w:val="none" w:sz="0" w:space="0" w:color="auto"/>
                        <w:bottom w:val="none" w:sz="0" w:space="0" w:color="auto"/>
                        <w:right w:val="none" w:sz="0" w:space="0" w:color="auto"/>
                      </w:divBdr>
                      <w:divsChild>
                        <w:div w:id="765032221">
                          <w:marLeft w:val="0"/>
                          <w:marRight w:val="0"/>
                          <w:marTop w:val="0"/>
                          <w:marBottom w:val="0"/>
                          <w:divBdr>
                            <w:top w:val="none" w:sz="0" w:space="0" w:color="auto"/>
                            <w:left w:val="none" w:sz="0" w:space="0" w:color="auto"/>
                            <w:bottom w:val="none" w:sz="0" w:space="0" w:color="auto"/>
                            <w:right w:val="none" w:sz="0" w:space="0" w:color="auto"/>
                          </w:divBdr>
                        </w:div>
                      </w:divsChild>
                    </w:div>
                    <w:div w:id="946349934">
                      <w:marLeft w:val="0"/>
                      <w:marRight w:val="0"/>
                      <w:marTop w:val="0"/>
                      <w:marBottom w:val="0"/>
                      <w:divBdr>
                        <w:top w:val="none" w:sz="0" w:space="0" w:color="auto"/>
                        <w:left w:val="none" w:sz="0" w:space="0" w:color="auto"/>
                        <w:bottom w:val="none" w:sz="0" w:space="0" w:color="auto"/>
                        <w:right w:val="none" w:sz="0" w:space="0" w:color="auto"/>
                      </w:divBdr>
                      <w:divsChild>
                        <w:div w:id="102112152">
                          <w:marLeft w:val="0"/>
                          <w:marRight w:val="0"/>
                          <w:marTop w:val="0"/>
                          <w:marBottom w:val="0"/>
                          <w:divBdr>
                            <w:top w:val="none" w:sz="0" w:space="0" w:color="auto"/>
                            <w:left w:val="none" w:sz="0" w:space="0" w:color="auto"/>
                            <w:bottom w:val="none" w:sz="0" w:space="0" w:color="auto"/>
                            <w:right w:val="none" w:sz="0" w:space="0" w:color="auto"/>
                          </w:divBdr>
                        </w:div>
                      </w:divsChild>
                    </w:div>
                    <w:div w:id="1226138408">
                      <w:marLeft w:val="0"/>
                      <w:marRight w:val="0"/>
                      <w:marTop w:val="0"/>
                      <w:marBottom w:val="0"/>
                      <w:divBdr>
                        <w:top w:val="none" w:sz="0" w:space="0" w:color="auto"/>
                        <w:left w:val="none" w:sz="0" w:space="0" w:color="auto"/>
                        <w:bottom w:val="none" w:sz="0" w:space="0" w:color="auto"/>
                        <w:right w:val="none" w:sz="0" w:space="0" w:color="auto"/>
                      </w:divBdr>
                      <w:divsChild>
                        <w:div w:id="718895111">
                          <w:marLeft w:val="0"/>
                          <w:marRight w:val="0"/>
                          <w:marTop w:val="0"/>
                          <w:marBottom w:val="0"/>
                          <w:divBdr>
                            <w:top w:val="none" w:sz="0" w:space="0" w:color="auto"/>
                            <w:left w:val="none" w:sz="0" w:space="0" w:color="auto"/>
                            <w:bottom w:val="none" w:sz="0" w:space="0" w:color="auto"/>
                            <w:right w:val="none" w:sz="0" w:space="0" w:color="auto"/>
                          </w:divBdr>
                        </w:div>
                      </w:divsChild>
                    </w:div>
                    <w:div w:id="1229150875">
                      <w:marLeft w:val="0"/>
                      <w:marRight w:val="0"/>
                      <w:marTop w:val="0"/>
                      <w:marBottom w:val="0"/>
                      <w:divBdr>
                        <w:top w:val="none" w:sz="0" w:space="0" w:color="auto"/>
                        <w:left w:val="none" w:sz="0" w:space="0" w:color="auto"/>
                        <w:bottom w:val="none" w:sz="0" w:space="0" w:color="auto"/>
                        <w:right w:val="none" w:sz="0" w:space="0" w:color="auto"/>
                      </w:divBdr>
                      <w:divsChild>
                        <w:div w:id="1419056231">
                          <w:marLeft w:val="0"/>
                          <w:marRight w:val="0"/>
                          <w:marTop w:val="0"/>
                          <w:marBottom w:val="0"/>
                          <w:divBdr>
                            <w:top w:val="none" w:sz="0" w:space="0" w:color="auto"/>
                            <w:left w:val="none" w:sz="0" w:space="0" w:color="auto"/>
                            <w:bottom w:val="none" w:sz="0" w:space="0" w:color="auto"/>
                            <w:right w:val="none" w:sz="0" w:space="0" w:color="auto"/>
                          </w:divBdr>
                        </w:div>
                      </w:divsChild>
                    </w:div>
                    <w:div w:id="1448234203">
                      <w:marLeft w:val="0"/>
                      <w:marRight w:val="0"/>
                      <w:marTop w:val="0"/>
                      <w:marBottom w:val="0"/>
                      <w:divBdr>
                        <w:top w:val="none" w:sz="0" w:space="0" w:color="auto"/>
                        <w:left w:val="none" w:sz="0" w:space="0" w:color="auto"/>
                        <w:bottom w:val="none" w:sz="0" w:space="0" w:color="auto"/>
                        <w:right w:val="none" w:sz="0" w:space="0" w:color="auto"/>
                      </w:divBdr>
                      <w:divsChild>
                        <w:div w:id="780495665">
                          <w:marLeft w:val="0"/>
                          <w:marRight w:val="0"/>
                          <w:marTop w:val="0"/>
                          <w:marBottom w:val="0"/>
                          <w:divBdr>
                            <w:top w:val="none" w:sz="0" w:space="0" w:color="auto"/>
                            <w:left w:val="none" w:sz="0" w:space="0" w:color="auto"/>
                            <w:bottom w:val="none" w:sz="0" w:space="0" w:color="auto"/>
                            <w:right w:val="none" w:sz="0" w:space="0" w:color="auto"/>
                          </w:divBdr>
                        </w:div>
                      </w:divsChild>
                    </w:div>
                    <w:div w:id="1594391536">
                      <w:marLeft w:val="0"/>
                      <w:marRight w:val="0"/>
                      <w:marTop w:val="0"/>
                      <w:marBottom w:val="0"/>
                      <w:divBdr>
                        <w:top w:val="none" w:sz="0" w:space="0" w:color="auto"/>
                        <w:left w:val="none" w:sz="0" w:space="0" w:color="auto"/>
                        <w:bottom w:val="none" w:sz="0" w:space="0" w:color="auto"/>
                        <w:right w:val="none" w:sz="0" w:space="0" w:color="auto"/>
                      </w:divBdr>
                      <w:divsChild>
                        <w:div w:id="933132506">
                          <w:marLeft w:val="0"/>
                          <w:marRight w:val="0"/>
                          <w:marTop w:val="0"/>
                          <w:marBottom w:val="0"/>
                          <w:divBdr>
                            <w:top w:val="none" w:sz="0" w:space="0" w:color="auto"/>
                            <w:left w:val="none" w:sz="0" w:space="0" w:color="auto"/>
                            <w:bottom w:val="none" w:sz="0" w:space="0" w:color="auto"/>
                            <w:right w:val="none" w:sz="0" w:space="0" w:color="auto"/>
                          </w:divBdr>
                        </w:div>
                      </w:divsChild>
                    </w:div>
                    <w:div w:id="1601524026">
                      <w:marLeft w:val="0"/>
                      <w:marRight w:val="0"/>
                      <w:marTop w:val="0"/>
                      <w:marBottom w:val="0"/>
                      <w:divBdr>
                        <w:top w:val="none" w:sz="0" w:space="0" w:color="auto"/>
                        <w:left w:val="none" w:sz="0" w:space="0" w:color="auto"/>
                        <w:bottom w:val="none" w:sz="0" w:space="0" w:color="auto"/>
                        <w:right w:val="none" w:sz="0" w:space="0" w:color="auto"/>
                      </w:divBdr>
                      <w:divsChild>
                        <w:div w:id="1653362062">
                          <w:marLeft w:val="0"/>
                          <w:marRight w:val="0"/>
                          <w:marTop w:val="0"/>
                          <w:marBottom w:val="0"/>
                          <w:divBdr>
                            <w:top w:val="none" w:sz="0" w:space="0" w:color="auto"/>
                            <w:left w:val="none" w:sz="0" w:space="0" w:color="auto"/>
                            <w:bottom w:val="none" w:sz="0" w:space="0" w:color="auto"/>
                            <w:right w:val="none" w:sz="0" w:space="0" w:color="auto"/>
                          </w:divBdr>
                        </w:div>
                      </w:divsChild>
                    </w:div>
                    <w:div w:id="1808275336">
                      <w:marLeft w:val="0"/>
                      <w:marRight w:val="0"/>
                      <w:marTop w:val="0"/>
                      <w:marBottom w:val="0"/>
                      <w:divBdr>
                        <w:top w:val="none" w:sz="0" w:space="0" w:color="auto"/>
                        <w:left w:val="none" w:sz="0" w:space="0" w:color="auto"/>
                        <w:bottom w:val="none" w:sz="0" w:space="0" w:color="auto"/>
                        <w:right w:val="none" w:sz="0" w:space="0" w:color="auto"/>
                      </w:divBdr>
                      <w:divsChild>
                        <w:div w:id="619535896">
                          <w:marLeft w:val="0"/>
                          <w:marRight w:val="0"/>
                          <w:marTop w:val="0"/>
                          <w:marBottom w:val="0"/>
                          <w:divBdr>
                            <w:top w:val="none" w:sz="0" w:space="0" w:color="auto"/>
                            <w:left w:val="none" w:sz="0" w:space="0" w:color="auto"/>
                            <w:bottom w:val="none" w:sz="0" w:space="0" w:color="auto"/>
                            <w:right w:val="none" w:sz="0" w:space="0" w:color="auto"/>
                          </w:divBdr>
                        </w:div>
                      </w:divsChild>
                    </w:div>
                    <w:div w:id="1878155319">
                      <w:marLeft w:val="0"/>
                      <w:marRight w:val="0"/>
                      <w:marTop w:val="0"/>
                      <w:marBottom w:val="0"/>
                      <w:divBdr>
                        <w:top w:val="none" w:sz="0" w:space="0" w:color="auto"/>
                        <w:left w:val="none" w:sz="0" w:space="0" w:color="auto"/>
                        <w:bottom w:val="none" w:sz="0" w:space="0" w:color="auto"/>
                        <w:right w:val="none" w:sz="0" w:space="0" w:color="auto"/>
                      </w:divBdr>
                      <w:divsChild>
                        <w:div w:id="1308778576">
                          <w:marLeft w:val="0"/>
                          <w:marRight w:val="0"/>
                          <w:marTop w:val="0"/>
                          <w:marBottom w:val="0"/>
                          <w:divBdr>
                            <w:top w:val="none" w:sz="0" w:space="0" w:color="auto"/>
                            <w:left w:val="none" w:sz="0" w:space="0" w:color="auto"/>
                            <w:bottom w:val="none" w:sz="0" w:space="0" w:color="auto"/>
                            <w:right w:val="none" w:sz="0" w:space="0" w:color="auto"/>
                          </w:divBdr>
                        </w:div>
                      </w:divsChild>
                    </w:div>
                    <w:div w:id="1946889364">
                      <w:marLeft w:val="0"/>
                      <w:marRight w:val="0"/>
                      <w:marTop w:val="0"/>
                      <w:marBottom w:val="0"/>
                      <w:divBdr>
                        <w:top w:val="none" w:sz="0" w:space="0" w:color="auto"/>
                        <w:left w:val="none" w:sz="0" w:space="0" w:color="auto"/>
                        <w:bottom w:val="none" w:sz="0" w:space="0" w:color="auto"/>
                        <w:right w:val="none" w:sz="0" w:space="0" w:color="auto"/>
                      </w:divBdr>
                      <w:divsChild>
                        <w:div w:id="518350494">
                          <w:marLeft w:val="0"/>
                          <w:marRight w:val="0"/>
                          <w:marTop w:val="0"/>
                          <w:marBottom w:val="0"/>
                          <w:divBdr>
                            <w:top w:val="none" w:sz="0" w:space="0" w:color="auto"/>
                            <w:left w:val="none" w:sz="0" w:space="0" w:color="auto"/>
                            <w:bottom w:val="none" w:sz="0" w:space="0" w:color="auto"/>
                            <w:right w:val="none" w:sz="0" w:space="0" w:color="auto"/>
                          </w:divBdr>
                        </w:div>
                      </w:divsChild>
                    </w:div>
                    <w:div w:id="2041079740">
                      <w:marLeft w:val="0"/>
                      <w:marRight w:val="0"/>
                      <w:marTop w:val="0"/>
                      <w:marBottom w:val="0"/>
                      <w:divBdr>
                        <w:top w:val="none" w:sz="0" w:space="0" w:color="auto"/>
                        <w:left w:val="none" w:sz="0" w:space="0" w:color="auto"/>
                        <w:bottom w:val="none" w:sz="0" w:space="0" w:color="auto"/>
                        <w:right w:val="none" w:sz="0" w:space="0" w:color="auto"/>
                      </w:divBdr>
                      <w:divsChild>
                        <w:div w:id="865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65895">
                  <w:marLeft w:val="0"/>
                  <w:marRight w:val="0"/>
                  <w:marTop w:val="0"/>
                  <w:marBottom w:val="0"/>
                  <w:divBdr>
                    <w:top w:val="none" w:sz="0" w:space="0" w:color="auto"/>
                    <w:left w:val="none" w:sz="0" w:space="0" w:color="auto"/>
                    <w:bottom w:val="none" w:sz="0" w:space="0" w:color="auto"/>
                    <w:right w:val="none" w:sz="0" w:space="0" w:color="auto"/>
                  </w:divBdr>
                  <w:divsChild>
                    <w:div w:id="1478493874">
                      <w:marLeft w:val="0"/>
                      <w:marRight w:val="0"/>
                      <w:marTop w:val="0"/>
                      <w:marBottom w:val="0"/>
                      <w:divBdr>
                        <w:top w:val="none" w:sz="0" w:space="0" w:color="auto"/>
                        <w:left w:val="none" w:sz="0" w:space="0" w:color="auto"/>
                        <w:bottom w:val="none" w:sz="0" w:space="0" w:color="auto"/>
                        <w:right w:val="none" w:sz="0" w:space="0" w:color="auto"/>
                      </w:divBdr>
                    </w:div>
                  </w:divsChild>
                </w:div>
                <w:div w:id="1975330892">
                  <w:marLeft w:val="0"/>
                  <w:marRight w:val="0"/>
                  <w:marTop w:val="0"/>
                  <w:marBottom w:val="0"/>
                  <w:divBdr>
                    <w:top w:val="none" w:sz="0" w:space="0" w:color="auto"/>
                    <w:left w:val="none" w:sz="0" w:space="0" w:color="auto"/>
                    <w:bottom w:val="none" w:sz="0" w:space="0" w:color="auto"/>
                    <w:right w:val="none" w:sz="0" w:space="0" w:color="auto"/>
                  </w:divBdr>
                  <w:divsChild>
                    <w:div w:id="26491157">
                      <w:marLeft w:val="0"/>
                      <w:marRight w:val="0"/>
                      <w:marTop w:val="0"/>
                      <w:marBottom w:val="0"/>
                      <w:divBdr>
                        <w:top w:val="none" w:sz="0" w:space="0" w:color="auto"/>
                        <w:left w:val="none" w:sz="0" w:space="0" w:color="auto"/>
                        <w:bottom w:val="none" w:sz="0" w:space="0" w:color="auto"/>
                        <w:right w:val="none" w:sz="0" w:space="0" w:color="auto"/>
                      </w:divBdr>
                    </w:div>
                    <w:div w:id="37319802">
                      <w:marLeft w:val="0"/>
                      <w:marRight w:val="0"/>
                      <w:marTop w:val="0"/>
                      <w:marBottom w:val="0"/>
                      <w:divBdr>
                        <w:top w:val="none" w:sz="0" w:space="0" w:color="auto"/>
                        <w:left w:val="none" w:sz="0" w:space="0" w:color="auto"/>
                        <w:bottom w:val="none" w:sz="0" w:space="0" w:color="auto"/>
                        <w:right w:val="none" w:sz="0" w:space="0" w:color="auto"/>
                      </w:divBdr>
                    </w:div>
                    <w:div w:id="777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5893">
              <w:marLeft w:val="0"/>
              <w:marRight w:val="0"/>
              <w:marTop w:val="0"/>
              <w:marBottom w:val="0"/>
              <w:divBdr>
                <w:top w:val="none" w:sz="0" w:space="0" w:color="auto"/>
                <w:left w:val="none" w:sz="0" w:space="0" w:color="auto"/>
                <w:bottom w:val="none" w:sz="0" w:space="0" w:color="auto"/>
                <w:right w:val="none" w:sz="0" w:space="0" w:color="auto"/>
              </w:divBdr>
              <w:divsChild>
                <w:div w:id="771054195">
                  <w:marLeft w:val="0"/>
                  <w:marRight w:val="0"/>
                  <w:marTop w:val="0"/>
                  <w:marBottom w:val="0"/>
                  <w:divBdr>
                    <w:top w:val="none" w:sz="0" w:space="0" w:color="auto"/>
                    <w:left w:val="none" w:sz="0" w:space="0" w:color="auto"/>
                    <w:bottom w:val="none" w:sz="0" w:space="0" w:color="auto"/>
                    <w:right w:val="none" w:sz="0" w:space="0" w:color="auto"/>
                  </w:divBdr>
                  <w:divsChild>
                    <w:div w:id="818109217">
                      <w:marLeft w:val="0"/>
                      <w:marRight w:val="0"/>
                      <w:marTop w:val="0"/>
                      <w:marBottom w:val="0"/>
                      <w:divBdr>
                        <w:top w:val="none" w:sz="0" w:space="0" w:color="auto"/>
                        <w:left w:val="none" w:sz="0" w:space="0" w:color="auto"/>
                        <w:bottom w:val="none" w:sz="0" w:space="0" w:color="auto"/>
                        <w:right w:val="none" w:sz="0" w:space="0" w:color="auto"/>
                      </w:divBdr>
                    </w:div>
                  </w:divsChild>
                </w:div>
                <w:div w:id="1073888777">
                  <w:marLeft w:val="0"/>
                  <w:marRight w:val="0"/>
                  <w:marTop w:val="0"/>
                  <w:marBottom w:val="0"/>
                  <w:divBdr>
                    <w:top w:val="none" w:sz="0" w:space="0" w:color="auto"/>
                    <w:left w:val="none" w:sz="0" w:space="0" w:color="auto"/>
                    <w:bottom w:val="none" w:sz="0" w:space="0" w:color="auto"/>
                    <w:right w:val="none" w:sz="0" w:space="0" w:color="auto"/>
                  </w:divBdr>
                  <w:divsChild>
                    <w:div w:id="183641492">
                      <w:marLeft w:val="0"/>
                      <w:marRight w:val="0"/>
                      <w:marTop w:val="0"/>
                      <w:marBottom w:val="0"/>
                      <w:divBdr>
                        <w:top w:val="none" w:sz="0" w:space="0" w:color="auto"/>
                        <w:left w:val="none" w:sz="0" w:space="0" w:color="auto"/>
                        <w:bottom w:val="none" w:sz="0" w:space="0" w:color="auto"/>
                        <w:right w:val="none" w:sz="0" w:space="0" w:color="auto"/>
                      </w:divBdr>
                    </w:div>
                  </w:divsChild>
                </w:div>
                <w:div w:id="1101953453">
                  <w:marLeft w:val="0"/>
                  <w:marRight w:val="0"/>
                  <w:marTop w:val="0"/>
                  <w:marBottom w:val="0"/>
                  <w:divBdr>
                    <w:top w:val="none" w:sz="0" w:space="0" w:color="auto"/>
                    <w:left w:val="none" w:sz="0" w:space="0" w:color="auto"/>
                    <w:bottom w:val="none" w:sz="0" w:space="0" w:color="auto"/>
                    <w:right w:val="none" w:sz="0" w:space="0" w:color="auto"/>
                  </w:divBdr>
                  <w:divsChild>
                    <w:div w:id="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11515">
      <w:bodyDiv w:val="1"/>
      <w:marLeft w:val="0"/>
      <w:marRight w:val="0"/>
      <w:marTop w:val="0"/>
      <w:marBottom w:val="0"/>
      <w:divBdr>
        <w:top w:val="none" w:sz="0" w:space="0" w:color="auto"/>
        <w:left w:val="none" w:sz="0" w:space="0" w:color="auto"/>
        <w:bottom w:val="none" w:sz="0" w:space="0" w:color="auto"/>
        <w:right w:val="none" w:sz="0" w:space="0" w:color="auto"/>
      </w:divBdr>
    </w:div>
    <w:div w:id="2084063039">
      <w:bodyDiv w:val="1"/>
      <w:marLeft w:val="0"/>
      <w:marRight w:val="0"/>
      <w:marTop w:val="0"/>
      <w:marBottom w:val="0"/>
      <w:divBdr>
        <w:top w:val="none" w:sz="0" w:space="0" w:color="auto"/>
        <w:left w:val="none" w:sz="0" w:space="0" w:color="auto"/>
        <w:bottom w:val="none" w:sz="0" w:space="0" w:color="auto"/>
        <w:right w:val="none" w:sz="0" w:space="0" w:color="auto"/>
      </w:divBdr>
    </w:div>
    <w:div w:id="2097554428">
      <w:bodyDiv w:val="1"/>
      <w:marLeft w:val="0"/>
      <w:marRight w:val="0"/>
      <w:marTop w:val="0"/>
      <w:marBottom w:val="0"/>
      <w:divBdr>
        <w:top w:val="none" w:sz="0" w:space="0" w:color="auto"/>
        <w:left w:val="none" w:sz="0" w:space="0" w:color="auto"/>
        <w:bottom w:val="none" w:sz="0" w:space="0" w:color="auto"/>
        <w:right w:val="none" w:sz="0" w:space="0" w:color="auto"/>
      </w:divBdr>
    </w:div>
    <w:div w:id="2108621801">
      <w:bodyDiv w:val="1"/>
      <w:marLeft w:val="0"/>
      <w:marRight w:val="0"/>
      <w:marTop w:val="0"/>
      <w:marBottom w:val="0"/>
      <w:divBdr>
        <w:top w:val="none" w:sz="0" w:space="0" w:color="auto"/>
        <w:left w:val="none" w:sz="0" w:space="0" w:color="auto"/>
        <w:bottom w:val="none" w:sz="0" w:space="0" w:color="auto"/>
        <w:right w:val="none" w:sz="0" w:space="0" w:color="auto"/>
      </w:divBdr>
    </w:div>
    <w:div w:id="2121366006">
      <w:bodyDiv w:val="1"/>
      <w:marLeft w:val="0"/>
      <w:marRight w:val="0"/>
      <w:marTop w:val="0"/>
      <w:marBottom w:val="0"/>
      <w:divBdr>
        <w:top w:val="none" w:sz="0" w:space="0" w:color="auto"/>
        <w:left w:val="none" w:sz="0" w:space="0" w:color="auto"/>
        <w:bottom w:val="none" w:sz="0" w:space="0" w:color="auto"/>
        <w:right w:val="none" w:sz="0" w:space="0" w:color="auto"/>
      </w:divBdr>
    </w:div>
    <w:div w:id="2121872058">
      <w:bodyDiv w:val="1"/>
      <w:marLeft w:val="0"/>
      <w:marRight w:val="0"/>
      <w:marTop w:val="0"/>
      <w:marBottom w:val="0"/>
      <w:divBdr>
        <w:top w:val="none" w:sz="0" w:space="0" w:color="auto"/>
        <w:left w:val="none" w:sz="0" w:space="0" w:color="auto"/>
        <w:bottom w:val="none" w:sz="0" w:space="0" w:color="auto"/>
        <w:right w:val="none" w:sz="0" w:space="0" w:color="auto"/>
      </w:divBdr>
    </w:div>
    <w:div w:id="2134909194">
      <w:bodyDiv w:val="1"/>
      <w:marLeft w:val="0"/>
      <w:marRight w:val="0"/>
      <w:marTop w:val="0"/>
      <w:marBottom w:val="0"/>
      <w:divBdr>
        <w:top w:val="none" w:sz="0" w:space="0" w:color="auto"/>
        <w:left w:val="none" w:sz="0" w:space="0" w:color="auto"/>
        <w:bottom w:val="none" w:sz="0" w:space="0" w:color="auto"/>
        <w:right w:val="none" w:sz="0" w:space="0" w:color="auto"/>
      </w:divBdr>
    </w:div>
    <w:div w:id="2139491305">
      <w:bodyDiv w:val="1"/>
      <w:marLeft w:val="0"/>
      <w:marRight w:val="0"/>
      <w:marTop w:val="0"/>
      <w:marBottom w:val="0"/>
      <w:divBdr>
        <w:top w:val="none" w:sz="0" w:space="0" w:color="auto"/>
        <w:left w:val="none" w:sz="0" w:space="0" w:color="auto"/>
        <w:bottom w:val="none" w:sz="0" w:space="0" w:color="auto"/>
        <w:right w:val="none" w:sz="0" w:space="0" w:color="auto"/>
      </w:divBdr>
    </w:div>
    <w:div w:id="2140683596">
      <w:bodyDiv w:val="1"/>
      <w:marLeft w:val="0"/>
      <w:marRight w:val="0"/>
      <w:marTop w:val="0"/>
      <w:marBottom w:val="0"/>
      <w:divBdr>
        <w:top w:val="none" w:sz="0" w:space="0" w:color="auto"/>
        <w:left w:val="none" w:sz="0" w:space="0" w:color="auto"/>
        <w:bottom w:val="none" w:sz="0" w:space="0" w:color="auto"/>
        <w:right w:val="none" w:sz="0" w:space="0" w:color="auto"/>
      </w:divBdr>
    </w:div>
    <w:div w:id="2141879860">
      <w:bodyDiv w:val="1"/>
      <w:marLeft w:val="0"/>
      <w:marRight w:val="0"/>
      <w:marTop w:val="0"/>
      <w:marBottom w:val="0"/>
      <w:divBdr>
        <w:top w:val="none" w:sz="0" w:space="0" w:color="auto"/>
        <w:left w:val="none" w:sz="0" w:space="0" w:color="auto"/>
        <w:bottom w:val="none" w:sz="0" w:space="0" w:color="auto"/>
        <w:right w:val="none" w:sz="0" w:space="0" w:color="auto"/>
      </w:divBdr>
    </w:div>
    <w:div w:id="2143303890">
      <w:bodyDiv w:val="1"/>
      <w:marLeft w:val="0"/>
      <w:marRight w:val="0"/>
      <w:marTop w:val="0"/>
      <w:marBottom w:val="0"/>
      <w:divBdr>
        <w:top w:val="none" w:sz="0" w:space="0" w:color="auto"/>
        <w:left w:val="none" w:sz="0" w:space="0" w:color="auto"/>
        <w:bottom w:val="none" w:sz="0" w:space="0" w:color="auto"/>
        <w:right w:val="none" w:sz="0" w:space="0" w:color="auto"/>
      </w:divBdr>
    </w:div>
    <w:div w:id="2144345351">
      <w:bodyDiv w:val="1"/>
      <w:marLeft w:val="0"/>
      <w:marRight w:val="0"/>
      <w:marTop w:val="0"/>
      <w:marBottom w:val="0"/>
      <w:divBdr>
        <w:top w:val="none" w:sz="0" w:space="0" w:color="auto"/>
        <w:left w:val="none" w:sz="0" w:space="0" w:color="auto"/>
        <w:bottom w:val="none" w:sz="0" w:space="0" w:color="auto"/>
        <w:right w:val="none" w:sz="0" w:space="0" w:color="auto"/>
      </w:divBdr>
    </w:div>
    <w:div w:id="2144351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undocs.org/DP/2013/4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undocs.org/DP/2017/32"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journey-to-extremism.undp.org/content/downloads/UNDP-JourneyToExtremism-report-2017-english.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undocs.org/DP/2017/4"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charts/_rels/chart1.xml.rels><?xml version="1.0" encoding="UTF-8" standalone="yes"?>
<Relationships xmlns="http://schemas.openxmlformats.org/package/2006/relationships"><Relationship Id="rId3" Type="http://schemas.openxmlformats.org/officeDocument/2006/relationships/oleObject" Target="file:///C:\Users\Hanayo%20Nakano\AppData\Local\Microsoft\Windows\INetCache\Content.Outlook\4IPJS9PF\financials.additiona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Gender.revised!$M$38</c:f>
              <c:strCache>
                <c:ptCount val="1"/>
                <c:pt idx="0">
                  <c:v>GEN2</c:v>
                </c:pt>
              </c:strCache>
            </c:strRef>
          </c:tx>
          <c:spPr>
            <a:ln w="76200" cap="rnd">
              <a:solidFill>
                <a:schemeClr val="accent1">
                  <a:lumMod val="75000"/>
                </a:schemeClr>
              </a:solidFill>
              <a:round/>
            </a:ln>
            <a:effectLst/>
          </c:spPr>
          <c:marker>
            <c:symbol val="circle"/>
            <c:size val="10"/>
            <c:spPr>
              <a:solidFill>
                <a:schemeClr val="bg1"/>
              </a:solidFill>
              <a:ln w="63500">
                <a:solidFill>
                  <a:schemeClr val="accent1">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lumMod val="75000"/>
                      </a:schemeClr>
                    </a:solidFill>
                    <a:latin typeface="Times New Roman" panose="02020603050405020304" pitchFamily="18" charset="0"/>
                    <a:ea typeface="+mn-ea"/>
                    <a:cs typeface="Times New Roman" panose="02020603050405020304" pitchFamily="18"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Gender.revised!$N$37:$Q$37</c:f>
              <c:numCache>
                <c:formatCode>General</c:formatCode>
                <c:ptCount val="4"/>
                <c:pt idx="0">
                  <c:v>2014</c:v>
                </c:pt>
                <c:pt idx="1">
                  <c:v>2015</c:v>
                </c:pt>
                <c:pt idx="2">
                  <c:v>2016</c:v>
                </c:pt>
                <c:pt idx="3">
                  <c:v>2017</c:v>
                </c:pt>
              </c:numCache>
            </c:numRef>
          </c:cat>
          <c:val>
            <c:numRef>
              <c:f>Gender.revised!$N$38:$Q$38</c:f>
              <c:numCache>
                <c:formatCode>0%</c:formatCode>
                <c:ptCount val="4"/>
                <c:pt idx="0">
                  <c:v>0.29109005879304067</c:v>
                </c:pt>
                <c:pt idx="1">
                  <c:v>0.30862058077498694</c:v>
                </c:pt>
                <c:pt idx="2">
                  <c:v>0.33</c:v>
                </c:pt>
                <c:pt idx="3">
                  <c:v>0.43524335882916909</c:v>
                </c:pt>
              </c:numCache>
            </c:numRef>
          </c:val>
          <c:smooth val="0"/>
          <c:extLst>
            <c:ext xmlns:c16="http://schemas.microsoft.com/office/drawing/2014/chart" uri="{C3380CC4-5D6E-409C-BE32-E72D297353CC}">
              <c16:uniqueId val="{00000000-01DE-4B03-A030-ACB5246F6698}"/>
            </c:ext>
          </c:extLst>
        </c:ser>
        <c:ser>
          <c:idx val="2"/>
          <c:order val="1"/>
          <c:tx>
            <c:strRef>
              <c:f>Gender.revised!$M$39</c:f>
              <c:strCache>
                <c:ptCount val="1"/>
                <c:pt idx="0">
                  <c:v>GEN3</c:v>
                </c:pt>
              </c:strCache>
            </c:strRef>
          </c:tx>
          <c:spPr>
            <a:ln w="76200" cap="rnd">
              <a:solidFill>
                <a:schemeClr val="accent6">
                  <a:lumMod val="75000"/>
                </a:schemeClr>
              </a:solidFill>
              <a:round/>
            </a:ln>
            <a:effectLst/>
          </c:spPr>
          <c:marker>
            <c:symbol val="circle"/>
            <c:size val="10"/>
            <c:spPr>
              <a:solidFill>
                <a:schemeClr val="bg1"/>
              </a:solidFill>
              <a:ln w="63500">
                <a:solidFill>
                  <a:schemeClr val="accent6">
                    <a:lumMod val="75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6">
                        <a:lumMod val="7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Gender.revised!$N$37:$Q$37</c:f>
              <c:numCache>
                <c:formatCode>General</c:formatCode>
                <c:ptCount val="4"/>
                <c:pt idx="0">
                  <c:v>2014</c:v>
                </c:pt>
                <c:pt idx="1">
                  <c:v>2015</c:v>
                </c:pt>
                <c:pt idx="2">
                  <c:v>2016</c:v>
                </c:pt>
                <c:pt idx="3">
                  <c:v>2017</c:v>
                </c:pt>
              </c:numCache>
            </c:numRef>
          </c:cat>
          <c:val>
            <c:numRef>
              <c:f>Gender.revised!$N$39:$Q$39</c:f>
              <c:numCache>
                <c:formatCode>0%</c:formatCode>
                <c:ptCount val="4"/>
                <c:pt idx="0">
                  <c:v>4.8481255416534738E-2</c:v>
                </c:pt>
                <c:pt idx="1">
                  <c:v>4.2861087201878867E-2</c:v>
                </c:pt>
                <c:pt idx="2">
                  <c:v>4.276569067055104E-2</c:v>
                </c:pt>
                <c:pt idx="3">
                  <c:v>4.1850703050168594E-2</c:v>
                </c:pt>
              </c:numCache>
            </c:numRef>
          </c:val>
          <c:smooth val="0"/>
          <c:extLst>
            <c:ext xmlns:c16="http://schemas.microsoft.com/office/drawing/2014/chart" uri="{C3380CC4-5D6E-409C-BE32-E72D297353CC}">
              <c16:uniqueId val="{00000001-01DE-4B03-A030-ACB5246F6698}"/>
            </c:ext>
          </c:extLst>
        </c:ser>
        <c:dLbls>
          <c:showLegendKey val="0"/>
          <c:showVal val="0"/>
          <c:showCatName val="0"/>
          <c:showSerName val="0"/>
          <c:showPercent val="0"/>
          <c:showBubbleSize val="0"/>
        </c:dLbls>
        <c:marker val="1"/>
        <c:smooth val="0"/>
        <c:axId val="707041720"/>
        <c:axId val="707041328"/>
      </c:lineChart>
      <c:catAx>
        <c:axId val="707041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07041328"/>
        <c:crosses val="autoZero"/>
        <c:auto val="1"/>
        <c:lblAlgn val="ctr"/>
        <c:lblOffset val="100"/>
        <c:noMultiLvlLbl val="0"/>
      </c:catAx>
      <c:valAx>
        <c:axId val="707041328"/>
        <c:scaling>
          <c:orientation val="minMax"/>
          <c:max val="0.4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0704172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1" i="0" u="none" strike="noStrike" kern="1200" baseline="0">
                <a:solidFill>
                  <a:schemeClr val="accent1">
                    <a:lumMod val="7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000" b="1" i="0" u="none" strike="noStrike" kern="1200" baseline="0">
                <a:solidFill>
                  <a:schemeClr val="accent6">
                    <a:lumMod val="7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41322186842911846"/>
          <c:y val="0.88944440030154981"/>
          <c:w val="0.50119080601921184"/>
          <c:h val="0.10817265858011901"/>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e84800-ff9a-43bb-bb7e-6161dfe90000">KKKATZMDSDUY-103-1860</_dlc_DocId>
    <_dlc_DocIdUrl xmlns="05e84800-ff9a-43bb-bb7e-6161dfe90000">
      <Url>https://intranet.undp.org/unit/bpps/DI/DItGroup/_layouts/15/DocIdRedir.aspx?ID=KKKATZMDSDUY-103-1860</Url>
      <Description>KKKATZMDSDUY-103-1860</Description>
    </_dlc_DocIdUrl>
    <Assigned_x0020_to0 xmlns="7e320256-7cce-401b-a0bb-8340fd48467e">
      <UserInfo>
        <DisplayName/>
        <AccountId xsi:nil="true"/>
        <AccountType/>
      </UserInfo>
    </Assigned_x0020_to0>
    <Notes_x003a_ xmlns="7e320256-7cce-401b-a0bb-8340fd48467e"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C6457A107C6F546AC85143392BEF231" ma:contentTypeVersion="2" ma:contentTypeDescription="Create a new document." ma:contentTypeScope="" ma:versionID="4da932d1787446607dc3f1aec4122169">
  <xsd:schema xmlns:xsd="http://www.w3.org/2001/XMLSchema" xmlns:xs="http://www.w3.org/2001/XMLSchema" xmlns:p="http://schemas.microsoft.com/office/2006/metadata/properties" xmlns:ns2="7e320256-7cce-401b-a0bb-8340fd48467e" xmlns:ns3="05e84800-ff9a-43bb-bb7e-6161dfe90000" targetNamespace="http://schemas.microsoft.com/office/2006/metadata/properties" ma:root="true" ma:fieldsID="f0a10b6e20ec9d102e65e8869f14f6c6" ns2:_="" ns3:_="">
    <xsd:import namespace="7e320256-7cce-401b-a0bb-8340fd48467e"/>
    <xsd:import namespace="05e84800-ff9a-43bb-bb7e-6161dfe90000"/>
    <xsd:element name="properties">
      <xsd:complexType>
        <xsd:sequence>
          <xsd:element name="documentManagement">
            <xsd:complexType>
              <xsd:all>
                <xsd:element ref="ns2:Notes_x003a_" minOccurs="0"/>
                <xsd:element ref="ns2:Assigned_x0020_to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20256-7cce-401b-a0bb-8340fd48467e" elementFormDefault="qualified">
    <xsd:import namespace="http://schemas.microsoft.com/office/2006/documentManagement/types"/>
    <xsd:import namespace="http://schemas.microsoft.com/office/infopath/2007/PartnerControls"/>
    <xsd:element name="Notes_x003a_" ma:index="8" nillable="true" ma:displayName="Notes:" ma:internalName="Notes_x003a_">
      <xsd:simpleType>
        <xsd:restriction base="dms:Note">
          <xsd:maxLength value="255"/>
        </xsd:restriction>
      </xsd:simpleType>
    </xsd:element>
    <xsd:element name="Assigned_x0020_to0" ma:index="9" nillable="true" ma:displayName="Assigned to" ma:list="UserInfo" ma:SharePointGroup="0" ma:internalName="Assigned_x0020_to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BC31B-AEB0-47CB-B9B8-2C76F76F89A8}">
  <ds:schemaRefs>
    <ds:schemaRef ds:uri="http://schemas.microsoft.com/office/2006/metadata/properties"/>
    <ds:schemaRef ds:uri="http://schemas.microsoft.com/office/infopath/2007/PartnerControls"/>
    <ds:schemaRef ds:uri="05e84800-ff9a-43bb-bb7e-6161dfe90000"/>
    <ds:schemaRef ds:uri="7e320256-7cce-401b-a0bb-8340fd48467e"/>
  </ds:schemaRefs>
</ds:datastoreItem>
</file>

<file path=customXml/itemProps2.xml><?xml version="1.0" encoding="utf-8"?>
<ds:datastoreItem xmlns:ds="http://schemas.openxmlformats.org/officeDocument/2006/customXml" ds:itemID="{A7A4E3E2-BB1E-46C1-939C-3E40DF759CA0}">
  <ds:schemaRefs>
    <ds:schemaRef ds:uri="http://schemas.microsoft.com/sharepoint/events"/>
  </ds:schemaRefs>
</ds:datastoreItem>
</file>

<file path=customXml/itemProps3.xml><?xml version="1.0" encoding="utf-8"?>
<ds:datastoreItem xmlns:ds="http://schemas.openxmlformats.org/officeDocument/2006/customXml" ds:itemID="{10A2E2AB-37D0-4AA0-94EC-8E295A5FE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20256-7cce-401b-a0bb-8340fd48467e"/>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082E4B-0DED-4472-8555-C4482639F526}">
  <ds:schemaRefs>
    <ds:schemaRef ds:uri="http://schemas.microsoft.com/sharepoint/v3/contenttype/forms"/>
  </ds:schemaRefs>
</ds:datastoreItem>
</file>

<file path=customXml/itemProps5.xml><?xml version="1.0" encoding="utf-8"?>
<ds:datastoreItem xmlns:ds="http://schemas.openxmlformats.org/officeDocument/2006/customXml" ds:itemID="{1494CAFF-E06A-426E-A094-1335396E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18</Pages>
  <Words>8925</Words>
  <Characters>50873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Annual report of the Administrator on the strategic plan: performance and results for 2014</vt:lpstr>
    </vt:vector>
  </TitlesOfParts>
  <Company>UNDP</Company>
  <LinksUpToDate>false</LinksUpToDate>
  <CharactersWithSpaces>59679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 the Administrator on the strategic plan: performance and results for 2014</dc:title>
  <dc:subject>UNDP Annual Report 2014</dc:subject>
  <dc:creator>UNDP</dc:creator>
  <cp:keywords/>
  <dc:description/>
  <cp:lastModifiedBy>Svetlana Iazykova</cp:lastModifiedBy>
  <cp:revision>14</cp:revision>
  <cp:lastPrinted>2018-04-24T19:12:00Z</cp:lastPrinted>
  <dcterms:created xsi:type="dcterms:W3CDTF">2018-04-23T19:50:00Z</dcterms:created>
  <dcterms:modified xsi:type="dcterms:W3CDTF">2018-05-09T21:50:00Z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ease Date">
    <vt:lpwstr>250517</vt:lpwstr>
  </property>
  <property fmtid="{D5CDD505-2E9C-101B-9397-08002B2CF9AE}" pid="3" name="JobNo">
    <vt:lpwstr>1706747E</vt:lpwstr>
  </property>
  <property fmtid="{D5CDD505-2E9C-101B-9397-08002B2CF9AE}" pid="4" name="ODSRefJobNo">
    <vt:lpwstr>1711426E</vt:lpwstr>
  </property>
  <property fmtid="{D5CDD505-2E9C-101B-9397-08002B2CF9AE}" pid="5" name="Symbol1">
    <vt:lpwstr>DP/2017/15</vt:lpwstr>
  </property>
  <property fmtid="{D5CDD505-2E9C-101B-9397-08002B2CF9AE}" pid="6" name="Symbol2">
    <vt:lpwstr/>
  </property>
  <property fmtid="{D5CDD505-2E9C-101B-9397-08002B2CF9AE}" pid="7" name="ContentTypeId">
    <vt:lpwstr>0x0101005C6457A107C6F546AC85143392BEF231</vt:lpwstr>
  </property>
  <property fmtid="{D5CDD505-2E9C-101B-9397-08002B2CF9AE}" pid="8" name="_dlc_DocIdItemGuid">
    <vt:lpwstr>f56fa1ce-db09-4c95-9eb9-177684c9a30c</vt:lpwstr>
  </property>
</Properties>
</file>