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9F9F" w14:textId="3366D9BC" w:rsidR="00C544C6" w:rsidRDefault="00C544C6" w:rsidP="00C544C6">
      <w:pPr>
        <w:spacing w:line="240" w:lineRule="auto"/>
        <w:jc w:val="center"/>
        <w:rPr>
          <w:b/>
          <w:sz w:val="24"/>
          <w:szCs w:val="24"/>
        </w:rPr>
      </w:pPr>
      <w:r>
        <w:rPr>
          <w:b/>
          <w:sz w:val="24"/>
          <w:szCs w:val="24"/>
        </w:rPr>
        <w:t>COMMENTS ON THE UNDP DRAFT COUNTRY PROGRAMME DOCUMENT FOR HAITI (2023-2027)</w:t>
      </w:r>
    </w:p>
    <w:p w14:paraId="68FB58A2" w14:textId="2F4A51C3" w:rsidR="00010A8E" w:rsidRDefault="00F90685" w:rsidP="00DF793F">
      <w:pPr>
        <w:spacing w:after="0" w:line="240" w:lineRule="auto"/>
        <w:jc w:val="center"/>
        <w:rPr>
          <w:i/>
          <w:sz w:val="24"/>
          <w:szCs w:val="24"/>
        </w:rPr>
      </w:pPr>
      <w:r>
        <w:rPr>
          <w:i/>
          <w:sz w:val="24"/>
          <w:szCs w:val="24"/>
        </w:rPr>
        <w:t>First regular session 2023</w:t>
      </w:r>
    </w:p>
    <w:p w14:paraId="7BB5F32D" w14:textId="6BD73AE2" w:rsidR="00E65F62" w:rsidRDefault="00E65F62">
      <w:pPr>
        <w:tabs>
          <w:tab w:val="left" w:pos="5565"/>
          <w:tab w:val="center" w:pos="7222"/>
        </w:tabs>
        <w:spacing w:after="0" w:line="240" w:lineRule="auto"/>
        <w:jc w:val="center"/>
        <w:rPr>
          <w:sz w:val="24"/>
          <w:szCs w:val="24"/>
        </w:rPr>
      </w:pPr>
    </w:p>
    <w:tbl>
      <w:tblPr>
        <w:tblStyle w:val="TableGrid"/>
        <w:tblW w:w="14434" w:type="dxa"/>
        <w:tblLook w:val="04A0" w:firstRow="1" w:lastRow="0" w:firstColumn="1" w:lastColumn="0" w:noHBand="0" w:noVBand="1"/>
      </w:tblPr>
      <w:tblGrid>
        <w:gridCol w:w="8365"/>
        <w:gridCol w:w="6069"/>
      </w:tblGrid>
      <w:tr w:rsidR="00592B4E" w:rsidRPr="005323D5" w14:paraId="75291DBF" w14:textId="77777777" w:rsidTr="00700103">
        <w:trPr>
          <w:trHeight w:val="476"/>
        </w:trPr>
        <w:tc>
          <w:tcPr>
            <w:tcW w:w="8365" w:type="dxa"/>
            <w:vAlign w:val="center"/>
          </w:tcPr>
          <w:p w14:paraId="138EB232" w14:textId="12DEA14F" w:rsidR="00592B4E" w:rsidRPr="00A457DA" w:rsidRDefault="00592B4E" w:rsidP="002F4CAE">
            <w:pPr>
              <w:jc w:val="center"/>
              <w:rPr>
                <w:b/>
                <w:sz w:val="24"/>
                <w:szCs w:val="24"/>
              </w:rPr>
            </w:pPr>
            <w:r w:rsidRPr="00534E03">
              <w:rPr>
                <w:b/>
                <w:sz w:val="24"/>
                <w:szCs w:val="24"/>
              </w:rPr>
              <w:t>C</w:t>
            </w:r>
            <w:r>
              <w:rPr>
                <w:b/>
                <w:sz w:val="24"/>
                <w:szCs w:val="24"/>
              </w:rPr>
              <w:t>omments</w:t>
            </w:r>
            <w:r w:rsidRPr="00534E03">
              <w:rPr>
                <w:b/>
                <w:sz w:val="24"/>
                <w:szCs w:val="24"/>
              </w:rPr>
              <w:t xml:space="preserve"> </w:t>
            </w:r>
            <w:r w:rsidRPr="00A457DA">
              <w:rPr>
                <w:b/>
                <w:sz w:val="24"/>
                <w:szCs w:val="24"/>
              </w:rPr>
              <w:t xml:space="preserve">by </w:t>
            </w:r>
            <w:r>
              <w:rPr>
                <w:b/>
                <w:sz w:val="24"/>
                <w:szCs w:val="24"/>
              </w:rPr>
              <w:t>Canada</w:t>
            </w:r>
          </w:p>
        </w:tc>
        <w:tc>
          <w:tcPr>
            <w:tcW w:w="6069" w:type="dxa"/>
            <w:vAlign w:val="center"/>
          </w:tcPr>
          <w:p w14:paraId="6456E8AD" w14:textId="426736A9" w:rsidR="00592B4E" w:rsidRPr="00534E03" w:rsidRDefault="00592B4E" w:rsidP="002F4CAE">
            <w:pPr>
              <w:jc w:val="center"/>
              <w:rPr>
                <w:b/>
                <w:sz w:val="24"/>
                <w:szCs w:val="24"/>
              </w:rPr>
            </w:pPr>
            <w:r>
              <w:rPr>
                <w:b/>
                <w:sz w:val="24"/>
                <w:szCs w:val="24"/>
              </w:rPr>
              <w:t xml:space="preserve">UNDP </w:t>
            </w:r>
            <w:r w:rsidR="00700103">
              <w:rPr>
                <w:b/>
                <w:sz w:val="24"/>
                <w:szCs w:val="24"/>
              </w:rPr>
              <w:t>response</w:t>
            </w:r>
          </w:p>
        </w:tc>
      </w:tr>
      <w:tr w:rsidR="00592B4E" w:rsidRPr="005323D5" w14:paraId="6F443A8A" w14:textId="77777777" w:rsidTr="00592B4E">
        <w:trPr>
          <w:trHeight w:val="476"/>
        </w:trPr>
        <w:tc>
          <w:tcPr>
            <w:tcW w:w="8365" w:type="dxa"/>
            <w:vAlign w:val="center"/>
          </w:tcPr>
          <w:p w14:paraId="45670D9D" w14:textId="77777777" w:rsidR="00592B4E" w:rsidRDefault="00592B4E" w:rsidP="00592B4E">
            <w:pPr>
              <w:pStyle w:val="ListParagraph"/>
              <w:numPr>
                <w:ilvl w:val="0"/>
                <w:numId w:val="3"/>
              </w:numPr>
              <w:rPr>
                <w:sz w:val="24"/>
                <w:szCs w:val="24"/>
              </w:rPr>
            </w:pPr>
            <w:r>
              <w:rPr>
                <w:sz w:val="24"/>
                <w:szCs w:val="24"/>
              </w:rPr>
              <w:t>Canada welcomes that the four k</w:t>
            </w:r>
            <w:r w:rsidRPr="00AA684E">
              <w:rPr>
                <w:sz w:val="24"/>
                <w:szCs w:val="24"/>
              </w:rPr>
              <w:t>ey action areas</w:t>
            </w:r>
            <w:r>
              <w:rPr>
                <w:sz w:val="24"/>
                <w:szCs w:val="24"/>
              </w:rPr>
              <w:t xml:space="preserve"> identified in the CPD, namely</w:t>
            </w:r>
            <w:r w:rsidRPr="00AA684E">
              <w:rPr>
                <w:sz w:val="24"/>
                <w:szCs w:val="24"/>
              </w:rPr>
              <w:t xml:space="preserve">: rule of law/good governance/human rights; equitable and sustainable growth; protection and inclusion; </w:t>
            </w:r>
            <w:proofErr w:type="gramStart"/>
            <w:r w:rsidRPr="00AA684E">
              <w:rPr>
                <w:sz w:val="24"/>
                <w:szCs w:val="24"/>
              </w:rPr>
              <w:t>and,</w:t>
            </w:r>
            <w:proofErr w:type="gramEnd"/>
            <w:r w:rsidRPr="00AA684E">
              <w:rPr>
                <w:sz w:val="24"/>
                <w:szCs w:val="24"/>
              </w:rPr>
              <w:t xml:space="preserve"> ter</w:t>
            </w:r>
            <w:r>
              <w:rPr>
                <w:sz w:val="24"/>
                <w:szCs w:val="24"/>
              </w:rPr>
              <w:t xml:space="preserve">ritorial/local governance. All for </w:t>
            </w:r>
            <w:r w:rsidRPr="00AA684E">
              <w:rPr>
                <w:sz w:val="24"/>
                <w:szCs w:val="24"/>
              </w:rPr>
              <w:t>are important for Haiti’s development and align well with Canada’s priorities</w:t>
            </w:r>
            <w:r>
              <w:rPr>
                <w:sz w:val="24"/>
                <w:szCs w:val="24"/>
              </w:rPr>
              <w:t xml:space="preserve">. We encourage UNDP to increase its emphasis on the support provided to </w:t>
            </w:r>
            <w:r w:rsidRPr="00AA684E">
              <w:rPr>
                <w:sz w:val="24"/>
                <w:szCs w:val="24"/>
              </w:rPr>
              <w:t xml:space="preserve">the judicial sector/public institutions and protection given the critical gaps in these areas. </w:t>
            </w:r>
          </w:p>
          <w:p w14:paraId="1D822929" w14:textId="77777777" w:rsidR="00592B4E" w:rsidRPr="00AA684E" w:rsidRDefault="00592B4E" w:rsidP="002F4CAE">
            <w:pPr>
              <w:pStyle w:val="ListParagraph"/>
              <w:rPr>
                <w:sz w:val="24"/>
                <w:szCs w:val="24"/>
              </w:rPr>
            </w:pPr>
          </w:p>
          <w:p w14:paraId="2571DDAB" w14:textId="77777777" w:rsidR="00592B4E" w:rsidRDefault="00592B4E" w:rsidP="00592B4E">
            <w:pPr>
              <w:pStyle w:val="ListParagraph"/>
              <w:numPr>
                <w:ilvl w:val="0"/>
                <w:numId w:val="3"/>
              </w:numPr>
              <w:rPr>
                <w:sz w:val="24"/>
                <w:szCs w:val="24"/>
              </w:rPr>
            </w:pPr>
            <w:r>
              <w:rPr>
                <w:sz w:val="24"/>
                <w:szCs w:val="24"/>
              </w:rPr>
              <w:t xml:space="preserve">Canada appreciates </w:t>
            </w:r>
            <w:r w:rsidRPr="00AA684E">
              <w:rPr>
                <w:sz w:val="24"/>
                <w:szCs w:val="24"/>
              </w:rPr>
              <w:t>UNDP’s focus on strengthening national partnerships, mainstreaming gender, and creating flexible programming to respond to current conditions are strong components of their strategy and</w:t>
            </w:r>
            <w:r>
              <w:rPr>
                <w:sz w:val="24"/>
                <w:szCs w:val="24"/>
              </w:rPr>
              <w:t xml:space="preserve"> this work </w:t>
            </w:r>
            <w:r w:rsidRPr="00AA684E">
              <w:rPr>
                <w:sz w:val="24"/>
                <w:szCs w:val="24"/>
              </w:rPr>
              <w:t xml:space="preserve">should be applauded.  </w:t>
            </w:r>
            <w:r>
              <w:rPr>
                <w:sz w:val="24"/>
                <w:szCs w:val="24"/>
              </w:rPr>
              <w:t xml:space="preserve">UNDP’s </w:t>
            </w:r>
            <w:r w:rsidRPr="00AA684E">
              <w:rPr>
                <w:sz w:val="24"/>
                <w:szCs w:val="24"/>
              </w:rPr>
              <w:t xml:space="preserve">cross-cutting emphasis on LGBTI inclusion is also important and positive. </w:t>
            </w:r>
          </w:p>
          <w:p w14:paraId="1C519F72" w14:textId="77777777" w:rsidR="00592B4E" w:rsidRDefault="00592B4E" w:rsidP="002F4CAE">
            <w:pPr>
              <w:pStyle w:val="ListParagraph"/>
              <w:rPr>
                <w:sz w:val="24"/>
                <w:szCs w:val="24"/>
              </w:rPr>
            </w:pPr>
          </w:p>
          <w:p w14:paraId="025EA658" w14:textId="77777777" w:rsidR="00592B4E" w:rsidRPr="00AA684E" w:rsidRDefault="00592B4E" w:rsidP="002F4CAE">
            <w:pPr>
              <w:pStyle w:val="ListParagraph"/>
              <w:rPr>
                <w:sz w:val="24"/>
                <w:szCs w:val="24"/>
              </w:rPr>
            </w:pPr>
          </w:p>
          <w:p w14:paraId="04202DDA" w14:textId="77777777" w:rsidR="00592B4E" w:rsidRDefault="00592B4E" w:rsidP="00592B4E">
            <w:pPr>
              <w:pStyle w:val="ListParagraph"/>
              <w:numPr>
                <w:ilvl w:val="0"/>
                <w:numId w:val="3"/>
              </w:numPr>
              <w:rPr>
                <w:sz w:val="24"/>
                <w:szCs w:val="24"/>
              </w:rPr>
            </w:pPr>
            <w:r>
              <w:rPr>
                <w:sz w:val="24"/>
                <w:szCs w:val="24"/>
              </w:rPr>
              <w:t>Canada appreciates that a clear list of interlockers for collaboration are identified for</w:t>
            </w:r>
            <w:r w:rsidRPr="00AA684E">
              <w:rPr>
                <w:sz w:val="24"/>
                <w:szCs w:val="24"/>
              </w:rPr>
              <w:t xml:space="preserve"> each priority area</w:t>
            </w:r>
            <w:r>
              <w:rPr>
                <w:sz w:val="24"/>
                <w:szCs w:val="24"/>
              </w:rPr>
              <w:t xml:space="preserve">. We encourage UNDP to provide </w:t>
            </w:r>
            <w:r w:rsidRPr="00AA684E">
              <w:rPr>
                <w:sz w:val="24"/>
                <w:szCs w:val="24"/>
              </w:rPr>
              <w:t>a cohesive snapchat of how coordination will occur in the sectors. For example, UNDP is responsible for running the PTF’s for Prisons, Police, and Justice Sector Reform. Coordination is absolutely essential for progress in these complex priority areas</w:t>
            </w:r>
            <w:r>
              <w:rPr>
                <w:sz w:val="24"/>
                <w:szCs w:val="24"/>
              </w:rPr>
              <w:t xml:space="preserve">. </w:t>
            </w:r>
            <w:r w:rsidRPr="00AA684E">
              <w:rPr>
                <w:sz w:val="24"/>
                <w:szCs w:val="24"/>
              </w:rPr>
              <w:t xml:space="preserve">  </w:t>
            </w:r>
          </w:p>
          <w:p w14:paraId="618BBA4B" w14:textId="77777777" w:rsidR="00592B4E" w:rsidRPr="00AA684E" w:rsidRDefault="00592B4E" w:rsidP="002F4CAE">
            <w:pPr>
              <w:pStyle w:val="ListParagraph"/>
              <w:rPr>
                <w:sz w:val="24"/>
                <w:szCs w:val="24"/>
              </w:rPr>
            </w:pPr>
          </w:p>
          <w:p w14:paraId="4876C5A0" w14:textId="77777777" w:rsidR="00592B4E" w:rsidRDefault="00592B4E" w:rsidP="00592B4E">
            <w:pPr>
              <w:pStyle w:val="ListParagraph"/>
              <w:numPr>
                <w:ilvl w:val="0"/>
                <w:numId w:val="3"/>
              </w:numPr>
              <w:rPr>
                <w:sz w:val="24"/>
                <w:szCs w:val="24"/>
              </w:rPr>
            </w:pPr>
            <w:r>
              <w:rPr>
                <w:sz w:val="24"/>
                <w:szCs w:val="24"/>
              </w:rPr>
              <w:t xml:space="preserve">Canada encourages UNDP to increase the use of qualitative indicators within its </w:t>
            </w:r>
            <w:r w:rsidRPr="00AA684E">
              <w:rPr>
                <w:sz w:val="24"/>
                <w:szCs w:val="24"/>
              </w:rPr>
              <w:t>M&amp;E structures</w:t>
            </w:r>
            <w:r>
              <w:rPr>
                <w:sz w:val="24"/>
                <w:szCs w:val="24"/>
              </w:rPr>
              <w:t xml:space="preserve">.  We recommend a complement of both quantitative and qualitative to </w:t>
            </w:r>
            <w:r w:rsidRPr="00AA684E">
              <w:rPr>
                <w:sz w:val="24"/>
                <w:szCs w:val="24"/>
              </w:rPr>
              <w:t>fully measure progress</w:t>
            </w:r>
            <w:r>
              <w:rPr>
                <w:sz w:val="24"/>
                <w:szCs w:val="24"/>
              </w:rPr>
              <w:t xml:space="preserve"> towards the achievement of expected results. </w:t>
            </w:r>
            <w:r w:rsidRPr="00AA684E">
              <w:rPr>
                <w:sz w:val="24"/>
                <w:szCs w:val="24"/>
              </w:rPr>
              <w:t xml:space="preserve"> </w:t>
            </w:r>
          </w:p>
          <w:p w14:paraId="0F885562" w14:textId="77777777" w:rsidR="00592B4E" w:rsidRPr="004640E2" w:rsidRDefault="00592B4E" w:rsidP="002F4CAE">
            <w:pPr>
              <w:pStyle w:val="ListParagraph"/>
              <w:rPr>
                <w:sz w:val="24"/>
                <w:szCs w:val="24"/>
              </w:rPr>
            </w:pPr>
          </w:p>
          <w:p w14:paraId="4889248D" w14:textId="77777777" w:rsidR="00592B4E" w:rsidRPr="004640E2" w:rsidRDefault="00592B4E" w:rsidP="002F4CAE">
            <w:pPr>
              <w:rPr>
                <w:sz w:val="24"/>
                <w:szCs w:val="24"/>
              </w:rPr>
            </w:pPr>
          </w:p>
          <w:p w14:paraId="504C0253" w14:textId="77777777" w:rsidR="00592B4E" w:rsidRPr="00534E03" w:rsidRDefault="00592B4E" w:rsidP="00592B4E">
            <w:pPr>
              <w:pStyle w:val="ListParagraph"/>
              <w:numPr>
                <w:ilvl w:val="0"/>
                <w:numId w:val="3"/>
              </w:numPr>
              <w:rPr>
                <w:sz w:val="24"/>
                <w:szCs w:val="24"/>
              </w:rPr>
            </w:pPr>
            <w:r>
              <w:rPr>
                <w:sz w:val="24"/>
                <w:szCs w:val="24"/>
              </w:rPr>
              <w:t xml:space="preserve">Canada welcomes the allocation of </w:t>
            </w:r>
            <w:r w:rsidRPr="00AA684E">
              <w:rPr>
                <w:sz w:val="24"/>
                <w:szCs w:val="24"/>
              </w:rPr>
              <w:t xml:space="preserve">3% per project for </w:t>
            </w:r>
            <w:r>
              <w:rPr>
                <w:sz w:val="24"/>
                <w:szCs w:val="24"/>
              </w:rPr>
              <w:t xml:space="preserve">monitoring and evaluation. This is </w:t>
            </w:r>
            <w:r w:rsidRPr="00AA684E">
              <w:rPr>
                <w:sz w:val="24"/>
                <w:szCs w:val="24"/>
              </w:rPr>
              <w:t>impressive and</w:t>
            </w:r>
            <w:r>
              <w:rPr>
                <w:sz w:val="24"/>
                <w:szCs w:val="24"/>
              </w:rPr>
              <w:t xml:space="preserve"> should be</w:t>
            </w:r>
            <w:r w:rsidRPr="00AA684E">
              <w:rPr>
                <w:sz w:val="24"/>
                <w:szCs w:val="24"/>
              </w:rPr>
              <w:t xml:space="preserve"> applauded. </w:t>
            </w:r>
            <w:r>
              <w:rPr>
                <w:sz w:val="24"/>
                <w:szCs w:val="24"/>
              </w:rPr>
              <w:t xml:space="preserve"> We encourage UNDP to provide more details on </w:t>
            </w:r>
            <w:r w:rsidRPr="00AA684E">
              <w:rPr>
                <w:sz w:val="24"/>
                <w:szCs w:val="24"/>
              </w:rPr>
              <w:t>knowledge transfer products</w:t>
            </w:r>
            <w:r>
              <w:rPr>
                <w:sz w:val="24"/>
                <w:szCs w:val="24"/>
              </w:rPr>
              <w:t>.</w:t>
            </w:r>
            <w:r w:rsidRPr="00AA684E">
              <w:rPr>
                <w:sz w:val="24"/>
                <w:szCs w:val="24"/>
              </w:rPr>
              <w:t xml:space="preserve"> Collecting data and measuring against project and strategy level objectives is important but knowledge translation and progress over the course of many strategies is equally as valuable and should be emphasized.</w:t>
            </w:r>
          </w:p>
        </w:tc>
        <w:tc>
          <w:tcPr>
            <w:tcW w:w="6069" w:type="dxa"/>
          </w:tcPr>
          <w:p w14:paraId="0F020079" w14:textId="73D3EE91" w:rsidR="00592B4E" w:rsidRDefault="00592B4E" w:rsidP="00592B4E">
            <w:pPr>
              <w:pStyle w:val="ListParagraph"/>
              <w:numPr>
                <w:ilvl w:val="0"/>
                <w:numId w:val="3"/>
              </w:numPr>
              <w:rPr>
                <w:sz w:val="24"/>
                <w:szCs w:val="24"/>
              </w:rPr>
            </w:pPr>
            <w:r>
              <w:rPr>
                <w:sz w:val="24"/>
                <w:szCs w:val="24"/>
              </w:rPr>
              <w:lastRenderedPageBreak/>
              <w:t xml:space="preserve">A new project </w:t>
            </w:r>
            <w:r w:rsidR="0064702A">
              <w:rPr>
                <w:sz w:val="24"/>
                <w:szCs w:val="24"/>
              </w:rPr>
              <w:t xml:space="preserve">is being designed </w:t>
            </w:r>
            <w:r>
              <w:rPr>
                <w:sz w:val="24"/>
                <w:szCs w:val="24"/>
              </w:rPr>
              <w:t>and will emphasis in justice sector</w:t>
            </w:r>
            <w:r w:rsidR="0064702A">
              <w:rPr>
                <w:sz w:val="24"/>
                <w:szCs w:val="24"/>
              </w:rPr>
              <w:t xml:space="preserve"> support</w:t>
            </w:r>
            <w:r>
              <w:rPr>
                <w:sz w:val="24"/>
                <w:szCs w:val="24"/>
              </w:rPr>
              <w:t xml:space="preserve"> at several level</w:t>
            </w:r>
            <w:r w:rsidR="0064702A">
              <w:rPr>
                <w:sz w:val="24"/>
                <w:szCs w:val="24"/>
              </w:rPr>
              <w:t>s</w:t>
            </w:r>
            <w:r w:rsidR="00C642E0">
              <w:rPr>
                <w:sz w:val="24"/>
                <w:szCs w:val="24"/>
              </w:rPr>
              <w:t>, particularly</w:t>
            </w:r>
            <w:r>
              <w:rPr>
                <w:sz w:val="24"/>
                <w:szCs w:val="24"/>
              </w:rPr>
              <w:t xml:space="preserve"> how to implement the penal code</w:t>
            </w:r>
            <w:r w:rsidR="00C642E0">
              <w:rPr>
                <w:sz w:val="24"/>
                <w:szCs w:val="24"/>
              </w:rPr>
              <w:t xml:space="preserve"> and </w:t>
            </w:r>
            <w:r>
              <w:rPr>
                <w:sz w:val="24"/>
                <w:szCs w:val="24"/>
              </w:rPr>
              <w:t xml:space="preserve">how to support the </w:t>
            </w:r>
            <w:r w:rsidRPr="00053701">
              <w:rPr>
                <w:sz w:val="24"/>
                <w:szCs w:val="24"/>
              </w:rPr>
              <w:t>Superior Council of the Judiciar</w:t>
            </w:r>
            <w:r w:rsidR="00C642E0">
              <w:rPr>
                <w:sz w:val="24"/>
                <w:szCs w:val="24"/>
              </w:rPr>
              <w:t>y.</w:t>
            </w:r>
          </w:p>
          <w:p w14:paraId="5AD8DF06" w14:textId="1539BF75" w:rsidR="00592B4E" w:rsidRDefault="00592B4E" w:rsidP="00592B4E">
            <w:pPr>
              <w:pStyle w:val="ListParagraph"/>
              <w:numPr>
                <w:ilvl w:val="0"/>
                <w:numId w:val="3"/>
              </w:numPr>
              <w:rPr>
                <w:sz w:val="24"/>
                <w:szCs w:val="24"/>
              </w:rPr>
            </w:pPr>
            <w:r>
              <w:rPr>
                <w:sz w:val="24"/>
                <w:szCs w:val="24"/>
              </w:rPr>
              <w:t>A link will be made with the programme supporting the National Police</w:t>
            </w:r>
            <w:r w:rsidR="00C642E0">
              <w:rPr>
                <w:sz w:val="24"/>
                <w:szCs w:val="24"/>
              </w:rPr>
              <w:t>.</w:t>
            </w:r>
          </w:p>
          <w:p w14:paraId="4CF0C471" w14:textId="77777777" w:rsidR="00592B4E" w:rsidRDefault="00592B4E" w:rsidP="002F4CAE">
            <w:pPr>
              <w:pStyle w:val="ListParagraph"/>
              <w:rPr>
                <w:sz w:val="24"/>
                <w:szCs w:val="24"/>
              </w:rPr>
            </w:pPr>
          </w:p>
          <w:p w14:paraId="4BAD0608" w14:textId="01540CA7" w:rsidR="00592B4E" w:rsidRPr="00C642E0" w:rsidRDefault="00C642E0" w:rsidP="00C642E0">
            <w:pPr>
              <w:pStyle w:val="ListParagraph"/>
              <w:numPr>
                <w:ilvl w:val="0"/>
                <w:numId w:val="3"/>
              </w:numPr>
              <w:rPr>
                <w:sz w:val="24"/>
                <w:szCs w:val="24"/>
              </w:rPr>
            </w:pPr>
            <w:r>
              <w:rPr>
                <w:sz w:val="24"/>
                <w:szCs w:val="24"/>
              </w:rPr>
              <w:t>This is well</w:t>
            </w:r>
            <w:r w:rsidR="00592B4E">
              <w:rPr>
                <w:sz w:val="24"/>
                <w:szCs w:val="24"/>
              </w:rPr>
              <w:t xml:space="preserve"> noted</w:t>
            </w:r>
            <w:r>
              <w:rPr>
                <w:sz w:val="24"/>
                <w:szCs w:val="24"/>
              </w:rPr>
              <w:t>.  T</w:t>
            </w:r>
            <w:r w:rsidR="00592B4E" w:rsidRPr="00C642E0">
              <w:rPr>
                <w:sz w:val="24"/>
                <w:szCs w:val="24"/>
              </w:rPr>
              <w:t>he strategy will be developed and implement by the programme and</w:t>
            </w:r>
            <w:r>
              <w:rPr>
                <w:sz w:val="24"/>
                <w:szCs w:val="24"/>
              </w:rPr>
              <w:t xml:space="preserve"> in the</w:t>
            </w:r>
            <w:r w:rsidR="00592B4E" w:rsidRPr="00C642E0">
              <w:rPr>
                <w:sz w:val="24"/>
                <w:szCs w:val="24"/>
              </w:rPr>
              <w:t xml:space="preserve"> projects</w:t>
            </w:r>
            <w:r>
              <w:rPr>
                <w:sz w:val="24"/>
                <w:szCs w:val="24"/>
              </w:rPr>
              <w:t>.</w:t>
            </w:r>
          </w:p>
          <w:p w14:paraId="47CD38B9" w14:textId="77777777" w:rsidR="00592B4E" w:rsidRDefault="00592B4E" w:rsidP="002F4CAE">
            <w:pPr>
              <w:pStyle w:val="ListParagraph"/>
              <w:rPr>
                <w:sz w:val="24"/>
                <w:szCs w:val="24"/>
              </w:rPr>
            </w:pPr>
          </w:p>
          <w:p w14:paraId="2705E68D" w14:textId="77777777" w:rsidR="00592B4E" w:rsidRDefault="00592B4E" w:rsidP="002F4CAE">
            <w:pPr>
              <w:pStyle w:val="ListParagraph"/>
              <w:rPr>
                <w:sz w:val="24"/>
                <w:szCs w:val="24"/>
              </w:rPr>
            </w:pPr>
          </w:p>
          <w:p w14:paraId="286A84CB" w14:textId="77777777" w:rsidR="00592B4E" w:rsidRDefault="00592B4E" w:rsidP="002F4CAE">
            <w:pPr>
              <w:pStyle w:val="ListParagraph"/>
              <w:rPr>
                <w:sz w:val="24"/>
                <w:szCs w:val="24"/>
              </w:rPr>
            </w:pPr>
          </w:p>
          <w:p w14:paraId="197523DC" w14:textId="77777777" w:rsidR="00592B4E" w:rsidRDefault="00592B4E" w:rsidP="002F4CAE">
            <w:pPr>
              <w:pStyle w:val="ListParagraph"/>
              <w:rPr>
                <w:sz w:val="24"/>
                <w:szCs w:val="24"/>
              </w:rPr>
            </w:pPr>
          </w:p>
          <w:p w14:paraId="3DED66AB" w14:textId="77777777" w:rsidR="00592B4E" w:rsidRDefault="00592B4E" w:rsidP="002F4CAE">
            <w:pPr>
              <w:pStyle w:val="ListParagraph"/>
              <w:rPr>
                <w:sz w:val="24"/>
                <w:szCs w:val="24"/>
              </w:rPr>
            </w:pPr>
          </w:p>
          <w:p w14:paraId="57888D5B" w14:textId="0F2B6B84" w:rsidR="00592B4E" w:rsidRDefault="00592B4E" w:rsidP="00592B4E">
            <w:pPr>
              <w:pStyle w:val="ListParagraph"/>
              <w:numPr>
                <w:ilvl w:val="0"/>
                <w:numId w:val="3"/>
              </w:numPr>
              <w:rPr>
                <w:sz w:val="24"/>
                <w:szCs w:val="24"/>
              </w:rPr>
            </w:pPr>
            <w:r>
              <w:rPr>
                <w:sz w:val="24"/>
                <w:szCs w:val="24"/>
              </w:rPr>
              <w:t xml:space="preserve">Coordination mechanisms have </w:t>
            </w:r>
            <w:r w:rsidR="00C642E0">
              <w:rPr>
                <w:sz w:val="24"/>
                <w:szCs w:val="24"/>
              </w:rPr>
              <w:t>been</w:t>
            </w:r>
            <w:r>
              <w:rPr>
                <w:sz w:val="24"/>
                <w:szCs w:val="24"/>
              </w:rPr>
              <w:t xml:space="preserve"> in place at 3 levels: Technical committee, Steering committee, Financial and Technical partners committee. These committees </w:t>
            </w:r>
            <w:r w:rsidR="00C642E0">
              <w:rPr>
                <w:sz w:val="24"/>
                <w:szCs w:val="24"/>
              </w:rPr>
              <w:t xml:space="preserve">have </w:t>
            </w:r>
            <w:r>
              <w:rPr>
                <w:sz w:val="24"/>
                <w:szCs w:val="24"/>
              </w:rPr>
              <w:t>include</w:t>
            </w:r>
            <w:r w:rsidR="00C642E0">
              <w:rPr>
                <w:sz w:val="24"/>
                <w:szCs w:val="24"/>
              </w:rPr>
              <w:t>d</w:t>
            </w:r>
            <w:r>
              <w:rPr>
                <w:sz w:val="24"/>
                <w:szCs w:val="24"/>
              </w:rPr>
              <w:t xml:space="preserve"> all the actors in the police, the justice sectors, BINUH, UNDP and other partners</w:t>
            </w:r>
            <w:r w:rsidR="00C642E0">
              <w:rPr>
                <w:sz w:val="24"/>
                <w:szCs w:val="24"/>
              </w:rPr>
              <w:t>.</w:t>
            </w:r>
          </w:p>
          <w:p w14:paraId="2CA3B0BB" w14:textId="77777777" w:rsidR="00592B4E" w:rsidRPr="00053701" w:rsidRDefault="00592B4E" w:rsidP="002F4CAE">
            <w:pPr>
              <w:rPr>
                <w:sz w:val="24"/>
                <w:szCs w:val="24"/>
              </w:rPr>
            </w:pPr>
          </w:p>
          <w:p w14:paraId="1EBFB327" w14:textId="366EC78C" w:rsidR="00592B4E" w:rsidRDefault="00592B4E" w:rsidP="00592B4E">
            <w:pPr>
              <w:pStyle w:val="ListParagraph"/>
              <w:numPr>
                <w:ilvl w:val="0"/>
                <w:numId w:val="3"/>
              </w:numPr>
              <w:rPr>
                <w:sz w:val="24"/>
                <w:szCs w:val="24"/>
              </w:rPr>
            </w:pPr>
            <w:r>
              <w:rPr>
                <w:sz w:val="24"/>
                <w:szCs w:val="24"/>
              </w:rPr>
              <w:t xml:space="preserve">The M&amp;E plan includes qualitative and quantitative indicators, but UNDP will review and adjust if necessary. The indicators </w:t>
            </w:r>
            <w:r w:rsidRPr="004640E2">
              <w:rPr>
                <w:sz w:val="24"/>
                <w:szCs w:val="24"/>
              </w:rPr>
              <w:t xml:space="preserve">of projects and </w:t>
            </w:r>
            <w:r w:rsidRPr="004640E2">
              <w:rPr>
                <w:sz w:val="24"/>
                <w:szCs w:val="24"/>
              </w:rPr>
              <w:lastRenderedPageBreak/>
              <w:t xml:space="preserve">programmes that will accompany the implementation of the </w:t>
            </w:r>
            <w:r>
              <w:rPr>
                <w:sz w:val="24"/>
                <w:szCs w:val="24"/>
              </w:rPr>
              <w:t xml:space="preserve">CPD </w:t>
            </w:r>
            <w:r w:rsidRPr="004640E2">
              <w:rPr>
                <w:sz w:val="24"/>
                <w:szCs w:val="24"/>
              </w:rPr>
              <w:t>will be more detailed</w:t>
            </w:r>
          </w:p>
          <w:p w14:paraId="66914D02" w14:textId="103E9C3A" w:rsidR="00592B4E" w:rsidRDefault="00841E15" w:rsidP="00592B4E">
            <w:pPr>
              <w:pStyle w:val="ListParagraph"/>
              <w:numPr>
                <w:ilvl w:val="0"/>
                <w:numId w:val="3"/>
              </w:numPr>
              <w:rPr>
                <w:sz w:val="24"/>
                <w:szCs w:val="24"/>
              </w:rPr>
            </w:pPr>
            <w:r>
              <w:rPr>
                <w:sz w:val="24"/>
                <w:szCs w:val="24"/>
              </w:rPr>
              <w:t>This is w</w:t>
            </w:r>
            <w:r w:rsidR="00592B4E">
              <w:rPr>
                <w:sz w:val="24"/>
                <w:szCs w:val="24"/>
              </w:rPr>
              <w:t>ell noted</w:t>
            </w:r>
            <w:r>
              <w:rPr>
                <w:sz w:val="24"/>
                <w:szCs w:val="24"/>
              </w:rPr>
              <w:t>.  K</w:t>
            </w:r>
            <w:r w:rsidR="00592B4E">
              <w:rPr>
                <w:sz w:val="24"/>
                <w:szCs w:val="24"/>
              </w:rPr>
              <w:t xml:space="preserve">nowledge management and sharing is a part of the M&amp;E </w:t>
            </w:r>
            <w:r w:rsidR="00825427">
              <w:rPr>
                <w:sz w:val="24"/>
                <w:szCs w:val="24"/>
              </w:rPr>
              <w:t>plan</w:t>
            </w:r>
            <w:r w:rsidR="00592B4E">
              <w:rPr>
                <w:sz w:val="24"/>
                <w:szCs w:val="24"/>
              </w:rPr>
              <w:t xml:space="preserve">. A staff will be recruited and dedicated to that </w:t>
            </w:r>
            <w:r w:rsidR="00241C2C">
              <w:rPr>
                <w:sz w:val="24"/>
                <w:szCs w:val="24"/>
              </w:rPr>
              <w:t>function</w:t>
            </w:r>
            <w:r w:rsidR="00592B4E">
              <w:rPr>
                <w:sz w:val="24"/>
                <w:szCs w:val="24"/>
              </w:rPr>
              <w:t xml:space="preserve">. </w:t>
            </w:r>
            <w:r w:rsidR="00825427">
              <w:rPr>
                <w:sz w:val="24"/>
                <w:szCs w:val="24"/>
              </w:rPr>
              <w:t>Also, as part of the plan, i</w:t>
            </w:r>
            <w:r w:rsidR="00592B4E">
              <w:rPr>
                <w:sz w:val="24"/>
                <w:szCs w:val="24"/>
              </w:rPr>
              <w:t xml:space="preserve">nformation will be shared with partners </w:t>
            </w:r>
          </w:p>
        </w:tc>
      </w:tr>
    </w:tbl>
    <w:tbl>
      <w:tblPr>
        <w:tblStyle w:val="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5"/>
        <w:gridCol w:w="6030"/>
      </w:tblGrid>
      <w:tr w:rsidR="00F66AA9" w14:paraId="500302DC" w14:textId="116D07F3" w:rsidTr="00592B4E">
        <w:trPr>
          <w:trHeight w:val="485"/>
        </w:trPr>
        <w:tc>
          <w:tcPr>
            <w:tcW w:w="8365" w:type="dxa"/>
            <w:vAlign w:val="center"/>
          </w:tcPr>
          <w:p w14:paraId="6470A1FB" w14:textId="01D476AC" w:rsidR="00F66AA9" w:rsidRDefault="00592B4E" w:rsidP="00592B4E">
            <w:pPr>
              <w:ind w:left="738"/>
              <w:jc w:val="center"/>
              <w:rPr>
                <w:b/>
                <w:sz w:val="24"/>
                <w:szCs w:val="24"/>
              </w:rPr>
            </w:pPr>
            <w:r w:rsidRPr="00534E03">
              <w:rPr>
                <w:b/>
                <w:sz w:val="24"/>
                <w:szCs w:val="24"/>
              </w:rPr>
              <w:lastRenderedPageBreak/>
              <w:t>C</w:t>
            </w:r>
            <w:r>
              <w:rPr>
                <w:b/>
                <w:sz w:val="24"/>
                <w:szCs w:val="24"/>
              </w:rPr>
              <w:t>omments</w:t>
            </w:r>
            <w:r w:rsidRPr="00534E03">
              <w:rPr>
                <w:b/>
                <w:sz w:val="24"/>
                <w:szCs w:val="24"/>
              </w:rPr>
              <w:t xml:space="preserve"> </w:t>
            </w:r>
            <w:r w:rsidRPr="00A457DA">
              <w:rPr>
                <w:b/>
                <w:sz w:val="24"/>
                <w:szCs w:val="24"/>
              </w:rPr>
              <w:t xml:space="preserve">by </w:t>
            </w:r>
            <w:r>
              <w:rPr>
                <w:b/>
                <w:sz w:val="24"/>
                <w:szCs w:val="24"/>
              </w:rPr>
              <w:t>the European Union</w:t>
            </w:r>
          </w:p>
        </w:tc>
        <w:tc>
          <w:tcPr>
            <w:tcW w:w="6030" w:type="dxa"/>
          </w:tcPr>
          <w:p w14:paraId="1ED6A0F7" w14:textId="53F5ED5A" w:rsidR="00F66AA9" w:rsidRDefault="00F66AA9" w:rsidP="00E65F62">
            <w:pPr>
              <w:ind w:left="738"/>
              <w:rPr>
                <w:b/>
                <w:sz w:val="24"/>
                <w:szCs w:val="24"/>
              </w:rPr>
            </w:pPr>
          </w:p>
        </w:tc>
      </w:tr>
      <w:tr w:rsidR="00F66AA9" w:rsidRPr="00EE65AE" w14:paraId="191E7807" w14:textId="7047BA48" w:rsidTr="00592B4E">
        <w:trPr>
          <w:trHeight w:val="485"/>
        </w:trPr>
        <w:tc>
          <w:tcPr>
            <w:tcW w:w="8365" w:type="dxa"/>
          </w:tcPr>
          <w:p w14:paraId="6E0D7C8B" w14:textId="77777777" w:rsidR="00F66AA9" w:rsidRPr="001415E3" w:rsidRDefault="00F66AA9" w:rsidP="00E65F62">
            <w:pPr>
              <w:numPr>
                <w:ilvl w:val="0"/>
                <w:numId w:val="1"/>
              </w:numPr>
              <w:pBdr>
                <w:top w:val="nil"/>
                <w:left w:val="nil"/>
                <w:bottom w:val="nil"/>
                <w:right w:val="nil"/>
                <w:between w:val="nil"/>
              </w:pBdr>
              <w:rPr>
                <w:color w:val="000000"/>
                <w:sz w:val="24"/>
                <w:szCs w:val="24"/>
                <w:lang w:val="fr-BE"/>
              </w:rPr>
            </w:pPr>
            <w:r>
              <w:rPr>
                <w:color w:val="000000"/>
                <w:sz w:val="24"/>
                <w:szCs w:val="24"/>
                <w:lang w:val="fr-BE"/>
              </w:rPr>
              <w:t>Chantier 4 RE2</w:t>
            </w:r>
            <w:r w:rsidRPr="001415E3">
              <w:rPr>
                <w:color w:val="000000"/>
                <w:sz w:val="24"/>
                <w:szCs w:val="24"/>
                <w:lang w:val="fr-BE"/>
              </w:rPr>
              <w:t xml:space="preserve">: la violence faite aux femmes/filles n’est pas mentionné dans le RE 2 (protection et libre circulation de personnes libérées de menaces.). L’indicateur mentionne uniquement de violence et les crimes majeurs tels que les homicides intentionnels et les kidnappings. </w:t>
            </w:r>
            <w:r>
              <w:rPr>
                <w:color w:val="000000"/>
                <w:sz w:val="24"/>
                <w:szCs w:val="24"/>
                <w:lang w:val="fr-BE"/>
              </w:rPr>
              <w:t xml:space="preserve">Il faudrait s’y mettre </w:t>
            </w:r>
            <w:r w:rsidRPr="001415E3">
              <w:rPr>
                <w:color w:val="000000"/>
                <w:sz w:val="24"/>
                <w:szCs w:val="24"/>
                <w:lang w:val="fr-BE"/>
              </w:rPr>
              <w:t xml:space="preserve">un indicateur spécifique pour la violence aux femmes/filles ici s’agissant d’un sujet clé. </w:t>
            </w:r>
          </w:p>
          <w:p w14:paraId="01A103E1" w14:textId="77777777" w:rsidR="00F66AA9" w:rsidRPr="001415E3" w:rsidRDefault="00F66AA9" w:rsidP="00E65F62">
            <w:pPr>
              <w:pBdr>
                <w:top w:val="nil"/>
                <w:left w:val="nil"/>
                <w:bottom w:val="nil"/>
                <w:right w:val="nil"/>
                <w:between w:val="nil"/>
              </w:pBdr>
              <w:ind w:left="720"/>
              <w:rPr>
                <w:color w:val="000000"/>
                <w:sz w:val="24"/>
                <w:szCs w:val="24"/>
                <w:lang w:val="fr-BE"/>
              </w:rPr>
            </w:pPr>
          </w:p>
        </w:tc>
        <w:tc>
          <w:tcPr>
            <w:tcW w:w="6030" w:type="dxa"/>
          </w:tcPr>
          <w:p w14:paraId="11FB9F37" w14:textId="44F35D5F" w:rsidR="001B5100" w:rsidRPr="00D53A9D" w:rsidRDefault="006B01E9" w:rsidP="001B5100">
            <w:pPr>
              <w:numPr>
                <w:ilvl w:val="0"/>
                <w:numId w:val="1"/>
              </w:numPr>
              <w:pBdr>
                <w:top w:val="nil"/>
                <w:left w:val="nil"/>
                <w:bottom w:val="nil"/>
                <w:right w:val="nil"/>
                <w:between w:val="nil"/>
              </w:pBdr>
              <w:rPr>
                <w:color w:val="000000"/>
                <w:sz w:val="24"/>
                <w:szCs w:val="24"/>
                <w:lang w:val="en-US"/>
              </w:rPr>
            </w:pPr>
            <w:r w:rsidRPr="00D53A9D">
              <w:rPr>
                <w:color w:val="000000"/>
                <w:sz w:val="24"/>
                <w:szCs w:val="24"/>
                <w:lang w:val="fr-BE"/>
              </w:rPr>
              <w:t xml:space="preserve">Les violences basées sur le genre sont très bien prises en compte dans le programme. </w:t>
            </w:r>
            <w:r w:rsidRPr="00D53A9D">
              <w:rPr>
                <w:color w:val="000000"/>
                <w:sz w:val="24"/>
                <w:szCs w:val="24"/>
                <w:lang w:val="en-US"/>
              </w:rPr>
              <w:t xml:space="preserve">Au </w:t>
            </w:r>
            <w:proofErr w:type="spellStart"/>
            <w:r w:rsidRPr="00D53A9D">
              <w:rPr>
                <w:color w:val="000000"/>
                <w:sz w:val="24"/>
                <w:szCs w:val="24"/>
                <w:lang w:val="en-US"/>
              </w:rPr>
              <w:t>paragraphe</w:t>
            </w:r>
            <w:proofErr w:type="spellEnd"/>
            <w:r w:rsidRPr="00D53A9D">
              <w:rPr>
                <w:color w:val="000000"/>
                <w:sz w:val="24"/>
                <w:szCs w:val="24"/>
                <w:lang w:val="en-US"/>
              </w:rPr>
              <w:t xml:space="preserve"> 11 du </w:t>
            </w:r>
            <w:r w:rsidR="00D53A9D">
              <w:rPr>
                <w:color w:val="000000"/>
                <w:sz w:val="24"/>
                <w:szCs w:val="24"/>
                <w:lang w:val="en-US"/>
              </w:rPr>
              <w:t>CPD</w:t>
            </w:r>
            <w:r w:rsidRPr="00D53A9D">
              <w:rPr>
                <w:color w:val="000000"/>
                <w:sz w:val="24"/>
                <w:szCs w:val="24"/>
                <w:lang w:val="en-US"/>
              </w:rPr>
              <w:t xml:space="preserve">, il </w:t>
            </w:r>
            <w:proofErr w:type="spellStart"/>
            <w:r w:rsidRPr="00D53A9D">
              <w:rPr>
                <w:color w:val="000000"/>
                <w:sz w:val="24"/>
                <w:szCs w:val="24"/>
                <w:lang w:val="en-US"/>
              </w:rPr>
              <w:t>est</w:t>
            </w:r>
            <w:proofErr w:type="spellEnd"/>
            <w:r w:rsidRPr="00D53A9D">
              <w:rPr>
                <w:color w:val="000000"/>
                <w:sz w:val="24"/>
                <w:szCs w:val="24"/>
                <w:lang w:val="en-US"/>
              </w:rPr>
              <w:t xml:space="preserve"> </w:t>
            </w:r>
            <w:proofErr w:type="spellStart"/>
            <w:r w:rsidRPr="00D53A9D">
              <w:rPr>
                <w:color w:val="000000"/>
                <w:sz w:val="24"/>
                <w:szCs w:val="24"/>
                <w:lang w:val="en-US"/>
              </w:rPr>
              <w:t>mentionné</w:t>
            </w:r>
            <w:proofErr w:type="spellEnd"/>
            <w:r w:rsidR="00EE65AE">
              <w:rPr>
                <w:color w:val="000000"/>
                <w:sz w:val="24"/>
                <w:szCs w:val="24"/>
                <w:lang w:val="en-US"/>
              </w:rPr>
              <w:t xml:space="preserve"> </w:t>
            </w:r>
            <w:r w:rsidRPr="00D53A9D">
              <w:rPr>
                <w:b/>
                <w:bCs/>
                <w:color w:val="000000"/>
                <w:sz w:val="24"/>
                <w:szCs w:val="24"/>
                <w:lang w:val="en-US"/>
              </w:rPr>
              <w:t>“</w:t>
            </w:r>
            <w:r w:rsidRPr="00D53A9D">
              <w:rPr>
                <w:b/>
                <w:bCs/>
                <w:sz w:val="20"/>
                <w:szCs w:val="20"/>
                <w:lang w:val="en-GB"/>
              </w:rPr>
              <w:t>Addressing the serious levels of gender-based violence will continue to be a focus of UNDP work on prevention and response”</w:t>
            </w:r>
          </w:p>
          <w:p w14:paraId="42C8D757" w14:textId="637AE006" w:rsidR="001B5100" w:rsidRPr="00D53A9D" w:rsidRDefault="001B5100" w:rsidP="00D53A9D">
            <w:pPr>
              <w:numPr>
                <w:ilvl w:val="0"/>
                <w:numId w:val="1"/>
              </w:numPr>
              <w:pBdr>
                <w:top w:val="nil"/>
                <w:left w:val="nil"/>
                <w:bottom w:val="nil"/>
                <w:right w:val="nil"/>
                <w:between w:val="nil"/>
              </w:pBdr>
              <w:rPr>
                <w:color w:val="000000"/>
                <w:sz w:val="24"/>
                <w:szCs w:val="24"/>
                <w:lang w:val="fr-BE"/>
              </w:rPr>
            </w:pPr>
            <w:r w:rsidRPr="00D53A9D">
              <w:rPr>
                <w:color w:val="000000"/>
                <w:sz w:val="24"/>
                <w:szCs w:val="24"/>
                <w:lang w:val="fr-BE"/>
              </w:rPr>
              <w:t>Pour sa matérialisation, a</w:t>
            </w:r>
            <w:r w:rsidR="006B01E9" w:rsidRPr="00D53A9D">
              <w:rPr>
                <w:color w:val="000000"/>
                <w:sz w:val="24"/>
                <w:szCs w:val="24"/>
                <w:lang w:val="fr-BE"/>
              </w:rPr>
              <w:t>vec le soutien financier de l’Union Européenne, le PNUD avec ONUFEMMES</w:t>
            </w:r>
            <w:r w:rsidRPr="00D53A9D">
              <w:rPr>
                <w:color w:val="000000"/>
                <w:sz w:val="24"/>
                <w:szCs w:val="24"/>
                <w:lang w:val="fr-BE"/>
              </w:rPr>
              <w:t xml:space="preserve"> et </w:t>
            </w:r>
            <w:r w:rsidR="006B01E9" w:rsidRPr="00D53A9D">
              <w:rPr>
                <w:color w:val="000000"/>
                <w:sz w:val="24"/>
                <w:szCs w:val="24"/>
                <w:lang w:val="fr-BE"/>
              </w:rPr>
              <w:t xml:space="preserve">UNFPA </w:t>
            </w:r>
            <w:r w:rsidRPr="00D53A9D">
              <w:rPr>
                <w:color w:val="000000"/>
                <w:sz w:val="24"/>
                <w:szCs w:val="24"/>
                <w:lang w:val="fr-BE"/>
              </w:rPr>
              <w:t>implémente la 2ème phase du</w:t>
            </w:r>
            <w:r w:rsidR="006B01E9" w:rsidRPr="00D53A9D">
              <w:rPr>
                <w:color w:val="000000"/>
                <w:sz w:val="24"/>
                <w:szCs w:val="24"/>
                <w:lang w:val="fr-BE"/>
              </w:rPr>
              <w:t xml:space="preserve"> pro</w:t>
            </w:r>
            <w:r w:rsidRPr="00D53A9D">
              <w:rPr>
                <w:color w:val="000000"/>
                <w:sz w:val="24"/>
                <w:szCs w:val="24"/>
                <w:lang w:val="fr-BE"/>
              </w:rPr>
              <w:t xml:space="preserve">gramme </w:t>
            </w:r>
            <w:r w:rsidR="006B01E9" w:rsidRPr="00D53A9D">
              <w:rPr>
                <w:color w:val="000000"/>
                <w:sz w:val="24"/>
                <w:szCs w:val="24"/>
                <w:lang w:val="fr-BE"/>
              </w:rPr>
              <w:t>« Initiative Spo</w:t>
            </w:r>
            <w:r w:rsidRPr="00D53A9D">
              <w:rPr>
                <w:color w:val="000000"/>
                <w:sz w:val="24"/>
                <w:szCs w:val="24"/>
                <w:lang w:val="fr-BE"/>
              </w:rPr>
              <w:t>t</w:t>
            </w:r>
            <w:r w:rsidR="006B01E9" w:rsidRPr="00D53A9D">
              <w:rPr>
                <w:color w:val="000000"/>
                <w:sz w:val="24"/>
                <w:szCs w:val="24"/>
                <w:lang w:val="fr-BE"/>
              </w:rPr>
              <w:t>l</w:t>
            </w:r>
            <w:r w:rsidRPr="00D53A9D">
              <w:rPr>
                <w:color w:val="000000"/>
                <w:sz w:val="24"/>
                <w:szCs w:val="24"/>
                <w:lang w:val="fr-BE"/>
              </w:rPr>
              <w:t>ight</w:t>
            </w:r>
            <w:r w:rsidR="006B01E9" w:rsidRPr="00D53A9D">
              <w:rPr>
                <w:color w:val="000000"/>
                <w:sz w:val="24"/>
                <w:szCs w:val="24"/>
                <w:lang w:val="fr-BE"/>
              </w:rPr>
              <w:t xml:space="preserve"> » qui </w:t>
            </w:r>
            <w:r w:rsidRPr="00D53A9D">
              <w:rPr>
                <w:color w:val="000000"/>
                <w:sz w:val="24"/>
                <w:szCs w:val="24"/>
                <w:lang w:val="fr-BE"/>
              </w:rPr>
              <w:t xml:space="preserve">vise </w:t>
            </w:r>
            <w:r w:rsidRPr="00D53A9D">
              <w:rPr>
                <w:rFonts w:hint="eastAsia"/>
                <w:color w:val="000000"/>
                <w:sz w:val="24"/>
                <w:szCs w:val="24"/>
                <w:lang w:val="fr-BE"/>
              </w:rPr>
              <w:t>à</w:t>
            </w:r>
            <w:r w:rsidRPr="00D53A9D">
              <w:rPr>
                <w:color w:val="000000"/>
                <w:sz w:val="24"/>
                <w:szCs w:val="24"/>
                <w:lang w:val="fr-BE"/>
              </w:rPr>
              <w:t xml:space="preserve"> prot</w:t>
            </w:r>
            <w:r w:rsidRPr="00D53A9D">
              <w:rPr>
                <w:rFonts w:hint="eastAsia"/>
                <w:color w:val="000000"/>
                <w:sz w:val="24"/>
                <w:szCs w:val="24"/>
                <w:lang w:val="fr-BE"/>
              </w:rPr>
              <w:t>é</w:t>
            </w:r>
            <w:r w:rsidRPr="00D53A9D">
              <w:rPr>
                <w:color w:val="000000"/>
                <w:sz w:val="24"/>
                <w:szCs w:val="24"/>
                <w:lang w:val="fr-BE"/>
              </w:rPr>
              <w:t>ger les femmes et les filles contre la violence bas</w:t>
            </w:r>
            <w:r w:rsidRPr="00D53A9D">
              <w:rPr>
                <w:rFonts w:hint="eastAsia"/>
                <w:color w:val="000000"/>
                <w:sz w:val="24"/>
                <w:szCs w:val="24"/>
                <w:lang w:val="fr-BE"/>
              </w:rPr>
              <w:t>é</w:t>
            </w:r>
            <w:r w:rsidRPr="00D53A9D">
              <w:rPr>
                <w:color w:val="000000"/>
                <w:sz w:val="24"/>
                <w:szCs w:val="24"/>
                <w:lang w:val="fr-BE"/>
              </w:rPr>
              <w:t>e sur le genre et d</w:t>
            </w:r>
            <w:r w:rsidRPr="00D53A9D">
              <w:rPr>
                <w:rFonts w:hint="eastAsia"/>
                <w:color w:val="000000"/>
                <w:sz w:val="24"/>
                <w:szCs w:val="24"/>
                <w:lang w:val="fr-BE"/>
              </w:rPr>
              <w:t>é</w:t>
            </w:r>
            <w:r w:rsidRPr="00D53A9D">
              <w:rPr>
                <w:color w:val="000000"/>
                <w:sz w:val="24"/>
                <w:szCs w:val="24"/>
                <w:lang w:val="fr-BE"/>
              </w:rPr>
              <w:t>j</w:t>
            </w:r>
            <w:r w:rsidRPr="00D53A9D">
              <w:rPr>
                <w:rFonts w:hint="eastAsia"/>
                <w:color w:val="000000"/>
                <w:sz w:val="24"/>
                <w:szCs w:val="24"/>
                <w:lang w:val="fr-BE"/>
              </w:rPr>
              <w:t>à</w:t>
            </w:r>
            <w:r w:rsidRPr="00D53A9D">
              <w:rPr>
                <w:color w:val="000000"/>
                <w:sz w:val="24"/>
                <w:szCs w:val="24"/>
                <w:lang w:val="fr-BE"/>
              </w:rPr>
              <w:t xml:space="preserve"> assurer l</w:t>
            </w:r>
            <w:r w:rsidRPr="00D53A9D">
              <w:rPr>
                <w:rFonts w:hint="eastAsia"/>
                <w:color w:val="000000"/>
                <w:sz w:val="24"/>
                <w:szCs w:val="24"/>
                <w:lang w:val="fr-BE"/>
              </w:rPr>
              <w:t>’</w:t>
            </w:r>
            <w:r w:rsidRPr="00D53A9D">
              <w:rPr>
                <w:color w:val="000000"/>
                <w:sz w:val="24"/>
                <w:szCs w:val="24"/>
                <w:lang w:val="fr-BE"/>
              </w:rPr>
              <w:t>acc</w:t>
            </w:r>
            <w:r w:rsidRPr="00D53A9D">
              <w:rPr>
                <w:rFonts w:hint="eastAsia"/>
                <w:color w:val="000000"/>
                <w:sz w:val="24"/>
                <w:szCs w:val="24"/>
                <w:lang w:val="fr-BE"/>
              </w:rPr>
              <w:t>è</w:t>
            </w:r>
            <w:r w:rsidRPr="00D53A9D">
              <w:rPr>
                <w:color w:val="000000"/>
                <w:sz w:val="24"/>
                <w:szCs w:val="24"/>
                <w:lang w:val="fr-BE"/>
              </w:rPr>
              <w:t>s de services de prise en</w:t>
            </w:r>
            <w:r w:rsidR="00D53A9D">
              <w:rPr>
                <w:color w:val="000000"/>
                <w:sz w:val="24"/>
                <w:szCs w:val="24"/>
                <w:lang w:val="fr-BE"/>
              </w:rPr>
              <w:t xml:space="preserve"> </w:t>
            </w:r>
            <w:r w:rsidRPr="00D53A9D">
              <w:rPr>
                <w:color w:val="000000"/>
                <w:sz w:val="24"/>
                <w:szCs w:val="24"/>
                <w:lang w:val="fr-BE"/>
              </w:rPr>
              <w:t>charge de qualité aux survivantes de violence.</w:t>
            </w:r>
          </w:p>
          <w:p w14:paraId="71C5A505" w14:textId="77777777" w:rsidR="006B01E9" w:rsidRPr="00D53A9D" w:rsidRDefault="001B5100" w:rsidP="00D53A9D">
            <w:pPr>
              <w:numPr>
                <w:ilvl w:val="0"/>
                <w:numId w:val="1"/>
              </w:numPr>
              <w:pBdr>
                <w:top w:val="nil"/>
                <w:left w:val="nil"/>
                <w:bottom w:val="nil"/>
                <w:right w:val="nil"/>
                <w:between w:val="nil"/>
              </w:pBdr>
              <w:rPr>
                <w:color w:val="000000"/>
                <w:sz w:val="24"/>
                <w:szCs w:val="24"/>
                <w:lang w:val="fr-FR"/>
              </w:rPr>
            </w:pPr>
            <w:r w:rsidRPr="00D53A9D">
              <w:rPr>
                <w:color w:val="000000"/>
                <w:sz w:val="24"/>
                <w:szCs w:val="24"/>
                <w:lang w:val="fr-BE"/>
              </w:rPr>
              <w:t>Ce programme</w:t>
            </w:r>
            <w:r w:rsidR="006B01E9" w:rsidRPr="00D53A9D">
              <w:rPr>
                <w:color w:val="000000"/>
                <w:sz w:val="24"/>
                <w:szCs w:val="24"/>
                <w:lang w:val="fr-BE"/>
              </w:rPr>
              <w:t xml:space="preserve"> va toucher </w:t>
            </w:r>
            <w:r w:rsidRPr="00D53A9D">
              <w:rPr>
                <w:color w:val="000000"/>
                <w:sz w:val="24"/>
                <w:szCs w:val="24"/>
                <w:lang w:val="fr-BE"/>
              </w:rPr>
              <w:t>1.227.138</w:t>
            </w:r>
            <w:r w:rsidR="006B01E9" w:rsidRPr="00D53A9D">
              <w:rPr>
                <w:color w:val="000000"/>
                <w:sz w:val="24"/>
                <w:szCs w:val="24"/>
                <w:lang w:val="fr-BE"/>
              </w:rPr>
              <w:t xml:space="preserve"> bénéficiaires directs et </w:t>
            </w:r>
            <w:r w:rsidRPr="00D53A9D">
              <w:rPr>
                <w:color w:val="000000"/>
                <w:sz w:val="24"/>
                <w:szCs w:val="24"/>
                <w:lang w:val="fr-BE"/>
              </w:rPr>
              <w:t>3.772.050</w:t>
            </w:r>
            <w:r w:rsidR="006B01E9" w:rsidRPr="00D53A9D">
              <w:rPr>
                <w:color w:val="000000"/>
                <w:sz w:val="24"/>
                <w:szCs w:val="24"/>
                <w:lang w:val="fr-BE"/>
              </w:rPr>
              <w:t xml:space="preserve"> bénéficiaires indirects</w:t>
            </w:r>
            <w:r w:rsidRPr="00D53A9D">
              <w:rPr>
                <w:color w:val="000000"/>
                <w:sz w:val="24"/>
                <w:szCs w:val="24"/>
                <w:lang w:val="fr-BE"/>
              </w:rPr>
              <w:t>. Ce programme participatif sera exécuté en partenariat avec le Gouvernement Haïtien, les acteurs de la société civile sera implémenté dans 4 régions</w:t>
            </w:r>
          </w:p>
          <w:p w14:paraId="55C544DA" w14:textId="77777777" w:rsidR="00D53A9D" w:rsidRPr="00D53A9D" w:rsidRDefault="00D53A9D" w:rsidP="00D53A9D">
            <w:pPr>
              <w:numPr>
                <w:ilvl w:val="0"/>
                <w:numId w:val="1"/>
              </w:numPr>
              <w:pBdr>
                <w:top w:val="nil"/>
                <w:left w:val="nil"/>
                <w:bottom w:val="nil"/>
                <w:right w:val="nil"/>
                <w:between w:val="nil"/>
              </w:pBdr>
              <w:rPr>
                <w:b/>
                <w:bCs/>
                <w:sz w:val="17"/>
                <w:szCs w:val="17"/>
                <w:lang w:val="fr-FR"/>
              </w:rPr>
            </w:pPr>
            <w:r w:rsidRPr="00D53A9D">
              <w:rPr>
                <w:color w:val="000000"/>
                <w:sz w:val="24"/>
                <w:szCs w:val="24"/>
                <w:lang w:val="fr-BE"/>
              </w:rPr>
              <w:t>Le PNUD travaille à mobiliser des ressources additionnelles pour renforcer les acquis du programme et l’étendre vers les autres régions</w:t>
            </w:r>
          </w:p>
          <w:p w14:paraId="1C22BC3A" w14:textId="617B9B31" w:rsidR="00D53A9D" w:rsidRPr="00EE65AE" w:rsidRDefault="00D53A9D" w:rsidP="00D53A9D">
            <w:pPr>
              <w:numPr>
                <w:ilvl w:val="0"/>
                <w:numId w:val="1"/>
              </w:numPr>
              <w:pBdr>
                <w:top w:val="nil"/>
                <w:left w:val="nil"/>
                <w:bottom w:val="nil"/>
                <w:right w:val="nil"/>
                <w:between w:val="nil"/>
              </w:pBdr>
              <w:rPr>
                <w:color w:val="000000"/>
                <w:sz w:val="24"/>
                <w:szCs w:val="24"/>
                <w:lang w:val="fr-FR"/>
              </w:rPr>
            </w:pPr>
            <w:r w:rsidRPr="00EE65AE">
              <w:rPr>
                <w:color w:val="000000"/>
                <w:sz w:val="24"/>
                <w:szCs w:val="24"/>
                <w:lang w:val="fr-FR"/>
              </w:rPr>
              <w:t>L’output 3.3 “</w:t>
            </w:r>
            <w:proofErr w:type="spellStart"/>
            <w:r w:rsidRPr="00EE65AE">
              <w:rPr>
                <w:b/>
                <w:bCs/>
                <w:sz w:val="20"/>
                <w:szCs w:val="20"/>
                <w:lang w:val="fr-FR"/>
              </w:rPr>
              <w:t>Comprehensive</w:t>
            </w:r>
            <w:proofErr w:type="spellEnd"/>
            <w:r w:rsidRPr="00EE65AE">
              <w:rPr>
                <w:b/>
                <w:bCs/>
                <w:sz w:val="20"/>
                <w:szCs w:val="20"/>
                <w:lang w:val="fr-FR"/>
              </w:rPr>
              <w:t xml:space="preserve"> </w:t>
            </w:r>
            <w:proofErr w:type="spellStart"/>
            <w:r w:rsidRPr="00EE65AE">
              <w:rPr>
                <w:b/>
                <w:bCs/>
                <w:sz w:val="20"/>
                <w:szCs w:val="20"/>
                <w:lang w:val="fr-FR"/>
              </w:rPr>
              <w:t>community</w:t>
            </w:r>
            <w:proofErr w:type="spellEnd"/>
            <w:r w:rsidRPr="00EE65AE">
              <w:rPr>
                <w:b/>
                <w:bCs/>
                <w:sz w:val="20"/>
                <w:szCs w:val="20"/>
                <w:lang w:val="fr-FR"/>
              </w:rPr>
              <w:t xml:space="preserve"> and </w:t>
            </w:r>
            <w:proofErr w:type="spellStart"/>
            <w:r w:rsidRPr="00EE65AE">
              <w:rPr>
                <w:b/>
                <w:bCs/>
                <w:sz w:val="20"/>
                <w:szCs w:val="20"/>
                <w:lang w:val="fr-FR"/>
              </w:rPr>
              <w:t>gender-based</w:t>
            </w:r>
            <w:proofErr w:type="spellEnd"/>
            <w:r w:rsidRPr="00EE65AE">
              <w:rPr>
                <w:b/>
                <w:bCs/>
                <w:sz w:val="20"/>
                <w:szCs w:val="20"/>
                <w:lang w:val="fr-FR"/>
              </w:rPr>
              <w:t xml:space="preserve"> violence </w:t>
            </w:r>
            <w:proofErr w:type="spellStart"/>
            <w:r w:rsidRPr="00EE65AE">
              <w:rPr>
                <w:b/>
                <w:bCs/>
                <w:sz w:val="20"/>
                <w:szCs w:val="20"/>
                <w:lang w:val="fr-FR"/>
              </w:rPr>
              <w:t>prevention</w:t>
            </w:r>
            <w:proofErr w:type="spellEnd"/>
            <w:r w:rsidRPr="00EE65AE">
              <w:rPr>
                <w:b/>
                <w:bCs/>
                <w:sz w:val="20"/>
                <w:szCs w:val="20"/>
                <w:lang w:val="fr-FR"/>
              </w:rPr>
              <w:t xml:space="preserve"> and </w:t>
            </w:r>
            <w:proofErr w:type="spellStart"/>
            <w:r w:rsidRPr="00EE65AE">
              <w:rPr>
                <w:b/>
                <w:bCs/>
                <w:sz w:val="20"/>
                <w:szCs w:val="20"/>
                <w:lang w:val="fr-FR"/>
              </w:rPr>
              <w:t>response</w:t>
            </w:r>
            <w:proofErr w:type="spellEnd"/>
            <w:r w:rsidRPr="00EE65AE">
              <w:rPr>
                <w:b/>
                <w:bCs/>
                <w:sz w:val="20"/>
                <w:szCs w:val="20"/>
                <w:lang w:val="fr-FR"/>
              </w:rPr>
              <w:t xml:space="preserve"> programmes </w:t>
            </w:r>
            <w:r w:rsidRPr="00EE65AE">
              <w:rPr>
                <w:b/>
                <w:bCs/>
                <w:sz w:val="20"/>
                <w:szCs w:val="20"/>
                <w:lang w:val="fr-FR"/>
              </w:rPr>
              <w:lastRenderedPageBreak/>
              <w:t xml:space="preserve">enable </w:t>
            </w:r>
            <w:proofErr w:type="spellStart"/>
            <w:r w:rsidRPr="00EE65AE">
              <w:rPr>
                <w:b/>
                <w:bCs/>
                <w:sz w:val="20"/>
                <w:szCs w:val="20"/>
                <w:lang w:val="fr-FR"/>
              </w:rPr>
              <w:t>women</w:t>
            </w:r>
            <w:proofErr w:type="spellEnd"/>
            <w:r w:rsidRPr="00EE65AE">
              <w:rPr>
                <w:b/>
                <w:bCs/>
                <w:sz w:val="20"/>
                <w:szCs w:val="20"/>
                <w:lang w:val="fr-FR"/>
              </w:rPr>
              <w:t xml:space="preserve"> and men to escape structural violence” </w:t>
            </w:r>
            <w:r w:rsidRPr="00EE65AE">
              <w:rPr>
                <w:color w:val="000000"/>
                <w:sz w:val="24"/>
                <w:szCs w:val="24"/>
                <w:lang w:val="fr-FR"/>
              </w:rPr>
              <w:t xml:space="preserve">adresse bien la question </w:t>
            </w:r>
            <w:r w:rsidR="00EE65AE" w:rsidRPr="00EE65AE">
              <w:rPr>
                <w:color w:val="000000"/>
                <w:sz w:val="24"/>
                <w:szCs w:val="24"/>
                <w:lang w:val="fr-FR"/>
              </w:rPr>
              <w:t>et pr</w:t>
            </w:r>
            <w:r w:rsidR="00EE65AE">
              <w:rPr>
                <w:color w:val="000000"/>
                <w:sz w:val="24"/>
                <w:szCs w:val="24"/>
                <w:lang w:val="fr-FR"/>
              </w:rPr>
              <w:t xml:space="preserve">écise les cibles à atteindre </w:t>
            </w:r>
          </w:p>
          <w:p w14:paraId="0AC23CE4" w14:textId="7B9BD110" w:rsidR="00D53A9D" w:rsidRPr="00EE65AE" w:rsidRDefault="00D53A9D" w:rsidP="00D53A9D">
            <w:pPr>
              <w:pBdr>
                <w:top w:val="nil"/>
                <w:left w:val="nil"/>
                <w:bottom w:val="nil"/>
                <w:right w:val="nil"/>
                <w:between w:val="nil"/>
              </w:pBdr>
              <w:ind w:left="720"/>
              <w:rPr>
                <w:color w:val="000000"/>
                <w:sz w:val="24"/>
                <w:szCs w:val="24"/>
                <w:lang w:val="fr-FR"/>
              </w:rPr>
            </w:pPr>
          </w:p>
        </w:tc>
      </w:tr>
      <w:tr w:rsidR="00F66AA9" w:rsidRPr="00C544C6" w14:paraId="361D1F61" w14:textId="5907BE20" w:rsidTr="00592B4E">
        <w:trPr>
          <w:trHeight w:val="485"/>
        </w:trPr>
        <w:tc>
          <w:tcPr>
            <w:tcW w:w="8365" w:type="dxa"/>
          </w:tcPr>
          <w:p w14:paraId="65F4A3D9" w14:textId="77777777" w:rsidR="00F66AA9" w:rsidRPr="001415E3" w:rsidRDefault="00F66AA9" w:rsidP="00E65F62">
            <w:pPr>
              <w:numPr>
                <w:ilvl w:val="0"/>
                <w:numId w:val="1"/>
              </w:numPr>
              <w:pBdr>
                <w:top w:val="nil"/>
                <w:left w:val="nil"/>
                <w:bottom w:val="nil"/>
                <w:right w:val="nil"/>
                <w:between w:val="nil"/>
              </w:pBdr>
              <w:rPr>
                <w:color w:val="000000"/>
                <w:sz w:val="24"/>
                <w:szCs w:val="24"/>
                <w:lang w:val="fr-BE"/>
              </w:rPr>
            </w:pPr>
            <w:r w:rsidRPr="001415E3">
              <w:rPr>
                <w:color w:val="000000"/>
                <w:sz w:val="24"/>
                <w:szCs w:val="24"/>
                <w:lang w:val="fr-BE"/>
              </w:rPr>
              <w:lastRenderedPageBreak/>
              <w:t>Chanti</w:t>
            </w:r>
            <w:r>
              <w:rPr>
                <w:color w:val="000000"/>
                <w:sz w:val="24"/>
                <w:szCs w:val="24"/>
                <w:lang w:val="fr-BE"/>
              </w:rPr>
              <w:t xml:space="preserve">er 2 RE3: C’est très générique, et </w:t>
            </w:r>
            <w:r w:rsidRPr="001415E3">
              <w:rPr>
                <w:color w:val="000000"/>
                <w:sz w:val="24"/>
                <w:szCs w:val="24"/>
                <w:lang w:val="fr-BE"/>
              </w:rPr>
              <w:t>il serait intéressant de le détailler par secteurs économiques : femmes employées en agriculture, élevage, pêche, manufacturier, tourisme etc…</w:t>
            </w:r>
          </w:p>
          <w:p w14:paraId="5496BEA8" w14:textId="33FEE02D" w:rsidR="00F66AA9" w:rsidRPr="00E65F62" w:rsidRDefault="00F66AA9" w:rsidP="00E65F62">
            <w:pPr>
              <w:pBdr>
                <w:top w:val="nil"/>
                <w:left w:val="nil"/>
                <w:bottom w:val="nil"/>
                <w:right w:val="nil"/>
                <w:between w:val="nil"/>
              </w:pBdr>
              <w:ind w:left="720"/>
              <w:rPr>
                <w:color w:val="000000"/>
                <w:sz w:val="24"/>
                <w:szCs w:val="24"/>
                <w:lang w:val="fr-BE"/>
              </w:rPr>
            </w:pPr>
          </w:p>
        </w:tc>
        <w:tc>
          <w:tcPr>
            <w:tcW w:w="6030" w:type="dxa"/>
          </w:tcPr>
          <w:p w14:paraId="1915B309" w14:textId="66DCE083" w:rsidR="00F66AA9" w:rsidRPr="001415E3" w:rsidRDefault="00D53A9D" w:rsidP="00E65F62">
            <w:pPr>
              <w:numPr>
                <w:ilvl w:val="0"/>
                <w:numId w:val="1"/>
              </w:numPr>
              <w:pBdr>
                <w:top w:val="nil"/>
                <w:left w:val="nil"/>
                <w:bottom w:val="nil"/>
                <w:right w:val="nil"/>
                <w:between w:val="nil"/>
              </w:pBdr>
              <w:rPr>
                <w:color w:val="000000"/>
                <w:sz w:val="24"/>
                <w:szCs w:val="24"/>
                <w:lang w:val="fr-BE"/>
              </w:rPr>
            </w:pPr>
            <w:r>
              <w:rPr>
                <w:color w:val="000000"/>
                <w:sz w:val="24"/>
                <w:szCs w:val="24"/>
                <w:lang w:val="fr-BE"/>
              </w:rPr>
              <w:t>Cette observation est bien notée et sera prise en compte lors de l’élaboration des projets et programmes où les détails sur les indicateurs ciblés désagrégés seront précisés par secteur et par région</w:t>
            </w:r>
            <w:r w:rsidR="00EE65AE">
              <w:rPr>
                <w:color w:val="000000"/>
                <w:sz w:val="24"/>
                <w:szCs w:val="24"/>
                <w:lang w:val="fr-BE"/>
              </w:rPr>
              <w:t>. A ce stade, le document donne la vision et l’approche pour mieux autonomiser les femmes dans les différents secteurs économiques</w:t>
            </w:r>
          </w:p>
        </w:tc>
      </w:tr>
      <w:tr w:rsidR="00F66AA9" w:rsidRPr="00EE65AE" w14:paraId="54F50900" w14:textId="75BF318D" w:rsidTr="00592B4E">
        <w:trPr>
          <w:trHeight w:val="485"/>
        </w:trPr>
        <w:tc>
          <w:tcPr>
            <w:tcW w:w="8365" w:type="dxa"/>
          </w:tcPr>
          <w:p w14:paraId="278CB842" w14:textId="77777777" w:rsidR="00F66AA9" w:rsidRDefault="00F66AA9" w:rsidP="00E65F62">
            <w:pPr>
              <w:numPr>
                <w:ilvl w:val="0"/>
                <w:numId w:val="1"/>
              </w:numPr>
              <w:pBdr>
                <w:top w:val="nil"/>
                <w:left w:val="nil"/>
                <w:bottom w:val="nil"/>
                <w:right w:val="nil"/>
                <w:between w:val="nil"/>
              </w:pBdr>
              <w:rPr>
                <w:color w:val="000000"/>
                <w:sz w:val="24"/>
                <w:szCs w:val="24"/>
                <w:lang w:val="fr-BE"/>
              </w:rPr>
            </w:pPr>
            <w:r w:rsidRPr="00902425">
              <w:rPr>
                <w:color w:val="000000"/>
                <w:sz w:val="24"/>
                <w:szCs w:val="24"/>
                <w:lang w:val="fr-BE"/>
              </w:rPr>
              <w:t>Chantier 3</w:t>
            </w:r>
            <w:r>
              <w:rPr>
                <w:color w:val="000000"/>
                <w:sz w:val="24"/>
                <w:szCs w:val="24"/>
                <w:lang w:val="fr-BE"/>
              </w:rPr>
              <w:t>:</w:t>
            </w:r>
            <w:r w:rsidRPr="00902425">
              <w:rPr>
                <w:color w:val="000000"/>
                <w:sz w:val="24"/>
                <w:szCs w:val="24"/>
                <w:lang w:val="fr-BE"/>
              </w:rPr>
              <w:t xml:space="preserve"> Ce chantier prévoit un programme favorisant l’égalité de genre. Pouvons-nous avoi</w:t>
            </w:r>
            <w:r>
              <w:rPr>
                <w:color w:val="000000"/>
                <w:sz w:val="24"/>
                <w:szCs w:val="24"/>
                <w:lang w:val="fr-BE"/>
              </w:rPr>
              <w:t>r plus d’info sur leurs plans?</w:t>
            </w:r>
          </w:p>
          <w:p w14:paraId="7A9583FA" w14:textId="77777777" w:rsidR="00F66AA9" w:rsidRPr="00E65F62" w:rsidRDefault="00F66AA9" w:rsidP="00E65F62">
            <w:pPr>
              <w:pBdr>
                <w:top w:val="nil"/>
                <w:left w:val="nil"/>
                <w:bottom w:val="nil"/>
                <w:right w:val="nil"/>
                <w:between w:val="nil"/>
              </w:pBdr>
              <w:ind w:left="720"/>
              <w:rPr>
                <w:color w:val="000000"/>
                <w:sz w:val="24"/>
                <w:szCs w:val="24"/>
                <w:lang w:val="fr-BE"/>
              </w:rPr>
            </w:pPr>
          </w:p>
        </w:tc>
        <w:tc>
          <w:tcPr>
            <w:tcW w:w="6030" w:type="dxa"/>
          </w:tcPr>
          <w:p w14:paraId="42DCE3DC" w14:textId="272F4412" w:rsidR="00F66AA9" w:rsidRPr="00EE65AE" w:rsidRDefault="00EE65AE" w:rsidP="00EE65AE">
            <w:pPr>
              <w:numPr>
                <w:ilvl w:val="0"/>
                <w:numId w:val="1"/>
              </w:numPr>
              <w:rPr>
                <w:color w:val="000000"/>
                <w:sz w:val="24"/>
                <w:szCs w:val="24"/>
                <w:lang w:val="fr-FR"/>
              </w:rPr>
            </w:pPr>
            <w:r w:rsidRPr="00EE65AE">
              <w:rPr>
                <w:color w:val="000000"/>
                <w:sz w:val="24"/>
                <w:szCs w:val="24"/>
                <w:lang w:val="fr-FR"/>
              </w:rPr>
              <w:t>L’égalité de genre reste u</w:t>
            </w:r>
            <w:r>
              <w:rPr>
                <w:color w:val="000000"/>
                <w:sz w:val="24"/>
                <w:szCs w:val="24"/>
                <w:lang w:val="fr-FR"/>
              </w:rPr>
              <w:t xml:space="preserve">n principe transversal qui sera prise en compte dans tous les projets et programmes qui vont soutenir la mise en œuvre du programme à travers les 4 piliers. Chaque pilier comporte au moins un indicateur qui donne la vision du PNUD sur comment l’égalité de genre sera </w:t>
            </w:r>
            <w:r w:rsidR="00516DC2">
              <w:rPr>
                <w:color w:val="000000"/>
                <w:sz w:val="24"/>
                <w:szCs w:val="24"/>
                <w:lang w:val="fr-FR"/>
              </w:rPr>
              <w:t>prise</w:t>
            </w:r>
            <w:r>
              <w:rPr>
                <w:color w:val="000000"/>
                <w:sz w:val="24"/>
                <w:szCs w:val="24"/>
                <w:lang w:val="fr-FR"/>
              </w:rPr>
              <w:t xml:space="preserve"> en compte. </w:t>
            </w:r>
            <w:r w:rsidR="00516DC2">
              <w:rPr>
                <w:color w:val="000000"/>
                <w:sz w:val="24"/>
                <w:szCs w:val="24"/>
                <w:lang w:val="fr-FR"/>
              </w:rPr>
              <w:t>Les plans précis avec des cibles à atteindre seront établis dans les projets et programmes qui seront exécutés</w:t>
            </w:r>
          </w:p>
        </w:tc>
      </w:tr>
      <w:tr w:rsidR="00F66AA9" w:rsidRPr="00C544C6" w14:paraId="15D6D5D5" w14:textId="6A1EB2EB" w:rsidTr="00592B4E">
        <w:trPr>
          <w:trHeight w:val="485"/>
        </w:trPr>
        <w:tc>
          <w:tcPr>
            <w:tcW w:w="8365" w:type="dxa"/>
          </w:tcPr>
          <w:p w14:paraId="342796CA" w14:textId="77777777" w:rsidR="00F66AA9" w:rsidRPr="00902425" w:rsidRDefault="00F66AA9" w:rsidP="00E65F62">
            <w:pPr>
              <w:numPr>
                <w:ilvl w:val="0"/>
                <w:numId w:val="1"/>
              </w:numPr>
              <w:pBdr>
                <w:top w:val="nil"/>
                <w:left w:val="nil"/>
                <w:bottom w:val="nil"/>
                <w:right w:val="nil"/>
                <w:between w:val="nil"/>
              </w:pBdr>
              <w:rPr>
                <w:color w:val="000000"/>
                <w:sz w:val="24"/>
                <w:szCs w:val="24"/>
                <w:lang w:val="fr-BE"/>
              </w:rPr>
            </w:pPr>
            <w:r w:rsidRPr="00902425">
              <w:rPr>
                <w:color w:val="000000"/>
                <w:sz w:val="24"/>
                <w:szCs w:val="24"/>
                <w:lang w:val="fr-BE"/>
              </w:rPr>
              <w:t xml:space="preserve">Chantier 1: Le résultat escompté 5 parle de systèmes d’information et mécanismes financiers et cadres normatifs sensibles au genre; </w:t>
            </w:r>
            <w:r>
              <w:rPr>
                <w:color w:val="000000"/>
                <w:sz w:val="24"/>
                <w:szCs w:val="24"/>
                <w:lang w:val="fr-BE"/>
              </w:rPr>
              <w:t>m</w:t>
            </w:r>
            <w:r w:rsidRPr="00902425">
              <w:rPr>
                <w:color w:val="000000"/>
                <w:sz w:val="24"/>
                <w:szCs w:val="24"/>
                <w:lang w:val="fr-BE"/>
              </w:rPr>
              <w:t xml:space="preserve">ais </w:t>
            </w:r>
            <w:r>
              <w:rPr>
                <w:color w:val="000000"/>
                <w:sz w:val="24"/>
                <w:szCs w:val="24"/>
                <w:lang w:val="fr-BE"/>
              </w:rPr>
              <w:t>il n’y a pas</w:t>
            </w:r>
            <w:r w:rsidRPr="00902425">
              <w:rPr>
                <w:color w:val="000000"/>
                <w:sz w:val="24"/>
                <w:szCs w:val="24"/>
                <w:lang w:val="fr-BE"/>
              </w:rPr>
              <w:t xml:space="preserve"> des indicateurs vraiment correspondants. </w:t>
            </w:r>
            <w:r>
              <w:rPr>
                <w:color w:val="000000"/>
                <w:sz w:val="24"/>
                <w:szCs w:val="24"/>
                <w:lang w:val="fr-BE"/>
              </w:rPr>
              <w:t>I</w:t>
            </w:r>
            <w:r w:rsidRPr="00902425">
              <w:rPr>
                <w:color w:val="000000"/>
                <w:sz w:val="24"/>
                <w:szCs w:val="24"/>
                <w:lang w:val="fr-BE"/>
              </w:rPr>
              <w:t>l n’</w:t>
            </w:r>
            <w:r>
              <w:rPr>
                <w:color w:val="000000"/>
                <w:sz w:val="24"/>
                <w:szCs w:val="24"/>
                <w:lang w:val="fr-BE"/>
              </w:rPr>
              <w:t>y</w:t>
            </w:r>
            <w:r w:rsidRPr="00902425">
              <w:rPr>
                <w:color w:val="000000"/>
                <w:sz w:val="24"/>
                <w:szCs w:val="24"/>
                <w:lang w:val="fr-BE"/>
              </w:rPr>
              <w:t xml:space="preserve"> a pas de li</w:t>
            </w:r>
            <w:r>
              <w:rPr>
                <w:color w:val="000000"/>
                <w:sz w:val="24"/>
                <w:szCs w:val="24"/>
                <w:lang w:val="fr-BE"/>
              </w:rPr>
              <w:t>g</w:t>
            </w:r>
            <w:r w:rsidRPr="00902425">
              <w:rPr>
                <w:color w:val="000000"/>
                <w:sz w:val="24"/>
                <w:szCs w:val="24"/>
                <w:lang w:val="fr-BE"/>
              </w:rPr>
              <w:t xml:space="preserve">ne </w:t>
            </w:r>
            <w:r>
              <w:rPr>
                <w:color w:val="000000"/>
                <w:sz w:val="24"/>
                <w:szCs w:val="24"/>
                <w:lang w:val="fr-BE"/>
              </w:rPr>
              <w:t xml:space="preserve">de </w:t>
            </w:r>
            <w:r w:rsidRPr="00902425">
              <w:rPr>
                <w:color w:val="000000"/>
                <w:sz w:val="24"/>
                <w:szCs w:val="24"/>
                <w:lang w:val="fr-BE"/>
              </w:rPr>
              <w:t>base</w:t>
            </w:r>
            <w:r>
              <w:rPr>
                <w:color w:val="000000"/>
                <w:sz w:val="24"/>
                <w:szCs w:val="24"/>
                <w:lang w:val="fr-BE"/>
              </w:rPr>
              <w:t xml:space="preserve"> pour ce résultat.</w:t>
            </w:r>
          </w:p>
          <w:p w14:paraId="2CB0CDE0" w14:textId="77777777" w:rsidR="00F66AA9" w:rsidRPr="00F66AA9" w:rsidRDefault="00F66AA9" w:rsidP="00E65F62">
            <w:pPr>
              <w:pBdr>
                <w:top w:val="nil"/>
                <w:left w:val="nil"/>
                <w:bottom w:val="nil"/>
                <w:right w:val="nil"/>
                <w:between w:val="nil"/>
              </w:pBdr>
              <w:ind w:left="720"/>
              <w:rPr>
                <w:color w:val="000000"/>
                <w:sz w:val="24"/>
                <w:szCs w:val="24"/>
                <w:lang w:val="es-ES"/>
              </w:rPr>
            </w:pPr>
          </w:p>
        </w:tc>
        <w:tc>
          <w:tcPr>
            <w:tcW w:w="6030" w:type="dxa"/>
          </w:tcPr>
          <w:p w14:paraId="36C2D210" w14:textId="7886F91E" w:rsidR="00F66AA9" w:rsidRPr="0005758F" w:rsidRDefault="0005758F" w:rsidP="0005758F">
            <w:pPr>
              <w:numPr>
                <w:ilvl w:val="0"/>
                <w:numId w:val="1"/>
              </w:numPr>
              <w:rPr>
                <w:color w:val="000000"/>
                <w:sz w:val="24"/>
                <w:szCs w:val="24"/>
                <w:lang w:val="fr-FR"/>
              </w:rPr>
            </w:pPr>
            <w:r w:rsidRPr="0005758F">
              <w:rPr>
                <w:color w:val="000000"/>
                <w:sz w:val="24"/>
                <w:szCs w:val="24"/>
                <w:lang w:val="fr-FR"/>
              </w:rPr>
              <w:t xml:space="preserve">Une situation de référence </w:t>
            </w:r>
            <w:r>
              <w:rPr>
                <w:color w:val="000000"/>
                <w:sz w:val="24"/>
                <w:szCs w:val="24"/>
                <w:lang w:val="fr-FR"/>
              </w:rPr>
              <w:t>sera élaborée à travers une étude pour mieux connaître l’état actuel. Cette étude permettra dans le cadre des projets et programmes à mettre en œuvre d’identifier les cibles et d’élaborer les indicateurs qui seront visés qui seront sensibles au genre. Les lignes de base seront donc connues lors de l’étude sur la situation de référence.</w:t>
            </w:r>
          </w:p>
        </w:tc>
      </w:tr>
      <w:tr w:rsidR="00F66AA9" w:rsidRPr="00EE65AE" w14:paraId="6BE43421" w14:textId="4DAAA1A6" w:rsidTr="00592B4E">
        <w:trPr>
          <w:trHeight w:val="485"/>
        </w:trPr>
        <w:tc>
          <w:tcPr>
            <w:tcW w:w="8365" w:type="dxa"/>
            <w:tcBorders>
              <w:bottom w:val="single" w:sz="4" w:space="0" w:color="000000"/>
            </w:tcBorders>
          </w:tcPr>
          <w:p w14:paraId="2DA346E9" w14:textId="0AECFCEC" w:rsidR="00F66AA9" w:rsidRPr="00E65F62" w:rsidRDefault="00F66AA9" w:rsidP="008D3FD2">
            <w:pPr>
              <w:numPr>
                <w:ilvl w:val="0"/>
                <w:numId w:val="1"/>
              </w:numPr>
              <w:pBdr>
                <w:top w:val="nil"/>
                <w:left w:val="nil"/>
                <w:bottom w:val="nil"/>
                <w:right w:val="nil"/>
                <w:between w:val="nil"/>
              </w:pBdr>
              <w:rPr>
                <w:color w:val="000000"/>
                <w:sz w:val="24"/>
                <w:szCs w:val="24"/>
                <w:lang w:val="fr-BE"/>
              </w:rPr>
            </w:pPr>
            <w:r>
              <w:rPr>
                <w:color w:val="000000"/>
                <w:sz w:val="24"/>
                <w:szCs w:val="24"/>
                <w:lang w:val="fr-BE"/>
              </w:rPr>
              <w:t>I</w:t>
            </w:r>
            <w:r w:rsidRPr="001415E3">
              <w:rPr>
                <w:color w:val="000000"/>
                <w:sz w:val="24"/>
                <w:szCs w:val="24"/>
                <w:lang w:val="fr-BE"/>
              </w:rPr>
              <w:t>l n’y a pas un indicateur genre sur la résilience basée sur la gestion des risques, la gouvernance territoriale et la gestion environnementale.</w:t>
            </w:r>
            <w:r>
              <w:rPr>
                <w:color w:val="000000"/>
                <w:sz w:val="24"/>
                <w:szCs w:val="24"/>
                <w:lang w:val="fr-BE"/>
              </w:rPr>
              <w:br/>
            </w:r>
          </w:p>
        </w:tc>
        <w:tc>
          <w:tcPr>
            <w:tcW w:w="6030" w:type="dxa"/>
            <w:tcBorders>
              <w:bottom w:val="single" w:sz="4" w:space="0" w:color="000000"/>
            </w:tcBorders>
          </w:tcPr>
          <w:p w14:paraId="394DB3A5" w14:textId="370BBBB5" w:rsidR="00EE65AE" w:rsidRPr="00EE65AE" w:rsidRDefault="0005758F" w:rsidP="00EE65AE">
            <w:pPr>
              <w:numPr>
                <w:ilvl w:val="0"/>
                <w:numId w:val="1"/>
              </w:numPr>
              <w:rPr>
                <w:color w:val="000000"/>
                <w:sz w:val="24"/>
                <w:szCs w:val="24"/>
                <w:lang w:val="en-US"/>
              </w:rPr>
            </w:pPr>
            <w:r w:rsidRPr="00EE65AE">
              <w:rPr>
                <w:color w:val="000000"/>
                <w:sz w:val="24"/>
                <w:szCs w:val="24"/>
                <w:lang w:val="en-US"/>
              </w:rPr>
              <w:t xml:space="preserve">L’output 4.2 du CPD </w:t>
            </w:r>
            <w:r w:rsidRPr="00EE65AE">
              <w:rPr>
                <w:b/>
                <w:bCs/>
                <w:sz w:val="20"/>
                <w:szCs w:val="20"/>
                <w:lang w:val="en-GB"/>
              </w:rPr>
              <w:t>“Public institutions at the national and local levels have stronger capacities for the integrated implementation of the National Disaster Risk Management Plan and the National Climate Change Adaptation Plan”</w:t>
            </w:r>
            <w:r w:rsidRPr="00EE65AE">
              <w:rPr>
                <w:color w:val="000000"/>
                <w:sz w:val="24"/>
                <w:szCs w:val="24"/>
                <w:lang w:val="en-US"/>
              </w:rPr>
              <w:t xml:space="preserve"> </w:t>
            </w:r>
            <w:r w:rsidR="00EE65AE" w:rsidRPr="00EE65AE">
              <w:rPr>
                <w:color w:val="000000"/>
                <w:sz w:val="24"/>
                <w:szCs w:val="24"/>
                <w:lang w:val="en-US"/>
              </w:rPr>
              <w:t>ad</w:t>
            </w:r>
            <w:r w:rsidR="00EE65AE">
              <w:rPr>
                <w:color w:val="000000"/>
                <w:sz w:val="24"/>
                <w:szCs w:val="24"/>
                <w:lang w:val="en-US"/>
              </w:rPr>
              <w:t xml:space="preserve">resse bien </w:t>
            </w:r>
            <w:r w:rsidRPr="00EE65AE">
              <w:rPr>
                <w:color w:val="000000"/>
                <w:sz w:val="24"/>
                <w:szCs w:val="24"/>
                <w:lang w:val="en-US"/>
              </w:rPr>
              <w:t>cette question.</w:t>
            </w:r>
          </w:p>
          <w:p w14:paraId="0C5AD26B" w14:textId="17579FE0" w:rsidR="0005758F" w:rsidRPr="00EE65AE" w:rsidRDefault="0005758F" w:rsidP="00EE65AE">
            <w:pPr>
              <w:numPr>
                <w:ilvl w:val="0"/>
                <w:numId w:val="1"/>
              </w:numPr>
              <w:rPr>
                <w:color w:val="000000"/>
                <w:sz w:val="24"/>
                <w:szCs w:val="24"/>
                <w:lang w:val="en-US"/>
              </w:rPr>
            </w:pPr>
            <w:r w:rsidRPr="00EE65AE">
              <w:rPr>
                <w:color w:val="000000"/>
                <w:sz w:val="24"/>
                <w:szCs w:val="24"/>
                <w:lang w:val="en-US"/>
              </w:rPr>
              <w:lastRenderedPageBreak/>
              <w:t>L</w:t>
            </w:r>
            <w:r w:rsidR="00EE65AE">
              <w:rPr>
                <w:color w:val="000000"/>
                <w:sz w:val="24"/>
                <w:szCs w:val="24"/>
                <w:lang w:val="en-US"/>
              </w:rPr>
              <w:t>’</w:t>
            </w:r>
            <w:r w:rsidRPr="00EE65AE">
              <w:rPr>
                <w:color w:val="000000"/>
                <w:sz w:val="24"/>
                <w:szCs w:val="24"/>
                <w:lang w:val="en-US"/>
              </w:rPr>
              <w:t xml:space="preserve">indicateur 4.2.3 </w:t>
            </w:r>
            <w:r w:rsidRPr="00EE65AE">
              <w:rPr>
                <w:b/>
                <w:bCs/>
                <w:sz w:val="20"/>
                <w:szCs w:val="20"/>
                <w:lang w:val="en-GB"/>
              </w:rPr>
              <w:t>“Number of concrete actions for prevention and multidimensional risk reduction at the national and/or local level carried out by National Disaster and Risk Management System actors identified and updated using new information technologies disaggregated by gender of its promoters”</w:t>
            </w:r>
            <w:r w:rsidRPr="00EE65AE">
              <w:rPr>
                <w:color w:val="000000"/>
                <w:sz w:val="24"/>
                <w:szCs w:val="24"/>
                <w:lang w:val="en-US"/>
              </w:rPr>
              <w:t xml:space="preserve"> </w:t>
            </w:r>
            <w:r w:rsidR="00EE65AE" w:rsidRPr="00EE65AE">
              <w:rPr>
                <w:color w:val="000000"/>
                <w:sz w:val="24"/>
                <w:szCs w:val="24"/>
                <w:lang w:val="en-US"/>
              </w:rPr>
              <w:t>précise bien l</w:t>
            </w:r>
            <w:r w:rsidR="00EE65AE">
              <w:rPr>
                <w:color w:val="000000"/>
                <w:sz w:val="24"/>
                <w:szCs w:val="24"/>
                <w:lang w:val="en-US"/>
              </w:rPr>
              <w:t>es données et les cibles à atteindre</w:t>
            </w:r>
          </w:p>
          <w:p w14:paraId="26083712" w14:textId="5B532567" w:rsidR="00F66AA9" w:rsidRPr="00EE65AE" w:rsidRDefault="00EE65AE" w:rsidP="00516DC2">
            <w:pPr>
              <w:numPr>
                <w:ilvl w:val="0"/>
                <w:numId w:val="1"/>
              </w:numPr>
              <w:rPr>
                <w:color w:val="000000"/>
                <w:sz w:val="24"/>
                <w:szCs w:val="24"/>
                <w:lang w:val="fr-FR"/>
              </w:rPr>
            </w:pPr>
            <w:r>
              <w:rPr>
                <w:color w:val="000000"/>
                <w:sz w:val="24"/>
                <w:szCs w:val="24"/>
                <w:lang w:val="fr-FR"/>
              </w:rPr>
              <w:t>Tous les indicateurs désagrégés seront précisés dans les documents de projets et programmes qui seront élaborés pour soutenir l’implémentation du CPD</w:t>
            </w:r>
          </w:p>
        </w:tc>
      </w:tr>
    </w:tbl>
    <w:p w14:paraId="56B05CBE" w14:textId="77777777" w:rsidR="00731AD9" w:rsidRDefault="00731AD9" w:rsidP="00731AD9">
      <w:pPr>
        <w:spacing w:after="0" w:line="240" w:lineRule="auto"/>
        <w:jc w:val="center"/>
        <w:rPr>
          <w:sz w:val="24"/>
          <w:szCs w:val="24"/>
        </w:rPr>
      </w:pPr>
      <w:r>
        <w:rPr>
          <w:sz w:val="24"/>
          <w:szCs w:val="24"/>
        </w:rPr>
        <w:lastRenderedPageBreak/>
        <w:t>_______</w:t>
      </w:r>
    </w:p>
    <w:p w14:paraId="45407B6E" w14:textId="1FCEC978" w:rsidR="00010A8E" w:rsidRDefault="00010A8E" w:rsidP="00731AD9">
      <w:pPr>
        <w:tabs>
          <w:tab w:val="left" w:pos="5565"/>
          <w:tab w:val="center" w:pos="7222"/>
        </w:tabs>
        <w:spacing w:after="0" w:line="240" w:lineRule="auto"/>
        <w:jc w:val="center"/>
        <w:rPr>
          <w:sz w:val="24"/>
          <w:szCs w:val="24"/>
        </w:rPr>
      </w:pPr>
    </w:p>
    <w:sectPr w:rsidR="00010A8E">
      <w:footerReference w:type="default" r:id="rId8"/>
      <w:headerReference w:type="first" r:id="rId9"/>
      <w:footerReference w:type="first" r:id="rId10"/>
      <w:pgSz w:w="16838" w:h="11906" w:orient="landscape"/>
      <w:pgMar w:top="1440" w:right="864" w:bottom="1440" w:left="15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F093" w14:textId="77777777" w:rsidR="002700BD" w:rsidRDefault="002700BD">
      <w:pPr>
        <w:spacing w:after="0" w:line="240" w:lineRule="auto"/>
      </w:pPr>
      <w:r>
        <w:separator/>
      </w:r>
    </w:p>
  </w:endnote>
  <w:endnote w:type="continuationSeparator" w:id="0">
    <w:p w14:paraId="06BAC25D" w14:textId="77777777" w:rsidR="002700BD" w:rsidRDefault="0027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E93F" w14:textId="155506B7" w:rsidR="00010A8E" w:rsidRDefault="0014321B" w:rsidP="00731AD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46B16">
      <w:rPr>
        <w:noProof/>
        <w:color w:val="000000"/>
      </w:rPr>
      <w:t>2</w:t>
    </w:r>
    <w:r>
      <w:rPr>
        <w:color w:val="000000"/>
      </w:rPr>
      <w:fldChar w:fldCharType="end"/>
    </w:r>
  </w:p>
  <w:p w14:paraId="3272F040" w14:textId="77777777" w:rsidR="00010A8E" w:rsidRDefault="00010A8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BF23" w14:textId="77777777" w:rsidR="00010A8E" w:rsidRDefault="0014321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F08508D" w14:textId="77777777" w:rsidR="00010A8E" w:rsidRDefault="00010A8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CAC5" w14:textId="77777777" w:rsidR="002700BD" w:rsidRDefault="002700BD">
      <w:pPr>
        <w:spacing w:after="0" w:line="240" w:lineRule="auto"/>
      </w:pPr>
      <w:r>
        <w:separator/>
      </w:r>
    </w:p>
  </w:footnote>
  <w:footnote w:type="continuationSeparator" w:id="0">
    <w:p w14:paraId="3A188485" w14:textId="77777777" w:rsidR="002700BD" w:rsidRDefault="00270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FD26" w14:textId="77777777" w:rsidR="00010A8E" w:rsidRDefault="0014321B">
    <w:pPr>
      <w:spacing w:line="240" w:lineRule="auto"/>
      <w:jc w:val="center"/>
      <w:rPr>
        <w:b/>
        <w:sz w:val="28"/>
        <w:szCs w:val="28"/>
      </w:rPr>
    </w:pPr>
    <w:r>
      <w:rPr>
        <w:b/>
        <w:sz w:val="28"/>
        <w:szCs w:val="28"/>
      </w:rPr>
      <w:t xml:space="preserve">UNFPA RESPONSES TO EXECUTIVE BOARD MEMBER DELEGATIONS </w:t>
    </w:r>
    <w:r>
      <w:rPr>
        <w:b/>
        <w:sz w:val="28"/>
        <w:szCs w:val="28"/>
      </w:rPr>
      <w:br/>
      <w:t xml:space="preserve">PROVIDING COMMENTS ON </w:t>
    </w:r>
    <w:r>
      <w:rPr>
        <w:b/>
        <w:sz w:val="28"/>
        <w:szCs w:val="28"/>
      </w:rPr>
      <w:br/>
      <w:t>UNFPA DRAFT COUNTRY PROGRAMME DOCUMENTS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4654"/>
    <w:multiLevelType w:val="multilevel"/>
    <w:tmpl w:val="9EDCF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E241AD"/>
    <w:multiLevelType w:val="hybridMultilevel"/>
    <w:tmpl w:val="B6264F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0AQJTUzMTMwNTSyUdpeDU4uLM/DyQAqNaAD0HAyksAAAA"/>
    <w:docVar w:name="LW_DocType" w:val="NORMAL"/>
  </w:docVars>
  <w:rsids>
    <w:rsidRoot w:val="00010A8E"/>
    <w:rsid w:val="00010A8E"/>
    <w:rsid w:val="00027466"/>
    <w:rsid w:val="00040953"/>
    <w:rsid w:val="00041302"/>
    <w:rsid w:val="0005758F"/>
    <w:rsid w:val="000731C9"/>
    <w:rsid w:val="000C5473"/>
    <w:rsid w:val="0011395B"/>
    <w:rsid w:val="001415E3"/>
    <w:rsid w:val="0014321B"/>
    <w:rsid w:val="001668D8"/>
    <w:rsid w:val="001B5100"/>
    <w:rsid w:val="001D14B2"/>
    <w:rsid w:val="00241C2C"/>
    <w:rsid w:val="002661F9"/>
    <w:rsid w:val="002700BD"/>
    <w:rsid w:val="0028618D"/>
    <w:rsid w:val="00373B35"/>
    <w:rsid w:val="003D3439"/>
    <w:rsid w:val="004B1C64"/>
    <w:rsid w:val="004C0C31"/>
    <w:rsid w:val="00516DC2"/>
    <w:rsid w:val="00592B4E"/>
    <w:rsid w:val="005E2152"/>
    <w:rsid w:val="0064702A"/>
    <w:rsid w:val="006B01E9"/>
    <w:rsid w:val="006C76C9"/>
    <w:rsid w:val="00700103"/>
    <w:rsid w:val="00731AD9"/>
    <w:rsid w:val="007B6664"/>
    <w:rsid w:val="007F3ECB"/>
    <w:rsid w:val="0081444A"/>
    <w:rsid w:val="00825427"/>
    <w:rsid w:val="00841E15"/>
    <w:rsid w:val="00845685"/>
    <w:rsid w:val="008B34EB"/>
    <w:rsid w:val="00902425"/>
    <w:rsid w:val="009D048A"/>
    <w:rsid w:val="009D5A12"/>
    <w:rsid w:val="00A01A3D"/>
    <w:rsid w:val="00A039A0"/>
    <w:rsid w:val="00A26199"/>
    <w:rsid w:val="00AA498D"/>
    <w:rsid w:val="00AB7EA2"/>
    <w:rsid w:val="00AD71BE"/>
    <w:rsid w:val="00B410BC"/>
    <w:rsid w:val="00B42541"/>
    <w:rsid w:val="00B761F9"/>
    <w:rsid w:val="00C03957"/>
    <w:rsid w:val="00C46B41"/>
    <w:rsid w:val="00C544C6"/>
    <w:rsid w:val="00C642E0"/>
    <w:rsid w:val="00CA7B07"/>
    <w:rsid w:val="00D53A9D"/>
    <w:rsid w:val="00DD499F"/>
    <w:rsid w:val="00DF39DC"/>
    <w:rsid w:val="00DF793F"/>
    <w:rsid w:val="00E21A97"/>
    <w:rsid w:val="00E65F62"/>
    <w:rsid w:val="00E87DDC"/>
    <w:rsid w:val="00EA4BAF"/>
    <w:rsid w:val="00ED2DCD"/>
    <w:rsid w:val="00EE65AE"/>
    <w:rsid w:val="00EF44AF"/>
    <w:rsid w:val="00F46B16"/>
    <w:rsid w:val="00F66AA9"/>
    <w:rsid w:val="00F90685"/>
    <w:rsid w:val="00FF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20FD"/>
  <w15:docId w15:val="{FE7C1309-7B1A-4530-8508-CF11F665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18"/>
        <w:szCs w:val="18"/>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50184">
      <w:bodyDiv w:val="1"/>
      <w:marLeft w:val="0"/>
      <w:marRight w:val="0"/>
      <w:marTop w:val="0"/>
      <w:marBottom w:val="0"/>
      <w:divBdr>
        <w:top w:val="none" w:sz="0" w:space="0" w:color="auto"/>
        <w:left w:val="none" w:sz="0" w:space="0" w:color="auto"/>
        <w:bottom w:val="none" w:sz="0" w:space="0" w:color="auto"/>
        <w:right w:val="none" w:sz="0" w:space="0" w:color="auto"/>
      </w:divBdr>
    </w:div>
    <w:div w:id="1785688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9MrHSqAcs7NpVwKqmIhbPesyDg==">AMUW2mXIUwbR6sfAikd+OZwgthVIxIZ2eTzgVskBlGMIFZxKkihcVrL3iudWvplC8y4mEHMq/vrERXROa9GadB7R6x3w4gKeTOiTktY+Gq7JYpVzJWh27jg=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6158</Characters>
  <Application>Microsoft Office Word</Application>
  <DocSecurity>4</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 Rutsch</dc:creator>
  <cp:lastModifiedBy>Svetlana Iazykova</cp:lastModifiedBy>
  <cp:revision>2</cp:revision>
  <cp:lastPrinted>2022-11-28T19:27:00Z</cp:lastPrinted>
  <dcterms:created xsi:type="dcterms:W3CDTF">2022-12-04T22:06:00Z</dcterms:created>
  <dcterms:modified xsi:type="dcterms:W3CDTF">2022-12-04T22:06:00Z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