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D2B8" w14:textId="5714EBCA" w:rsidR="004C5416" w:rsidRPr="00D763E8" w:rsidRDefault="004C5416" w:rsidP="004C5416">
      <w:pPr>
        <w:rPr>
          <w:color w:val="000000"/>
          <w:lang w:val="en-GB"/>
        </w:rPr>
      </w:pPr>
      <w:r w:rsidRPr="00D763E8">
        <w:rPr>
          <w:b/>
          <w:bCs/>
          <w:color w:val="000000"/>
          <w:lang w:val="en-GB"/>
        </w:rPr>
        <w:t>ANNEX</w:t>
      </w:r>
      <w:r w:rsidR="00C97E31">
        <w:rPr>
          <w:b/>
          <w:bCs/>
          <w:color w:val="000000"/>
          <w:lang w:val="en-GB"/>
        </w:rPr>
        <w:t>:</w:t>
      </w:r>
      <w:r w:rsidRPr="00D763E8">
        <w:rPr>
          <w:color w:val="000000"/>
          <w:lang w:val="en-GB"/>
        </w:rPr>
        <w:t xml:space="preserve"> </w:t>
      </w:r>
      <w:r w:rsidRPr="00D763E8">
        <w:rPr>
          <w:b/>
          <w:bCs/>
          <w:color w:val="000000"/>
          <w:lang w:val="en-GB"/>
        </w:rPr>
        <w:t xml:space="preserve">FULLY-COSTED EVALUATION PLAN </w:t>
      </w:r>
    </w:p>
    <w:tbl>
      <w:tblPr>
        <w:tblpPr w:leftFromText="180" w:rightFromText="180" w:vertAnchor="text" w:horzAnchor="margin" w:tblpXSpec="center" w:tblpY="143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811"/>
        <w:gridCol w:w="2492"/>
        <w:gridCol w:w="2124"/>
        <w:gridCol w:w="1080"/>
        <w:gridCol w:w="990"/>
        <w:gridCol w:w="1232"/>
        <w:gridCol w:w="1107"/>
        <w:gridCol w:w="1074"/>
      </w:tblGrid>
      <w:tr w:rsidR="00957B39" w:rsidRPr="00D763E8" w14:paraId="1796D2C3" w14:textId="77777777" w:rsidTr="7A1C33BC">
        <w:trPr>
          <w:trHeight w:val="845"/>
        </w:trPr>
        <w:tc>
          <w:tcPr>
            <w:tcW w:w="631" w:type="pct"/>
            <w:shd w:val="clear" w:color="auto" w:fill="DEEAF6" w:themeFill="accent1" w:themeFillTint="33"/>
            <w:vAlign w:val="center"/>
          </w:tcPr>
          <w:p w14:paraId="1796D2B9" w14:textId="13321599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UN</w:t>
            </w:r>
            <w:r w:rsidR="00981DBD">
              <w:rPr>
                <w:b/>
                <w:bCs/>
                <w:sz w:val="16"/>
                <w:szCs w:val="16"/>
                <w:lang w:val="en-GB"/>
              </w:rPr>
              <w:t>C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F (or equivalent)</w:t>
            </w:r>
          </w:p>
          <w:p w14:paraId="1796D2BA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14:paraId="1796D2BB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UNDP Strategic Plan Outcome</w:t>
            </w:r>
          </w:p>
        </w:tc>
        <w:tc>
          <w:tcPr>
            <w:tcW w:w="914" w:type="pct"/>
            <w:shd w:val="clear" w:color="auto" w:fill="DEEAF6" w:themeFill="accent1" w:themeFillTint="33"/>
            <w:vAlign w:val="center"/>
          </w:tcPr>
          <w:p w14:paraId="1796D2BC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Evaluation Title</w:t>
            </w:r>
          </w:p>
        </w:tc>
        <w:tc>
          <w:tcPr>
            <w:tcW w:w="779" w:type="pct"/>
            <w:shd w:val="clear" w:color="auto" w:fill="DEEAF6" w:themeFill="accent1" w:themeFillTint="33"/>
            <w:vAlign w:val="center"/>
          </w:tcPr>
          <w:p w14:paraId="1796D2BD" w14:textId="77777777" w:rsidR="004C5416" w:rsidRPr="00D763E8" w:rsidDel="00BA628C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Partners (joint evaluation)</w:t>
            </w:r>
          </w:p>
        </w:tc>
        <w:tc>
          <w:tcPr>
            <w:tcW w:w="396" w:type="pct"/>
            <w:shd w:val="clear" w:color="auto" w:fill="DEEAF6" w:themeFill="accent1" w:themeFillTint="33"/>
            <w:vAlign w:val="center"/>
          </w:tcPr>
          <w:p w14:paraId="1796D2BE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Evaluation commissioned by (if not UNDP)</w:t>
            </w:r>
          </w:p>
        </w:tc>
        <w:tc>
          <w:tcPr>
            <w:tcW w:w="363" w:type="pct"/>
            <w:shd w:val="clear" w:color="auto" w:fill="DEEAF6" w:themeFill="accent1" w:themeFillTint="33"/>
            <w:vAlign w:val="center"/>
          </w:tcPr>
          <w:p w14:paraId="1796D2BF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Type of evaluation</w:t>
            </w:r>
          </w:p>
        </w:tc>
        <w:tc>
          <w:tcPr>
            <w:tcW w:w="452" w:type="pct"/>
            <w:shd w:val="clear" w:color="auto" w:fill="DEEAF6" w:themeFill="accent1" w:themeFillTint="33"/>
            <w:vAlign w:val="center"/>
          </w:tcPr>
          <w:p w14:paraId="1796D2C0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Planned Evaluation Completion Date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</w:tcPr>
          <w:p w14:paraId="1796D2C1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Estimated Cost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1796D2C2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Provisional Source of Funding</w:t>
            </w:r>
          </w:p>
        </w:tc>
      </w:tr>
      <w:tr w:rsidR="00957B39" w:rsidRPr="00D763E8" w14:paraId="1796D2CE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796D2C5" w14:textId="2428A229" w:rsidR="004C5416" w:rsidRPr="00D763E8" w:rsidRDefault="004C5416" w:rsidP="01990935">
            <w:pPr>
              <w:rPr>
                <w:color w:val="000000" w:themeColor="text1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Outcome 1</w:t>
            </w:r>
            <w:r w:rsidRPr="00981DBD">
              <w:rPr>
                <w:sz w:val="16"/>
                <w:szCs w:val="16"/>
                <w:lang w:val="en-GB"/>
              </w:rPr>
              <w:t xml:space="preserve">. </w:t>
            </w:r>
            <w:r w:rsidR="00981DBD" w:rsidRPr="00981DBD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="00981DBD" w:rsidRPr="00981DBD">
              <w:rPr>
                <w:sz w:val="16"/>
                <w:szCs w:val="16"/>
              </w:rPr>
              <w:t>marginalised</w:t>
            </w:r>
            <w:proofErr w:type="spellEnd"/>
            <w:r w:rsidR="00981DBD" w:rsidRPr="00981DBD">
              <w:rPr>
                <w:sz w:val="16"/>
                <w:szCs w:val="16"/>
              </w:rPr>
              <w:t xml:space="preserve"> in Lao </w:t>
            </w:r>
            <w:r w:rsidR="1BFEC824" w:rsidRPr="00981DBD">
              <w:rPr>
                <w:sz w:val="16"/>
                <w:szCs w:val="16"/>
              </w:rPr>
              <w:t>PDR will</w:t>
            </w:r>
            <w:r w:rsidR="1BFEC824" w:rsidRPr="01990935">
              <w:rPr>
                <w:sz w:val="16"/>
                <w:szCs w:val="16"/>
              </w:rPr>
              <w:t xml:space="preserve"> benefit from more inclusive, resilient, transformative, and sustainable socio-economic and demographic opportunities to reduce poverty and inequalities</w:t>
            </w:r>
          </w:p>
        </w:tc>
        <w:tc>
          <w:tcPr>
            <w:tcW w:w="664" w:type="pct"/>
            <w:shd w:val="clear" w:color="auto" w:fill="FFFFFF" w:themeFill="background1"/>
          </w:tcPr>
          <w:p w14:paraId="1796D2C6" w14:textId="32935BB5" w:rsidR="004C5416" w:rsidRPr="00D763E8" w:rsidRDefault="00563916" w:rsidP="01990935">
            <w:pPr>
              <w:rPr>
                <w:rStyle w:val="eop"/>
                <w:color w:val="0000FF"/>
                <w:lang w:val="en-GB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 w:rsidR="00DC530E">
              <w:rPr>
                <w:sz w:val="16"/>
                <w:szCs w:val="16"/>
              </w:rPr>
              <w:t>.</w:t>
            </w:r>
            <w:r w:rsidRPr="00563916">
              <w:rPr>
                <w:sz w:val="16"/>
                <w:szCs w:val="16"/>
              </w:rPr>
              <w:t xml:space="preserve"> Advance poverty eradication in all its forms and dimensions </w:t>
            </w:r>
          </w:p>
        </w:tc>
        <w:tc>
          <w:tcPr>
            <w:tcW w:w="914" w:type="pct"/>
            <w:shd w:val="clear" w:color="auto" w:fill="FFFFFF" w:themeFill="background1"/>
          </w:tcPr>
          <w:p w14:paraId="1796D2C7" w14:textId="447890DF" w:rsidR="004C5416" w:rsidRPr="00D763E8" w:rsidRDefault="004C5416" w:rsidP="00DC530E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="00546D86">
              <w:rPr>
                <w:sz w:val="16"/>
                <w:szCs w:val="16"/>
                <w:lang w:val="en-GB"/>
              </w:rPr>
              <w:t>Support to the establishment of a su</w:t>
            </w:r>
            <w:r w:rsidR="00B03D95">
              <w:rPr>
                <w:sz w:val="16"/>
                <w:szCs w:val="16"/>
                <w:lang w:val="en-GB"/>
              </w:rPr>
              <w:t>s</w:t>
            </w:r>
            <w:r w:rsidR="00546D86">
              <w:rPr>
                <w:sz w:val="16"/>
                <w:szCs w:val="16"/>
                <w:lang w:val="en-GB"/>
              </w:rPr>
              <w:t xml:space="preserve">tainable </w:t>
            </w:r>
            <w:r w:rsidRPr="00D763E8">
              <w:rPr>
                <w:sz w:val="16"/>
                <w:szCs w:val="16"/>
                <w:lang w:val="en-GB"/>
              </w:rPr>
              <w:t xml:space="preserve">UXO </w:t>
            </w:r>
            <w:r w:rsidR="00546D86">
              <w:rPr>
                <w:sz w:val="16"/>
                <w:szCs w:val="16"/>
                <w:lang w:val="en-GB"/>
              </w:rPr>
              <w:t xml:space="preserve">sector in Lao PDR </w:t>
            </w:r>
          </w:p>
        </w:tc>
        <w:tc>
          <w:tcPr>
            <w:tcW w:w="779" w:type="pct"/>
            <w:shd w:val="clear" w:color="auto" w:fill="FFFFFF" w:themeFill="background1"/>
          </w:tcPr>
          <w:p w14:paraId="3BFC9638" w14:textId="77777777" w:rsidR="004C5416" w:rsidRDefault="004C5416" w:rsidP="00DC530E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National Regulatory Authority for UXO/Mine Action Sector in Lao PDR</w:t>
            </w:r>
          </w:p>
          <w:p w14:paraId="13ED2CD5" w14:textId="77777777" w:rsidR="00984E1A" w:rsidRDefault="00984E1A" w:rsidP="00DC530E">
            <w:pPr>
              <w:rPr>
                <w:sz w:val="16"/>
                <w:szCs w:val="16"/>
                <w:lang w:val="en-GB"/>
              </w:rPr>
            </w:pPr>
          </w:p>
          <w:p w14:paraId="1796D2C8" w14:textId="6580B468" w:rsidR="00984E1A" w:rsidRPr="00D763E8" w:rsidRDefault="00984E1A" w:rsidP="00DC53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UXO Lao </w:t>
            </w:r>
          </w:p>
        </w:tc>
        <w:tc>
          <w:tcPr>
            <w:tcW w:w="396" w:type="pct"/>
            <w:shd w:val="clear" w:color="auto" w:fill="FFFFFF" w:themeFill="background1"/>
          </w:tcPr>
          <w:p w14:paraId="1796D2C9" w14:textId="77777777" w:rsidR="004C5416" w:rsidRPr="00D763E8" w:rsidRDefault="004C5416" w:rsidP="00DC530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796D2CA" w14:textId="77777777" w:rsidR="004C5416" w:rsidRPr="00D763E8" w:rsidRDefault="004C5416" w:rsidP="00DC530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1796D2CB" w14:textId="17AD6D37" w:rsidR="004C5416" w:rsidRPr="00D763E8" w:rsidRDefault="004C5416" w:rsidP="00DC530E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June 20</w:t>
            </w:r>
            <w:r w:rsidR="00D948EA"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406" w:type="pct"/>
            <w:shd w:val="clear" w:color="auto" w:fill="FFFFFF" w:themeFill="background1"/>
          </w:tcPr>
          <w:p w14:paraId="1796D2CC" w14:textId="0009C8DB" w:rsidR="004C5416" w:rsidRPr="00D763E8" w:rsidRDefault="004C5416" w:rsidP="00DC530E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 w:rsidR="00D948EA">
              <w:rPr>
                <w:sz w:val="16"/>
                <w:szCs w:val="16"/>
                <w:lang w:val="en-GB"/>
              </w:rPr>
              <w:t>3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1796D2CD" w14:textId="77777777" w:rsidR="004C5416" w:rsidRPr="00D763E8" w:rsidRDefault="004C5416" w:rsidP="00DC530E">
            <w:pPr>
              <w:rPr>
                <w:rStyle w:val="CommentReference"/>
              </w:rPr>
            </w:pPr>
            <w:r w:rsidRPr="00D763E8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D948EA" w:rsidRPr="00D763E8" w14:paraId="1796D2D9" w14:textId="77777777" w:rsidTr="7A1C33BC">
        <w:trPr>
          <w:trHeight w:val="2985"/>
        </w:trPr>
        <w:tc>
          <w:tcPr>
            <w:tcW w:w="631" w:type="pct"/>
            <w:shd w:val="clear" w:color="auto" w:fill="FFFFFF" w:themeFill="background1"/>
          </w:tcPr>
          <w:p w14:paraId="094AC5F1" w14:textId="2428A229" w:rsidR="00D948EA" w:rsidRPr="00D763E8" w:rsidRDefault="77175786" w:rsidP="01990935">
            <w:pPr>
              <w:spacing w:after="160" w:line="259" w:lineRule="auto"/>
              <w:rPr>
                <w:color w:val="000000" w:themeColor="text1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Outcome 1</w:t>
            </w:r>
            <w:r w:rsidRPr="01990935">
              <w:rPr>
                <w:sz w:val="16"/>
                <w:szCs w:val="16"/>
                <w:lang w:val="en-GB"/>
              </w:rPr>
              <w:t xml:space="preserve">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 will benefit from more inclusive, resilient, transformative, and sustainable socio-economic and demographic opportunities to reduce poverty and inequalities</w:t>
            </w:r>
          </w:p>
          <w:p w14:paraId="1796D2D0" w14:textId="5F41E91F" w:rsidR="00D948EA" w:rsidRPr="00D763E8" w:rsidRDefault="00D948EA" w:rsidP="01990935">
            <w:pPr>
              <w:spacing w:after="160" w:line="259" w:lineRule="auto"/>
              <w:rPr>
                <w:rStyle w:val="eop"/>
                <w:color w:val="0000FF"/>
                <w:lang w:val="en-GB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1796D2D1" w14:textId="21B11FD4" w:rsidR="00D948EA" w:rsidRPr="00D763E8" w:rsidRDefault="00265084" w:rsidP="01990935">
            <w:pPr>
              <w:rPr>
                <w:rStyle w:val="eop"/>
                <w:color w:val="0000FF"/>
                <w:lang w:val="en-GB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 w:rsidR="00DC530E">
              <w:rPr>
                <w:sz w:val="16"/>
                <w:szCs w:val="16"/>
              </w:rPr>
              <w:t xml:space="preserve">. </w:t>
            </w:r>
            <w:r w:rsidRPr="00563916">
              <w:rPr>
                <w:sz w:val="16"/>
                <w:szCs w:val="16"/>
              </w:rPr>
              <w:t>Advance poverty eradication in all its forms and dimensions </w:t>
            </w:r>
            <w:r w:rsidRPr="00D763E8">
              <w:rPr>
                <w:rStyle w:val="eop"/>
                <w:color w:val="0000FF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1796D2D2" w14:textId="3AEB08F2" w:rsidR="00D948EA" w:rsidRPr="00D763E8" w:rsidRDefault="00D948EA" w:rsidP="00D948EA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Final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 Evaluation: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="00B03D95">
              <w:rPr>
                <w:sz w:val="16"/>
                <w:szCs w:val="16"/>
                <w:lang w:val="en-GB"/>
              </w:rPr>
              <w:t xml:space="preserve"> Support to the establishment of a sustainable </w:t>
            </w:r>
            <w:r w:rsidR="00B03D95" w:rsidRPr="00D763E8">
              <w:rPr>
                <w:sz w:val="16"/>
                <w:szCs w:val="16"/>
                <w:lang w:val="en-GB"/>
              </w:rPr>
              <w:t xml:space="preserve">UXO </w:t>
            </w:r>
            <w:r w:rsidR="00B03D95">
              <w:rPr>
                <w:sz w:val="16"/>
                <w:szCs w:val="16"/>
                <w:lang w:val="en-GB"/>
              </w:rPr>
              <w:t>sector in Lao PDR</w:t>
            </w:r>
          </w:p>
        </w:tc>
        <w:tc>
          <w:tcPr>
            <w:tcW w:w="779" w:type="pct"/>
            <w:shd w:val="clear" w:color="auto" w:fill="FFFFFF" w:themeFill="background1"/>
          </w:tcPr>
          <w:p w14:paraId="14E53A17" w14:textId="77777777" w:rsidR="00D948EA" w:rsidRDefault="00D948EA" w:rsidP="00D948EA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National Regulatory Authority for UXO/Mine Action Sector in Lao PDR</w:t>
            </w:r>
          </w:p>
          <w:p w14:paraId="38F23B5B" w14:textId="77777777" w:rsidR="00D948EA" w:rsidRDefault="00D948EA" w:rsidP="00D948EA">
            <w:pPr>
              <w:rPr>
                <w:sz w:val="16"/>
                <w:szCs w:val="16"/>
                <w:lang w:val="en-GB"/>
              </w:rPr>
            </w:pPr>
          </w:p>
          <w:p w14:paraId="1796D2D3" w14:textId="3FDBD1F9" w:rsidR="00D948EA" w:rsidRPr="00D763E8" w:rsidRDefault="00D948EA" w:rsidP="00D948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UXO Lao </w:t>
            </w:r>
          </w:p>
        </w:tc>
        <w:tc>
          <w:tcPr>
            <w:tcW w:w="396" w:type="pct"/>
            <w:shd w:val="clear" w:color="auto" w:fill="FFFFFF" w:themeFill="background1"/>
          </w:tcPr>
          <w:p w14:paraId="1796D2D4" w14:textId="77777777" w:rsidR="00D948EA" w:rsidRPr="00D763E8" w:rsidRDefault="00D948EA" w:rsidP="00D948E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796D2D5" w14:textId="6F1314F9" w:rsidR="00D948EA" w:rsidRPr="00D763E8" w:rsidRDefault="00D948EA" w:rsidP="00D948E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1796D2D6" w14:textId="12B6CFCB" w:rsidR="00D948EA" w:rsidRPr="00D763E8" w:rsidRDefault="006B4D55" w:rsidP="00D948E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September </w:t>
            </w:r>
            <w:r w:rsidR="00D948EA" w:rsidRPr="00D763E8">
              <w:rPr>
                <w:sz w:val="16"/>
                <w:szCs w:val="16"/>
                <w:lang w:val="en-GB"/>
              </w:rPr>
              <w:t>20</w:t>
            </w:r>
            <w:r w:rsidR="00D948EA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406" w:type="pct"/>
            <w:shd w:val="clear" w:color="auto" w:fill="FFFFFF" w:themeFill="background1"/>
          </w:tcPr>
          <w:p w14:paraId="1796D2D7" w14:textId="27322103" w:rsidR="00D948EA" w:rsidRPr="00D763E8" w:rsidRDefault="00D948EA" w:rsidP="00D948EA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>
              <w:rPr>
                <w:sz w:val="16"/>
                <w:szCs w:val="16"/>
                <w:lang w:val="en-GB"/>
              </w:rPr>
              <w:t>3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1796D2D8" w14:textId="492939AB" w:rsidR="00D948EA" w:rsidRPr="00D763E8" w:rsidRDefault="00D948EA" w:rsidP="00D948EA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AD0A8C" w:rsidRPr="00D763E8" w14:paraId="5FBCBBF8" w14:textId="77777777" w:rsidTr="7A1C33BC">
        <w:trPr>
          <w:trHeight w:val="3140"/>
        </w:trPr>
        <w:tc>
          <w:tcPr>
            <w:tcW w:w="631" w:type="pct"/>
            <w:shd w:val="clear" w:color="auto" w:fill="FFFFFF" w:themeFill="background1"/>
          </w:tcPr>
          <w:p w14:paraId="346584BE" w14:textId="3C29DD51" w:rsidR="00AD0A8C" w:rsidRPr="01990935" w:rsidRDefault="00AD0A8C" w:rsidP="0038358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lastRenderedPageBreak/>
              <w:t>Outcome 1</w:t>
            </w:r>
            <w:r w:rsidRPr="01990935">
              <w:rPr>
                <w:sz w:val="16"/>
                <w:szCs w:val="16"/>
                <w:lang w:val="en-GB"/>
              </w:rPr>
              <w:t xml:space="preserve">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 will benefit from more inclusive, resilient, transformative, and sustainable socio-economic and demographic opportunities to reduce poverty and inequalities</w:t>
            </w:r>
          </w:p>
        </w:tc>
        <w:tc>
          <w:tcPr>
            <w:tcW w:w="664" w:type="pct"/>
            <w:shd w:val="clear" w:color="auto" w:fill="FFFFFF" w:themeFill="background1"/>
          </w:tcPr>
          <w:p w14:paraId="35A22CCA" w14:textId="24169A8F" w:rsidR="00AD0A8C" w:rsidRPr="00563916" w:rsidRDefault="00AD0A8C" w:rsidP="00AD0A8C">
            <w:pPr>
              <w:rPr>
                <w:b/>
                <w:bCs/>
                <w:sz w:val="16"/>
                <w:szCs w:val="16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563916">
              <w:rPr>
                <w:sz w:val="16"/>
                <w:szCs w:val="16"/>
              </w:rPr>
              <w:t>Advance poverty eradication in all its forms and dimensions </w:t>
            </w:r>
            <w:r w:rsidRPr="00D763E8">
              <w:rPr>
                <w:rStyle w:val="eop"/>
                <w:color w:val="0000FF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299D0AF7" w14:textId="06FE54E2" w:rsidR="00AD0A8C" w:rsidRDefault="00AD0A8C" w:rsidP="00AD0A8C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Thematic 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to enhance </w:t>
            </w:r>
            <w:r w:rsidR="005225A1">
              <w:rPr>
                <w:sz w:val="16"/>
                <w:szCs w:val="16"/>
                <w:lang w:val="en-GB"/>
              </w:rPr>
              <w:t xml:space="preserve">women and </w:t>
            </w:r>
            <w:r w:rsidR="00164925">
              <w:rPr>
                <w:sz w:val="16"/>
                <w:szCs w:val="16"/>
                <w:lang w:val="en-GB"/>
              </w:rPr>
              <w:t xml:space="preserve">youth </w:t>
            </w:r>
            <w:r w:rsidR="005225A1">
              <w:rPr>
                <w:sz w:val="16"/>
                <w:szCs w:val="16"/>
                <w:lang w:val="en-GB"/>
              </w:rPr>
              <w:t xml:space="preserve">empowerment </w:t>
            </w:r>
          </w:p>
        </w:tc>
        <w:tc>
          <w:tcPr>
            <w:tcW w:w="779" w:type="pct"/>
            <w:shd w:val="clear" w:color="auto" w:fill="FFFFFF" w:themeFill="background1"/>
          </w:tcPr>
          <w:p w14:paraId="08BA6772" w14:textId="620B3BBB" w:rsidR="00AD0A8C" w:rsidRPr="00D763E8" w:rsidRDefault="7B6DECB7" w:rsidP="00AD0A8C">
            <w:pPr>
              <w:rPr>
                <w:sz w:val="16"/>
                <w:szCs w:val="16"/>
                <w:lang w:val="en-GB"/>
              </w:rPr>
            </w:pPr>
            <w:r w:rsidRPr="7A1C33BC">
              <w:rPr>
                <w:sz w:val="16"/>
                <w:szCs w:val="16"/>
                <w:lang w:val="en-GB"/>
              </w:rPr>
              <w:t xml:space="preserve">Ministry of </w:t>
            </w:r>
            <w:r w:rsidR="7342223A" w:rsidRPr="7A1C33BC">
              <w:rPr>
                <w:sz w:val="16"/>
                <w:szCs w:val="16"/>
                <w:lang w:val="en-GB"/>
              </w:rPr>
              <w:t>Planning and Investment, Lao Women’s Union</w:t>
            </w:r>
            <w:r w:rsidR="033BBA93" w:rsidRPr="7A1C33BC">
              <w:rPr>
                <w:sz w:val="16"/>
                <w:szCs w:val="16"/>
                <w:lang w:val="en-GB"/>
              </w:rPr>
              <w:t>, Lao Youth Union</w:t>
            </w:r>
            <w:r w:rsidR="7342223A" w:rsidRPr="7A1C33BC">
              <w:rPr>
                <w:sz w:val="16"/>
                <w:szCs w:val="16"/>
                <w:lang w:val="en-GB"/>
              </w:rPr>
              <w:t xml:space="preserve"> </w:t>
            </w:r>
            <w:r w:rsidR="00084BDC" w:rsidRPr="7A1C33BC">
              <w:rPr>
                <w:sz w:val="16"/>
                <w:szCs w:val="16"/>
                <w:lang w:val="en-GB"/>
              </w:rPr>
              <w:t>, UNFPA (tbc), UNICEF (tbc)</w:t>
            </w:r>
            <w:r w:rsidRPr="7A1C33BC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" w:type="pct"/>
            <w:shd w:val="clear" w:color="auto" w:fill="FFFFFF" w:themeFill="background1"/>
          </w:tcPr>
          <w:p w14:paraId="721F3F5A" w14:textId="77777777" w:rsidR="00AD0A8C" w:rsidRPr="00D763E8" w:rsidRDefault="00AD0A8C" w:rsidP="00AD0A8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33CE4FB7" w14:textId="18A9F288" w:rsidR="00AD0A8C" w:rsidRDefault="0067402F" w:rsidP="00AD0A8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Thematic </w:t>
            </w:r>
          </w:p>
        </w:tc>
        <w:tc>
          <w:tcPr>
            <w:tcW w:w="452" w:type="pct"/>
            <w:shd w:val="clear" w:color="auto" w:fill="FFFFFF" w:themeFill="background1"/>
          </w:tcPr>
          <w:p w14:paraId="0CD4E83D" w14:textId="722051CB" w:rsidR="00AD0A8C" w:rsidRDefault="00DC7628" w:rsidP="00AD0A8C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Nov</w:t>
            </w:r>
            <w:r w:rsidR="00D929E4">
              <w:rPr>
                <w:sz w:val="16"/>
                <w:szCs w:val="16"/>
                <w:lang w:val="en-GB"/>
              </w:rPr>
              <w:t xml:space="preserve"> </w:t>
            </w:r>
            <w:r w:rsidR="00AD0A8C" w:rsidRPr="00D763E8">
              <w:rPr>
                <w:sz w:val="16"/>
                <w:szCs w:val="16"/>
                <w:lang w:val="en-GB"/>
              </w:rPr>
              <w:t>20</w:t>
            </w:r>
            <w:r w:rsidR="00AD0A8C">
              <w:rPr>
                <w:sz w:val="16"/>
                <w:szCs w:val="16"/>
                <w:lang w:val="en-GB"/>
              </w:rPr>
              <w:t>2</w:t>
            </w:r>
            <w:r w:rsidR="00D929E4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406" w:type="pct"/>
            <w:shd w:val="clear" w:color="auto" w:fill="FFFFFF" w:themeFill="background1"/>
          </w:tcPr>
          <w:p w14:paraId="5EDE2DF2" w14:textId="653EBD4E" w:rsidR="00AD0A8C" w:rsidRPr="00D763E8" w:rsidRDefault="00AD0A8C" w:rsidP="00AD0A8C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>
              <w:rPr>
                <w:sz w:val="16"/>
                <w:szCs w:val="16"/>
                <w:lang w:val="en-GB"/>
              </w:rPr>
              <w:t>3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0C958930" w14:textId="4AF427A6" w:rsidR="00AD0A8C" w:rsidRPr="00D763E8" w:rsidRDefault="00CB6036" w:rsidP="00AD0A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</w:p>
        </w:tc>
      </w:tr>
      <w:tr w:rsidR="00543B35" w:rsidRPr="00D763E8" w14:paraId="62F7E23C" w14:textId="77777777" w:rsidTr="7A1C33BC">
        <w:trPr>
          <w:trHeight w:val="2985"/>
        </w:trPr>
        <w:tc>
          <w:tcPr>
            <w:tcW w:w="631" w:type="pct"/>
            <w:shd w:val="clear" w:color="auto" w:fill="FFFFFF" w:themeFill="background1"/>
          </w:tcPr>
          <w:p w14:paraId="2900647C" w14:textId="2B568625" w:rsidR="00543B35" w:rsidRPr="01990935" w:rsidRDefault="00543B3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Outcome 1</w:t>
            </w:r>
            <w:r w:rsidRPr="01990935">
              <w:rPr>
                <w:sz w:val="16"/>
                <w:szCs w:val="16"/>
                <w:lang w:val="en-GB"/>
              </w:rPr>
              <w:t xml:space="preserve">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 will benefit from more inclusive, resilient, transformative, and sustainable socio-economic and demographic opportunities to reduce poverty and inequalities</w:t>
            </w:r>
          </w:p>
        </w:tc>
        <w:tc>
          <w:tcPr>
            <w:tcW w:w="664" w:type="pct"/>
            <w:shd w:val="clear" w:color="auto" w:fill="FFFFFF" w:themeFill="background1"/>
          </w:tcPr>
          <w:p w14:paraId="0F1BA598" w14:textId="3164F8D5" w:rsidR="00543B35" w:rsidRPr="00563916" w:rsidRDefault="00543B35" w:rsidP="00543B35">
            <w:pPr>
              <w:rPr>
                <w:b/>
                <w:bCs/>
                <w:sz w:val="16"/>
                <w:szCs w:val="16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563916">
              <w:rPr>
                <w:sz w:val="16"/>
                <w:szCs w:val="16"/>
              </w:rPr>
              <w:t>Advance poverty eradication in all its forms and dimensions </w:t>
            </w:r>
            <w:r w:rsidRPr="00D763E8">
              <w:rPr>
                <w:rStyle w:val="eop"/>
                <w:color w:val="0000FF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32AC62B4" w14:textId="4D144185" w:rsidR="00543B35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Impact 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="00781E3E">
              <w:rPr>
                <w:sz w:val="16"/>
                <w:szCs w:val="16"/>
                <w:lang w:val="en-GB"/>
              </w:rPr>
              <w:t xml:space="preserve">to strengthen national </w:t>
            </w:r>
            <w:r w:rsidR="001A2B9A">
              <w:rPr>
                <w:sz w:val="16"/>
                <w:szCs w:val="16"/>
                <w:lang w:val="en-GB"/>
              </w:rPr>
              <w:t xml:space="preserve">institutional </w:t>
            </w:r>
            <w:r w:rsidR="00781E3E">
              <w:rPr>
                <w:sz w:val="16"/>
                <w:szCs w:val="16"/>
                <w:lang w:val="en-GB"/>
              </w:rPr>
              <w:t xml:space="preserve">capacity </w:t>
            </w:r>
            <w:r w:rsidR="00D60E14">
              <w:rPr>
                <w:sz w:val="16"/>
                <w:szCs w:val="16"/>
                <w:lang w:val="en-GB"/>
              </w:rPr>
              <w:t xml:space="preserve">for </w:t>
            </w:r>
            <w:r w:rsidR="00163BC4">
              <w:rPr>
                <w:sz w:val="16"/>
                <w:szCs w:val="16"/>
                <w:lang w:val="en-GB"/>
              </w:rPr>
              <w:t>development</w:t>
            </w:r>
            <w:r w:rsidR="00D60E14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79" w:type="pct"/>
            <w:shd w:val="clear" w:color="auto" w:fill="FFFFFF" w:themeFill="background1"/>
          </w:tcPr>
          <w:p w14:paraId="1A536CDC" w14:textId="2879F265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Ministry of Planning and Investment</w:t>
            </w:r>
            <w:r w:rsidR="00D24F89">
              <w:rPr>
                <w:sz w:val="16"/>
                <w:szCs w:val="16"/>
                <w:lang w:val="en-GB"/>
              </w:rPr>
              <w:t xml:space="preserve">, NRA, UXO Lao, Lao Women’s Union </w:t>
            </w:r>
          </w:p>
        </w:tc>
        <w:tc>
          <w:tcPr>
            <w:tcW w:w="396" w:type="pct"/>
            <w:shd w:val="clear" w:color="auto" w:fill="FFFFFF" w:themeFill="background1"/>
          </w:tcPr>
          <w:p w14:paraId="0D83E2C1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79ECDBF" w14:textId="7C15DBA1" w:rsidR="00543B35" w:rsidRDefault="00781E3E" w:rsidP="00543B3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Impact </w:t>
            </w:r>
          </w:p>
        </w:tc>
        <w:tc>
          <w:tcPr>
            <w:tcW w:w="452" w:type="pct"/>
            <w:shd w:val="clear" w:color="auto" w:fill="FFFFFF" w:themeFill="background1"/>
          </w:tcPr>
          <w:p w14:paraId="4247E4BD" w14:textId="74F14D37" w:rsidR="00543B35" w:rsidRDefault="00217558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Oct </w:t>
            </w:r>
            <w:r w:rsidR="00543B35" w:rsidRPr="00D763E8">
              <w:rPr>
                <w:sz w:val="16"/>
                <w:szCs w:val="16"/>
                <w:lang w:val="en-GB"/>
              </w:rPr>
              <w:t>20</w:t>
            </w:r>
            <w:r w:rsidR="00543B35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406" w:type="pct"/>
            <w:shd w:val="clear" w:color="auto" w:fill="FFFFFF" w:themeFill="background1"/>
          </w:tcPr>
          <w:p w14:paraId="5B1F0405" w14:textId="11B5B82D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 w:rsidR="00121EBC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,</w:t>
            </w:r>
            <w:r w:rsidRPr="00D763E8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394" w:type="pct"/>
            <w:shd w:val="clear" w:color="auto" w:fill="FFFFFF" w:themeFill="background1"/>
          </w:tcPr>
          <w:p w14:paraId="4FEA1A18" w14:textId="575FC5D6" w:rsidR="00543B35" w:rsidRPr="00D763E8" w:rsidRDefault="00CB6036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</w:p>
        </w:tc>
      </w:tr>
      <w:tr w:rsidR="00543B35" w:rsidRPr="00D763E8" w14:paraId="60B8623D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7F3019C7" w14:textId="3A4ECB7A" w:rsidR="00543B35" w:rsidRPr="00D763E8" w:rsidRDefault="00543B35" w:rsidP="00543B35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7359DFDA" w14:textId="5589EB65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59ED9213" w14:textId="77777777" w:rsidR="00543B35" w:rsidRPr="00E72CF0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72CF0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</w:p>
          <w:p w14:paraId="0A09C1B1" w14:textId="77777777" w:rsidR="00543B35" w:rsidRPr="00E72CF0" w:rsidRDefault="00543B35" w:rsidP="00543B35">
            <w:pPr>
              <w:rPr>
                <w:sz w:val="16"/>
                <w:szCs w:val="16"/>
                <w:lang w:val="en-GB"/>
              </w:rPr>
            </w:pPr>
            <w:r w:rsidRPr="00E72CF0">
              <w:rPr>
                <w:sz w:val="16"/>
                <w:szCs w:val="16"/>
                <w:lang w:val="en-GB"/>
              </w:rPr>
              <w:t>Integrated Water Resource Management and Ecosystem-based Adaptation (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EbA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) in the Xe Bang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Hieng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river basin and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Luang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Prabang city</w:t>
            </w:r>
            <w:r>
              <w:rPr>
                <w:sz w:val="16"/>
                <w:szCs w:val="16"/>
                <w:lang w:val="en-GB"/>
              </w:rPr>
              <w:t xml:space="preserve"> (GEF fund)</w:t>
            </w:r>
          </w:p>
        </w:tc>
        <w:tc>
          <w:tcPr>
            <w:tcW w:w="779" w:type="pct"/>
            <w:shd w:val="clear" w:color="auto" w:fill="FFFFFF" w:themeFill="background1"/>
          </w:tcPr>
          <w:p w14:paraId="33584E29" w14:textId="77777777" w:rsidR="00543B35" w:rsidRPr="00D763E8" w:rsidRDefault="00543B35" w:rsidP="00543B35">
            <w:pPr>
              <w:spacing w:before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Ministry of Natural Resources and Environment </w:t>
            </w:r>
          </w:p>
        </w:tc>
        <w:tc>
          <w:tcPr>
            <w:tcW w:w="396" w:type="pct"/>
            <w:shd w:val="clear" w:color="auto" w:fill="FFFFFF" w:themeFill="background1"/>
          </w:tcPr>
          <w:p w14:paraId="5DBB50D6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761908B1" w14:textId="77777777" w:rsidR="00543B35" w:rsidRDefault="00543B35" w:rsidP="00543B35">
            <w:pPr>
              <w:jc w:val="center"/>
              <w:rPr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396F5E2B" w14:textId="77777777" w:rsidR="00543B35" w:rsidRPr="00D763E8" w:rsidRDefault="00543B35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Mar 2024</w:t>
            </w:r>
          </w:p>
        </w:tc>
        <w:tc>
          <w:tcPr>
            <w:tcW w:w="406" w:type="pct"/>
            <w:shd w:val="clear" w:color="auto" w:fill="FFFFFF" w:themeFill="background1"/>
          </w:tcPr>
          <w:p w14:paraId="007C78CF" w14:textId="77777777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  <w:p w14:paraId="423340DE" w14:textId="77777777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434C49CF" w14:textId="77777777" w:rsidR="00543B35" w:rsidRPr="00D763E8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Project budget </w:t>
            </w:r>
          </w:p>
        </w:tc>
      </w:tr>
      <w:tr w:rsidR="00320385" w:rsidRPr="00D763E8" w14:paraId="5DE65942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2C2B2933" w14:textId="203929C6" w:rsidR="00320385" w:rsidRPr="01990935" w:rsidRDefault="0032038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lastRenderedPageBreak/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0ED84AA5" w14:textId="4C046719" w:rsidR="00320385" w:rsidRPr="007E2315" w:rsidRDefault="00320385" w:rsidP="00543B35">
            <w:pPr>
              <w:rPr>
                <w:b/>
                <w:bCs/>
                <w:sz w:val="16"/>
                <w:szCs w:val="16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5FF3FF93" w14:textId="21BE4507" w:rsidR="00320385" w:rsidRPr="00E72CF0" w:rsidRDefault="00320385" w:rsidP="00B662F1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Final</w:t>
            </w:r>
            <w:r w:rsidRPr="00E72CF0">
              <w:rPr>
                <w:b/>
                <w:bCs/>
                <w:sz w:val="16"/>
                <w:szCs w:val="16"/>
                <w:lang w:val="en-GB"/>
              </w:rPr>
              <w:t xml:space="preserve"> evaluation:</w:t>
            </w:r>
          </w:p>
          <w:p w14:paraId="1AB44980" w14:textId="2EA08DE9" w:rsidR="00320385" w:rsidRPr="00526647" w:rsidRDefault="0032038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72CF0">
              <w:rPr>
                <w:sz w:val="16"/>
                <w:szCs w:val="16"/>
                <w:lang w:val="en-GB"/>
              </w:rPr>
              <w:t>Integrated Water Resource Management and Ecosystem-based Adaptation (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EbA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) in the Xe Bang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Hieng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river basin and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Luang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Prabang city</w:t>
            </w:r>
            <w:r>
              <w:rPr>
                <w:sz w:val="16"/>
                <w:szCs w:val="16"/>
                <w:lang w:val="en-GB"/>
              </w:rPr>
              <w:t xml:space="preserve"> (GEF fund)</w:t>
            </w:r>
          </w:p>
        </w:tc>
        <w:tc>
          <w:tcPr>
            <w:tcW w:w="779" w:type="pct"/>
            <w:shd w:val="clear" w:color="auto" w:fill="FFFFFF" w:themeFill="background1"/>
          </w:tcPr>
          <w:p w14:paraId="117477C3" w14:textId="6070DF83" w:rsidR="00320385" w:rsidRDefault="00320385" w:rsidP="00543B35">
            <w:pPr>
              <w:spacing w:before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Ministry of Natural Resources and Environment </w:t>
            </w:r>
          </w:p>
        </w:tc>
        <w:tc>
          <w:tcPr>
            <w:tcW w:w="396" w:type="pct"/>
            <w:shd w:val="clear" w:color="auto" w:fill="FFFFFF" w:themeFill="background1"/>
          </w:tcPr>
          <w:p w14:paraId="3C233986" w14:textId="77777777" w:rsidR="00320385" w:rsidRPr="00D763E8" w:rsidRDefault="0032038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2E62A0AC" w14:textId="653B8372" w:rsidR="00320385" w:rsidRPr="01990935" w:rsidRDefault="0032038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18BABBE8" w14:textId="682C2366" w:rsidR="00320385" w:rsidRDefault="004E7A17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June</w:t>
            </w:r>
            <w:r w:rsidR="00320385">
              <w:rPr>
                <w:sz w:val="16"/>
                <w:szCs w:val="16"/>
                <w:lang w:val="en-GB"/>
              </w:rPr>
              <w:t xml:space="preserve"> 2025</w:t>
            </w:r>
          </w:p>
        </w:tc>
        <w:tc>
          <w:tcPr>
            <w:tcW w:w="406" w:type="pct"/>
            <w:shd w:val="clear" w:color="auto" w:fill="FFFFFF" w:themeFill="background1"/>
          </w:tcPr>
          <w:p w14:paraId="1461BDEB" w14:textId="77777777" w:rsidR="00320385" w:rsidRDefault="00320385" w:rsidP="00B662F1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  <w:p w14:paraId="4EC76974" w14:textId="77777777" w:rsidR="00320385" w:rsidRPr="01990935" w:rsidRDefault="0032038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53256D7E" w14:textId="04BFA156" w:rsidR="00320385" w:rsidRDefault="0032038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Project budget </w:t>
            </w:r>
          </w:p>
        </w:tc>
      </w:tr>
      <w:tr w:rsidR="00543B35" w:rsidRPr="00D763E8" w14:paraId="4B38F2C6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C9DA869" w14:textId="7C3C1E4C" w:rsidR="00543B35" w:rsidRPr="00D763E8" w:rsidRDefault="00543B35" w:rsidP="00543B35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67528D59" w14:textId="27185C82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65057AED" w14:textId="77777777" w:rsidR="00543B35" w:rsidRPr="00526647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526647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</w:p>
          <w:p w14:paraId="1E49D002" w14:textId="77777777" w:rsidR="00543B35" w:rsidRPr="00526647" w:rsidRDefault="00543B35" w:rsidP="00543B35">
            <w:pPr>
              <w:rPr>
                <w:sz w:val="16"/>
                <w:szCs w:val="16"/>
                <w:lang w:val="en-GB"/>
              </w:rPr>
            </w:pPr>
            <w:r w:rsidRPr="00526647">
              <w:rPr>
                <w:sz w:val="16"/>
                <w:szCs w:val="16"/>
                <w:lang w:val="en-GB"/>
              </w:rPr>
              <w:t>Promoting Climate Resilient Food Systems for Improved Food and Nutrition Security Among the Most Vulnerable Communities in Lao PDR (CRFS)</w:t>
            </w:r>
          </w:p>
          <w:p w14:paraId="10BDA483" w14:textId="77777777" w:rsidR="00543B35" w:rsidRPr="00526647" w:rsidRDefault="00543B35" w:rsidP="00543B35">
            <w:pPr>
              <w:rPr>
                <w:sz w:val="16"/>
                <w:szCs w:val="16"/>
                <w:lang w:val="en-GB"/>
              </w:rPr>
            </w:pPr>
          </w:p>
          <w:p w14:paraId="565CE984" w14:textId="77777777" w:rsidR="00543B35" w:rsidRPr="00526647" w:rsidRDefault="00543B35" w:rsidP="00543B3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45774212" w14:textId="77777777" w:rsidR="00543B35" w:rsidRDefault="00543B35" w:rsidP="00543B35">
            <w:pPr>
              <w:spacing w:before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Ministry of Agriculture and Forestry, Ministry of Natural Resources and Environment</w:t>
            </w:r>
          </w:p>
        </w:tc>
        <w:tc>
          <w:tcPr>
            <w:tcW w:w="396" w:type="pct"/>
            <w:shd w:val="clear" w:color="auto" w:fill="FFFFFF" w:themeFill="background1"/>
          </w:tcPr>
          <w:p w14:paraId="0B2E9392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4DFF227" w14:textId="77777777" w:rsidR="00543B35" w:rsidRPr="019909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6E5978CA" w14:textId="77777777" w:rsidR="00543B35" w:rsidRPr="00D763E8" w:rsidRDefault="00543B35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June 2025</w:t>
            </w:r>
          </w:p>
        </w:tc>
        <w:tc>
          <w:tcPr>
            <w:tcW w:w="406" w:type="pct"/>
            <w:shd w:val="clear" w:color="auto" w:fill="FFFFFF" w:themeFill="background1"/>
          </w:tcPr>
          <w:p w14:paraId="797BC72E" w14:textId="77777777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</w:t>
            </w:r>
            <w:r>
              <w:rPr>
                <w:sz w:val="16"/>
                <w:szCs w:val="16"/>
                <w:lang w:val="en-GB"/>
              </w:rPr>
              <w:t>5</w:t>
            </w:r>
            <w:r w:rsidRPr="01990935">
              <w:rPr>
                <w:sz w:val="16"/>
                <w:szCs w:val="16"/>
                <w:lang w:val="en-GB"/>
              </w:rPr>
              <w:t>,000</w:t>
            </w:r>
          </w:p>
          <w:p w14:paraId="1C951BD6" w14:textId="77777777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1F59986B" w14:textId="77777777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Project budget </w:t>
            </w:r>
          </w:p>
        </w:tc>
      </w:tr>
      <w:tr w:rsidR="00543B35" w:rsidRPr="00D763E8" w14:paraId="3857BAE6" w14:textId="77777777" w:rsidTr="7A1C33BC">
        <w:trPr>
          <w:trHeight w:val="2985"/>
        </w:trPr>
        <w:tc>
          <w:tcPr>
            <w:tcW w:w="631" w:type="pct"/>
            <w:shd w:val="clear" w:color="auto" w:fill="FFFFFF" w:themeFill="background1"/>
          </w:tcPr>
          <w:p w14:paraId="357F7AEE" w14:textId="60898884" w:rsidR="00543B35" w:rsidRPr="01990935" w:rsidRDefault="00543B3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769BDF4A" w14:textId="6CA1A065" w:rsidR="00543B35" w:rsidRPr="00563916" w:rsidRDefault="00543B35" w:rsidP="00543B35">
            <w:pPr>
              <w:rPr>
                <w:b/>
                <w:bCs/>
                <w:sz w:val="16"/>
                <w:szCs w:val="16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09DB0CE8" w14:textId="64D01E35" w:rsidR="00543B35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Portfolio </w:t>
            </w:r>
            <w:r w:rsidRPr="00E72CF0">
              <w:rPr>
                <w:b/>
                <w:bCs/>
                <w:sz w:val="16"/>
                <w:szCs w:val="16"/>
                <w:lang w:val="en-GB"/>
              </w:rPr>
              <w:t>evaluation:</w:t>
            </w:r>
          </w:p>
          <w:p w14:paraId="338AE823" w14:textId="005819B0" w:rsidR="00543B35" w:rsidRPr="00C10A30" w:rsidRDefault="00543B35" w:rsidP="00543B35">
            <w:pPr>
              <w:rPr>
                <w:sz w:val="16"/>
                <w:szCs w:val="16"/>
                <w:lang w:val="en-GB"/>
              </w:rPr>
            </w:pPr>
            <w:r w:rsidRPr="00C10A30">
              <w:rPr>
                <w:sz w:val="16"/>
                <w:szCs w:val="16"/>
                <w:lang w:val="en-GB"/>
              </w:rPr>
              <w:t xml:space="preserve">UNDP support </w:t>
            </w:r>
            <w:r w:rsidR="00B442CC">
              <w:rPr>
                <w:sz w:val="16"/>
                <w:szCs w:val="16"/>
                <w:lang w:val="en-GB"/>
              </w:rPr>
              <w:t>on</w:t>
            </w:r>
            <w:r>
              <w:rPr>
                <w:sz w:val="16"/>
                <w:szCs w:val="16"/>
                <w:lang w:val="en-GB"/>
              </w:rPr>
              <w:t xml:space="preserve"> disaster risk reduction</w:t>
            </w:r>
            <w:r w:rsidRPr="00C10A30">
              <w:rPr>
                <w:sz w:val="16"/>
                <w:szCs w:val="16"/>
                <w:lang w:val="en-GB"/>
              </w:rPr>
              <w:t xml:space="preserve"> initiatives </w:t>
            </w:r>
          </w:p>
          <w:p w14:paraId="54D20A20" w14:textId="77777777" w:rsidR="00543B35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18DB4B5D" w14:textId="72F867F8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Ministry of Agriculture and Forestry, Ministry of Natural Resources and Environment, Ministry of Labour and Social Welfare and Ministry of Planning and Investment </w:t>
            </w:r>
          </w:p>
        </w:tc>
        <w:tc>
          <w:tcPr>
            <w:tcW w:w="396" w:type="pct"/>
            <w:shd w:val="clear" w:color="auto" w:fill="FFFFFF" w:themeFill="background1"/>
          </w:tcPr>
          <w:p w14:paraId="2FE6EB2E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48D9069F" w14:textId="1C295A8C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Portfolio</w:t>
            </w:r>
          </w:p>
        </w:tc>
        <w:tc>
          <w:tcPr>
            <w:tcW w:w="452" w:type="pct"/>
            <w:shd w:val="clear" w:color="auto" w:fill="FFFFFF" w:themeFill="background1"/>
          </w:tcPr>
          <w:p w14:paraId="48DFE378" w14:textId="0056F9F8" w:rsidR="00543B35" w:rsidRDefault="00A41ECA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Oct</w:t>
            </w:r>
            <w:r w:rsidR="00543B35">
              <w:rPr>
                <w:sz w:val="16"/>
                <w:szCs w:val="16"/>
                <w:lang w:val="en-GB"/>
              </w:rPr>
              <w:t xml:space="preserve"> 2023</w:t>
            </w:r>
          </w:p>
        </w:tc>
        <w:tc>
          <w:tcPr>
            <w:tcW w:w="406" w:type="pct"/>
            <w:shd w:val="clear" w:color="auto" w:fill="FFFFFF" w:themeFill="background1"/>
          </w:tcPr>
          <w:p w14:paraId="2405F252" w14:textId="77777777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 xml:space="preserve">USD </w:t>
            </w:r>
            <w:r>
              <w:rPr>
                <w:sz w:val="16"/>
                <w:szCs w:val="16"/>
                <w:lang w:val="en-GB"/>
              </w:rPr>
              <w:t>30</w:t>
            </w:r>
            <w:r w:rsidRPr="01990935">
              <w:rPr>
                <w:sz w:val="16"/>
                <w:szCs w:val="16"/>
                <w:lang w:val="en-GB"/>
              </w:rPr>
              <w:t>,000</w:t>
            </w:r>
          </w:p>
          <w:p w14:paraId="5026470A" w14:textId="77777777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6780194E" w14:textId="3C00C349" w:rsidR="00543B35" w:rsidRPr="00D763E8" w:rsidRDefault="00CB6036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  <w:r w:rsidR="00543B35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543B35" w14:paraId="218616D3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5979DF37" w14:textId="19FFBA3B" w:rsidR="00543B35" w:rsidRDefault="00543B35" w:rsidP="00543B35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lastRenderedPageBreak/>
              <w:t xml:space="preserve">Outcome 3.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</w:t>
            </w:r>
            <w:r w:rsidRPr="01990935">
              <w:rPr>
                <w:sz w:val="16"/>
                <w:szCs w:val="16"/>
                <w:lang w:val="en-GB"/>
              </w:rPr>
              <w:t xml:space="preserve"> are better served by public institutions at all levels in a transparent and inclusive manner, able to exercise their rights and to hold institutions accountable while the rule of law and international human rights standards and norms are upheld</w:t>
            </w:r>
          </w:p>
        </w:tc>
        <w:tc>
          <w:tcPr>
            <w:tcW w:w="664" w:type="pct"/>
            <w:shd w:val="clear" w:color="auto" w:fill="FFFFFF" w:themeFill="background1"/>
          </w:tcPr>
          <w:p w14:paraId="3E8D21E3" w14:textId="6A530351" w:rsidR="00543B35" w:rsidRDefault="00543B35" w:rsidP="00543B35">
            <w:pPr>
              <w:spacing w:line="259" w:lineRule="auto"/>
              <w:rPr>
                <w:b/>
                <w:bCs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02B3C89B" w14:textId="149950CB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AC1094">
              <w:rPr>
                <w:sz w:val="16"/>
                <w:szCs w:val="16"/>
                <w:lang w:val="en-GB"/>
              </w:rPr>
              <w:t>Strengthening capacity and effectiveness of the Pe</w:t>
            </w:r>
            <w:r w:rsidRPr="01990935">
              <w:rPr>
                <w:sz w:val="16"/>
                <w:szCs w:val="16"/>
                <w:lang w:val="en-GB"/>
              </w:rPr>
              <w:t>ople’s Provincial Assembl</w:t>
            </w:r>
            <w:r w:rsidR="00B65C54">
              <w:rPr>
                <w:sz w:val="16"/>
                <w:szCs w:val="16"/>
                <w:lang w:val="en-GB"/>
              </w:rPr>
              <w:t>ies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553721">
              <w:rPr>
                <w:sz w:val="16"/>
                <w:szCs w:val="16"/>
                <w:lang w:val="en-GB"/>
              </w:rPr>
              <w:t>system in Laos</w:t>
            </w:r>
          </w:p>
        </w:tc>
        <w:tc>
          <w:tcPr>
            <w:tcW w:w="779" w:type="pct"/>
            <w:shd w:val="clear" w:color="auto" w:fill="FFFFFF" w:themeFill="background1"/>
          </w:tcPr>
          <w:p w14:paraId="51EF9F9C" w14:textId="099BC551" w:rsidR="00543B35" w:rsidRDefault="00B65C54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NA, </w:t>
            </w:r>
            <w:r w:rsidR="007478B2">
              <w:rPr>
                <w:sz w:val="16"/>
                <w:szCs w:val="16"/>
                <w:lang w:val="en-GB"/>
              </w:rPr>
              <w:t xml:space="preserve">PPAs, </w:t>
            </w:r>
            <w:r w:rsidR="00543B35" w:rsidRPr="367FE87D">
              <w:rPr>
                <w:sz w:val="16"/>
                <w:szCs w:val="16"/>
                <w:lang w:val="en-GB"/>
              </w:rPr>
              <w:t>USAID</w:t>
            </w:r>
          </w:p>
        </w:tc>
        <w:tc>
          <w:tcPr>
            <w:tcW w:w="396" w:type="pct"/>
            <w:shd w:val="clear" w:color="auto" w:fill="FFFFFF" w:themeFill="background1"/>
          </w:tcPr>
          <w:p w14:paraId="579CC64F" w14:textId="77777777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3BEA4317" w14:textId="77777777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367FE87D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770C4C66" w14:textId="23C04084" w:rsidR="00543B35" w:rsidRDefault="007C0C34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Jun </w:t>
            </w:r>
            <w:r w:rsidR="00543B35" w:rsidRPr="01990935">
              <w:rPr>
                <w:sz w:val="16"/>
                <w:szCs w:val="16"/>
                <w:lang w:val="en-GB"/>
              </w:rPr>
              <w:t xml:space="preserve"> 2024</w:t>
            </w:r>
          </w:p>
        </w:tc>
        <w:tc>
          <w:tcPr>
            <w:tcW w:w="406" w:type="pct"/>
            <w:shd w:val="clear" w:color="auto" w:fill="FFFFFF" w:themeFill="background1"/>
          </w:tcPr>
          <w:p w14:paraId="620FF684" w14:textId="6C9A94D2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0DEE6742" w14:textId="77777777" w:rsidR="00543B35" w:rsidRDefault="00543B35" w:rsidP="00543B35">
            <w:pPr>
              <w:rPr>
                <w:rStyle w:val="CommentReference"/>
              </w:rPr>
            </w:pPr>
            <w:r w:rsidRPr="367FE87D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543B35" w14:paraId="355B7123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586C22E" w14:textId="71E74323" w:rsidR="00543B35" w:rsidRDefault="00543B35" w:rsidP="00543B35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 xml:space="preserve">Outcome 3.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</w:t>
            </w:r>
            <w:r w:rsidRPr="01990935">
              <w:rPr>
                <w:sz w:val="16"/>
                <w:szCs w:val="16"/>
                <w:lang w:val="en-GB"/>
              </w:rPr>
              <w:t xml:space="preserve"> are better served by public institutions at all levels in a transparent and inclusive manner, able to exercise their rights and to hold institutions accountable while the rule of law and international human rights standards and norms are upheld</w:t>
            </w:r>
          </w:p>
          <w:p w14:paraId="360C0F38" w14:textId="54046641" w:rsidR="00543B35" w:rsidRDefault="00543B35" w:rsidP="00543B35">
            <w:pPr>
              <w:spacing w:line="259" w:lineRule="auto"/>
              <w:rPr>
                <w:b/>
                <w:bCs/>
                <w:lang w:val="en-GB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9358F5C" w14:textId="1991E937" w:rsidR="00543B35" w:rsidRDefault="00543B35" w:rsidP="00543B35">
            <w:pPr>
              <w:rPr>
                <w:b/>
                <w:bCs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56071A31" w14:textId="344157EB" w:rsidR="00543B35" w:rsidRDefault="00543B35" w:rsidP="00543B35">
            <w:pPr>
              <w:rPr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Final </w:t>
            </w:r>
            <w:r w:rsidRPr="01990935">
              <w:rPr>
                <w:b/>
                <w:bCs/>
                <w:sz w:val="16"/>
                <w:szCs w:val="16"/>
                <w:lang w:val="en-GB"/>
              </w:rPr>
              <w:t>Evaluation: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553721">
              <w:rPr>
                <w:sz w:val="16"/>
                <w:szCs w:val="16"/>
                <w:lang w:val="en-GB"/>
              </w:rPr>
              <w:t xml:space="preserve"> Strengthening capacity and effectiveness of the Pe</w:t>
            </w:r>
            <w:r w:rsidR="00553721" w:rsidRPr="01990935">
              <w:rPr>
                <w:sz w:val="16"/>
                <w:szCs w:val="16"/>
                <w:lang w:val="en-GB"/>
              </w:rPr>
              <w:t>ople’s Provincial Assembl</w:t>
            </w:r>
            <w:r w:rsidR="00553721">
              <w:rPr>
                <w:sz w:val="16"/>
                <w:szCs w:val="16"/>
                <w:lang w:val="en-GB"/>
              </w:rPr>
              <w:t>ies</w:t>
            </w:r>
            <w:r w:rsidR="00553721" w:rsidRPr="01990935">
              <w:rPr>
                <w:sz w:val="16"/>
                <w:szCs w:val="16"/>
                <w:lang w:val="en-GB"/>
              </w:rPr>
              <w:t xml:space="preserve"> </w:t>
            </w:r>
            <w:r w:rsidR="00553721">
              <w:rPr>
                <w:sz w:val="16"/>
                <w:szCs w:val="16"/>
                <w:lang w:val="en-GB"/>
              </w:rPr>
              <w:t>system in Laos</w:t>
            </w:r>
          </w:p>
        </w:tc>
        <w:tc>
          <w:tcPr>
            <w:tcW w:w="779" w:type="pct"/>
            <w:shd w:val="clear" w:color="auto" w:fill="FFFFFF" w:themeFill="background1"/>
          </w:tcPr>
          <w:p w14:paraId="48208D7A" w14:textId="64513277" w:rsidR="00543B35" w:rsidRDefault="007478B2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NA, PPAs, </w:t>
            </w:r>
            <w:r w:rsidR="00543B35" w:rsidRPr="01990935">
              <w:rPr>
                <w:sz w:val="16"/>
                <w:szCs w:val="16"/>
                <w:lang w:val="en-GB"/>
              </w:rPr>
              <w:t>USAID</w:t>
            </w:r>
          </w:p>
          <w:p w14:paraId="4C299DBF" w14:textId="0994A30B" w:rsidR="00543B35" w:rsidRDefault="00543B35" w:rsidP="00543B35">
            <w:pPr>
              <w:rPr>
                <w:lang w:val="en-GB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6B0116B1" w14:textId="7B5E45EC" w:rsidR="00543B35" w:rsidRDefault="00543B35" w:rsidP="00543B35">
            <w:pPr>
              <w:jc w:val="center"/>
              <w:rPr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C69AD4B" w14:textId="6F1314F9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57D1537E" w14:textId="2177BBE2" w:rsidR="00543B35" w:rsidRDefault="00FE36A3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Oct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543B35" w:rsidRPr="01990935">
              <w:rPr>
                <w:sz w:val="16"/>
                <w:szCs w:val="16"/>
                <w:lang w:val="en-GB"/>
              </w:rPr>
              <w:t>2026</w:t>
            </w:r>
          </w:p>
          <w:p w14:paraId="60142648" w14:textId="657F4385" w:rsidR="00543B35" w:rsidRDefault="00543B35" w:rsidP="00543B35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65741E5F" w14:textId="15A1023C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  <w:p w14:paraId="2B21C4AC" w14:textId="6AA0EFDF" w:rsidR="00543B35" w:rsidRDefault="00543B35" w:rsidP="00543B35">
            <w:pPr>
              <w:jc w:val="right"/>
              <w:rPr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3BA2ED07" w14:textId="77777777" w:rsidR="00543B35" w:rsidRDefault="00543B35" w:rsidP="00543B35">
            <w:pPr>
              <w:rPr>
                <w:rStyle w:val="CommentReference"/>
              </w:rPr>
            </w:pPr>
            <w:r w:rsidRPr="367FE87D">
              <w:rPr>
                <w:sz w:val="16"/>
                <w:szCs w:val="16"/>
                <w:lang w:val="en-GB"/>
              </w:rPr>
              <w:t>Project budget</w:t>
            </w:r>
          </w:p>
          <w:p w14:paraId="3E9C0BA2" w14:textId="3813DA01" w:rsidR="00543B35" w:rsidRDefault="00543B35" w:rsidP="00543B35">
            <w:pPr>
              <w:rPr>
                <w:lang w:val="en-GB"/>
              </w:rPr>
            </w:pPr>
          </w:p>
        </w:tc>
      </w:tr>
      <w:tr w:rsidR="00543B35" w:rsidRPr="00D763E8" w14:paraId="6A57AA74" w14:textId="77777777" w:rsidTr="7A1C33BC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5F59C6B" w14:textId="743520F8" w:rsidR="00543B35" w:rsidRPr="00D763E8" w:rsidRDefault="00563C75" w:rsidP="00543B35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All </w:t>
            </w:r>
            <w:r w:rsidR="00346629">
              <w:rPr>
                <w:b/>
                <w:sz w:val="16"/>
                <w:szCs w:val="16"/>
                <w:lang w:val="en-GB"/>
              </w:rPr>
              <w:t>Outcome</w:t>
            </w:r>
            <w:r>
              <w:rPr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664" w:type="pct"/>
            <w:shd w:val="clear" w:color="auto" w:fill="FFFFFF" w:themeFill="background1"/>
          </w:tcPr>
          <w:p w14:paraId="0A7E5F6F" w14:textId="6FEF1AFE" w:rsidR="00543B35" w:rsidRPr="00D763E8" w:rsidRDefault="00C66A0E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Outcome</w:t>
            </w:r>
            <w:r w:rsidR="00545396">
              <w:rPr>
                <w:b/>
                <w:bCs/>
                <w:sz w:val="16"/>
                <w:szCs w:val="16"/>
                <w:lang w:val="en-GB"/>
              </w:rPr>
              <w:t>s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1 &amp; 2</w:t>
            </w:r>
          </w:p>
        </w:tc>
        <w:tc>
          <w:tcPr>
            <w:tcW w:w="914" w:type="pct"/>
            <w:shd w:val="clear" w:color="auto" w:fill="FFFFFF" w:themeFill="background1"/>
          </w:tcPr>
          <w:p w14:paraId="2D1FDF65" w14:textId="572E447B" w:rsidR="00543B35" w:rsidRPr="002B1BF7" w:rsidRDefault="00545396" w:rsidP="00543B35">
            <w:pPr>
              <w:rPr>
                <w:sz w:val="16"/>
                <w:szCs w:val="16"/>
                <w:lang w:val="en-GB"/>
              </w:rPr>
            </w:pPr>
            <w:r w:rsidRPr="002B1BF7">
              <w:rPr>
                <w:b/>
                <w:bCs/>
                <w:sz w:val="16"/>
                <w:szCs w:val="16"/>
                <w:lang w:val="en-GB"/>
              </w:rPr>
              <w:t>Final Evaluation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 w:rsidR="00C66A0E" w:rsidRPr="002B1BF7">
              <w:rPr>
                <w:sz w:val="16"/>
                <w:szCs w:val="16"/>
                <w:lang w:val="en-GB"/>
              </w:rPr>
              <w:t xml:space="preserve">United Nations Sustainable Development Cooperation Framework </w:t>
            </w:r>
            <w:r w:rsidR="006E62E9" w:rsidRPr="002B1BF7">
              <w:rPr>
                <w:sz w:val="16"/>
                <w:szCs w:val="16"/>
                <w:lang w:val="en-GB"/>
              </w:rPr>
              <w:t>(2022-2026)</w:t>
            </w:r>
          </w:p>
        </w:tc>
        <w:tc>
          <w:tcPr>
            <w:tcW w:w="779" w:type="pct"/>
            <w:shd w:val="clear" w:color="auto" w:fill="FFFFFF" w:themeFill="background1"/>
          </w:tcPr>
          <w:p w14:paraId="3AC9F6C4" w14:textId="77777777" w:rsidR="00543B35" w:rsidRDefault="00543B35" w:rsidP="00543B35">
            <w:pPr>
              <w:spacing w:before="60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710C8535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085F3174" w14:textId="3F4E060E" w:rsidR="00543B35" w:rsidRPr="00954E73" w:rsidRDefault="00543B35" w:rsidP="00C209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6F8D188" w14:textId="58BD9320" w:rsidR="00543B35" w:rsidRDefault="006E62E9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Feb 202</w:t>
            </w:r>
            <w:r w:rsidR="00931157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406" w:type="pct"/>
            <w:shd w:val="clear" w:color="auto" w:fill="FFFFFF" w:themeFill="background1"/>
          </w:tcPr>
          <w:p w14:paraId="528B368E" w14:textId="4A21734E" w:rsidR="00543B35" w:rsidRPr="01990935" w:rsidRDefault="0029555C" w:rsidP="00543B35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USD 25,000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4FA2180D" w14:textId="353EC8A6" w:rsidR="0029555C" w:rsidRDefault="002B1BF7" w:rsidP="0029555C">
            <w:pPr>
              <w:rPr>
                <w:rStyle w:val="CommentReference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</w:p>
          <w:p w14:paraId="41B8D1DC" w14:textId="245721CB" w:rsidR="00543B35" w:rsidRPr="0024162D" w:rsidRDefault="00543B35" w:rsidP="00543B3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543B35" w:rsidRPr="00D763E8" w14:paraId="1796D351" w14:textId="77777777" w:rsidTr="7A1C33BC">
        <w:trPr>
          <w:trHeight w:val="7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8" w14:textId="77777777" w:rsidR="00543B35" w:rsidRPr="00D763E8" w:rsidRDefault="00543B3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9" w14:textId="77777777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A" w14:textId="77777777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B" w14:textId="77777777" w:rsidR="00543B35" w:rsidRPr="00D763E8" w:rsidRDefault="00543B35" w:rsidP="00543B3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C" w14:textId="77777777" w:rsidR="00543B35" w:rsidRPr="00D763E8" w:rsidRDefault="00543B35" w:rsidP="00543B3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96D34D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</w:tcPr>
          <w:p w14:paraId="1796D34E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</w:tcPr>
          <w:p w14:paraId="1796D34F" w14:textId="44A45A34" w:rsidR="00543B35" w:rsidRPr="006C4BC9" w:rsidRDefault="3D400FFB" w:rsidP="00543B35">
            <w:pPr>
              <w:jc w:val="right"/>
              <w:rPr>
                <w:sz w:val="15"/>
                <w:szCs w:val="15"/>
                <w:lang w:val="en-GB"/>
              </w:rPr>
            </w:pPr>
            <w:r w:rsidRPr="7A1C33BC">
              <w:rPr>
                <w:sz w:val="15"/>
                <w:szCs w:val="15"/>
                <w:lang w:val="en-GB"/>
              </w:rPr>
              <w:t xml:space="preserve">USD </w:t>
            </w:r>
            <w:r w:rsidR="543D728B" w:rsidRPr="7A1C33BC">
              <w:rPr>
                <w:sz w:val="15"/>
                <w:szCs w:val="15"/>
                <w:lang w:val="en-GB"/>
              </w:rPr>
              <w:t>3</w:t>
            </w:r>
            <w:r w:rsidR="00A048C3">
              <w:rPr>
                <w:sz w:val="15"/>
                <w:szCs w:val="15"/>
                <w:lang w:val="en-GB"/>
              </w:rPr>
              <w:t>85</w:t>
            </w:r>
            <w:r w:rsidRPr="7A1C33BC">
              <w:rPr>
                <w:sz w:val="15"/>
                <w:szCs w:val="15"/>
                <w:lang w:val="en-GB"/>
              </w:rPr>
              <w:t>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6D350" w14:textId="77777777" w:rsidR="00543B35" w:rsidRPr="00D763E8" w:rsidRDefault="00543B35" w:rsidP="00543B35">
            <w:pPr>
              <w:rPr>
                <w:rStyle w:val="CommentReference"/>
              </w:rPr>
            </w:pPr>
          </w:p>
        </w:tc>
      </w:tr>
    </w:tbl>
    <w:p w14:paraId="1796D352" w14:textId="77777777" w:rsidR="00DC530E" w:rsidRDefault="00DC530E"/>
    <w:sectPr w:rsidR="00DC530E" w:rsidSect="004C5416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1BD7" w14:textId="77777777" w:rsidR="00B2758B" w:rsidRDefault="00B2758B">
      <w:r>
        <w:separator/>
      </w:r>
    </w:p>
  </w:endnote>
  <w:endnote w:type="continuationSeparator" w:id="0">
    <w:p w14:paraId="5F038412" w14:textId="77777777" w:rsidR="00B2758B" w:rsidRDefault="00B2758B">
      <w:r>
        <w:continuationSeparator/>
      </w:r>
    </w:p>
  </w:endnote>
  <w:endnote w:type="continuationNotice" w:id="1">
    <w:p w14:paraId="6CDC999D" w14:textId="77777777" w:rsidR="00B2758B" w:rsidRDefault="00B27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D357" w14:textId="77777777" w:rsidR="00DC530E" w:rsidRDefault="00957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1796D358" w14:textId="77777777" w:rsidR="00DC530E" w:rsidRDefault="00DC53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D359" w14:textId="77777777" w:rsidR="00DC530E" w:rsidRDefault="00957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6D35A" w14:textId="77777777" w:rsidR="00DC530E" w:rsidRDefault="00DC53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E2F6" w14:textId="77777777" w:rsidR="00B2758B" w:rsidRDefault="00B2758B">
      <w:r>
        <w:separator/>
      </w:r>
    </w:p>
  </w:footnote>
  <w:footnote w:type="continuationSeparator" w:id="0">
    <w:p w14:paraId="7F142E5F" w14:textId="77777777" w:rsidR="00B2758B" w:rsidRDefault="00B2758B">
      <w:r>
        <w:continuationSeparator/>
      </w:r>
    </w:p>
  </w:footnote>
  <w:footnote w:type="continuationNotice" w:id="1">
    <w:p w14:paraId="7C087C24" w14:textId="77777777" w:rsidR="00B2758B" w:rsidRDefault="00B275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NzEwMjcyNzA2NjZT0lEKTi0uzszPAykwqwUAk4/ILSwAAAA="/>
  </w:docVars>
  <w:rsids>
    <w:rsidRoot w:val="004C5416"/>
    <w:rsid w:val="00005C99"/>
    <w:rsid w:val="00036E8D"/>
    <w:rsid w:val="00053857"/>
    <w:rsid w:val="0007614C"/>
    <w:rsid w:val="00077725"/>
    <w:rsid w:val="000778D9"/>
    <w:rsid w:val="00084BDC"/>
    <w:rsid w:val="000C04E2"/>
    <w:rsid w:val="000C144D"/>
    <w:rsid w:val="000F2CF3"/>
    <w:rsid w:val="001075A1"/>
    <w:rsid w:val="00121EBC"/>
    <w:rsid w:val="001464DD"/>
    <w:rsid w:val="00163BC4"/>
    <w:rsid w:val="00164925"/>
    <w:rsid w:val="00174165"/>
    <w:rsid w:val="001870AF"/>
    <w:rsid w:val="001905C6"/>
    <w:rsid w:val="001A2B9A"/>
    <w:rsid w:val="001A4905"/>
    <w:rsid w:val="001B7ED8"/>
    <w:rsid w:val="001C7155"/>
    <w:rsid w:val="001E10D9"/>
    <w:rsid w:val="002068B7"/>
    <w:rsid w:val="00217490"/>
    <w:rsid w:val="00217558"/>
    <w:rsid w:val="0024162D"/>
    <w:rsid w:val="00256EB4"/>
    <w:rsid w:val="00265084"/>
    <w:rsid w:val="00277AE9"/>
    <w:rsid w:val="0028141A"/>
    <w:rsid w:val="00292DE9"/>
    <w:rsid w:val="0029555C"/>
    <w:rsid w:val="002B1BF7"/>
    <w:rsid w:val="002B5C43"/>
    <w:rsid w:val="002D4D01"/>
    <w:rsid w:val="00320385"/>
    <w:rsid w:val="003264D2"/>
    <w:rsid w:val="00346629"/>
    <w:rsid w:val="00383585"/>
    <w:rsid w:val="003C764A"/>
    <w:rsid w:val="003D3E31"/>
    <w:rsid w:val="004006D7"/>
    <w:rsid w:val="004860D6"/>
    <w:rsid w:val="00493904"/>
    <w:rsid w:val="004A4CE4"/>
    <w:rsid w:val="004C5416"/>
    <w:rsid w:val="004D551E"/>
    <w:rsid w:val="004E7A17"/>
    <w:rsid w:val="005225A1"/>
    <w:rsid w:val="00522C83"/>
    <w:rsid w:val="00526647"/>
    <w:rsid w:val="00543B35"/>
    <w:rsid w:val="00545396"/>
    <w:rsid w:val="00546D86"/>
    <w:rsid w:val="00553721"/>
    <w:rsid w:val="00556B43"/>
    <w:rsid w:val="00563916"/>
    <w:rsid w:val="00563C75"/>
    <w:rsid w:val="005A6F12"/>
    <w:rsid w:val="005C19CC"/>
    <w:rsid w:val="005D0464"/>
    <w:rsid w:val="0062A5A4"/>
    <w:rsid w:val="00655FF1"/>
    <w:rsid w:val="00656FFE"/>
    <w:rsid w:val="0067402F"/>
    <w:rsid w:val="006B4D55"/>
    <w:rsid w:val="006E47A4"/>
    <w:rsid w:val="006E62E9"/>
    <w:rsid w:val="006F4B97"/>
    <w:rsid w:val="00703457"/>
    <w:rsid w:val="007208DD"/>
    <w:rsid w:val="00737566"/>
    <w:rsid w:val="007478B2"/>
    <w:rsid w:val="00756771"/>
    <w:rsid w:val="00781E3E"/>
    <w:rsid w:val="007C0C34"/>
    <w:rsid w:val="007E2315"/>
    <w:rsid w:val="007F2B2C"/>
    <w:rsid w:val="0080588E"/>
    <w:rsid w:val="00864686"/>
    <w:rsid w:val="00866518"/>
    <w:rsid w:val="00886E18"/>
    <w:rsid w:val="008F126F"/>
    <w:rsid w:val="00907D6E"/>
    <w:rsid w:val="00931157"/>
    <w:rsid w:val="00935F0B"/>
    <w:rsid w:val="00954E73"/>
    <w:rsid w:val="00957B39"/>
    <w:rsid w:val="00981DBD"/>
    <w:rsid w:val="00984E1A"/>
    <w:rsid w:val="009C47BE"/>
    <w:rsid w:val="009C74F5"/>
    <w:rsid w:val="009D3DD2"/>
    <w:rsid w:val="009F5B76"/>
    <w:rsid w:val="00A048C3"/>
    <w:rsid w:val="00A41ECA"/>
    <w:rsid w:val="00A4789E"/>
    <w:rsid w:val="00A56C02"/>
    <w:rsid w:val="00AC1094"/>
    <w:rsid w:val="00AD0A8C"/>
    <w:rsid w:val="00B03D95"/>
    <w:rsid w:val="00B2758B"/>
    <w:rsid w:val="00B442CC"/>
    <w:rsid w:val="00B4641F"/>
    <w:rsid w:val="00B65C54"/>
    <w:rsid w:val="00B662F1"/>
    <w:rsid w:val="00B8701E"/>
    <w:rsid w:val="00C10A30"/>
    <w:rsid w:val="00C20926"/>
    <w:rsid w:val="00C33DFC"/>
    <w:rsid w:val="00C35E9E"/>
    <w:rsid w:val="00C559D3"/>
    <w:rsid w:val="00C66A0E"/>
    <w:rsid w:val="00C92518"/>
    <w:rsid w:val="00C96170"/>
    <w:rsid w:val="00C97E31"/>
    <w:rsid w:val="00CB6036"/>
    <w:rsid w:val="00CC7864"/>
    <w:rsid w:val="00CE597D"/>
    <w:rsid w:val="00CF2AA0"/>
    <w:rsid w:val="00D24F89"/>
    <w:rsid w:val="00D43B73"/>
    <w:rsid w:val="00D464FD"/>
    <w:rsid w:val="00D60E14"/>
    <w:rsid w:val="00D855D9"/>
    <w:rsid w:val="00D929E4"/>
    <w:rsid w:val="00D948EA"/>
    <w:rsid w:val="00DC530E"/>
    <w:rsid w:val="00DC7628"/>
    <w:rsid w:val="00DC77C0"/>
    <w:rsid w:val="00DD07A2"/>
    <w:rsid w:val="00E057A5"/>
    <w:rsid w:val="00E12866"/>
    <w:rsid w:val="00E60798"/>
    <w:rsid w:val="00E60B3B"/>
    <w:rsid w:val="00E660D0"/>
    <w:rsid w:val="00E72CF0"/>
    <w:rsid w:val="00E95534"/>
    <w:rsid w:val="00EC1950"/>
    <w:rsid w:val="00F022B6"/>
    <w:rsid w:val="00F16BF6"/>
    <w:rsid w:val="00F373CC"/>
    <w:rsid w:val="00F46CBB"/>
    <w:rsid w:val="00F56DAC"/>
    <w:rsid w:val="00F71AF5"/>
    <w:rsid w:val="00F7394B"/>
    <w:rsid w:val="00FB3D25"/>
    <w:rsid w:val="00FD7748"/>
    <w:rsid w:val="00FE36A3"/>
    <w:rsid w:val="00FE531F"/>
    <w:rsid w:val="00FE687F"/>
    <w:rsid w:val="01990935"/>
    <w:rsid w:val="033BBA93"/>
    <w:rsid w:val="1167A65A"/>
    <w:rsid w:val="122E38FA"/>
    <w:rsid w:val="129E0DC6"/>
    <w:rsid w:val="13C8F011"/>
    <w:rsid w:val="153096A6"/>
    <w:rsid w:val="19BEE1A6"/>
    <w:rsid w:val="1A5E7C96"/>
    <w:rsid w:val="1BFEC824"/>
    <w:rsid w:val="1CA763A9"/>
    <w:rsid w:val="1DB32009"/>
    <w:rsid w:val="2120C8B2"/>
    <w:rsid w:val="2557F14E"/>
    <w:rsid w:val="2676A4F6"/>
    <w:rsid w:val="26C6E6E5"/>
    <w:rsid w:val="27D2544E"/>
    <w:rsid w:val="2BFF4700"/>
    <w:rsid w:val="3011D83F"/>
    <w:rsid w:val="34292256"/>
    <w:rsid w:val="367FE87D"/>
    <w:rsid w:val="3D400FFB"/>
    <w:rsid w:val="3D5439B9"/>
    <w:rsid w:val="43D4C465"/>
    <w:rsid w:val="4757D716"/>
    <w:rsid w:val="4A5D8AAF"/>
    <w:rsid w:val="4D43715E"/>
    <w:rsid w:val="4FE0114F"/>
    <w:rsid w:val="516D02B1"/>
    <w:rsid w:val="5185251E"/>
    <w:rsid w:val="543D728B"/>
    <w:rsid w:val="54692DA1"/>
    <w:rsid w:val="561ACCBE"/>
    <w:rsid w:val="566FAEBA"/>
    <w:rsid w:val="5727520E"/>
    <w:rsid w:val="5865CD6C"/>
    <w:rsid w:val="5A4E8555"/>
    <w:rsid w:val="5C816322"/>
    <w:rsid w:val="5D78F6F5"/>
    <w:rsid w:val="5EC21D70"/>
    <w:rsid w:val="5F272ED8"/>
    <w:rsid w:val="616635DB"/>
    <w:rsid w:val="6326E462"/>
    <w:rsid w:val="662BCAF7"/>
    <w:rsid w:val="6685BBDD"/>
    <w:rsid w:val="67788703"/>
    <w:rsid w:val="6F6AF6D7"/>
    <w:rsid w:val="71A870E4"/>
    <w:rsid w:val="7342223A"/>
    <w:rsid w:val="77175786"/>
    <w:rsid w:val="771C64FA"/>
    <w:rsid w:val="79BFBA2E"/>
    <w:rsid w:val="7A1C33BC"/>
    <w:rsid w:val="7B6DECB7"/>
    <w:rsid w:val="7C81021A"/>
    <w:rsid w:val="7DBE8508"/>
    <w:rsid w:val="7E181ED9"/>
    <w:rsid w:val="7F77E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D2B8"/>
  <w15:chartTrackingRefBased/>
  <w15:docId w15:val="{E1628B28-EE4E-480D-9DA6-CF3A806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4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C5416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4C5416"/>
  </w:style>
  <w:style w:type="paragraph" w:styleId="BalloonText">
    <w:name w:val="Balloon Text"/>
    <w:basedOn w:val="Normal"/>
    <w:link w:val="BalloonTextChar"/>
    <w:uiPriority w:val="99"/>
    <w:semiHidden/>
    <w:unhideWhenUsed/>
    <w:rsid w:val="00A5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2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81DBD"/>
  </w:style>
  <w:style w:type="character" w:customStyle="1" w:styleId="eop">
    <w:name w:val="eop"/>
    <w:basedOn w:val="DefaultParagraphFont"/>
    <w:rsid w:val="00981DBD"/>
  </w:style>
  <w:style w:type="paragraph" w:styleId="Header">
    <w:name w:val="header"/>
    <w:basedOn w:val="Normal"/>
    <w:link w:val="HeaderChar"/>
    <w:uiPriority w:val="99"/>
    <w:semiHidden/>
    <w:unhideWhenUsed/>
    <w:rsid w:val="00E12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8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UNITOFFICE-440-1843</_dlc_DocId>
    <_dlc_DocIdUrl xmlns="5ebeba3d-fd60-4dcb-8548-a9fd3c51d9ff">
      <Url>https://intranet.undp.org/unit/office/exo/sp2014/SP201417/_layouts/15/DocIdRedir.aspx?ID=UNITOFFICE-440-1843</Url>
      <Description>UNITOFFICE-440-1843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2F1AA-120D-49D1-8279-C4AB8FC18A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F5DBFC-6AEA-409E-96FF-FC14AE4269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A9115-DD4A-455A-8DFA-75039AA3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77A2-FA1A-4216-BDD5-DC2DCF731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5387</Characters>
  <Application>Microsoft Office Word</Application>
  <DocSecurity>4</DocSecurity>
  <Lines>128</Lines>
  <Paragraphs>54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Rune. Christensen</dc:creator>
  <cp:keywords/>
  <dc:description/>
  <cp:lastModifiedBy>Svetlana Iazykova</cp:lastModifiedBy>
  <cp:revision>2</cp:revision>
  <dcterms:created xsi:type="dcterms:W3CDTF">2021-05-17T20:57:00Z</dcterms:created>
  <dcterms:modified xsi:type="dcterms:W3CDTF">2021-05-17T20:57:00Z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4dba84db-945d-4861-842f-784901e7b029</vt:lpwstr>
  </property>
</Properties>
</file>