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0446B" w14:textId="0F2ADC4A" w:rsidR="005C6168" w:rsidRPr="00517955" w:rsidRDefault="005C6168">
      <w:pPr>
        <w:pStyle w:val="Heading3"/>
        <w:jc w:val="left"/>
        <w:rPr>
          <w:rFonts w:ascii="Calibri" w:hAnsi="Calibri"/>
        </w:rPr>
      </w:pPr>
      <w:r w:rsidRPr="00517955">
        <w:rPr>
          <w:rFonts w:ascii="Calibri" w:hAnsi="Calibri"/>
        </w:rPr>
        <w:t>Country:</w:t>
      </w:r>
      <w:r w:rsidRPr="00517955">
        <w:rPr>
          <w:rFonts w:ascii="Calibri" w:hAnsi="Calibri"/>
        </w:rPr>
        <w:tab/>
      </w:r>
      <w:r w:rsidRPr="00517955">
        <w:rPr>
          <w:rFonts w:ascii="Calibri" w:hAnsi="Calibri"/>
        </w:rPr>
        <w:tab/>
      </w:r>
      <w:r w:rsidR="00023E18">
        <w:rPr>
          <w:rFonts w:ascii="Calibri" w:hAnsi="Calibri"/>
        </w:rPr>
        <w:t>ECUADOR</w:t>
      </w:r>
    </w:p>
    <w:p w14:paraId="227D9357" w14:textId="77777777" w:rsidR="005C6168" w:rsidRPr="00517955" w:rsidRDefault="005C6168">
      <w:pPr>
        <w:pStyle w:val="Heading3"/>
        <w:rPr>
          <w:rFonts w:ascii="Calibri" w:hAnsi="Calibri"/>
        </w:rPr>
      </w:pPr>
    </w:p>
    <w:p w14:paraId="468A3B9C" w14:textId="77777777" w:rsidR="005C6168" w:rsidRPr="00517955" w:rsidRDefault="00BC38E0">
      <w:pPr>
        <w:pStyle w:val="Heading3"/>
        <w:rPr>
          <w:rFonts w:ascii="Calibri" w:hAnsi="Calibri"/>
          <w:b/>
          <w:bCs w:val="0"/>
        </w:rPr>
      </w:pPr>
      <w:r w:rsidRPr="00517955">
        <w:rPr>
          <w:rFonts w:ascii="Calibri" w:hAnsi="Calibri"/>
          <w:b/>
          <w:bCs w:val="0"/>
        </w:rPr>
        <w:t>COUNTRY PROGRAMME</w:t>
      </w:r>
      <w:r w:rsidR="00B32ADA">
        <w:rPr>
          <w:rFonts w:ascii="Calibri" w:hAnsi="Calibri"/>
          <w:b/>
          <w:bCs w:val="0"/>
        </w:rPr>
        <w:t xml:space="preserve"> PERFORMANCE SUMMARY</w:t>
      </w:r>
      <w:r w:rsidR="001F3524">
        <w:rPr>
          <w:rStyle w:val="FootnoteReference"/>
          <w:rFonts w:ascii="Calibri" w:hAnsi="Calibri"/>
          <w:b/>
          <w:bCs w:val="0"/>
        </w:rPr>
        <w:footnoteReference w:id="2"/>
      </w:r>
    </w:p>
    <w:p w14:paraId="401DA2B1" w14:textId="77777777" w:rsidR="005C6168" w:rsidRPr="00517955" w:rsidRDefault="005C6168">
      <w:pPr>
        <w:pStyle w:val="Heading3"/>
        <w:rPr>
          <w:rFonts w:ascii="Calibri" w:hAnsi="Calibri"/>
          <w:b/>
        </w:rPr>
      </w:pPr>
    </w:p>
    <w:p w14:paraId="4BF74408" w14:textId="3F95B4BE" w:rsidR="005C6168" w:rsidRPr="00517955" w:rsidRDefault="005C6168">
      <w:pPr>
        <w:pStyle w:val="Heading3"/>
        <w:jc w:val="left"/>
        <w:rPr>
          <w:rFonts w:ascii="Calibri" w:hAnsi="Calibri"/>
        </w:rPr>
      </w:pPr>
      <w:r w:rsidRPr="00517955">
        <w:rPr>
          <w:rFonts w:ascii="Calibri" w:hAnsi="Calibri"/>
        </w:rPr>
        <w:t xml:space="preserve">Reporting period: </w:t>
      </w:r>
      <w:r w:rsidRPr="00517955">
        <w:rPr>
          <w:rFonts w:ascii="Calibri" w:hAnsi="Calibri"/>
        </w:rPr>
        <w:tab/>
      </w:r>
      <w:r w:rsidR="00023E18">
        <w:rPr>
          <w:rFonts w:ascii="Calibri" w:hAnsi="Calibri"/>
        </w:rPr>
        <w:t>2010 – 2014</w:t>
      </w:r>
    </w:p>
    <w:p w14:paraId="67F9B7AD" w14:textId="77777777" w:rsidR="005C6168" w:rsidRPr="00517955" w:rsidRDefault="005C6168">
      <w:pPr>
        <w:pStyle w:val="Heading3"/>
        <w:rPr>
          <w:rFonts w:ascii="Calibri" w:hAnsi="Calibri"/>
        </w:rPr>
      </w:pPr>
    </w:p>
    <w:p w14:paraId="720860B4" w14:textId="77777777" w:rsidR="005C6168" w:rsidRPr="00517955" w:rsidRDefault="005C6168">
      <w:pPr>
        <w:rPr>
          <w:rFonts w:ascii="Calibri" w:hAnsi="Calibri"/>
        </w:rPr>
      </w:pPr>
    </w:p>
    <w:p w14:paraId="4672D912" w14:textId="7C0FC400" w:rsidR="005C6168" w:rsidRPr="00517955" w:rsidRDefault="005C6168">
      <w:pPr>
        <w:pStyle w:val="Heading3"/>
        <w:rPr>
          <w:rFonts w:ascii="Calibri" w:hAnsi="Calibri"/>
          <w:b/>
          <w:bCs w:val="0"/>
        </w:rPr>
      </w:pPr>
      <w:r w:rsidRPr="00517955">
        <w:rPr>
          <w:rFonts w:ascii="Calibri" w:hAnsi="Calibri"/>
          <w:b/>
          <w:bCs w:val="0"/>
        </w:rPr>
        <w:t xml:space="preserve">I.  </w:t>
      </w:r>
      <w:r w:rsidR="0064746F">
        <w:rPr>
          <w:rFonts w:ascii="Calibri" w:hAnsi="Calibri"/>
          <w:b/>
          <w:bCs w:val="0"/>
        </w:rPr>
        <w:t>EXECUTIVE SUMMARY</w:t>
      </w:r>
      <w:bookmarkStart w:id="0" w:name="_GoBack"/>
      <w:bookmarkEnd w:id="0"/>
    </w:p>
    <w:p w14:paraId="29143490" w14:textId="77777777" w:rsidR="005C6168" w:rsidRPr="006B3073" w:rsidRDefault="005C6168" w:rsidP="00363EC5">
      <w:pPr>
        <w:pStyle w:val="BodyText"/>
        <w:rPr>
          <w:rFonts w:asciiTheme="minorHAnsi" w:hAnsiTheme="minorHAnsi"/>
          <w:sz w:val="20"/>
        </w:rPr>
      </w:pPr>
    </w:p>
    <w:p w14:paraId="35888CEC" w14:textId="54990B2B" w:rsidR="006B3073" w:rsidRPr="006B3073" w:rsidRDefault="006B3073" w:rsidP="006B3073">
      <w:pPr>
        <w:pStyle w:val="NormalWeb"/>
        <w:spacing w:before="0" w:beforeAutospacing="0" w:after="0" w:afterAutospacing="0"/>
        <w:ind w:right="1183"/>
        <w:jc w:val="both"/>
        <w:rPr>
          <w:rFonts w:asciiTheme="minorHAnsi" w:hAnsiTheme="minorHAnsi"/>
          <w:sz w:val="20"/>
          <w:szCs w:val="20"/>
          <w:lang w:val="en-GB"/>
        </w:rPr>
      </w:pPr>
      <w:r w:rsidRPr="006B3073">
        <w:rPr>
          <w:rFonts w:asciiTheme="minorHAnsi" w:hAnsiTheme="minorHAnsi"/>
          <w:sz w:val="20"/>
          <w:szCs w:val="20"/>
          <w:lang w:val="en-GB"/>
        </w:rPr>
        <w:t>UNDP worked in four spheres. Under democratic governance, UNDP helped strengthen decentralization and the territorial planning/management processes that contributed to the consolidation of the National Decentralized Participatory Planning System, with the following outcomes: ownership by national and local governments of multilevel articulation and governance tools for planning, territorial management and international cooperation; and the development of capacities and tools to manage territorial priorities that help align international cooperation and public investments with priorities agreed among local stakeholders. UNDP also supported institutional strengthening in the water and sanitation sector to improve and expand service provision at the local level. The MDG-F supported program improved access to sustainable water and sanitation services for more than 20,000 users in 39 rural communities of 14 small municipalities (Final Assessment of the Water Sector Governance Program, 2013.)</w:t>
      </w:r>
    </w:p>
    <w:p w14:paraId="5292F873" w14:textId="77777777" w:rsidR="006B3073" w:rsidRPr="006B3073" w:rsidRDefault="006B3073" w:rsidP="006B3073">
      <w:pPr>
        <w:pStyle w:val="NormalWeb"/>
        <w:spacing w:before="0" w:beforeAutospacing="0" w:after="0" w:afterAutospacing="0"/>
        <w:ind w:left="1276" w:right="1183"/>
        <w:jc w:val="both"/>
        <w:rPr>
          <w:rFonts w:asciiTheme="minorHAnsi" w:hAnsiTheme="minorHAnsi"/>
          <w:sz w:val="20"/>
          <w:szCs w:val="20"/>
          <w:lang w:val="en-GB"/>
        </w:rPr>
      </w:pPr>
    </w:p>
    <w:p w14:paraId="6B522EE3" w14:textId="6B85CE4E" w:rsidR="006B3073" w:rsidRPr="006B3073" w:rsidRDefault="006B3073" w:rsidP="006B3073">
      <w:pPr>
        <w:pStyle w:val="NormalWeb"/>
        <w:spacing w:before="0" w:beforeAutospacing="0" w:after="0" w:afterAutospacing="0"/>
        <w:ind w:right="1183"/>
        <w:jc w:val="both"/>
        <w:rPr>
          <w:rFonts w:asciiTheme="minorHAnsi" w:hAnsiTheme="minorHAnsi"/>
          <w:sz w:val="20"/>
          <w:szCs w:val="20"/>
          <w:lang w:val="en-GB"/>
        </w:rPr>
      </w:pPr>
      <w:r w:rsidRPr="006B3073">
        <w:rPr>
          <w:rFonts w:asciiTheme="minorHAnsi" w:hAnsiTheme="minorHAnsi"/>
          <w:sz w:val="20"/>
          <w:szCs w:val="20"/>
          <w:lang w:val="en-GB"/>
        </w:rPr>
        <w:t>Under poverty reduction and equity promotion, UNDP helped promote sustainable employment and livelihoods aimed at youth, women, indigenous peoples and small farmers, and supported microcredit system improvement and the development of entrepreneurship as measures to dampen the impacts of migration, unemployment and limited production promotion. Support was provided for 1,134 new youth ventures, with financial cooperation for 1,479 businesses led by youth, 570 of which were led by women</w:t>
      </w:r>
      <w:r>
        <w:rPr>
          <w:rFonts w:asciiTheme="minorHAnsi" w:hAnsiTheme="minorHAnsi"/>
          <w:sz w:val="20"/>
          <w:szCs w:val="20"/>
          <w:lang w:val="en-GB"/>
        </w:rPr>
        <w:t>.</w:t>
      </w:r>
    </w:p>
    <w:p w14:paraId="4ADDB5DF" w14:textId="77777777" w:rsidR="006B3073" w:rsidRPr="006B3073" w:rsidRDefault="006B3073" w:rsidP="006B3073">
      <w:pPr>
        <w:pStyle w:val="NormalWeb"/>
        <w:spacing w:before="0" w:beforeAutospacing="0" w:after="0" w:afterAutospacing="0"/>
        <w:ind w:left="1276" w:right="1183"/>
        <w:jc w:val="both"/>
        <w:rPr>
          <w:rFonts w:asciiTheme="minorHAnsi" w:hAnsiTheme="minorHAnsi"/>
          <w:b/>
          <w:i/>
          <w:sz w:val="20"/>
          <w:szCs w:val="20"/>
          <w:lang w:val="en-GB"/>
        </w:rPr>
      </w:pPr>
    </w:p>
    <w:p w14:paraId="36970C25" w14:textId="2987AA32" w:rsidR="006B3073" w:rsidRPr="006B3073" w:rsidRDefault="006B3073" w:rsidP="006B3073">
      <w:pPr>
        <w:ind w:right="1183"/>
        <w:jc w:val="both"/>
        <w:rPr>
          <w:rFonts w:asciiTheme="minorHAnsi" w:hAnsiTheme="minorHAnsi"/>
          <w:sz w:val="20"/>
          <w:lang w:val="en-GB"/>
        </w:rPr>
      </w:pPr>
      <w:r w:rsidRPr="006B3073">
        <w:rPr>
          <w:rFonts w:asciiTheme="minorHAnsi" w:hAnsiTheme="minorHAnsi"/>
          <w:sz w:val="20"/>
          <w:lang w:val="en-GB"/>
        </w:rPr>
        <w:t xml:space="preserve">With regards to the sustainable and equitable management of the environment, UNDP supported capacity strengthening and provided technical support to Ecuador to meet the international commitments undertaken by the country, and for the development of national programmes (biodiversity and ecosystems, climate change, sustainable energy, environmental quality and disaster and risk management.) UNDP also assisted in the development of policies such as supporting the integral plan to control invasive species in Galápagos, the development of a strategic international-level chemical management approach, and the development of information systems, management plans and financial sustainability strategies for protected areas. In addition to the work with the Municipality of Quito, the focus has been placed on ensuring that citizens can rely on better local institutions to face negative events, which includes an Emergency Prevention and Response Plan for mass movements, floods and forest fires. The GR Directorate has been strengthened with an organic structure composed by 40 public servants and relies on an updated Ordinance of the Metropolitan GR System. </w:t>
      </w:r>
      <w:r w:rsidRPr="006B3073">
        <w:rPr>
          <w:rFonts w:asciiTheme="minorHAnsi" w:hAnsiTheme="minorHAnsi"/>
          <w:sz w:val="20"/>
        </w:rPr>
        <w:t>The functions of the National Secretariat for Risk Management (NSRM) have been strengthened. The NSRM is in charge of risk management at large in Ecuador and works in close cooperation with other organizations, and promotes cooperation and synergies with local governments.</w:t>
      </w:r>
    </w:p>
    <w:p w14:paraId="75F3D7CD" w14:textId="77777777" w:rsidR="0037523B" w:rsidRDefault="0037523B" w:rsidP="00975566">
      <w:pPr>
        <w:pStyle w:val="BodyText2"/>
        <w:jc w:val="center"/>
        <w:rPr>
          <w:rFonts w:ascii="Times New Roman" w:hAnsi="Times New Roman"/>
          <w:b/>
          <w:sz w:val="24"/>
        </w:rPr>
      </w:pPr>
    </w:p>
    <w:p w14:paraId="26AACCDC" w14:textId="77777777" w:rsidR="0037523B" w:rsidRDefault="0037523B" w:rsidP="00975566">
      <w:pPr>
        <w:pStyle w:val="BodyText2"/>
        <w:jc w:val="center"/>
        <w:rPr>
          <w:rFonts w:ascii="Times New Roman" w:hAnsi="Times New Roman"/>
          <w:b/>
          <w:sz w:val="24"/>
        </w:rPr>
      </w:pPr>
    </w:p>
    <w:p w14:paraId="0181D14B" w14:textId="77777777" w:rsidR="0037523B" w:rsidRDefault="0037523B" w:rsidP="00975566">
      <w:pPr>
        <w:pStyle w:val="BodyText2"/>
        <w:jc w:val="center"/>
        <w:rPr>
          <w:rFonts w:ascii="Times New Roman" w:hAnsi="Times New Roman"/>
          <w:b/>
          <w:sz w:val="24"/>
        </w:rPr>
      </w:pPr>
    </w:p>
    <w:p w14:paraId="6C46D4A7" w14:textId="77777777" w:rsidR="0037523B" w:rsidRDefault="0037523B" w:rsidP="00975566">
      <w:pPr>
        <w:pStyle w:val="BodyText2"/>
        <w:jc w:val="center"/>
        <w:rPr>
          <w:rFonts w:ascii="Times New Roman" w:hAnsi="Times New Roman"/>
          <w:b/>
          <w:sz w:val="24"/>
        </w:rPr>
      </w:pPr>
    </w:p>
    <w:p w14:paraId="74590387" w14:textId="77777777" w:rsidR="0037523B" w:rsidRDefault="0037523B" w:rsidP="00975566">
      <w:pPr>
        <w:pStyle w:val="BodyText2"/>
        <w:jc w:val="center"/>
        <w:rPr>
          <w:rFonts w:ascii="Times New Roman" w:hAnsi="Times New Roman"/>
          <w:b/>
          <w:sz w:val="24"/>
        </w:rPr>
        <w:sectPr w:rsidR="0037523B">
          <w:headerReference w:type="default" r:id="rId8"/>
          <w:footerReference w:type="default" r:id="rId9"/>
          <w:endnotePr>
            <w:numFmt w:val="decimal"/>
          </w:endnotePr>
          <w:pgSz w:w="11907" w:h="16840" w:code="9"/>
          <w:pgMar w:top="1440" w:right="1440" w:bottom="1440" w:left="1440" w:header="720" w:footer="720" w:gutter="0"/>
          <w:cols w:space="720"/>
        </w:sectPr>
      </w:pPr>
    </w:p>
    <w:p w14:paraId="15E936F9" w14:textId="77777777" w:rsidR="00975566" w:rsidRPr="00517955" w:rsidRDefault="006900FE" w:rsidP="008440D9">
      <w:pPr>
        <w:pStyle w:val="Heading3"/>
        <w:jc w:val="left"/>
        <w:rPr>
          <w:rFonts w:ascii="Calibri" w:hAnsi="Calibri"/>
          <w:b/>
        </w:rPr>
      </w:pPr>
      <w:r>
        <w:rPr>
          <w:rFonts w:ascii="Calibri" w:hAnsi="Calibri"/>
          <w:b/>
        </w:rPr>
        <w:lastRenderedPageBreak/>
        <w:t>II</w:t>
      </w:r>
      <w:r w:rsidR="0081403B" w:rsidRPr="00517955">
        <w:rPr>
          <w:rFonts w:ascii="Calibri" w:hAnsi="Calibri"/>
          <w:b/>
        </w:rPr>
        <w:t xml:space="preserve">: </w:t>
      </w:r>
      <w:r w:rsidR="000C09B4" w:rsidRPr="00517955">
        <w:rPr>
          <w:rFonts w:ascii="Calibri" w:hAnsi="Calibri"/>
          <w:b/>
        </w:rPr>
        <w:t xml:space="preserve">Country Programme Performance </w:t>
      </w:r>
      <w:r w:rsidR="00975566" w:rsidRPr="00517955">
        <w:rPr>
          <w:rFonts w:ascii="Calibri" w:hAnsi="Calibri"/>
          <w:b/>
        </w:rPr>
        <w:t>Summary</w:t>
      </w:r>
    </w:p>
    <w:p w14:paraId="2EEEBBB6" w14:textId="77777777" w:rsidR="00DC7354" w:rsidRDefault="00DC7354" w:rsidP="00975566">
      <w:pPr>
        <w:pStyle w:val="BodyText2"/>
        <w:jc w:val="center"/>
        <w:rPr>
          <w:rFonts w:ascii="Times New Roman" w:hAnsi="Times New Roman"/>
          <w:b/>
          <w:sz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90"/>
        <w:gridCol w:w="1440"/>
        <w:gridCol w:w="3960"/>
        <w:gridCol w:w="5490"/>
      </w:tblGrid>
      <w:tr w:rsidR="00CB647D" w:rsidRPr="00770B33" w14:paraId="49E1E305" w14:textId="77777777" w:rsidTr="009E7526">
        <w:tc>
          <w:tcPr>
            <w:tcW w:w="3150" w:type="dxa"/>
            <w:gridSpan w:val="2"/>
            <w:tcBorders>
              <w:right w:val="nil"/>
            </w:tcBorders>
            <w:shd w:val="clear" w:color="auto" w:fill="FFC000"/>
          </w:tcPr>
          <w:p w14:paraId="17A3F303" w14:textId="77777777" w:rsidR="00CB647D" w:rsidRPr="00770B33" w:rsidRDefault="00CB647D">
            <w:pPr>
              <w:pStyle w:val="BodyText2"/>
              <w:rPr>
                <w:rFonts w:asciiTheme="minorHAnsi" w:hAnsiTheme="minorHAnsi"/>
                <w:b/>
              </w:rPr>
            </w:pPr>
            <w:r w:rsidRPr="00770B33">
              <w:rPr>
                <w:rFonts w:asciiTheme="minorHAnsi" w:hAnsiTheme="minorHAnsi"/>
                <w:b/>
              </w:rPr>
              <w:t>Country information</w:t>
            </w:r>
          </w:p>
        </w:tc>
        <w:tc>
          <w:tcPr>
            <w:tcW w:w="10890" w:type="dxa"/>
            <w:gridSpan w:val="3"/>
            <w:tcBorders>
              <w:left w:val="nil"/>
            </w:tcBorders>
            <w:shd w:val="clear" w:color="auto" w:fill="FFC000"/>
          </w:tcPr>
          <w:p w14:paraId="07AE6EEB" w14:textId="77777777" w:rsidR="00CB647D" w:rsidRPr="00770B33" w:rsidRDefault="00CB647D">
            <w:pPr>
              <w:pStyle w:val="BodyText2"/>
              <w:rPr>
                <w:rFonts w:asciiTheme="minorHAnsi" w:hAnsiTheme="minorHAnsi"/>
                <w:b/>
              </w:rPr>
            </w:pPr>
          </w:p>
        </w:tc>
      </w:tr>
      <w:tr w:rsidR="009B76A1" w:rsidRPr="00770B33" w14:paraId="180F4B16" w14:textId="77777777" w:rsidTr="00704406">
        <w:tc>
          <w:tcPr>
            <w:tcW w:w="14040" w:type="dxa"/>
            <w:gridSpan w:val="5"/>
          </w:tcPr>
          <w:p w14:paraId="79CF12C0" w14:textId="704FCBE1" w:rsidR="009B76A1" w:rsidRPr="00770B33" w:rsidRDefault="009B76A1" w:rsidP="00C91262">
            <w:pPr>
              <w:pStyle w:val="BodyText2"/>
              <w:rPr>
                <w:rFonts w:asciiTheme="minorHAnsi" w:hAnsiTheme="minorHAnsi"/>
                <w:b/>
              </w:rPr>
            </w:pPr>
            <w:r w:rsidRPr="00770B33">
              <w:rPr>
                <w:rFonts w:asciiTheme="minorHAnsi" w:hAnsiTheme="minorHAnsi"/>
                <w:b/>
              </w:rPr>
              <w:t>Country name:</w:t>
            </w:r>
            <w:r w:rsidR="00162738" w:rsidRPr="00770B33">
              <w:rPr>
                <w:rFonts w:asciiTheme="minorHAnsi" w:hAnsiTheme="minorHAnsi"/>
                <w:b/>
              </w:rPr>
              <w:t xml:space="preserve"> Ecuador</w:t>
            </w:r>
          </w:p>
        </w:tc>
      </w:tr>
      <w:tr w:rsidR="009B76A1" w:rsidRPr="00770B33" w14:paraId="7312544C" w14:textId="77777777" w:rsidTr="00704406">
        <w:tc>
          <w:tcPr>
            <w:tcW w:w="14040" w:type="dxa"/>
            <w:gridSpan w:val="5"/>
          </w:tcPr>
          <w:p w14:paraId="1DC03DDF" w14:textId="153DD3A4" w:rsidR="009B76A1" w:rsidRPr="00770B33" w:rsidRDefault="009B76A1">
            <w:pPr>
              <w:pStyle w:val="BodyText2"/>
              <w:rPr>
                <w:rFonts w:asciiTheme="minorHAnsi" w:hAnsiTheme="minorHAnsi"/>
                <w:b/>
              </w:rPr>
            </w:pPr>
            <w:r w:rsidRPr="00770B33">
              <w:rPr>
                <w:rFonts w:asciiTheme="minorHAnsi" w:hAnsiTheme="minorHAnsi"/>
                <w:b/>
              </w:rPr>
              <w:t>Current country programme period:</w:t>
            </w:r>
            <w:r w:rsidR="00162738" w:rsidRPr="00770B33">
              <w:rPr>
                <w:rFonts w:asciiTheme="minorHAnsi" w:hAnsiTheme="minorHAnsi"/>
                <w:b/>
              </w:rPr>
              <w:t xml:space="preserve"> 2010</w:t>
            </w:r>
            <w:r w:rsidR="005402B6" w:rsidRPr="00770B33">
              <w:rPr>
                <w:rFonts w:asciiTheme="minorHAnsi" w:hAnsiTheme="minorHAnsi"/>
                <w:b/>
              </w:rPr>
              <w:t>-</w:t>
            </w:r>
            <w:r w:rsidR="00162738" w:rsidRPr="00770B33">
              <w:rPr>
                <w:rFonts w:asciiTheme="minorHAnsi" w:hAnsiTheme="minorHAnsi"/>
                <w:b/>
              </w:rPr>
              <w:t xml:space="preserve"> - 2014</w:t>
            </w:r>
          </w:p>
        </w:tc>
      </w:tr>
      <w:tr w:rsidR="003B037A" w:rsidRPr="00770B33" w14:paraId="0558F0EF" w14:textId="77777777" w:rsidTr="009E7526">
        <w:tc>
          <w:tcPr>
            <w:tcW w:w="3150" w:type="dxa"/>
            <w:gridSpan w:val="2"/>
          </w:tcPr>
          <w:p w14:paraId="2138E1F8" w14:textId="77777777" w:rsidR="003B037A" w:rsidRPr="00770B33" w:rsidRDefault="003B037A">
            <w:pPr>
              <w:pStyle w:val="BodyText2"/>
              <w:rPr>
                <w:rFonts w:asciiTheme="minorHAnsi" w:hAnsiTheme="minorHAnsi"/>
                <w:b/>
              </w:rPr>
            </w:pPr>
            <w:r w:rsidRPr="00770B33">
              <w:rPr>
                <w:rFonts w:asciiTheme="minorHAnsi" w:hAnsiTheme="minorHAnsi"/>
                <w:b/>
              </w:rPr>
              <w:t>Outcome</w:t>
            </w:r>
            <w:r w:rsidR="00700521" w:rsidRPr="00770B33">
              <w:rPr>
                <w:rFonts w:asciiTheme="minorHAnsi" w:hAnsiTheme="minorHAnsi"/>
                <w:b/>
              </w:rPr>
              <w:t>s</w:t>
            </w:r>
          </w:p>
        </w:tc>
        <w:tc>
          <w:tcPr>
            <w:tcW w:w="1440" w:type="dxa"/>
            <w:shd w:val="clear" w:color="auto" w:fill="auto"/>
          </w:tcPr>
          <w:p w14:paraId="1E41B266" w14:textId="6D43A866" w:rsidR="003B037A" w:rsidRPr="00770B33" w:rsidRDefault="003B037A">
            <w:pPr>
              <w:pStyle w:val="BodyText2"/>
              <w:rPr>
                <w:rFonts w:asciiTheme="minorHAnsi" w:hAnsiTheme="minorHAnsi"/>
                <w:b/>
              </w:rPr>
            </w:pPr>
            <w:r w:rsidRPr="00770B33">
              <w:rPr>
                <w:rFonts w:asciiTheme="minorHAnsi" w:hAnsiTheme="minorHAnsi"/>
                <w:b/>
              </w:rPr>
              <w:t>Total Expenditure</w:t>
            </w:r>
            <w:r w:rsidR="005402B6" w:rsidRPr="00770B33">
              <w:rPr>
                <w:rFonts w:asciiTheme="minorHAnsi" w:hAnsiTheme="minorHAnsi"/>
                <w:b/>
              </w:rPr>
              <w:t xml:space="preserve"> (2010-2013)</w:t>
            </w:r>
          </w:p>
        </w:tc>
        <w:tc>
          <w:tcPr>
            <w:tcW w:w="3960" w:type="dxa"/>
            <w:tcBorders>
              <w:left w:val="single" w:sz="4" w:space="0" w:color="auto"/>
            </w:tcBorders>
          </w:tcPr>
          <w:p w14:paraId="5965BB96" w14:textId="77777777" w:rsidR="003B037A" w:rsidRPr="00770B33" w:rsidRDefault="003B037A">
            <w:pPr>
              <w:pStyle w:val="BodyText2"/>
              <w:rPr>
                <w:rFonts w:asciiTheme="minorHAnsi" w:hAnsiTheme="minorHAnsi"/>
                <w:b/>
              </w:rPr>
            </w:pPr>
            <w:r w:rsidRPr="00770B33">
              <w:rPr>
                <w:rFonts w:asciiTheme="minorHAnsi" w:hAnsiTheme="minorHAnsi"/>
                <w:b/>
              </w:rPr>
              <w:t>Key Indicators of outcome (1-4 per outcome)</w:t>
            </w:r>
          </w:p>
        </w:tc>
        <w:tc>
          <w:tcPr>
            <w:tcW w:w="5490" w:type="dxa"/>
          </w:tcPr>
          <w:p w14:paraId="2EDA3CBD" w14:textId="77777777" w:rsidR="003B037A" w:rsidRPr="00770B33" w:rsidRDefault="003B037A">
            <w:pPr>
              <w:pStyle w:val="BodyText2"/>
              <w:rPr>
                <w:rFonts w:asciiTheme="minorHAnsi" w:hAnsiTheme="minorHAnsi"/>
                <w:b/>
              </w:rPr>
            </w:pPr>
            <w:r w:rsidRPr="00770B33">
              <w:rPr>
                <w:rFonts w:asciiTheme="minorHAnsi" w:hAnsiTheme="minorHAnsi"/>
                <w:b/>
              </w:rPr>
              <w:t>Progress made against key indicators</w:t>
            </w:r>
          </w:p>
        </w:tc>
      </w:tr>
      <w:tr w:rsidR="000823AC" w:rsidRPr="00770B33" w14:paraId="3B068364" w14:textId="77777777" w:rsidTr="000823AC">
        <w:tc>
          <w:tcPr>
            <w:tcW w:w="3150" w:type="dxa"/>
            <w:gridSpan w:val="2"/>
            <w:tcBorders>
              <w:bottom w:val="single" w:sz="4" w:space="0" w:color="auto"/>
            </w:tcBorders>
            <w:shd w:val="clear" w:color="auto" w:fill="95B3D7"/>
          </w:tcPr>
          <w:p w14:paraId="401FC53C" w14:textId="77777777" w:rsidR="003B037A" w:rsidRPr="00770B33" w:rsidRDefault="002B7CBE" w:rsidP="00C91262">
            <w:pPr>
              <w:rPr>
                <w:rFonts w:asciiTheme="minorHAnsi" w:hAnsiTheme="minorHAnsi"/>
                <w:sz w:val="20"/>
                <w:lang w:val="en"/>
              </w:rPr>
            </w:pPr>
            <w:r w:rsidRPr="00770B33">
              <w:rPr>
                <w:rFonts w:asciiTheme="minorHAnsi" w:hAnsiTheme="minorHAnsi"/>
                <w:sz w:val="20"/>
              </w:rPr>
              <w:t xml:space="preserve">301 The public and private sectors and civil society promote policies to achieve the MDG, with special attention to education and </w:t>
            </w:r>
            <w:r w:rsidR="001058F3" w:rsidRPr="00770B33">
              <w:rPr>
                <w:rFonts w:asciiTheme="minorHAnsi" w:hAnsiTheme="minorHAnsi"/>
                <w:sz w:val="20"/>
              </w:rPr>
              <w:t xml:space="preserve">school </w:t>
            </w:r>
            <w:r w:rsidRPr="00770B33">
              <w:rPr>
                <w:rFonts w:asciiTheme="minorHAnsi" w:hAnsiTheme="minorHAnsi"/>
                <w:sz w:val="20"/>
              </w:rPr>
              <w:t xml:space="preserve">feeding.  A productive and cooperative system is established in order to </w:t>
            </w:r>
            <w:r w:rsidR="00D370C2" w:rsidRPr="00770B33">
              <w:rPr>
                <w:rFonts w:asciiTheme="minorHAnsi" w:hAnsiTheme="minorHAnsi"/>
                <w:sz w:val="20"/>
              </w:rPr>
              <w:t xml:space="preserve">promote </w:t>
            </w:r>
            <w:r w:rsidRPr="00770B33">
              <w:rPr>
                <w:rFonts w:asciiTheme="minorHAnsi" w:hAnsiTheme="minorHAnsi"/>
                <w:sz w:val="20"/>
              </w:rPr>
              <w:t xml:space="preserve">decent work and </w:t>
            </w:r>
            <w:r w:rsidR="00D370C2" w:rsidRPr="00770B33">
              <w:rPr>
                <w:rFonts w:asciiTheme="minorHAnsi" w:hAnsiTheme="minorHAnsi"/>
                <w:sz w:val="20"/>
              </w:rPr>
              <w:t xml:space="preserve">sponsor </w:t>
            </w:r>
            <w:r w:rsidRPr="00770B33">
              <w:rPr>
                <w:rFonts w:asciiTheme="minorHAnsi" w:hAnsiTheme="minorHAnsi"/>
                <w:sz w:val="20"/>
              </w:rPr>
              <w:t>inclusive business</w:t>
            </w:r>
            <w:r w:rsidR="00D370C2" w:rsidRPr="00770B33">
              <w:rPr>
                <w:rFonts w:asciiTheme="minorHAnsi" w:hAnsiTheme="minorHAnsi"/>
                <w:sz w:val="20"/>
              </w:rPr>
              <w:t>es that</w:t>
            </w:r>
            <w:r w:rsidR="00E05378" w:rsidRPr="00770B33">
              <w:rPr>
                <w:rFonts w:asciiTheme="minorHAnsi" w:hAnsiTheme="minorHAnsi"/>
                <w:sz w:val="20"/>
              </w:rPr>
              <w:t xml:space="preserve"> </w:t>
            </w:r>
            <w:r w:rsidR="005B4F4A" w:rsidRPr="00770B33">
              <w:rPr>
                <w:rFonts w:asciiTheme="minorHAnsi" w:hAnsiTheme="minorHAnsi"/>
                <w:sz w:val="20"/>
              </w:rPr>
              <w:t>m</w:t>
            </w:r>
            <w:r w:rsidR="00D370C2" w:rsidRPr="00770B33">
              <w:rPr>
                <w:rFonts w:asciiTheme="minorHAnsi" w:hAnsiTheme="minorHAnsi"/>
                <w:sz w:val="20"/>
              </w:rPr>
              <w:t>itigate</w:t>
            </w:r>
            <w:r w:rsidR="005B4F4A" w:rsidRPr="00770B33">
              <w:rPr>
                <w:rFonts w:asciiTheme="minorHAnsi" w:hAnsiTheme="minorHAnsi"/>
                <w:sz w:val="20"/>
              </w:rPr>
              <w:t xml:space="preserve"> </w:t>
            </w:r>
            <w:r w:rsidR="00385C11" w:rsidRPr="00770B33">
              <w:rPr>
                <w:rFonts w:asciiTheme="minorHAnsi" w:hAnsiTheme="minorHAnsi"/>
                <w:sz w:val="20"/>
              </w:rPr>
              <w:t xml:space="preserve">the </w:t>
            </w:r>
            <w:r w:rsidRPr="00770B33">
              <w:rPr>
                <w:rFonts w:asciiTheme="minorHAnsi" w:hAnsiTheme="minorHAnsi"/>
                <w:sz w:val="20"/>
              </w:rPr>
              <w:t>causes and effects of migration.</w:t>
            </w:r>
          </w:p>
        </w:tc>
        <w:tc>
          <w:tcPr>
            <w:tcW w:w="1440" w:type="dxa"/>
            <w:tcBorders>
              <w:bottom w:val="single" w:sz="4" w:space="0" w:color="auto"/>
            </w:tcBorders>
            <w:shd w:val="clear" w:color="auto" w:fill="auto"/>
          </w:tcPr>
          <w:p w14:paraId="1DDE626B" w14:textId="15662CB5" w:rsidR="003B037A" w:rsidRPr="00770B33" w:rsidRDefault="00AF3F2D" w:rsidP="00AF3F2D">
            <w:pPr>
              <w:pStyle w:val="BodyText2"/>
              <w:rPr>
                <w:rFonts w:asciiTheme="minorHAnsi" w:hAnsiTheme="minorHAnsi"/>
              </w:rPr>
            </w:pPr>
            <w:r w:rsidRPr="00770B33">
              <w:rPr>
                <w:rFonts w:asciiTheme="minorHAnsi" w:hAnsiTheme="minorHAnsi"/>
              </w:rPr>
              <w:t>14,900,000.00</w:t>
            </w:r>
          </w:p>
        </w:tc>
        <w:tc>
          <w:tcPr>
            <w:tcW w:w="3960" w:type="dxa"/>
            <w:tcBorders>
              <w:left w:val="single" w:sz="4" w:space="0" w:color="auto"/>
              <w:bottom w:val="single" w:sz="4" w:space="0" w:color="auto"/>
            </w:tcBorders>
          </w:tcPr>
          <w:p w14:paraId="7772719E" w14:textId="049F884A" w:rsidR="00097E8A" w:rsidRPr="00770B33" w:rsidRDefault="00097E8A" w:rsidP="00097E8A">
            <w:pPr>
              <w:rPr>
                <w:rFonts w:asciiTheme="minorHAnsi" w:hAnsiTheme="minorHAnsi"/>
                <w:sz w:val="20"/>
              </w:rPr>
            </w:pPr>
            <w:r w:rsidRPr="00770B33">
              <w:rPr>
                <w:rFonts w:asciiTheme="minorHAnsi" w:hAnsiTheme="minorHAnsi"/>
                <w:sz w:val="20"/>
              </w:rPr>
              <w:t>Number of strengthened local financial institutions, with active financial services in order to promote</w:t>
            </w:r>
            <w:r w:rsidR="0045462F" w:rsidRPr="00770B33">
              <w:rPr>
                <w:rFonts w:asciiTheme="minorHAnsi" w:hAnsiTheme="minorHAnsi"/>
                <w:sz w:val="20"/>
              </w:rPr>
              <w:t xml:space="preserve"> youth</w:t>
            </w:r>
            <w:r w:rsidRPr="00770B33">
              <w:rPr>
                <w:rFonts w:asciiTheme="minorHAnsi" w:hAnsiTheme="minorHAnsi"/>
                <w:sz w:val="20"/>
              </w:rPr>
              <w:t xml:space="preserve"> entrepreneurship </w:t>
            </w:r>
            <w:r w:rsidR="0045462F" w:rsidRPr="00770B33">
              <w:rPr>
                <w:rFonts w:asciiTheme="minorHAnsi" w:hAnsiTheme="minorHAnsi"/>
                <w:sz w:val="20"/>
              </w:rPr>
              <w:t xml:space="preserve">and </w:t>
            </w:r>
            <w:r w:rsidRPr="00770B33">
              <w:rPr>
                <w:rFonts w:asciiTheme="minorHAnsi" w:hAnsiTheme="minorHAnsi"/>
                <w:sz w:val="20"/>
              </w:rPr>
              <w:t>economic inclu</w:t>
            </w:r>
            <w:r w:rsidR="0045462F" w:rsidRPr="00770B33">
              <w:rPr>
                <w:rFonts w:asciiTheme="minorHAnsi" w:hAnsiTheme="minorHAnsi"/>
                <w:sz w:val="20"/>
              </w:rPr>
              <w:t>sion.</w:t>
            </w:r>
          </w:p>
          <w:p w14:paraId="7C7DB6ED" w14:textId="77777777" w:rsidR="003B037A" w:rsidRPr="00770B33" w:rsidRDefault="00C85F88" w:rsidP="00C91262">
            <w:pPr>
              <w:widowControl/>
              <w:spacing w:before="100" w:beforeAutospacing="1" w:after="100" w:afterAutospacing="1"/>
              <w:outlineLvl w:val="3"/>
              <w:rPr>
                <w:rFonts w:asciiTheme="minorHAnsi" w:hAnsiTheme="minorHAnsi"/>
                <w:sz w:val="20"/>
              </w:rPr>
            </w:pPr>
            <w:r w:rsidRPr="00770B33">
              <w:rPr>
                <w:rFonts w:asciiTheme="minorHAnsi" w:hAnsiTheme="minorHAnsi"/>
                <w:sz w:val="20"/>
              </w:rPr>
              <w:t>Number of local governments and development agencies strengthened for the promotion and management of economic development and youth entreprene</w:t>
            </w:r>
            <w:r w:rsidR="00097E8A" w:rsidRPr="00770B33">
              <w:rPr>
                <w:rFonts w:asciiTheme="minorHAnsi" w:hAnsiTheme="minorHAnsi"/>
                <w:sz w:val="20"/>
              </w:rPr>
              <w:t>u</w:t>
            </w:r>
            <w:r w:rsidRPr="00770B33">
              <w:rPr>
                <w:rFonts w:asciiTheme="minorHAnsi" w:hAnsiTheme="minorHAnsi"/>
                <w:sz w:val="20"/>
              </w:rPr>
              <w:t xml:space="preserve">rship. </w:t>
            </w:r>
          </w:p>
        </w:tc>
        <w:tc>
          <w:tcPr>
            <w:tcW w:w="5490" w:type="dxa"/>
            <w:tcBorders>
              <w:bottom w:val="single" w:sz="4" w:space="0" w:color="auto"/>
            </w:tcBorders>
            <w:shd w:val="clear" w:color="auto" w:fill="auto"/>
          </w:tcPr>
          <w:p w14:paraId="7DDF9E1A" w14:textId="06A53C2D" w:rsidR="00F43138" w:rsidRPr="00770B33" w:rsidRDefault="00C85F88" w:rsidP="00F43138">
            <w:pPr>
              <w:pStyle w:val="BodyText2"/>
              <w:rPr>
                <w:rFonts w:asciiTheme="minorHAnsi" w:hAnsiTheme="minorHAnsi"/>
              </w:rPr>
            </w:pPr>
            <w:r w:rsidRPr="00770B33">
              <w:rPr>
                <w:rFonts w:asciiTheme="minorHAnsi" w:hAnsiTheme="minorHAnsi"/>
              </w:rPr>
              <w:t xml:space="preserve">18 local financial institutions </w:t>
            </w:r>
          </w:p>
          <w:p w14:paraId="06C13CF7" w14:textId="77777777" w:rsidR="00C85F88" w:rsidRPr="00770B33" w:rsidRDefault="00C85F88" w:rsidP="00F43138">
            <w:pPr>
              <w:pStyle w:val="BodyText2"/>
              <w:rPr>
                <w:rFonts w:asciiTheme="minorHAnsi" w:hAnsiTheme="minorHAnsi"/>
              </w:rPr>
            </w:pPr>
          </w:p>
          <w:p w14:paraId="3E4C8A66" w14:textId="77777777" w:rsidR="00C85F88" w:rsidRPr="00770B33" w:rsidRDefault="00C85F88" w:rsidP="00F43138">
            <w:pPr>
              <w:pStyle w:val="BodyText2"/>
              <w:rPr>
                <w:rFonts w:asciiTheme="minorHAnsi" w:hAnsiTheme="minorHAnsi"/>
              </w:rPr>
            </w:pPr>
          </w:p>
          <w:p w14:paraId="19664D83" w14:textId="77777777" w:rsidR="00097E8A" w:rsidRPr="00770B33" w:rsidRDefault="00097E8A" w:rsidP="00097E8A">
            <w:pPr>
              <w:pStyle w:val="BodyText2"/>
              <w:rPr>
                <w:rFonts w:asciiTheme="minorHAnsi" w:hAnsiTheme="minorHAnsi"/>
              </w:rPr>
            </w:pPr>
          </w:p>
          <w:p w14:paraId="04B867FF" w14:textId="77777777" w:rsidR="00097E8A" w:rsidRPr="00770B33" w:rsidRDefault="00097E8A" w:rsidP="00097E8A">
            <w:pPr>
              <w:pStyle w:val="BodyText2"/>
              <w:rPr>
                <w:rFonts w:asciiTheme="minorHAnsi" w:hAnsiTheme="minorHAnsi"/>
              </w:rPr>
            </w:pPr>
          </w:p>
          <w:p w14:paraId="317A471A" w14:textId="77777777" w:rsidR="00F43138" w:rsidRPr="00770B33" w:rsidRDefault="00F43138" w:rsidP="00C91262">
            <w:pPr>
              <w:pStyle w:val="BodyText2"/>
              <w:rPr>
                <w:rFonts w:asciiTheme="minorHAnsi" w:hAnsiTheme="minorHAnsi"/>
              </w:rPr>
            </w:pPr>
            <w:r w:rsidRPr="00770B33">
              <w:rPr>
                <w:rFonts w:asciiTheme="minorHAnsi" w:hAnsiTheme="minorHAnsi"/>
              </w:rPr>
              <w:t xml:space="preserve">15 </w:t>
            </w:r>
            <w:r w:rsidR="00C85F88" w:rsidRPr="00770B33">
              <w:rPr>
                <w:rFonts w:asciiTheme="minorHAnsi" w:hAnsiTheme="minorHAnsi"/>
              </w:rPr>
              <w:t xml:space="preserve">local governments and </w:t>
            </w:r>
            <w:r w:rsidRPr="00770B33">
              <w:rPr>
                <w:rFonts w:asciiTheme="minorHAnsi" w:hAnsiTheme="minorHAnsi"/>
              </w:rPr>
              <w:t xml:space="preserve">3 </w:t>
            </w:r>
            <w:r w:rsidR="00C85F88" w:rsidRPr="00770B33">
              <w:rPr>
                <w:rFonts w:asciiTheme="minorHAnsi" w:hAnsiTheme="minorHAnsi"/>
              </w:rPr>
              <w:t xml:space="preserve">development agencies </w:t>
            </w:r>
          </w:p>
        </w:tc>
      </w:tr>
      <w:tr w:rsidR="00530FDE" w:rsidRPr="00770B33" w14:paraId="272B65B7" w14:textId="77777777" w:rsidTr="009E7526">
        <w:tc>
          <w:tcPr>
            <w:tcW w:w="14040" w:type="dxa"/>
            <w:gridSpan w:val="5"/>
          </w:tcPr>
          <w:p w14:paraId="03EB7018" w14:textId="77777777" w:rsidR="00843006" w:rsidRPr="00770B33" w:rsidRDefault="00837C4B" w:rsidP="008A70C0">
            <w:pPr>
              <w:pStyle w:val="BodyText2"/>
              <w:jc w:val="both"/>
              <w:rPr>
                <w:rFonts w:asciiTheme="minorHAnsi" w:hAnsiTheme="minorHAnsi"/>
              </w:rPr>
            </w:pPr>
            <w:r w:rsidRPr="00770B33">
              <w:rPr>
                <w:rFonts w:asciiTheme="minorHAnsi" w:hAnsiTheme="minorHAnsi"/>
              </w:rPr>
              <w:t>UNDP Contribution:</w:t>
            </w:r>
          </w:p>
          <w:p w14:paraId="7A37F73F" w14:textId="77777777" w:rsidR="00843006" w:rsidRPr="00770B33" w:rsidRDefault="00843006" w:rsidP="008A70C0">
            <w:pPr>
              <w:pStyle w:val="BodyText2"/>
              <w:jc w:val="both"/>
              <w:rPr>
                <w:rFonts w:asciiTheme="minorHAnsi" w:hAnsiTheme="minorHAnsi"/>
              </w:rPr>
            </w:pPr>
          </w:p>
          <w:p w14:paraId="5015245F" w14:textId="45EF7E4F" w:rsidR="000B67E7" w:rsidRPr="00770B33" w:rsidRDefault="00B00E5C" w:rsidP="008A70C0">
            <w:pPr>
              <w:pStyle w:val="BodyText2"/>
              <w:jc w:val="both"/>
              <w:rPr>
                <w:rFonts w:asciiTheme="minorHAnsi" w:hAnsiTheme="minorHAnsi"/>
              </w:rPr>
            </w:pPr>
            <w:r w:rsidRPr="00770B33">
              <w:rPr>
                <w:rFonts w:asciiTheme="minorHAnsi" w:hAnsiTheme="minorHAnsi"/>
              </w:rPr>
              <w:t>CP Outputs</w:t>
            </w:r>
            <w:r w:rsidR="00845340" w:rsidRPr="00770B33">
              <w:rPr>
                <w:rFonts w:asciiTheme="minorHAnsi" w:hAnsiTheme="minorHAnsi"/>
              </w:rPr>
              <w:t>:</w:t>
            </w:r>
            <w:r w:rsidR="00842737" w:rsidRPr="00770B33">
              <w:rPr>
                <w:rFonts w:asciiTheme="minorHAnsi" w:hAnsiTheme="minorHAnsi"/>
              </w:rPr>
              <w:t xml:space="preserve"> UNDP</w:t>
            </w:r>
            <w:r w:rsidR="000B67E7" w:rsidRPr="00770B33">
              <w:rPr>
                <w:rFonts w:asciiTheme="minorHAnsi" w:hAnsiTheme="minorHAnsi"/>
              </w:rPr>
              <w:t xml:space="preserve"> Ecuador</w:t>
            </w:r>
            <w:r w:rsidR="00842737" w:rsidRPr="00770B33">
              <w:rPr>
                <w:rFonts w:asciiTheme="minorHAnsi" w:hAnsiTheme="minorHAnsi"/>
              </w:rPr>
              <w:t xml:space="preserve"> identified </w:t>
            </w:r>
            <w:r w:rsidR="00122092" w:rsidRPr="00770B33">
              <w:rPr>
                <w:rFonts w:asciiTheme="minorHAnsi" w:hAnsiTheme="minorHAnsi"/>
              </w:rPr>
              <w:t>f</w:t>
            </w:r>
            <w:r w:rsidR="00034E1C" w:rsidRPr="00770B33">
              <w:rPr>
                <w:rFonts w:asciiTheme="minorHAnsi" w:hAnsiTheme="minorHAnsi"/>
              </w:rPr>
              <w:t>ive</w:t>
            </w:r>
            <w:r w:rsidR="007F5C05" w:rsidRPr="00770B33">
              <w:rPr>
                <w:rFonts w:asciiTheme="minorHAnsi" w:hAnsiTheme="minorHAnsi"/>
              </w:rPr>
              <w:t xml:space="preserve"> </w:t>
            </w:r>
            <w:r w:rsidR="00842737" w:rsidRPr="00770B33">
              <w:rPr>
                <w:rFonts w:asciiTheme="minorHAnsi" w:hAnsiTheme="minorHAnsi"/>
              </w:rPr>
              <w:t>major outputs to support the Government in achieving this outcome:</w:t>
            </w:r>
            <w:r w:rsidR="00122092" w:rsidRPr="00770B33">
              <w:rPr>
                <w:rFonts w:asciiTheme="minorHAnsi" w:hAnsiTheme="minorHAnsi"/>
              </w:rPr>
              <w:t xml:space="preserve"> </w:t>
            </w:r>
            <w:r w:rsidR="00842737" w:rsidRPr="00770B33">
              <w:rPr>
                <w:rFonts w:asciiTheme="minorHAnsi" w:hAnsiTheme="minorHAnsi"/>
              </w:rPr>
              <w:t xml:space="preserve"> </w:t>
            </w:r>
            <w:r w:rsidR="000B67E7" w:rsidRPr="00770B33">
              <w:rPr>
                <w:rFonts w:asciiTheme="minorHAnsi" w:hAnsiTheme="minorHAnsi"/>
              </w:rPr>
              <w:t xml:space="preserve">(a) Strengthening local financial structures, with public and private participation, under </w:t>
            </w:r>
            <w:r w:rsidR="00C15335" w:rsidRPr="00770B33">
              <w:rPr>
                <w:rFonts w:asciiTheme="minorHAnsi" w:hAnsiTheme="minorHAnsi"/>
              </w:rPr>
              <w:t xml:space="preserve">the </w:t>
            </w:r>
            <w:r w:rsidR="000B67E7" w:rsidRPr="00770B33">
              <w:rPr>
                <w:rFonts w:asciiTheme="minorHAnsi" w:hAnsiTheme="minorHAnsi"/>
              </w:rPr>
              <w:t xml:space="preserve">popular and </w:t>
            </w:r>
            <w:r w:rsidR="00C15335" w:rsidRPr="00770B33">
              <w:rPr>
                <w:rFonts w:asciiTheme="minorHAnsi" w:hAnsiTheme="minorHAnsi"/>
              </w:rPr>
              <w:t>cooperative</w:t>
            </w:r>
            <w:r w:rsidR="000B67E7" w:rsidRPr="00770B33">
              <w:rPr>
                <w:rFonts w:asciiTheme="minorHAnsi" w:hAnsiTheme="minorHAnsi"/>
              </w:rPr>
              <w:t xml:space="preserve"> economies</w:t>
            </w:r>
            <w:r w:rsidR="00C15335" w:rsidRPr="00770B33">
              <w:rPr>
                <w:rFonts w:asciiTheme="minorHAnsi" w:hAnsiTheme="minorHAnsi"/>
              </w:rPr>
              <w:t>,</w:t>
            </w:r>
            <w:r w:rsidR="000B67E7" w:rsidRPr="00770B33">
              <w:rPr>
                <w:rFonts w:asciiTheme="minorHAnsi" w:hAnsiTheme="minorHAnsi"/>
              </w:rPr>
              <w:t xml:space="preserve"> </w:t>
            </w:r>
            <w:r w:rsidR="00C15335" w:rsidRPr="00770B33">
              <w:rPr>
                <w:rFonts w:asciiTheme="minorHAnsi" w:hAnsiTheme="minorHAnsi"/>
              </w:rPr>
              <w:t>in order to promote</w:t>
            </w:r>
            <w:r w:rsidR="000B67E7" w:rsidRPr="00770B33">
              <w:rPr>
                <w:rFonts w:asciiTheme="minorHAnsi" w:hAnsiTheme="minorHAnsi"/>
              </w:rPr>
              <w:t xml:space="preserve"> development of inclusive initiatives; (b) Youth, employment and migration joint program; (c) Joint program for </w:t>
            </w:r>
            <w:r w:rsidR="0075310C" w:rsidRPr="00770B33">
              <w:rPr>
                <w:rFonts w:asciiTheme="minorHAnsi" w:hAnsiTheme="minorHAnsi"/>
              </w:rPr>
              <w:t xml:space="preserve">improving </w:t>
            </w:r>
            <w:r w:rsidR="000B67E7" w:rsidRPr="00770B33">
              <w:rPr>
                <w:rFonts w:asciiTheme="minorHAnsi" w:hAnsiTheme="minorHAnsi"/>
              </w:rPr>
              <w:t>governance in the water and sanitation sector; (d) Ecoparque</w:t>
            </w:r>
            <w:r w:rsidR="002A3D22" w:rsidRPr="00770B33">
              <w:rPr>
                <w:rFonts w:asciiTheme="minorHAnsi" w:hAnsiTheme="minorHAnsi"/>
              </w:rPr>
              <w:t>:</w:t>
            </w:r>
            <w:r w:rsidR="003C47E7" w:rsidRPr="00770B33">
              <w:rPr>
                <w:rFonts w:asciiTheme="minorHAnsi" w:hAnsiTheme="minorHAnsi"/>
              </w:rPr>
              <w:t xml:space="preserve"> industrial </w:t>
            </w:r>
            <w:r w:rsidR="00C15335" w:rsidRPr="00770B33">
              <w:rPr>
                <w:rFonts w:asciiTheme="minorHAnsi" w:hAnsiTheme="minorHAnsi"/>
              </w:rPr>
              <w:t>area</w:t>
            </w:r>
            <w:r w:rsidR="000B67E7" w:rsidRPr="00770B33">
              <w:rPr>
                <w:rFonts w:asciiTheme="minorHAnsi" w:hAnsiTheme="minorHAnsi"/>
              </w:rPr>
              <w:t xml:space="preserve"> focused in </w:t>
            </w:r>
            <w:r w:rsidR="0075310C" w:rsidRPr="00770B33">
              <w:rPr>
                <w:rFonts w:asciiTheme="minorHAnsi" w:hAnsiTheme="minorHAnsi"/>
              </w:rPr>
              <w:t>changing</w:t>
            </w:r>
            <w:r w:rsidR="000B67E7" w:rsidRPr="00770B33">
              <w:rPr>
                <w:rFonts w:asciiTheme="minorHAnsi" w:hAnsiTheme="minorHAnsi"/>
              </w:rPr>
              <w:t xml:space="preserve"> the production </w:t>
            </w:r>
            <w:r w:rsidR="003C07EF" w:rsidRPr="00770B33">
              <w:rPr>
                <w:rFonts w:asciiTheme="minorHAnsi" w:hAnsiTheme="minorHAnsi"/>
              </w:rPr>
              <w:t>model</w:t>
            </w:r>
            <w:r w:rsidR="000B67E7" w:rsidRPr="00770B33">
              <w:rPr>
                <w:rFonts w:asciiTheme="minorHAnsi" w:hAnsiTheme="minorHAnsi"/>
              </w:rPr>
              <w:t xml:space="preserve"> in El Oro province; and, (e) School feeding program.</w:t>
            </w:r>
          </w:p>
          <w:p w14:paraId="56212D59" w14:textId="77777777" w:rsidR="00034E1C" w:rsidRPr="00770B33" w:rsidRDefault="00034E1C" w:rsidP="008A70C0">
            <w:pPr>
              <w:pStyle w:val="BodyText2"/>
              <w:jc w:val="both"/>
              <w:rPr>
                <w:rFonts w:asciiTheme="minorHAnsi" w:hAnsiTheme="minorHAnsi"/>
              </w:rPr>
            </w:pPr>
          </w:p>
          <w:p w14:paraId="51D58B31" w14:textId="77777777" w:rsidR="00B00E5C" w:rsidRPr="00770B33" w:rsidRDefault="00B00E5C" w:rsidP="008A70C0">
            <w:pPr>
              <w:pStyle w:val="BodyText2"/>
              <w:jc w:val="both"/>
              <w:rPr>
                <w:rFonts w:asciiTheme="minorHAnsi" w:hAnsiTheme="minorHAnsi"/>
              </w:rPr>
            </w:pPr>
            <w:r w:rsidRPr="00770B33">
              <w:rPr>
                <w:rFonts w:asciiTheme="minorHAnsi" w:hAnsiTheme="minorHAnsi"/>
              </w:rPr>
              <w:t>Progress and Achievements</w:t>
            </w:r>
            <w:r w:rsidR="00845340" w:rsidRPr="00770B33">
              <w:rPr>
                <w:rFonts w:asciiTheme="minorHAnsi" w:hAnsiTheme="minorHAnsi"/>
              </w:rPr>
              <w:t>:</w:t>
            </w:r>
          </w:p>
          <w:p w14:paraId="0849CB2B" w14:textId="77777777" w:rsidR="00034E1C" w:rsidRPr="00770B33" w:rsidRDefault="00034E1C" w:rsidP="008A70C0">
            <w:pPr>
              <w:pStyle w:val="BodyText2"/>
              <w:jc w:val="both"/>
              <w:rPr>
                <w:rFonts w:asciiTheme="minorHAnsi" w:hAnsiTheme="minorHAnsi"/>
              </w:rPr>
            </w:pPr>
          </w:p>
          <w:p w14:paraId="48B4E171" w14:textId="77777777" w:rsidR="00FD3253" w:rsidRPr="00770B33" w:rsidRDefault="00726089" w:rsidP="008A70C0">
            <w:pPr>
              <w:jc w:val="both"/>
              <w:rPr>
                <w:rFonts w:asciiTheme="minorHAnsi" w:hAnsiTheme="minorHAnsi"/>
                <w:sz w:val="20"/>
              </w:rPr>
            </w:pPr>
            <w:r w:rsidRPr="00770B33">
              <w:rPr>
                <w:rFonts w:asciiTheme="minorHAnsi" w:hAnsiTheme="minorHAnsi"/>
                <w:sz w:val="20"/>
              </w:rPr>
              <w:t xml:space="preserve">At the end of the cycle, UNDP contributed to the creation and implementation of a credit line aimed </w:t>
            </w:r>
            <w:r w:rsidR="00B44962" w:rsidRPr="00770B33">
              <w:rPr>
                <w:rFonts w:asciiTheme="minorHAnsi" w:hAnsiTheme="minorHAnsi"/>
                <w:sz w:val="20"/>
              </w:rPr>
              <w:t>at</w:t>
            </w:r>
            <w:r w:rsidRPr="00770B33">
              <w:rPr>
                <w:rFonts w:asciiTheme="minorHAnsi" w:hAnsiTheme="minorHAnsi"/>
                <w:sz w:val="20"/>
              </w:rPr>
              <w:t xml:space="preserve"> young people. Technical inputs for validation of the "Popular and Solidarity Economy Law " were provided. Ecuadorean Government created the National Corporation of Popular and Social Finance, which was supported by outputs a</w:t>
            </w:r>
            <w:r w:rsidR="00B44962" w:rsidRPr="00770B33">
              <w:rPr>
                <w:rFonts w:asciiTheme="minorHAnsi" w:hAnsiTheme="minorHAnsi"/>
                <w:sz w:val="20"/>
              </w:rPr>
              <w:t>)</w:t>
            </w:r>
            <w:r w:rsidRPr="00770B33">
              <w:rPr>
                <w:rFonts w:asciiTheme="minorHAnsi" w:hAnsiTheme="minorHAnsi"/>
                <w:sz w:val="20"/>
              </w:rPr>
              <w:t xml:space="preserve"> and b</w:t>
            </w:r>
            <w:r w:rsidR="00B44962" w:rsidRPr="00770B33">
              <w:rPr>
                <w:rFonts w:asciiTheme="minorHAnsi" w:hAnsiTheme="minorHAnsi"/>
                <w:sz w:val="20"/>
              </w:rPr>
              <w:t>)</w:t>
            </w:r>
            <w:r w:rsidRPr="00770B33">
              <w:rPr>
                <w:rFonts w:asciiTheme="minorHAnsi" w:hAnsiTheme="minorHAnsi"/>
                <w:sz w:val="20"/>
              </w:rPr>
              <w:t>. Thus, UNDP contributed to inclusive development through generating ventur</w:t>
            </w:r>
            <w:r w:rsidR="006D1E36" w:rsidRPr="00770B33">
              <w:rPr>
                <w:rFonts w:asciiTheme="minorHAnsi" w:hAnsiTheme="minorHAnsi"/>
                <w:sz w:val="20"/>
              </w:rPr>
              <w:t>es for young people (570</w:t>
            </w:r>
            <w:r w:rsidRPr="00770B33">
              <w:rPr>
                <w:rFonts w:asciiTheme="minorHAnsi" w:hAnsiTheme="minorHAnsi"/>
                <w:sz w:val="20"/>
              </w:rPr>
              <w:t xml:space="preserve"> headed by women). Young businesses were technically and financially assisted by UNDP (1,142 </w:t>
            </w:r>
            <w:r w:rsidR="007734CC" w:rsidRPr="00770B33">
              <w:rPr>
                <w:rFonts w:asciiTheme="minorHAnsi" w:hAnsiTheme="minorHAnsi"/>
                <w:sz w:val="20"/>
              </w:rPr>
              <w:t xml:space="preserve">businesses </w:t>
            </w:r>
            <w:r w:rsidRPr="00770B33">
              <w:rPr>
                <w:rFonts w:asciiTheme="minorHAnsi" w:hAnsiTheme="minorHAnsi"/>
                <w:sz w:val="20"/>
              </w:rPr>
              <w:t xml:space="preserve">managed by young women). Local financial institutions and development agencies were strengthened in </w:t>
            </w:r>
            <w:r w:rsidR="00F2046D" w:rsidRPr="00770B33">
              <w:rPr>
                <w:rFonts w:asciiTheme="minorHAnsi" w:hAnsiTheme="minorHAnsi"/>
                <w:sz w:val="20"/>
              </w:rPr>
              <w:t xml:space="preserve">three </w:t>
            </w:r>
            <w:r w:rsidRPr="00770B33">
              <w:rPr>
                <w:rFonts w:asciiTheme="minorHAnsi" w:hAnsiTheme="minorHAnsi"/>
                <w:sz w:val="20"/>
              </w:rPr>
              <w:t xml:space="preserve">provinces. Capacities were strengthened at </w:t>
            </w:r>
            <w:r w:rsidR="00F2046D" w:rsidRPr="00770B33">
              <w:rPr>
                <w:rFonts w:asciiTheme="minorHAnsi" w:hAnsiTheme="minorHAnsi"/>
                <w:sz w:val="20"/>
              </w:rPr>
              <w:t xml:space="preserve">three </w:t>
            </w:r>
            <w:r w:rsidRPr="00770B33">
              <w:rPr>
                <w:rFonts w:asciiTheme="minorHAnsi" w:hAnsiTheme="minorHAnsi"/>
                <w:sz w:val="20"/>
              </w:rPr>
              <w:t xml:space="preserve">provincial governments (Azuay, El Oro and Loja) and </w:t>
            </w:r>
            <w:r w:rsidR="00F2046D" w:rsidRPr="00770B33">
              <w:rPr>
                <w:rFonts w:asciiTheme="minorHAnsi" w:hAnsiTheme="minorHAnsi"/>
                <w:sz w:val="20"/>
              </w:rPr>
              <w:t xml:space="preserve">three </w:t>
            </w:r>
            <w:r w:rsidRPr="00770B33">
              <w:rPr>
                <w:rFonts w:asciiTheme="minorHAnsi" w:hAnsiTheme="minorHAnsi"/>
                <w:sz w:val="20"/>
              </w:rPr>
              <w:t>local economic development agencies, contributing to employment generation and self-employment for youth (output b).</w:t>
            </w:r>
          </w:p>
          <w:p w14:paraId="1203E779" w14:textId="5E398CA2" w:rsidR="00726089" w:rsidRPr="00770B33" w:rsidRDefault="00726089" w:rsidP="008A70C0">
            <w:pPr>
              <w:jc w:val="both"/>
              <w:rPr>
                <w:rFonts w:asciiTheme="minorHAnsi" w:hAnsiTheme="minorHAnsi"/>
                <w:sz w:val="20"/>
              </w:rPr>
            </w:pPr>
            <w:r w:rsidRPr="00770B33">
              <w:rPr>
                <w:rFonts w:asciiTheme="minorHAnsi" w:hAnsiTheme="minorHAnsi"/>
                <w:sz w:val="20"/>
              </w:rPr>
              <w:br/>
              <w:t>Furthermore, UNDP contributed to foster a national - territorial link in order to implement a strategy for changing the production model. A strategy for regional productive development that includes model management, feasibility studies, vision and mission, embodied in the industrial “Ecoparque” (output d</w:t>
            </w:r>
            <w:r w:rsidR="00B44962" w:rsidRPr="00770B33">
              <w:rPr>
                <w:rFonts w:asciiTheme="minorHAnsi" w:hAnsiTheme="minorHAnsi"/>
                <w:sz w:val="20"/>
              </w:rPr>
              <w:t>)</w:t>
            </w:r>
            <w:r w:rsidRPr="00770B33">
              <w:rPr>
                <w:rFonts w:asciiTheme="minorHAnsi" w:hAnsiTheme="minorHAnsi"/>
                <w:sz w:val="20"/>
              </w:rPr>
              <w:t xml:space="preserve"> was designed in the </w:t>
            </w:r>
            <w:r w:rsidRPr="00770B33">
              <w:rPr>
                <w:rFonts w:asciiTheme="minorHAnsi" w:hAnsiTheme="minorHAnsi"/>
                <w:sz w:val="20"/>
              </w:rPr>
              <w:lastRenderedPageBreak/>
              <w:t xml:space="preserve">province of El Oro. UNDP </w:t>
            </w:r>
            <w:r w:rsidR="006D1E36" w:rsidRPr="00770B33">
              <w:rPr>
                <w:rFonts w:asciiTheme="minorHAnsi" w:hAnsiTheme="minorHAnsi"/>
                <w:sz w:val="20"/>
              </w:rPr>
              <w:t>contributed</w:t>
            </w:r>
            <w:r w:rsidRPr="00770B33">
              <w:rPr>
                <w:rFonts w:asciiTheme="minorHAnsi" w:hAnsiTheme="minorHAnsi"/>
                <w:sz w:val="20"/>
              </w:rPr>
              <w:t xml:space="preserve"> to boost productivity in the southern zone of the country through the promotion of technological innovation</w:t>
            </w:r>
            <w:r w:rsidR="00886D45" w:rsidRPr="00770B33">
              <w:rPr>
                <w:rFonts w:asciiTheme="minorHAnsi" w:hAnsiTheme="minorHAnsi"/>
                <w:sz w:val="20"/>
              </w:rPr>
              <w:t xml:space="preserve"> and</w:t>
            </w:r>
            <w:r w:rsidR="009E14AF" w:rsidRPr="00770B33">
              <w:rPr>
                <w:rFonts w:asciiTheme="minorHAnsi" w:hAnsiTheme="minorHAnsi"/>
                <w:sz w:val="20"/>
              </w:rPr>
              <w:t xml:space="preserve"> </w:t>
            </w:r>
            <w:r w:rsidRPr="00770B33">
              <w:rPr>
                <w:rFonts w:asciiTheme="minorHAnsi" w:hAnsiTheme="minorHAnsi"/>
                <w:sz w:val="20"/>
              </w:rPr>
              <w:t>facilitated a North-South partnership.</w:t>
            </w:r>
          </w:p>
          <w:p w14:paraId="3AD3BEEF" w14:textId="77777777" w:rsidR="00034E1C" w:rsidRPr="00770B33" w:rsidRDefault="00034E1C" w:rsidP="008A70C0">
            <w:pPr>
              <w:widowControl/>
              <w:jc w:val="both"/>
              <w:rPr>
                <w:rFonts w:asciiTheme="minorHAnsi" w:hAnsiTheme="minorHAnsi"/>
                <w:sz w:val="20"/>
              </w:rPr>
            </w:pPr>
          </w:p>
          <w:p w14:paraId="6850B695" w14:textId="77777777" w:rsidR="00C27DA7" w:rsidRPr="00770B33" w:rsidRDefault="00DB2007" w:rsidP="008A70C0">
            <w:pPr>
              <w:widowControl/>
              <w:jc w:val="both"/>
              <w:rPr>
                <w:rFonts w:asciiTheme="minorHAnsi" w:hAnsiTheme="minorHAnsi"/>
                <w:sz w:val="20"/>
              </w:rPr>
            </w:pPr>
            <w:r w:rsidRPr="00770B33">
              <w:rPr>
                <w:rFonts w:asciiTheme="minorHAnsi" w:hAnsiTheme="minorHAnsi"/>
                <w:sz w:val="20"/>
              </w:rPr>
              <w:t xml:space="preserve">Through </w:t>
            </w:r>
            <w:r w:rsidR="00C27DA7" w:rsidRPr="00770B33">
              <w:rPr>
                <w:rFonts w:asciiTheme="minorHAnsi" w:hAnsiTheme="minorHAnsi"/>
                <w:sz w:val="20"/>
              </w:rPr>
              <w:t>a comprehensive intervention</w:t>
            </w:r>
            <w:r w:rsidR="00FB7C61" w:rsidRPr="00770B33">
              <w:rPr>
                <w:rFonts w:asciiTheme="minorHAnsi" w:hAnsiTheme="minorHAnsi"/>
                <w:sz w:val="20"/>
              </w:rPr>
              <w:t>, which encompassed</w:t>
            </w:r>
            <w:r w:rsidRPr="00770B33">
              <w:rPr>
                <w:rFonts w:asciiTheme="minorHAnsi" w:hAnsiTheme="minorHAnsi"/>
                <w:sz w:val="20"/>
              </w:rPr>
              <w:t xml:space="preserve"> </w:t>
            </w:r>
            <w:r w:rsidR="008D67BC" w:rsidRPr="00770B33">
              <w:rPr>
                <w:rFonts w:asciiTheme="minorHAnsi" w:hAnsiTheme="minorHAnsi"/>
                <w:sz w:val="20"/>
              </w:rPr>
              <w:t xml:space="preserve">various </w:t>
            </w:r>
            <w:r w:rsidR="00C27DA7" w:rsidRPr="00770B33">
              <w:rPr>
                <w:rFonts w:asciiTheme="minorHAnsi" w:hAnsiTheme="minorHAnsi"/>
                <w:sz w:val="20"/>
              </w:rPr>
              <w:t>aspects such as infrastructure, training, health and environmental education, access to water and sanitation</w:t>
            </w:r>
            <w:r w:rsidR="007B108D" w:rsidRPr="00770B33">
              <w:rPr>
                <w:rFonts w:asciiTheme="minorHAnsi" w:hAnsiTheme="minorHAnsi"/>
                <w:sz w:val="20"/>
              </w:rPr>
              <w:t xml:space="preserve">, </w:t>
            </w:r>
            <w:r w:rsidR="00C27DA7" w:rsidRPr="00770B33">
              <w:rPr>
                <w:rFonts w:asciiTheme="minorHAnsi" w:hAnsiTheme="minorHAnsi"/>
                <w:sz w:val="20"/>
              </w:rPr>
              <w:t>and sustainable quality, 28</w:t>
            </w:r>
            <w:r w:rsidR="006B6AAB" w:rsidRPr="00770B33">
              <w:rPr>
                <w:rFonts w:asciiTheme="minorHAnsi" w:hAnsiTheme="minorHAnsi"/>
                <w:sz w:val="20"/>
              </w:rPr>
              <w:t>,</w:t>
            </w:r>
            <w:r w:rsidR="00C27DA7" w:rsidRPr="00770B33">
              <w:rPr>
                <w:rFonts w:asciiTheme="minorHAnsi" w:hAnsiTheme="minorHAnsi"/>
                <w:sz w:val="20"/>
              </w:rPr>
              <w:t xml:space="preserve">000 people in the provinces of Manabí, Esmeraldas, Los Ríos y Bolívar </w:t>
            </w:r>
            <w:r w:rsidR="006D1E36" w:rsidRPr="00770B33">
              <w:rPr>
                <w:rFonts w:asciiTheme="minorHAnsi" w:hAnsiTheme="minorHAnsi"/>
                <w:sz w:val="20"/>
              </w:rPr>
              <w:t>improved their living</w:t>
            </w:r>
            <w:r w:rsidR="00B44962" w:rsidRPr="00770B33">
              <w:rPr>
                <w:rFonts w:asciiTheme="minorHAnsi" w:hAnsiTheme="minorHAnsi"/>
                <w:sz w:val="20"/>
              </w:rPr>
              <w:t xml:space="preserve"> conditions</w:t>
            </w:r>
            <w:r w:rsidR="00C27DA7" w:rsidRPr="00770B33">
              <w:rPr>
                <w:rFonts w:asciiTheme="minorHAnsi" w:hAnsiTheme="minorHAnsi"/>
                <w:sz w:val="20"/>
              </w:rPr>
              <w:t xml:space="preserve">. Spaces for dialogue and consensus were provided to develop the following tools: </w:t>
            </w:r>
            <w:r w:rsidR="006B6AAB" w:rsidRPr="00770B33">
              <w:rPr>
                <w:rFonts w:asciiTheme="minorHAnsi" w:hAnsiTheme="minorHAnsi"/>
                <w:sz w:val="20"/>
              </w:rPr>
              <w:t>p</w:t>
            </w:r>
            <w:r w:rsidR="00C27DA7" w:rsidRPr="00770B33">
              <w:rPr>
                <w:rFonts w:asciiTheme="minorHAnsi" w:hAnsiTheme="minorHAnsi"/>
                <w:sz w:val="20"/>
              </w:rPr>
              <w:t>rovision of water and sanitation services (</w:t>
            </w:r>
            <w:r w:rsidR="00B44962" w:rsidRPr="00770B33">
              <w:rPr>
                <w:rFonts w:asciiTheme="minorHAnsi" w:hAnsiTheme="minorHAnsi"/>
                <w:sz w:val="20"/>
              </w:rPr>
              <w:t>draft law</w:t>
            </w:r>
            <w:r w:rsidR="00C27DA7" w:rsidRPr="00770B33">
              <w:rPr>
                <w:rFonts w:asciiTheme="minorHAnsi" w:hAnsiTheme="minorHAnsi"/>
                <w:sz w:val="20"/>
              </w:rPr>
              <w:t>)</w:t>
            </w:r>
            <w:r w:rsidR="006D1E36" w:rsidRPr="00770B33">
              <w:rPr>
                <w:rFonts w:asciiTheme="minorHAnsi" w:hAnsiTheme="minorHAnsi"/>
                <w:sz w:val="20"/>
              </w:rPr>
              <w:t>,</w:t>
            </w:r>
            <w:r w:rsidR="006B6AAB" w:rsidRPr="00770B33">
              <w:rPr>
                <w:rFonts w:asciiTheme="minorHAnsi" w:hAnsiTheme="minorHAnsi"/>
                <w:sz w:val="20"/>
              </w:rPr>
              <w:t xml:space="preserve"> s</w:t>
            </w:r>
            <w:r w:rsidR="00C27DA7" w:rsidRPr="00770B33">
              <w:rPr>
                <w:rFonts w:asciiTheme="minorHAnsi" w:hAnsiTheme="minorHAnsi"/>
                <w:sz w:val="20"/>
              </w:rPr>
              <w:t>trategy of integrated water resource</w:t>
            </w:r>
            <w:r w:rsidR="00541C3D" w:rsidRPr="00770B33">
              <w:rPr>
                <w:rFonts w:asciiTheme="minorHAnsi" w:hAnsiTheme="minorHAnsi"/>
                <w:sz w:val="20"/>
              </w:rPr>
              <w:t xml:space="preserve"> management (IWRM) </w:t>
            </w:r>
            <w:r w:rsidR="00C27DA7" w:rsidRPr="00770B33">
              <w:rPr>
                <w:rFonts w:asciiTheme="minorHAnsi" w:hAnsiTheme="minorHAnsi"/>
                <w:sz w:val="20"/>
              </w:rPr>
              <w:t xml:space="preserve"> and</w:t>
            </w:r>
            <w:r w:rsidR="006B6AAB" w:rsidRPr="00770B33">
              <w:rPr>
                <w:rFonts w:asciiTheme="minorHAnsi" w:hAnsiTheme="minorHAnsi"/>
                <w:sz w:val="20"/>
              </w:rPr>
              <w:t xml:space="preserve"> a p</w:t>
            </w:r>
            <w:r w:rsidR="00C27DA7" w:rsidRPr="00770B33">
              <w:rPr>
                <w:rFonts w:asciiTheme="minorHAnsi" w:hAnsiTheme="minorHAnsi"/>
                <w:sz w:val="20"/>
              </w:rPr>
              <w:t xml:space="preserve">lan for monitoring water quality. Likewise, UNDP supported the process of harmonization of the law drafts for </w:t>
            </w:r>
            <w:r w:rsidR="002476F8" w:rsidRPr="00770B33">
              <w:rPr>
                <w:rFonts w:asciiTheme="minorHAnsi" w:hAnsiTheme="minorHAnsi"/>
                <w:sz w:val="20"/>
              </w:rPr>
              <w:t xml:space="preserve">the </w:t>
            </w:r>
            <w:r w:rsidR="001212A8" w:rsidRPr="00770B33">
              <w:rPr>
                <w:rFonts w:asciiTheme="minorHAnsi" w:hAnsiTheme="minorHAnsi"/>
                <w:sz w:val="20"/>
              </w:rPr>
              <w:t>National Secretariat for Water</w:t>
            </w:r>
            <w:r w:rsidR="002476F8" w:rsidRPr="00770B33">
              <w:rPr>
                <w:rFonts w:asciiTheme="minorHAnsi" w:hAnsiTheme="minorHAnsi"/>
                <w:sz w:val="20"/>
              </w:rPr>
              <w:t xml:space="preserve"> (SENAGUA</w:t>
            </w:r>
            <w:r w:rsidR="001212A8" w:rsidRPr="00770B33">
              <w:rPr>
                <w:rFonts w:asciiTheme="minorHAnsi" w:hAnsiTheme="minorHAnsi"/>
                <w:sz w:val="20"/>
              </w:rPr>
              <w:t xml:space="preserve">) </w:t>
            </w:r>
            <w:r w:rsidR="00C27DA7" w:rsidRPr="00770B33">
              <w:rPr>
                <w:rFonts w:asciiTheme="minorHAnsi" w:hAnsiTheme="minorHAnsi"/>
                <w:sz w:val="20"/>
              </w:rPr>
              <w:t>and</w:t>
            </w:r>
            <w:r w:rsidR="002476F8" w:rsidRPr="00770B33">
              <w:rPr>
                <w:rFonts w:asciiTheme="minorHAnsi" w:hAnsiTheme="minorHAnsi"/>
                <w:sz w:val="20"/>
              </w:rPr>
              <w:t xml:space="preserve"> the</w:t>
            </w:r>
            <w:r w:rsidR="00C27DA7" w:rsidRPr="00770B33">
              <w:rPr>
                <w:rFonts w:asciiTheme="minorHAnsi" w:hAnsiTheme="minorHAnsi"/>
                <w:sz w:val="20"/>
              </w:rPr>
              <w:t xml:space="preserve"> </w:t>
            </w:r>
            <w:r w:rsidR="002476F8" w:rsidRPr="00770B33">
              <w:rPr>
                <w:rFonts w:asciiTheme="minorHAnsi" w:hAnsiTheme="minorHAnsi"/>
                <w:sz w:val="20"/>
              </w:rPr>
              <w:t>Ministry of Urban Development and Housing (</w:t>
            </w:r>
            <w:r w:rsidR="00C27DA7" w:rsidRPr="00770B33">
              <w:rPr>
                <w:rFonts w:asciiTheme="minorHAnsi" w:hAnsiTheme="minorHAnsi"/>
                <w:sz w:val="20"/>
              </w:rPr>
              <w:t>MIDUVI</w:t>
            </w:r>
            <w:r w:rsidR="002476F8" w:rsidRPr="00770B33">
              <w:rPr>
                <w:rFonts w:asciiTheme="minorHAnsi" w:hAnsiTheme="minorHAnsi"/>
                <w:sz w:val="20"/>
              </w:rPr>
              <w:t>)</w:t>
            </w:r>
            <w:r w:rsidR="001212A8" w:rsidRPr="00770B33">
              <w:rPr>
                <w:rFonts w:asciiTheme="minorHAnsi" w:hAnsiTheme="minorHAnsi"/>
                <w:sz w:val="20"/>
              </w:rPr>
              <w:t>()</w:t>
            </w:r>
            <w:r w:rsidR="00C27DA7" w:rsidRPr="00770B33">
              <w:rPr>
                <w:rFonts w:asciiTheme="minorHAnsi" w:hAnsiTheme="minorHAnsi"/>
                <w:sz w:val="20"/>
              </w:rPr>
              <w:t xml:space="preserve">. Additionally, UNDP </w:t>
            </w:r>
            <w:r w:rsidR="001212A8" w:rsidRPr="00770B33">
              <w:rPr>
                <w:rFonts w:asciiTheme="minorHAnsi" w:hAnsiTheme="minorHAnsi"/>
                <w:sz w:val="20"/>
              </w:rPr>
              <w:t>supported</w:t>
            </w:r>
            <w:r w:rsidR="00C27DA7" w:rsidRPr="00770B33">
              <w:rPr>
                <w:rFonts w:asciiTheme="minorHAnsi" w:hAnsiTheme="minorHAnsi"/>
                <w:sz w:val="20"/>
              </w:rPr>
              <w:t xml:space="preserve"> SENAGUA</w:t>
            </w:r>
            <w:r w:rsidR="003D31A2" w:rsidRPr="00770B33">
              <w:rPr>
                <w:rFonts w:asciiTheme="minorHAnsi" w:hAnsiTheme="minorHAnsi"/>
                <w:sz w:val="20"/>
              </w:rPr>
              <w:t xml:space="preserve">, </w:t>
            </w:r>
            <w:r w:rsidR="00C27DA7" w:rsidRPr="00770B33">
              <w:rPr>
                <w:rFonts w:asciiTheme="minorHAnsi" w:hAnsiTheme="minorHAnsi"/>
                <w:sz w:val="20"/>
              </w:rPr>
              <w:t>MIDUVI</w:t>
            </w:r>
            <w:r w:rsidR="001212A8" w:rsidRPr="00770B33">
              <w:rPr>
                <w:rFonts w:asciiTheme="minorHAnsi" w:hAnsiTheme="minorHAnsi"/>
                <w:sz w:val="20"/>
              </w:rPr>
              <w:t xml:space="preserve"> </w:t>
            </w:r>
            <w:r w:rsidR="003D31A2" w:rsidRPr="00770B33">
              <w:rPr>
                <w:rFonts w:asciiTheme="minorHAnsi" w:hAnsiTheme="minorHAnsi"/>
                <w:sz w:val="20"/>
              </w:rPr>
              <w:t>and the Ministry of Health (</w:t>
            </w:r>
            <w:r w:rsidR="00C27DA7" w:rsidRPr="00770B33">
              <w:rPr>
                <w:rFonts w:asciiTheme="minorHAnsi" w:hAnsiTheme="minorHAnsi"/>
                <w:sz w:val="20"/>
              </w:rPr>
              <w:t>MSP</w:t>
            </w:r>
            <w:r w:rsidR="003D31A2" w:rsidRPr="00770B33">
              <w:rPr>
                <w:rFonts w:asciiTheme="minorHAnsi" w:hAnsiTheme="minorHAnsi"/>
                <w:sz w:val="20"/>
              </w:rPr>
              <w:t>)</w:t>
            </w:r>
            <w:r w:rsidR="00C27DA7" w:rsidRPr="00770B33">
              <w:rPr>
                <w:rFonts w:asciiTheme="minorHAnsi" w:hAnsiTheme="minorHAnsi"/>
                <w:sz w:val="20"/>
              </w:rPr>
              <w:t xml:space="preserve">) </w:t>
            </w:r>
            <w:r w:rsidR="001212A8" w:rsidRPr="00770B33">
              <w:rPr>
                <w:rFonts w:asciiTheme="minorHAnsi" w:hAnsiTheme="minorHAnsi"/>
                <w:sz w:val="20"/>
              </w:rPr>
              <w:t>to develop  </w:t>
            </w:r>
            <w:r w:rsidR="00AF3F2D" w:rsidRPr="00770B33">
              <w:rPr>
                <w:rFonts w:asciiTheme="minorHAnsi" w:hAnsiTheme="minorHAnsi"/>
                <w:sz w:val="20"/>
              </w:rPr>
              <w:t>a</w:t>
            </w:r>
            <w:r w:rsidR="001212A8" w:rsidRPr="00770B33">
              <w:rPr>
                <w:rFonts w:asciiTheme="minorHAnsi" w:hAnsiTheme="minorHAnsi"/>
                <w:sz w:val="20"/>
              </w:rPr>
              <w:t xml:space="preserve"> national water sectorial agenda with an integrated approach.</w:t>
            </w:r>
          </w:p>
          <w:p w14:paraId="7B795136" w14:textId="77777777" w:rsidR="00034E1C" w:rsidRPr="00770B33" w:rsidRDefault="00034E1C" w:rsidP="008A70C0">
            <w:pPr>
              <w:widowControl/>
              <w:jc w:val="both"/>
              <w:rPr>
                <w:rFonts w:asciiTheme="minorHAnsi" w:hAnsiTheme="minorHAnsi"/>
                <w:sz w:val="20"/>
              </w:rPr>
            </w:pPr>
          </w:p>
          <w:p w14:paraId="02703EF1" w14:textId="152C3BCC" w:rsidR="005B2F96" w:rsidRPr="00770B33" w:rsidRDefault="003E0821" w:rsidP="008A70C0">
            <w:pPr>
              <w:widowControl/>
              <w:jc w:val="both"/>
              <w:rPr>
                <w:rFonts w:asciiTheme="minorHAnsi" w:hAnsiTheme="minorHAnsi"/>
                <w:sz w:val="20"/>
              </w:rPr>
            </w:pPr>
            <w:r w:rsidRPr="00770B33">
              <w:rPr>
                <w:rFonts w:asciiTheme="minorHAnsi" w:hAnsiTheme="minorHAnsi"/>
                <w:sz w:val="20"/>
              </w:rPr>
              <w:t xml:space="preserve">Capacity building in </w:t>
            </w:r>
            <w:r w:rsidR="006D1E36" w:rsidRPr="00770B33">
              <w:rPr>
                <w:rFonts w:asciiTheme="minorHAnsi" w:hAnsiTheme="minorHAnsi"/>
                <w:sz w:val="20"/>
              </w:rPr>
              <w:t xml:space="preserve">the area of </w:t>
            </w:r>
            <w:r w:rsidRPr="00770B33">
              <w:rPr>
                <w:rFonts w:asciiTheme="minorHAnsi" w:hAnsiTheme="minorHAnsi"/>
                <w:sz w:val="20"/>
              </w:rPr>
              <w:t>resource management and logistic</w:t>
            </w:r>
            <w:r w:rsidR="00F8249C" w:rsidRPr="00770B33">
              <w:rPr>
                <w:rFonts w:asciiTheme="minorHAnsi" w:hAnsiTheme="minorHAnsi"/>
                <w:sz w:val="20"/>
              </w:rPr>
              <w:t>al</w:t>
            </w:r>
            <w:r w:rsidRPr="00770B33">
              <w:rPr>
                <w:rFonts w:asciiTheme="minorHAnsi" w:hAnsiTheme="minorHAnsi"/>
                <w:sz w:val="20"/>
              </w:rPr>
              <w:t xml:space="preserve"> coordination was provided</w:t>
            </w:r>
            <w:r w:rsidR="00E470D5" w:rsidRPr="00770B33">
              <w:rPr>
                <w:rFonts w:asciiTheme="minorHAnsi" w:hAnsiTheme="minorHAnsi"/>
                <w:sz w:val="20"/>
              </w:rPr>
              <w:t xml:space="preserve"> to the General Coordination of School Administration</w:t>
            </w:r>
            <w:r w:rsidRPr="00770B33">
              <w:rPr>
                <w:rFonts w:asciiTheme="minorHAnsi" w:hAnsiTheme="minorHAnsi"/>
                <w:sz w:val="20"/>
              </w:rPr>
              <w:t xml:space="preserve"> (output e). The consolidation of the administrative and managerial model was supported by UNDP through facilitating the institutionalization and expansion of its mission as Undersecretary of School Administration, </w:t>
            </w:r>
            <w:r w:rsidR="00314F8D" w:rsidRPr="00770B33">
              <w:rPr>
                <w:rFonts w:asciiTheme="minorHAnsi" w:hAnsiTheme="minorHAnsi"/>
                <w:sz w:val="20"/>
              </w:rPr>
              <w:t xml:space="preserve">by adopting </w:t>
            </w:r>
            <w:r w:rsidRPr="00770B33">
              <w:rPr>
                <w:rFonts w:asciiTheme="minorHAnsi" w:hAnsiTheme="minorHAnsi"/>
                <w:sz w:val="20"/>
              </w:rPr>
              <w:t>the Education Ministry structure. The program serves more than 2.1 million school children</w:t>
            </w:r>
            <w:r w:rsidR="00775413" w:rsidRPr="00770B33">
              <w:rPr>
                <w:rFonts w:asciiTheme="minorHAnsi" w:hAnsiTheme="minorHAnsi"/>
                <w:sz w:val="20"/>
              </w:rPr>
              <w:t xml:space="preserve"> </w:t>
            </w:r>
            <w:r w:rsidRPr="00770B33">
              <w:rPr>
                <w:rFonts w:asciiTheme="minorHAnsi" w:hAnsiTheme="minorHAnsi"/>
                <w:sz w:val="20"/>
              </w:rPr>
              <w:t>and has supported the advancement of the national goal of universal school feeding.</w:t>
            </w:r>
          </w:p>
        </w:tc>
      </w:tr>
      <w:tr w:rsidR="00FD3253" w:rsidRPr="00770B33" w14:paraId="7B2160AD" w14:textId="77777777" w:rsidTr="00D466B4">
        <w:tc>
          <w:tcPr>
            <w:tcW w:w="3060" w:type="dxa"/>
            <w:shd w:val="clear" w:color="auto" w:fill="95B3D7"/>
          </w:tcPr>
          <w:p w14:paraId="25C28BD0" w14:textId="65D555F5" w:rsidR="00FD3253" w:rsidRPr="00770B33" w:rsidRDefault="00FD3253" w:rsidP="00FD3253">
            <w:pPr>
              <w:rPr>
                <w:rFonts w:asciiTheme="minorHAnsi" w:hAnsiTheme="minorHAnsi"/>
                <w:sz w:val="20"/>
                <w:lang w:eastAsia="es-ES"/>
              </w:rPr>
            </w:pPr>
            <w:r w:rsidRPr="00770B33">
              <w:rPr>
                <w:rFonts w:asciiTheme="minorHAnsi" w:hAnsiTheme="minorHAnsi"/>
                <w:sz w:val="20"/>
                <w:lang w:eastAsia="es-ES"/>
              </w:rPr>
              <w:lastRenderedPageBreak/>
              <w:t>302 National Strategic Plan in response to HIV AIDS (2007-2015) executed.</w:t>
            </w:r>
          </w:p>
        </w:tc>
        <w:tc>
          <w:tcPr>
            <w:tcW w:w="1530" w:type="dxa"/>
            <w:gridSpan w:val="2"/>
            <w:shd w:val="clear" w:color="auto" w:fill="auto"/>
          </w:tcPr>
          <w:p w14:paraId="337A64EF" w14:textId="77777777" w:rsidR="00FD3253" w:rsidRPr="00770B33" w:rsidRDefault="00FD3253" w:rsidP="00D466B4">
            <w:pPr>
              <w:pStyle w:val="BodyText2"/>
              <w:rPr>
                <w:rFonts w:asciiTheme="minorHAnsi" w:hAnsiTheme="minorHAnsi"/>
              </w:rPr>
            </w:pPr>
            <w:r w:rsidRPr="00770B33">
              <w:rPr>
                <w:rFonts w:asciiTheme="minorHAnsi" w:hAnsiTheme="minorHAnsi"/>
              </w:rPr>
              <w:t>US$</w:t>
            </w:r>
          </w:p>
          <w:p w14:paraId="797EEB67" w14:textId="77777777" w:rsidR="00FD3253" w:rsidRPr="00770B33" w:rsidRDefault="00FD3253" w:rsidP="00D466B4">
            <w:pPr>
              <w:pStyle w:val="BodyText2"/>
              <w:rPr>
                <w:rFonts w:asciiTheme="minorHAnsi" w:hAnsiTheme="minorHAnsi"/>
              </w:rPr>
            </w:pPr>
            <w:r w:rsidRPr="00770B33">
              <w:rPr>
                <w:rFonts w:asciiTheme="minorHAnsi" w:hAnsiTheme="minorHAnsi"/>
              </w:rPr>
              <w:t>395.508,53</w:t>
            </w:r>
          </w:p>
        </w:tc>
        <w:tc>
          <w:tcPr>
            <w:tcW w:w="3960" w:type="dxa"/>
            <w:tcBorders>
              <w:left w:val="single" w:sz="4" w:space="0" w:color="auto"/>
            </w:tcBorders>
          </w:tcPr>
          <w:p w14:paraId="1519D2AB" w14:textId="77777777" w:rsidR="00FD3253" w:rsidRPr="00770B33" w:rsidRDefault="00FD3253" w:rsidP="00D466B4">
            <w:pPr>
              <w:pStyle w:val="BodyText2"/>
              <w:rPr>
                <w:rFonts w:asciiTheme="minorHAnsi" w:hAnsiTheme="minorHAnsi"/>
              </w:rPr>
            </w:pPr>
            <w:r w:rsidRPr="00770B33">
              <w:rPr>
                <w:rFonts w:asciiTheme="minorHAnsi" w:hAnsiTheme="minorHAnsi"/>
              </w:rPr>
              <w:t>Strategic Plan for its national response to HIV/AIDS 2007-2015 implemented nationwide.</w:t>
            </w:r>
          </w:p>
        </w:tc>
        <w:tc>
          <w:tcPr>
            <w:tcW w:w="5490" w:type="dxa"/>
            <w:shd w:val="clear" w:color="auto" w:fill="auto"/>
          </w:tcPr>
          <w:p w14:paraId="1AB3B487" w14:textId="77777777" w:rsidR="00FD3253" w:rsidRPr="00770B33" w:rsidRDefault="00FD3253" w:rsidP="00D466B4">
            <w:pPr>
              <w:pStyle w:val="BodyText2"/>
              <w:rPr>
                <w:rFonts w:asciiTheme="minorHAnsi" w:hAnsiTheme="minorHAnsi"/>
              </w:rPr>
            </w:pPr>
            <w:r w:rsidRPr="00770B33">
              <w:rPr>
                <w:rFonts w:asciiTheme="minorHAnsi" w:hAnsiTheme="minorHAnsi"/>
              </w:rPr>
              <w:t>Updated strategic plan and 50% implementation by 2012.</w:t>
            </w:r>
          </w:p>
        </w:tc>
      </w:tr>
      <w:tr w:rsidR="00FD3253" w:rsidRPr="00770B33" w14:paraId="01AD063F" w14:textId="77777777" w:rsidTr="00D466B4">
        <w:tc>
          <w:tcPr>
            <w:tcW w:w="14040" w:type="dxa"/>
            <w:gridSpan w:val="5"/>
          </w:tcPr>
          <w:p w14:paraId="4A86D18C" w14:textId="77777777" w:rsidR="00FD3253" w:rsidRPr="00770B33" w:rsidRDefault="00FD3253" w:rsidP="00FD3253">
            <w:pPr>
              <w:pStyle w:val="BodyText2"/>
              <w:jc w:val="both"/>
              <w:rPr>
                <w:rFonts w:asciiTheme="minorHAnsi" w:hAnsiTheme="minorHAnsi"/>
                <w:b/>
              </w:rPr>
            </w:pPr>
            <w:r w:rsidRPr="00770B33">
              <w:rPr>
                <w:rFonts w:asciiTheme="minorHAnsi" w:hAnsiTheme="minorHAnsi"/>
                <w:b/>
              </w:rPr>
              <w:t>UNDP Contribution:</w:t>
            </w:r>
          </w:p>
          <w:p w14:paraId="3121B5B6" w14:textId="77777777" w:rsidR="00FD3253" w:rsidRPr="00770B33" w:rsidRDefault="00FD3253" w:rsidP="00FD3253">
            <w:pPr>
              <w:pStyle w:val="BodyText2"/>
              <w:jc w:val="both"/>
              <w:rPr>
                <w:rFonts w:asciiTheme="minorHAnsi" w:hAnsiTheme="minorHAnsi"/>
                <w:b/>
              </w:rPr>
            </w:pPr>
          </w:p>
          <w:p w14:paraId="7544D663" w14:textId="77777777" w:rsidR="00FD3253" w:rsidRPr="00770B33" w:rsidRDefault="00FD3253" w:rsidP="00FD3253">
            <w:pPr>
              <w:pStyle w:val="BodyText2"/>
              <w:jc w:val="both"/>
              <w:rPr>
                <w:rFonts w:asciiTheme="minorHAnsi" w:hAnsiTheme="minorHAnsi"/>
                <w:b/>
              </w:rPr>
            </w:pPr>
            <w:r w:rsidRPr="00770B33">
              <w:rPr>
                <w:rFonts w:asciiTheme="minorHAnsi" w:hAnsiTheme="minorHAnsi"/>
                <w:u w:val="single"/>
              </w:rPr>
              <w:t>CP Outputs:</w:t>
            </w:r>
            <w:r w:rsidRPr="00770B33">
              <w:rPr>
                <w:rFonts w:asciiTheme="minorHAnsi" w:hAnsiTheme="minorHAnsi"/>
              </w:rPr>
              <w:t xml:space="preserve"> UNDP Ecuador identified one output to support the Government in achieving this outcome:</w:t>
            </w:r>
            <w:r w:rsidRPr="00770B33">
              <w:rPr>
                <w:rFonts w:asciiTheme="minorHAnsi" w:hAnsiTheme="minorHAnsi"/>
                <w:b/>
              </w:rPr>
              <w:t xml:space="preserve"> </w:t>
            </w:r>
            <w:r w:rsidRPr="00770B33">
              <w:rPr>
                <w:rStyle w:val="hps"/>
                <w:rFonts w:asciiTheme="minorHAnsi" w:hAnsiTheme="minorHAnsi"/>
                <w:lang w:val="en"/>
              </w:rPr>
              <w:t>Multisectoral responses</w:t>
            </w:r>
            <w:r w:rsidRPr="00770B33">
              <w:rPr>
                <w:rStyle w:val="shorttext"/>
                <w:rFonts w:asciiTheme="minorHAnsi" w:hAnsiTheme="minorHAnsi"/>
                <w:lang w:val="en"/>
              </w:rPr>
              <w:t xml:space="preserve"> </w:t>
            </w:r>
            <w:r w:rsidRPr="00770B33">
              <w:rPr>
                <w:rStyle w:val="hps"/>
                <w:rFonts w:asciiTheme="minorHAnsi" w:hAnsiTheme="minorHAnsi"/>
                <w:lang w:val="en"/>
              </w:rPr>
              <w:t>to HIV</w:t>
            </w:r>
            <w:r w:rsidRPr="00770B33">
              <w:rPr>
                <w:rStyle w:val="atn"/>
                <w:rFonts w:asciiTheme="minorHAnsi" w:hAnsiTheme="minorHAnsi"/>
                <w:lang w:val="en"/>
              </w:rPr>
              <w:t>-</w:t>
            </w:r>
            <w:r w:rsidRPr="00770B33">
              <w:rPr>
                <w:rStyle w:val="shorttext"/>
                <w:rFonts w:asciiTheme="minorHAnsi" w:hAnsiTheme="minorHAnsi"/>
                <w:lang w:val="en"/>
              </w:rPr>
              <w:t>AIDS.</w:t>
            </w:r>
            <w:r w:rsidRPr="00770B33">
              <w:rPr>
                <w:rFonts w:asciiTheme="minorHAnsi" w:hAnsiTheme="minorHAnsi"/>
                <w:b/>
              </w:rPr>
              <w:t xml:space="preserve"> </w:t>
            </w:r>
          </w:p>
          <w:p w14:paraId="6CE19AE9" w14:textId="77777777" w:rsidR="00FD3253" w:rsidRPr="00770B33" w:rsidRDefault="00FD3253" w:rsidP="00FD3253">
            <w:pPr>
              <w:pStyle w:val="BodyText2"/>
              <w:jc w:val="both"/>
              <w:rPr>
                <w:rFonts w:asciiTheme="minorHAnsi" w:hAnsiTheme="minorHAnsi"/>
                <w:b/>
              </w:rPr>
            </w:pPr>
          </w:p>
          <w:p w14:paraId="2600BBBB" w14:textId="77777777" w:rsidR="00FD3253" w:rsidRPr="00770B33" w:rsidRDefault="00FD3253" w:rsidP="00FD3253">
            <w:pPr>
              <w:pStyle w:val="BodyText2"/>
              <w:jc w:val="both"/>
              <w:rPr>
                <w:rFonts w:asciiTheme="minorHAnsi" w:hAnsiTheme="minorHAnsi"/>
                <w:u w:val="single"/>
              </w:rPr>
            </w:pPr>
            <w:r w:rsidRPr="00770B33">
              <w:rPr>
                <w:rFonts w:asciiTheme="minorHAnsi" w:hAnsiTheme="minorHAnsi"/>
                <w:u w:val="single"/>
              </w:rPr>
              <w:t>Progress and Achievements</w:t>
            </w:r>
          </w:p>
          <w:p w14:paraId="052EBBBF" w14:textId="77777777" w:rsidR="00FD3253" w:rsidRPr="00770B33" w:rsidRDefault="00FD3253" w:rsidP="00FD3253">
            <w:pPr>
              <w:pStyle w:val="BodyText2"/>
              <w:jc w:val="both"/>
              <w:rPr>
                <w:rFonts w:asciiTheme="minorHAnsi" w:hAnsiTheme="minorHAnsi"/>
                <w:u w:val="single"/>
              </w:rPr>
            </w:pPr>
          </w:p>
          <w:p w14:paraId="6CE53473" w14:textId="77777777" w:rsidR="00FD3253" w:rsidRPr="00770B33" w:rsidRDefault="00FD3253" w:rsidP="00FD3253">
            <w:pPr>
              <w:jc w:val="both"/>
              <w:rPr>
                <w:rFonts w:asciiTheme="minorHAnsi" w:hAnsiTheme="minorHAnsi"/>
                <w:sz w:val="20"/>
              </w:rPr>
            </w:pPr>
            <w:r w:rsidRPr="00770B33">
              <w:rPr>
                <w:rFonts w:asciiTheme="minorHAnsi" w:hAnsiTheme="minorHAnsi"/>
                <w:sz w:val="20"/>
              </w:rPr>
              <w:t>In 2007 Ecuador approved a Multisectoral Strategic Plan for its national response to HIV (2007 - 2015). The strategic plan faced two implementation difficulties, namely a lack of focus on the type of epidemic and a lack of specific operational plans.</w:t>
            </w:r>
          </w:p>
          <w:p w14:paraId="301A041C" w14:textId="77777777" w:rsidR="00FD3253" w:rsidRPr="00770B33" w:rsidRDefault="00FD3253" w:rsidP="00FD3253">
            <w:pPr>
              <w:jc w:val="both"/>
              <w:rPr>
                <w:rFonts w:asciiTheme="minorHAnsi" w:hAnsiTheme="minorHAnsi"/>
                <w:sz w:val="20"/>
              </w:rPr>
            </w:pPr>
          </w:p>
          <w:p w14:paraId="711C6209" w14:textId="77777777" w:rsidR="00FD3253" w:rsidRPr="00770B33" w:rsidRDefault="00FD3253" w:rsidP="00FD3253">
            <w:pPr>
              <w:jc w:val="both"/>
              <w:rPr>
                <w:rFonts w:asciiTheme="minorHAnsi" w:hAnsiTheme="minorHAnsi"/>
                <w:sz w:val="20"/>
              </w:rPr>
            </w:pPr>
            <w:r w:rsidRPr="00770B33">
              <w:rPr>
                <w:rFonts w:asciiTheme="minorHAnsi" w:hAnsiTheme="minorHAnsi"/>
                <w:sz w:val="20"/>
              </w:rPr>
              <w:t>UNDP's contribution to this national process was focused on: strengthening national governance; enabling an environment that allowed the conduction of the National HIV Program; and, supporting the design of the national HIV policy, with financial assistance from AECID.  For this purpose, territorial and national consultations were conducted with stakeholders from the public sector and civil society in order to develop inclusive and feasible operational plans.</w:t>
            </w:r>
          </w:p>
          <w:p w14:paraId="68E9F87D" w14:textId="77777777" w:rsidR="00FD3253" w:rsidRPr="00770B33" w:rsidRDefault="00FD3253" w:rsidP="00FD3253">
            <w:pPr>
              <w:jc w:val="both"/>
              <w:rPr>
                <w:rFonts w:asciiTheme="minorHAnsi" w:hAnsiTheme="minorHAnsi"/>
                <w:sz w:val="20"/>
              </w:rPr>
            </w:pPr>
          </w:p>
          <w:p w14:paraId="72EED21C" w14:textId="77777777" w:rsidR="00FD3253" w:rsidRPr="00770B33" w:rsidRDefault="00FD3253" w:rsidP="00FD3253">
            <w:pPr>
              <w:jc w:val="both"/>
              <w:rPr>
                <w:rFonts w:asciiTheme="minorHAnsi" w:hAnsiTheme="minorHAnsi"/>
                <w:sz w:val="20"/>
              </w:rPr>
            </w:pPr>
            <w:r w:rsidRPr="00770B33">
              <w:rPr>
                <w:rFonts w:asciiTheme="minorHAnsi" w:hAnsiTheme="minorHAnsi"/>
                <w:sz w:val="20"/>
              </w:rPr>
              <w:t>UNDP promoted the design and approval process for the creation of the Ecuadorian Multisectoral Committee in Response to HIV (CEMSIDA), entity in charge of the monitoring and implementation of the Multisectoral Strategic Plan.</w:t>
            </w:r>
          </w:p>
          <w:p w14:paraId="4EFF824B" w14:textId="77777777" w:rsidR="00FD3253" w:rsidRPr="00770B33" w:rsidRDefault="00FD3253" w:rsidP="00FD3253">
            <w:pPr>
              <w:jc w:val="both"/>
              <w:rPr>
                <w:rFonts w:asciiTheme="minorHAnsi" w:hAnsiTheme="minorHAnsi"/>
                <w:sz w:val="20"/>
              </w:rPr>
            </w:pPr>
          </w:p>
          <w:p w14:paraId="3B36567B" w14:textId="77777777" w:rsidR="00FD3253" w:rsidRPr="00770B33" w:rsidRDefault="00FD3253" w:rsidP="00FD3253">
            <w:pPr>
              <w:jc w:val="both"/>
              <w:rPr>
                <w:rFonts w:asciiTheme="minorHAnsi" w:hAnsiTheme="minorHAnsi"/>
                <w:sz w:val="20"/>
              </w:rPr>
            </w:pPr>
            <w:r w:rsidRPr="00770B33">
              <w:rPr>
                <w:rFonts w:asciiTheme="minorHAnsi" w:hAnsiTheme="minorHAnsi"/>
                <w:sz w:val="20"/>
              </w:rPr>
              <w:t>UNDP technically assisted in the development of operational plans with ten priority population sectors. Additionally, all activities and budgets available in the Round 9 HIV Program, implemented in Ecuador between 2011 and 2015, were included in the plans.</w:t>
            </w:r>
          </w:p>
          <w:p w14:paraId="2EA0815B" w14:textId="77777777" w:rsidR="00FD3253" w:rsidRPr="00770B33" w:rsidRDefault="00FD3253" w:rsidP="00FD3253">
            <w:pPr>
              <w:jc w:val="both"/>
              <w:rPr>
                <w:rFonts w:asciiTheme="minorHAnsi" w:hAnsiTheme="minorHAnsi"/>
                <w:sz w:val="20"/>
              </w:rPr>
            </w:pPr>
          </w:p>
          <w:p w14:paraId="5E8F3D46" w14:textId="77777777" w:rsidR="00FD3253" w:rsidRPr="00770B33" w:rsidRDefault="00FD3253" w:rsidP="00FD3253">
            <w:pPr>
              <w:jc w:val="both"/>
              <w:rPr>
                <w:rFonts w:asciiTheme="minorHAnsi" w:hAnsiTheme="minorHAnsi"/>
                <w:sz w:val="20"/>
              </w:rPr>
            </w:pPr>
            <w:r w:rsidRPr="00770B33">
              <w:rPr>
                <w:rFonts w:asciiTheme="minorHAnsi" w:hAnsiTheme="minorHAnsi"/>
                <w:sz w:val="20"/>
              </w:rPr>
              <w:lastRenderedPageBreak/>
              <w:t>Additionally, UNDP supported the development of a technical proposal for mainstreaming HIV in the academic training of professionals in social and health sciences in two of the most important universities in the country: the Central University of Ecuador and the Guayaquil State University. UNDP encouraged the creation of the National HIV Research Team as well as the construction of research priorities on HIV in Ecuador.</w:t>
            </w:r>
          </w:p>
          <w:p w14:paraId="382E8FA1" w14:textId="77777777" w:rsidR="00FD3253" w:rsidRPr="00770B33" w:rsidRDefault="00FD3253" w:rsidP="00FD3253">
            <w:pPr>
              <w:jc w:val="both"/>
              <w:rPr>
                <w:rFonts w:asciiTheme="minorHAnsi" w:hAnsiTheme="minorHAnsi"/>
                <w:sz w:val="20"/>
              </w:rPr>
            </w:pPr>
          </w:p>
          <w:p w14:paraId="6D48EE39" w14:textId="77777777" w:rsidR="00FD3253" w:rsidRPr="00770B33" w:rsidRDefault="00FD3253" w:rsidP="00FD3253">
            <w:pPr>
              <w:jc w:val="both"/>
              <w:rPr>
                <w:rFonts w:asciiTheme="minorHAnsi" w:hAnsiTheme="minorHAnsi"/>
                <w:sz w:val="20"/>
              </w:rPr>
            </w:pPr>
            <w:r w:rsidRPr="00770B33">
              <w:rPr>
                <w:rFonts w:asciiTheme="minorHAnsi" w:hAnsiTheme="minorHAnsi"/>
                <w:sz w:val="20"/>
              </w:rPr>
              <w:t>In the area of ​​strengthening the relationship with civil society, UNDP contributed to characterize the epidemic and its determinants, with a focus on stigma and discrimination, in the population groups most exposed to HIV. A friendly health care model was designed for people of sexual diversity. Additionally, actions were taken in order to strengthen key Ecuadorian organizations, such as the restructuring of the Trans Network in Ecuador, focusing in its financial and programmatic area, and improving its capacity to influence and expand HIV prevention.</w:t>
            </w:r>
          </w:p>
          <w:p w14:paraId="21E7FFA3" w14:textId="77777777" w:rsidR="00FD3253" w:rsidRPr="00770B33" w:rsidRDefault="00FD3253" w:rsidP="00FD3253">
            <w:pPr>
              <w:jc w:val="both"/>
              <w:rPr>
                <w:rFonts w:asciiTheme="minorHAnsi" w:hAnsiTheme="minorHAnsi"/>
                <w:sz w:val="20"/>
              </w:rPr>
            </w:pPr>
          </w:p>
          <w:p w14:paraId="5C46DEAA" w14:textId="77777777" w:rsidR="00FD3253" w:rsidRPr="00770B33" w:rsidRDefault="00FD3253" w:rsidP="00FD3253">
            <w:pPr>
              <w:jc w:val="both"/>
              <w:rPr>
                <w:rFonts w:asciiTheme="minorHAnsi" w:hAnsiTheme="minorHAnsi"/>
                <w:sz w:val="20"/>
              </w:rPr>
            </w:pPr>
            <w:r w:rsidRPr="00770B33">
              <w:rPr>
                <w:rFonts w:asciiTheme="minorHAnsi" w:hAnsiTheme="minorHAnsi"/>
                <w:sz w:val="20"/>
              </w:rPr>
              <w:t>Moreover, UNDP provided technical assistance in the design of the Training School for HIV Response Managers aimed at technical staff of public institutions and NGOs of five cantons of Guayas Province.</w:t>
            </w:r>
          </w:p>
          <w:p w14:paraId="25D9006B" w14:textId="77777777" w:rsidR="00FD3253" w:rsidRPr="00770B33" w:rsidRDefault="00FD3253" w:rsidP="00FD3253">
            <w:pPr>
              <w:jc w:val="both"/>
              <w:rPr>
                <w:rFonts w:asciiTheme="minorHAnsi" w:hAnsiTheme="minorHAnsi"/>
                <w:sz w:val="20"/>
              </w:rPr>
            </w:pPr>
          </w:p>
          <w:p w14:paraId="10F1C87D" w14:textId="77777777" w:rsidR="00FD3253" w:rsidRPr="00770B33" w:rsidRDefault="00FD3253" w:rsidP="00FD3253">
            <w:pPr>
              <w:jc w:val="both"/>
              <w:rPr>
                <w:rFonts w:asciiTheme="minorHAnsi" w:hAnsiTheme="minorHAnsi"/>
                <w:sz w:val="20"/>
              </w:rPr>
            </w:pPr>
            <w:r w:rsidRPr="00770B33">
              <w:rPr>
                <w:rFonts w:asciiTheme="minorHAnsi" w:hAnsiTheme="minorHAnsi"/>
                <w:sz w:val="20"/>
              </w:rPr>
              <w:t>UNDP also contributed to the strengthening of governance and planning of the Ministry of Public Health, with the update, implementation and monitoring of the Multisectoral Strategic Plan.</w:t>
            </w:r>
          </w:p>
          <w:p w14:paraId="26A51F0E" w14:textId="77777777" w:rsidR="00FD3253" w:rsidRPr="00770B33" w:rsidRDefault="00FD3253" w:rsidP="00FD3253">
            <w:pPr>
              <w:jc w:val="both"/>
              <w:rPr>
                <w:rFonts w:asciiTheme="minorHAnsi" w:hAnsiTheme="minorHAnsi"/>
                <w:sz w:val="20"/>
              </w:rPr>
            </w:pPr>
          </w:p>
          <w:p w14:paraId="27A5260B" w14:textId="77777777" w:rsidR="00FD3253" w:rsidRPr="00770B33" w:rsidRDefault="00FD3253" w:rsidP="00FD3253">
            <w:pPr>
              <w:jc w:val="both"/>
              <w:rPr>
                <w:rFonts w:asciiTheme="minorHAnsi" w:hAnsiTheme="minorHAnsi"/>
                <w:sz w:val="20"/>
              </w:rPr>
            </w:pPr>
            <w:r w:rsidRPr="00770B33">
              <w:rPr>
                <w:rFonts w:asciiTheme="minorHAnsi" w:hAnsiTheme="minorHAnsi"/>
                <w:sz w:val="20"/>
              </w:rPr>
              <w:t xml:space="preserve">Lastly, UNDP supported the creation and start-up operations of the Ecuadorian Committee of Multisectoral Responses to HIV/AIDS. </w:t>
            </w:r>
          </w:p>
          <w:p w14:paraId="05B13231" w14:textId="77777777" w:rsidR="00FD3253" w:rsidRPr="00770B33" w:rsidRDefault="00FD3253" w:rsidP="00FD3253">
            <w:pPr>
              <w:jc w:val="both"/>
              <w:rPr>
                <w:rFonts w:asciiTheme="minorHAnsi" w:hAnsiTheme="minorHAnsi"/>
                <w:sz w:val="20"/>
              </w:rPr>
            </w:pPr>
          </w:p>
          <w:p w14:paraId="79DF2C22" w14:textId="77777777" w:rsidR="00FD3253" w:rsidRPr="00770B33" w:rsidRDefault="00FD3253" w:rsidP="00FD3253">
            <w:pPr>
              <w:jc w:val="both"/>
              <w:rPr>
                <w:rFonts w:asciiTheme="minorHAnsi" w:hAnsiTheme="minorHAnsi"/>
                <w:sz w:val="20"/>
              </w:rPr>
            </w:pPr>
            <w:r w:rsidRPr="00770B33">
              <w:rPr>
                <w:rFonts w:asciiTheme="minorHAnsi" w:hAnsiTheme="minorHAnsi"/>
                <w:sz w:val="20"/>
              </w:rPr>
              <w:t>Strengthened coordination spaces allowed the participation of social actors and the visibility of traditionally marginalized groups´.</w:t>
            </w:r>
          </w:p>
        </w:tc>
      </w:tr>
      <w:tr w:rsidR="006B20B2" w:rsidRPr="00770B33" w14:paraId="0B01B590" w14:textId="77777777" w:rsidTr="00D466B4">
        <w:tc>
          <w:tcPr>
            <w:tcW w:w="3060" w:type="dxa"/>
            <w:shd w:val="clear" w:color="auto" w:fill="95B3D7"/>
          </w:tcPr>
          <w:p w14:paraId="5093E2C5" w14:textId="1D5035C5" w:rsidR="006B20B2" w:rsidRPr="00E4778A" w:rsidRDefault="006B20B2" w:rsidP="00E4778A">
            <w:pPr>
              <w:pStyle w:val="BodyText2"/>
              <w:rPr>
                <w:rFonts w:asciiTheme="minorHAnsi" w:hAnsiTheme="minorHAnsi"/>
                <w:lang w:val="es-EC"/>
              </w:rPr>
            </w:pPr>
            <w:r w:rsidRPr="00E4778A">
              <w:rPr>
                <w:rFonts w:asciiTheme="minorHAnsi" w:hAnsiTheme="minorHAnsi"/>
                <w:lang w:val="es-EC"/>
              </w:rPr>
              <w:lastRenderedPageBreak/>
              <w:t xml:space="preserve">303 </w:t>
            </w:r>
            <w:r w:rsidR="00E4778A" w:rsidRPr="00E4778A">
              <w:rPr>
                <w:rFonts w:asciiTheme="minorHAnsi" w:hAnsiTheme="minorHAnsi"/>
                <w:lang w:val="es-EC"/>
              </w:rPr>
              <w:t xml:space="preserve"> </w:t>
            </w:r>
            <w:r w:rsidRPr="00E4778A">
              <w:rPr>
                <w:rFonts w:asciiTheme="minorHAnsi" w:hAnsiTheme="minorHAnsi"/>
                <w:lang w:val="es-EC"/>
              </w:rPr>
              <w:t>Reforma institucional y aumento de la capacidad de autoridades y otras entidades pertinentes para asignar prioridades e incorporar en el programa nacional de desarrollo social, cuestiones de conservación, acceso y uso sostenible de la diversidad biológica</w:t>
            </w:r>
          </w:p>
          <w:p w14:paraId="546F6D57" w14:textId="77777777" w:rsidR="006B20B2" w:rsidRPr="00770B33" w:rsidRDefault="006B20B2" w:rsidP="00D466B4">
            <w:pPr>
              <w:pStyle w:val="BodyText2"/>
              <w:rPr>
                <w:rFonts w:asciiTheme="minorHAnsi" w:hAnsiTheme="minorHAnsi"/>
                <w:b/>
                <w:lang w:val="es-EC"/>
              </w:rPr>
            </w:pPr>
          </w:p>
        </w:tc>
        <w:tc>
          <w:tcPr>
            <w:tcW w:w="1530" w:type="dxa"/>
            <w:gridSpan w:val="2"/>
            <w:shd w:val="clear" w:color="auto" w:fill="auto"/>
          </w:tcPr>
          <w:p w14:paraId="51C29146" w14:textId="77777777" w:rsidR="006B20B2" w:rsidRPr="00770B33" w:rsidRDefault="006B20B2" w:rsidP="00D466B4">
            <w:pPr>
              <w:rPr>
                <w:rFonts w:asciiTheme="minorHAnsi" w:hAnsiTheme="minorHAnsi"/>
                <w:b/>
                <w:color w:val="000000"/>
                <w:sz w:val="20"/>
              </w:rPr>
            </w:pPr>
            <w:r w:rsidRPr="00770B33">
              <w:rPr>
                <w:rFonts w:asciiTheme="minorHAnsi" w:hAnsiTheme="minorHAnsi"/>
                <w:b/>
                <w:color w:val="000000"/>
                <w:sz w:val="20"/>
              </w:rPr>
              <w:t xml:space="preserve">7.614.780,70 </w:t>
            </w:r>
          </w:p>
          <w:p w14:paraId="304C0F22" w14:textId="77777777" w:rsidR="006B20B2" w:rsidRPr="00770B33" w:rsidRDefault="006B20B2" w:rsidP="00D466B4">
            <w:pPr>
              <w:pStyle w:val="BodyText2"/>
              <w:rPr>
                <w:rFonts w:asciiTheme="minorHAnsi" w:hAnsiTheme="minorHAnsi"/>
              </w:rPr>
            </w:pPr>
          </w:p>
        </w:tc>
        <w:tc>
          <w:tcPr>
            <w:tcW w:w="3960" w:type="dxa"/>
            <w:tcBorders>
              <w:left w:val="single" w:sz="4" w:space="0" w:color="auto"/>
            </w:tcBorders>
          </w:tcPr>
          <w:p w14:paraId="70ED69FC" w14:textId="77777777" w:rsidR="006B20B2" w:rsidRPr="00770B33" w:rsidRDefault="006B20B2" w:rsidP="00D466B4">
            <w:pPr>
              <w:pStyle w:val="BodyText2"/>
              <w:rPr>
                <w:rFonts w:asciiTheme="minorHAnsi" w:hAnsiTheme="minorHAnsi"/>
                <w:lang w:val="es-EC"/>
              </w:rPr>
            </w:pPr>
            <w:r w:rsidRPr="00770B33">
              <w:rPr>
                <w:rFonts w:asciiTheme="minorHAnsi" w:hAnsiTheme="minorHAnsi"/>
                <w:lang w:val="es-EC"/>
              </w:rPr>
              <w:t xml:space="preserve">a. </w:t>
            </w:r>
          </w:p>
          <w:p w14:paraId="5F07D232" w14:textId="77777777" w:rsidR="006B20B2" w:rsidRPr="00770B33" w:rsidRDefault="006B20B2" w:rsidP="00D466B4">
            <w:pPr>
              <w:pStyle w:val="BodyText2"/>
              <w:rPr>
                <w:rFonts w:asciiTheme="minorHAnsi" w:hAnsiTheme="minorHAnsi"/>
                <w:lang w:val="es-EC"/>
              </w:rPr>
            </w:pPr>
            <w:r w:rsidRPr="00770B33">
              <w:rPr>
                <w:rFonts w:asciiTheme="minorHAnsi" w:hAnsiTheme="minorHAnsi"/>
                <w:lang w:val="es-EC"/>
              </w:rPr>
              <w:t xml:space="preserve">Incremento de la capacidad financiera del Sistema Nacional de Áreas Protegidas del Ecuador según lo medido a través de la mejora en el Puntaje Total del Tablero de Gestión Financiera de Áreas Protegidas de PNUD que incluye los siguientes tres elementos: </w:t>
            </w:r>
          </w:p>
          <w:p w14:paraId="4A17A680" w14:textId="77777777" w:rsidR="006B20B2" w:rsidRPr="00770B33" w:rsidRDefault="006B20B2" w:rsidP="00D466B4">
            <w:pPr>
              <w:pStyle w:val="BodyText2"/>
              <w:rPr>
                <w:rFonts w:asciiTheme="minorHAnsi" w:hAnsiTheme="minorHAnsi"/>
                <w:lang w:val="es-EC"/>
              </w:rPr>
            </w:pPr>
            <w:r w:rsidRPr="00770B33">
              <w:rPr>
                <w:rFonts w:asciiTheme="minorHAnsi" w:hAnsiTheme="minorHAnsi"/>
                <w:lang w:val="es-EC"/>
              </w:rPr>
              <w:t xml:space="preserve">1.  Marcos de gobernabilidad que permiten un financiamiento sostenible de las Áreas Protegidas.  </w:t>
            </w:r>
          </w:p>
          <w:p w14:paraId="085B4A47" w14:textId="77777777" w:rsidR="006B20B2" w:rsidRPr="00770B33" w:rsidRDefault="006B20B2" w:rsidP="00D466B4">
            <w:pPr>
              <w:pStyle w:val="BodyText2"/>
              <w:rPr>
                <w:rFonts w:asciiTheme="minorHAnsi" w:hAnsiTheme="minorHAnsi"/>
                <w:lang w:val="es-EC"/>
              </w:rPr>
            </w:pPr>
            <w:r w:rsidRPr="00770B33">
              <w:rPr>
                <w:rFonts w:asciiTheme="minorHAnsi" w:hAnsiTheme="minorHAnsi"/>
                <w:lang w:val="es-EC"/>
              </w:rPr>
              <w:t xml:space="preserve">2. Planes de negocios y otras herramientas para un manejo costo-efectivo.   </w:t>
            </w:r>
          </w:p>
          <w:p w14:paraId="313D4E1A" w14:textId="77777777" w:rsidR="006B20B2" w:rsidRPr="00770B33" w:rsidRDefault="006B20B2" w:rsidP="00D466B4">
            <w:pPr>
              <w:pStyle w:val="BodyText2"/>
              <w:rPr>
                <w:rFonts w:asciiTheme="minorHAnsi" w:hAnsiTheme="minorHAnsi"/>
                <w:lang w:val="es-EC"/>
              </w:rPr>
            </w:pPr>
            <w:r w:rsidRPr="00770B33">
              <w:rPr>
                <w:rFonts w:asciiTheme="minorHAnsi" w:hAnsiTheme="minorHAnsi"/>
                <w:lang w:val="es-EC"/>
              </w:rPr>
              <w:t>3. Herramientas y sistemas para la generación y movilización de ingresos.</w:t>
            </w:r>
          </w:p>
          <w:p w14:paraId="17E9F9CA" w14:textId="77777777" w:rsidR="006B20B2" w:rsidRPr="00770B33" w:rsidRDefault="006B20B2" w:rsidP="00D466B4">
            <w:pPr>
              <w:pStyle w:val="BodyText2"/>
              <w:rPr>
                <w:rFonts w:asciiTheme="minorHAnsi" w:hAnsiTheme="minorHAnsi"/>
                <w:lang w:val="es-EC"/>
              </w:rPr>
            </w:pPr>
          </w:p>
          <w:p w14:paraId="062072A8" w14:textId="77777777" w:rsidR="006B20B2" w:rsidRPr="00770B33" w:rsidRDefault="006B20B2" w:rsidP="00D466B4">
            <w:pPr>
              <w:pStyle w:val="BodyText2"/>
              <w:rPr>
                <w:rFonts w:asciiTheme="minorHAnsi" w:hAnsiTheme="minorHAnsi"/>
                <w:lang w:val="es-EC"/>
              </w:rPr>
            </w:pPr>
            <w:r w:rsidRPr="00770B33">
              <w:rPr>
                <w:rFonts w:asciiTheme="minorHAnsi" w:hAnsiTheme="minorHAnsi"/>
                <w:lang w:val="es-EC"/>
              </w:rPr>
              <w:t xml:space="preserve">b. </w:t>
            </w:r>
          </w:p>
          <w:p w14:paraId="25DB5A52" w14:textId="77777777" w:rsidR="006B20B2" w:rsidRPr="00770B33" w:rsidRDefault="006B20B2" w:rsidP="00D466B4">
            <w:pPr>
              <w:pStyle w:val="BodyText2"/>
              <w:rPr>
                <w:rFonts w:asciiTheme="minorHAnsi" w:hAnsiTheme="minorHAnsi"/>
                <w:lang w:val="es-EC"/>
              </w:rPr>
            </w:pPr>
            <w:r w:rsidRPr="00770B33">
              <w:rPr>
                <w:rFonts w:asciiTheme="minorHAnsi" w:hAnsiTheme="minorHAnsi"/>
                <w:lang w:val="es-EC"/>
              </w:rPr>
              <w:t xml:space="preserve">Número de proyectos comunitarios sobre </w:t>
            </w:r>
            <w:r w:rsidRPr="00770B33">
              <w:rPr>
                <w:rFonts w:asciiTheme="minorHAnsi" w:hAnsiTheme="minorHAnsi"/>
                <w:lang w:val="es-EC"/>
              </w:rPr>
              <w:lastRenderedPageBreak/>
              <w:t>manejo de diversidad biológica ejecutados, con enfoque de género e interculturalidad</w:t>
            </w:r>
          </w:p>
        </w:tc>
        <w:tc>
          <w:tcPr>
            <w:tcW w:w="5490" w:type="dxa"/>
            <w:shd w:val="clear" w:color="auto" w:fill="auto"/>
          </w:tcPr>
          <w:p w14:paraId="6B24B39C" w14:textId="77777777" w:rsidR="006B20B2" w:rsidRPr="00770B33" w:rsidRDefault="006B20B2" w:rsidP="00D466B4">
            <w:pPr>
              <w:pStyle w:val="BodyText2"/>
              <w:rPr>
                <w:rFonts w:asciiTheme="minorHAnsi" w:hAnsiTheme="minorHAnsi"/>
                <w:lang w:val="es-EC"/>
              </w:rPr>
            </w:pPr>
            <w:r w:rsidRPr="00770B33">
              <w:rPr>
                <w:rFonts w:asciiTheme="minorHAnsi" w:hAnsiTheme="minorHAnsi"/>
                <w:lang w:val="es-EC"/>
              </w:rPr>
              <w:lastRenderedPageBreak/>
              <w:t xml:space="preserve">a.  </w:t>
            </w:r>
          </w:p>
          <w:p w14:paraId="7A0B4DDF" w14:textId="77777777" w:rsidR="006B20B2" w:rsidRPr="00770B33" w:rsidRDefault="006B20B2" w:rsidP="00D466B4">
            <w:pPr>
              <w:pStyle w:val="BodyText2"/>
              <w:rPr>
                <w:rFonts w:asciiTheme="minorHAnsi" w:hAnsiTheme="minorHAnsi"/>
                <w:lang w:val="es-EC"/>
              </w:rPr>
            </w:pPr>
            <w:r w:rsidRPr="00770B33">
              <w:rPr>
                <w:rFonts w:asciiTheme="minorHAnsi" w:hAnsiTheme="minorHAnsi"/>
                <w:lang w:val="es-EC"/>
              </w:rPr>
              <w:t xml:space="preserve">A 2013 el Ecuador alcanza los siguientes puntajes para el componente del tablero:  </w:t>
            </w:r>
          </w:p>
          <w:p w14:paraId="1EB75AED" w14:textId="77777777" w:rsidR="006B20B2" w:rsidRPr="00770B33" w:rsidRDefault="006B20B2" w:rsidP="00D466B4">
            <w:pPr>
              <w:pStyle w:val="BodyText2"/>
              <w:rPr>
                <w:rFonts w:asciiTheme="minorHAnsi" w:hAnsiTheme="minorHAnsi"/>
                <w:lang w:val="es-EC"/>
              </w:rPr>
            </w:pPr>
          </w:p>
          <w:p w14:paraId="7B27F3C3" w14:textId="77777777" w:rsidR="006B20B2" w:rsidRPr="00770B33" w:rsidRDefault="006B20B2" w:rsidP="00D466B4">
            <w:pPr>
              <w:pStyle w:val="BodyText2"/>
              <w:rPr>
                <w:rFonts w:asciiTheme="minorHAnsi" w:hAnsiTheme="minorHAnsi"/>
                <w:lang w:val="es-EC"/>
              </w:rPr>
            </w:pPr>
          </w:p>
          <w:p w14:paraId="46BF6C7C" w14:textId="77777777" w:rsidR="006B20B2" w:rsidRPr="00770B33" w:rsidRDefault="006B20B2" w:rsidP="00D466B4">
            <w:pPr>
              <w:pStyle w:val="BodyText2"/>
              <w:rPr>
                <w:rFonts w:asciiTheme="minorHAnsi" w:hAnsiTheme="minorHAnsi"/>
                <w:lang w:val="es-EC"/>
              </w:rPr>
            </w:pPr>
          </w:p>
          <w:p w14:paraId="38B1B993" w14:textId="77777777" w:rsidR="006B20B2" w:rsidRPr="00770B33" w:rsidRDefault="006B20B2" w:rsidP="00D466B4">
            <w:pPr>
              <w:pStyle w:val="BodyText2"/>
              <w:rPr>
                <w:rFonts w:asciiTheme="minorHAnsi" w:hAnsiTheme="minorHAnsi"/>
                <w:lang w:val="es-EC"/>
              </w:rPr>
            </w:pPr>
          </w:p>
          <w:p w14:paraId="1528FECB" w14:textId="77777777" w:rsidR="006B20B2" w:rsidRPr="00770B33" w:rsidRDefault="006B20B2" w:rsidP="00D466B4">
            <w:pPr>
              <w:pStyle w:val="BodyText2"/>
              <w:rPr>
                <w:rFonts w:asciiTheme="minorHAnsi" w:hAnsiTheme="minorHAnsi"/>
                <w:lang w:val="es-EC"/>
              </w:rPr>
            </w:pPr>
            <w:r w:rsidRPr="00770B33">
              <w:rPr>
                <w:rFonts w:asciiTheme="minorHAnsi" w:hAnsiTheme="minorHAnsi"/>
                <w:lang w:val="es-EC"/>
              </w:rPr>
              <w:t>1.  Marcos de gobernabilidad que permiten un financiamiento sostenible de las Áreas Protegidas: 45%</w:t>
            </w:r>
          </w:p>
          <w:p w14:paraId="60C362AC" w14:textId="77777777" w:rsidR="006B20B2" w:rsidRPr="00770B33" w:rsidRDefault="006B20B2" w:rsidP="00D466B4">
            <w:pPr>
              <w:pStyle w:val="BodyText2"/>
              <w:rPr>
                <w:rFonts w:asciiTheme="minorHAnsi" w:hAnsiTheme="minorHAnsi"/>
                <w:lang w:val="es-EC"/>
              </w:rPr>
            </w:pPr>
            <w:r w:rsidRPr="00770B33">
              <w:rPr>
                <w:rFonts w:asciiTheme="minorHAnsi" w:hAnsiTheme="minorHAnsi"/>
                <w:lang w:val="es-EC"/>
              </w:rPr>
              <w:t xml:space="preserve">2.  Planes de negocios y otras herramientas para un manejo costo-efectivo: 34% </w:t>
            </w:r>
          </w:p>
          <w:p w14:paraId="42AD51C7" w14:textId="77777777" w:rsidR="006B20B2" w:rsidRPr="00770B33" w:rsidRDefault="006B20B2" w:rsidP="00D466B4">
            <w:pPr>
              <w:pStyle w:val="BodyText2"/>
              <w:rPr>
                <w:rFonts w:asciiTheme="minorHAnsi" w:hAnsiTheme="minorHAnsi"/>
                <w:lang w:val="es-EC"/>
              </w:rPr>
            </w:pPr>
            <w:r w:rsidRPr="00770B33">
              <w:rPr>
                <w:rFonts w:asciiTheme="minorHAnsi" w:hAnsiTheme="minorHAnsi"/>
                <w:lang w:val="es-EC"/>
              </w:rPr>
              <w:t>3.  Herramientas y sistemas para la generación y movilización de ingresos: 31%</w:t>
            </w:r>
          </w:p>
          <w:p w14:paraId="0E270B59" w14:textId="77777777" w:rsidR="006B20B2" w:rsidRPr="00770B33" w:rsidRDefault="006B20B2" w:rsidP="00D466B4">
            <w:pPr>
              <w:pStyle w:val="BodyText2"/>
              <w:rPr>
                <w:rFonts w:asciiTheme="minorHAnsi" w:hAnsiTheme="minorHAnsi"/>
                <w:lang w:val="es-EC"/>
              </w:rPr>
            </w:pPr>
            <w:r w:rsidRPr="00770B33">
              <w:rPr>
                <w:rFonts w:asciiTheme="minorHAnsi" w:hAnsiTheme="minorHAnsi"/>
                <w:lang w:val="es-EC"/>
              </w:rPr>
              <w:t>Total: 35%</w:t>
            </w:r>
          </w:p>
          <w:p w14:paraId="0AEB16D3" w14:textId="77777777" w:rsidR="006B20B2" w:rsidRPr="00770B33" w:rsidRDefault="006B20B2" w:rsidP="00D466B4">
            <w:pPr>
              <w:pStyle w:val="BodyText2"/>
              <w:rPr>
                <w:rFonts w:asciiTheme="minorHAnsi" w:hAnsiTheme="minorHAnsi"/>
                <w:lang w:val="es-EC"/>
              </w:rPr>
            </w:pPr>
          </w:p>
          <w:p w14:paraId="77D746AF" w14:textId="77777777" w:rsidR="006B20B2" w:rsidRPr="00770B33" w:rsidRDefault="006B20B2" w:rsidP="00D466B4">
            <w:pPr>
              <w:pStyle w:val="BodyText2"/>
              <w:rPr>
                <w:rFonts w:asciiTheme="minorHAnsi" w:hAnsiTheme="minorHAnsi"/>
                <w:lang w:val="es-EC"/>
              </w:rPr>
            </w:pPr>
            <w:r w:rsidRPr="00770B33">
              <w:rPr>
                <w:rFonts w:asciiTheme="minorHAnsi" w:hAnsiTheme="minorHAnsi"/>
                <w:lang w:val="es-EC"/>
              </w:rPr>
              <w:t>b.</w:t>
            </w:r>
          </w:p>
          <w:p w14:paraId="18BFA3F5" w14:textId="77777777" w:rsidR="006B20B2" w:rsidRPr="00770B33" w:rsidRDefault="006B20B2" w:rsidP="00D466B4">
            <w:pPr>
              <w:pStyle w:val="BodyText2"/>
              <w:rPr>
                <w:rFonts w:asciiTheme="minorHAnsi" w:hAnsiTheme="minorHAnsi"/>
                <w:lang w:val="es-EC"/>
              </w:rPr>
            </w:pPr>
            <w:r w:rsidRPr="00770B33">
              <w:rPr>
                <w:rFonts w:asciiTheme="minorHAnsi" w:hAnsiTheme="minorHAnsi"/>
                <w:lang w:val="es-EC"/>
              </w:rPr>
              <w:t xml:space="preserve">52 proyectos comunitarios sobre manejo de diversidad biológica en proceso de ejecución, con enfoque de género e </w:t>
            </w:r>
            <w:r w:rsidRPr="00770B33">
              <w:rPr>
                <w:rFonts w:asciiTheme="minorHAnsi" w:hAnsiTheme="minorHAnsi"/>
                <w:lang w:val="es-EC"/>
              </w:rPr>
              <w:lastRenderedPageBreak/>
              <w:t>interculturalidad. Adicionalmente se han establecimiento de 16 Biocorredores para el buen vivir, que consideran un componente de manejo de cuencas hidrográficas para la implementación de proyectos asociativos prioritarios que reducen la fragmentación del hábitat y mejoran la conectividad ecológica.</w:t>
            </w:r>
          </w:p>
        </w:tc>
      </w:tr>
      <w:tr w:rsidR="006B20B2" w:rsidRPr="00770B33" w14:paraId="1121E8CB" w14:textId="77777777" w:rsidTr="00D466B4">
        <w:tc>
          <w:tcPr>
            <w:tcW w:w="14040" w:type="dxa"/>
            <w:gridSpan w:val="5"/>
          </w:tcPr>
          <w:p w14:paraId="5B9F1AB2" w14:textId="77777777" w:rsidR="006B20B2" w:rsidRPr="00770B33" w:rsidRDefault="006B20B2" w:rsidP="0033790D">
            <w:pPr>
              <w:pStyle w:val="BodyText2"/>
              <w:jc w:val="both"/>
              <w:rPr>
                <w:rFonts w:asciiTheme="minorHAnsi" w:hAnsiTheme="minorHAnsi"/>
                <w:b/>
                <w:lang w:val="es-EC"/>
              </w:rPr>
            </w:pPr>
            <w:r w:rsidRPr="00770B33">
              <w:rPr>
                <w:rFonts w:asciiTheme="minorHAnsi" w:hAnsiTheme="minorHAnsi"/>
                <w:b/>
                <w:lang w:val="es-EC"/>
              </w:rPr>
              <w:lastRenderedPageBreak/>
              <w:t>UNDP Contribution:</w:t>
            </w:r>
          </w:p>
          <w:p w14:paraId="01D00026" w14:textId="77777777" w:rsidR="006B20B2" w:rsidRPr="00770B33" w:rsidRDefault="006B20B2" w:rsidP="0033790D">
            <w:pPr>
              <w:pStyle w:val="BodyText2"/>
              <w:jc w:val="both"/>
              <w:rPr>
                <w:rFonts w:asciiTheme="minorHAnsi" w:hAnsiTheme="minorHAnsi"/>
                <w:b/>
                <w:lang w:val="es-EC"/>
              </w:rPr>
            </w:pPr>
          </w:p>
          <w:p w14:paraId="23A27159" w14:textId="77777777" w:rsidR="006B20B2" w:rsidRPr="00770B33" w:rsidRDefault="006B20B2" w:rsidP="0033790D">
            <w:pPr>
              <w:pStyle w:val="BodyText2"/>
              <w:jc w:val="both"/>
              <w:rPr>
                <w:rFonts w:asciiTheme="minorHAnsi" w:hAnsiTheme="minorHAnsi"/>
                <w:b/>
                <w:u w:val="single"/>
                <w:lang w:val="es-EC"/>
              </w:rPr>
            </w:pPr>
            <w:r w:rsidRPr="00770B33">
              <w:rPr>
                <w:rFonts w:asciiTheme="minorHAnsi" w:hAnsiTheme="minorHAnsi"/>
                <w:b/>
                <w:u w:val="single"/>
                <w:lang w:val="es-EC"/>
              </w:rPr>
              <w:t>CP Outputs</w:t>
            </w:r>
          </w:p>
          <w:p w14:paraId="29E31803" w14:textId="77777777" w:rsidR="006B20B2" w:rsidRPr="00770B33" w:rsidRDefault="006B20B2" w:rsidP="0033790D">
            <w:pPr>
              <w:pStyle w:val="BodyText2"/>
              <w:jc w:val="both"/>
              <w:rPr>
                <w:rFonts w:asciiTheme="minorHAnsi" w:hAnsiTheme="minorHAnsi"/>
                <w:lang w:val="es-EC"/>
              </w:rPr>
            </w:pPr>
            <w:r w:rsidRPr="00770B33">
              <w:rPr>
                <w:rFonts w:asciiTheme="minorHAnsi" w:hAnsiTheme="minorHAnsi"/>
                <w:lang w:val="es-EC"/>
              </w:rPr>
              <w:t>El programa de país identifica dos productos para alcanzar el Efecto directo planteado a) el fortalecimiento de capacidades a nivel institucional y de la sociedad civil para promover la sostenibilidad ambiental, incluida la conservación de la diversidad biológica, el ordenamiento integral de los recursos naturales y la gestión ambiental y b) la promoción de iniciativas comunitarias para el acceso y uso sostenible y equitativo de los bienes y servicios ambientales.</w:t>
            </w:r>
          </w:p>
          <w:p w14:paraId="081CE9CF" w14:textId="77777777" w:rsidR="006B20B2" w:rsidRPr="00770B33" w:rsidRDefault="006B20B2" w:rsidP="0033790D">
            <w:pPr>
              <w:pStyle w:val="BodyText2"/>
              <w:jc w:val="both"/>
              <w:rPr>
                <w:rFonts w:asciiTheme="minorHAnsi" w:hAnsiTheme="minorHAnsi"/>
                <w:u w:val="single"/>
                <w:lang w:val="es-EC"/>
              </w:rPr>
            </w:pPr>
          </w:p>
          <w:p w14:paraId="58425EF3" w14:textId="77777777" w:rsidR="006B20B2" w:rsidRPr="00770B33" w:rsidRDefault="006B20B2" w:rsidP="0033790D">
            <w:pPr>
              <w:pStyle w:val="BodyText2"/>
              <w:jc w:val="both"/>
              <w:rPr>
                <w:rFonts w:asciiTheme="minorHAnsi" w:hAnsiTheme="minorHAnsi"/>
                <w:b/>
                <w:u w:val="single"/>
                <w:lang w:val="es-EC"/>
              </w:rPr>
            </w:pPr>
            <w:r w:rsidRPr="00770B33">
              <w:rPr>
                <w:rFonts w:asciiTheme="minorHAnsi" w:hAnsiTheme="minorHAnsi"/>
                <w:b/>
                <w:u w:val="single"/>
                <w:lang w:val="es-EC"/>
              </w:rPr>
              <w:t>Progress and Achievements</w:t>
            </w:r>
          </w:p>
          <w:p w14:paraId="05416553" w14:textId="77777777" w:rsidR="006B20B2" w:rsidRPr="00770B33" w:rsidRDefault="006B20B2" w:rsidP="0033790D">
            <w:pPr>
              <w:pStyle w:val="BodyText2"/>
              <w:jc w:val="both"/>
              <w:rPr>
                <w:rFonts w:asciiTheme="minorHAnsi" w:hAnsiTheme="minorHAnsi"/>
                <w:lang w:val="es-EC"/>
              </w:rPr>
            </w:pPr>
            <w:r w:rsidRPr="00770B33">
              <w:rPr>
                <w:rFonts w:asciiTheme="minorHAnsi" w:hAnsiTheme="minorHAnsi"/>
                <w:lang w:val="es-EC"/>
              </w:rPr>
              <w:t xml:space="preserve">Sobre las metas de los indicadores establecidos, se reportan los siguientes avances: -52 proyectos PPD siendo implementados en 4 territorios a nivel nacional, a través de 16 biocorredores, 10 más de los planteados originalmente como meta. Del total de proyectos asociativos en ejecución, se contabilizan alrededor de 48.453 mujeres beneficiarias, lo que representa un 47% del total de la población beneficiaria directa o indirectamente por los proyectos que es de 102.208 personas, lo que se traduce a aproximadamente 20.000 familias, superando ampliamente la meta establecida. </w:t>
            </w:r>
          </w:p>
          <w:p w14:paraId="38D8DAD9" w14:textId="77777777" w:rsidR="006B20B2" w:rsidRPr="00770B33" w:rsidRDefault="006B20B2" w:rsidP="0033790D">
            <w:pPr>
              <w:pStyle w:val="BodyText2"/>
              <w:jc w:val="both"/>
              <w:rPr>
                <w:rFonts w:asciiTheme="minorHAnsi" w:hAnsiTheme="minorHAnsi"/>
                <w:lang w:val="es-EC"/>
              </w:rPr>
            </w:pPr>
          </w:p>
          <w:p w14:paraId="72508B6C" w14:textId="77777777" w:rsidR="006B20B2" w:rsidRPr="00770B33" w:rsidRDefault="006B20B2" w:rsidP="0033790D">
            <w:pPr>
              <w:pStyle w:val="BodyText2"/>
              <w:jc w:val="both"/>
              <w:rPr>
                <w:rFonts w:asciiTheme="minorHAnsi" w:hAnsiTheme="minorHAnsi"/>
                <w:lang w:val="es-EC"/>
              </w:rPr>
            </w:pPr>
            <w:r w:rsidRPr="00770B33">
              <w:rPr>
                <w:rFonts w:asciiTheme="minorHAnsi" w:hAnsiTheme="minorHAnsi"/>
                <w:lang w:val="es-EC"/>
              </w:rPr>
              <w:t xml:space="preserve">El modelo de gestión del SNAP se consolida con la publicación del análisis de brechas de financiamiento y necesidades del SNAP; una estrategia de sostenibilidad financiera en su fase de elaboración final, el inicio del estudio de valoración de bienes y servicios ambientales del SNAP, la publicación y lanzamiento de la Compilación Actualizada de Incentivos Fiscales para la Conservación, así como el inicio del trabajo para consolidar un modelo de gestión Punto Verde, finalmente se cuenta con una versión aprobada por la Dirección Nacional de Biodiversidad de los Lineamientos para la inclusión de Áreas privadas al SNAP. Estos insumos dan cuenta del avance sustantivo en el nuevo modelo de gestión por lo que la meta se considera alcanzada. En cuanto al marco de capacidad financiera, el puntaje total refleja un 35% frente a un 50% estimado como meta a 2015, por lo que se considera que existe un avance solido hacia la meta establecida.  </w:t>
            </w:r>
          </w:p>
          <w:p w14:paraId="1701B136" w14:textId="77777777" w:rsidR="006B20B2" w:rsidRPr="00770B33" w:rsidRDefault="006B20B2" w:rsidP="0033790D">
            <w:pPr>
              <w:pStyle w:val="BodyText2"/>
              <w:jc w:val="both"/>
              <w:rPr>
                <w:rFonts w:asciiTheme="minorHAnsi" w:hAnsiTheme="minorHAnsi"/>
                <w:lang w:val="es-EC"/>
              </w:rPr>
            </w:pPr>
          </w:p>
          <w:p w14:paraId="36F82B93" w14:textId="77777777" w:rsidR="006B20B2" w:rsidRPr="00770B33" w:rsidRDefault="006B20B2" w:rsidP="0033790D">
            <w:pPr>
              <w:pStyle w:val="BodyText2"/>
              <w:jc w:val="both"/>
              <w:rPr>
                <w:rFonts w:asciiTheme="minorHAnsi" w:hAnsiTheme="minorHAnsi"/>
                <w:lang w:val="es-EC"/>
              </w:rPr>
            </w:pPr>
            <w:r w:rsidRPr="00770B33">
              <w:rPr>
                <w:rFonts w:asciiTheme="minorHAnsi" w:hAnsiTheme="minorHAnsi"/>
                <w:lang w:val="es-EC"/>
              </w:rPr>
              <w:t>Adicionalmente, el Sistema Nacional de Biodiversidad (SIB) cuenta con los módulos de Áreas protegidas, turismo y monitoreo administrativo- financiero. Por lo que la meta ha sido alcanzada. Adicionalmente, el país cuenta ya con metas AICHI valoradas y priorizadas hasta el 2020 y un avance importante en la actualización de la Estrategia Nacional de Biodiversidad.</w:t>
            </w:r>
          </w:p>
          <w:p w14:paraId="69AC80C3" w14:textId="77777777" w:rsidR="006B20B2" w:rsidRPr="00770B33" w:rsidRDefault="006B20B2" w:rsidP="0033790D">
            <w:pPr>
              <w:jc w:val="both"/>
              <w:rPr>
                <w:rFonts w:asciiTheme="minorHAnsi" w:hAnsiTheme="minorHAnsi"/>
                <w:sz w:val="20"/>
                <w:lang w:val="es-EC"/>
              </w:rPr>
            </w:pPr>
          </w:p>
          <w:p w14:paraId="19D4BB4B" w14:textId="77777777" w:rsidR="006B20B2" w:rsidRPr="00770B33" w:rsidRDefault="006B20B2" w:rsidP="0033790D">
            <w:pPr>
              <w:jc w:val="both"/>
              <w:rPr>
                <w:rFonts w:asciiTheme="minorHAnsi" w:hAnsiTheme="minorHAnsi"/>
                <w:sz w:val="20"/>
                <w:u w:val="single"/>
                <w:lang w:val="es-EC"/>
              </w:rPr>
            </w:pPr>
            <w:r w:rsidRPr="00770B33">
              <w:rPr>
                <w:rFonts w:asciiTheme="minorHAnsi" w:hAnsiTheme="minorHAnsi"/>
                <w:sz w:val="20"/>
                <w:lang w:val="es-EC"/>
              </w:rPr>
              <w:t>Finalmente, durante el último trimestre de 2013 desarrollo del modelo de gestión para refugios de montaña; 16 planes de negocio y 15 planes de manejo para reservas comunitarias y privadas, además de la actualización de 3 planes de manejo de AP del SNAP; se concluyó la revisión de la legislación ambiental secundaria para facilitar el proceso de cambio en el modelo de gestión; y se finalizó el desarrollo de lineamientos de inclusión de áreas privadas al SNAP.</w:t>
            </w:r>
          </w:p>
        </w:tc>
      </w:tr>
      <w:tr w:rsidR="006B20B2" w:rsidRPr="00770B33" w14:paraId="22167A9E" w14:textId="77777777" w:rsidTr="00D466B4">
        <w:tc>
          <w:tcPr>
            <w:tcW w:w="3060" w:type="dxa"/>
            <w:shd w:val="clear" w:color="auto" w:fill="95B3D7"/>
          </w:tcPr>
          <w:p w14:paraId="72E7D6E5" w14:textId="083A1887" w:rsidR="006B20B2" w:rsidRPr="00770B33" w:rsidRDefault="006B20B2" w:rsidP="00E4778A">
            <w:pPr>
              <w:pStyle w:val="BodyText2"/>
              <w:rPr>
                <w:rFonts w:asciiTheme="minorHAnsi" w:hAnsiTheme="minorHAnsi"/>
                <w:color w:val="333333"/>
                <w:lang w:val="es-EC"/>
              </w:rPr>
            </w:pPr>
            <w:r w:rsidRPr="00E4778A">
              <w:rPr>
                <w:rFonts w:asciiTheme="minorHAnsi" w:hAnsiTheme="minorHAnsi"/>
                <w:lang w:val="es-EC"/>
              </w:rPr>
              <w:t>304</w:t>
            </w:r>
            <w:r w:rsidR="00E4778A">
              <w:rPr>
                <w:rFonts w:asciiTheme="minorHAnsi" w:hAnsiTheme="minorHAnsi"/>
                <w:b/>
                <w:lang w:val="es-EC"/>
              </w:rPr>
              <w:t xml:space="preserve"> </w:t>
            </w:r>
            <w:r w:rsidRPr="00770B33">
              <w:rPr>
                <w:rFonts w:asciiTheme="minorHAnsi" w:hAnsiTheme="minorHAnsi"/>
                <w:color w:val="333333"/>
                <w:lang w:val="es-EC"/>
              </w:rPr>
              <w:t xml:space="preserve">Se ha dotado de mayores aptitudes a las autoridades y otras entidades para formular </w:t>
            </w:r>
            <w:r w:rsidRPr="00770B33">
              <w:rPr>
                <w:rFonts w:asciiTheme="minorHAnsi" w:hAnsiTheme="minorHAnsi"/>
                <w:color w:val="333333"/>
                <w:lang w:val="es-EC"/>
              </w:rPr>
              <w:lastRenderedPageBreak/>
              <w:t>respuestas de adaptación/mitigación frente al cambio climático, y para desarrollar fuentes de energía renovables y promover la eficiencia energética</w:t>
            </w:r>
          </w:p>
          <w:p w14:paraId="432C0AC0" w14:textId="77777777" w:rsidR="006B20B2" w:rsidRPr="00770B33" w:rsidRDefault="006B20B2" w:rsidP="00D466B4">
            <w:pPr>
              <w:pStyle w:val="BodyText2"/>
              <w:rPr>
                <w:rFonts w:asciiTheme="minorHAnsi" w:hAnsiTheme="minorHAnsi"/>
                <w:b/>
                <w:lang w:val="es-EC"/>
              </w:rPr>
            </w:pPr>
          </w:p>
        </w:tc>
        <w:tc>
          <w:tcPr>
            <w:tcW w:w="1530" w:type="dxa"/>
            <w:gridSpan w:val="2"/>
            <w:shd w:val="clear" w:color="auto" w:fill="auto"/>
          </w:tcPr>
          <w:p w14:paraId="0BA52F76" w14:textId="74BF80D3" w:rsidR="006B20B2" w:rsidRPr="00770B33" w:rsidRDefault="006B20B2" w:rsidP="00D466B4">
            <w:pPr>
              <w:rPr>
                <w:rFonts w:asciiTheme="minorHAnsi" w:hAnsiTheme="minorHAnsi"/>
                <w:b/>
                <w:color w:val="000000"/>
                <w:sz w:val="20"/>
              </w:rPr>
            </w:pPr>
            <w:r w:rsidRPr="00770B33">
              <w:rPr>
                <w:rFonts w:asciiTheme="minorHAnsi" w:hAnsiTheme="minorHAnsi"/>
                <w:b/>
                <w:color w:val="000000"/>
                <w:sz w:val="20"/>
              </w:rPr>
              <w:lastRenderedPageBreak/>
              <w:t xml:space="preserve">6.902.413,02 </w:t>
            </w:r>
          </w:p>
          <w:p w14:paraId="5B1A6ED3" w14:textId="77777777" w:rsidR="006B20B2" w:rsidRPr="00770B33" w:rsidRDefault="006B20B2" w:rsidP="00D466B4">
            <w:pPr>
              <w:rPr>
                <w:rFonts w:asciiTheme="minorHAnsi" w:hAnsiTheme="minorHAnsi"/>
                <w:sz w:val="20"/>
              </w:rPr>
            </w:pPr>
          </w:p>
        </w:tc>
        <w:tc>
          <w:tcPr>
            <w:tcW w:w="3960" w:type="dxa"/>
            <w:tcBorders>
              <w:left w:val="single" w:sz="4" w:space="0" w:color="auto"/>
            </w:tcBorders>
          </w:tcPr>
          <w:p w14:paraId="201A6DE5" w14:textId="77777777" w:rsidR="006B20B2" w:rsidRPr="00770B33" w:rsidRDefault="006B20B2" w:rsidP="00D466B4">
            <w:pPr>
              <w:pStyle w:val="BodyText2"/>
              <w:rPr>
                <w:rFonts w:asciiTheme="minorHAnsi" w:hAnsiTheme="minorHAnsi"/>
                <w:lang w:val="es-EC"/>
              </w:rPr>
            </w:pPr>
            <w:r w:rsidRPr="00770B33">
              <w:rPr>
                <w:rFonts w:asciiTheme="minorHAnsi" w:hAnsiTheme="minorHAnsi"/>
                <w:lang w:val="es-EC"/>
              </w:rPr>
              <w:t xml:space="preserve">a. Número de respuestas nacionales frente al cambio climático (mitigación y adaptación), en la forma de políticas pública e inversiones </w:t>
            </w:r>
            <w:r w:rsidRPr="00770B33">
              <w:rPr>
                <w:rFonts w:asciiTheme="minorHAnsi" w:hAnsiTheme="minorHAnsi"/>
                <w:lang w:val="es-EC"/>
              </w:rPr>
              <w:lastRenderedPageBreak/>
              <w:t>en terreno.</w:t>
            </w:r>
          </w:p>
        </w:tc>
        <w:tc>
          <w:tcPr>
            <w:tcW w:w="5490" w:type="dxa"/>
            <w:shd w:val="clear" w:color="auto" w:fill="auto"/>
          </w:tcPr>
          <w:p w14:paraId="30F6AA7B" w14:textId="77777777" w:rsidR="006B20B2" w:rsidRPr="00770B33" w:rsidRDefault="006B20B2" w:rsidP="00D466B4">
            <w:pPr>
              <w:pStyle w:val="BodyText2"/>
              <w:rPr>
                <w:rFonts w:asciiTheme="minorHAnsi" w:hAnsiTheme="minorHAnsi"/>
                <w:lang w:val="es-EC"/>
              </w:rPr>
            </w:pPr>
            <w:r w:rsidRPr="00770B33">
              <w:rPr>
                <w:rFonts w:asciiTheme="minorHAnsi" w:hAnsiTheme="minorHAnsi"/>
                <w:lang w:val="es-EC"/>
              </w:rPr>
              <w:lastRenderedPageBreak/>
              <w:t xml:space="preserve">a. al finalizar el 2013 se cuenta con; una Estrategia Nacional de Cambio Climatico,  un Plan Nacional de Cambio Climatico avanzado en un 80%, el Acuerdo Ministerial (AM) 103 para el </w:t>
            </w:r>
            <w:r w:rsidRPr="00770B33">
              <w:rPr>
                <w:rFonts w:asciiTheme="minorHAnsi" w:hAnsiTheme="minorHAnsi"/>
                <w:lang w:val="es-EC"/>
              </w:rPr>
              <w:lastRenderedPageBreak/>
              <w:t xml:space="preserve">registro de proyectos REDD en el país, el AM033 que da el marco institucional para establecer un mecanismo REDD a nivel nacional, y el AM128que establece el protocolo de aplicación de la Consulta Previa Libre e Informada (CPLI) para REDD en Ecuador. </w:t>
            </w:r>
          </w:p>
          <w:p w14:paraId="01F704AF" w14:textId="77777777" w:rsidR="006B20B2" w:rsidRPr="00770B33" w:rsidRDefault="006B20B2" w:rsidP="00D466B4">
            <w:pPr>
              <w:pStyle w:val="BodyText2"/>
              <w:rPr>
                <w:rFonts w:asciiTheme="minorHAnsi" w:hAnsiTheme="minorHAnsi"/>
                <w:lang w:val="es-EC"/>
              </w:rPr>
            </w:pPr>
          </w:p>
          <w:p w14:paraId="7C7B5270" w14:textId="77777777" w:rsidR="006B20B2" w:rsidRPr="00770B33" w:rsidRDefault="006B20B2" w:rsidP="00D466B4">
            <w:pPr>
              <w:pStyle w:val="BodyText2"/>
              <w:rPr>
                <w:rFonts w:asciiTheme="minorHAnsi" w:hAnsiTheme="minorHAnsi"/>
                <w:lang w:val="es-EC"/>
              </w:rPr>
            </w:pPr>
            <w:r w:rsidRPr="00770B33">
              <w:rPr>
                <w:rFonts w:asciiTheme="minorHAnsi" w:hAnsiTheme="minorHAnsi"/>
                <w:lang w:val="es-EC"/>
              </w:rPr>
              <w:t>Se cuenta con 25 inversiones en territorio para hacer frente al cambio climático en el Ecuador a través de la gobernabilidad de los recursos hídricos para una efectiva adaptación al CC en comunidades.</w:t>
            </w:r>
          </w:p>
        </w:tc>
      </w:tr>
      <w:tr w:rsidR="006B20B2" w:rsidRPr="00770B33" w14:paraId="08B817CB" w14:textId="77777777" w:rsidTr="00D466B4">
        <w:tc>
          <w:tcPr>
            <w:tcW w:w="14040" w:type="dxa"/>
            <w:gridSpan w:val="5"/>
          </w:tcPr>
          <w:p w14:paraId="536AC767" w14:textId="77777777" w:rsidR="006B20B2" w:rsidRPr="00770B33" w:rsidRDefault="006B20B2" w:rsidP="0033790D">
            <w:pPr>
              <w:pStyle w:val="BodyText2"/>
              <w:jc w:val="both"/>
              <w:rPr>
                <w:rFonts w:asciiTheme="minorHAnsi" w:hAnsiTheme="minorHAnsi"/>
                <w:b/>
                <w:lang w:val="es-EC"/>
              </w:rPr>
            </w:pPr>
            <w:r w:rsidRPr="00770B33">
              <w:rPr>
                <w:rFonts w:asciiTheme="minorHAnsi" w:hAnsiTheme="minorHAnsi"/>
                <w:b/>
                <w:lang w:val="es-EC"/>
              </w:rPr>
              <w:lastRenderedPageBreak/>
              <w:t>UNDP Contribution:</w:t>
            </w:r>
          </w:p>
          <w:p w14:paraId="4270A99D" w14:textId="77777777" w:rsidR="006B20B2" w:rsidRPr="00770B33" w:rsidRDefault="006B20B2" w:rsidP="0033790D">
            <w:pPr>
              <w:pStyle w:val="BodyText2"/>
              <w:jc w:val="both"/>
              <w:rPr>
                <w:rFonts w:asciiTheme="minorHAnsi" w:hAnsiTheme="minorHAnsi"/>
                <w:b/>
                <w:lang w:val="es-EC"/>
              </w:rPr>
            </w:pPr>
          </w:p>
          <w:p w14:paraId="7727B4CA" w14:textId="77777777" w:rsidR="006B20B2" w:rsidRPr="00770B33" w:rsidRDefault="006B20B2" w:rsidP="0033790D">
            <w:pPr>
              <w:pStyle w:val="BodyText2"/>
              <w:jc w:val="both"/>
              <w:rPr>
                <w:rFonts w:asciiTheme="minorHAnsi" w:hAnsiTheme="minorHAnsi"/>
                <w:b/>
                <w:u w:val="single"/>
                <w:lang w:val="es-EC"/>
              </w:rPr>
            </w:pPr>
            <w:r w:rsidRPr="00770B33">
              <w:rPr>
                <w:rFonts w:asciiTheme="minorHAnsi" w:hAnsiTheme="minorHAnsi"/>
                <w:b/>
                <w:u w:val="single"/>
                <w:lang w:val="es-EC"/>
              </w:rPr>
              <w:t>CP Outputs</w:t>
            </w:r>
          </w:p>
          <w:p w14:paraId="494F9188" w14:textId="77777777" w:rsidR="006B20B2" w:rsidRPr="00770B33" w:rsidRDefault="006B20B2" w:rsidP="0033790D">
            <w:pPr>
              <w:pStyle w:val="BodyText2"/>
              <w:jc w:val="both"/>
              <w:rPr>
                <w:rFonts w:asciiTheme="minorHAnsi" w:hAnsiTheme="minorHAnsi"/>
                <w:lang w:val="es-EC"/>
              </w:rPr>
            </w:pPr>
            <w:r w:rsidRPr="00770B33">
              <w:rPr>
                <w:rFonts w:asciiTheme="minorHAnsi" w:hAnsiTheme="minorHAnsi"/>
                <w:lang w:val="es-EC"/>
              </w:rPr>
              <w:t>El programa de país identifica tres productos para alcanzar el Efecto directo planteado a) el fortalecimiento de capacidades a nivel institucional y de la sociedad civil para hacer frente al cambio climático y para desarrollar fuentes de energía renovables y promover la eficiencia energética, b) soporte a inversiones para la generación de fuentes de energía renovables en el país, y c) la promoción de iniciativas comunitarias para la el uso y manejo adecuado de los recursos hídricos para una efectiva adaptación al cambio climático.</w:t>
            </w:r>
          </w:p>
          <w:p w14:paraId="0C8EFAD5" w14:textId="77777777" w:rsidR="006B20B2" w:rsidRPr="00770B33" w:rsidRDefault="006B20B2" w:rsidP="0033790D">
            <w:pPr>
              <w:pStyle w:val="BodyText2"/>
              <w:jc w:val="both"/>
              <w:rPr>
                <w:rFonts w:asciiTheme="minorHAnsi" w:hAnsiTheme="minorHAnsi"/>
                <w:u w:val="single"/>
                <w:lang w:val="es-EC"/>
              </w:rPr>
            </w:pPr>
          </w:p>
          <w:p w14:paraId="64396A7C" w14:textId="77777777" w:rsidR="006B20B2" w:rsidRPr="00770B33" w:rsidRDefault="006B20B2" w:rsidP="0033790D">
            <w:pPr>
              <w:pStyle w:val="BodyText2"/>
              <w:jc w:val="both"/>
              <w:rPr>
                <w:rFonts w:asciiTheme="minorHAnsi" w:hAnsiTheme="minorHAnsi"/>
                <w:b/>
                <w:u w:val="single"/>
                <w:lang w:val="es-EC"/>
              </w:rPr>
            </w:pPr>
            <w:r w:rsidRPr="00770B33">
              <w:rPr>
                <w:rFonts w:asciiTheme="minorHAnsi" w:hAnsiTheme="minorHAnsi"/>
                <w:b/>
                <w:u w:val="single"/>
                <w:lang w:val="es-EC"/>
              </w:rPr>
              <w:t>Progress and Achievements</w:t>
            </w:r>
          </w:p>
          <w:p w14:paraId="09B6FE3A" w14:textId="77777777" w:rsidR="006B20B2" w:rsidRPr="00770B33" w:rsidRDefault="006B20B2" w:rsidP="0033790D">
            <w:pPr>
              <w:pStyle w:val="BodyText2"/>
              <w:jc w:val="both"/>
              <w:rPr>
                <w:rFonts w:asciiTheme="minorHAnsi" w:hAnsiTheme="minorHAnsi"/>
                <w:lang w:val="es-EC"/>
              </w:rPr>
            </w:pPr>
            <w:r w:rsidRPr="00770B33">
              <w:rPr>
                <w:rFonts w:asciiTheme="minorHAnsi" w:hAnsiTheme="minorHAnsi"/>
                <w:lang w:val="es-EC"/>
              </w:rPr>
              <w:t xml:space="preserve">Sobre las metas de los indicadores establecidos, se reportan los siguientes avances: Se acompaña el desarrollo de dos instrumentos de política pública muy relevantes para la gestión del cambio climático en el país, el primero es la Estrategia Nacional de Cambio Climatico (2012), en donde el PNUD contribuyó con la incorporación de criterios de adaptación y gobernabilidad del sector hídrico, y el desarrollo del Plan Nacional de Cambio Climatico, este plan hará operativa la Estrategia Nacional de CC desde una perspectiva multisectorial. Respecto al fortalecimiento de capacidades para gestionar el cambio climático, en este periodo se consolidan los escenarios históricos de emisiones de GEI para NAMAS en el sector energético, así como los inventarios de GEI para el sector AFOLU al 2010. </w:t>
            </w:r>
          </w:p>
          <w:p w14:paraId="4C43AF1E" w14:textId="77777777" w:rsidR="006B20B2" w:rsidRPr="00770B33" w:rsidRDefault="006B20B2" w:rsidP="0033790D">
            <w:pPr>
              <w:pStyle w:val="BodyText2"/>
              <w:jc w:val="both"/>
              <w:rPr>
                <w:rFonts w:asciiTheme="minorHAnsi" w:hAnsiTheme="minorHAnsi"/>
                <w:lang w:val="es-EC"/>
              </w:rPr>
            </w:pPr>
          </w:p>
          <w:p w14:paraId="5BA1E6A4" w14:textId="77777777" w:rsidR="006B20B2" w:rsidRPr="00770B33" w:rsidRDefault="006B20B2" w:rsidP="0033790D">
            <w:pPr>
              <w:pStyle w:val="BodyText2"/>
              <w:jc w:val="both"/>
              <w:rPr>
                <w:rFonts w:asciiTheme="minorHAnsi" w:hAnsiTheme="minorHAnsi"/>
                <w:lang w:val="es-EC"/>
              </w:rPr>
            </w:pPr>
            <w:r w:rsidRPr="00770B33">
              <w:rPr>
                <w:rFonts w:asciiTheme="minorHAnsi" w:hAnsiTheme="minorHAnsi"/>
                <w:lang w:val="es-EC"/>
              </w:rPr>
              <w:t xml:space="preserve">Se consigue la firma del convenio MAE INHAMI que oficializa los acuerdos alcanzados tanto para procesos de fortalecimiento de capacidades en ACC, como equipamiento para la armonización de información para la adaptación al CC a nivel provincial. </w:t>
            </w:r>
          </w:p>
          <w:p w14:paraId="6D1A0C20" w14:textId="77777777" w:rsidR="006B20B2" w:rsidRPr="00770B33" w:rsidRDefault="006B20B2" w:rsidP="0033790D">
            <w:pPr>
              <w:pStyle w:val="BodyText2"/>
              <w:jc w:val="both"/>
              <w:rPr>
                <w:rFonts w:asciiTheme="minorHAnsi" w:hAnsiTheme="minorHAnsi"/>
                <w:lang w:val="es-EC"/>
              </w:rPr>
            </w:pPr>
          </w:p>
          <w:p w14:paraId="1B500CB5" w14:textId="77777777" w:rsidR="006B20B2" w:rsidRPr="00770B33" w:rsidRDefault="006B20B2" w:rsidP="0033790D">
            <w:pPr>
              <w:pStyle w:val="BodyText2"/>
              <w:jc w:val="both"/>
              <w:rPr>
                <w:rFonts w:asciiTheme="minorHAnsi" w:hAnsiTheme="minorHAnsi"/>
                <w:lang w:val="es-EC"/>
              </w:rPr>
            </w:pPr>
            <w:r w:rsidRPr="00770B33">
              <w:rPr>
                <w:rFonts w:asciiTheme="minorHAnsi" w:hAnsiTheme="minorHAnsi"/>
                <w:lang w:val="es-EC"/>
              </w:rPr>
              <w:t xml:space="preserve">En el marco de la preparación del país para un mecanismo REDD+ se acompaña al MAE en el desarrollo de tres acuerdos Ministeriales (AM033, AM 128 y AM103), se identifican y priorizan beneficios múltiples REDD+, </w:t>
            </w:r>
          </w:p>
          <w:p w14:paraId="69043094" w14:textId="77777777" w:rsidR="006B20B2" w:rsidRPr="00770B33" w:rsidRDefault="006B20B2" w:rsidP="0033790D">
            <w:pPr>
              <w:pStyle w:val="BodyText2"/>
              <w:jc w:val="both"/>
              <w:rPr>
                <w:rFonts w:asciiTheme="minorHAnsi" w:hAnsiTheme="minorHAnsi"/>
                <w:lang w:val="es-EC"/>
              </w:rPr>
            </w:pPr>
          </w:p>
          <w:p w14:paraId="60C879C7" w14:textId="77777777" w:rsidR="006B20B2" w:rsidRPr="00770B33" w:rsidRDefault="006B20B2" w:rsidP="0033790D">
            <w:pPr>
              <w:pStyle w:val="BodyText2"/>
              <w:jc w:val="both"/>
              <w:rPr>
                <w:rFonts w:asciiTheme="minorHAnsi" w:hAnsiTheme="minorHAnsi"/>
                <w:lang w:val="es-EC"/>
              </w:rPr>
            </w:pPr>
            <w:r w:rsidRPr="00770B33">
              <w:rPr>
                <w:rFonts w:asciiTheme="minorHAnsi" w:hAnsiTheme="minorHAnsi"/>
                <w:lang w:val="es-EC"/>
              </w:rPr>
              <w:t xml:space="preserve">Respecto a las medidas de adaptación en territorio, se cuenta con 25 proyectos de los cuales 21 han sido concluidos con éxito y 4 serán ejecutados hasta finales de 2014. </w:t>
            </w:r>
          </w:p>
          <w:p w14:paraId="05F4A33C" w14:textId="77777777" w:rsidR="006B20B2" w:rsidRPr="00770B33" w:rsidRDefault="006B20B2" w:rsidP="0033790D">
            <w:pPr>
              <w:pStyle w:val="BodyText2"/>
              <w:jc w:val="both"/>
              <w:rPr>
                <w:rFonts w:asciiTheme="minorHAnsi" w:hAnsiTheme="minorHAnsi"/>
                <w:lang w:val="es-EC"/>
              </w:rPr>
            </w:pPr>
          </w:p>
          <w:p w14:paraId="1526E368" w14:textId="77777777" w:rsidR="006B20B2" w:rsidRPr="00770B33" w:rsidRDefault="006B20B2" w:rsidP="0033790D">
            <w:pPr>
              <w:pStyle w:val="BodyText2"/>
              <w:jc w:val="both"/>
              <w:rPr>
                <w:rFonts w:asciiTheme="minorHAnsi" w:hAnsiTheme="minorHAnsi"/>
                <w:lang w:val="es-EC"/>
              </w:rPr>
            </w:pPr>
            <w:r w:rsidRPr="00770B33">
              <w:rPr>
                <w:rFonts w:asciiTheme="minorHAnsi" w:hAnsiTheme="minorHAnsi"/>
                <w:lang w:val="es-EC"/>
              </w:rPr>
              <w:t xml:space="preserve">En cuanto a los temas relacionados con energía sostenible, se hace público el estudio de brechas del sector energético en el marco de SE4ALL. Adicionalmente el diagnostico específico sobre acciones puntuales a nivel sectorial avanza con el apoyo del BID y el liderazgo del MEER. </w:t>
            </w:r>
          </w:p>
          <w:p w14:paraId="0FEEBF83" w14:textId="77777777" w:rsidR="006B20B2" w:rsidRPr="00770B33" w:rsidRDefault="006B20B2" w:rsidP="0033790D">
            <w:pPr>
              <w:pStyle w:val="BodyText2"/>
              <w:jc w:val="both"/>
              <w:rPr>
                <w:rFonts w:asciiTheme="minorHAnsi" w:hAnsiTheme="minorHAnsi"/>
                <w:lang w:val="es-EC"/>
              </w:rPr>
            </w:pPr>
          </w:p>
          <w:p w14:paraId="5535B6F1" w14:textId="77777777" w:rsidR="006B20B2" w:rsidRPr="00770B33" w:rsidRDefault="006B20B2" w:rsidP="0033790D">
            <w:pPr>
              <w:pStyle w:val="BodyText2"/>
              <w:jc w:val="both"/>
              <w:rPr>
                <w:rFonts w:asciiTheme="minorHAnsi" w:hAnsiTheme="minorHAnsi"/>
                <w:u w:val="single"/>
                <w:lang w:val="es-EC"/>
              </w:rPr>
            </w:pPr>
            <w:r w:rsidRPr="00770B33">
              <w:rPr>
                <w:rFonts w:asciiTheme="minorHAnsi" w:hAnsiTheme="minorHAnsi"/>
                <w:lang w:val="es-EC"/>
              </w:rPr>
              <w:lastRenderedPageBreak/>
              <w:t>Finalmente las 3 torres eólicas para la generación eléctrica han sido instaladas en la Isla Baltra – Galápagos, se estima que la línea de interconexión a cargo del MEER estará concluida a finales de 2014.</w:t>
            </w:r>
          </w:p>
        </w:tc>
      </w:tr>
      <w:tr w:rsidR="00FD3253" w:rsidRPr="00770B33" w14:paraId="50A3D3A7" w14:textId="77777777" w:rsidTr="00D466B4">
        <w:tc>
          <w:tcPr>
            <w:tcW w:w="3060" w:type="dxa"/>
            <w:shd w:val="clear" w:color="auto" w:fill="95B3D7"/>
          </w:tcPr>
          <w:p w14:paraId="098655B3" w14:textId="66E6E12D" w:rsidR="00FD3253" w:rsidRPr="00770B33" w:rsidRDefault="00FD3253" w:rsidP="00FD3253">
            <w:pPr>
              <w:rPr>
                <w:rFonts w:asciiTheme="minorHAnsi" w:hAnsiTheme="minorHAnsi"/>
                <w:sz w:val="20"/>
                <w:lang w:eastAsia="es-ES"/>
              </w:rPr>
            </w:pPr>
            <w:r w:rsidRPr="00770B33">
              <w:rPr>
                <w:rFonts w:asciiTheme="minorHAnsi" w:hAnsiTheme="minorHAnsi"/>
                <w:sz w:val="20"/>
              </w:rPr>
              <w:lastRenderedPageBreak/>
              <w:t xml:space="preserve">305 </w:t>
            </w:r>
            <w:r w:rsidRPr="00770B33">
              <w:rPr>
                <w:rFonts w:asciiTheme="minorHAnsi" w:hAnsiTheme="minorHAnsi"/>
                <w:sz w:val="20"/>
                <w:lang w:eastAsia="es-ES"/>
              </w:rPr>
              <w:t>Public officials at national and local levels work with a management framework that improves planning and the provision of services and ensures people rights. Citizens participate in the formulation processes of public policies.</w:t>
            </w:r>
          </w:p>
        </w:tc>
        <w:tc>
          <w:tcPr>
            <w:tcW w:w="1530" w:type="dxa"/>
            <w:gridSpan w:val="2"/>
            <w:shd w:val="clear" w:color="auto" w:fill="auto"/>
          </w:tcPr>
          <w:p w14:paraId="0192712C" w14:textId="77777777" w:rsidR="00FD3253" w:rsidRPr="00770B33" w:rsidRDefault="00FD3253" w:rsidP="00D466B4">
            <w:pPr>
              <w:pStyle w:val="BodyText2"/>
              <w:rPr>
                <w:rFonts w:asciiTheme="minorHAnsi" w:hAnsiTheme="minorHAnsi"/>
              </w:rPr>
            </w:pPr>
            <w:r w:rsidRPr="00770B33">
              <w:rPr>
                <w:rFonts w:asciiTheme="minorHAnsi" w:hAnsiTheme="minorHAnsi"/>
              </w:rPr>
              <w:t>US$ 10.242.329,99</w:t>
            </w:r>
          </w:p>
        </w:tc>
        <w:tc>
          <w:tcPr>
            <w:tcW w:w="3960" w:type="dxa"/>
            <w:tcBorders>
              <w:left w:val="single" w:sz="4" w:space="0" w:color="auto"/>
            </w:tcBorders>
          </w:tcPr>
          <w:p w14:paraId="6A0C60DA" w14:textId="77777777" w:rsidR="00FD3253" w:rsidRPr="00770B33" w:rsidRDefault="00FD3253" w:rsidP="00D466B4">
            <w:pPr>
              <w:rPr>
                <w:rFonts w:asciiTheme="minorHAnsi" w:hAnsiTheme="minorHAnsi"/>
                <w:sz w:val="20"/>
              </w:rPr>
            </w:pPr>
            <w:r w:rsidRPr="00770B33">
              <w:rPr>
                <w:rFonts w:asciiTheme="minorHAnsi" w:hAnsiTheme="minorHAnsi"/>
                <w:sz w:val="20"/>
              </w:rPr>
              <w:t>a. Number of institutional reform and public policies proposals, formulated in accordance with the National Plan of Good Living and the human rights approach.</w:t>
            </w:r>
          </w:p>
          <w:p w14:paraId="77EC6A0D" w14:textId="77777777" w:rsidR="00FD3253" w:rsidRPr="00770B33" w:rsidRDefault="00FD3253" w:rsidP="00D466B4">
            <w:pPr>
              <w:pStyle w:val="BodyText2"/>
              <w:rPr>
                <w:rFonts w:asciiTheme="minorHAnsi" w:hAnsiTheme="minorHAnsi"/>
              </w:rPr>
            </w:pPr>
          </w:p>
          <w:p w14:paraId="71E408FA" w14:textId="4259654C" w:rsidR="00FD3253" w:rsidRPr="00770B33" w:rsidRDefault="00FD3253" w:rsidP="00FD3253">
            <w:pPr>
              <w:rPr>
                <w:rFonts w:asciiTheme="minorHAnsi" w:hAnsiTheme="minorHAnsi"/>
                <w:sz w:val="20"/>
              </w:rPr>
            </w:pPr>
            <w:r w:rsidRPr="00770B33">
              <w:rPr>
                <w:rFonts w:asciiTheme="minorHAnsi" w:hAnsiTheme="minorHAnsi"/>
                <w:sz w:val="20"/>
              </w:rPr>
              <w:t>b. Number of provinces with institutionalized local - national link mechanisms and tools.</w:t>
            </w:r>
          </w:p>
        </w:tc>
        <w:tc>
          <w:tcPr>
            <w:tcW w:w="5490" w:type="dxa"/>
            <w:shd w:val="clear" w:color="auto" w:fill="auto"/>
          </w:tcPr>
          <w:p w14:paraId="54394360" w14:textId="77777777" w:rsidR="00FD3253" w:rsidRPr="00770B33" w:rsidRDefault="00FD3253" w:rsidP="00D466B4">
            <w:pPr>
              <w:pStyle w:val="BodyText2"/>
              <w:numPr>
                <w:ilvl w:val="0"/>
                <w:numId w:val="16"/>
              </w:numPr>
              <w:rPr>
                <w:rFonts w:asciiTheme="minorHAnsi" w:hAnsiTheme="minorHAnsi"/>
              </w:rPr>
            </w:pPr>
            <w:r w:rsidRPr="00770B33">
              <w:rPr>
                <w:rFonts w:asciiTheme="minorHAnsi" w:hAnsiTheme="minorHAnsi"/>
              </w:rPr>
              <w:t>3 institutional reform processes formulated with UNDP support.</w:t>
            </w:r>
          </w:p>
          <w:p w14:paraId="33DA8AB9" w14:textId="77777777" w:rsidR="00FD3253" w:rsidRPr="00770B33" w:rsidRDefault="00FD3253" w:rsidP="00D466B4">
            <w:pPr>
              <w:pStyle w:val="BodyText2"/>
              <w:rPr>
                <w:rFonts w:asciiTheme="minorHAnsi" w:hAnsiTheme="minorHAnsi"/>
              </w:rPr>
            </w:pPr>
          </w:p>
          <w:p w14:paraId="6208B4AB" w14:textId="77777777" w:rsidR="00FD3253" w:rsidRPr="00770B33" w:rsidRDefault="00FD3253" w:rsidP="00D466B4">
            <w:pPr>
              <w:pStyle w:val="BodyText2"/>
              <w:rPr>
                <w:rFonts w:asciiTheme="minorHAnsi" w:hAnsiTheme="minorHAnsi"/>
              </w:rPr>
            </w:pPr>
          </w:p>
          <w:p w14:paraId="0307FFAF" w14:textId="77777777" w:rsidR="00FD3253" w:rsidRPr="00770B33" w:rsidRDefault="00FD3253" w:rsidP="00D466B4">
            <w:pPr>
              <w:pStyle w:val="BodyText2"/>
              <w:rPr>
                <w:rFonts w:asciiTheme="minorHAnsi" w:hAnsiTheme="minorHAnsi"/>
              </w:rPr>
            </w:pPr>
          </w:p>
          <w:p w14:paraId="463093D3" w14:textId="0A672509" w:rsidR="00FD3253" w:rsidRPr="00770B33" w:rsidRDefault="00FD3253" w:rsidP="00D466B4">
            <w:pPr>
              <w:numPr>
                <w:ilvl w:val="0"/>
                <w:numId w:val="16"/>
              </w:numPr>
              <w:rPr>
                <w:rFonts w:asciiTheme="minorHAnsi" w:hAnsiTheme="minorHAnsi"/>
                <w:sz w:val="20"/>
              </w:rPr>
            </w:pPr>
            <w:r w:rsidRPr="00770B33">
              <w:rPr>
                <w:rFonts w:asciiTheme="minorHAnsi" w:hAnsiTheme="minorHAnsi"/>
                <w:sz w:val="20"/>
              </w:rPr>
              <w:t>5 provinces (Carchi, Loja, Playas, El Oro, Esmeraldas) have institutionalized loca - national link mechanisms and tools.</w:t>
            </w:r>
          </w:p>
        </w:tc>
      </w:tr>
      <w:tr w:rsidR="00FD3253" w:rsidRPr="00770B33" w14:paraId="25A931C4" w14:textId="77777777" w:rsidTr="00D466B4">
        <w:tc>
          <w:tcPr>
            <w:tcW w:w="14040" w:type="dxa"/>
            <w:gridSpan w:val="5"/>
          </w:tcPr>
          <w:p w14:paraId="480BB214" w14:textId="77777777" w:rsidR="00FD3253" w:rsidRPr="00770B33" w:rsidRDefault="00FD3253" w:rsidP="00FD3253">
            <w:pPr>
              <w:pStyle w:val="BodyText2"/>
              <w:jc w:val="both"/>
              <w:rPr>
                <w:rFonts w:asciiTheme="minorHAnsi" w:hAnsiTheme="minorHAnsi"/>
                <w:b/>
              </w:rPr>
            </w:pPr>
            <w:r w:rsidRPr="00770B33">
              <w:rPr>
                <w:rFonts w:asciiTheme="minorHAnsi" w:hAnsiTheme="minorHAnsi"/>
                <w:b/>
              </w:rPr>
              <w:t>UNDP Contribution:</w:t>
            </w:r>
          </w:p>
          <w:p w14:paraId="03BB8907" w14:textId="77777777" w:rsidR="00FD3253" w:rsidRPr="00770B33" w:rsidRDefault="00FD3253" w:rsidP="00FD3253">
            <w:pPr>
              <w:pStyle w:val="BodyText2"/>
              <w:jc w:val="both"/>
              <w:rPr>
                <w:rFonts w:asciiTheme="minorHAnsi" w:hAnsiTheme="minorHAnsi"/>
                <w:u w:val="single"/>
              </w:rPr>
            </w:pPr>
          </w:p>
          <w:p w14:paraId="4C848A43" w14:textId="77777777" w:rsidR="00FD3253" w:rsidRPr="00770B33" w:rsidRDefault="00FD3253" w:rsidP="00FD3253">
            <w:pPr>
              <w:pStyle w:val="ListParagraph"/>
              <w:widowControl w:val="0"/>
              <w:ind w:left="0"/>
              <w:jc w:val="both"/>
              <w:rPr>
                <w:rFonts w:asciiTheme="minorHAnsi" w:hAnsiTheme="minorHAnsi"/>
                <w:lang w:val="en-US"/>
              </w:rPr>
            </w:pPr>
            <w:r w:rsidRPr="00770B33">
              <w:rPr>
                <w:rFonts w:asciiTheme="minorHAnsi" w:hAnsiTheme="minorHAnsi"/>
                <w:u w:val="single"/>
                <w:lang w:val="en-US"/>
              </w:rPr>
              <w:t>CP Outputs</w:t>
            </w:r>
            <w:r w:rsidRPr="00770B33">
              <w:rPr>
                <w:rFonts w:asciiTheme="minorHAnsi" w:hAnsiTheme="minorHAnsi"/>
                <w:lang w:val="en-US"/>
              </w:rPr>
              <w:t>: UNDP Ecuador identified six major outputs to support the Government in achieving this outcome: (</w:t>
            </w:r>
            <w:r w:rsidRPr="00770B33">
              <w:rPr>
                <w:rFonts w:asciiTheme="minorHAnsi" w:hAnsiTheme="minorHAnsi"/>
                <w:noProof/>
                <w:lang w:val="en-US"/>
              </w:rPr>
              <w:t>a)</w:t>
            </w:r>
            <w:r w:rsidRPr="00770B33">
              <w:rPr>
                <w:rFonts w:asciiTheme="minorHAnsi" w:hAnsiTheme="minorHAnsi"/>
                <w:lang w:val="en-US"/>
              </w:rPr>
              <w:t xml:space="preserve"> Public transport in Quito, (b) Institutional strengthening of SETECI, (c) Contributions to the state transformation process, to the construction of the national competence system and to MDG monitoring, (d) Promoting inclusive participation and support to the construction of public policies  in order to achieve the MDGs focused on Afro-Ecuadorian people, (e) Development and cultural diversity program for poverty reduction and social inclusion, (f) Articulation of territorial networks in Ecuador.</w:t>
            </w:r>
          </w:p>
          <w:p w14:paraId="13B91970" w14:textId="77777777" w:rsidR="00FD3253" w:rsidRPr="00770B33" w:rsidRDefault="00FD3253" w:rsidP="00FD3253">
            <w:pPr>
              <w:jc w:val="both"/>
              <w:rPr>
                <w:rFonts w:asciiTheme="minorHAnsi" w:hAnsiTheme="minorHAnsi"/>
                <w:sz w:val="20"/>
              </w:rPr>
            </w:pPr>
            <w:r w:rsidRPr="00770B33">
              <w:rPr>
                <w:rFonts w:asciiTheme="minorHAnsi" w:hAnsiTheme="minorHAnsi"/>
                <w:sz w:val="20"/>
              </w:rPr>
              <w:t xml:space="preserve">  </w:t>
            </w:r>
          </w:p>
          <w:p w14:paraId="3F11A325" w14:textId="77777777" w:rsidR="00FD3253" w:rsidRPr="00770B33" w:rsidRDefault="00FD3253" w:rsidP="00FD3253">
            <w:pPr>
              <w:jc w:val="both"/>
              <w:rPr>
                <w:rFonts w:asciiTheme="minorHAnsi" w:hAnsiTheme="minorHAnsi"/>
                <w:sz w:val="20"/>
              </w:rPr>
            </w:pPr>
            <w:r w:rsidRPr="00770B33">
              <w:rPr>
                <w:rFonts w:asciiTheme="minorHAnsi" w:hAnsiTheme="minorHAnsi"/>
                <w:sz w:val="20"/>
                <w:u w:val="single"/>
              </w:rPr>
              <w:t>Progress and Achievements</w:t>
            </w:r>
            <w:r w:rsidRPr="00770B33">
              <w:rPr>
                <w:rFonts w:asciiTheme="minorHAnsi" w:hAnsiTheme="minorHAnsi"/>
                <w:sz w:val="20"/>
              </w:rPr>
              <w:t xml:space="preserve">: </w:t>
            </w:r>
          </w:p>
          <w:p w14:paraId="22ACAAE5" w14:textId="77777777" w:rsidR="00FD3253" w:rsidRPr="00770B33" w:rsidRDefault="00FD3253" w:rsidP="00FD3253">
            <w:pPr>
              <w:jc w:val="both"/>
              <w:rPr>
                <w:rFonts w:asciiTheme="minorHAnsi" w:hAnsiTheme="minorHAnsi"/>
                <w:sz w:val="20"/>
              </w:rPr>
            </w:pPr>
          </w:p>
          <w:p w14:paraId="5524CE9C" w14:textId="77777777" w:rsidR="00FD3253" w:rsidRPr="00770B33" w:rsidRDefault="00FD3253" w:rsidP="00FD3253">
            <w:pPr>
              <w:widowControl/>
              <w:jc w:val="both"/>
              <w:rPr>
                <w:rFonts w:asciiTheme="minorHAnsi" w:hAnsiTheme="minorHAnsi"/>
                <w:sz w:val="20"/>
                <w:lang w:eastAsia="es-ES"/>
              </w:rPr>
            </w:pPr>
            <w:r w:rsidRPr="00770B33">
              <w:rPr>
                <w:rFonts w:asciiTheme="minorHAnsi" w:hAnsiTheme="minorHAnsi"/>
                <w:sz w:val="20"/>
                <w:lang w:eastAsia="es-ES"/>
              </w:rPr>
              <w:t>UNDP provided tools and mechanisms for strengthening decentralization processes, planning, land management and public policy design.</w:t>
            </w:r>
          </w:p>
          <w:p w14:paraId="00171217" w14:textId="77777777" w:rsidR="00FD3253" w:rsidRPr="00770B33" w:rsidRDefault="00FD3253" w:rsidP="00FD3253">
            <w:pPr>
              <w:widowControl/>
              <w:jc w:val="both"/>
              <w:rPr>
                <w:rFonts w:asciiTheme="minorHAnsi" w:hAnsiTheme="minorHAnsi"/>
                <w:sz w:val="20"/>
                <w:lang w:eastAsia="es-ES"/>
              </w:rPr>
            </w:pPr>
            <w:r w:rsidRPr="00770B33">
              <w:rPr>
                <w:rFonts w:asciiTheme="minorHAnsi" w:hAnsiTheme="minorHAnsi"/>
                <w:sz w:val="20"/>
                <w:lang w:eastAsia="es-ES"/>
              </w:rPr>
              <w:t>National and local governments´ activated multilevel governance mechanisms in 7 provinces. Additionally, UNDP provided a tool that measures aid effectiveness at the local level.</w:t>
            </w:r>
          </w:p>
          <w:p w14:paraId="101DA08D" w14:textId="77777777" w:rsidR="00FD3253" w:rsidRPr="00770B33" w:rsidRDefault="00FD3253" w:rsidP="00FD3253">
            <w:pPr>
              <w:widowControl/>
              <w:jc w:val="both"/>
              <w:rPr>
                <w:rFonts w:asciiTheme="minorHAnsi" w:hAnsiTheme="minorHAnsi"/>
                <w:sz w:val="20"/>
                <w:lang w:eastAsia="es-ES"/>
              </w:rPr>
            </w:pPr>
          </w:p>
          <w:p w14:paraId="5BA4EA6F" w14:textId="77777777" w:rsidR="00FD3253" w:rsidRPr="00770B33" w:rsidRDefault="00FD3253" w:rsidP="00FD3253">
            <w:pPr>
              <w:widowControl/>
              <w:jc w:val="both"/>
              <w:rPr>
                <w:rFonts w:asciiTheme="minorHAnsi" w:hAnsiTheme="minorHAnsi"/>
                <w:sz w:val="20"/>
                <w:lang w:eastAsia="es-ES"/>
              </w:rPr>
            </w:pPr>
            <w:r w:rsidRPr="00770B33">
              <w:rPr>
                <w:rFonts w:asciiTheme="minorHAnsi" w:hAnsiTheme="minorHAnsi"/>
                <w:sz w:val="20"/>
                <w:lang w:eastAsia="es-ES"/>
              </w:rPr>
              <w:t>Regarding the public administration reform, UNDP contributed with the design of modules and methodologies to promote the deconcentration process. In relation to the decentralization process, UNDP provided technical assistance to the subnational levels in three specific competencies.</w:t>
            </w:r>
          </w:p>
          <w:p w14:paraId="60C28812" w14:textId="77777777" w:rsidR="00FD3253" w:rsidRPr="00770B33" w:rsidRDefault="00FD3253" w:rsidP="00FD3253">
            <w:pPr>
              <w:widowControl/>
              <w:jc w:val="both"/>
              <w:rPr>
                <w:rFonts w:asciiTheme="minorHAnsi" w:hAnsiTheme="minorHAnsi"/>
                <w:sz w:val="20"/>
              </w:rPr>
            </w:pPr>
          </w:p>
          <w:p w14:paraId="21EB09CF" w14:textId="77777777" w:rsidR="00FD3253" w:rsidRPr="00770B33" w:rsidRDefault="00FD3253" w:rsidP="00FD3253">
            <w:pPr>
              <w:jc w:val="both"/>
              <w:rPr>
                <w:rFonts w:asciiTheme="minorHAnsi" w:hAnsiTheme="minorHAnsi"/>
                <w:sz w:val="20"/>
                <w:lang w:eastAsia="es-ES"/>
              </w:rPr>
            </w:pPr>
            <w:r w:rsidRPr="00770B33">
              <w:rPr>
                <w:rFonts w:asciiTheme="minorHAnsi" w:hAnsiTheme="minorHAnsi"/>
                <w:sz w:val="20"/>
                <w:lang w:eastAsia="es-ES"/>
              </w:rPr>
              <w:t>Institutional capacities of public institutions in charge of Afro-Ecuadorians development were strengthened.  UNDP supported the Afro Ecuadorian Development Corporation (CODAE) in the design of five public policies proposals related to housing, economic development, health, education and organizational partnership. A cantonal development plan for Afro-Ecuadorian people in Guayaquil was also developed.  Additionally, 15 Afro-Ecuadorian lawyers and 20 Afro-Ecuadorian government officials were trained in human rights.</w:t>
            </w:r>
          </w:p>
          <w:p w14:paraId="50E419EC" w14:textId="77777777" w:rsidR="00FD3253" w:rsidRPr="00770B33" w:rsidRDefault="00FD3253" w:rsidP="00FD3253">
            <w:pPr>
              <w:widowControl/>
              <w:jc w:val="both"/>
              <w:rPr>
                <w:rFonts w:asciiTheme="minorHAnsi" w:hAnsiTheme="minorHAnsi"/>
                <w:sz w:val="20"/>
              </w:rPr>
            </w:pPr>
          </w:p>
          <w:p w14:paraId="59C356C3" w14:textId="77777777" w:rsidR="00FD3253" w:rsidRPr="00770B33" w:rsidRDefault="00FD3253" w:rsidP="00FD3253">
            <w:pPr>
              <w:widowControl/>
              <w:jc w:val="both"/>
              <w:rPr>
                <w:rFonts w:asciiTheme="minorHAnsi" w:hAnsiTheme="minorHAnsi"/>
                <w:sz w:val="20"/>
              </w:rPr>
            </w:pPr>
            <w:r w:rsidRPr="00770B33">
              <w:rPr>
                <w:rFonts w:asciiTheme="minorHAnsi" w:hAnsiTheme="minorHAnsi"/>
                <w:sz w:val="20"/>
              </w:rPr>
              <w:t xml:space="preserve">UNDP developed management tools for local priorities in four provinces, allowing effective alignment of international cooperation and public investment, and improving impact and resource mobilization. UNDP also contributed in the institutionalization of governance multilevel mechanisms in five provinces, in order to improve planning, territorial management, public administration and inclusive provision of services (case studies and ordinances: Carchi, Loja and Playas). In 2013, the National Secretariat for Planning and Development – SENPLADES formulated the National Plan for Good Living 2013 – 2017.  UNDP provided technical support to public national officials for the inclusion of these approaches, thereby strengthening multilevel planning. Mechanisms of local/national coordination were institutionalized (ordinances) in two </w:t>
            </w:r>
            <w:r w:rsidRPr="00770B33">
              <w:rPr>
                <w:rFonts w:asciiTheme="minorHAnsi" w:hAnsiTheme="minorHAnsi"/>
                <w:sz w:val="20"/>
              </w:rPr>
              <w:lastRenderedPageBreak/>
              <w:t xml:space="preserve">provinces (Esmeraldas and El Oro), with the support of UNDP-ART. </w:t>
            </w:r>
          </w:p>
          <w:p w14:paraId="35E4637D" w14:textId="77777777" w:rsidR="00FD3253" w:rsidRPr="00770B33" w:rsidRDefault="00FD3253" w:rsidP="00FD3253">
            <w:pPr>
              <w:widowControl/>
              <w:jc w:val="both"/>
              <w:rPr>
                <w:rFonts w:asciiTheme="minorHAnsi" w:hAnsiTheme="minorHAnsi"/>
                <w:sz w:val="20"/>
              </w:rPr>
            </w:pPr>
          </w:p>
          <w:p w14:paraId="15C9746D" w14:textId="77777777" w:rsidR="00FD3253" w:rsidRPr="00770B33" w:rsidRDefault="00FD3253" w:rsidP="00FD3253">
            <w:pPr>
              <w:widowControl/>
              <w:jc w:val="both"/>
              <w:rPr>
                <w:rFonts w:asciiTheme="minorHAnsi" w:hAnsiTheme="minorHAnsi"/>
                <w:sz w:val="20"/>
              </w:rPr>
            </w:pPr>
            <w:r w:rsidRPr="00770B33">
              <w:rPr>
                <w:rFonts w:asciiTheme="minorHAnsi" w:hAnsiTheme="minorHAnsi"/>
                <w:sz w:val="20"/>
              </w:rPr>
              <w:t>In the area of deconcentration, SENPLADES launched a process focused on executive branch entities, under a model of administrative districts and planning circuits. UNDP contributed to the definition of a methodology that monitors and evaluates progress in this process.</w:t>
            </w:r>
          </w:p>
          <w:p w14:paraId="6C842E0C" w14:textId="77777777" w:rsidR="00FD3253" w:rsidRPr="00770B33" w:rsidRDefault="00FD3253" w:rsidP="00FD3253">
            <w:pPr>
              <w:widowControl/>
              <w:jc w:val="both"/>
              <w:rPr>
                <w:rFonts w:asciiTheme="minorHAnsi" w:hAnsiTheme="minorHAnsi"/>
                <w:sz w:val="20"/>
              </w:rPr>
            </w:pPr>
          </w:p>
          <w:p w14:paraId="25E761E5" w14:textId="77777777" w:rsidR="00FD3253" w:rsidRPr="00770B33" w:rsidRDefault="00FD3253" w:rsidP="00FD3253">
            <w:pPr>
              <w:widowControl/>
              <w:jc w:val="both"/>
              <w:rPr>
                <w:rFonts w:asciiTheme="minorHAnsi" w:hAnsiTheme="minorHAnsi"/>
                <w:sz w:val="20"/>
              </w:rPr>
            </w:pPr>
            <w:r w:rsidRPr="00770B33">
              <w:rPr>
                <w:rFonts w:asciiTheme="minorHAnsi" w:hAnsiTheme="minorHAnsi"/>
                <w:sz w:val="20"/>
              </w:rPr>
              <w:t>As part of the decentralization process, the National Competencies Council chaired by SENPLADES defined the "National Capacity Building Strategy." UNDP supported the formulation of the plan to strengthen sub-national governments in order to manage international cooperation.</w:t>
            </w:r>
          </w:p>
          <w:p w14:paraId="38A35872" w14:textId="77777777" w:rsidR="00FD3253" w:rsidRPr="00770B33" w:rsidRDefault="00FD3253" w:rsidP="00FD3253">
            <w:pPr>
              <w:jc w:val="both"/>
              <w:rPr>
                <w:rFonts w:asciiTheme="minorHAnsi" w:hAnsiTheme="minorHAnsi"/>
                <w:sz w:val="20"/>
              </w:rPr>
            </w:pPr>
          </w:p>
          <w:p w14:paraId="7EEB5858" w14:textId="32048504" w:rsidR="00FD3253" w:rsidRPr="00770B33" w:rsidRDefault="00FD3253" w:rsidP="00FD3253">
            <w:pPr>
              <w:jc w:val="both"/>
              <w:rPr>
                <w:rFonts w:asciiTheme="minorHAnsi" w:hAnsiTheme="minorHAnsi"/>
                <w:sz w:val="20"/>
              </w:rPr>
            </w:pPr>
            <w:r w:rsidRPr="00770B33">
              <w:rPr>
                <w:rFonts w:asciiTheme="minorHAnsi" w:hAnsiTheme="minorHAnsi"/>
                <w:sz w:val="20"/>
              </w:rPr>
              <w:t xml:space="preserve">The Technical Secretariat for International Cooperation (SETECI) formulated the document "Public Policy for International Cooperation" in 2013. UNDP contributed to the inclusion of an indicator on "effectiveness of cooperation at the local level”. </w:t>
            </w:r>
          </w:p>
        </w:tc>
      </w:tr>
      <w:tr w:rsidR="0033790D" w:rsidRPr="00770B33" w14:paraId="7E6ECB0A" w14:textId="77777777" w:rsidTr="00D466B4">
        <w:tc>
          <w:tcPr>
            <w:tcW w:w="3060" w:type="dxa"/>
            <w:shd w:val="clear" w:color="auto" w:fill="95B3D7"/>
          </w:tcPr>
          <w:p w14:paraId="0F06CA1E" w14:textId="77777777" w:rsidR="0033790D" w:rsidRPr="00770B33" w:rsidRDefault="0033790D" w:rsidP="00D466B4">
            <w:pPr>
              <w:pStyle w:val="BodyText2"/>
              <w:rPr>
                <w:rFonts w:asciiTheme="minorHAnsi" w:hAnsiTheme="minorHAnsi"/>
                <w:b/>
                <w:lang w:val="es-EC"/>
              </w:rPr>
            </w:pPr>
            <w:r w:rsidRPr="00770B33">
              <w:rPr>
                <w:rFonts w:asciiTheme="minorHAnsi" w:hAnsiTheme="minorHAnsi"/>
                <w:lang w:val="es-EC"/>
              </w:rPr>
              <w:lastRenderedPageBreak/>
              <w:t>306</w:t>
            </w:r>
          </w:p>
          <w:p w14:paraId="01852C56" w14:textId="52FBBE1A" w:rsidR="0033790D" w:rsidRPr="00770B33" w:rsidRDefault="0033790D" w:rsidP="00D466B4">
            <w:pPr>
              <w:rPr>
                <w:rFonts w:asciiTheme="minorHAnsi" w:hAnsiTheme="minorHAnsi"/>
                <w:color w:val="333333"/>
                <w:sz w:val="20"/>
                <w:lang w:val="es-EC"/>
              </w:rPr>
            </w:pPr>
            <w:r w:rsidRPr="00770B33">
              <w:rPr>
                <w:rFonts w:asciiTheme="minorHAnsi" w:hAnsiTheme="minorHAnsi"/>
                <w:color w:val="333333"/>
                <w:sz w:val="20"/>
                <w:lang w:val="es-EC"/>
              </w:rPr>
              <w:t>Se fortalece el Sistema Nacional Descentralizado de Gestión de Riesgos (SNDGR)</w:t>
            </w:r>
          </w:p>
        </w:tc>
        <w:tc>
          <w:tcPr>
            <w:tcW w:w="1530" w:type="dxa"/>
            <w:gridSpan w:val="2"/>
            <w:shd w:val="clear" w:color="auto" w:fill="auto"/>
          </w:tcPr>
          <w:p w14:paraId="6D02A2FA" w14:textId="4D9D3FEC" w:rsidR="0033790D" w:rsidRPr="00770B33" w:rsidRDefault="0033790D" w:rsidP="00D466B4">
            <w:pPr>
              <w:rPr>
                <w:rFonts w:asciiTheme="minorHAnsi" w:hAnsiTheme="minorHAnsi"/>
                <w:b/>
                <w:color w:val="000000"/>
                <w:sz w:val="20"/>
              </w:rPr>
            </w:pPr>
            <w:r w:rsidRPr="00770B33">
              <w:rPr>
                <w:rFonts w:asciiTheme="minorHAnsi" w:hAnsiTheme="minorHAnsi"/>
                <w:b/>
                <w:color w:val="000000"/>
                <w:sz w:val="20"/>
              </w:rPr>
              <w:t xml:space="preserve">3.910.841,84 </w:t>
            </w:r>
          </w:p>
          <w:p w14:paraId="19333275" w14:textId="77777777" w:rsidR="0033790D" w:rsidRPr="00770B33" w:rsidRDefault="0033790D" w:rsidP="00D466B4">
            <w:pPr>
              <w:rPr>
                <w:rFonts w:asciiTheme="minorHAnsi" w:hAnsiTheme="minorHAnsi"/>
                <w:b/>
                <w:sz w:val="20"/>
              </w:rPr>
            </w:pPr>
          </w:p>
        </w:tc>
        <w:tc>
          <w:tcPr>
            <w:tcW w:w="3960" w:type="dxa"/>
            <w:tcBorders>
              <w:left w:val="single" w:sz="4" w:space="0" w:color="auto"/>
            </w:tcBorders>
          </w:tcPr>
          <w:p w14:paraId="5C23653B" w14:textId="77777777" w:rsidR="0033790D" w:rsidRPr="00770B33" w:rsidRDefault="0033790D" w:rsidP="00D466B4">
            <w:pPr>
              <w:pStyle w:val="BodyText2"/>
              <w:rPr>
                <w:rFonts w:asciiTheme="minorHAnsi" w:hAnsiTheme="minorHAnsi"/>
                <w:lang w:val="es-EC"/>
              </w:rPr>
            </w:pPr>
            <w:r w:rsidRPr="00770B33">
              <w:rPr>
                <w:rFonts w:asciiTheme="minorHAnsi" w:hAnsiTheme="minorHAnsi"/>
                <w:lang w:val="es-EC"/>
              </w:rPr>
              <w:t>a. N° de propuestas de ley, reglamentos y normativas locales formuladas para la gestión integral del riesgo</w:t>
            </w:r>
          </w:p>
        </w:tc>
        <w:tc>
          <w:tcPr>
            <w:tcW w:w="5490" w:type="dxa"/>
            <w:shd w:val="clear" w:color="auto" w:fill="auto"/>
          </w:tcPr>
          <w:p w14:paraId="54EF6126" w14:textId="77777777" w:rsidR="0033790D" w:rsidRPr="00770B33" w:rsidRDefault="0033790D" w:rsidP="00D466B4">
            <w:pPr>
              <w:pStyle w:val="BodyText2"/>
              <w:rPr>
                <w:rFonts w:asciiTheme="minorHAnsi" w:hAnsiTheme="minorHAnsi"/>
                <w:lang w:val="es-EC"/>
              </w:rPr>
            </w:pPr>
            <w:r w:rsidRPr="00770B33">
              <w:rPr>
                <w:rFonts w:asciiTheme="minorHAnsi" w:hAnsiTheme="minorHAnsi"/>
                <w:lang w:val="es-EC"/>
              </w:rPr>
              <w:t>a. 5 propuestas de ley y/o reglamentos y/o normativas formuladas</w:t>
            </w:r>
          </w:p>
        </w:tc>
      </w:tr>
      <w:tr w:rsidR="0033790D" w:rsidRPr="00770B33" w14:paraId="66227552" w14:textId="77777777" w:rsidTr="00D466B4">
        <w:tc>
          <w:tcPr>
            <w:tcW w:w="14040" w:type="dxa"/>
            <w:gridSpan w:val="5"/>
          </w:tcPr>
          <w:p w14:paraId="7B702F79" w14:textId="77777777" w:rsidR="0033790D" w:rsidRPr="00770B33" w:rsidRDefault="0033790D" w:rsidP="0033790D">
            <w:pPr>
              <w:pStyle w:val="BodyText2"/>
              <w:jc w:val="both"/>
              <w:rPr>
                <w:rFonts w:asciiTheme="minorHAnsi" w:hAnsiTheme="minorHAnsi"/>
                <w:b/>
                <w:lang w:val="es-EC"/>
              </w:rPr>
            </w:pPr>
            <w:r w:rsidRPr="00770B33">
              <w:rPr>
                <w:rFonts w:asciiTheme="minorHAnsi" w:hAnsiTheme="minorHAnsi"/>
                <w:b/>
                <w:lang w:val="es-EC"/>
              </w:rPr>
              <w:t>UNDP Contribution:</w:t>
            </w:r>
          </w:p>
          <w:p w14:paraId="19DA2414" w14:textId="77777777" w:rsidR="0033790D" w:rsidRPr="00770B33" w:rsidRDefault="0033790D" w:rsidP="0033790D">
            <w:pPr>
              <w:pStyle w:val="BodyText2"/>
              <w:jc w:val="both"/>
              <w:rPr>
                <w:rFonts w:asciiTheme="minorHAnsi" w:hAnsiTheme="minorHAnsi"/>
                <w:b/>
                <w:lang w:val="es-EC"/>
              </w:rPr>
            </w:pPr>
          </w:p>
          <w:p w14:paraId="60A6D520" w14:textId="77777777" w:rsidR="0033790D" w:rsidRPr="00770B33" w:rsidRDefault="0033790D" w:rsidP="0033790D">
            <w:pPr>
              <w:pStyle w:val="BodyText2"/>
              <w:jc w:val="both"/>
              <w:rPr>
                <w:rFonts w:asciiTheme="minorHAnsi" w:hAnsiTheme="minorHAnsi"/>
                <w:b/>
                <w:u w:val="single"/>
                <w:lang w:val="es-EC"/>
              </w:rPr>
            </w:pPr>
            <w:r w:rsidRPr="00770B33">
              <w:rPr>
                <w:rFonts w:asciiTheme="minorHAnsi" w:hAnsiTheme="minorHAnsi"/>
                <w:b/>
                <w:u w:val="single"/>
                <w:lang w:val="es-EC"/>
              </w:rPr>
              <w:t>CP Outputs</w:t>
            </w:r>
          </w:p>
          <w:p w14:paraId="7B4B1FDD" w14:textId="77777777" w:rsidR="0033790D" w:rsidRPr="00770B33" w:rsidRDefault="0033790D" w:rsidP="0033790D">
            <w:pPr>
              <w:pStyle w:val="BodyText2"/>
              <w:jc w:val="both"/>
              <w:rPr>
                <w:rFonts w:asciiTheme="minorHAnsi" w:hAnsiTheme="minorHAnsi"/>
                <w:lang w:val="es-EC"/>
              </w:rPr>
            </w:pPr>
            <w:r w:rsidRPr="00770B33">
              <w:rPr>
                <w:rFonts w:asciiTheme="minorHAnsi" w:hAnsiTheme="minorHAnsi"/>
                <w:lang w:val="es-EC"/>
              </w:rPr>
              <w:t xml:space="preserve">El programa de país identifica dos productos para alcanzar el Efecto directo planteado a) el soporte en la formulación de política pública para generar un marco jurídico para la reducción de riesgos, b) el fortalecimiento de capacidades a nivel nacional y local para la gestión de riesgos. </w:t>
            </w:r>
          </w:p>
          <w:p w14:paraId="0C124910" w14:textId="77777777" w:rsidR="0033790D" w:rsidRPr="00770B33" w:rsidRDefault="0033790D" w:rsidP="0033790D">
            <w:pPr>
              <w:pStyle w:val="BodyText2"/>
              <w:jc w:val="both"/>
              <w:rPr>
                <w:rFonts w:asciiTheme="minorHAnsi" w:hAnsiTheme="minorHAnsi"/>
                <w:u w:val="single"/>
                <w:lang w:val="es-EC"/>
              </w:rPr>
            </w:pPr>
          </w:p>
          <w:p w14:paraId="3489B451" w14:textId="77777777" w:rsidR="0033790D" w:rsidRPr="00770B33" w:rsidRDefault="0033790D" w:rsidP="0033790D">
            <w:pPr>
              <w:pStyle w:val="BodyText2"/>
              <w:jc w:val="both"/>
              <w:rPr>
                <w:rFonts w:asciiTheme="minorHAnsi" w:hAnsiTheme="minorHAnsi"/>
                <w:b/>
                <w:u w:val="single"/>
                <w:lang w:val="es-EC"/>
              </w:rPr>
            </w:pPr>
            <w:r w:rsidRPr="00770B33">
              <w:rPr>
                <w:rFonts w:asciiTheme="minorHAnsi" w:hAnsiTheme="minorHAnsi"/>
                <w:b/>
                <w:u w:val="single"/>
                <w:lang w:val="es-EC"/>
              </w:rPr>
              <w:t>Progress and Achievements</w:t>
            </w:r>
          </w:p>
          <w:p w14:paraId="21D76889" w14:textId="77777777" w:rsidR="0033790D" w:rsidRPr="00770B33" w:rsidRDefault="0033790D" w:rsidP="0033790D">
            <w:pPr>
              <w:pStyle w:val="BodyText2"/>
              <w:jc w:val="both"/>
              <w:rPr>
                <w:rFonts w:asciiTheme="minorHAnsi" w:hAnsiTheme="minorHAnsi"/>
                <w:lang w:val="es-EC"/>
              </w:rPr>
            </w:pPr>
          </w:p>
          <w:p w14:paraId="5FD212D4" w14:textId="77777777" w:rsidR="0033790D" w:rsidRPr="00770B33" w:rsidRDefault="0033790D" w:rsidP="0033790D">
            <w:pPr>
              <w:pStyle w:val="BodyText2"/>
              <w:jc w:val="both"/>
              <w:rPr>
                <w:rFonts w:asciiTheme="minorHAnsi" w:hAnsiTheme="minorHAnsi"/>
                <w:lang w:val="es-EC"/>
              </w:rPr>
            </w:pPr>
            <w:r w:rsidRPr="00770B33">
              <w:rPr>
                <w:rFonts w:asciiTheme="minorHAnsi" w:hAnsiTheme="minorHAnsi"/>
                <w:lang w:val="es-EC"/>
              </w:rPr>
              <w:t>El PNUD viene acompañando este esfuerzo, en concordancia con el Marco de Acción de Hyogo, enfocado en varias áreas estratégicas: conocimiento, planificación, prevención y recuperación, aportando al proceso subsidiario de conformación del Sistema Descentralizado de gestión de riesgos.  Cinco son las líneas prioritarias de acción que se han definido, a través de la SGR: 1. Reducción de la vulnerabilidad como prioridad nacional, 2. Gestión e intercambio de información y monitoreo y evaluación de riesgos, 3. Incorporación de la visión de reducción de riesgos en políticas públicas, planes y programas de inversión pública y de desarrollo, 4. Fortalecimiento institucional; 5. Construcción de una cultura de prevención a través del fortalecimiento de las capacidades comunitarias mediante capacitación.</w:t>
            </w:r>
          </w:p>
          <w:p w14:paraId="19293EA9" w14:textId="77777777" w:rsidR="0033790D" w:rsidRPr="00770B33" w:rsidRDefault="0033790D" w:rsidP="0033790D">
            <w:pPr>
              <w:pStyle w:val="BodyText2"/>
              <w:jc w:val="both"/>
              <w:rPr>
                <w:rFonts w:asciiTheme="minorHAnsi" w:hAnsiTheme="minorHAnsi"/>
                <w:lang w:val="es-EC"/>
              </w:rPr>
            </w:pPr>
          </w:p>
          <w:p w14:paraId="5E55A598" w14:textId="77777777" w:rsidR="0033790D" w:rsidRPr="00770B33" w:rsidRDefault="0033790D" w:rsidP="0033790D">
            <w:pPr>
              <w:pStyle w:val="BodyText2"/>
              <w:jc w:val="both"/>
              <w:rPr>
                <w:rFonts w:asciiTheme="minorHAnsi" w:hAnsiTheme="minorHAnsi"/>
                <w:lang w:val="es-EC"/>
              </w:rPr>
            </w:pPr>
            <w:r w:rsidRPr="00770B33">
              <w:rPr>
                <w:rFonts w:asciiTheme="minorHAnsi" w:hAnsiTheme="minorHAnsi"/>
                <w:lang w:val="es-EC"/>
              </w:rPr>
              <w:t xml:space="preserve">Las entidades nacionales que conjuntamente con el PNUD vienen trabajando en este temática son: Secretaría de Gestión de Riesgos, Secretaría Nacional de Planificación y Desarrollo, Banco Ecuatoriano de Desarrollo, Gobiernos Autónomos Descentralizados, Academia (Universidades y Politécnicas) y Organizaciones de la sociedad civil. </w:t>
            </w:r>
          </w:p>
          <w:p w14:paraId="16BEAE02" w14:textId="77777777" w:rsidR="0033790D" w:rsidRPr="00770B33" w:rsidRDefault="0033790D" w:rsidP="0033790D">
            <w:pPr>
              <w:pStyle w:val="BodyText2"/>
              <w:jc w:val="both"/>
              <w:rPr>
                <w:rFonts w:asciiTheme="minorHAnsi" w:hAnsiTheme="minorHAnsi"/>
                <w:lang w:val="es-EC"/>
              </w:rPr>
            </w:pPr>
          </w:p>
          <w:p w14:paraId="2C264AE2" w14:textId="77777777" w:rsidR="0033790D" w:rsidRPr="00770B33" w:rsidRDefault="0033790D" w:rsidP="0033790D">
            <w:pPr>
              <w:pStyle w:val="BodyText2"/>
              <w:jc w:val="both"/>
              <w:rPr>
                <w:rFonts w:asciiTheme="minorHAnsi" w:hAnsiTheme="minorHAnsi"/>
                <w:lang w:val="es-EC"/>
              </w:rPr>
            </w:pPr>
            <w:r w:rsidRPr="00770B33">
              <w:rPr>
                <w:rFonts w:asciiTheme="minorHAnsi" w:hAnsiTheme="minorHAnsi"/>
                <w:lang w:val="es-EC"/>
              </w:rPr>
              <w:t xml:space="preserve">El PNUD enfoca sus esfuerzos en cuatro niveles: uno para establecer pre-condiciones (normativas, estrategias, instrumentos, procedimientos), en concordancia con instrumentos internacionales. Un segundo nivel enfocado en cambios institucionales (a  nivel de políticas públicas), un tercer nivel referido a cambios en prácticas sociales, en mejora de la calidad de vida de las personas y de condiciones ambientales y un cuarto nivel para alcanzar una cultura de prevención y una sociedad más resiliente.  </w:t>
            </w:r>
          </w:p>
          <w:p w14:paraId="541396DE" w14:textId="77777777" w:rsidR="0033790D" w:rsidRPr="00770B33" w:rsidRDefault="0033790D" w:rsidP="0033790D">
            <w:pPr>
              <w:pStyle w:val="BodyText2"/>
              <w:jc w:val="both"/>
              <w:rPr>
                <w:rFonts w:asciiTheme="minorHAnsi" w:hAnsiTheme="minorHAnsi"/>
                <w:lang w:val="es-EC"/>
              </w:rPr>
            </w:pPr>
          </w:p>
          <w:p w14:paraId="0E8FA987" w14:textId="77777777" w:rsidR="0033790D" w:rsidRPr="00770B33" w:rsidRDefault="0033790D" w:rsidP="0033790D">
            <w:pPr>
              <w:pStyle w:val="BodyText2"/>
              <w:jc w:val="both"/>
              <w:rPr>
                <w:rFonts w:asciiTheme="minorHAnsi" w:hAnsiTheme="minorHAnsi"/>
                <w:lang w:val="es-EC"/>
              </w:rPr>
            </w:pPr>
            <w:r w:rsidRPr="00770B33">
              <w:rPr>
                <w:rFonts w:asciiTheme="minorHAnsi" w:hAnsiTheme="minorHAnsi"/>
                <w:lang w:val="es-EC"/>
              </w:rPr>
              <w:lastRenderedPageBreak/>
              <w:t>En este periodo se ha completado el proceso de revisión y análisis de las herramientas de análisis de vulnerabilidad existentes en el Ecuador, se han completado las mejoras emergentes al sistema de información para la gestión de riesgos, se ha completado la calibración e instalación de los equipos hidrometereológicos del SAT Cañar, se ha iniciado la recepción de datos al INAMHI, se ha desarrollado un curso de preparativos para la recuperación posdesastre, y se ha conseguido el documento de evaluación de capacidades para la recuperación posdesastre a la SNGR.</w:t>
            </w:r>
          </w:p>
          <w:p w14:paraId="38676295" w14:textId="77777777" w:rsidR="0033790D" w:rsidRPr="00770B33" w:rsidRDefault="0033790D" w:rsidP="0033790D">
            <w:pPr>
              <w:pStyle w:val="BodyText2"/>
              <w:jc w:val="both"/>
              <w:rPr>
                <w:rFonts w:asciiTheme="minorHAnsi" w:hAnsiTheme="minorHAnsi"/>
                <w:lang w:val="es-EC"/>
              </w:rPr>
            </w:pPr>
          </w:p>
          <w:p w14:paraId="713DACFE" w14:textId="77777777" w:rsidR="0033790D" w:rsidRPr="00770B33" w:rsidRDefault="0033790D" w:rsidP="0033790D">
            <w:pPr>
              <w:pStyle w:val="BodyText2"/>
              <w:jc w:val="both"/>
              <w:rPr>
                <w:rFonts w:asciiTheme="minorHAnsi" w:hAnsiTheme="minorHAnsi"/>
                <w:lang w:val="es-EC"/>
              </w:rPr>
            </w:pPr>
            <w:r w:rsidRPr="00770B33">
              <w:rPr>
                <w:rFonts w:asciiTheme="minorHAnsi" w:hAnsiTheme="minorHAnsi"/>
                <w:lang w:val="es-EC"/>
              </w:rPr>
              <w:t>A Nivel territorial se han concluido 22 análisis de vulnerabilidad, los cuales se encuentran en proceso de edición y revisión de mapas, documentos y gráficos proceso requerido previo a la publicación.</w:t>
            </w:r>
          </w:p>
        </w:tc>
      </w:tr>
      <w:tr w:rsidR="006B20B2" w:rsidRPr="00770B33" w14:paraId="5199CD5E" w14:textId="77777777" w:rsidTr="00D466B4">
        <w:tc>
          <w:tcPr>
            <w:tcW w:w="3060" w:type="dxa"/>
            <w:shd w:val="clear" w:color="auto" w:fill="95B3D7"/>
          </w:tcPr>
          <w:p w14:paraId="501F41FF" w14:textId="77777777" w:rsidR="006B20B2" w:rsidRPr="00770B33" w:rsidRDefault="006B20B2" w:rsidP="00D466B4">
            <w:pPr>
              <w:rPr>
                <w:rFonts w:asciiTheme="minorHAnsi" w:hAnsiTheme="minorHAnsi"/>
                <w:sz w:val="20"/>
                <w:lang w:eastAsia="es-ES"/>
              </w:rPr>
            </w:pPr>
            <w:r w:rsidRPr="00770B33">
              <w:rPr>
                <w:rFonts w:asciiTheme="minorHAnsi" w:hAnsiTheme="minorHAnsi"/>
                <w:sz w:val="20"/>
                <w:lang w:eastAsia="es-ES"/>
              </w:rPr>
              <w:lastRenderedPageBreak/>
              <w:t>307 Policies and programs for development and human security incorporate a focus on conflict prevention.</w:t>
            </w:r>
          </w:p>
          <w:p w14:paraId="5A33C6CD" w14:textId="77777777" w:rsidR="006B20B2" w:rsidRPr="00770B33" w:rsidRDefault="006B20B2" w:rsidP="00D466B4">
            <w:pPr>
              <w:pStyle w:val="BodyText2"/>
              <w:rPr>
                <w:rFonts w:asciiTheme="minorHAnsi" w:hAnsiTheme="minorHAnsi"/>
                <w:b/>
              </w:rPr>
            </w:pPr>
          </w:p>
        </w:tc>
        <w:tc>
          <w:tcPr>
            <w:tcW w:w="1530" w:type="dxa"/>
            <w:gridSpan w:val="2"/>
            <w:shd w:val="clear" w:color="auto" w:fill="auto"/>
          </w:tcPr>
          <w:p w14:paraId="0F5E8749" w14:textId="77777777" w:rsidR="006B20B2" w:rsidRPr="00770B33" w:rsidRDefault="006B20B2" w:rsidP="00D466B4">
            <w:pPr>
              <w:pStyle w:val="BodyText2"/>
              <w:rPr>
                <w:rFonts w:asciiTheme="minorHAnsi" w:hAnsiTheme="minorHAnsi"/>
              </w:rPr>
            </w:pPr>
            <w:r w:rsidRPr="00770B33">
              <w:rPr>
                <w:rFonts w:asciiTheme="minorHAnsi" w:hAnsiTheme="minorHAnsi"/>
              </w:rPr>
              <w:t>STPE 2012 22m USD; 3% of ministerial budgets geared towards NBZ;</w:t>
            </w:r>
          </w:p>
          <w:p w14:paraId="3878A2B5" w14:textId="77777777" w:rsidR="006B20B2" w:rsidRPr="00770B33" w:rsidRDefault="006B20B2" w:rsidP="00D466B4">
            <w:pPr>
              <w:pStyle w:val="BodyText2"/>
              <w:rPr>
                <w:rFonts w:asciiTheme="minorHAnsi" w:hAnsiTheme="minorHAnsi"/>
              </w:rPr>
            </w:pPr>
            <w:r w:rsidRPr="00770B33">
              <w:rPr>
                <w:rFonts w:asciiTheme="minorHAnsi" w:hAnsiTheme="minorHAnsi"/>
              </w:rPr>
              <w:t>Human Security Programme 2m USD (2013-2016)</w:t>
            </w:r>
          </w:p>
        </w:tc>
        <w:tc>
          <w:tcPr>
            <w:tcW w:w="3960" w:type="dxa"/>
            <w:tcBorders>
              <w:left w:val="single" w:sz="4" w:space="0" w:color="auto"/>
            </w:tcBorders>
          </w:tcPr>
          <w:p w14:paraId="0706D386" w14:textId="77777777" w:rsidR="006B20B2" w:rsidRPr="00770B33" w:rsidRDefault="006B20B2" w:rsidP="00D466B4">
            <w:pPr>
              <w:pStyle w:val="BodyText2"/>
              <w:rPr>
                <w:rFonts w:asciiTheme="minorHAnsi" w:hAnsiTheme="minorHAnsi"/>
              </w:rPr>
            </w:pPr>
            <w:r w:rsidRPr="00770B33">
              <w:rPr>
                <w:rFonts w:asciiTheme="minorHAnsi" w:hAnsiTheme="minorHAnsi"/>
                <w:lang w:eastAsia="es-ES"/>
              </w:rPr>
              <w:t>Number of policies, plans and programs that incorporate a focus on conflict prevention, human rights and gender.</w:t>
            </w:r>
          </w:p>
        </w:tc>
        <w:tc>
          <w:tcPr>
            <w:tcW w:w="5490" w:type="dxa"/>
            <w:shd w:val="clear" w:color="auto" w:fill="auto"/>
          </w:tcPr>
          <w:p w14:paraId="2BED6005" w14:textId="77777777" w:rsidR="006B20B2" w:rsidRPr="00770B33" w:rsidRDefault="006B20B2" w:rsidP="00D466B4">
            <w:pPr>
              <w:pStyle w:val="BodyText2"/>
              <w:rPr>
                <w:rFonts w:asciiTheme="minorHAnsi" w:hAnsiTheme="minorHAnsi"/>
                <w:lang w:eastAsia="es-ES"/>
              </w:rPr>
            </w:pPr>
            <w:r w:rsidRPr="00770B33">
              <w:rPr>
                <w:rFonts w:asciiTheme="minorHAnsi" w:hAnsiTheme="minorHAnsi"/>
                <w:lang w:eastAsia="es-ES"/>
              </w:rPr>
              <w:t>One joint program on peace and human security adopted by 2013; One directional plan for Human Rights and Guarantees, One plan on electoral conflict prevention, One Human Security Programme adopted by 2012.</w:t>
            </w:r>
          </w:p>
          <w:p w14:paraId="4C897D54" w14:textId="77777777" w:rsidR="006B20B2" w:rsidRPr="00770B33" w:rsidRDefault="006B20B2" w:rsidP="00D466B4">
            <w:pPr>
              <w:pStyle w:val="BodyText2"/>
              <w:rPr>
                <w:rFonts w:asciiTheme="minorHAnsi" w:hAnsiTheme="minorHAnsi"/>
                <w:lang w:eastAsia="es-ES"/>
              </w:rPr>
            </w:pPr>
          </w:p>
        </w:tc>
      </w:tr>
      <w:tr w:rsidR="006B20B2" w:rsidRPr="00770B33" w14:paraId="0E90D1AF" w14:textId="77777777" w:rsidTr="00D466B4">
        <w:tc>
          <w:tcPr>
            <w:tcW w:w="14040" w:type="dxa"/>
            <w:gridSpan w:val="5"/>
          </w:tcPr>
          <w:p w14:paraId="14685E6D" w14:textId="77777777" w:rsidR="006B20B2" w:rsidRPr="00770B33" w:rsidRDefault="006B20B2" w:rsidP="006B20B2">
            <w:pPr>
              <w:pStyle w:val="BodyText2"/>
              <w:jc w:val="both"/>
              <w:rPr>
                <w:rFonts w:asciiTheme="minorHAnsi" w:hAnsiTheme="minorHAnsi"/>
                <w:b/>
              </w:rPr>
            </w:pPr>
            <w:r w:rsidRPr="00770B33">
              <w:rPr>
                <w:rFonts w:asciiTheme="minorHAnsi" w:hAnsiTheme="minorHAnsi"/>
                <w:b/>
              </w:rPr>
              <w:t>UNDP Contribution:</w:t>
            </w:r>
          </w:p>
          <w:p w14:paraId="02FB35D2" w14:textId="77777777" w:rsidR="006B20B2" w:rsidRPr="00770B33" w:rsidRDefault="006B20B2" w:rsidP="006B20B2">
            <w:pPr>
              <w:pStyle w:val="BodyText2"/>
              <w:jc w:val="both"/>
              <w:rPr>
                <w:rFonts w:asciiTheme="minorHAnsi" w:hAnsiTheme="minorHAnsi"/>
                <w:b/>
              </w:rPr>
            </w:pPr>
          </w:p>
          <w:p w14:paraId="7A4C71EE" w14:textId="77777777" w:rsidR="006B20B2" w:rsidRPr="00770B33" w:rsidRDefault="006B20B2" w:rsidP="006B20B2">
            <w:pPr>
              <w:pStyle w:val="BodyText2"/>
              <w:jc w:val="both"/>
              <w:rPr>
                <w:rFonts w:asciiTheme="minorHAnsi" w:hAnsiTheme="minorHAnsi"/>
              </w:rPr>
            </w:pPr>
            <w:r w:rsidRPr="00770B33">
              <w:rPr>
                <w:rFonts w:asciiTheme="minorHAnsi" w:hAnsiTheme="minorHAnsi"/>
                <w:u w:val="single"/>
              </w:rPr>
              <w:t>CP Outputs:</w:t>
            </w:r>
            <w:r w:rsidRPr="00770B33">
              <w:rPr>
                <w:rFonts w:asciiTheme="minorHAnsi" w:hAnsiTheme="minorHAnsi"/>
              </w:rPr>
              <w:t xml:space="preserve"> UNDP Ecuador identified six major outputs to support the Government in achieving this outcome: (a) Technical support of the Technical Secretariat of Plan Ecuador (STPE), (b) Development and consolidation of territorial development and conflict prevention plans, (c) Contribution to the establishment of a legal aid service for victims of gender-based violence (GBV), (d) Cooperation Agreement between the UN and the Ministry of Defense to provide training in the areas of human rights, conflict prevention, gender and human security in the NBZ , (e) Contribution to structuring the anti-trafficking unit and creating seven Steering Committees, (f) Proposal of a joint program on human security in the NBZ and promotion of human security concept.</w:t>
            </w:r>
          </w:p>
          <w:p w14:paraId="61BBC3F4" w14:textId="77777777" w:rsidR="006B20B2" w:rsidRPr="00770B33" w:rsidRDefault="006B20B2" w:rsidP="006B20B2">
            <w:pPr>
              <w:pStyle w:val="BodyText2"/>
              <w:jc w:val="both"/>
              <w:rPr>
                <w:rFonts w:asciiTheme="minorHAnsi" w:hAnsiTheme="minorHAnsi"/>
                <w:u w:val="single"/>
              </w:rPr>
            </w:pPr>
          </w:p>
          <w:p w14:paraId="7B594838" w14:textId="77777777" w:rsidR="006B20B2" w:rsidRPr="00770B33" w:rsidRDefault="006B20B2" w:rsidP="006B20B2">
            <w:pPr>
              <w:pStyle w:val="BodyText2"/>
              <w:jc w:val="both"/>
              <w:rPr>
                <w:rFonts w:asciiTheme="minorHAnsi" w:hAnsiTheme="minorHAnsi"/>
                <w:u w:val="single"/>
              </w:rPr>
            </w:pPr>
            <w:r w:rsidRPr="00770B33">
              <w:rPr>
                <w:rFonts w:asciiTheme="minorHAnsi" w:hAnsiTheme="minorHAnsi"/>
                <w:u w:val="single"/>
              </w:rPr>
              <w:t>Progress and Achievements</w:t>
            </w:r>
          </w:p>
          <w:p w14:paraId="2B3491B8" w14:textId="77777777" w:rsidR="006B20B2" w:rsidRPr="00770B33" w:rsidRDefault="006B20B2" w:rsidP="006B20B2">
            <w:pPr>
              <w:pStyle w:val="BodyText2"/>
              <w:jc w:val="both"/>
              <w:rPr>
                <w:rFonts w:asciiTheme="minorHAnsi" w:hAnsiTheme="minorHAnsi"/>
                <w:u w:val="single"/>
              </w:rPr>
            </w:pPr>
          </w:p>
          <w:p w14:paraId="1AC6FF9C" w14:textId="77777777" w:rsidR="006B20B2" w:rsidRPr="00770B33" w:rsidRDefault="006B20B2" w:rsidP="006B20B2">
            <w:pPr>
              <w:jc w:val="both"/>
              <w:rPr>
                <w:rFonts w:asciiTheme="minorHAnsi" w:hAnsiTheme="minorHAnsi"/>
                <w:sz w:val="20"/>
              </w:rPr>
            </w:pPr>
            <w:r w:rsidRPr="00770B33">
              <w:rPr>
                <w:rFonts w:asciiTheme="minorHAnsi" w:hAnsiTheme="minorHAnsi"/>
                <w:sz w:val="20"/>
              </w:rPr>
              <w:t xml:space="preserve">Government efforts were made to reduce insecurity and conflicts in the Northern Border Zone (NBZ) and support the Technical Secretariat of Plan Ecuador (STPE), which forms part of the National Secretariat for Planning and Development (SENPLADES), in the implementation of the human security agenda. Since the events of September 30, 2010 and the Referendum in May 2011, </w:t>
            </w:r>
            <w:r w:rsidRPr="00770B33">
              <w:rPr>
                <w:rFonts w:asciiTheme="minorHAnsi" w:hAnsiTheme="minorHAnsi"/>
                <w:b/>
                <w:sz w:val="20"/>
              </w:rPr>
              <w:t>citizen security</w:t>
            </w:r>
            <w:r w:rsidRPr="00770B33">
              <w:rPr>
                <w:rFonts w:asciiTheme="minorHAnsi" w:hAnsiTheme="minorHAnsi"/>
                <w:sz w:val="20"/>
              </w:rPr>
              <w:t xml:space="preserve"> issues assume greater importance and the NBZ is identified as one of the key focus areas of intervention. UNDP has supported the STPE since its establishment and ensured the continuity of its joint work with the UN system in order to guarantee an efficient collaboration in the NBZ, despite frequent transitions due to staff rotation within the STPE. Following the request of the President of Ecuador to the UN Secretary General, a commission was sent to investigate the events of September 30, 2010 and provide inputs for the mission of the DPA and related discussions with government officials, political parties, state bodies and civil society actors.</w:t>
            </w:r>
          </w:p>
          <w:p w14:paraId="5F48CD40" w14:textId="77777777" w:rsidR="006B20B2" w:rsidRPr="00770B33" w:rsidRDefault="006B20B2" w:rsidP="006B20B2">
            <w:pPr>
              <w:jc w:val="both"/>
              <w:rPr>
                <w:rFonts w:asciiTheme="minorHAnsi" w:hAnsiTheme="minorHAnsi"/>
                <w:sz w:val="20"/>
              </w:rPr>
            </w:pPr>
          </w:p>
          <w:p w14:paraId="06F6F854" w14:textId="77777777" w:rsidR="006B20B2" w:rsidRPr="00770B33" w:rsidRDefault="006B20B2" w:rsidP="006B20B2">
            <w:pPr>
              <w:jc w:val="both"/>
              <w:rPr>
                <w:rFonts w:asciiTheme="minorHAnsi" w:hAnsiTheme="minorHAnsi"/>
                <w:sz w:val="20"/>
              </w:rPr>
            </w:pPr>
            <w:r w:rsidRPr="00770B33">
              <w:rPr>
                <w:rFonts w:asciiTheme="minorHAnsi" w:hAnsiTheme="minorHAnsi"/>
                <w:sz w:val="20"/>
              </w:rPr>
              <w:t xml:space="preserve">In the area of </w:t>
            </w:r>
            <w:r w:rsidRPr="00770B33">
              <w:rPr>
                <w:rFonts w:asciiTheme="minorHAnsi" w:hAnsiTheme="minorHAnsi" w:cs="Cambria Math"/>
                <w:sz w:val="20"/>
              </w:rPr>
              <w:t>​​</w:t>
            </w:r>
            <w:r w:rsidRPr="00770B33">
              <w:rPr>
                <w:rFonts w:asciiTheme="minorHAnsi" w:hAnsiTheme="minorHAnsi"/>
                <w:b/>
                <w:sz w:val="20"/>
              </w:rPr>
              <w:t>conflict prevention</w:t>
            </w:r>
            <w:r w:rsidRPr="00770B33">
              <w:rPr>
                <w:rFonts w:asciiTheme="minorHAnsi" w:hAnsiTheme="minorHAnsi"/>
                <w:sz w:val="20"/>
              </w:rPr>
              <w:t>, UNDP has strengthened the capabilities of the UNCT and the STPE planning with a focus on human security and conflict prevention.</w:t>
            </w:r>
          </w:p>
          <w:p w14:paraId="4BA16D74" w14:textId="77777777" w:rsidR="006B20B2" w:rsidRPr="00770B33" w:rsidRDefault="006B20B2" w:rsidP="006B20B2">
            <w:pPr>
              <w:jc w:val="both"/>
              <w:rPr>
                <w:rFonts w:asciiTheme="minorHAnsi" w:hAnsiTheme="minorHAnsi"/>
                <w:sz w:val="20"/>
              </w:rPr>
            </w:pPr>
            <w:r w:rsidRPr="00770B33">
              <w:rPr>
                <w:rFonts w:asciiTheme="minorHAnsi" w:hAnsiTheme="minorHAnsi"/>
                <w:sz w:val="20"/>
              </w:rPr>
              <w:t xml:space="preserve">In more detail, UNDP, in coordination with the Ministry of Interior and the Ministry Coordinator of Policies, has facilitated participatory diagnosis with governors and </w:t>
            </w:r>
            <w:r w:rsidRPr="00770B33">
              <w:rPr>
                <w:rFonts w:asciiTheme="minorHAnsi" w:hAnsiTheme="minorHAnsi"/>
                <w:sz w:val="20"/>
              </w:rPr>
              <w:lastRenderedPageBreak/>
              <w:t xml:space="preserve">police commanders from the NBZ in order to determine consolidation needs in the implementation of the National Plan for Good Living (“Buen Vivir”) and the prevention of conflicts. UNDP has provided capacity building to the Conflict Management Division through technical assistance and training in conflict analysis and prevention. The facilitation of inter-institutional coordination has allowed the design and implementation of a conflict prevention plan, the design of strategies for conflict transformation in the NBZ and the improvement of knowledge about the dynamics of intercultural and land conflicts. UNDP has developed a pilot project in the province of Carchi, which reduced the levels of tension between recipient and host populations in the access to water. Within the Esmeraldas Dialog Group, UNDP has facilitated the process of agreement on priorities for the province’s territorial development and funded legal and territorial development plans. </w:t>
            </w:r>
          </w:p>
          <w:p w14:paraId="0AF0EB29" w14:textId="77777777" w:rsidR="006B20B2" w:rsidRPr="00770B33" w:rsidRDefault="006B20B2" w:rsidP="006B20B2">
            <w:pPr>
              <w:jc w:val="both"/>
              <w:rPr>
                <w:rFonts w:asciiTheme="minorHAnsi" w:hAnsiTheme="minorHAnsi"/>
                <w:sz w:val="20"/>
              </w:rPr>
            </w:pPr>
          </w:p>
          <w:p w14:paraId="577A4C93" w14:textId="77777777" w:rsidR="006B20B2" w:rsidRPr="00770B33" w:rsidRDefault="006B20B2" w:rsidP="006B20B2">
            <w:pPr>
              <w:jc w:val="both"/>
              <w:rPr>
                <w:rFonts w:asciiTheme="minorHAnsi" w:hAnsiTheme="minorHAnsi"/>
                <w:sz w:val="20"/>
              </w:rPr>
            </w:pPr>
            <w:r w:rsidRPr="00770B33">
              <w:rPr>
                <w:rFonts w:asciiTheme="minorHAnsi" w:hAnsiTheme="minorHAnsi"/>
                <w:sz w:val="20"/>
              </w:rPr>
              <w:t xml:space="preserve">In the field of prevention of </w:t>
            </w:r>
            <w:r w:rsidRPr="00770B33">
              <w:rPr>
                <w:rFonts w:asciiTheme="minorHAnsi" w:hAnsiTheme="minorHAnsi"/>
                <w:b/>
                <w:sz w:val="20"/>
              </w:rPr>
              <w:t>gender-based violence (GBV)</w:t>
            </w:r>
            <w:r w:rsidRPr="00770B33">
              <w:rPr>
                <w:rFonts w:asciiTheme="minorHAnsi" w:hAnsiTheme="minorHAnsi"/>
                <w:sz w:val="20"/>
              </w:rPr>
              <w:t xml:space="preserve">, UNDP, in collaboration with UNHCR and UN Women, has provided technical support to the Secretariat Against Violence Against Women in the design of a route of complaints for GBV victims. Following the recommendations by UNDP, the Ministry of Justice and the STPE have established a legal aid service for victims of violence in Sucumbíos. Furthermore, UNDP, in collaboration with OHCHR, has led the cooperation with the Ministry of Defense in the areas of protection of </w:t>
            </w:r>
            <w:r w:rsidRPr="00770B33">
              <w:rPr>
                <w:rFonts w:asciiTheme="minorHAnsi" w:hAnsiTheme="minorHAnsi"/>
                <w:b/>
                <w:sz w:val="20"/>
              </w:rPr>
              <w:t>human rights</w:t>
            </w:r>
            <w:r w:rsidRPr="00770B33">
              <w:rPr>
                <w:rFonts w:asciiTheme="minorHAnsi" w:hAnsiTheme="minorHAnsi"/>
                <w:sz w:val="20"/>
              </w:rPr>
              <w:t xml:space="preserve"> and promotion of gender aspects. A Cooperation Agreement was signed between the UN and the Ministry of Defense to provide training in the areas of human rights, conflict prevention, gender and human security in the NBZ, which contributed to the strengthening of civil-military relations. At the request of the STPE, UNDP has funded a program of gender sensitizing, culture of peace and primary education, which has benefited 150 women from remote areas in Sucumbíos. UNDP has further supported the Sub-Secretariat of Guarantees and Rights in structuring the </w:t>
            </w:r>
            <w:r w:rsidRPr="00770B33">
              <w:rPr>
                <w:rFonts w:asciiTheme="minorHAnsi" w:hAnsiTheme="minorHAnsi"/>
                <w:b/>
                <w:sz w:val="20"/>
              </w:rPr>
              <w:t>anti-trafficking</w:t>
            </w:r>
            <w:r w:rsidRPr="00770B33">
              <w:rPr>
                <w:rFonts w:asciiTheme="minorHAnsi" w:hAnsiTheme="minorHAnsi"/>
                <w:sz w:val="20"/>
              </w:rPr>
              <w:t xml:space="preserve"> unit, updating the anti-trafficking plan, designing a management model for its local implementation and creating seven Steering Committees. </w:t>
            </w:r>
          </w:p>
          <w:p w14:paraId="09D88497" w14:textId="77777777" w:rsidR="006B20B2" w:rsidRPr="00770B33" w:rsidRDefault="006B20B2" w:rsidP="006B20B2">
            <w:pPr>
              <w:jc w:val="both"/>
              <w:rPr>
                <w:rFonts w:asciiTheme="minorHAnsi" w:hAnsiTheme="minorHAnsi"/>
                <w:sz w:val="20"/>
              </w:rPr>
            </w:pPr>
          </w:p>
          <w:p w14:paraId="437C31D7" w14:textId="64C8F27A" w:rsidR="006B20B2" w:rsidRPr="00770B33" w:rsidRDefault="006B20B2" w:rsidP="006B20B2">
            <w:pPr>
              <w:jc w:val="both"/>
              <w:rPr>
                <w:rFonts w:asciiTheme="minorHAnsi" w:hAnsiTheme="minorHAnsi"/>
                <w:sz w:val="20"/>
              </w:rPr>
            </w:pPr>
            <w:r w:rsidRPr="00770B33">
              <w:rPr>
                <w:rFonts w:asciiTheme="minorHAnsi" w:hAnsiTheme="minorHAnsi"/>
                <w:sz w:val="20"/>
              </w:rPr>
              <w:t xml:space="preserve">In the area of </w:t>
            </w:r>
            <w:r w:rsidRPr="00770B33">
              <w:rPr>
                <w:rFonts w:asciiTheme="minorHAnsi" w:hAnsiTheme="minorHAnsi"/>
                <w:b/>
                <w:sz w:val="20"/>
              </w:rPr>
              <w:t>human security</w:t>
            </w:r>
            <w:r w:rsidRPr="00770B33">
              <w:rPr>
                <w:rFonts w:asciiTheme="minorHAnsi" w:hAnsiTheme="minorHAnsi"/>
                <w:sz w:val="20"/>
              </w:rPr>
              <w:t xml:space="preserve">, UNDP led the proposal of a joint program to the UNTFHS, which was approved in the amount of 2 million USD in order to support the Government in strengthening local capacities for peace and development through a human security approach in the NBZ. Due to the absorption of the programme’s counterpart STPE by SENPLADES, bureaucratic obstacles have postponed the start of the programme, which is foreseen in the second half of 2014. </w:t>
            </w:r>
          </w:p>
        </w:tc>
      </w:tr>
      <w:tr w:rsidR="00221E92" w:rsidRPr="009571D0" w14:paraId="33634565" w14:textId="77777777" w:rsidTr="009E7526">
        <w:tc>
          <w:tcPr>
            <w:tcW w:w="14040" w:type="dxa"/>
            <w:gridSpan w:val="5"/>
          </w:tcPr>
          <w:p w14:paraId="269958F2" w14:textId="77777777" w:rsidR="00221E92" w:rsidRPr="009571D0" w:rsidRDefault="00221E92" w:rsidP="009571D0">
            <w:pPr>
              <w:jc w:val="both"/>
              <w:rPr>
                <w:rFonts w:asciiTheme="minorHAnsi" w:hAnsiTheme="minorHAnsi"/>
                <w:sz w:val="20"/>
                <w:u w:val="single"/>
              </w:rPr>
            </w:pPr>
            <w:r w:rsidRPr="009571D0">
              <w:rPr>
                <w:rFonts w:asciiTheme="minorHAnsi" w:hAnsiTheme="minorHAnsi"/>
                <w:sz w:val="20"/>
                <w:u w:val="single"/>
              </w:rPr>
              <w:lastRenderedPageBreak/>
              <w:t>Summary of evaluation findings (e.g. from outcome and project evaluations, UNDAF reviews, and other assessments)</w:t>
            </w:r>
          </w:p>
          <w:p w14:paraId="6E748F69" w14:textId="1E33A35C" w:rsidR="00221E92" w:rsidRPr="009571D0" w:rsidRDefault="009571D0" w:rsidP="009571D0">
            <w:pPr>
              <w:jc w:val="both"/>
              <w:rPr>
                <w:rFonts w:asciiTheme="minorHAnsi" w:hAnsiTheme="minorHAnsi" w:cs="Calibri"/>
                <w:color w:val="000000"/>
                <w:sz w:val="20"/>
                <w:lang w:val="es-EC"/>
              </w:rPr>
            </w:pPr>
            <w:r w:rsidRPr="009571D0">
              <w:rPr>
                <w:rFonts w:asciiTheme="minorHAnsi" w:hAnsiTheme="minorHAnsi" w:cs="Calibri"/>
                <w:sz w:val="20"/>
                <w:lang w:val="es-EC"/>
              </w:rPr>
              <w:t>La evaluación del Efecto 303 del Área de Ambiente, Energía y Gestión de Riesgos</w:t>
            </w:r>
            <w:r w:rsidRPr="009571D0">
              <w:rPr>
                <w:rFonts w:asciiTheme="minorHAnsi" w:hAnsiTheme="minorHAnsi" w:cs="Calibri"/>
                <w:color w:val="000000"/>
                <w:sz w:val="20"/>
                <w:lang w:val="es-EC"/>
              </w:rPr>
              <w:t xml:space="preserve"> (AE&amp;GR) del Documento del Programa para el País del PNUD Ecuador</w:t>
            </w:r>
            <w:r w:rsidRPr="009571D0">
              <w:rPr>
                <w:rFonts w:asciiTheme="minorHAnsi" w:hAnsiTheme="minorHAnsi"/>
                <w:sz w:val="20"/>
                <w:lang w:val="es-EC"/>
              </w:rPr>
              <w:t xml:space="preserve"> </w:t>
            </w:r>
            <w:r w:rsidRPr="009571D0">
              <w:rPr>
                <w:rFonts w:asciiTheme="minorHAnsi" w:hAnsiTheme="minorHAnsi" w:cs="Calibri"/>
                <w:color w:val="000000"/>
                <w:sz w:val="20"/>
                <w:lang w:val="es-EC"/>
              </w:rPr>
              <w:t>tuvo como conclusión general que en el ciclo de programación analizado se llegaron a resultados que coadyuvaron a una consecución del Efecto 303 según el marco de resultados. Los cambios que se generaron incluyen la institucionalización y la generación de capacidades (a diversos niveles y de diversos actores) que incorporan cuestiones de uso sustentable de la biodiversidad y el ordenamiento ambiental a procesos de desarrollo social.</w:t>
            </w:r>
          </w:p>
          <w:p w14:paraId="3E0EB5EC" w14:textId="77777777" w:rsidR="009571D0" w:rsidRPr="009571D0" w:rsidRDefault="009571D0" w:rsidP="009571D0">
            <w:pPr>
              <w:jc w:val="both"/>
              <w:rPr>
                <w:rFonts w:asciiTheme="minorHAnsi" w:hAnsiTheme="minorHAnsi"/>
                <w:sz w:val="20"/>
                <w:lang w:val="es-EC"/>
              </w:rPr>
            </w:pPr>
          </w:p>
          <w:p w14:paraId="5A7494C2" w14:textId="319B8403" w:rsidR="009571D0" w:rsidRPr="009571D0" w:rsidRDefault="00221E92" w:rsidP="009571D0">
            <w:pPr>
              <w:autoSpaceDE w:val="0"/>
              <w:autoSpaceDN w:val="0"/>
              <w:adjustRightInd w:val="0"/>
              <w:jc w:val="both"/>
              <w:rPr>
                <w:rFonts w:asciiTheme="minorHAnsi" w:hAnsiTheme="minorHAnsi" w:cs="Calibri"/>
                <w:color w:val="000000"/>
                <w:sz w:val="20"/>
                <w:lang w:val="es-EC"/>
              </w:rPr>
            </w:pPr>
            <w:r w:rsidRPr="009571D0">
              <w:rPr>
                <w:rFonts w:asciiTheme="minorHAnsi" w:hAnsiTheme="minorHAnsi"/>
                <w:sz w:val="20"/>
                <w:u w:val="single"/>
                <w:lang w:val="es-EC"/>
              </w:rPr>
              <w:t>Key Achievements</w:t>
            </w:r>
            <w:r w:rsidRPr="009571D0">
              <w:rPr>
                <w:rFonts w:asciiTheme="minorHAnsi" w:hAnsiTheme="minorHAnsi"/>
                <w:sz w:val="20"/>
                <w:lang w:val="es-EC"/>
              </w:rPr>
              <w:t>:</w:t>
            </w:r>
            <w:r w:rsidR="009571D0" w:rsidRPr="009571D0">
              <w:rPr>
                <w:rFonts w:asciiTheme="minorHAnsi" w:hAnsiTheme="minorHAnsi"/>
                <w:sz w:val="20"/>
                <w:lang w:val="es-EC"/>
              </w:rPr>
              <w:t xml:space="preserve"> </w:t>
            </w:r>
            <w:r w:rsidR="009571D0" w:rsidRPr="009571D0">
              <w:rPr>
                <w:rFonts w:asciiTheme="minorHAnsi" w:hAnsiTheme="minorHAnsi" w:cs="Calibri"/>
                <w:color w:val="000000"/>
                <w:sz w:val="20"/>
                <w:lang w:val="es-EC"/>
              </w:rPr>
              <w:t xml:space="preserve">En lo referente a hallazgos se encontró que el Efecto era altamente pertinente en relación con las necesidades institucionales y de capacidades presentes en el Ecuador en cuanto a la incorporación de variables de biodiversidad y ordenamiento medioambiental en los procesos de desarrollo. En lo referente a eficacia, la evaluación reveló que las intervenciones fueron estratégicamente influyentes y fortalecieron las capacidades nacionales, locales y de comunidades para enfrentar aspectos de ordenamiento ambiental y uso sostenible de la biodiversidad en un contexto de desarrollo social. A nivel de efecto, este fortalecimiento institucional se reflejó en las contribuciones al Efecto a través de las acciones, actividades, productos (tales como generación de sistemas de información, generación de metas de manejo estratégico de la biodiversidad, generación de planes de manejo y estrategias financieras para el sustento de áreas protegidas) que desde el gobierno ecuatoriano se vinieron desarrollando y/o implementando con el apoyo del Área y con el soporte de los proyectos que hacen al Efecto. </w:t>
            </w:r>
          </w:p>
          <w:p w14:paraId="08AE9786" w14:textId="6C32778E" w:rsidR="00221E92" w:rsidRPr="009571D0" w:rsidRDefault="00221E92" w:rsidP="009571D0">
            <w:pPr>
              <w:jc w:val="both"/>
              <w:rPr>
                <w:rFonts w:asciiTheme="minorHAnsi" w:hAnsiTheme="minorHAnsi"/>
                <w:sz w:val="20"/>
                <w:lang w:val="es-EC"/>
              </w:rPr>
            </w:pPr>
          </w:p>
          <w:p w14:paraId="2C34599F" w14:textId="77777777" w:rsidR="00E4778A" w:rsidRDefault="00221E92" w:rsidP="009571D0">
            <w:pPr>
              <w:autoSpaceDE w:val="0"/>
              <w:autoSpaceDN w:val="0"/>
              <w:adjustRightInd w:val="0"/>
              <w:jc w:val="both"/>
              <w:rPr>
                <w:rFonts w:asciiTheme="minorHAnsi" w:hAnsiTheme="minorHAnsi" w:cs="Calibri"/>
                <w:sz w:val="20"/>
                <w:lang w:val="es-EC"/>
              </w:rPr>
            </w:pPr>
            <w:r w:rsidRPr="009571D0">
              <w:rPr>
                <w:rFonts w:asciiTheme="minorHAnsi" w:hAnsiTheme="minorHAnsi"/>
                <w:sz w:val="20"/>
                <w:u w:val="single"/>
                <w:lang w:val="es-EC"/>
              </w:rPr>
              <w:t>Major Lessons Learnt</w:t>
            </w:r>
            <w:r w:rsidRPr="009571D0">
              <w:rPr>
                <w:rFonts w:asciiTheme="minorHAnsi" w:hAnsiTheme="minorHAnsi"/>
                <w:sz w:val="20"/>
                <w:lang w:val="es-EC"/>
              </w:rPr>
              <w:t>:</w:t>
            </w:r>
            <w:r w:rsidR="009571D0" w:rsidRPr="009571D0">
              <w:rPr>
                <w:rFonts w:asciiTheme="minorHAnsi" w:hAnsiTheme="minorHAnsi"/>
                <w:sz w:val="20"/>
                <w:lang w:val="es-EC"/>
              </w:rPr>
              <w:t xml:space="preserve"> </w:t>
            </w:r>
            <w:r w:rsidR="009571D0" w:rsidRPr="009571D0">
              <w:rPr>
                <w:rFonts w:asciiTheme="minorHAnsi" w:hAnsiTheme="minorHAnsi" w:cs="Calibri"/>
                <w:sz w:val="20"/>
                <w:lang w:val="es-EC"/>
              </w:rPr>
              <w:t>En cuanto a lecciones aprendidas  podemos destacar las siguientes:</w:t>
            </w:r>
          </w:p>
          <w:p w14:paraId="0A0F4369" w14:textId="6F5EF809" w:rsidR="009571D0" w:rsidRPr="009571D0" w:rsidRDefault="009571D0" w:rsidP="00E4778A">
            <w:pPr>
              <w:numPr>
                <w:ilvl w:val="0"/>
                <w:numId w:val="20"/>
              </w:numPr>
              <w:autoSpaceDE w:val="0"/>
              <w:autoSpaceDN w:val="0"/>
              <w:adjustRightInd w:val="0"/>
              <w:jc w:val="both"/>
              <w:rPr>
                <w:rFonts w:asciiTheme="minorHAnsi" w:hAnsiTheme="minorHAnsi" w:cs="Calibri"/>
                <w:sz w:val="20"/>
                <w:lang w:val="es-EC"/>
              </w:rPr>
            </w:pPr>
            <w:r w:rsidRPr="009571D0">
              <w:rPr>
                <w:rFonts w:asciiTheme="minorHAnsi" w:hAnsiTheme="minorHAnsi" w:cs="Calibri"/>
                <w:sz w:val="20"/>
                <w:lang w:val="es-EC"/>
              </w:rPr>
              <w:t>El énfasis de algunos proyectos en aspectos productivos en relación con los proyectos ambientales y de diversidad biológica (interconectando la producción, el uso sustentable, y la conservación) es un factor de éxito y sostenibilidad de los proyectos, y por ende del Efecto.</w:t>
            </w:r>
          </w:p>
          <w:p w14:paraId="0699CC2B" w14:textId="5E2C17C3" w:rsidR="009571D0" w:rsidRPr="009571D0" w:rsidRDefault="009571D0" w:rsidP="00E4778A">
            <w:pPr>
              <w:numPr>
                <w:ilvl w:val="0"/>
                <w:numId w:val="20"/>
              </w:numPr>
              <w:autoSpaceDE w:val="0"/>
              <w:autoSpaceDN w:val="0"/>
              <w:adjustRightInd w:val="0"/>
              <w:jc w:val="both"/>
              <w:rPr>
                <w:rFonts w:asciiTheme="minorHAnsi" w:hAnsiTheme="minorHAnsi" w:cs="Calibri"/>
                <w:sz w:val="20"/>
                <w:lang w:val="es-EC"/>
              </w:rPr>
            </w:pPr>
            <w:r w:rsidRPr="009571D0">
              <w:rPr>
                <w:rFonts w:asciiTheme="minorHAnsi" w:hAnsiTheme="minorHAnsi" w:cs="Calibri"/>
                <w:sz w:val="20"/>
                <w:lang w:val="es-EC"/>
              </w:rPr>
              <w:lastRenderedPageBreak/>
              <w:t>Las intervenciones con comunidades en territorio se ven favorecidas por la articulación territorial. A pesar de esto,  este tipo de intervenciones demostrativas no logran alcanzar otras escalas si la articulación con instancias nacionales no es asegurada y si no se genera institucionalidad.</w:t>
            </w:r>
          </w:p>
          <w:p w14:paraId="553A49DD" w14:textId="5C9869EE" w:rsidR="009571D0" w:rsidRPr="009571D0" w:rsidRDefault="009571D0" w:rsidP="00E4778A">
            <w:pPr>
              <w:numPr>
                <w:ilvl w:val="0"/>
                <w:numId w:val="20"/>
              </w:numPr>
              <w:autoSpaceDE w:val="0"/>
              <w:autoSpaceDN w:val="0"/>
              <w:adjustRightInd w:val="0"/>
              <w:jc w:val="both"/>
              <w:rPr>
                <w:rFonts w:asciiTheme="minorHAnsi" w:hAnsiTheme="minorHAnsi" w:cs="Calibri"/>
                <w:sz w:val="20"/>
                <w:lang w:val="es-EC"/>
              </w:rPr>
            </w:pPr>
            <w:r w:rsidRPr="009571D0">
              <w:rPr>
                <w:rFonts w:asciiTheme="minorHAnsi" w:hAnsiTheme="minorHAnsi" w:cs="Calibri"/>
                <w:sz w:val="20"/>
                <w:lang w:val="es-EC"/>
              </w:rPr>
              <w:t>La flexibilidad y adaptación del PNUD a las cambiantes demandas que se originan en cambios rápidos de políticas relacionadas al medio ambiente y la diversidad biológica en Ecuador es clave para la generación de resultados en este Efecto.</w:t>
            </w:r>
          </w:p>
          <w:p w14:paraId="38307EA0" w14:textId="5E24C459" w:rsidR="009571D0" w:rsidRPr="009571D0" w:rsidRDefault="009571D0" w:rsidP="00E4778A">
            <w:pPr>
              <w:numPr>
                <w:ilvl w:val="0"/>
                <w:numId w:val="20"/>
              </w:numPr>
              <w:autoSpaceDE w:val="0"/>
              <w:autoSpaceDN w:val="0"/>
              <w:adjustRightInd w:val="0"/>
              <w:jc w:val="both"/>
              <w:rPr>
                <w:rFonts w:asciiTheme="minorHAnsi" w:hAnsiTheme="minorHAnsi" w:cs="Calibri"/>
                <w:sz w:val="20"/>
                <w:lang w:val="es-EC"/>
              </w:rPr>
            </w:pPr>
            <w:r w:rsidRPr="009571D0">
              <w:rPr>
                <w:rFonts w:asciiTheme="minorHAnsi" w:hAnsiTheme="minorHAnsi" w:cs="Calibri"/>
                <w:sz w:val="20"/>
                <w:lang w:val="es-EC"/>
              </w:rPr>
              <w:t>Los efectos, productos y los proyectos en sí, no siempre llegan a la mayoría de las comunidades, siendo una lección aprendida que deberían haber mayores esfuerzos para que los beneficios no solo permanezcan en los liderazgos, sino que desciendan a un mayor porcentaje de miembros de las comunidades.</w:t>
            </w:r>
          </w:p>
          <w:p w14:paraId="377683B6" w14:textId="438D71F5" w:rsidR="009571D0" w:rsidRPr="009571D0" w:rsidRDefault="009571D0" w:rsidP="00E4778A">
            <w:pPr>
              <w:numPr>
                <w:ilvl w:val="0"/>
                <w:numId w:val="20"/>
              </w:numPr>
              <w:autoSpaceDE w:val="0"/>
              <w:autoSpaceDN w:val="0"/>
              <w:adjustRightInd w:val="0"/>
              <w:jc w:val="both"/>
              <w:rPr>
                <w:rFonts w:asciiTheme="minorHAnsi" w:hAnsiTheme="minorHAnsi" w:cs="Calibri"/>
                <w:sz w:val="20"/>
                <w:lang w:val="es-EC"/>
              </w:rPr>
            </w:pPr>
            <w:r w:rsidRPr="009571D0">
              <w:rPr>
                <w:rFonts w:asciiTheme="minorHAnsi" w:hAnsiTheme="minorHAnsi" w:cs="Calibri"/>
                <w:sz w:val="20"/>
                <w:lang w:val="es-EC"/>
              </w:rPr>
              <w:t>La eficacia y la sostenibilidad del Efecto se da mayormente cuando los proyectos fomentan procesos y continuidad institucional.</w:t>
            </w:r>
          </w:p>
          <w:p w14:paraId="2CF7A435" w14:textId="2459A5DD" w:rsidR="00221E92" w:rsidRPr="009571D0" w:rsidRDefault="009571D0" w:rsidP="00E4778A">
            <w:pPr>
              <w:numPr>
                <w:ilvl w:val="0"/>
                <w:numId w:val="20"/>
              </w:numPr>
              <w:autoSpaceDE w:val="0"/>
              <w:autoSpaceDN w:val="0"/>
              <w:adjustRightInd w:val="0"/>
              <w:jc w:val="both"/>
              <w:rPr>
                <w:rFonts w:asciiTheme="minorHAnsi" w:hAnsiTheme="minorHAnsi"/>
                <w:sz w:val="20"/>
                <w:lang w:val="es-EC"/>
              </w:rPr>
            </w:pPr>
            <w:r w:rsidRPr="009571D0">
              <w:rPr>
                <w:rFonts w:asciiTheme="minorHAnsi" w:hAnsiTheme="minorHAnsi" w:cs="Calibri"/>
                <w:sz w:val="20"/>
                <w:lang w:val="es-EC"/>
              </w:rPr>
              <w:t>Si el Efecto no se planifica de forma integrada, éste no se visibiliza como tal; su subsecuente monitoreo y evaluación se hace dificultoso ya que perdura una visión de proyecto por proyecto y no de portafolio.</w:t>
            </w:r>
          </w:p>
        </w:tc>
      </w:tr>
    </w:tbl>
    <w:p w14:paraId="0269F9C1" w14:textId="77777777" w:rsidR="004B3911" w:rsidRPr="009571D0" w:rsidRDefault="004B3911">
      <w:pPr>
        <w:pStyle w:val="BodyText2"/>
        <w:rPr>
          <w:rFonts w:ascii="Times New Roman" w:hAnsi="Times New Roman"/>
          <w:sz w:val="24"/>
          <w:lang w:val="es-EC"/>
        </w:rPr>
      </w:pPr>
    </w:p>
    <w:p w14:paraId="369F0E39" w14:textId="77777777" w:rsidR="00E37E7A" w:rsidRPr="005474ED" w:rsidRDefault="00EA7740" w:rsidP="00E37E7A">
      <w:pPr>
        <w:pStyle w:val="BodyText2"/>
        <w:jc w:val="center"/>
        <w:rPr>
          <w:rFonts w:ascii="Calibri" w:hAnsi="Calibri"/>
          <w:sz w:val="24"/>
        </w:rPr>
      </w:pPr>
      <w:r>
        <w:rPr>
          <w:rFonts w:ascii="Calibri" w:hAnsi="Calibri"/>
          <w:sz w:val="24"/>
        </w:rPr>
        <w:t xml:space="preserve">III. </w:t>
      </w:r>
      <w:r w:rsidR="00673710" w:rsidRPr="005474ED">
        <w:rPr>
          <w:rFonts w:ascii="Calibri" w:hAnsi="Calibri"/>
          <w:sz w:val="24"/>
        </w:rPr>
        <w:t xml:space="preserve">Country Programme </w:t>
      </w:r>
      <w:r w:rsidR="00E37E7A" w:rsidRPr="005474ED">
        <w:rPr>
          <w:rFonts w:ascii="Calibri" w:hAnsi="Calibri"/>
          <w:sz w:val="24"/>
        </w:rPr>
        <w:t>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8"/>
        <w:gridCol w:w="1890"/>
        <w:gridCol w:w="2070"/>
        <w:gridCol w:w="1980"/>
        <w:gridCol w:w="2008"/>
      </w:tblGrid>
      <w:tr w:rsidR="0015409F" w:rsidRPr="00770B33" w14:paraId="4AE6590B" w14:textId="77777777" w:rsidTr="00A16F22">
        <w:tc>
          <w:tcPr>
            <w:tcW w:w="6228" w:type="dxa"/>
            <w:shd w:val="clear" w:color="auto" w:fill="000000"/>
          </w:tcPr>
          <w:p w14:paraId="0EF16187" w14:textId="77777777" w:rsidR="0015409F" w:rsidRPr="00770B33" w:rsidRDefault="0015409F" w:rsidP="00A16F22">
            <w:pPr>
              <w:pStyle w:val="BodyText2"/>
              <w:jc w:val="center"/>
              <w:rPr>
                <w:rFonts w:asciiTheme="minorHAnsi" w:hAnsiTheme="minorHAnsi"/>
                <w:b/>
                <w:color w:val="FFFFFF"/>
              </w:rPr>
            </w:pPr>
            <w:r w:rsidRPr="00770B33">
              <w:rPr>
                <w:rFonts w:asciiTheme="minorHAnsi" w:hAnsiTheme="minorHAnsi"/>
                <w:b/>
                <w:color w:val="FFFFFF"/>
              </w:rPr>
              <w:t>Focus Area</w:t>
            </w:r>
          </w:p>
        </w:tc>
        <w:tc>
          <w:tcPr>
            <w:tcW w:w="5940" w:type="dxa"/>
            <w:gridSpan w:val="3"/>
            <w:shd w:val="clear" w:color="auto" w:fill="000000"/>
          </w:tcPr>
          <w:p w14:paraId="5D3720BA" w14:textId="77777777" w:rsidR="0015409F" w:rsidRPr="00770B33" w:rsidRDefault="000D6DE5" w:rsidP="00A16F22">
            <w:pPr>
              <w:pStyle w:val="BodyText2"/>
              <w:jc w:val="center"/>
              <w:rPr>
                <w:rFonts w:asciiTheme="minorHAnsi" w:hAnsiTheme="minorHAnsi"/>
                <w:b/>
                <w:color w:val="FFFFFF"/>
              </w:rPr>
            </w:pPr>
            <w:r w:rsidRPr="00770B33">
              <w:rPr>
                <w:rFonts w:asciiTheme="minorHAnsi" w:hAnsiTheme="minorHAnsi"/>
                <w:b/>
                <w:color w:val="FFFFFF"/>
              </w:rPr>
              <w:t xml:space="preserve">Programme </w:t>
            </w:r>
            <w:r w:rsidR="0015409F" w:rsidRPr="00770B33">
              <w:rPr>
                <w:rFonts w:asciiTheme="minorHAnsi" w:hAnsiTheme="minorHAnsi"/>
                <w:b/>
                <w:color w:val="FFFFFF"/>
              </w:rPr>
              <w:t>Expenditure ($)</w:t>
            </w:r>
          </w:p>
        </w:tc>
        <w:tc>
          <w:tcPr>
            <w:tcW w:w="2008" w:type="dxa"/>
            <w:shd w:val="clear" w:color="auto" w:fill="000000"/>
          </w:tcPr>
          <w:p w14:paraId="26EF719D" w14:textId="77777777" w:rsidR="0015409F" w:rsidRPr="00770B33" w:rsidRDefault="0015409F" w:rsidP="00A16F22">
            <w:pPr>
              <w:pStyle w:val="BodyText2"/>
              <w:jc w:val="center"/>
              <w:rPr>
                <w:rFonts w:asciiTheme="minorHAnsi" w:hAnsiTheme="minorHAnsi"/>
                <w:b/>
                <w:color w:val="FFFFFF"/>
              </w:rPr>
            </w:pPr>
            <w:r w:rsidRPr="00770B33">
              <w:rPr>
                <w:rFonts w:asciiTheme="minorHAnsi" w:hAnsiTheme="minorHAnsi"/>
                <w:b/>
                <w:color w:val="FFFFFF"/>
              </w:rPr>
              <w:t>% of Total</w:t>
            </w:r>
          </w:p>
        </w:tc>
      </w:tr>
      <w:tr w:rsidR="000D6DE5" w:rsidRPr="00770B33" w14:paraId="60E214B0" w14:textId="77777777" w:rsidTr="00A16F22">
        <w:tc>
          <w:tcPr>
            <w:tcW w:w="6228" w:type="dxa"/>
          </w:tcPr>
          <w:p w14:paraId="01F2E001" w14:textId="77777777" w:rsidR="000D6DE5" w:rsidRPr="00770B33" w:rsidRDefault="000D6DE5" w:rsidP="00A0001A">
            <w:pPr>
              <w:pStyle w:val="BodyText2"/>
              <w:rPr>
                <w:rFonts w:asciiTheme="minorHAnsi" w:hAnsiTheme="minorHAnsi"/>
              </w:rPr>
            </w:pPr>
          </w:p>
        </w:tc>
        <w:tc>
          <w:tcPr>
            <w:tcW w:w="1890" w:type="dxa"/>
          </w:tcPr>
          <w:p w14:paraId="5D883425" w14:textId="77777777" w:rsidR="000D6DE5" w:rsidRPr="00770B33" w:rsidRDefault="000D6DE5" w:rsidP="00A16F22">
            <w:pPr>
              <w:pStyle w:val="BodyText2"/>
              <w:jc w:val="center"/>
              <w:rPr>
                <w:rFonts w:asciiTheme="minorHAnsi" w:hAnsiTheme="minorHAnsi"/>
              </w:rPr>
            </w:pPr>
            <w:r w:rsidRPr="00770B33">
              <w:rPr>
                <w:rFonts w:asciiTheme="minorHAnsi" w:hAnsiTheme="minorHAnsi"/>
              </w:rPr>
              <w:t>Regular (TRAC)</w:t>
            </w:r>
          </w:p>
        </w:tc>
        <w:tc>
          <w:tcPr>
            <w:tcW w:w="2070" w:type="dxa"/>
          </w:tcPr>
          <w:p w14:paraId="4D45489C" w14:textId="77777777" w:rsidR="000D6DE5" w:rsidRPr="00770B33" w:rsidRDefault="000D6DE5" w:rsidP="00A16F22">
            <w:pPr>
              <w:pStyle w:val="BodyText2"/>
              <w:jc w:val="center"/>
              <w:rPr>
                <w:rFonts w:asciiTheme="minorHAnsi" w:hAnsiTheme="minorHAnsi"/>
              </w:rPr>
            </w:pPr>
            <w:r w:rsidRPr="00770B33">
              <w:rPr>
                <w:rFonts w:asciiTheme="minorHAnsi" w:hAnsiTheme="minorHAnsi"/>
              </w:rPr>
              <w:t>Other</w:t>
            </w:r>
          </w:p>
        </w:tc>
        <w:tc>
          <w:tcPr>
            <w:tcW w:w="1980" w:type="dxa"/>
          </w:tcPr>
          <w:p w14:paraId="75FF58FE" w14:textId="77777777" w:rsidR="000D6DE5" w:rsidRPr="00770B33" w:rsidRDefault="000D6DE5" w:rsidP="00A16F22">
            <w:pPr>
              <w:pStyle w:val="BodyText2"/>
              <w:jc w:val="center"/>
              <w:rPr>
                <w:rFonts w:asciiTheme="minorHAnsi" w:hAnsiTheme="minorHAnsi"/>
              </w:rPr>
            </w:pPr>
            <w:r w:rsidRPr="00770B33">
              <w:rPr>
                <w:rFonts w:asciiTheme="minorHAnsi" w:hAnsiTheme="minorHAnsi"/>
              </w:rPr>
              <w:t>Total</w:t>
            </w:r>
          </w:p>
        </w:tc>
        <w:tc>
          <w:tcPr>
            <w:tcW w:w="2008" w:type="dxa"/>
          </w:tcPr>
          <w:p w14:paraId="6005FDAF" w14:textId="77777777" w:rsidR="000D6DE5" w:rsidRPr="00770B33" w:rsidRDefault="000D6DE5" w:rsidP="00A16F22">
            <w:pPr>
              <w:pStyle w:val="BodyText2"/>
              <w:jc w:val="center"/>
              <w:rPr>
                <w:rFonts w:asciiTheme="minorHAnsi" w:hAnsiTheme="minorHAnsi"/>
              </w:rPr>
            </w:pPr>
          </w:p>
        </w:tc>
      </w:tr>
      <w:tr w:rsidR="000D6DE5" w:rsidRPr="00770B33" w14:paraId="2052E084" w14:textId="77777777" w:rsidTr="00770B33">
        <w:trPr>
          <w:trHeight w:val="130"/>
        </w:trPr>
        <w:tc>
          <w:tcPr>
            <w:tcW w:w="6228" w:type="dxa"/>
          </w:tcPr>
          <w:p w14:paraId="5C409647" w14:textId="77777777" w:rsidR="000D6DE5" w:rsidRPr="00770B33" w:rsidRDefault="000D6DE5" w:rsidP="00A0001A">
            <w:pPr>
              <w:pStyle w:val="BodyText2"/>
              <w:rPr>
                <w:rFonts w:asciiTheme="minorHAnsi" w:hAnsiTheme="minorHAnsi"/>
              </w:rPr>
            </w:pPr>
            <w:r w:rsidRPr="00770B33">
              <w:rPr>
                <w:rFonts w:asciiTheme="minorHAnsi" w:hAnsiTheme="minorHAnsi"/>
              </w:rPr>
              <w:t>Poverty and MDGs</w:t>
            </w:r>
          </w:p>
        </w:tc>
        <w:tc>
          <w:tcPr>
            <w:tcW w:w="1890" w:type="dxa"/>
          </w:tcPr>
          <w:p w14:paraId="34D202AD" w14:textId="5A3BC998" w:rsidR="000D6DE5" w:rsidRPr="00770B33" w:rsidRDefault="00415DAB" w:rsidP="00FE2CAE">
            <w:pPr>
              <w:jc w:val="right"/>
              <w:rPr>
                <w:rFonts w:asciiTheme="minorHAnsi" w:hAnsiTheme="minorHAnsi"/>
                <w:color w:val="000000"/>
                <w:sz w:val="20"/>
              </w:rPr>
            </w:pPr>
            <w:r w:rsidRPr="00770B33">
              <w:rPr>
                <w:rFonts w:asciiTheme="minorHAnsi" w:hAnsiTheme="minorHAnsi"/>
                <w:color w:val="000000"/>
                <w:sz w:val="20"/>
              </w:rPr>
              <w:t>61.449,24</w:t>
            </w:r>
          </w:p>
        </w:tc>
        <w:tc>
          <w:tcPr>
            <w:tcW w:w="2070" w:type="dxa"/>
          </w:tcPr>
          <w:p w14:paraId="77BD7B5D" w14:textId="458D07D3" w:rsidR="000D6DE5" w:rsidRPr="00770B33" w:rsidRDefault="00105B0A" w:rsidP="00292DE1">
            <w:pPr>
              <w:jc w:val="right"/>
              <w:rPr>
                <w:rFonts w:asciiTheme="minorHAnsi" w:hAnsiTheme="minorHAnsi"/>
                <w:color w:val="000000"/>
                <w:sz w:val="20"/>
              </w:rPr>
            </w:pPr>
            <w:r w:rsidRPr="00770B33">
              <w:rPr>
                <w:rFonts w:asciiTheme="minorHAnsi" w:hAnsiTheme="minorHAnsi"/>
                <w:color w:val="000000"/>
                <w:sz w:val="20"/>
              </w:rPr>
              <w:t xml:space="preserve">   13.170.063,39 </w:t>
            </w:r>
          </w:p>
        </w:tc>
        <w:tc>
          <w:tcPr>
            <w:tcW w:w="1980" w:type="dxa"/>
          </w:tcPr>
          <w:p w14:paraId="3B329ACB" w14:textId="4E71FEFF" w:rsidR="000D6DE5" w:rsidRPr="00770B33" w:rsidRDefault="00105B0A" w:rsidP="00292DE1">
            <w:pPr>
              <w:jc w:val="right"/>
              <w:rPr>
                <w:rFonts w:asciiTheme="minorHAnsi" w:hAnsiTheme="minorHAnsi"/>
                <w:b/>
                <w:bCs/>
                <w:color w:val="000000"/>
                <w:sz w:val="20"/>
              </w:rPr>
            </w:pPr>
            <w:r w:rsidRPr="00770B33">
              <w:rPr>
                <w:rFonts w:asciiTheme="minorHAnsi" w:hAnsiTheme="minorHAnsi"/>
                <w:b/>
                <w:bCs/>
                <w:color w:val="000000"/>
                <w:sz w:val="20"/>
              </w:rPr>
              <w:t>13.231.512,63</w:t>
            </w:r>
          </w:p>
        </w:tc>
        <w:tc>
          <w:tcPr>
            <w:tcW w:w="2008" w:type="dxa"/>
          </w:tcPr>
          <w:p w14:paraId="1F6928E7" w14:textId="20DF9A1B" w:rsidR="000D6DE5" w:rsidRPr="00770B33" w:rsidRDefault="00105B0A" w:rsidP="00A16F22">
            <w:pPr>
              <w:pStyle w:val="BodyText2"/>
              <w:jc w:val="center"/>
              <w:rPr>
                <w:rFonts w:asciiTheme="minorHAnsi" w:hAnsiTheme="minorHAnsi"/>
              </w:rPr>
            </w:pPr>
            <w:r w:rsidRPr="00770B33">
              <w:rPr>
                <w:rFonts w:asciiTheme="minorHAnsi" w:hAnsiTheme="minorHAnsi"/>
              </w:rPr>
              <w:t>31%</w:t>
            </w:r>
          </w:p>
        </w:tc>
      </w:tr>
      <w:tr w:rsidR="000D6DE5" w:rsidRPr="00770B33" w14:paraId="2CFF0BAD" w14:textId="77777777" w:rsidTr="00FE2CAE">
        <w:tc>
          <w:tcPr>
            <w:tcW w:w="6228" w:type="dxa"/>
          </w:tcPr>
          <w:p w14:paraId="267BDD14" w14:textId="77777777" w:rsidR="000D6DE5" w:rsidRPr="00770B33" w:rsidRDefault="000D6DE5" w:rsidP="00A0001A">
            <w:pPr>
              <w:pStyle w:val="BodyText2"/>
              <w:rPr>
                <w:rFonts w:asciiTheme="minorHAnsi" w:hAnsiTheme="minorHAnsi"/>
              </w:rPr>
            </w:pPr>
            <w:r w:rsidRPr="00770B33">
              <w:rPr>
                <w:rFonts w:asciiTheme="minorHAnsi" w:hAnsiTheme="minorHAnsi"/>
              </w:rPr>
              <w:t>Democratic Governance</w:t>
            </w:r>
          </w:p>
        </w:tc>
        <w:tc>
          <w:tcPr>
            <w:tcW w:w="1890" w:type="dxa"/>
          </w:tcPr>
          <w:p w14:paraId="78DD19C9" w14:textId="21D4A5C1" w:rsidR="000D6DE5" w:rsidRPr="00770B33" w:rsidRDefault="00415DAB" w:rsidP="00770B33">
            <w:pPr>
              <w:jc w:val="right"/>
              <w:rPr>
                <w:rFonts w:asciiTheme="minorHAnsi" w:hAnsiTheme="minorHAnsi"/>
                <w:color w:val="000000"/>
                <w:sz w:val="20"/>
              </w:rPr>
            </w:pPr>
            <w:r w:rsidRPr="00770B33">
              <w:rPr>
                <w:rFonts w:asciiTheme="minorHAnsi" w:hAnsiTheme="minorHAnsi"/>
                <w:color w:val="000000"/>
                <w:sz w:val="20"/>
              </w:rPr>
              <w:t>1.161.811,13</w:t>
            </w:r>
          </w:p>
        </w:tc>
        <w:tc>
          <w:tcPr>
            <w:tcW w:w="2070" w:type="dxa"/>
          </w:tcPr>
          <w:p w14:paraId="553325D6" w14:textId="75E7A92A" w:rsidR="000D6DE5" w:rsidRPr="00770B33" w:rsidRDefault="00105B0A" w:rsidP="00770B33">
            <w:pPr>
              <w:jc w:val="right"/>
              <w:rPr>
                <w:rFonts w:asciiTheme="minorHAnsi" w:hAnsiTheme="minorHAnsi"/>
                <w:color w:val="000000"/>
                <w:sz w:val="20"/>
              </w:rPr>
            </w:pPr>
            <w:r w:rsidRPr="00770B33">
              <w:rPr>
                <w:rFonts w:asciiTheme="minorHAnsi" w:hAnsiTheme="minorHAnsi"/>
                <w:color w:val="000000"/>
                <w:sz w:val="20"/>
              </w:rPr>
              <w:t>9.080.518,86</w:t>
            </w:r>
          </w:p>
        </w:tc>
        <w:tc>
          <w:tcPr>
            <w:tcW w:w="1980" w:type="dxa"/>
          </w:tcPr>
          <w:p w14:paraId="263F5949" w14:textId="5351981C" w:rsidR="000D6DE5" w:rsidRPr="00770B33" w:rsidRDefault="00105B0A" w:rsidP="00770B33">
            <w:pPr>
              <w:jc w:val="right"/>
              <w:rPr>
                <w:rFonts w:asciiTheme="minorHAnsi" w:hAnsiTheme="minorHAnsi"/>
                <w:b/>
                <w:bCs/>
                <w:color w:val="000000"/>
                <w:sz w:val="20"/>
              </w:rPr>
            </w:pPr>
            <w:r w:rsidRPr="00770B33">
              <w:rPr>
                <w:rFonts w:asciiTheme="minorHAnsi" w:hAnsiTheme="minorHAnsi"/>
                <w:b/>
                <w:bCs/>
                <w:color w:val="000000"/>
                <w:sz w:val="20"/>
              </w:rPr>
              <w:t>10.242.329,99</w:t>
            </w:r>
          </w:p>
        </w:tc>
        <w:tc>
          <w:tcPr>
            <w:tcW w:w="2008" w:type="dxa"/>
          </w:tcPr>
          <w:p w14:paraId="6751177D" w14:textId="621B2698" w:rsidR="000D6DE5" w:rsidRPr="00770B33" w:rsidRDefault="00105B0A" w:rsidP="00A16F22">
            <w:pPr>
              <w:pStyle w:val="BodyText2"/>
              <w:jc w:val="center"/>
              <w:rPr>
                <w:rFonts w:asciiTheme="minorHAnsi" w:hAnsiTheme="minorHAnsi"/>
              </w:rPr>
            </w:pPr>
            <w:r w:rsidRPr="00770B33">
              <w:rPr>
                <w:rFonts w:asciiTheme="minorHAnsi" w:hAnsiTheme="minorHAnsi"/>
              </w:rPr>
              <w:t>23%</w:t>
            </w:r>
          </w:p>
        </w:tc>
      </w:tr>
      <w:tr w:rsidR="000D6DE5" w:rsidRPr="00770B33" w14:paraId="7CD73706" w14:textId="77777777" w:rsidTr="00FE2CAE">
        <w:tc>
          <w:tcPr>
            <w:tcW w:w="6228" w:type="dxa"/>
          </w:tcPr>
          <w:p w14:paraId="4F6FA997" w14:textId="77777777" w:rsidR="000D6DE5" w:rsidRPr="00770B33" w:rsidRDefault="000D6DE5" w:rsidP="00A0001A">
            <w:pPr>
              <w:pStyle w:val="BodyText2"/>
              <w:rPr>
                <w:rFonts w:asciiTheme="minorHAnsi" w:hAnsiTheme="minorHAnsi"/>
              </w:rPr>
            </w:pPr>
            <w:r w:rsidRPr="00770B33">
              <w:rPr>
                <w:rFonts w:asciiTheme="minorHAnsi" w:hAnsiTheme="minorHAnsi"/>
              </w:rPr>
              <w:t>Crisis Prevention and Recovery</w:t>
            </w:r>
          </w:p>
        </w:tc>
        <w:tc>
          <w:tcPr>
            <w:tcW w:w="1890" w:type="dxa"/>
          </w:tcPr>
          <w:p w14:paraId="09C9D31C" w14:textId="78A6566B" w:rsidR="000D6DE5" w:rsidRPr="00770B33" w:rsidRDefault="00415DAB" w:rsidP="00770B33">
            <w:pPr>
              <w:jc w:val="right"/>
              <w:rPr>
                <w:rFonts w:asciiTheme="minorHAnsi" w:eastAsia="Arial Unicode MS" w:hAnsiTheme="minorHAnsi" w:cs="Arial Unicode MS"/>
                <w:sz w:val="20"/>
              </w:rPr>
            </w:pPr>
            <w:r w:rsidRPr="00770B33">
              <w:rPr>
                <w:rFonts w:asciiTheme="minorHAnsi" w:eastAsia="Arial Unicode MS" w:hAnsiTheme="minorHAnsi" w:cs="Arial Unicode MS"/>
                <w:sz w:val="20"/>
              </w:rPr>
              <w:t>145.661,78</w:t>
            </w:r>
          </w:p>
        </w:tc>
        <w:tc>
          <w:tcPr>
            <w:tcW w:w="2070" w:type="dxa"/>
          </w:tcPr>
          <w:p w14:paraId="1EB49711" w14:textId="06EA88CD" w:rsidR="000D6DE5" w:rsidRPr="00770B33" w:rsidRDefault="00105B0A" w:rsidP="00770B33">
            <w:pPr>
              <w:jc w:val="right"/>
              <w:rPr>
                <w:rFonts w:asciiTheme="minorHAnsi" w:hAnsiTheme="minorHAnsi"/>
                <w:color w:val="000000"/>
                <w:sz w:val="20"/>
              </w:rPr>
            </w:pPr>
            <w:r w:rsidRPr="00770B33">
              <w:rPr>
                <w:rFonts w:asciiTheme="minorHAnsi" w:hAnsiTheme="minorHAnsi"/>
                <w:color w:val="000000"/>
                <w:sz w:val="20"/>
              </w:rPr>
              <w:t xml:space="preserve">     5.001.055,76 </w:t>
            </w:r>
          </w:p>
        </w:tc>
        <w:tc>
          <w:tcPr>
            <w:tcW w:w="1980" w:type="dxa"/>
          </w:tcPr>
          <w:p w14:paraId="11141C01" w14:textId="7C453AB7" w:rsidR="000D6DE5" w:rsidRPr="00770B33" w:rsidRDefault="00105B0A" w:rsidP="00770B33">
            <w:pPr>
              <w:jc w:val="right"/>
              <w:rPr>
                <w:rFonts w:asciiTheme="minorHAnsi" w:hAnsiTheme="minorHAnsi"/>
                <w:b/>
                <w:color w:val="000000"/>
                <w:sz w:val="20"/>
              </w:rPr>
            </w:pPr>
            <w:r w:rsidRPr="00770B33">
              <w:rPr>
                <w:rFonts w:asciiTheme="minorHAnsi" w:hAnsiTheme="minorHAnsi"/>
                <w:b/>
                <w:color w:val="000000"/>
                <w:sz w:val="20"/>
              </w:rPr>
              <w:t xml:space="preserve">     5.146.717,54 </w:t>
            </w:r>
          </w:p>
        </w:tc>
        <w:tc>
          <w:tcPr>
            <w:tcW w:w="2008" w:type="dxa"/>
          </w:tcPr>
          <w:p w14:paraId="4B830803" w14:textId="213320A1" w:rsidR="000D6DE5" w:rsidRPr="00770B33" w:rsidRDefault="00105B0A" w:rsidP="00A16F22">
            <w:pPr>
              <w:pStyle w:val="BodyText2"/>
              <w:jc w:val="center"/>
              <w:rPr>
                <w:rFonts w:asciiTheme="minorHAnsi" w:hAnsiTheme="minorHAnsi"/>
              </w:rPr>
            </w:pPr>
            <w:r w:rsidRPr="00770B33">
              <w:rPr>
                <w:rFonts w:asciiTheme="minorHAnsi" w:hAnsiTheme="minorHAnsi"/>
              </w:rPr>
              <w:t>12%</w:t>
            </w:r>
          </w:p>
        </w:tc>
      </w:tr>
      <w:tr w:rsidR="000D6DE5" w:rsidRPr="00770B33" w14:paraId="3F921A55" w14:textId="77777777" w:rsidTr="00FE2CAE">
        <w:tc>
          <w:tcPr>
            <w:tcW w:w="6228" w:type="dxa"/>
          </w:tcPr>
          <w:p w14:paraId="6766DC82" w14:textId="77777777" w:rsidR="000D6DE5" w:rsidRPr="00770B33" w:rsidRDefault="000D6DE5" w:rsidP="00A0001A">
            <w:pPr>
              <w:pStyle w:val="BodyText2"/>
              <w:rPr>
                <w:rFonts w:asciiTheme="minorHAnsi" w:hAnsiTheme="minorHAnsi"/>
              </w:rPr>
            </w:pPr>
            <w:r w:rsidRPr="00770B33">
              <w:rPr>
                <w:rFonts w:asciiTheme="minorHAnsi" w:hAnsiTheme="minorHAnsi"/>
              </w:rPr>
              <w:t>Environment and Sustainable Development</w:t>
            </w:r>
          </w:p>
        </w:tc>
        <w:tc>
          <w:tcPr>
            <w:tcW w:w="1890" w:type="dxa"/>
          </w:tcPr>
          <w:p w14:paraId="702666D4" w14:textId="417782F3" w:rsidR="000D6DE5" w:rsidRPr="00770B33" w:rsidRDefault="00415DAB" w:rsidP="00FE2CAE">
            <w:pPr>
              <w:jc w:val="right"/>
              <w:rPr>
                <w:rFonts w:asciiTheme="minorHAnsi" w:hAnsiTheme="minorHAnsi"/>
                <w:color w:val="000000"/>
                <w:sz w:val="20"/>
              </w:rPr>
            </w:pPr>
            <w:r w:rsidRPr="00770B33">
              <w:rPr>
                <w:rFonts w:asciiTheme="minorHAnsi" w:hAnsiTheme="minorHAnsi"/>
                <w:color w:val="000000"/>
                <w:sz w:val="20"/>
              </w:rPr>
              <w:t xml:space="preserve">   222.310,84 </w:t>
            </w:r>
          </w:p>
        </w:tc>
        <w:tc>
          <w:tcPr>
            <w:tcW w:w="2070" w:type="dxa"/>
          </w:tcPr>
          <w:p w14:paraId="0C43B9AC" w14:textId="204E38D7" w:rsidR="000D6DE5" w:rsidRPr="00770B33" w:rsidRDefault="00105B0A" w:rsidP="00770B33">
            <w:pPr>
              <w:jc w:val="right"/>
              <w:rPr>
                <w:rFonts w:asciiTheme="minorHAnsi" w:hAnsiTheme="minorHAnsi"/>
                <w:color w:val="000000"/>
                <w:sz w:val="20"/>
              </w:rPr>
            </w:pPr>
            <w:r w:rsidRPr="00770B33">
              <w:rPr>
                <w:rFonts w:asciiTheme="minorHAnsi" w:hAnsiTheme="minorHAnsi"/>
                <w:color w:val="000000"/>
                <w:sz w:val="20"/>
              </w:rPr>
              <w:t xml:space="preserve">   14.294.882,88 </w:t>
            </w:r>
          </w:p>
        </w:tc>
        <w:tc>
          <w:tcPr>
            <w:tcW w:w="1980" w:type="dxa"/>
          </w:tcPr>
          <w:p w14:paraId="1D36A945" w14:textId="73E74E38" w:rsidR="000D6DE5" w:rsidRPr="00770B33" w:rsidRDefault="00105B0A" w:rsidP="00770B33">
            <w:pPr>
              <w:jc w:val="right"/>
              <w:rPr>
                <w:rFonts w:asciiTheme="minorHAnsi" w:hAnsiTheme="minorHAnsi"/>
                <w:b/>
                <w:bCs/>
                <w:color w:val="000000"/>
                <w:sz w:val="20"/>
              </w:rPr>
            </w:pPr>
            <w:r w:rsidRPr="00770B33">
              <w:rPr>
                <w:rFonts w:asciiTheme="minorHAnsi" w:hAnsiTheme="minorHAnsi"/>
                <w:b/>
                <w:bCs/>
                <w:color w:val="000000"/>
                <w:sz w:val="20"/>
              </w:rPr>
              <w:t xml:space="preserve">   14.517.193,72 </w:t>
            </w:r>
          </w:p>
        </w:tc>
        <w:tc>
          <w:tcPr>
            <w:tcW w:w="2008" w:type="dxa"/>
          </w:tcPr>
          <w:p w14:paraId="55086EDE" w14:textId="2C4F1FFB" w:rsidR="000D6DE5" w:rsidRPr="00770B33" w:rsidRDefault="00105B0A" w:rsidP="00A16F22">
            <w:pPr>
              <w:pStyle w:val="BodyText2"/>
              <w:jc w:val="center"/>
              <w:rPr>
                <w:rFonts w:asciiTheme="minorHAnsi" w:hAnsiTheme="minorHAnsi"/>
              </w:rPr>
            </w:pPr>
            <w:r w:rsidRPr="00770B33">
              <w:rPr>
                <w:rFonts w:asciiTheme="minorHAnsi" w:hAnsiTheme="minorHAnsi"/>
              </w:rPr>
              <w:t>34%</w:t>
            </w:r>
          </w:p>
        </w:tc>
      </w:tr>
      <w:tr w:rsidR="000D6DE5" w:rsidRPr="00770B33" w14:paraId="2F8FD827" w14:textId="77777777" w:rsidTr="00FE2CAE">
        <w:tc>
          <w:tcPr>
            <w:tcW w:w="6228" w:type="dxa"/>
            <w:shd w:val="clear" w:color="auto" w:fill="00B0F0"/>
          </w:tcPr>
          <w:p w14:paraId="630906FE" w14:textId="77777777" w:rsidR="000D6DE5" w:rsidRPr="00770B33" w:rsidRDefault="000D6DE5" w:rsidP="00A16F22">
            <w:pPr>
              <w:pStyle w:val="BodyText2"/>
              <w:jc w:val="center"/>
              <w:rPr>
                <w:rFonts w:asciiTheme="minorHAnsi" w:hAnsiTheme="minorHAnsi"/>
              </w:rPr>
            </w:pPr>
            <w:r w:rsidRPr="00770B33">
              <w:rPr>
                <w:rFonts w:asciiTheme="minorHAnsi" w:hAnsiTheme="minorHAnsi"/>
              </w:rPr>
              <w:t>Total</w:t>
            </w:r>
          </w:p>
        </w:tc>
        <w:tc>
          <w:tcPr>
            <w:tcW w:w="1890" w:type="dxa"/>
            <w:shd w:val="clear" w:color="auto" w:fill="00B0F0"/>
          </w:tcPr>
          <w:p w14:paraId="6C5E2F7D" w14:textId="4AA1724E" w:rsidR="000D6DE5" w:rsidRPr="00770B33" w:rsidRDefault="00105B0A" w:rsidP="00770B33">
            <w:pPr>
              <w:jc w:val="right"/>
              <w:rPr>
                <w:rFonts w:asciiTheme="minorHAnsi" w:hAnsiTheme="minorHAnsi"/>
                <w:b/>
                <w:color w:val="000000"/>
                <w:sz w:val="20"/>
              </w:rPr>
            </w:pPr>
            <w:r w:rsidRPr="00770B33">
              <w:rPr>
                <w:rFonts w:asciiTheme="minorHAnsi" w:hAnsiTheme="minorHAnsi"/>
                <w:b/>
                <w:color w:val="000000"/>
                <w:sz w:val="20"/>
              </w:rPr>
              <w:t>1.591.232,99</w:t>
            </w:r>
          </w:p>
        </w:tc>
        <w:tc>
          <w:tcPr>
            <w:tcW w:w="2070" w:type="dxa"/>
            <w:shd w:val="clear" w:color="auto" w:fill="00B0F0"/>
          </w:tcPr>
          <w:p w14:paraId="7450B9DB" w14:textId="13875A57" w:rsidR="000D6DE5" w:rsidRPr="00770B33" w:rsidRDefault="00105B0A" w:rsidP="00770B33">
            <w:pPr>
              <w:jc w:val="right"/>
              <w:rPr>
                <w:rFonts w:asciiTheme="minorHAnsi" w:hAnsiTheme="minorHAnsi"/>
                <w:b/>
                <w:color w:val="000000"/>
                <w:sz w:val="20"/>
              </w:rPr>
            </w:pPr>
            <w:r w:rsidRPr="00770B33">
              <w:rPr>
                <w:rFonts w:asciiTheme="minorHAnsi" w:hAnsiTheme="minorHAnsi"/>
                <w:b/>
                <w:color w:val="000000"/>
                <w:sz w:val="20"/>
              </w:rPr>
              <w:t>41.546.520,89</w:t>
            </w:r>
          </w:p>
        </w:tc>
        <w:tc>
          <w:tcPr>
            <w:tcW w:w="1980" w:type="dxa"/>
            <w:shd w:val="clear" w:color="auto" w:fill="00B0F0"/>
          </w:tcPr>
          <w:p w14:paraId="57F6F2AE" w14:textId="0BB0AA71" w:rsidR="000D6DE5" w:rsidRPr="00770B33" w:rsidRDefault="00105B0A" w:rsidP="00770B33">
            <w:pPr>
              <w:jc w:val="right"/>
              <w:rPr>
                <w:rFonts w:asciiTheme="minorHAnsi" w:hAnsiTheme="minorHAnsi"/>
                <w:b/>
                <w:color w:val="000000"/>
                <w:sz w:val="20"/>
              </w:rPr>
            </w:pPr>
            <w:r w:rsidRPr="00770B33">
              <w:rPr>
                <w:rFonts w:asciiTheme="minorHAnsi" w:hAnsiTheme="minorHAnsi"/>
                <w:b/>
                <w:color w:val="000000"/>
                <w:sz w:val="20"/>
              </w:rPr>
              <w:t>43.137.753,88</w:t>
            </w:r>
          </w:p>
        </w:tc>
        <w:tc>
          <w:tcPr>
            <w:tcW w:w="2008" w:type="dxa"/>
            <w:shd w:val="clear" w:color="auto" w:fill="00B0F0"/>
          </w:tcPr>
          <w:p w14:paraId="37C8DB3F" w14:textId="444AC208" w:rsidR="000D6DE5" w:rsidRPr="00770B33" w:rsidRDefault="00105B0A" w:rsidP="00A16F22">
            <w:pPr>
              <w:pStyle w:val="BodyText2"/>
              <w:jc w:val="center"/>
              <w:rPr>
                <w:rFonts w:asciiTheme="minorHAnsi" w:hAnsiTheme="minorHAnsi"/>
              </w:rPr>
            </w:pPr>
            <w:r w:rsidRPr="00770B33">
              <w:rPr>
                <w:rFonts w:asciiTheme="minorHAnsi" w:hAnsiTheme="minorHAnsi"/>
              </w:rPr>
              <w:t>100%</w:t>
            </w:r>
          </w:p>
        </w:tc>
      </w:tr>
    </w:tbl>
    <w:p w14:paraId="3C6428F5" w14:textId="77777777" w:rsidR="00635929" w:rsidRPr="006900FE" w:rsidRDefault="00635929" w:rsidP="002315A5">
      <w:pPr>
        <w:pStyle w:val="BodyText2"/>
        <w:rPr>
          <w:rFonts w:ascii="Calibri" w:hAnsi="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2547CF" w:rsidRPr="006900FE" w14:paraId="0D2137FA" w14:textId="77777777" w:rsidTr="00A16F22">
        <w:tc>
          <w:tcPr>
            <w:tcW w:w="14176" w:type="dxa"/>
          </w:tcPr>
          <w:p w14:paraId="69842235" w14:textId="77777777" w:rsidR="002547CF" w:rsidRPr="00A16F22" w:rsidRDefault="002547CF" w:rsidP="005E0C05">
            <w:pPr>
              <w:pStyle w:val="BodyText2"/>
              <w:rPr>
                <w:rFonts w:ascii="Calibri" w:hAnsi="Calibri"/>
                <w:b/>
              </w:rPr>
            </w:pPr>
            <w:r w:rsidRPr="00A16F22">
              <w:rPr>
                <w:rFonts w:ascii="Calibri" w:hAnsi="Calibri"/>
                <w:b/>
              </w:rPr>
              <w:t xml:space="preserve">Data sources:  (please indicate the main sources from which data were obtained for this report.) </w:t>
            </w:r>
          </w:p>
        </w:tc>
      </w:tr>
      <w:tr w:rsidR="00B64ACA" w:rsidRPr="006900FE" w14:paraId="701B2E61" w14:textId="77777777" w:rsidTr="00A16F22">
        <w:tc>
          <w:tcPr>
            <w:tcW w:w="14176" w:type="dxa"/>
          </w:tcPr>
          <w:p w14:paraId="0302761E" w14:textId="77777777" w:rsidR="00767CB1" w:rsidRPr="00D7206B" w:rsidRDefault="00767CB1" w:rsidP="002315A5">
            <w:pPr>
              <w:pStyle w:val="BodyText2"/>
              <w:rPr>
                <w:rFonts w:ascii="Calibri" w:hAnsi="Calibri"/>
                <w:lang w:val="es-EC"/>
              </w:rPr>
            </w:pPr>
            <w:r w:rsidRPr="00D7206B">
              <w:rPr>
                <w:rFonts w:ascii="Calibri" w:hAnsi="Calibri"/>
                <w:lang w:val="es-EC"/>
              </w:rPr>
              <w:t xml:space="preserve">Evaluaciones de Efecto 303 y 306. </w:t>
            </w:r>
          </w:p>
          <w:p w14:paraId="1079FBC6" w14:textId="77777777" w:rsidR="00D7206B" w:rsidRPr="00D7206B" w:rsidRDefault="00767CB1" w:rsidP="002315A5">
            <w:pPr>
              <w:pStyle w:val="BodyText2"/>
              <w:rPr>
                <w:rFonts w:ascii="Calibri" w:hAnsi="Calibri"/>
                <w:lang w:val="es-EC"/>
              </w:rPr>
            </w:pPr>
            <w:r w:rsidRPr="00D7206B">
              <w:rPr>
                <w:rFonts w:ascii="Calibri" w:hAnsi="Calibri"/>
                <w:lang w:val="es-EC"/>
              </w:rPr>
              <w:t>Sistema de Gestión por Resultados de</w:t>
            </w:r>
            <w:r w:rsidR="00D7206B" w:rsidRPr="00D7206B">
              <w:rPr>
                <w:rFonts w:ascii="Calibri" w:hAnsi="Calibri"/>
                <w:lang w:val="es-EC"/>
              </w:rPr>
              <w:t>l</w:t>
            </w:r>
            <w:r w:rsidRPr="00D7206B">
              <w:rPr>
                <w:rFonts w:ascii="Calibri" w:hAnsi="Calibri"/>
                <w:lang w:val="es-EC"/>
              </w:rPr>
              <w:t xml:space="preserve"> Ministerio de Ambiente del Ecuador (MAE)</w:t>
            </w:r>
            <w:r w:rsidR="00D7206B" w:rsidRPr="00D7206B">
              <w:rPr>
                <w:rFonts w:ascii="Calibri" w:hAnsi="Calibri"/>
                <w:lang w:val="es-EC"/>
              </w:rPr>
              <w:t xml:space="preserve"> y del</w:t>
            </w:r>
            <w:r w:rsidRPr="00D7206B">
              <w:rPr>
                <w:rFonts w:ascii="Calibri" w:hAnsi="Calibri"/>
                <w:lang w:val="es-EC"/>
              </w:rPr>
              <w:t xml:space="preserve"> Ministerio de Electricidad </w:t>
            </w:r>
            <w:r w:rsidR="00D7206B" w:rsidRPr="00D7206B">
              <w:rPr>
                <w:rFonts w:ascii="Calibri" w:hAnsi="Calibri"/>
                <w:lang w:val="es-EC"/>
              </w:rPr>
              <w:t>y Energía Renovable (MEER).</w:t>
            </w:r>
          </w:p>
          <w:p w14:paraId="32BC881D" w14:textId="77777777" w:rsidR="00D7206B" w:rsidRPr="00D7206B" w:rsidRDefault="00D7206B" w:rsidP="002315A5">
            <w:pPr>
              <w:pStyle w:val="BodyText2"/>
              <w:rPr>
                <w:rFonts w:ascii="Calibri" w:hAnsi="Calibri"/>
                <w:lang w:val="es-EC"/>
              </w:rPr>
            </w:pPr>
            <w:r w:rsidRPr="00D7206B">
              <w:rPr>
                <w:rFonts w:ascii="Calibri" w:hAnsi="Calibri"/>
                <w:lang w:val="es-EC"/>
              </w:rPr>
              <w:t>Informes Anuales GEF (PIR)</w:t>
            </w:r>
          </w:p>
          <w:p w14:paraId="6F42C8B8" w14:textId="742CE21A" w:rsidR="008D791F" w:rsidRPr="00FE2CAE" w:rsidRDefault="00D7206B" w:rsidP="002315A5">
            <w:pPr>
              <w:pStyle w:val="BodyText2"/>
              <w:rPr>
                <w:rFonts w:ascii="Calibri" w:hAnsi="Calibri"/>
                <w:lang w:val="es-EC"/>
              </w:rPr>
            </w:pPr>
            <w:r w:rsidRPr="00D7206B">
              <w:rPr>
                <w:rFonts w:ascii="Calibri" w:hAnsi="Calibri"/>
                <w:lang w:val="es-EC"/>
              </w:rPr>
              <w:t>ROAR y IWP 2010-2011, 2012 y 2013</w:t>
            </w:r>
            <w:r w:rsidR="00767CB1" w:rsidRPr="00D7206B">
              <w:rPr>
                <w:rFonts w:ascii="Calibri" w:hAnsi="Calibri"/>
                <w:lang w:val="es-EC"/>
              </w:rPr>
              <w:t xml:space="preserve"> </w:t>
            </w:r>
          </w:p>
        </w:tc>
      </w:tr>
    </w:tbl>
    <w:p w14:paraId="5DCF4309" w14:textId="77777777" w:rsidR="00635929" w:rsidRPr="00C91262" w:rsidRDefault="00635929" w:rsidP="005E0C05">
      <w:pPr>
        <w:pStyle w:val="BodyText2"/>
        <w:rPr>
          <w:rFonts w:ascii="Times New Roman" w:hAnsi="Times New Roman"/>
          <w:sz w:val="24"/>
          <w:lang w:val="es-EC"/>
        </w:rPr>
      </w:pPr>
    </w:p>
    <w:sectPr w:rsidR="00635929" w:rsidRPr="00C91262" w:rsidSect="0037523B">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3CEA9" w14:textId="77777777" w:rsidR="00C23E05" w:rsidRDefault="00C23E05">
      <w:r>
        <w:separator/>
      </w:r>
    </w:p>
  </w:endnote>
  <w:endnote w:type="continuationSeparator" w:id="0">
    <w:p w14:paraId="656CAE6E" w14:textId="77777777" w:rsidR="00C23E05" w:rsidRDefault="00C23E05">
      <w:r>
        <w:continuationSeparator/>
      </w:r>
    </w:p>
  </w:endnote>
  <w:endnote w:type="continuationNotice" w:id="1">
    <w:p w14:paraId="014A3CFE" w14:textId="77777777" w:rsidR="00C23E05" w:rsidRDefault="00C23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8029C" w14:textId="77777777" w:rsidR="00A210CD" w:rsidRDefault="00C576D1">
    <w:pPr>
      <w:pStyle w:val="Footer"/>
      <w:jc w:val="center"/>
    </w:pPr>
    <w:r>
      <w:fldChar w:fldCharType="begin"/>
    </w:r>
    <w:r>
      <w:instrText xml:space="preserve"> PAGE   \* MERGEFORMAT </w:instrText>
    </w:r>
    <w:r>
      <w:fldChar w:fldCharType="separate"/>
    </w:r>
    <w:r w:rsidR="00FA6191">
      <w:rPr>
        <w:noProof/>
      </w:rPr>
      <w:t>2</w:t>
    </w:r>
    <w:r>
      <w:fldChar w:fldCharType="end"/>
    </w:r>
  </w:p>
  <w:p w14:paraId="2EF8E347" w14:textId="77777777" w:rsidR="00A210CD" w:rsidRDefault="00A21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201D2" w14:textId="77777777" w:rsidR="00C23E05" w:rsidRDefault="00C23E05">
      <w:r>
        <w:separator/>
      </w:r>
    </w:p>
  </w:footnote>
  <w:footnote w:type="continuationSeparator" w:id="0">
    <w:p w14:paraId="1967866D" w14:textId="77777777" w:rsidR="00C23E05" w:rsidRDefault="00C23E05">
      <w:r>
        <w:continuationSeparator/>
      </w:r>
    </w:p>
  </w:footnote>
  <w:footnote w:type="continuationNotice" w:id="1">
    <w:p w14:paraId="1DB24AE1" w14:textId="77777777" w:rsidR="00C23E05" w:rsidRDefault="00C23E05"/>
  </w:footnote>
  <w:footnote w:id="2">
    <w:p w14:paraId="734B9D96" w14:textId="77777777" w:rsidR="001F3524" w:rsidRPr="0064746F" w:rsidRDefault="001F3524">
      <w:pPr>
        <w:pStyle w:val="FootnoteText"/>
        <w:rPr>
          <w:rFonts w:ascii="Calibri" w:hAnsi="Calibri"/>
        </w:rPr>
      </w:pPr>
      <w:r w:rsidRPr="0064746F">
        <w:rPr>
          <w:rStyle w:val="FootnoteReference"/>
          <w:rFonts w:ascii="Calibri" w:hAnsi="Calibri"/>
        </w:rPr>
        <w:footnoteRef/>
      </w:r>
      <w:r w:rsidRPr="0064746F">
        <w:rPr>
          <w:rFonts w:ascii="Calibri" w:hAnsi="Calibri"/>
        </w:rPr>
        <w:t xml:space="preserve"> This assessment of results is to be</w:t>
      </w:r>
      <w:r w:rsidR="0064746F" w:rsidRPr="0064746F">
        <w:rPr>
          <w:rFonts w:ascii="Calibri" w:hAnsi="Calibri"/>
        </w:rPr>
        <w:t xml:space="preserve"> prepared</w:t>
      </w:r>
      <w:r w:rsidRPr="0064746F">
        <w:rPr>
          <w:rFonts w:ascii="Calibri" w:hAnsi="Calibri"/>
        </w:rPr>
        <w:t xml:space="preserve"> only in the absence of a completed Assessment of Development Results (ADR) for the cycle.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98438" w14:textId="77777777" w:rsidR="00157815" w:rsidRPr="00517955" w:rsidRDefault="00157815">
    <w:pPr>
      <w:pStyle w:val="Header"/>
      <w:rPr>
        <w:rFonts w:ascii="Calibri" w:hAnsi="Calibri"/>
      </w:rPr>
    </w:pPr>
    <w:r w:rsidRPr="00517955">
      <w:rPr>
        <w:rFonts w:ascii="Calibri" w:hAnsi="Calibri"/>
      </w:rPr>
      <w:t>DRAFT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A39EF"/>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AA4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5120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5C30BE2"/>
    <w:multiLevelType w:val="hybridMultilevel"/>
    <w:tmpl w:val="FF4C982A"/>
    <w:lvl w:ilvl="0" w:tplc="F6FE1EFC">
      <w:numFmt w:val="bullet"/>
      <w:lvlText w:val="-"/>
      <w:lvlJc w:val="left"/>
      <w:pPr>
        <w:tabs>
          <w:tab w:val="num" w:pos="572"/>
        </w:tabs>
        <w:ind w:left="572" w:hanging="360"/>
      </w:pPr>
      <w:rPr>
        <w:rFonts w:ascii="Arial"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4284809"/>
    <w:multiLevelType w:val="hybridMultilevel"/>
    <w:tmpl w:val="5BCC15D6"/>
    <w:lvl w:ilvl="0" w:tplc="08260F9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5D2276"/>
    <w:multiLevelType w:val="hybridMultilevel"/>
    <w:tmpl w:val="91F03DC0"/>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8">
    <w:nsid w:val="37E91BBE"/>
    <w:multiLevelType w:val="hybridMultilevel"/>
    <w:tmpl w:val="06C04FAC"/>
    <w:lvl w:ilvl="0" w:tplc="F6FE1EFC">
      <w:numFmt w:val="bullet"/>
      <w:lvlText w:val="-"/>
      <w:lvlJc w:val="left"/>
      <w:pPr>
        <w:tabs>
          <w:tab w:val="num" w:pos="1112"/>
        </w:tabs>
        <w:ind w:left="1112" w:hanging="360"/>
      </w:pPr>
      <w:rPr>
        <w:rFonts w:ascii="Arial" w:hAnsi="Aria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3E4B7DAA"/>
    <w:multiLevelType w:val="hybridMultilevel"/>
    <w:tmpl w:val="B1BC2630"/>
    <w:lvl w:ilvl="0" w:tplc="637AB9C8">
      <w:start w:val="1"/>
      <w:numFmt w:val="decimal"/>
      <w:lvlText w:val="%1)"/>
      <w:lvlJc w:val="left"/>
      <w:pPr>
        <w:tabs>
          <w:tab w:val="num" w:pos="1440"/>
        </w:tabs>
        <w:ind w:left="1440" w:hanging="360"/>
      </w:pPr>
      <w:rPr>
        <w:rFonts w:cs="Times New Roman" w:hint="default"/>
      </w:rPr>
    </w:lvl>
    <w:lvl w:ilvl="1" w:tplc="C2CCC016" w:tentative="1">
      <w:start w:val="1"/>
      <w:numFmt w:val="lowerLetter"/>
      <w:lvlText w:val="%2."/>
      <w:lvlJc w:val="left"/>
      <w:pPr>
        <w:tabs>
          <w:tab w:val="num" w:pos="2160"/>
        </w:tabs>
        <w:ind w:left="2160" w:hanging="360"/>
      </w:pPr>
    </w:lvl>
    <w:lvl w:ilvl="2" w:tplc="7F520C4C" w:tentative="1">
      <w:start w:val="1"/>
      <w:numFmt w:val="lowerRoman"/>
      <w:lvlText w:val="%3."/>
      <w:lvlJc w:val="right"/>
      <w:pPr>
        <w:tabs>
          <w:tab w:val="num" w:pos="2880"/>
        </w:tabs>
        <w:ind w:left="2880" w:hanging="180"/>
      </w:pPr>
    </w:lvl>
    <w:lvl w:ilvl="3" w:tplc="FEA22EFE" w:tentative="1">
      <w:start w:val="1"/>
      <w:numFmt w:val="decimal"/>
      <w:lvlText w:val="%4."/>
      <w:lvlJc w:val="left"/>
      <w:pPr>
        <w:tabs>
          <w:tab w:val="num" w:pos="3600"/>
        </w:tabs>
        <w:ind w:left="3600" w:hanging="360"/>
      </w:pPr>
    </w:lvl>
    <w:lvl w:ilvl="4" w:tplc="16E80030" w:tentative="1">
      <w:start w:val="1"/>
      <w:numFmt w:val="lowerLetter"/>
      <w:lvlText w:val="%5."/>
      <w:lvlJc w:val="left"/>
      <w:pPr>
        <w:tabs>
          <w:tab w:val="num" w:pos="4320"/>
        </w:tabs>
        <w:ind w:left="4320" w:hanging="360"/>
      </w:pPr>
    </w:lvl>
    <w:lvl w:ilvl="5" w:tplc="B0F6687C" w:tentative="1">
      <w:start w:val="1"/>
      <w:numFmt w:val="lowerRoman"/>
      <w:lvlText w:val="%6."/>
      <w:lvlJc w:val="right"/>
      <w:pPr>
        <w:tabs>
          <w:tab w:val="num" w:pos="5040"/>
        </w:tabs>
        <w:ind w:left="5040" w:hanging="180"/>
      </w:pPr>
    </w:lvl>
    <w:lvl w:ilvl="6" w:tplc="EE283A6C" w:tentative="1">
      <w:start w:val="1"/>
      <w:numFmt w:val="decimal"/>
      <w:lvlText w:val="%7."/>
      <w:lvlJc w:val="left"/>
      <w:pPr>
        <w:tabs>
          <w:tab w:val="num" w:pos="5760"/>
        </w:tabs>
        <w:ind w:left="5760" w:hanging="360"/>
      </w:pPr>
    </w:lvl>
    <w:lvl w:ilvl="7" w:tplc="C4B860EC" w:tentative="1">
      <w:start w:val="1"/>
      <w:numFmt w:val="lowerLetter"/>
      <w:lvlText w:val="%8."/>
      <w:lvlJc w:val="left"/>
      <w:pPr>
        <w:tabs>
          <w:tab w:val="num" w:pos="6480"/>
        </w:tabs>
        <w:ind w:left="6480" w:hanging="360"/>
      </w:pPr>
    </w:lvl>
    <w:lvl w:ilvl="8" w:tplc="B75AACE8" w:tentative="1">
      <w:start w:val="1"/>
      <w:numFmt w:val="lowerRoman"/>
      <w:lvlText w:val="%9."/>
      <w:lvlJc w:val="right"/>
      <w:pPr>
        <w:tabs>
          <w:tab w:val="num" w:pos="7200"/>
        </w:tabs>
        <w:ind w:left="7200" w:hanging="180"/>
      </w:pPr>
    </w:lvl>
  </w:abstractNum>
  <w:abstractNum w:abstractNumId="10">
    <w:nsid w:val="403569F9"/>
    <w:multiLevelType w:val="hybridMultilevel"/>
    <w:tmpl w:val="24509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9032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5D387FF6"/>
    <w:multiLevelType w:val="hybridMultilevel"/>
    <w:tmpl w:val="BB40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35C1B23"/>
    <w:multiLevelType w:val="hybridMultilevel"/>
    <w:tmpl w:val="55922556"/>
    <w:lvl w:ilvl="0" w:tplc="6052AB20">
      <w:start w:val="1"/>
      <w:numFmt w:val="lowerLetter"/>
      <w:lvlText w:val="(%1)"/>
      <w:lvlJc w:val="left"/>
      <w:pPr>
        <w:ind w:left="720" w:hanging="360"/>
      </w:pPr>
      <w:rPr>
        <w:rFonts w:ascii="Calibri" w:hAnsi="Calibri" w:hint="default"/>
        <w:sz w:val="28"/>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4D14FD5"/>
    <w:multiLevelType w:val="hybridMultilevel"/>
    <w:tmpl w:val="C526E486"/>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nsid w:val="75E40B02"/>
    <w:multiLevelType w:val="hybridMultilevel"/>
    <w:tmpl w:val="032E4A8E"/>
    <w:lvl w:ilvl="0" w:tplc="08260F98">
      <w:start w:val="1"/>
      <w:numFmt w:val="lowerLetter"/>
      <w:lvlText w:val="%1."/>
      <w:lvlJc w:val="left"/>
      <w:pPr>
        <w:ind w:left="360" w:hanging="360"/>
      </w:pPr>
      <w:rPr>
        <w:rFonts w:hint="default"/>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3"/>
  </w:num>
  <w:num w:numId="5">
    <w:abstractNumId w:val="12"/>
  </w:num>
  <w:num w:numId="6">
    <w:abstractNumId w:val="14"/>
  </w:num>
  <w:num w:numId="7">
    <w:abstractNumId w:val="2"/>
  </w:num>
  <w:num w:numId="8">
    <w:abstractNumId w:val="13"/>
  </w:num>
  <w:num w:numId="9">
    <w:abstractNumId w:val="4"/>
  </w:num>
  <w:num w:numId="10">
    <w:abstractNumId w:val="8"/>
  </w:num>
  <w:num w:numId="11">
    <w:abstractNumId w:val="18"/>
  </w:num>
  <w:num w:numId="12">
    <w:abstractNumId w:val="10"/>
  </w:num>
  <w:num w:numId="13">
    <w:abstractNumId w:val="11"/>
  </w:num>
  <w:num w:numId="14">
    <w:abstractNumId w:val="6"/>
  </w:num>
  <w:num w:numId="15">
    <w:abstractNumId w:val="0"/>
  </w:num>
  <w:num w:numId="16">
    <w:abstractNumId w:val="17"/>
  </w:num>
  <w:num w:numId="17">
    <w:abstractNumId w:val="15"/>
  </w:num>
  <w:num w:numId="18">
    <w:abstractNumId w:val="19"/>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68"/>
    <w:rsid w:val="00001D39"/>
    <w:rsid w:val="00007461"/>
    <w:rsid w:val="000079CC"/>
    <w:rsid w:val="00011A63"/>
    <w:rsid w:val="00016AC6"/>
    <w:rsid w:val="000211E0"/>
    <w:rsid w:val="00023E18"/>
    <w:rsid w:val="00030E69"/>
    <w:rsid w:val="00034E1C"/>
    <w:rsid w:val="000502AD"/>
    <w:rsid w:val="0005479C"/>
    <w:rsid w:val="00054DAB"/>
    <w:rsid w:val="00055FBA"/>
    <w:rsid w:val="000711DE"/>
    <w:rsid w:val="00077467"/>
    <w:rsid w:val="000823AC"/>
    <w:rsid w:val="000829AC"/>
    <w:rsid w:val="00083A66"/>
    <w:rsid w:val="00084EC1"/>
    <w:rsid w:val="0009748E"/>
    <w:rsid w:val="00097E8A"/>
    <w:rsid w:val="000A049E"/>
    <w:rsid w:val="000B4B51"/>
    <w:rsid w:val="000B67E7"/>
    <w:rsid w:val="000C09B4"/>
    <w:rsid w:val="000C4457"/>
    <w:rsid w:val="000D065E"/>
    <w:rsid w:val="000D20B9"/>
    <w:rsid w:val="000D6DE5"/>
    <w:rsid w:val="000F2FC4"/>
    <w:rsid w:val="000F77FD"/>
    <w:rsid w:val="001058F3"/>
    <w:rsid w:val="00105B0A"/>
    <w:rsid w:val="001212A8"/>
    <w:rsid w:val="00122092"/>
    <w:rsid w:val="00123E65"/>
    <w:rsid w:val="0014344C"/>
    <w:rsid w:val="00146EEB"/>
    <w:rsid w:val="00150833"/>
    <w:rsid w:val="0015409F"/>
    <w:rsid w:val="001574B1"/>
    <w:rsid w:val="00157815"/>
    <w:rsid w:val="00160517"/>
    <w:rsid w:val="00162738"/>
    <w:rsid w:val="001663A4"/>
    <w:rsid w:val="00167DA9"/>
    <w:rsid w:val="00176076"/>
    <w:rsid w:val="001803F8"/>
    <w:rsid w:val="001902EF"/>
    <w:rsid w:val="001956C7"/>
    <w:rsid w:val="001A24E2"/>
    <w:rsid w:val="001A4D75"/>
    <w:rsid w:val="001B6EFA"/>
    <w:rsid w:val="001B721D"/>
    <w:rsid w:val="001C3FE7"/>
    <w:rsid w:val="001D3BB0"/>
    <w:rsid w:val="001D3D5B"/>
    <w:rsid w:val="001D77AC"/>
    <w:rsid w:val="001E6253"/>
    <w:rsid w:val="001E643A"/>
    <w:rsid w:val="001F1439"/>
    <w:rsid w:val="001F2557"/>
    <w:rsid w:val="001F3524"/>
    <w:rsid w:val="002105FA"/>
    <w:rsid w:val="002126EF"/>
    <w:rsid w:val="00221E92"/>
    <w:rsid w:val="00221F44"/>
    <w:rsid w:val="0022680B"/>
    <w:rsid w:val="00230034"/>
    <w:rsid w:val="00230A0E"/>
    <w:rsid w:val="002315A5"/>
    <w:rsid w:val="00232597"/>
    <w:rsid w:val="002328B1"/>
    <w:rsid w:val="0023511E"/>
    <w:rsid w:val="002476F8"/>
    <w:rsid w:val="0025214B"/>
    <w:rsid w:val="002547CF"/>
    <w:rsid w:val="0026321D"/>
    <w:rsid w:val="00286705"/>
    <w:rsid w:val="00292DE1"/>
    <w:rsid w:val="002A3D22"/>
    <w:rsid w:val="002B31CA"/>
    <w:rsid w:val="002B4075"/>
    <w:rsid w:val="002B4268"/>
    <w:rsid w:val="002B6277"/>
    <w:rsid w:val="002B7CBE"/>
    <w:rsid w:val="002C2137"/>
    <w:rsid w:val="002C4B80"/>
    <w:rsid w:val="002C5106"/>
    <w:rsid w:val="002C64AE"/>
    <w:rsid w:val="002D2814"/>
    <w:rsid w:val="002D36A1"/>
    <w:rsid w:val="002F7E65"/>
    <w:rsid w:val="00302691"/>
    <w:rsid w:val="00314F8D"/>
    <w:rsid w:val="00315656"/>
    <w:rsid w:val="003175BE"/>
    <w:rsid w:val="0032175A"/>
    <w:rsid w:val="00322DEA"/>
    <w:rsid w:val="0032679F"/>
    <w:rsid w:val="0033790D"/>
    <w:rsid w:val="00346615"/>
    <w:rsid w:val="00350010"/>
    <w:rsid w:val="00353D1F"/>
    <w:rsid w:val="00354CB5"/>
    <w:rsid w:val="00357B0E"/>
    <w:rsid w:val="00360FCE"/>
    <w:rsid w:val="00363EC5"/>
    <w:rsid w:val="003668F7"/>
    <w:rsid w:val="00366AD1"/>
    <w:rsid w:val="0037523B"/>
    <w:rsid w:val="00377F4F"/>
    <w:rsid w:val="00383BC8"/>
    <w:rsid w:val="00385C11"/>
    <w:rsid w:val="003943E9"/>
    <w:rsid w:val="003A5AED"/>
    <w:rsid w:val="003A5C45"/>
    <w:rsid w:val="003B037A"/>
    <w:rsid w:val="003B41AF"/>
    <w:rsid w:val="003B422F"/>
    <w:rsid w:val="003C07EF"/>
    <w:rsid w:val="003C3C13"/>
    <w:rsid w:val="003C47E7"/>
    <w:rsid w:val="003C55DB"/>
    <w:rsid w:val="003C7D95"/>
    <w:rsid w:val="003D31A2"/>
    <w:rsid w:val="003D653B"/>
    <w:rsid w:val="003E0821"/>
    <w:rsid w:val="003F35F1"/>
    <w:rsid w:val="004004FC"/>
    <w:rsid w:val="00401CB3"/>
    <w:rsid w:val="00406646"/>
    <w:rsid w:val="0041417E"/>
    <w:rsid w:val="00415DAB"/>
    <w:rsid w:val="00417008"/>
    <w:rsid w:val="00424E4F"/>
    <w:rsid w:val="004379FF"/>
    <w:rsid w:val="00442004"/>
    <w:rsid w:val="004430A1"/>
    <w:rsid w:val="00445DF1"/>
    <w:rsid w:val="004511E7"/>
    <w:rsid w:val="004542F5"/>
    <w:rsid w:val="0045462F"/>
    <w:rsid w:val="00461D62"/>
    <w:rsid w:val="004625DB"/>
    <w:rsid w:val="0047391B"/>
    <w:rsid w:val="00481D6F"/>
    <w:rsid w:val="0048455B"/>
    <w:rsid w:val="00497B2C"/>
    <w:rsid w:val="004B3911"/>
    <w:rsid w:val="004B6A90"/>
    <w:rsid w:val="004C1997"/>
    <w:rsid w:val="004C595C"/>
    <w:rsid w:val="004D3DBE"/>
    <w:rsid w:val="004E073D"/>
    <w:rsid w:val="005106FA"/>
    <w:rsid w:val="005136B2"/>
    <w:rsid w:val="00514882"/>
    <w:rsid w:val="00516AC8"/>
    <w:rsid w:val="00517955"/>
    <w:rsid w:val="00530FDE"/>
    <w:rsid w:val="005402B6"/>
    <w:rsid w:val="00541C3D"/>
    <w:rsid w:val="0054273E"/>
    <w:rsid w:val="005474ED"/>
    <w:rsid w:val="00556285"/>
    <w:rsid w:val="00564C64"/>
    <w:rsid w:val="00565718"/>
    <w:rsid w:val="00566C4B"/>
    <w:rsid w:val="0057436E"/>
    <w:rsid w:val="00592AF6"/>
    <w:rsid w:val="005943EF"/>
    <w:rsid w:val="0059514D"/>
    <w:rsid w:val="005952C0"/>
    <w:rsid w:val="005A2F07"/>
    <w:rsid w:val="005A6504"/>
    <w:rsid w:val="005A7B65"/>
    <w:rsid w:val="005B2F96"/>
    <w:rsid w:val="005B4F4A"/>
    <w:rsid w:val="005B719B"/>
    <w:rsid w:val="005C4F96"/>
    <w:rsid w:val="005C5B13"/>
    <w:rsid w:val="005C6168"/>
    <w:rsid w:val="005D149A"/>
    <w:rsid w:val="005D4312"/>
    <w:rsid w:val="005E0C05"/>
    <w:rsid w:val="005E4890"/>
    <w:rsid w:val="005F2E08"/>
    <w:rsid w:val="005F32A8"/>
    <w:rsid w:val="005F6261"/>
    <w:rsid w:val="00606E87"/>
    <w:rsid w:val="00612159"/>
    <w:rsid w:val="00617412"/>
    <w:rsid w:val="00620EE6"/>
    <w:rsid w:val="0062641C"/>
    <w:rsid w:val="00631E35"/>
    <w:rsid w:val="00632E2D"/>
    <w:rsid w:val="00635929"/>
    <w:rsid w:val="0064746F"/>
    <w:rsid w:val="0065549A"/>
    <w:rsid w:val="00661899"/>
    <w:rsid w:val="0067151E"/>
    <w:rsid w:val="00673710"/>
    <w:rsid w:val="00674B1A"/>
    <w:rsid w:val="006763E6"/>
    <w:rsid w:val="006815CB"/>
    <w:rsid w:val="00686288"/>
    <w:rsid w:val="006867BD"/>
    <w:rsid w:val="006900FE"/>
    <w:rsid w:val="00692CCB"/>
    <w:rsid w:val="006B20B2"/>
    <w:rsid w:val="006B3073"/>
    <w:rsid w:val="006B4B75"/>
    <w:rsid w:val="006B6AAB"/>
    <w:rsid w:val="006C0C05"/>
    <w:rsid w:val="006C5366"/>
    <w:rsid w:val="006D1E36"/>
    <w:rsid w:val="006D258C"/>
    <w:rsid w:val="006D3D25"/>
    <w:rsid w:val="006E1F0C"/>
    <w:rsid w:val="006E3817"/>
    <w:rsid w:val="006E3E5F"/>
    <w:rsid w:val="006E5351"/>
    <w:rsid w:val="006E6AE6"/>
    <w:rsid w:val="006F3577"/>
    <w:rsid w:val="007002C7"/>
    <w:rsid w:val="00700521"/>
    <w:rsid w:val="0070338F"/>
    <w:rsid w:val="00704406"/>
    <w:rsid w:val="0070674D"/>
    <w:rsid w:val="00707C74"/>
    <w:rsid w:val="007100E2"/>
    <w:rsid w:val="0072033B"/>
    <w:rsid w:val="00726089"/>
    <w:rsid w:val="00731729"/>
    <w:rsid w:val="0073585F"/>
    <w:rsid w:val="007465C5"/>
    <w:rsid w:val="0075310C"/>
    <w:rsid w:val="00760E32"/>
    <w:rsid w:val="00764E41"/>
    <w:rsid w:val="00767B03"/>
    <w:rsid w:val="00767CB1"/>
    <w:rsid w:val="00770B33"/>
    <w:rsid w:val="00771515"/>
    <w:rsid w:val="007734CC"/>
    <w:rsid w:val="00775413"/>
    <w:rsid w:val="00776056"/>
    <w:rsid w:val="007871E6"/>
    <w:rsid w:val="00790C12"/>
    <w:rsid w:val="0079476D"/>
    <w:rsid w:val="007A01F7"/>
    <w:rsid w:val="007A316B"/>
    <w:rsid w:val="007B108D"/>
    <w:rsid w:val="007B25A6"/>
    <w:rsid w:val="007B7A05"/>
    <w:rsid w:val="007C1B15"/>
    <w:rsid w:val="007C598D"/>
    <w:rsid w:val="007C693E"/>
    <w:rsid w:val="007C7050"/>
    <w:rsid w:val="007E0896"/>
    <w:rsid w:val="007E1663"/>
    <w:rsid w:val="007E3277"/>
    <w:rsid w:val="007F3DDA"/>
    <w:rsid w:val="007F5C05"/>
    <w:rsid w:val="007F703E"/>
    <w:rsid w:val="008018C5"/>
    <w:rsid w:val="008109C0"/>
    <w:rsid w:val="008114C9"/>
    <w:rsid w:val="00813F1E"/>
    <w:rsid w:val="0081403B"/>
    <w:rsid w:val="00814B67"/>
    <w:rsid w:val="00837C4B"/>
    <w:rsid w:val="00841737"/>
    <w:rsid w:val="00841848"/>
    <w:rsid w:val="00842737"/>
    <w:rsid w:val="00843006"/>
    <w:rsid w:val="008440D9"/>
    <w:rsid w:val="00845340"/>
    <w:rsid w:val="00847D39"/>
    <w:rsid w:val="008578BC"/>
    <w:rsid w:val="0086790C"/>
    <w:rsid w:val="00867AAC"/>
    <w:rsid w:val="008761C0"/>
    <w:rsid w:val="00882ECA"/>
    <w:rsid w:val="00884E45"/>
    <w:rsid w:val="00886D45"/>
    <w:rsid w:val="00890358"/>
    <w:rsid w:val="00897346"/>
    <w:rsid w:val="008A05AD"/>
    <w:rsid w:val="008A2697"/>
    <w:rsid w:val="008A70C0"/>
    <w:rsid w:val="008B06DD"/>
    <w:rsid w:val="008B7325"/>
    <w:rsid w:val="008D38DF"/>
    <w:rsid w:val="008D4556"/>
    <w:rsid w:val="008D67BC"/>
    <w:rsid w:val="008D791F"/>
    <w:rsid w:val="008E7AEB"/>
    <w:rsid w:val="008F0A97"/>
    <w:rsid w:val="008F69D8"/>
    <w:rsid w:val="008F7A0F"/>
    <w:rsid w:val="009172A0"/>
    <w:rsid w:val="0092018D"/>
    <w:rsid w:val="00920DBC"/>
    <w:rsid w:val="00926971"/>
    <w:rsid w:val="0093409A"/>
    <w:rsid w:val="009353D7"/>
    <w:rsid w:val="00936DD2"/>
    <w:rsid w:val="00942B3B"/>
    <w:rsid w:val="009571D0"/>
    <w:rsid w:val="009577C6"/>
    <w:rsid w:val="0097197E"/>
    <w:rsid w:val="00975566"/>
    <w:rsid w:val="00977F36"/>
    <w:rsid w:val="0098082A"/>
    <w:rsid w:val="00990CED"/>
    <w:rsid w:val="00990EF4"/>
    <w:rsid w:val="009B76A1"/>
    <w:rsid w:val="009C44FD"/>
    <w:rsid w:val="009E0727"/>
    <w:rsid w:val="009E14AF"/>
    <w:rsid w:val="009E7526"/>
    <w:rsid w:val="009F21FD"/>
    <w:rsid w:val="00A0001A"/>
    <w:rsid w:val="00A16F22"/>
    <w:rsid w:val="00A1786A"/>
    <w:rsid w:val="00A210CD"/>
    <w:rsid w:val="00A30EBB"/>
    <w:rsid w:val="00A3562F"/>
    <w:rsid w:val="00A40130"/>
    <w:rsid w:val="00A4218D"/>
    <w:rsid w:val="00A44EC2"/>
    <w:rsid w:val="00A44F24"/>
    <w:rsid w:val="00A450C8"/>
    <w:rsid w:val="00A45251"/>
    <w:rsid w:val="00A45528"/>
    <w:rsid w:val="00A57912"/>
    <w:rsid w:val="00A74149"/>
    <w:rsid w:val="00A8352D"/>
    <w:rsid w:val="00A84CFE"/>
    <w:rsid w:val="00A85E34"/>
    <w:rsid w:val="00AA0434"/>
    <w:rsid w:val="00AA3754"/>
    <w:rsid w:val="00AB1E3C"/>
    <w:rsid w:val="00AB5F78"/>
    <w:rsid w:val="00AD5D0E"/>
    <w:rsid w:val="00AD743B"/>
    <w:rsid w:val="00AD7F17"/>
    <w:rsid w:val="00AE3F01"/>
    <w:rsid w:val="00AF3F2D"/>
    <w:rsid w:val="00AF7F50"/>
    <w:rsid w:val="00B00E5C"/>
    <w:rsid w:val="00B053BE"/>
    <w:rsid w:val="00B137EC"/>
    <w:rsid w:val="00B2050D"/>
    <w:rsid w:val="00B24683"/>
    <w:rsid w:val="00B25B8C"/>
    <w:rsid w:val="00B27FA2"/>
    <w:rsid w:val="00B32ADA"/>
    <w:rsid w:val="00B44962"/>
    <w:rsid w:val="00B62482"/>
    <w:rsid w:val="00B628D1"/>
    <w:rsid w:val="00B64ACA"/>
    <w:rsid w:val="00B651BC"/>
    <w:rsid w:val="00B71E71"/>
    <w:rsid w:val="00B72446"/>
    <w:rsid w:val="00B724A6"/>
    <w:rsid w:val="00B75A30"/>
    <w:rsid w:val="00B77155"/>
    <w:rsid w:val="00B8402F"/>
    <w:rsid w:val="00B85CD6"/>
    <w:rsid w:val="00B94F53"/>
    <w:rsid w:val="00BA41C0"/>
    <w:rsid w:val="00BB22C9"/>
    <w:rsid w:val="00BB4479"/>
    <w:rsid w:val="00BC38E0"/>
    <w:rsid w:val="00BC5E51"/>
    <w:rsid w:val="00BD7D98"/>
    <w:rsid w:val="00BE2925"/>
    <w:rsid w:val="00BE4295"/>
    <w:rsid w:val="00BE4747"/>
    <w:rsid w:val="00BF2E19"/>
    <w:rsid w:val="00C06514"/>
    <w:rsid w:val="00C07BCA"/>
    <w:rsid w:val="00C15335"/>
    <w:rsid w:val="00C22F29"/>
    <w:rsid w:val="00C23C9D"/>
    <w:rsid w:val="00C23E05"/>
    <w:rsid w:val="00C27DA7"/>
    <w:rsid w:val="00C50C38"/>
    <w:rsid w:val="00C55AC4"/>
    <w:rsid w:val="00C576D1"/>
    <w:rsid w:val="00C62273"/>
    <w:rsid w:val="00C64919"/>
    <w:rsid w:val="00C65E05"/>
    <w:rsid w:val="00C66DE1"/>
    <w:rsid w:val="00C702CE"/>
    <w:rsid w:val="00C73B67"/>
    <w:rsid w:val="00C84762"/>
    <w:rsid w:val="00C85F88"/>
    <w:rsid w:val="00C86F06"/>
    <w:rsid w:val="00C91262"/>
    <w:rsid w:val="00C97E31"/>
    <w:rsid w:val="00CB647D"/>
    <w:rsid w:val="00CC6107"/>
    <w:rsid w:val="00CE48B3"/>
    <w:rsid w:val="00CE681B"/>
    <w:rsid w:val="00CE6CC2"/>
    <w:rsid w:val="00CF54E4"/>
    <w:rsid w:val="00D00A28"/>
    <w:rsid w:val="00D04AEF"/>
    <w:rsid w:val="00D10201"/>
    <w:rsid w:val="00D30BE3"/>
    <w:rsid w:val="00D370C2"/>
    <w:rsid w:val="00D4362E"/>
    <w:rsid w:val="00D54892"/>
    <w:rsid w:val="00D7206B"/>
    <w:rsid w:val="00D80A4F"/>
    <w:rsid w:val="00D820C1"/>
    <w:rsid w:val="00D9192E"/>
    <w:rsid w:val="00DA1702"/>
    <w:rsid w:val="00DA5870"/>
    <w:rsid w:val="00DA7DD0"/>
    <w:rsid w:val="00DB2007"/>
    <w:rsid w:val="00DB2779"/>
    <w:rsid w:val="00DC0F20"/>
    <w:rsid w:val="00DC12B2"/>
    <w:rsid w:val="00DC4D86"/>
    <w:rsid w:val="00DC7354"/>
    <w:rsid w:val="00DD4368"/>
    <w:rsid w:val="00DE5A1F"/>
    <w:rsid w:val="00DE7C2C"/>
    <w:rsid w:val="00DF0357"/>
    <w:rsid w:val="00E05378"/>
    <w:rsid w:val="00E06A4E"/>
    <w:rsid w:val="00E1547F"/>
    <w:rsid w:val="00E219DC"/>
    <w:rsid w:val="00E22B27"/>
    <w:rsid w:val="00E275CD"/>
    <w:rsid w:val="00E32ACA"/>
    <w:rsid w:val="00E35E91"/>
    <w:rsid w:val="00E37E7A"/>
    <w:rsid w:val="00E470D5"/>
    <w:rsid w:val="00E4778A"/>
    <w:rsid w:val="00E56B8D"/>
    <w:rsid w:val="00E652F2"/>
    <w:rsid w:val="00E770DC"/>
    <w:rsid w:val="00E86502"/>
    <w:rsid w:val="00E94D71"/>
    <w:rsid w:val="00E95C50"/>
    <w:rsid w:val="00EA1738"/>
    <w:rsid w:val="00EA21E5"/>
    <w:rsid w:val="00EA5229"/>
    <w:rsid w:val="00EA7740"/>
    <w:rsid w:val="00EB77CC"/>
    <w:rsid w:val="00EC7BBC"/>
    <w:rsid w:val="00ED3488"/>
    <w:rsid w:val="00EE1D60"/>
    <w:rsid w:val="00EE561C"/>
    <w:rsid w:val="00EE66AC"/>
    <w:rsid w:val="00F01FDE"/>
    <w:rsid w:val="00F16195"/>
    <w:rsid w:val="00F2046D"/>
    <w:rsid w:val="00F31949"/>
    <w:rsid w:val="00F35A8A"/>
    <w:rsid w:val="00F37FA7"/>
    <w:rsid w:val="00F43138"/>
    <w:rsid w:val="00F439F9"/>
    <w:rsid w:val="00F47CCF"/>
    <w:rsid w:val="00F52AB6"/>
    <w:rsid w:val="00F679FA"/>
    <w:rsid w:val="00F8249C"/>
    <w:rsid w:val="00F826EC"/>
    <w:rsid w:val="00F84ED4"/>
    <w:rsid w:val="00F84FD4"/>
    <w:rsid w:val="00F91970"/>
    <w:rsid w:val="00FA28B1"/>
    <w:rsid w:val="00FA6191"/>
    <w:rsid w:val="00FB2C4C"/>
    <w:rsid w:val="00FB3DB2"/>
    <w:rsid w:val="00FB6265"/>
    <w:rsid w:val="00FB7C61"/>
    <w:rsid w:val="00FC01F5"/>
    <w:rsid w:val="00FC25DE"/>
    <w:rsid w:val="00FC440E"/>
    <w:rsid w:val="00FC4B11"/>
    <w:rsid w:val="00FD3253"/>
    <w:rsid w:val="00FD5744"/>
    <w:rsid w:val="00FE2CAE"/>
    <w:rsid w:val="00FE3711"/>
    <w:rsid w:val="00FF5BC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3A801"/>
  <w15:docId w15:val="{1DD64AD4-A07B-4DD9-AFA9-7B3F46B56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4"/>
    <w:pPr>
      <w:widowControl w:val="0"/>
    </w:pPr>
    <w:rPr>
      <w:sz w:val="24"/>
      <w:lang w:val="en-US" w:eastAsia="en-US"/>
    </w:rPr>
  </w:style>
  <w:style w:type="paragraph" w:styleId="Heading1">
    <w:name w:val="heading 1"/>
    <w:basedOn w:val="Normal"/>
    <w:next w:val="Normal"/>
    <w:link w:val="Heading1Char"/>
    <w:qFormat/>
    <w:rsid w:val="00DC7354"/>
    <w:pPr>
      <w:keepNext/>
      <w:keepLines/>
      <w:spacing w:before="480"/>
      <w:outlineLvl w:val="0"/>
    </w:pPr>
    <w:rPr>
      <w:rFonts w:ascii="Cambria" w:hAnsi="Cambria"/>
      <w:b/>
      <w:bCs/>
      <w:color w:val="365F91"/>
      <w:sz w:val="28"/>
      <w:szCs w:val="28"/>
      <w:lang w:val="x-none" w:eastAsia="x-none"/>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BC4"/>
    <w:pPr>
      <w:widowControl/>
    </w:pPr>
    <w:rPr>
      <w:rFonts w:ascii="Univers" w:hAnsi="Univers"/>
      <w:sz w:val="22"/>
    </w:rPr>
  </w:style>
  <w:style w:type="paragraph" w:styleId="BodyText2">
    <w:name w:val="Body Text 2"/>
    <w:basedOn w:val="Normal"/>
    <w:rsid w:val="00FF5BC4"/>
    <w:pPr>
      <w:widowControl/>
    </w:pPr>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link w:val="HeaderChar"/>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rPr>
      <w:lang w:val="x-none" w:eastAsia="x-none"/>
    </w:rPr>
  </w:style>
  <w:style w:type="table" w:styleId="TableGrid">
    <w:name w:val="Table Grid"/>
    <w:basedOn w:val="TableNormal"/>
    <w:rsid w:val="008018C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DC7354"/>
    <w:rPr>
      <w:rFonts w:ascii="Cambria" w:eastAsia="Times New Roman" w:hAnsi="Cambria" w:cs="Times New Roman"/>
      <w:b/>
      <w:bCs/>
      <w:color w:val="365F91"/>
      <w:sz w:val="28"/>
      <w:szCs w:val="28"/>
    </w:rPr>
  </w:style>
  <w:style w:type="character" w:customStyle="1" w:styleId="FooterChar">
    <w:name w:val="Footer Char"/>
    <w:link w:val="Footer"/>
    <w:uiPriority w:val="99"/>
    <w:rsid w:val="00A210CD"/>
    <w:rPr>
      <w:sz w:val="24"/>
    </w:rPr>
  </w:style>
  <w:style w:type="paragraph" w:styleId="FootnoteText">
    <w:name w:val="footnote text"/>
    <w:basedOn w:val="Normal"/>
    <w:link w:val="FootnoteTextChar"/>
    <w:rsid w:val="001F3524"/>
    <w:rPr>
      <w:sz w:val="20"/>
    </w:rPr>
  </w:style>
  <w:style w:type="character" w:customStyle="1" w:styleId="FootnoteTextChar">
    <w:name w:val="Footnote Text Char"/>
    <w:basedOn w:val="DefaultParagraphFont"/>
    <w:link w:val="FootnoteText"/>
    <w:rsid w:val="001F3524"/>
  </w:style>
  <w:style w:type="character" w:styleId="FootnoteReference">
    <w:name w:val="footnote reference"/>
    <w:rsid w:val="001F3524"/>
    <w:rPr>
      <w:vertAlign w:val="superscript"/>
    </w:rPr>
  </w:style>
  <w:style w:type="character" w:customStyle="1" w:styleId="hps">
    <w:name w:val="hps"/>
    <w:rsid w:val="000B67E7"/>
  </w:style>
  <w:style w:type="paragraph" w:styleId="ListParagraph">
    <w:name w:val="List Paragraph"/>
    <w:basedOn w:val="Normal"/>
    <w:uiPriority w:val="34"/>
    <w:qFormat/>
    <w:rsid w:val="000B67E7"/>
    <w:pPr>
      <w:widowControl/>
      <w:ind w:left="720"/>
      <w:contextualSpacing/>
    </w:pPr>
    <w:rPr>
      <w:sz w:val="20"/>
      <w:lang w:val="es-ES" w:eastAsia="es-ES"/>
    </w:rPr>
  </w:style>
  <w:style w:type="character" w:customStyle="1" w:styleId="shorttext">
    <w:name w:val="short_text"/>
    <w:rsid w:val="00D04AEF"/>
  </w:style>
  <w:style w:type="character" w:customStyle="1" w:styleId="atn">
    <w:name w:val="atn"/>
    <w:rsid w:val="00D04AEF"/>
  </w:style>
  <w:style w:type="paragraph" w:styleId="BalloonText">
    <w:name w:val="Balloon Text"/>
    <w:basedOn w:val="Normal"/>
    <w:link w:val="BalloonTextChar"/>
    <w:rsid w:val="00A45251"/>
    <w:rPr>
      <w:rFonts w:ascii="Tahoma" w:hAnsi="Tahoma" w:cs="Tahoma"/>
      <w:sz w:val="16"/>
      <w:szCs w:val="16"/>
    </w:rPr>
  </w:style>
  <w:style w:type="character" w:customStyle="1" w:styleId="BalloonTextChar">
    <w:name w:val="Balloon Text Char"/>
    <w:link w:val="BalloonText"/>
    <w:rsid w:val="00A45251"/>
    <w:rPr>
      <w:rFonts w:ascii="Tahoma" w:hAnsi="Tahoma" w:cs="Tahoma"/>
      <w:sz w:val="16"/>
      <w:szCs w:val="16"/>
      <w:lang w:val="en-US" w:eastAsia="en-US"/>
    </w:rPr>
  </w:style>
  <w:style w:type="character" w:customStyle="1" w:styleId="HeaderChar">
    <w:name w:val="Header Char"/>
    <w:link w:val="Header"/>
    <w:rsid w:val="009571D0"/>
    <w:rPr>
      <w:sz w:val="24"/>
      <w:lang w:val="en-US" w:eastAsia="en-US"/>
    </w:rPr>
  </w:style>
  <w:style w:type="paragraph" w:styleId="NormalWeb">
    <w:name w:val="Normal (Web)"/>
    <w:basedOn w:val="Normal"/>
    <w:uiPriority w:val="99"/>
    <w:rsid w:val="006B3073"/>
    <w:pPr>
      <w:widowControl/>
      <w:spacing w:before="100" w:beforeAutospacing="1" w:after="100" w:afterAutospacing="1"/>
    </w:pPr>
    <w:rPr>
      <w:szCs w:val="24"/>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2593">
      <w:bodyDiv w:val="1"/>
      <w:marLeft w:val="0"/>
      <w:marRight w:val="0"/>
      <w:marTop w:val="0"/>
      <w:marBottom w:val="0"/>
      <w:divBdr>
        <w:top w:val="none" w:sz="0" w:space="0" w:color="auto"/>
        <w:left w:val="none" w:sz="0" w:space="0" w:color="auto"/>
        <w:bottom w:val="none" w:sz="0" w:space="0" w:color="auto"/>
        <w:right w:val="none" w:sz="0" w:space="0" w:color="auto"/>
      </w:divBdr>
    </w:div>
    <w:div w:id="94131091">
      <w:bodyDiv w:val="1"/>
      <w:marLeft w:val="0"/>
      <w:marRight w:val="0"/>
      <w:marTop w:val="0"/>
      <w:marBottom w:val="0"/>
      <w:divBdr>
        <w:top w:val="none" w:sz="0" w:space="0" w:color="auto"/>
        <w:left w:val="none" w:sz="0" w:space="0" w:color="auto"/>
        <w:bottom w:val="none" w:sz="0" w:space="0" w:color="auto"/>
        <w:right w:val="none" w:sz="0" w:space="0" w:color="auto"/>
      </w:divBdr>
    </w:div>
    <w:div w:id="290938510">
      <w:bodyDiv w:val="1"/>
      <w:marLeft w:val="0"/>
      <w:marRight w:val="0"/>
      <w:marTop w:val="0"/>
      <w:marBottom w:val="0"/>
      <w:divBdr>
        <w:top w:val="none" w:sz="0" w:space="0" w:color="auto"/>
        <w:left w:val="none" w:sz="0" w:space="0" w:color="auto"/>
        <w:bottom w:val="none" w:sz="0" w:space="0" w:color="auto"/>
        <w:right w:val="none" w:sz="0" w:space="0" w:color="auto"/>
      </w:divBdr>
    </w:div>
    <w:div w:id="324818152">
      <w:bodyDiv w:val="1"/>
      <w:marLeft w:val="0"/>
      <w:marRight w:val="0"/>
      <w:marTop w:val="0"/>
      <w:marBottom w:val="0"/>
      <w:divBdr>
        <w:top w:val="none" w:sz="0" w:space="0" w:color="auto"/>
        <w:left w:val="none" w:sz="0" w:space="0" w:color="auto"/>
        <w:bottom w:val="none" w:sz="0" w:space="0" w:color="auto"/>
        <w:right w:val="none" w:sz="0" w:space="0" w:color="auto"/>
      </w:divBdr>
    </w:div>
    <w:div w:id="379941920">
      <w:bodyDiv w:val="1"/>
      <w:marLeft w:val="0"/>
      <w:marRight w:val="0"/>
      <w:marTop w:val="0"/>
      <w:marBottom w:val="0"/>
      <w:divBdr>
        <w:top w:val="none" w:sz="0" w:space="0" w:color="auto"/>
        <w:left w:val="none" w:sz="0" w:space="0" w:color="auto"/>
        <w:bottom w:val="none" w:sz="0" w:space="0" w:color="auto"/>
        <w:right w:val="none" w:sz="0" w:space="0" w:color="auto"/>
      </w:divBdr>
    </w:div>
    <w:div w:id="396590165">
      <w:bodyDiv w:val="1"/>
      <w:marLeft w:val="0"/>
      <w:marRight w:val="0"/>
      <w:marTop w:val="0"/>
      <w:marBottom w:val="0"/>
      <w:divBdr>
        <w:top w:val="none" w:sz="0" w:space="0" w:color="auto"/>
        <w:left w:val="none" w:sz="0" w:space="0" w:color="auto"/>
        <w:bottom w:val="none" w:sz="0" w:space="0" w:color="auto"/>
        <w:right w:val="none" w:sz="0" w:space="0" w:color="auto"/>
      </w:divBdr>
    </w:div>
    <w:div w:id="438331627">
      <w:bodyDiv w:val="1"/>
      <w:marLeft w:val="0"/>
      <w:marRight w:val="0"/>
      <w:marTop w:val="0"/>
      <w:marBottom w:val="0"/>
      <w:divBdr>
        <w:top w:val="none" w:sz="0" w:space="0" w:color="auto"/>
        <w:left w:val="none" w:sz="0" w:space="0" w:color="auto"/>
        <w:bottom w:val="none" w:sz="0" w:space="0" w:color="auto"/>
        <w:right w:val="none" w:sz="0" w:space="0" w:color="auto"/>
      </w:divBdr>
    </w:div>
    <w:div w:id="448549258">
      <w:bodyDiv w:val="1"/>
      <w:marLeft w:val="0"/>
      <w:marRight w:val="0"/>
      <w:marTop w:val="0"/>
      <w:marBottom w:val="0"/>
      <w:divBdr>
        <w:top w:val="none" w:sz="0" w:space="0" w:color="auto"/>
        <w:left w:val="none" w:sz="0" w:space="0" w:color="auto"/>
        <w:bottom w:val="none" w:sz="0" w:space="0" w:color="auto"/>
        <w:right w:val="none" w:sz="0" w:space="0" w:color="auto"/>
      </w:divBdr>
    </w:div>
    <w:div w:id="465319199">
      <w:bodyDiv w:val="1"/>
      <w:marLeft w:val="0"/>
      <w:marRight w:val="0"/>
      <w:marTop w:val="0"/>
      <w:marBottom w:val="0"/>
      <w:divBdr>
        <w:top w:val="none" w:sz="0" w:space="0" w:color="auto"/>
        <w:left w:val="none" w:sz="0" w:space="0" w:color="auto"/>
        <w:bottom w:val="none" w:sz="0" w:space="0" w:color="auto"/>
        <w:right w:val="none" w:sz="0" w:space="0" w:color="auto"/>
      </w:divBdr>
    </w:div>
    <w:div w:id="555514178">
      <w:bodyDiv w:val="1"/>
      <w:marLeft w:val="0"/>
      <w:marRight w:val="0"/>
      <w:marTop w:val="0"/>
      <w:marBottom w:val="0"/>
      <w:divBdr>
        <w:top w:val="none" w:sz="0" w:space="0" w:color="auto"/>
        <w:left w:val="none" w:sz="0" w:space="0" w:color="auto"/>
        <w:bottom w:val="none" w:sz="0" w:space="0" w:color="auto"/>
        <w:right w:val="none" w:sz="0" w:space="0" w:color="auto"/>
      </w:divBdr>
    </w:div>
    <w:div w:id="575284420">
      <w:bodyDiv w:val="1"/>
      <w:marLeft w:val="0"/>
      <w:marRight w:val="0"/>
      <w:marTop w:val="0"/>
      <w:marBottom w:val="0"/>
      <w:divBdr>
        <w:top w:val="none" w:sz="0" w:space="0" w:color="auto"/>
        <w:left w:val="none" w:sz="0" w:space="0" w:color="auto"/>
        <w:bottom w:val="none" w:sz="0" w:space="0" w:color="auto"/>
        <w:right w:val="none" w:sz="0" w:space="0" w:color="auto"/>
      </w:divBdr>
    </w:div>
    <w:div w:id="623999873">
      <w:bodyDiv w:val="1"/>
      <w:marLeft w:val="0"/>
      <w:marRight w:val="0"/>
      <w:marTop w:val="0"/>
      <w:marBottom w:val="0"/>
      <w:divBdr>
        <w:top w:val="none" w:sz="0" w:space="0" w:color="auto"/>
        <w:left w:val="none" w:sz="0" w:space="0" w:color="auto"/>
        <w:bottom w:val="none" w:sz="0" w:space="0" w:color="auto"/>
        <w:right w:val="none" w:sz="0" w:space="0" w:color="auto"/>
      </w:divBdr>
    </w:div>
    <w:div w:id="625696480">
      <w:bodyDiv w:val="1"/>
      <w:marLeft w:val="0"/>
      <w:marRight w:val="0"/>
      <w:marTop w:val="0"/>
      <w:marBottom w:val="0"/>
      <w:divBdr>
        <w:top w:val="none" w:sz="0" w:space="0" w:color="auto"/>
        <w:left w:val="none" w:sz="0" w:space="0" w:color="auto"/>
        <w:bottom w:val="none" w:sz="0" w:space="0" w:color="auto"/>
        <w:right w:val="none" w:sz="0" w:space="0" w:color="auto"/>
      </w:divBdr>
    </w:div>
    <w:div w:id="659694054">
      <w:bodyDiv w:val="1"/>
      <w:marLeft w:val="0"/>
      <w:marRight w:val="0"/>
      <w:marTop w:val="0"/>
      <w:marBottom w:val="0"/>
      <w:divBdr>
        <w:top w:val="none" w:sz="0" w:space="0" w:color="auto"/>
        <w:left w:val="none" w:sz="0" w:space="0" w:color="auto"/>
        <w:bottom w:val="none" w:sz="0" w:space="0" w:color="auto"/>
        <w:right w:val="none" w:sz="0" w:space="0" w:color="auto"/>
      </w:divBdr>
    </w:div>
    <w:div w:id="671447195">
      <w:bodyDiv w:val="1"/>
      <w:marLeft w:val="0"/>
      <w:marRight w:val="0"/>
      <w:marTop w:val="0"/>
      <w:marBottom w:val="0"/>
      <w:divBdr>
        <w:top w:val="none" w:sz="0" w:space="0" w:color="auto"/>
        <w:left w:val="none" w:sz="0" w:space="0" w:color="auto"/>
        <w:bottom w:val="none" w:sz="0" w:space="0" w:color="auto"/>
        <w:right w:val="none" w:sz="0" w:space="0" w:color="auto"/>
      </w:divBdr>
    </w:div>
    <w:div w:id="709571107">
      <w:bodyDiv w:val="1"/>
      <w:marLeft w:val="0"/>
      <w:marRight w:val="0"/>
      <w:marTop w:val="0"/>
      <w:marBottom w:val="0"/>
      <w:divBdr>
        <w:top w:val="none" w:sz="0" w:space="0" w:color="auto"/>
        <w:left w:val="none" w:sz="0" w:space="0" w:color="auto"/>
        <w:bottom w:val="none" w:sz="0" w:space="0" w:color="auto"/>
        <w:right w:val="none" w:sz="0" w:space="0" w:color="auto"/>
      </w:divBdr>
    </w:div>
    <w:div w:id="767844672">
      <w:bodyDiv w:val="1"/>
      <w:marLeft w:val="0"/>
      <w:marRight w:val="0"/>
      <w:marTop w:val="0"/>
      <w:marBottom w:val="0"/>
      <w:divBdr>
        <w:top w:val="none" w:sz="0" w:space="0" w:color="auto"/>
        <w:left w:val="none" w:sz="0" w:space="0" w:color="auto"/>
        <w:bottom w:val="none" w:sz="0" w:space="0" w:color="auto"/>
        <w:right w:val="none" w:sz="0" w:space="0" w:color="auto"/>
      </w:divBdr>
    </w:div>
    <w:div w:id="828210057">
      <w:bodyDiv w:val="1"/>
      <w:marLeft w:val="0"/>
      <w:marRight w:val="0"/>
      <w:marTop w:val="0"/>
      <w:marBottom w:val="0"/>
      <w:divBdr>
        <w:top w:val="none" w:sz="0" w:space="0" w:color="auto"/>
        <w:left w:val="none" w:sz="0" w:space="0" w:color="auto"/>
        <w:bottom w:val="none" w:sz="0" w:space="0" w:color="auto"/>
        <w:right w:val="none" w:sz="0" w:space="0" w:color="auto"/>
      </w:divBdr>
    </w:div>
    <w:div w:id="847596986">
      <w:bodyDiv w:val="1"/>
      <w:marLeft w:val="0"/>
      <w:marRight w:val="0"/>
      <w:marTop w:val="0"/>
      <w:marBottom w:val="0"/>
      <w:divBdr>
        <w:top w:val="none" w:sz="0" w:space="0" w:color="auto"/>
        <w:left w:val="none" w:sz="0" w:space="0" w:color="auto"/>
        <w:bottom w:val="none" w:sz="0" w:space="0" w:color="auto"/>
        <w:right w:val="none" w:sz="0" w:space="0" w:color="auto"/>
      </w:divBdr>
    </w:div>
    <w:div w:id="855922945">
      <w:bodyDiv w:val="1"/>
      <w:marLeft w:val="0"/>
      <w:marRight w:val="0"/>
      <w:marTop w:val="0"/>
      <w:marBottom w:val="0"/>
      <w:divBdr>
        <w:top w:val="none" w:sz="0" w:space="0" w:color="auto"/>
        <w:left w:val="none" w:sz="0" w:space="0" w:color="auto"/>
        <w:bottom w:val="none" w:sz="0" w:space="0" w:color="auto"/>
        <w:right w:val="none" w:sz="0" w:space="0" w:color="auto"/>
      </w:divBdr>
    </w:div>
    <w:div w:id="893006818">
      <w:bodyDiv w:val="1"/>
      <w:marLeft w:val="0"/>
      <w:marRight w:val="0"/>
      <w:marTop w:val="0"/>
      <w:marBottom w:val="0"/>
      <w:divBdr>
        <w:top w:val="none" w:sz="0" w:space="0" w:color="auto"/>
        <w:left w:val="none" w:sz="0" w:space="0" w:color="auto"/>
        <w:bottom w:val="none" w:sz="0" w:space="0" w:color="auto"/>
        <w:right w:val="none" w:sz="0" w:space="0" w:color="auto"/>
      </w:divBdr>
    </w:div>
    <w:div w:id="997998642">
      <w:bodyDiv w:val="1"/>
      <w:marLeft w:val="0"/>
      <w:marRight w:val="0"/>
      <w:marTop w:val="0"/>
      <w:marBottom w:val="0"/>
      <w:divBdr>
        <w:top w:val="none" w:sz="0" w:space="0" w:color="auto"/>
        <w:left w:val="none" w:sz="0" w:space="0" w:color="auto"/>
        <w:bottom w:val="none" w:sz="0" w:space="0" w:color="auto"/>
        <w:right w:val="none" w:sz="0" w:space="0" w:color="auto"/>
      </w:divBdr>
    </w:div>
    <w:div w:id="1060834346">
      <w:bodyDiv w:val="1"/>
      <w:marLeft w:val="0"/>
      <w:marRight w:val="0"/>
      <w:marTop w:val="0"/>
      <w:marBottom w:val="0"/>
      <w:divBdr>
        <w:top w:val="none" w:sz="0" w:space="0" w:color="auto"/>
        <w:left w:val="none" w:sz="0" w:space="0" w:color="auto"/>
        <w:bottom w:val="none" w:sz="0" w:space="0" w:color="auto"/>
        <w:right w:val="none" w:sz="0" w:space="0" w:color="auto"/>
      </w:divBdr>
    </w:div>
    <w:div w:id="1233851880">
      <w:bodyDiv w:val="1"/>
      <w:marLeft w:val="0"/>
      <w:marRight w:val="0"/>
      <w:marTop w:val="0"/>
      <w:marBottom w:val="0"/>
      <w:divBdr>
        <w:top w:val="none" w:sz="0" w:space="0" w:color="auto"/>
        <w:left w:val="none" w:sz="0" w:space="0" w:color="auto"/>
        <w:bottom w:val="none" w:sz="0" w:space="0" w:color="auto"/>
        <w:right w:val="none" w:sz="0" w:space="0" w:color="auto"/>
      </w:divBdr>
    </w:div>
    <w:div w:id="1234508831">
      <w:bodyDiv w:val="1"/>
      <w:marLeft w:val="0"/>
      <w:marRight w:val="0"/>
      <w:marTop w:val="0"/>
      <w:marBottom w:val="0"/>
      <w:divBdr>
        <w:top w:val="none" w:sz="0" w:space="0" w:color="auto"/>
        <w:left w:val="none" w:sz="0" w:space="0" w:color="auto"/>
        <w:bottom w:val="none" w:sz="0" w:space="0" w:color="auto"/>
        <w:right w:val="none" w:sz="0" w:space="0" w:color="auto"/>
      </w:divBdr>
    </w:div>
    <w:div w:id="1252541381">
      <w:bodyDiv w:val="1"/>
      <w:marLeft w:val="0"/>
      <w:marRight w:val="0"/>
      <w:marTop w:val="0"/>
      <w:marBottom w:val="0"/>
      <w:divBdr>
        <w:top w:val="none" w:sz="0" w:space="0" w:color="auto"/>
        <w:left w:val="none" w:sz="0" w:space="0" w:color="auto"/>
        <w:bottom w:val="none" w:sz="0" w:space="0" w:color="auto"/>
        <w:right w:val="none" w:sz="0" w:space="0" w:color="auto"/>
      </w:divBdr>
    </w:div>
    <w:div w:id="1266156572">
      <w:bodyDiv w:val="1"/>
      <w:marLeft w:val="0"/>
      <w:marRight w:val="0"/>
      <w:marTop w:val="0"/>
      <w:marBottom w:val="0"/>
      <w:divBdr>
        <w:top w:val="none" w:sz="0" w:space="0" w:color="auto"/>
        <w:left w:val="none" w:sz="0" w:space="0" w:color="auto"/>
        <w:bottom w:val="none" w:sz="0" w:space="0" w:color="auto"/>
        <w:right w:val="none" w:sz="0" w:space="0" w:color="auto"/>
      </w:divBdr>
    </w:div>
    <w:div w:id="1345135772">
      <w:bodyDiv w:val="1"/>
      <w:marLeft w:val="0"/>
      <w:marRight w:val="0"/>
      <w:marTop w:val="0"/>
      <w:marBottom w:val="0"/>
      <w:divBdr>
        <w:top w:val="none" w:sz="0" w:space="0" w:color="auto"/>
        <w:left w:val="none" w:sz="0" w:space="0" w:color="auto"/>
        <w:bottom w:val="none" w:sz="0" w:space="0" w:color="auto"/>
        <w:right w:val="none" w:sz="0" w:space="0" w:color="auto"/>
      </w:divBdr>
    </w:div>
    <w:div w:id="1382053304">
      <w:bodyDiv w:val="1"/>
      <w:marLeft w:val="0"/>
      <w:marRight w:val="0"/>
      <w:marTop w:val="0"/>
      <w:marBottom w:val="0"/>
      <w:divBdr>
        <w:top w:val="none" w:sz="0" w:space="0" w:color="auto"/>
        <w:left w:val="none" w:sz="0" w:space="0" w:color="auto"/>
        <w:bottom w:val="none" w:sz="0" w:space="0" w:color="auto"/>
        <w:right w:val="none" w:sz="0" w:space="0" w:color="auto"/>
      </w:divBdr>
    </w:div>
    <w:div w:id="1418089589">
      <w:bodyDiv w:val="1"/>
      <w:marLeft w:val="0"/>
      <w:marRight w:val="0"/>
      <w:marTop w:val="0"/>
      <w:marBottom w:val="0"/>
      <w:divBdr>
        <w:top w:val="none" w:sz="0" w:space="0" w:color="auto"/>
        <w:left w:val="none" w:sz="0" w:space="0" w:color="auto"/>
        <w:bottom w:val="none" w:sz="0" w:space="0" w:color="auto"/>
        <w:right w:val="none" w:sz="0" w:space="0" w:color="auto"/>
      </w:divBdr>
    </w:div>
    <w:div w:id="1445612299">
      <w:bodyDiv w:val="1"/>
      <w:marLeft w:val="0"/>
      <w:marRight w:val="0"/>
      <w:marTop w:val="0"/>
      <w:marBottom w:val="0"/>
      <w:divBdr>
        <w:top w:val="none" w:sz="0" w:space="0" w:color="auto"/>
        <w:left w:val="none" w:sz="0" w:space="0" w:color="auto"/>
        <w:bottom w:val="none" w:sz="0" w:space="0" w:color="auto"/>
        <w:right w:val="none" w:sz="0" w:space="0" w:color="auto"/>
      </w:divBdr>
    </w:div>
    <w:div w:id="1463572676">
      <w:bodyDiv w:val="1"/>
      <w:marLeft w:val="0"/>
      <w:marRight w:val="0"/>
      <w:marTop w:val="0"/>
      <w:marBottom w:val="0"/>
      <w:divBdr>
        <w:top w:val="none" w:sz="0" w:space="0" w:color="auto"/>
        <w:left w:val="none" w:sz="0" w:space="0" w:color="auto"/>
        <w:bottom w:val="none" w:sz="0" w:space="0" w:color="auto"/>
        <w:right w:val="none" w:sz="0" w:space="0" w:color="auto"/>
      </w:divBdr>
    </w:div>
    <w:div w:id="1532959814">
      <w:bodyDiv w:val="1"/>
      <w:marLeft w:val="0"/>
      <w:marRight w:val="0"/>
      <w:marTop w:val="0"/>
      <w:marBottom w:val="0"/>
      <w:divBdr>
        <w:top w:val="none" w:sz="0" w:space="0" w:color="auto"/>
        <w:left w:val="none" w:sz="0" w:space="0" w:color="auto"/>
        <w:bottom w:val="none" w:sz="0" w:space="0" w:color="auto"/>
        <w:right w:val="none" w:sz="0" w:space="0" w:color="auto"/>
      </w:divBdr>
    </w:div>
    <w:div w:id="1569681986">
      <w:bodyDiv w:val="1"/>
      <w:marLeft w:val="0"/>
      <w:marRight w:val="0"/>
      <w:marTop w:val="0"/>
      <w:marBottom w:val="0"/>
      <w:divBdr>
        <w:top w:val="none" w:sz="0" w:space="0" w:color="auto"/>
        <w:left w:val="none" w:sz="0" w:space="0" w:color="auto"/>
        <w:bottom w:val="none" w:sz="0" w:space="0" w:color="auto"/>
        <w:right w:val="none" w:sz="0" w:space="0" w:color="auto"/>
      </w:divBdr>
    </w:div>
    <w:div w:id="1583559797">
      <w:bodyDiv w:val="1"/>
      <w:marLeft w:val="0"/>
      <w:marRight w:val="0"/>
      <w:marTop w:val="0"/>
      <w:marBottom w:val="0"/>
      <w:divBdr>
        <w:top w:val="none" w:sz="0" w:space="0" w:color="auto"/>
        <w:left w:val="none" w:sz="0" w:space="0" w:color="auto"/>
        <w:bottom w:val="none" w:sz="0" w:space="0" w:color="auto"/>
        <w:right w:val="none" w:sz="0" w:space="0" w:color="auto"/>
      </w:divBdr>
    </w:div>
    <w:div w:id="1638871524">
      <w:bodyDiv w:val="1"/>
      <w:marLeft w:val="0"/>
      <w:marRight w:val="0"/>
      <w:marTop w:val="0"/>
      <w:marBottom w:val="0"/>
      <w:divBdr>
        <w:top w:val="none" w:sz="0" w:space="0" w:color="auto"/>
        <w:left w:val="none" w:sz="0" w:space="0" w:color="auto"/>
        <w:bottom w:val="none" w:sz="0" w:space="0" w:color="auto"/>
        <w:right w:val="none" w:sz="0" w:space="0" w:color="auto"/>
      </w:divBdr>
    </w:div>
    <w:div w:id="1672289747">
      <w:bodyDiv w:val="1"/>
      <w:marLeft w:val="0"/>
      <w:marRight w:val="0"/>
      <w:marTop w:val="0"/>
      <w:marBottom w:val="0"/>
      <w:divBdr>
        <w:top w:val="none" w:sz="0" w:space="0" w:color="auto"/>
        <w:left w:val="none" w:sz="0" w:space="0" w:color="auto"/>
        <w:bottom w:val="none" w:sz="0" w:space="0" w:color="auto"/>
        <w:right w:val="none" w:sz="0" w:space="0" w:color="auto"/>
      </w:divBdr>
    </w:div>
    <w:div w:id="1779257107">
      <w:bodyDiv w:val="1"/>
      <w:marLeft w:val="0"/>
      <w:marRight w:val="0"/>
      <w:marTop w:val="0"/>
      <w:marBottom w:val="0"/>
      <w:divBdr>
        <w:top w:val="none" w:sz="0" w:space="0" w:color="auto"/>
        <w:left w:val="none" w:sz="0" w:space="0" w:color="auto"/>
        <w:bottom w:val="none" w:sz="0" w:space="0" w:color="auto"/>
        <w:right w:val="none" w:sz="0" w:space="0" w:color="auto"/>
      </w:divBdr>
    </w:div>
    <w:div w:id="1956666929">
      <w:bodyDiv w:val="1"/>
      <w:marLeft w:val="0"/>
      <w:marRight w:val="0"/>
      <w:marTop w:val="0"/>
      <w:marBottom w:val="0"/>
      <w:divBdr>
        <w:top w:val="none" w:sz="0" w:space="0" w:color="auto"/>
        <w:left w:val="none" w:sz="0" w:space="0" w:color="auto"/>
        <w:bottom w:val="none" w:sz="0" w:space="0" w:color="auto"/>
        <w:right w:val="none" w:sz="0" w:space="0" w:color="auto"/>
      </w:divBdr>
    </w:div>
    <w:div w:id="1991205508">
      <w:bodyDiv w:val="1"/>
      <w:marLeft w:val="0"/>
      <w:marRight w:val="0"/>
      <w:marTop w:val="0"/>
      <w:marBottom w:val="0"/>
      <w:divBdr>
        <w:top w:val="none" w:sz="0" w:space="0" w:color="auto"/>
        <w:left w:val="none" w:sz="0" w:space="0" w:color="auto"/>
        <w:bottom w:val="none" w:sz="0" w:space="0" w:color="auto"/>
        <w:right w:val="none" w:sz="0" w:space="0" w:color="auto"/>
      </w:divBdr>
    </w:div>
    <w:div w:id="214211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7761-9502-4129-B31E-8B0ED479C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5312</Words>
  <Characters>30281</Characters>
  <Application>Microsoft Office Word</Application>
  <DocSecurity>0</DocSecurity>
  <Lines>252</Lines>
  <Paragraphs>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Country:</vt:lpstr>
      <vt:lpstr>Country:</vt:lpstr>
    </vt:vector>
  </TitlesOfParts>
  <Company>UNDP</Company>
  <LinksUpToDate>false</LinksUpToDate>
  <CharactersWithSpaces>35522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dc:title>
  <dc:creator>DGO</dc:creator>
  <cp:lastModifiedBy>Svetlana Iazykova</cp:lastModifiedBy>
  <cp:revision>2</cp:revision>
  <cp:lastPrinted>2008-06-06T16:39:00Z</cp:lastPrinted>
  <dcterms:created xsi:type="dcterms:W3CDTF">2014-07-17T16:32:00Z</dcterms:created>
  <dcterms:modified xsi:type="dcterms:W3CDTF">2014-07-17T16:32:00Z</dcterms:modified>
</cp:coreProperties>
</file>