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F5" w:rsidRPr="003E54F5" w:rsidRDefault="003E54F5" w:rsidP="003E54F5">
      <w:pPr>
        <w:suppressAutoHyphens/>
        <w:spacing w:after="60"/>
        <w:rPr>
          <w:rFonts w:ascii="Times New Roman" w:hAnsi="Times New Roman"/>
          <w:b/>
          <w:bCs/>
          <w:color w:val="000000"/>
          <w:spacing w:val="-2"/>
          <w:sz w:val="28"/>
          <w:lang w:val="en-GB"/>
        </w:rPr>
      </w:pPr>
      <w:r w:rsidRPr="003E54F5">
        <w:rPr>
          <w:rFonts w:ascii="Times New Roman" w:hAnsi="Times New Roman"/>
          <w:b/>
          <w:bCs/>
          <w:color w:val="000000"/>
          <w:sz w:val="28"/>
          <w:szCs w:val="28"/>
          <w:lang w:val="en-GB"/>
        </w:rPr>
        <w:t xml:space="preserve">Annex I. </w:t>
      </w:r>
      <w:r w:rsidRPr="003E54F5">
        <w:rPr>
          <w:rFonts w:ascii="Times New Roman" w:hAnsi="Times New Roman"/>
          <w:b/>
          <w:bCs/>
          <w:color w:val="000000"/>
          <w:spacing w:val="-2"/>
          <w:sz w:val="28"/>
          <w:lang w:val="en-GB"/>
        </w:rPr>
        <w:t>UNDP overview</w:t>
      </w:r>
    </w:p>
    <w:p w:rsidR="003E54F5" w:rsidRPr="003E54F5" w:rsidRDefault="003E54F5" w:rsidP="003E54F5">
      <w:pPr>
        <w:suppressAutoHyphens/>
        <w:spacing w:after="60"/>
        <w:rPr>
          <w:rFonts w:ascii="Times New Roman" w:hAnsi="Times New Roman"/>
          <w:b/>
          <w:bCs/>
          <w:color w:val="000000"/>
          <w:spacing w:val="-2"/>
          <w:sz w:val="16"/>
          <w:szCs w:val="16"/>
          <w:lang w:val="en-GB"/>
        </w:rPr>
      </w:pPr>
    </w:p>
    <w:p w:rsidR="003E54F5" w:rsidRPr="003E54F5" w:rsidRDefault="003E54F5" w:rsidP="00B74D04">
      <w:pPr>
        <w:numPr>
          <w:ilvl w:val="0"/>
          <w:numId w:val="3"/>
        </w:numPr>
        <w:tabs>
          <w:tab w:val="left" w:pos="1800"/>
        </w:tabs>
        <w:suppressAutoHyphens/>
        <w:spacing w:line="240" w:lineRule="exact"/>
        <w:ind w:right="720"/>
        <w:jc w:val="center"/>
        <w:rPr>
          <w:rFonts w:ascii="Times New Roman" w:hAnsi="Times New Roman"/>
          <w:b/>
          <w:bCs/>
          <w:snapToGrid w:val="0"/>
          <w:color w:val="000000"/>
          <w:szCs w:val="24"/>
          <w:lang w:val="en-GB"/>
        </w:rPr>
      </w:pPr>
      <w:r w:rsidRPr="003E54F5">
        <w:rPr>
          <w:rFonts w:ascii="Times New Roman" w:hAnsi="Times New Roman"/>
          <w:b/>
          <w:bCs/>
          <w:snapToGrid w:val="0"/>
          <w:color w:val="000000"/>
          <w:szCs w:val="24"/>
          <w:lang w:val="en-GB"/>
        </w:rPr>
        <w:t>Statement of financial performance for the year ended 31 December 2013</w:t>
      </w:r>
    </w:p>
    <w:p w:rsidR="003E54F5" w:rsidRPr="003E54F5" w:rsidRDefault="003E54F5" w:rsidP="003E54F5">
      <w:pPr>
        <w:tabs>
          <w:tab w:val="left" w:pos="1800"/>
        </w:tabs>
        <w:suppressAutoHyphens/>
        <w:spacing w:line="240" w:lineRule="exact"/>
        <w:ind w:left="1425"/>
        <w:rPr>
          <w:rFonts w:ascii="Times New Roman" w:hAnsi="Times New Roman"/>
          <w:b/>
          <w:bCs/>
          <w:snapToGrid w:val="0"/>
          <w:color w:val="000000"/>
          <w:szCs w:val="24"/>
          <w:lang w:val="en-GB"/>
        </w:rPr>
      </w:pPr>
    </w:p>
    <w:tbl>
      <w:tblPr>
        <w:tblW w:w="11985" w:type="dxa"/>
        <w:tblInd w:w="93" w:type="dxa"/>
        <w:tblLook w:val="04A0" w:firstRow="1" w:lastRow="0" w:firstColumn="1" w:lastColumn="0" w:noHBand="0" w:noVBand="1"/>
      </w:tblPr>
      <w:tblGrid>
        <w:gridCol w:w="249"/>
        <w:gridCol w:w="2466"/>
        <w:gridCol w:w="753"/>
        <w:gridCol w:w="787"/>
        <w:gridCol w:w="846"/>
        <w:gridCol w:w="846"/>
        <w:gridCol w:w="742"/>
        <w:gridCol w:w="818"/>
        <w:gridCol w:w="724"/>
        <w:gridCol w:w="787"/>
        <w:gridCol w:w="760"/>
        <w:gridCol w:w="788"/>
        <w:gridCol w:w="753"/>
        <w:gridCol w:w="787"/>
      </w:tblGrid>
      <w:tr w:rsidR="003E54F5" w:rsidRPr="003E54F5" w:rsidTr="003E54F5">
        <w:trPr>
          <w:trHeight w:val="316"/>
        </w:trPr>
        <w:tc>
          <w:tcPr>
            <w:tcW w:w="271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3E54F5" w:rsidRPr="003E54F5" w:rsidRDefault="003E54F5" w:rsidP="003E54F5">
            <w:pPr>
              <w:rPr>
                <w:rFonts w:ascii="Times New Roman" w:hAnsi="Times New Roman"/>
                <w:i/>
                <w:iCs/>
                <w:color w:val="000000"/>
                <w:sz w:val="13"/>
                <w:szCs w:val="15"/>
              </w:rPr>
            </w:pPr>
            <w:r w:rsidRPr="003E54F5">
              <w:rPr>
                <w:rFonts w:ascii="Times New Roman" w:hAnsi="Times New Roman"/>
                <w:i/>
                <w:iCs/>
                <w:color w:val="000000"/>
                <w:sz w:val="13"/>
                <w:szCs w:val="15"/>
              </w:rPr>
              <w:t>(thousands of United States dollars)</w:t>
            </w:r>
          </w:p>
        </w:tc>
        <w:tc>
          <w:tcPr>
            <w:tcW w:w="1510" w:type="dxa"/>
            <w:gridSpan w:val="2"/>
            <w:tcBorders>
              <w:top w:val="single" w:sz="4" w:space="0" w:color="auto"/>
              <w:left w:val="nil"/>
              <w:bottom w:val="single" w:sz="4" w:space="0" w:color="auto"/>
              <w:right w:val="nil"/>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Regular resources</w:t>
            </w:r>
          </w:p>
        </w:tc>
        <w:tc>
          <w:tcPr>
            <w:tcW w:w="1692" w:type="dxa"/>
            <w:gridSpan w:val="2"/>
            <w:tcBorders>
              <w:top w:val="single" w:sz="4" w:space="0" w:color="auto"/>
              <w:left w:val="single" w:sz="4" w:space="0" w:color="auto"/>
              <w:bottom w:val="single" w:sz="4" w:space="0" w:color="auto"/>
              <w:right w:val="nil"/>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Cost sharing</w:t>
            </w:r>
          </w:p>
        </w:tc>
        <w:tc>
          <w:tcPr>
            <w:tcW w:w="1560" w:type="dxa"/>
            <w:gridSpan w:val="2"/>
            <w:tcBorders>
              <w:top w:val="single" w:sz="4" w:space="0" w:color="auto"/>
              <w:left w:val="single" w:sz="4" w:space="0" w:color="auto"/>
              <w:bottom w:val="single" w:sz="4" w:space="0" w:color="auto"/>
              <w:right w:val="nil"/>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Trust funds</w:t>
            </w:r>
          </w:p>
        </w:tc>
        <w:tc>
          <w:tcPr>
            <w:tcW w:w="1450" w:type="dxa"/>
            <w:gridSpan w:val="2"/>
            <w:tcBorders>
              <w:top w:val="single" w:sz="4" w:space="0" w:color="auto"/>
              <w:left w:val="single" w:sz="4" w:space="0" w:color="auto"/>
              <w:bottom w:val="single" w:sz="4" w:space="0" w:color="auto"/>
              <w:right w:val="nil"/>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Reimbursable support services &amp; misc. activities</w:t>
            </w:r>
          </w:p>
        </w:tc>
        <w:tc>
          <w:tcPr>
            <w:tcW w:w="1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Elimination</w:t>
            </w:r>
            <w:r w:rsidRPr="003E54F5">
              <w:rPr>
                <w:rFonts w:ascii="Times New Roman" w:hAnsi="Times New Roman"/>
                <w:color w:val="000000"/>
                <w:sz w:val="15"/>
                <w:szCs w:val="16"/>
                <w:vertAlign w:val="superscript"/>
              </w:rPr>
              <w:t>b/</w:t>
            </w:r>
          </w:p>
        </w:tc>
        <w:tc>
          <w:tcPr>
            <w:tcW w:w="1510" w:type="dxa"/>
            <w:gridSpan w:val="2"/>
            <w:tcBorders>
              <w:top w:val="single" w:sz="4" w:space="0" w:color="auto"/>
              <w:left w:val="nil"/>
              <w:bottom w:val="single" w:sz="4" w:space="0" w:color="auto"/>
              <w:right w:val="single" w:sz="4" w:space="0" w:color="000000"/>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Total UNDP</w:t>
            </w:r>
          </w:p>
        </w:tc>
      </w:tr>
      <w:tr w:rsidR="003E54F5" w:rsidRPr="003E54F5" w:rsidTr="003E54F5">
        <w:trPr>
          <w:trHeight w:val="300"/>
        </w:trPr>
        <w:tc>
          <w:tcPr>
            <w:tcW w:w="249" w:type="dxa"/>
            <w:tcBorders>
              <w:top w:val="nil"/>
              <w:left w:val="single" w:sz="4" w:space="0" w:color="auto"/>
              <w:bottom w:val="single" w:sz="4" w:space="0" w:color="auto"/>
              <w:right w:val="nil"/>
            </w:tcBorders>
            <w:shd w:val="clear" w:color="auto" w:fill="auto"/>
            <w:noWrap/>
            <w:hideMark/>
          </w:tcPr>
          <w:p w:rsidR="003E54F5" w:rsidRPr="003E54F5" w:rsidRDefault="003E54F5" w:rsidP="003E54F5">
            <w:pPr>
              <w:rPr>
                <w:rFonts w:ascii="Times New Roman" w:hAnsi="Times New Roman"/>
                <w:i/>
                <w:iCs/>
                <w:color w:val="000000"/>
                <w:sz w:val="13"/>
                <w:szCs w:val="15"/>
              </w:rPr>
            </w:pPr>
            <w:r w:rsidRPr="003E54F5">
              <w:rPr>
                <w:rFonts w:ascii="Times New Roman" w:hAnsi="Times New Roman"/>
                <w:i/>
                <w:iCs/>
                <w:color w:val="000000"/>
                <w:sz w:val="13"/>
                <w:szCs w:val="15"/>
              </w:rPr>
              <w:t> </w:t>
            </w:r>
          </w:p>
        </w:tc>
        <w:tc>
          <w:tcPr>
            <w:tcW w:w="2466" w:type="dxa"/>
            <w:tcBorders>
              <w:top w:val="nil"/>
              <w:left w:val="nil"/>
              <w:bottom w:val="single" w:sz="4" w:space="0" w:color="auto"/>
              <w:right w:val="nil"/>
            </w:tcBorders>
            <w:shd w:val="clear" w:color="auto" w:fill="auto"/>
            <w:noWrap/>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753" w:type="dxa"/>
            <w:tcBorders>
              <w:top w:val="nil"/>
              <w:left w:val="single" w:sz="4" w:space="0" w:color="auto"/>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757"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846"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846"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742"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818"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724"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726"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760"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788"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753"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757"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r>
      <w:tr w:rsidR="003E54F5" w:rsidRPr="003E54F5" w:rsidTr="003E54F5">
        <w:trPr>
          <w:trHeight w:val="150"/>
        </w:trPr>
        <w:tc>
          <w:tcPr>
            <w:tcW w:w="2715" w:type="dxa"/>
            <w:gridSpan w:val="2"/>
            <w:tcBorders>
              <w:top w:val="single" w:sz="4" w:space="0" w:color="auto"/>
              <w:left w:val="single" w:sz="4" w:space="0" w:color="auto"/>
              <w:bottom w:val="nil"/>
              <w:right w:val="nil"/>
            </w:tcBorders>
            <w:shd w:val="clear" w:color="auto" w:fill="auto"/>
            <w:noWrap/>
            <w:vAlign w:val="center"/>
            <w:hideMark/>
          </w:tcPr>
          <w:p w:rsidR="003E54F5" w:rsidRPr="003E54F5" w:rsidRDefault="003E54F5" w:rsidP="003E54F5">
            <w:pPr>
              <w:ind w:hanging="93"/>
              <w:rPr>
                <w:rFonts w:ascii="Times New Roman" w:hAnsi="Times New Roman"/>
                <w:b/>
                <w:bCs/>
                <w:color w:val="000000"/>
                <w:sz w:val="13"/>
                <w:szCs w:val="15"/>
              </w:rPr>
            </w:pPr>
            <w:r w:rsidRPr="003E54F5">
              <w:rPr>
                <w:rFonts w:ascii="Times New Roman" w:hAnsi="Times New Roman"/>
                <w:b/>
                <w:bCs/>
                <w:color w:val="000000"/>
                <w:sz w:val="13"/>
                <w:szCs w:val="15"/>
              </w:rPr>
              <w:t>Revenue</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4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818"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24"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26"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60" w:type="dxa"/>
            <w:tcBorders>
              <w:top w:val="nil"/>
              <w:left w:val="nil"/>
              <w:bottom w:val="nil"/>
              <w:right w:val="single" w:sz="4" w:space="0" w:color="auto"/>
            </w:tcBorders>
            <w:shd w:val="clear" w:color="auto" w:fill="auto"/>
            <w:vAlign w:val="bottom"/>
            <w:hideMark/>
          </w:tcPr>
          <w:p w:rsidR="003E54F5" w:rsidRPr="003E54F5" w:rsidRDefault="003E54F5" w:rsidP="003E54F5">
            <w:pPr>
              <w:jc w:val="right"/>
              <w:rPr>
                <w:rFonts w:ascii="Times New Roman" w:hAnsi="Times New Roman"/>
                <w:sz w:val="13"/>
                <w:szCs w:val="15"/>
              </w:rPr>
            </w:pPr>
            <w:r w:rsidRPr="003E54F5">
              <w:rPr>
                <w:rFonts w:ascii="Times New Roman" w:hAnsi="Times New Roman"/>
                <w:sz w:val="13"/>
                <w:szCs w:val="15"/>
              </w:rPr>
              <w:t> </w:t>
            </w:r>
          </w:p>
        </w:tc>
        <w:tc>
          <w:tcPr>
            <w:tcW w:w="788"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center"/>
            <w:hideMark/>
          </w:tcPr>
          <w:p w:rsidR="003E54F5" w:rsidRPr="003E54F5" w:rsidRDefault="003E54F5" w:rsidP="003E54F5">
            <w:pPr>
              <w:ind w:hanging="77"/>
              <w:rPr>
                <w:rFonts w:ascii="Times New Roman" w:hAnsi="Times New Roman"/>
                <w:sz w:val="13"/>
                <w:szCs w:val="15"/>
              </w:rPr>
            </w:pPr>
            <w:r w:rsidRPr="003E54F5">
              <w:rPr>
                <w:rFonts w:ascii="Times New Roman" w:hAnsi="Times New Roman"/>
                <w:sz w:val="13"/>
                <w:szCs w:val="15"/>
              </w:rPr>
              <w:t>Voluntary contributions, net</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932,901</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884,357</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2,992,249</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2,866,456</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741,782</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812,293</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162,979</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185,482</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4,829,911</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4,748,588</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center"/>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Investment revenue</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12,739</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13,188</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25,117</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29,187</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8,922</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13,550</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7,791</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9,611</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54,569</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65,536</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center"/>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 xml:space="preserve">Other revenue </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24,282</w:t>
            </w:r>
          </w:p>
        </w:tc>
        <w:tc>
          <w:tcPr>
            <w:tcW w:w="757"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50,744</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5,964</w:t>
            </w:r>
          </w:p>
        </w:tc>
        <w:tc>
          <w:tcPr>
            <w:tcW w:w="846"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5,682</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2,778</w:t>
            </w:r>
          </w:p>
        </w:tc>
        <w:tc>
          <w:tcPr>
            <w:tcW w:w="818"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1,819</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441,401</w:t>
            </w:r>
          </w:p>
        </w:tc>
        <w:tc>
          <w:tcPr>
            <w:tcW w:w="726"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436,196</w:t>
            </w:r>
          </w:p>
        </w:tc>
        <w:tc>
          <w:tcPr>
            <w:tcW w:w="760"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474,425</w:t>
            </w:r>
          </w:p>
        </w:tc>
        <w:tc>
          <w:tcPr>
            <w:tcW w:w="757"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494,441</w:t>
            </w:r>
          </w:p>
        </w:tc>
      </w:tr>
      <w:tr w:rsidR="003E54F5" w:rsidRPr="003E54F5" w:rsidTr="003E54F5">
        <w:trPr>
          <w:trHeight w:val="276"/>
        </w:trPr>
        <w:tc>
          <w:tcPr>
            <w:tcW w:w="2715" w:type="dxa"/>
            <w:gridSpan w:val="2"/>
            <w:tcBorders>
              <w:top w:val="nil"/>
              <w:left w:val="single" w:sz="4" w:space="0" w:color="auto"/>
              <w:bottom w:val="nil"/>
              <w:right w:val="nil"/>
            </w:tcBorders>
            <w:shd w:val="clear" w:color="auto" w:fill="auto"/>
            <w:noWrap/>
            <w:vAlign w:val="center"/>
            <w:hideMark/>
          </w:tcPr>
          <w:p w:rsidR="003E54F5" w:rsidRPr="003E54F5" w:rsidRDefault="003E54F5" w:rsidP="003E54F5">
            <w:pPr>
              <w:ind w:firstLine="177"/>
              <w:rPr>
                <w:rFonts w:ascii="Times New Roman" w:hAnsi="Times New Roman"/>
                <w:color w:val="000000"/>
                <w:sz w:val="13"/>
                <w:szCs w:val="15"/>
              </w:rPr>
            </w:pPr>
            <w:r w:rsidRPr="003E54F5">
              <w:rPr>
                <w:rFonts w:ascii="Times New Roman" w:hAnsi="Times New Roman"/>
                <w:color w:val="000000"/>
                <w:sz w:val="13"/>
                <w:szCs w:val="15"/>
              </w:rPr>
              <w:t>Total revenue before elimination</w:t>
            </w:r>
          </w:p>
        </w:tc>
        <w:tc>
          <w:tcPr>
            <w:tcW w:w="753" w:type="dxa"/>
            <w:tcBorders>
              <w:top w:val="single" w:sz="4" w:space="0" w:color="auto"/>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969,922</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948,289</w:t>
            </w:r>
          </w:p>
        </w:tc>
        <w:tc>
          <w:tcPr>
            <w:tcW w:w="846" w:type="dxa"/>
            <w:tcBorders>
              <w:top w:val="single" w:sz="4" w:space="0" w:color="auto"/>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3,023,330</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2,901,325</w:t>
            </w:r>
          </w:p>
        </w:tc>
        <w:tc>
          <w:tcPr>
            <w:tcW w:w="742" w:type="dxa"/>
            <w:tcBorders>
              <w:top w:val="single" w:sz="4" w:space="0" w:color="auto"/>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753,482</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827,662</w:t>
            </w:r>
          </w:p>
        </w:tc>
        <w:tc>
          <w:tcPr>
            <w:tcW w:w="724" w:type="dxa"/>
            <w:tcBorders>
              <w:top w:val="single" w:sz="4" w:space="0" w:color="auto"/>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612,171</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631,289</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single" w:sz="4" w:space="0" w:color="auto"/>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single" w:sz="4" w:space="0" w:color="auto"/>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5,358,905</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5,308,565</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center"/>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Elimination - internal UNDP cost recovery</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(212,948)</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(213,364)</w:t>
            </w:r>
          </w:p>
        </w:tc>
        <w:tc>
          <w:tcPr>
            <w:tcW w:w="75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(212,948)</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(213,364)</w:t>
            </w:r>
          </w:p>
        </w:tc>
      </w:tr>
      <w:tr w:rsidR="003E54F5" w:rsidRPr="003E54F5" w:rsidTr="003E54F5">
        <w:trPr>
          <w:trHeight w:val="251"/>
        </w:trPr>
        <w:tc>
          <w:tcPr>
            <w:tcW w:w="2715"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3E54F5" w:rsidRPr="003E54F5" w:rsidRDefault="003E54F5" w:rsidP="003E54F5">
            <w:pPr>
              <w:ind w:hanging="93"/>
              <w:rPr>
                <w:rFonts w:ascii="Times New Roman" w:hAnsi="Times New Roman"/>
                <w:color w:val="000000"/>
                <w:sz w:val="13"/>
                <w:szCs w:val="15"/>
              </w:rPr>
            </w:pPr>
            <w:r w:rsidRPr="003E54F5">
              <w:rPr>
                <w:rFonts w:ascii="Times New Roman" w:hAnsi="Times New Roman"/>
                <w:color w:val="000000"/>
                <w:sz w:val="13"/>
                <w:szCs w:val="15"/>
              </w:rPr>
              <w:t xml:space="preserve">Total revenue </w:t>
            </w:r>
          </w:p>
        </w:tc>
        <w:tc>
          <w:tcPr>
            <w:tcW w:w="75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969,922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948,289 </w:t>
            </w:r>
          </w:p>
        </w:tc>
        <w:tc>
          <w:tcPr>
            <w:tcW w:w="846"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3,023,330 </w:t>
            </w:r>
          </w:p>
        </w:tc>
        <w:tc>
          <w:tcPr>
            <w:tcW w:w="846"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2,901,325 </w:t>
            </w:r>
          </w:p>
        </w:tc>
        <w:tc>
          <w:tcPr>
            <w:tcW w:w="742"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753,482 </w:t>
            </w:r>
          </w:p>
        </w:tc>
        <w:tc>
          <w:tcPr>
            <w:tcW w:w="818"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827,662 </w:t>
            </w:r>
          </w:p>
        </w:tc>
        <w:tc>
          <w:tcPr>
            <w:tcW w:w="724"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612,171 </w:t>
            </w:r>
          </w:p>
        </w:tc>
        <w:tc>
          <w:tcPr>
            <w:tcW w:w="726"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631,289 </w:t>
            </w:r>
          </w:p>
        </w:tc>
        <w:tc>
          <w:tcPr>
            <w:tcW w:w="760"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(212,948)</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(213,364)</w:t>
            </w:r>
          </w:p>
        </w:tc>
        <w:tc>
          <w:tcPr>
            <w:tcW w:w="753"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5,145,957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5,095,201</w:t>
            </w:r>
          </w:p>
        </w:tc>
      </w:tr>
      <w:tr w:rsidR="003E54F5" w:rsidRPr="003E54F5" w:rsidTr="003E54F5">
        <w:trPr>
          <w:trHeight w:val="157"/>
        </w:trPr>
        <w:tc>
          <w:tcPr>
            <w:tcW w:w="2715" w:type="dxa"/>
            <w:gridSpan w:val="2"/>
            <w:tcBorders>
              <w:top w:val="nil"/>
              <w:left w:val="single" w:sz="4" w:space="0" w:color="auto"/>
              <w:bottom w:val="nil"/>
              <w:right w:val="nil"/>
            </w:tcBorders>
            <w:shd w:val="clear" w:color="auto" w:fill="auto"/>
            <w:noWrap/>
            <w:vAlign w:val="center"/>
            <w:hideMark/>
          </w:tcPr>
          <w:p w:rsidR="003E54F5" w:rsidRPr="003E54F5" w:rsidRDefault="003E54F5" w:rsidP="003E54F5">
            <w:pPr>
              <w:ind w:hanging="93"/>
              <w:rPr>
                <w:rFonts w:ascii="Times New Roman" w:hAnsi="Times New Roman"/>
                <w:b/>
                <w:bCs/>
                <w:color w:val="000000"/>
                <w:sz w:val="13"/>
                <w:szCs w:val="15"/>
              </w:rPr>
            </w:pPr>
            <w:r w:rsidRPr="003E54F5">
              <w:rPr>
                <w:rFonts w:ascii="Times New Roman" w:hAnsi="Times New Roman"/>
                <w:b/>
                <w:bCs/>
                <w:color w:val="000000"/>
                <w:sz w:val="13"/>
                <w:szCs w:val="15"/>
              </w:rPr>
              <w:t xml:space="preserve">Expenses </w:t>
            </w:r>
            <w:r w:rsidRPr="003E54F5">
              <w:rPr>
                <w:rFonts w:ascii="Times New Roman" w:hAnsi="Times New Roman"/>
                <w:b/>
                <w:bCs/>
                <w:color w:val="000000"/>
                <w:sz w:val="15"/>
                <w:szCs w:val="16"/>
                <w:vertAlign w:val="superscript"/>
              </w:rPr>
              <w:t>a/</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4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818"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24"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26"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60" w:type="dxa"/>
            <w:tcBorders>
              <w:top w:val="nil"/>
              <w:left w:val="nil"/>
              <w:bottom w:val="nil"/>
              <w:right w:val="single" w:sz="4" w:space="0" w:color="auto"/>
            </w:tcBorders>
            <w:shd w:val="clear" w:color="auto" w:fill="auto"/>
            <w:vAlign w:val="bottom"/>
            <w:hideMark/>
          </w:tcPr>
          <w:p w:rsidR="003E54F5" w:rsidRPr="003E54F5" w:rsidRDefault="003E54F5" w:rsidP="003E54F5">
            <w:pPr>
              <w:jc w:val="right"/>
              <w:rPr>
                <w:rFonts w:ascii="Times New Roman" w:hAnsi="Times New Roman"/>
                <w:sz w:val="13"/>
                <w:szCs w:val="15"/>
              </w:rPr>
            </w:pPr>
            <w:r w:rsidRPr="003E54F5">
              <w:rPr>
                <w:rFonts w:ascii="Times New Roman" w:hAnsi="Times New Roman"/>
                <w:sz w:val="13"/>
                <w:szCs w:val="15"/>
              </w:rPr>
              <w:t> </w:t>
            </w:r>
          </w:p>
        </w:tc>
        <w:tc>
          <w:tcPr>
            <w:tcW w:w="788"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118"/>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bottom"/>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Development activities</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42" w:type="dxa"/>
            <w:tcBorders>
              <w:top w:val="nil"/>
              <w:left w:val="nil"/>
              <w:bottom w:val="nil"/>
              <w:right w:val="nil"/>
            </w:tcBorders>
            <w:shd w:val="clear" w:color="auto" w:fill="auto"/>
            <w:noWrap/>
            <w:vAlign w:val="bottom"/>
            <w:hideMark/>
          </w:tcPr>
          <w:p w:rsidR="003E54F5" w:rsidRPr="003E54F5" w:rsidRDefault="003E54F5" w:rsidP="003E54F5">
            <w:pPr>
              <w:rPr>
                <w:rFonts w:ascii="Times New Roman" w:hAnsi="Times New Roman"/>
                <w:color w:val="000000"/>
                <w:sz w:val="13"/>
                <w:szCs w:val="15"/>
              </w:rPr>
            </w:pPr>
          </w:p>
        </w:tc>
        <w:tc>
          <w:tcPr>
            <w:tcW w:w="818" w:type="dxa"/>
            <w:tcBorders>
              <w:top w:val="nil"/>
              <w:left w:val="single" w:sz="4" w:space="0" w:color="auto"/>
              <w:bottom w:val="nil"/>
              <w:right w:val="single" w:sz="4" w:space="0" w:color="auto"/>
            </w:tcBorders>
            <w:shd w:val="clear" w:color="auto" w:fill="auto"/>
            <w:noWrap/>
            <w:vAlign w:val="bottom"/>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60" w:type="dxa"/>
            <w:tcBorders>
              <w:top w:val="nil"/>
              <w:left w:val="nil"/>
              <w:bottom w:val="nil"/>
              <w:right w:val="single" w:sz="4" w:space="0" w:color="auto"/>
            </w:tcBorders>
            <w:shd w:val="clear" w:color="auto" w:fill="auto"/>
            <w:noWrap/>
            <w:vAlign w:val="bottom"/>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bottom"/>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xml:space="preserve">     Programme</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471,463</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490,450</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2,831,396</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2,931,410</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939,851</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823,124</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109,960</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148,379</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4,352,670</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4,393,363</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bottom"/>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xml:space="preserve">     Development effectiveness</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87,822</w:t>
            </w:r>
          </w:p>
        </w:tc>
        <w:tc>
          <w:tcPr>
            <w:tcW w:w="757"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96,161</w:t>
            </w:r>
          </w:p>
        </w:tc>
        <w:tc>
          <w:tcPr>
            <w:tcW w:w="846"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4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3,496</w:t>
            </w:r>
          </w:p>
        </w:tc>
        <w:tc>
          <w:tcPr>
            <w:tcW w:w="818"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3,532</w:t>
            </w:r>
          </w:p>
        </w:tc>
        <w:tc>
          <w:tcPr>
            <w:tcW w:w="724"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49,487</w:t>
            </w:r>
          </w:p>
        </w:tc>
        <w:tc>
          <w:tcPr>
            <w:tcW w:w="726"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47,279</w:t>
            </w:r>
          </w:p>
        </w:tc>
        <w:tc>
          <w:tcPr>
            <w:tcW w:w="760"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140,805</w:t>
            </w:r>
          </w:p>
        </w:tc>
        <w:tc>
          <w:tcPr>
            <w:tcW w:w="757"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146,972</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bottom"/>
            <w:hideMark/>
          </w:tcPr>
          <w:p w:rsidR="003E54F5" w:rsidRPr="003E54F5" w:rsidRDefault="00E77F33" w:rsidP="003E54F5">
            <w:pPr>
              <w:ind w:hanging="77"/>
              <w:rPr>
                <w:rFonts w:ascii="Times New Roman" w:hAnsi="Times New Roman"/>
                <w:color w:val="000000"/>
                <w:sz w:val="13"/>
                <w:szCs w:val="15"/>
              </w:rPr>
            </w:pPr>
            <w:r w:rsidRPr="003E54F5">
              <w:rPr>
                <w:rFonts w:ascii="Times New Roman" w:hAnsi="Times New Roman"/>
                <w:color w:val="000000"/>
                <w:sz w:val="13"/>
                <w:szCs w:val="15"/>
              </w:rPr>
              <w:t>Subtotal</w:t>
            </w:r>
            <w:r w:rsidR="003E54F5" w:rsidRPr="003E54F5">
              <w:rPr>
                <w:rFonts w:ascii="Times New Roman" w:hAnsi="Times New Roman"/>
                <w:color w:val="000000"/>
                <w:sz w:val="13"/>
                <w:szCs w:val="15"/>
              </w:rPr>
              <w:t xml:space="preserve"> - development activities</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559,285</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586,611</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2,831,396</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2,931,410</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943,347</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826,656</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159,447</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195,658</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4,493,475</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4,540,335</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bottom"/>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UN development coordination activities</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74,425</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78,641</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45,106</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41,740</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119,531</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120,381</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bottom"/>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Management activities</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260,096</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264,989</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32,629</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31,838</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168,635</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189,827</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461,360</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486,654</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bottom"/>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Special purpose activities</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16,628</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18,004</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(20)</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39,198</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25,822</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55,806</w:t>
            </w:r>
          </w:p>
        </w:tc>
        <w:tc>
          <w:tcPr>
            <w:tcW w:w="757"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43,826</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bottom"/>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Other activities</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87,549</w:t>
            </w:r>
          </w:p>
        </w:tc>
        <w:tc>
          <w:tcPr>
            <w:tcW w:w="757"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84,829</w:t>
            </w:r>
          </w:p>
        </w:tc>
        <w:tc>
          <w:tcPr>
            <w:tcW w:w="846"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4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18"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239,678</w:t>
            </w:r>
          </w:p>
        </w:tc>
        <w:tc>
          <w:tcPr>
            <w:tcW w:w="726"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201,240</w:t>
            </w:r>
          </w:p>
        </w:tc>
        <w:tc>
          <w:tcPr>
            <w:tcW w:w="760"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327,227</w:t>
            </w:r>
          </w:p>
        </w:tc>
        <w:tc>
          <w:tcPr>
            <w:tcW w:w="757"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286,069</w:t>
            </w:r>
          </w:p>
        </w:tc>
      </w:tr>
      <w:tr w:rsidR="003E54F5" w:rsidRPr="003E54F5" w:rsidTr="003E54F5">
        <w:trPr>
          <w:trHeight w:val="276"/>
        </w:trPr>
        <w:tc>
          <w:tcPr>
            <w:tcW w:w="2715" w:type="dxa"/>
            <w:gridSpan w:val="2"/>
            <w:tcBorders>
              <w:top w:val="nil"/>
              <w:left w:val="single" w:sz="4" w:space="0" w:color="auto"/>
              <w:bottom w:val="nil"/>
              <w:right w:val="nil"/>
            </w:tcBorders>
            <w:shd w:val="clear" w:color="auto" w:fill="auto"/>
            <w:noWrap/>
            <w:vAlign w:val="center"/>
            <w:hideMark/>
          </w:tcPr>
          <w:p w:rsidR="003E54F5" w:rsidRPr="003E54F5" w:rsidRDefault="003E54F5" w:rsidP="003E54F5">
            <w:pPr>
              <w:ind w:firstLine="177"/>
              <w:rPr>
                <w:rFonts w:ascii="Times New Roman" w:hAnsi="Times New Roman"/>
                <w:color w:val="000000"/>
                <w:sz w:val="13"/>
                <w:szCs w:val="15"/>
              </w:rPr>
            </w:pPr>
            <w:r w:rsidRPr="003E54F5">
              <w:rPr>
                <w:rFonts w:ascii="Times New Roman" w:hAnsi="Times New Roman"/>
                <w:color w:val="000000"/>
                <w:sz w:val="13"/>
                <w:szCs w:val="15"/>
              </w:rPr>
              <w:t>Total expenses before elimination</w:t>
            </w:r>
          </w:p>
        </w:tc>
        <w:tc>
          <w:tcPr>
            <w:tcW w:w="753" w:type="dxa"/>
            <w:tcBorders>
              <w:top w:val="single" w:sz="4" w:space="0" w:color="auto"/>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997,983 </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1,033,074</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2,831,396 </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2,931,410</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975,956 </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858,494</w:t>
            </w:r>
          </w:p>
        </w:tc>
        <w:tc>
          <w:tcPr>
            <w:tcW w:w="724" w:type="dxa"/>
            <w:tcBorders>
              <w:top w:val="single" w:sz="4" w:space="0" w:color="auto"/>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652,064 </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654,287</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single" w:sz="4" w:space="0" w:color="auto"/>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5,457,399 </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5,477,265</w:t>
            </w:r>
          </w:p>
        </w:tc>
      </w:tr>
      <w:tr w:rsidR="003E54F5" w:rsidRPr="003E54F5" w:rsidTr="003E54F5">
        <w:trPr>
          <w:trHeight w:val="276"/>
        </w:trPr>
        <w:tc>
          <w:tcPr>
            <w:tcW w:w="249"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466" w:type="dxa"/>
            <w:tcBorders>
              <w:top w:val="nil"/>
              <w:left w:val="nil"/>
              <w:bottom w:val="nil"/>
              <w:right w:val="nil"/>
            </w:tcBorders>
            <w:shd w:val="clear" w:color="auto" w:fill="auto"/>
            <w:noWrap/>
            <w:vAlign w:val="center"/>
            <w:hideMark/>
          </w:tcPr>
          <w:p w:rsidR="003E54F5" w:rsidRPr="003E54F5" w:rsidRDefault="003E54F5" w:rsidP="003E54F5">
            <w:pPr>
              <w:ind w:hanging="77"/>
              <w:rPr>
                <w:rFonts w:ascii="Times New Roman" w:hAnsi="Times New Roman"/>
                <w:color w:val="000000"/>
                <w:sz w:val="13"/>
                <w:szCs w:val="15"/>
              </w:rPr>
            </w:pPr>
            <w:r w:rsidRPr="003E54F5">
              <w:rPr>
                <w:rFonts w:ascii="Times New Roman" w:hAnsi="Times New Roman"/>
                <w:color w:val="000000"/>
                <w:sz w:val="13"/>
                <w:szCs w:val="15"/>
              </w:rPr>
              <w:t>Elimination - internal UNDP cost recovery</w:t>
            </w:r>
          </w:p>
        </w:tc>
        <w:tc>
          <w:tcPr>
            <w:tcW w:w="753" w:type="dxa"/>
            <w:tcBorders>
              <w:top w:val="nil"/>
              <w:left w:val="single" w:sz="4" w:space="0" w:color="auto"/>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4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4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1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2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26"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60"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(212,948)</w:t>
            </w:r>
          </w:p>
        </w:tc>
        <w:tc>
          <w:tcPr>
            <w:tcW w:w="788"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(213,364)</w:t>
            </w:r>
          </w:p>
        </w:tc>
        <w:tc>
          <w:tcPr>
            <w:tcW w:w="75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(212,948)</w:t>
            </w:r>
          </w:p>
        </w:tc>
        <w:tc>
          <w:tcPr>
            <w:tcW w:w="757"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(213,364)</w:t>
            </w:r>
          </w:p>
        </w:tc>
      </w:tr>
      <w:tr w:rsidR="003E54F5" w:rsidRPr="003E54F5" w:rsidTr="003E54F5">
        <w:trPr>
          <w:trHeight w:val="286"/>
        </w:trPr>
        <w:tc>
          <w:tcPr>
            <w:tcW w:w="2715"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3E54F5" w:rsidRPr="003E54F5" w:rsidRDefault="003E54F5" w:rsidP="003E54F5">
            <w:pPr>
              <w:ind w:hanging="93"/>
              <w:rPr>
                <w:rFonts w:ascii="Times New Roman" w:hAnsi="Times New Roman"/>
                <w:color w:val="000000"/>
                <w:sz w:val="13"/>
                <w:szCs w:val="15"/>
              </w:rPr>
            </w:pPr>
            <w:r w:rsidRPr="003E54F5">
              <w:rPr>
                <w:rFonts w:ascii="Times New Roman" w:hAnsi="Times New Roman"/>
                <w:color w:val="000000"/>
                <w:sz w:val="13"/>
                <w:szCs w:val="15"/>
              </w:rPr>
              <w:t xml:space="preserve">Total expenses </w:t>
            </w:r>
          </w:p>
        </w:tc>
        <w:tc>
          <w:tcPr>
            <w:tcW w:w="75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997,983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1,033,074</w:t>
            </w:r>
          </w:p>
        </w:tc>
        <w:tc>
          <w:tcPr>
            <w:tcW w:w="846"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2,831,396 </w:t>
            </w:r>
          </w:p>
        </w:tc>
        <w:tc>
          <w:tcPr>
            <w:tcW w:w="846"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2,931,410</w:t>
            </w:r>
          </w:p>
        </w:tc>
        <w:tc>
          <w:tcPr>
            <w:tcW w:w="742"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975,956 </w:t>
            </w:r>
          </w:p>
        </w:tc>
        <w:tc>
          <w:tcPr>
            <w:tcW w:w="818"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858,494</w:t>
            </w:r>
          </w:p>
        </w:tc>
        <w:tc>
          <w:tcPr>
            <w:tcW w:w="724"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652,064 </w:t>
            </w:r>
          </w:p>
        </w:tc>
        <w:tc>
          <w:tcPr>
            <w:tcW w:w="726"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654,287</w:t>
            </w:r>
          </w:p>
        </w:tc>
        <w:tc>
          <w:tcPr>
            <w:tcW w:w="760"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(212,948)</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(213,364)</w:t>
            </w:r>
          </w:p>
        </w:tc>
        <w:tc>
          <w:tcPr>
            <w:tcW w:w="753"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5,244,451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5,263,901</w:t>
            </w:r>
          </w:p>
        </w:tc>
      </w:tr>
      <w:tr w:rsidR="003E54F5" w:rsidRPr="003E54F5" w:rsidTr="003E54F5">
        <w:trPr>
          <w:trHeight w:val="338"/>
        </w:trPr>
        <w:tc>
          <w:tcPr>
            <w:tcW w:w="2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4F5" w:rsidRPr="003E54F5" w:rsidRDefault="003E54F5" w:rsidP="003E54F5">
            <w:pPr>
              <w:ind w:hanging="93"/>
              <w:rPr>
                <w:rFonts w:ascii="Times New Roman" w:hAnsi="Times New Roman"/>
                <w:color w:val="000000"/>
                <w:sz w:val="13"/>
                <w:szCs w:val="15"/>
              </w:rPr>
            </w:pPr>
            <w:r w:rsidRPr="003E54F5">
              <w:rPr>
                <w:rFonts w:ascii="Times New Roman" w:hAnsi="Times New Roman"/>
                <w:color w:val="000000"/>
                <w:sz w:val="13"/>
                <w:szCs w:val="15"/>
              </w:rPr>
              <w:t>Surplus(deficit) for the year</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(28,061)</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(84,785)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191,934</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(30,085)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(222,474)</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(30,832)</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(39,893)</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(22,998)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(98,494)</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(168,700)</w:t>
            </w:r>
          </w:p>
        </w:tc>
      </w:tr>
    </w:tbl>
    <w:p w:rsidR="003E54F5" w:rsidRPr="003E54F5" w:rsidRDefault="003E54F5" w:rsidP="003E54F5">
      <w:pPr>
        <w:tabs>
          <w:tab w:val="left" w:pos="430"/>
        </w:tabs>
        <w:suppressAutoHyphens/>
        <w:spacing w:after="80"/>
        <w:outlineLvl w:val="6"/>
        <w:rPr>
          <w:rFonts w:ascii="Times New Roman" w:hAnsi="Times New Roman"/>
          <w:i/>
          <w:spacing w:val="4"/>
          <w:w w:val="103"/>
          <w:kern w:val="14"/>
          <w:sz w:val="14"/>
          <w:szCs w:val="14"/>
          <w:lang w:val="en-GB"/>
        </w:rPr>
      </w:pPr>
    </w:p>
    <w:p w:rsidR="003E54F5" w:rsidRPr="003E54F5" w:rsidRDefault="003E54F5" w:rsidP="003E54F5">
      <w:pPr>
        <w:tabs>
          <w:tab w:val="left" w:pos="430"/>
        </w:tabs>
        <w:suppressAutoHyphens/>
        <w:spacing w:after="80"/>
        <w:outlineLvl w:val="6"/>
        <w:rPr>
          <w:rFonts w:ascii="Times New Roman" w:hAnsi="Times New Roman"/>
          <w:i/>
          <w:spacing w:val="4"/>
          <w:w w:val="103"/>
          <w:kern w:val="14"/>
          <w:sz w:val="14"/>
          <w:szCs w:val="14"/>
          <w:lang w:val="en-GB"/>
        </w:rPr>
      </w:pPr>
    </w:p>
    <w:p w:rsidR="003E54F5" w:rsidRPr="003E54F5" w:rsidRDefault="003E54F5" w:rsidP="003E54F5">
      <w:pPr>
        <w:tabs>
          <w:tab w:val="left" w:pos="430"/>
        </w:tabs>
        <w:suppressAutoHyphens/>
        <w:spacing w:after="80"/>
        <w:outlineLvl w:val="6"/>
        <w:rPr>
          <w:rFonts w:ascii="Times New Roman" w:hAnsi="Times New Roman"/>
          <w:spacing w:val="4"/>
          <w:w w:val="103"/>
          <w:kern w:val="14"/>
          <w:sz w:val="14"/>
          <w:szCs w:val="14"/>
          <w:lang w:val="en-GB"/>
        </w:rPr>
      </w:pPr>
      <w:r w:rsidRPr="003E54F5">
        <w:rPr>
          <w:rFonts w:ascii="Times New Roman" w:hAnsi="Times New Roman"/>
          <w:i/>
          <w:spacing w:val="4"/>
          <w:w w:val="103"/>
          <w:kern w:val="14"/>
          <w:sz w:val="14"/>
          <w:szCs w:val="14"/>
          <w:lang w:val="en-GB"/>
        </w:rPr>
        <w:t>Source:</w:t>
      </w:r>
      <w:r w:rsidRPr="003E54F5">
        <w:rPr>
          <w:rFonts w:ascii="Times New Roman" w:hAnsi="Times New Roman"/>
          <w:spacing w:val="4"/>
          <w:w w:val="103"/>
          <w:kern w:val="14"/>
          <w:sz w:val="14"/>
          <w:szCs w:val="14"/>
          <w:lang w:val="en-GB"/>
        </w:rPr>
        <w:t xml:space="preserve"> Table 2a, DP/2014/20/Add.1.</w:t>
      </w:r>
    </w:p>
    <w:p w:rsidR="003E54F5" w:rsidRPr="003E54F5" w:rsidRDefault="003E54F5" w:rsidP="003E54F5">
      <w:pPr>
        <w:suppressAutoHyphens/>
        <w:spacing w:line="276" w:lineRule="auto"/>
        <w:rPr>
          <w:rFonts w:ascii="Times New Roman" w:hAnsi="Times New Roman"/>
          <w:spacing w:val="4"/>
          <w:w w:val="103"/>
          <w:kern w:val="14"/>
          <w:sz w:val="12"/>
          <w:lang w:val="en-GB"/>
        </w:rPr>
      </w:pPr>
      <w:r w:rsidRPr="003E54F5">
        <w:rPr>
          <w:rFonts w:ascii="Times New Roman" w:hAnsi="Times New Roman"/>
          <w:color w:val="000000"/>
          <w:sz w:val="19"/>
          <w:szCs w:val="19"/>
          <w:vertAlign w:val="superscript"/>
          <w:lang w:val="en-GB"/>
        </w:rPr>
        <w:t>a/</w:t>
      </w:r>
      <w:r w:rsidRPr="003E54F5">
        <w:rPr>
          <w:rFonts w:ascii="Times New Roman" w:hAnsi="Times New Roman"/>
          <w:spacing w:val="4"/>
          <w:w w:val="103"/>
          <w:kern w:val="14"/>
          <w:sz w:val="14"/>
          <w:szCs w:val="14"/>
          <w:lang w:val="en-GB"/>
        </w:rPr>
        <w:t>Includes general management support service cost.</w:t>
      </w:r>
    </w:p>
    <w:p w:rsidR="003E54F5" w:rsidRPr="003E54F5" w:rsidRDefault="003E54F5" w:rsidP="003E54F5">
      <w:pPr>
        <w:suppressAutoHyphens/>
        <w:spacing w:line="276" w:lineRule="auto"/>
        <w:rPr>
          <w:rFonts w:ascii="Times New Roman" w:hAnsi="Times New Roman"/>
          <w:spacing w:val="4"/>
          <w:w w:val="103"/>
          <w:kern w:val="14"/>
          <w:sz w:val="14"/>
          <w:szCs w:val="14"/>
          <w:lang w:val="en-GB"/>
        </w:rPr>
      </w:pPr>
      <w:r w:rsidRPr="003E54F5">
        <w:rPr>
          <w:rFonts w:ascii="Times New Roman" w:hAnsi="Times New Roman"/>
          <w:color w:val="000000"/>
          <w:sz w:val="19"/>
          <w:szCs w:val="19"/>
          <w:vertAlign w:val="superscript"/>
          <w:lang w:val="en-GB"/>
        </w:rPr>
        <w:t>b/</w:t>
      </w:r>
      <w:r w:rsidRPr="003E54F5">
        <w:rPr>
          <w:rFonts w:ascii="Times New Roman" w:hAnsi="Times New Roman"/>
          <w:spacing w:val="4"/>
          <w:w w:val="103"/>
          <w:kern w:val="14"/>
          <w:sz w:val="14"/>
          <w:szCs w:val="14"/>
          <w:lang w:val="en-GB"/>
        </w:rPr>
        <w:t>This adjustment is required to remove the effect of internal UNDP cost recovery.</w:t>
      </w:r>
    </w:p>
    <w:p w:rsidR="00B74D04" w:rsidRDefault="00B74D04">
      <w:pPr>
        <w:rPr>
          <w:rFonts w:ascii="Times New Roman" w:hAnsi="Times New Roman"/>
          <w:b/>
          <w:bCs/>
          <w:color w:val="000000"/>
          <w:spacing w:val="-2"/>
          <w:sz w:val="28"/>
        </w:rPr>
      </w:pPr>
      <w:r>
        <w:rPr>
          <w:rFonts w:ascii="Times New Roman" w:hAnsi="Times New Roman"/>
          <w:b/>
          <w:bCs/>
          <w:color w:val="000000"/>
          <w:spacing w:val="-2"/>
          <w:sz w:val="28"/>
        </w:rPr>
        <w:br w:type="page"/>
      </w:r>
    </w:p>
    <w:p w:rsidR="003E54F5" w:rsidRPr="00B74D04" w:rsidRDefault="003E54F5" w:rsidP="00B74D04">
      <w:pPr>
        <w:pStyle w:val="ListParagraph"/>
        <w:numPr>
          <w:ilvl w:val="0"/>
          <w:numId w:val="3"/>
        </w:numPr>
        <w:tabs>
          <w:tab w:val="left" w:pos="2250"/>
        </w:tabs>
        <w:suppressAutoHyphens/>
        <w:spacing w:line="240" w:lineRule="exact"/>
        <w:jc w:val="center"/>
        <w:rPr>
          <w:rFonts w:ascii="Times New Roman" w:hAnsi="Times New Roman"/>
          <w:b/>
          <w:bCs/>
          <w:spacing w:val="4"/>
          <w:w w:val="103"/>
          <w:kern w:val="14"/>
          <w:szCs w:val="24"/>
          <w:lang w:val="en-GB"/>
        </w:rPr>
      </w:pPr>
      <w:r w:rsidRPr="00B74D04">
        <w:rPr>
          <w:rFonts w:ascii="Times New Roman" w:hAnsi="Times New Roman"/>
          <w:b/>
          <w:bCs/>
          <w:spacing w:val="4"/>
          <w:w w:val="103"/>
          <w:kern w:val="14"/>
          <w:szCs w:val="24"/>
          <w:lang w:val="en-GB"/>
        </w:rPr>
        <w:lastRenderedPageBreak/>
        <w:t>Statement of financial position as at 31 December 2013</w:t>
      </w:r>
    </w:p>
    <w:p w:rsidR="003E54F5" w:rsidRPr="003E54F5" w:rsidDel="0037458C" w:rsidRDefault="003E54F5" w:rsidP="003E54F5">
      <w:pPr>
        <w:spacing w:after="60"/>
        <w:ind w:left="720"/>
        <w:rPr>
          <w:rFonts w:ascii="Times New Roman" w:hAnsi="Times New Roman"/>
          <w:spacing w:val="4"/>
          <w:w w:val="103"/>
          <w:kern w:val="14"/>
          <w:sz w:val="20"/>
          <w:lang w:val="en-GB"/>
        </w:rPr>
      </w:pPr>
    </w:p>
    <w:tbl>
      <w:tblPr>
        <w:tblW w:w="12554" w:type="dxa"/>
        <w:tblInd w:w="93" w:type="dxa"/>
        <w:tblLook w:val="04A0" w:firstRow="1" w:lastRow="0" w:firstColumn="1" w:lastColumn="0" w:noHBand="0" w:noVBand="1"/>
      </w:tblPr>
      <w:tblGrid>
        <w:gridCol w:w="250"/>
        <w:gridCol w:w="2742"/>
        <w:gridCol w:w="992"/>
        <w:gridCol w:w="994"/>
        <w:gridCol w:w="992"/>
        <w:gridCol w:w="994"/>
        <w:gridCol w:w="992"/>
        <w:gridCol w:w="994"/>
        <w:gridCol w:w="901"/>
        <w:gridCol w:w="904"/>
        <w:gridCol w:w="898"/>
        <w:gridCol w:w="901"/>
      </w:tblGrid>
      <w:tr w:rsidR="003E54F5" w:rsidRPr="003E54F5" w:rsidTr="003E54F5">
        <w:trPr>
          <w:trHeight w:val="492"/>
        </w:trPr>
        <w:tc>
          <w:tcPr>
            <w:tcW w:w="299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54F5" w:rsidRPr="003E54F5" w:rsidRDefault="003E54F5" w:rsidP="003E54F5">
            <w:pPr>
              <w:jc w:val="center"/>
              <w:rPr>
                <w:rFonts w:ascii="Times New Roman" w:hAnsi="Times New Roman"/>
                <w:i/>
                <w:iCs/>
                <w:color w:val="000000"/>
                <w:sz w:val="13"/>
                <w:szCs w:val="15"/>
              </w:rPr>
            </w:pPr>
            <w:r w:rsidRPr="003E54F5">
              <w:rPr>
                <w:rFonts w:ascii="Times New Roman" w:hAnsi="Times New Roman"/>
                <w:i/>
                <w:iCs/>
                <w:color w:val="000000"/>
                <w:sz w:val="13"/>
                <w:szCs w:val="15"/>
              </w:rPr>
              <w:t>(thousands of United States dollars)</w:t>
            </w:r>
          </w:p>
        </w:tc>
        <w:tc>
          <w:tcPr>
            <w:tcW w:w="1986" w:type="dxa"/>
            <w:gridSpan w:val="2"/>
            <w:tcBorders>
              <w:top w:val="single" w:sz="4" w:space="0" w:color="auto"/>
              <w:left w:val="nil"/>
              <w:bottom w:val="single" w:sz="4" w:space="0" w:color="auto"/>
              <w:right w:val="nil"/>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Regular resources</w:t>
            </w:r>
          </w:p>
        </w:tc>
        <w:tc>
          <w:tcPr>
            <w:tcW w:w="1986" w:type="dxa"/>
            <w:gridSpan w:val="2"/>
            <w:tcBorders>
              <w:top w:val="single" w:sz="4" w:space="0" w:color="auto"/>
              <w:left w:val="single" w:sz="4" w:space="0" w:color="auto"/>
              <w:bottom w:val="single" w:sz="4" w:space="0" w:color="auto"/>
              <w:right w:val="nil"/>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Cost sharing</w:t>
            </w:r>
          </w:p>
        </w:tc>
        <w:tc>
          <w:tcPr>
            <w:tcW w:w="1986" w:type="dxa"/>
            <w:gridSpan w:val="2"/>
            <w:tcBorders>
              <w:top w:val="single" w:sz="4" w:space="0" w:color="auto"/>
              <w:left w:val="single" w:sz="4" w:space="0" w:color="auto"/>
              <w:bottom w:val="single" w:sz="4" w:space="0" w:color="auto"/>
              <w:right w:val="nil"/>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Trust funds</w:t>
            </w:r>
          </w:p>
        </w:tc>
        <w:tc>
          <w:tcPr>
            <w:tcW w:w="1804" w:type="dxa"/>
            <w:gridSpan w:val="2"/>
            <w:tcBorders>
              <w:top w:val="single" w:sz="4" w:space="0" w:color="auto"/>
              <w:left w:val="single" w:sz="4" w:space="0" w:color="auto"/>
              <w:bottom w:val="single" w:sz="4" w:space="0" w:color="auto"/>
              <w:right w:val="nil"/>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Reimbursable support services &amp; misc. activities</w:t>
            </w:r>
          </w:p>
        </w:tc>
        <w:tc>
          <w:tcPr>
            <w:tcW w:w="1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54F5" w:rsidRPr="003E54F5" w:rsidRDefault="003E54F5" w:rsidP="003E54F5">
            <w:pPr>
              <w:jc w:val="center"/>
              <w:rPr>
                <w:rFonts w:ascii="Times New Roman" w:hAnsi="Times New Roman"/>
                <w:b/>
                <w:bCs/>
                <w:color w:val="000000"/>
                <w:sz w:val="13"/>
                <w:szCs w:val="15"/>
              </w:rPr>
            </w:pPr>
            <w:r w:rsidRPr="003E54F5">
              <w:rPr>
                <w:rFonts w:ascii="Times New Roman" w:hAnsi="Times New Roman"/>
                <w:b/>
                <w:bCs/>
                <w:color w:val="000000"/>
                <w:sz w:val="13"/>
                <w:szCs w:val="15"/>
              </w:rPr>
              <w:t>Total UNDP</w:t>
            </w:r>
          </w:p>
        </w:tc>
      </w:tr>
      <w:tr w:rsidR="003E54F5" w:rsidRPr="003E54F5" w:rsidTr="003E54F5">
        <w:trPr>
          <w:trHeight w:val="531"/>
        </w:trPr>
        <w:tc>
          <w:tcPr>
            <w:tcW w:w="2992" w:type="dxa"/>
            <w:gridSpan w:val="2"/>
            <w:vMerge/>
            <w:tcBorders>
              <w:top w:val="single" w:sz="4" w:space="0" w:color="auto"/>
              <w:left w:val="single" w:sz="4" w:space="0" w:color="auto"/>
              <w:bottom w:val="single" w:sz="4" w:space="0" w:color="000000"/>
              <w:right w:val="single" w:sz="4" w:space="0" w:color="000000"/>
            </w:tcBorders>
            <w:vAlign w:val="center"/>
            <w:hideMark/>
          </w:tcPr>
          <w:p w:rsidR="003E54F5" w:rsidRPr="003E54F5" w:rsidRDefault="003E54F5" w:rsidP="003E54F5">
            <w:pPr>
              <w:rPr>
                <w:rFonts w:ascii="Times New Roman" w:hAnsi="Times New Roman"/>
                <w:i/>
                <w:iCs/>
                <w:color w:val="000000"/>
                <w:sz w:val="13"/>
                <w:szCs w:val="15"/>
              </w:rPr>
            </w:pPr>
          </w:p>
        </w:tc>
        <w:tc>
          <w:tcPr>
            <w:tcW w:w="992"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993"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992"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993"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992"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993"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901"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904"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c>
          <w:tcPr>
            <w:tcW w:w="899"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2013</w:t>
            </w:r>
          </w:p>
        </w:tc>
        <w:tc>
          <w:tcPr>
            <w:tcW w:w="902"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center"/>
              <w:rPr>
                <w:rFonts w:ascii="Times New Roman" w:hAnsi="Times New Roman"/>
                <w:b/>
                <w:color w:val="000000"/>
                <w:sz w:val="13"/>
                <w:szCs w:val="15"/>
              </w:rPr>
            </w:pPr>
            <w:r w:rsidRPr="003E54F5">
              <w:rPr>
                <w:rFonts w:ascii="Times New Roman" w:hAnsi="Times New Roman"/>
                <w:b/>
                <w:color w:val="000000"/>
                <w:sz w:val="13"/>
                <w:szCs w:val="15"/>
              </w:rPr>
              <w:t>2012 (restated)</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ASSETS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01"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04"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Current assets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01"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904"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 </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Cash and cash equivalents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234,384</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100,253</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481,443</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393,412</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165,188</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170,281</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196,920</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184,480</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1,077,935</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848,426</w:t>
            </w:r>
          </w:p>
        </w:tc>
      </w:tr>
      <w:tr w:rsidR="003E54F5" w:rsidRPr="003E54F5" w:rsidTr="003E54F5">
        <w:trPr>
          <w:trHeight w:val="177"/>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Cash and cash equivalents – funds held-in-trust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229,750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266,613</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229,750</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266,613</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Investments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481,853</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240,901</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1,114,058</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804,213</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383,920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349,482</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453,058</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377,123</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2,432,889</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1,771,719</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Investments – funds held-in-trust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240,331</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215,386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240,331</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215,386</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Receivables – non-exchange transactions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108,335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61,516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16,145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33,335</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7,435</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5,478</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131,915</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100,331</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sz w:val="13"/>
                <w:szCs w:val="15"/>
              </w:rPr>
            </w:pPr>
            <w:r w:rsidRPr="003E54F5">
              <w:rPr>
                <w:rFonts w:ascii="Times New Roman" w:hAnsi="Times New Roman"/>
                <w:sz w:val="13"/>
                <w:szCs w:val="15"/>
              </w:rPr>
              <w:t>Receivables – exchange transactions, net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80,555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493,618</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717</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504</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201</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259</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10,699</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6,188</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92,172</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500,569</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sz w:val="13"/>
                <w:szCs w:val="15"/>
              </w:rPr>
            </w:pPr>
            <w:r w:rsidRPr="003E54F5">
              <w:rPr>
                <w:rFonts w:ascii="Times New Roman" w:hAnsi="Times New Roman"/>
                <w:sz w:val="13"/>
                <w:szCs w:val="15"/>
              </w:rPr>
              <w:t>Advances issued, net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26,915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30,755</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272,965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223,560</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23,998</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117,306</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834</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1,397</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324,712</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373,018</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tcPr>
          <w:p w:rsidR="003E54F5" w:rsidRPr="003E54F5" w:rsidRDefault="003E54F5" w:rsidP="003E54F5">
            <w:pPr>
              <w:rPr>
                <w:rFonts w:ascii="Times New Roman" w:hAnsi="Times New Roman"/>
                <w:color w:val="000000"/>
                <w:sz w:val="13"/>
                <w:szCs w:val="15"/>
              </w:rPr>
            </w:pPr>
          </w:p>
        </w:tc>
        <w:tc>
          <w:tcPr>
            <w:tcW w:w="2742" w:type="dxa"/>
            <w:tcBorders>
              <w:top w:val="nil"/>
              <w:left w:val="nil"/>
              <w:bottom w:val="nil"/>
              <w:right w:val="single" w:sz="4" w:space="0" w:color="auto"/>
            </w:tcBorders>
            <w:shd w:val="clear" w:color="auto" w:fill="auto"/>
            <w:vAlign w:val="center"/>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Loans to Governments</w:t>
            </w:r>
          </w:p>
        </w:tc>
        <w:tc>
          <w:tcPr>
            <w:tcW w:w="992" w:type="dxa"/>
            <w:tcBorders>
              <w:top w:val="nil"/>
              <w:left w:val="nil"/>
              <w:bottom w:val="nil"/>
              <w:right w:val="single" w:sz="4" w:space="0" w:color="auto"/>
            </w:tcBorders>
            <w:shd w:val="clear" w:color="auto" w:fill="auto"/>
            <w:noWrap/>
            <w:vAlign w:val="center"/>
          </w:tcPr>
          <w:p w:rsidR="003E54F5" w:rsidRPr="003E54F5" w:rsidRDefault="003E54F5" w:rsidP="003E54F5">
            <w:pPr>
              <w:jc w:val="right"/>
              <w:rPr>
                <w:rFonts w:ascii="Times New Roman" w:hAnsi="Times New Roman"/>
                <w:color w:val="000000"/>
                <w:sz w:val="13"/>
                <w:szCs w:val="15"/>
              </w:rPr>
            </w:pPr>
          </w:p>
        </w:tc>
        <w:tc>
          <w:tcPr>
            <w:tcW w:w="993" w:type="dxa"/>
            <w:tcBorders>
              <w:top w:val="nil"/>
              <w:left w:val="nil"/>
              <w:bottom w:val="nil"/>
              <w:right w:val="single" w:sz="4" w:space="0" w:color="auto"/>
            </w:tcBorders>
            <w:shd w:val="clear" w:color="auto" w:fill="auto"/>
            <w:noWrap/>
            <w:vAlign w:val="center"/>
          </w:tcPr>
          <w:p w:rsidR="003E54F5" w:rsidRPr="003E54F5" w:rsidRDefault="003E54F5" w:rsidP="003E54F5">
            <w:pPr>
              <w:jc w:val="right"/>
              <w:rPr>
                <w:rFonts w:ascii="Times New Roman" w:hAnsi="Times New Roman"/>
                <w:color w:val="000000"/>
                <w:sz w:val="13"/>
                <w:szCs w:val="15"/>
              </w:rPr>
            </w:pPr>
          </w:p>
        </w:tc>
        <w:tc>
          <w:tcPr>
            <w:tcW w:w="992" w:type="dxa"/>
            <w:tcBorders>
              <w:top w:val="nil"/>
              <w:left w:val="nil"/>
              <w:bottom w:val="nil"/>
              <w:right w:val="single" w:sz="4" w:space="0" w:color="auto"/>
            </w:tcBorders>
            <w:shd w:val="clear" w:color="auto" w:fill="auto"/>
            <w:noWrap/>
            <w:vAlign w:val="center"/>
          </w:tcPr>
          <w:p w:rsidR="003E54F5" w:rsidRPr="003E54F5" w:rsidRDefault="003E54F5" w:rsidP="003E54F5">
            <w:pPr>
              <w:jc w:val="right"/>
              <w:rPr>
                <w:rFonts w:ascii="Times New Roman" w:hAnsi="Times New Roman"/>
                <w:color w:val="000000"/>
                <w:sz w:val="13"/>
                <w:szCs w:val="15"/>
              </w:rPr>
            </w:pPr>
          </w:p>
        </w:tc>
        <w:tc>
          <w:tcPr>
            <w:tcW w:w="993" w:type="dxa"/>
            <w:tcBorders>
              <w:top w:val="nil"/>
              <w:left w:val="nil"/>
              <w:bottom w:val="nil"/>
              <w:right w:val="single" w:sz="4" w:space="0" w:color="auto"/>
            </w:tcBorders>
            <w:shd w:val="clear" w:color="auto" w:fill="auto"/>
            <w:noWrap/>
            <w:vAlign w:val="center"/>
          </w:tcPr>
          <w:p w:rsidR="003E54F5" w:rsidRPr="003E54F5" w:rsidRDefault="003E54F5" w:rsidP="003E54F5">
            <w:pPr>
              <w:jc w:val="right"/>
              <w:rPr>
                <w:rFonts w:ascii="Times New Roman" w:hAnsi="Times New Roman"/>
                <w:color w:val="000000"/>
                <w:sz w:val="13"/>
                <w:szCs w:val="15"/>
              </w:rPr>
            </w:pPr>
          </w:p>
        </w:tc>
        <w:tc>
          <w:tcPr>
            <w:tcW w:w="992" w:type="dxa"/>
            <w:tcBorders>
              <w:top w:val="nil"/>
              <w:left w:val="nil"/>
              <w:bottom w:val="nil"/>
              <w:right w:val="single" w:sz="4" w:space="0" w:color="auto"/>
            </w:tcBorders>
            <w:shd w:val="clear" w:color="auto" w:fill="auto"/>
            <w:noWrap/>
            <w:vAlign w:val="center"/>
          </w:tcPr>
          <w:p w:rsidR="003E54F5" w:rsidRPr="003E54F5" w:rsidRDefault="003E54F5" w:rsidP="003E54F5">
            <w:pPr>
              <w:jc w:val="right"/>
              <w:rPr>
                <w:rFonts w:ascii="Times New Roman" w:hAnsi="Times New Roman"/>
                <w:color w:val="000000"/>
                <w:sz w:val="13"/>
                <w:szCs w:val="15"/>
              </w:rPr>
            </w:pPr>
          </w:p>
        </w:tc>
        <w:tc>
          <w:tcPr>
            <w:tcW w:w="993" w:type="dxa"/>
            <w:tcBorders>
              <w:top w:val="nil"/>
              <w:left w:val="nil"/>
              <w:bottom w:val="nil"/>
              <w:right w:val="single" w:sz="4" w:space="0" w:color="auto"/>
            </w:tcBorders>
            <w:shd w:val="clear" w:color="auto" w:fill="auto"/>
            <w:noWrap/>
            <w:vAlign w:val="center"/>
          </w:tcPr>
          <w:p w:rsidR="003E54F5" w:rsidRPr="003E54F5" w:rsidRDefault="003E54F5" w:rsidP="003E54F5">
            <w:pPr>
              <w:jc w:val="right"/>
              <w:rPr>
                <w:rFonts w:ascii="Times New Roman" w:hAnsi="Times New Roman"/>
                <w:color w:val="000000"/>
                <w:sz w:val="13"/>
                <w:szCs w:val="15"/>
              </w:rPr>
            </w:pPr>
          </w:p>
        </w:tc>
        <w:tc>
          <w:tcPr>
            <w:tcW w:w="901" w:type="dxa"/>
            <w:tcBorders>
              <w:top w:val="nil"/>
              <w:left w:val="nil"/>
              <w:bottom w:val="nil"/>
              <w:right w:val="single" w:sz="4" w:space="0" w:color="auto"/>
            </w:tcBorders>
            <w:shd w:val="clear" w:color="auto" w:fill="auto"/>
            <w:noWrap/>
            <w:vAlign w:val="center"/>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772</w:t>
            </w:r>
          </w:p>
        </w:tc>
        <w:tc>
          <w:tcPr>
            <w:tcW w:w="904" w:type="dxa"/>
            <w:tcBorders>
              <w:top w:val="nil"/>
              <w:left w:val="nil"/>
              <w:bottom w:val="nil"/>
              <w:right w:val="single" w:sz="4" w:space="0" w:color="auto"/>
            </w:tcBorders>
            <w:shd w:val="clear" w:color="auto" w:fill="auto"/>
            <w:noWrap/>
            <w:vAlign w:val="center"/>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99" w:type="dxa"/>
            <w:tcBorders>
              <w:top w:val="nil"/>
              <w:left w:val="nil"/>
              <w:bottom w:val="nil"/>
              <w:right w:val="single" w:sz="4" w:space="0" w:color="auto"/>
            </w:tcBorders>
            <w:shd w:val="clear" w:color="auto" w:fill="auto"/>
            <w:vAlign w:val="center"/>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772</w:t>
            </w:r>
          </w:p>
        </w:tc>
        <w:tc>
          <w:tcPr>
            <w:tcW w:w="902" w:type="dxa"/>
            <w:tcBorders>
              <w:top w:val="nil"/>
              <w:left w:val="nil"/>
              <w:bottom w:val="nil"/>
              <w:right w:val="single" w:sz="4" w:space="0" w:color="auto"/>
            </w:tcBorders>
            <w:shd w:val="clear" w:color="auto" w:fill="auto"/>
            <w:vAlign w:val="center"/>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Inventories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1,731</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2,022</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12,625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20,312</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682</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475</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1,318</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1,132</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16,356</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23,941</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sz w:val="13"/>
                <w:szCs w:val="15"/>
              </w:rPr>
            </w:pPr>
            <w:r w:rsidRPr="003E54F5">
              <w:rPr>
                <w:rFonts w:ascii="Times New Roman" w:hAnsi="Times New Roman"/>
                <w:sz w:val="13"/>
                <w:szCs w:val="15"/>
              </w:rPr>
              <w:t>Other current assets, net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810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806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368</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345</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86</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76</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1,270</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1,230</w:t>
            </w:r>
          </w:p>
        </w:tc>
      </w:tr>
      <w:tr w:rsidR="003E54F5" w:rsidRPr="003E54F5" w:rsidTr="003E54F5">
        <w:trPr>
          <w:trHeight w:val="16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Total current assets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1,296,329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1,350,356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1,990,511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1,503,862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590,220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671,214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671,042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575,801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4,548,102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4,101,233 </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Non-current assets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1"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4"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Investments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378,605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320,930</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936,821</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1,085,597</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325,636</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476,001</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380,980</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509,068</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2,022,042</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2,391,596</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Investments – funds held-in-trust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26,480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30,676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26,480</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30,676</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Loans to governments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10,039</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13,458</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10,039</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13,458</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Property, plant and equipment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43,023</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37,637</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14,291</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9,508</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3,259</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2,342</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53,992</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43,423</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114,565</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92,910</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sz w:val="13"/>
                <w:szCs w:val="15"/>
              </w:rPr>
            </w:pPr>
            <w:r w:rsidRPr="003E54F5">
              <w:rPr>
                <w:rFonts w:ascii="Times New Roman" w:hAnsi="Times New Roman"/>
                <w:sz w:val="13"/>
                <w:szCs w:val="15"/>
              </w:rPr>
              <w:t>Intangible assets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3,440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2,911</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119</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257</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134</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3,154</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2,789</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6,970</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5,834</w:t>
            </w:r>
          </w:p>
        </w:tc>
      </w:tr>
      <w:tr w:rsidR="003E54F5" w:rsidRPr="003E54F5" w:rsidTr="003E54F5">
        <w:trPr>
          <w:trHeight w:val="16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Total non-current assets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451,548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392,154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951,231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1,095,105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329,152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478,477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448,165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568,738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2,180,096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2,534,474 </w:t>
            </w:r>
          </w:p>
        </w:tc>
      </w:tr>
      <w:tr w:rsidR="003E54F5" w:rsidRPr="003E54F5" w:rsidTr="003E54F5">
        <w:trPr>
          <w:trHeight w:val="213"/>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Total assets</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1,747,877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1,742,510 </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2,941,742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2,598,967 </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919,372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1,149,691 </w:t>
            </w:r>
          </w:p>
        </w:tc>
        <w:tc>
          <w:tcPr>
            <w:tcW w:w="901"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1,119,207 </w:t>
            </w:r>
          </w:p>
        </w:tc>
        <w:tc>
          <w:tcPr>
            <w:tcW w:w="904"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1,144,539 </w:t>
            </w:r>
          </w:p>
        </w:tc>
        <w:tc>
          <w:tcPr>
            <w:tcW w:w="899"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6,728,198 </w:t>
            </w:r>
          </w:p>
        </w:tc>
        <w:tc>
          <w:tcPr>
            <w:tcW w:w="902"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6,635,707 </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LIABILITIES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1"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4"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Current liabilities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1"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4"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Accounts payable and accrued liabilities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39,007</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46,614</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44,112</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26,860</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5,413</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11,394</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38,331</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26,547</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126,863</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111,415</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Advances payable</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1,174</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1,972</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6,481</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8,194</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8,419</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7,658</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593</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391</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16,667</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18,215</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Funds received in advance and deferred revenue</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99</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935</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137,124</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154</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9,788</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4,673</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147,071</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5,762</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sz w:val="13"/>
                <w:szCs w:val="15"/>
              </w:rPr>
            </w:pPr>
            <w:r w:rsidRPr="003E54F5">
              <w:rPr>
                <w:rFonts w:ascii="Times New Roman" w:hAnsi="Times New Roman"/>
                <w:sz w:val="13"/>
                <w:szCs w:val="15"/>
              </w:rPr>
              <w:t>Funds held on behalf of partners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6,254</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14,506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366</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775</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12,715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13,495</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881E2C">
            <w:pPr>
              <w:jc w:val="right"/>
              <w:rPr>
                <w:rFonts w:ascii="Times New Roman" w:hAnsi="Times New Roman"/>
                <w:color w:val="000000"/>
                <w:sz w:val="13"/>
                <w:szCs w:val="15"/>
              </w:rPr>
            </w:pPr>
            <w:r w:rsidRPr="003E54F5">
              <w:rPr>
                <w:rFonts w:ascii="Times New Roman" w:hAnsi="Times New Roman"/>
                <w:color w:val="000000"/>
                <w:sz w:val="13"/>
                <w:szCs w:val="15"/>
              </w:rPr>
              <w:t>20</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19,355</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28,776</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Payables – funds held-in-trust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526,325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543,421</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526,325</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543,421</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Employee benefits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169,351</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131,356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13</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32</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83</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16,285</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42,811</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185,649</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174,282</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xml:space="preserve">Other current liabilities </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7,720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11,146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29</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458</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660</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376</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8,510</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12,009</w:t>
            </w:r>
          </w:p>
        </w:tc>
      </w:tr>
      <w:tr w:rsidR="003E54F5" w:rsidRPr="003E54F5" w:rsidTr="003E54F5">
        <w:trPr>
          <w:trHeight w:val="16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Total current liabilities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749,930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749,950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188,116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35,890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26,717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33,242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65,677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74,798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1,030,440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893,880 </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Non-current liabilities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1"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4"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Payables – funds held-in-trust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26,480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30,676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26,480</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30,676</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Funds received in advance and deferred revenue</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6,827</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4,464</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6,827</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4,464</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Employee benefits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601,912</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624,361</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326,125</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386,806</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928,037</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1,011,167</w:t>
            </w:r>
          </w:p>
        </w:tc>
      </w:tr>
      <w:tr w:rsidR="003E54F5" w:rsidRPr="003E54F5" w:rsidTr="003E54F5">
        <w:trPr>
          <w:trHeight w:val="165"/>
        </w:trPr>
        <w:tc>
          <w:tcPr>
            <w:tcW w:w="250" w:type="dxa"/>
            <w:tcBorders>
              <w:top w:val="nil"/>
              <w:left w:val="single" w:sz="4" w:space="0" w:color="auto"/>
              <w:bottom w:val="nil"/>
              <w:right w:val="nil"/>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274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Other non-current liabilities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w:t>
            </w:r>
          </w:p>
        </w:tc>
      </w:tr>
      <w:tr w:rsidR="003E54F5" w:rsidRPr="003E54F5" w:rsidTr="003E54F5">
        <w:trPr>
          <w:trHeight w:val="16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Total non-current liabilities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628,394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655,043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332,952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391,270</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961,346</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1,046,313</w:t>
            </w:r>
          </w:p>
        </w:tc>
      </w:tr>
      <w:tr w:rsidR="003E54F5" w:rsidRPr="003E54F5" w:rsidTr="003E54F5">
        <w:trPr>
          <w:trHeight w:val="16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Total liabilities</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1,378,324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1,404,993 </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188,116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35,890 </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26,717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33,242 </w:t>
            </w:r>
          </w:p>
        </w:tc>
        <w:tc>
          <w:tcPr>
            <w:tcW w:w="901"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398,629 </w:t>
            </w:r>
          </w:p>
        </w:tc>
        <w:tc>
          <w:tcPr>
            <w:tcW w:w="904"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466,068 </w:t>
            </w:r>
          </w:p>
        </w:tc>
        <w:tc>
          <w:tcPr>
            <w:tcW w:w="899"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1,991,786 </w:t>
            </w:r>
          </w:p>
        </w:tc>
        <w:tc>
          <w:tcPr>
            <w:tcW w:w="902"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1,940,193 </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NET ASSETS/EQUITY</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w:t>
            </w:r>
          </w:p>
        </w:tc>
        <w:tc>
          <w:tcPr>
            <w:tcW w:w="99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93"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1"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4"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 </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ind w:firstLineChars="100" w:firstLine="130"/>
              <w:rPr>
                <w:rFonts w:ascii="Times New Roman" w:hAnsi="Times New Roman"/>
                <w:color w:val="000000"/>
                <w:sz w:val="13"/>
                <w:szCs w:val="15"/>
              </w:rPr>
            </w:pPr>
            <w:r w:rsidRPr="003E54F5">
              <w:rPr>
                <w:rFonts w:ascii="Times New Roman" w:hAnsi="Times New Roman"/>
                <w:color w:val="000000"/>
                <w:sz w:val="13"/>
                <w:szCs w:val="15"/>
              </w:rPr>
              <w:t>Reserves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212,669</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213,669</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3,000</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3,000</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144,969</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143,969</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360,638</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360,638</w:t>
            </w:r>
          </w:p>
        </w:tc>
      </w:tr>
      <w:tr w:rsidR="003E54F5" w:rsidRPr="003E54F5" w:rsidTr="003E54F5">
        <w:trPr>
          <w:trHeight w:val="165"/>
        </w:trPr>
        <w:tc>
          <w:tcPr>
            <w:tcW w:w="2992" w:type="dxa"/>
            <w:gridSpan w:val="2"/>
            <w:tcBorders>
              <w:top w:val="nil"/>
              <w:left w:val="single" w:sz="4" w:space="0" w:color="auto"/>
              <w:bottom w:val="nil"/>
              <w:right w:val="single" w:sz="4" w:space="0" w:color="000000"/>
            </w:tcBorders>
            <w:shd w:val="clear" w:color="auto" w:fill="auto"/>
            <w:noWrap/>
            <w:vAlign w:val="center"/>
            <w:hideMark/>
          </w:tcPr>
          <w:p w:rsidR="003E54F5" w:rsidRPr="003E54F5" w:rsidRDefault="003E54F5" w:rsidP="003E54F5">
            <w:pPr>
              <w:ind w:firstLineChars="100" w:firstLine="130"/>
              <w:rPr>
                <w:rFonts w:ascii="Times New Roman" w:hAnsi="Times New Roman"/>
                <w:color w:val="000000"/>
                <w:sz w:val="13"/>
                <w:szCs w:val="15"/>
              </w:rPr>
            </w:pPr>
            <w:r w:rsidRPr="003E54F5">
              <w:rPr>
                <w:rFonts w:ascii="Times New Roman" w:hAnsi="Times New Roman"/>
                <w:color w:val="000000"/>
                <w:sz w:val="13"/>
                <w:szCs w:val="15"/>
              </w:rPr>
              <w:t>Accumulated surplus</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156,884</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123,848</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2,753,626</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2,563,077</w:t>
            </w:r>
          </w:p>
        </w:tc>
        <w:tc>
          <w:tcPr>
            <w:tcW w:w="992"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889,655</w:t>
            </w:r>
          </w:p>
        </w:tc>
        <w:tc>
          <w:tcPr>
            <w:tcW w:w="993"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1,113,449</w:t>
            </w:r>
          </w:p>
        </w:tc>
        <w:tc>
          <w:tcPr>
            <w:tcW w:w="901"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575,609</w:t>
            </w:r>
          </w:p>
        </w:tc>
        <w:tc>
          <w:tcPr>
            <w:tcW w:w="904" w:type="dxa"/>
            <w:tcBorders>
              <w:top w:val="nil"/>
              <w:left w:val="nil"/>
              <w:bottom w:val="nil"/>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534,502</w:t>
            </w:r>
          </w:p>
        </w:tc>
        <w:tc>
          <w:tcPr>
            <w:tcW w:w="899"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4,375,774</w:t>
            </w:r>
          </w:p>
        </w:tc>
        <w:tc>
          <w:tcPr>
            <w:tcW w:w="902" w:type="dxa"/>
            <w:tcBorders>
              <w:top w:val="nil"/>
              <w:left w:val="nil"/>
              <w:bottom w:val="nil"/>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4,334,876</w:t>
            </w:r>
          </w:p>
        </w:tc>
      </w:tr>
      <w:tr w:rsidR="003E54F5" w:rsidRPr="003E54F5" w:rsidTr="003E54F5">
        <w:trPr>
          <w:trHeight w:val="16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F5" w:rsidRPr="003E54F5" w:rsidRDefault="003E54F5" w:rsidP="003E54F5">
            <w:pPr>
              <w:rPr>
                <w:rFonts w:ascii="Times New Roman" w:hAnsi="Times New Roman"/>
                <w:color w:val="000000"/>
                <w:sz w:val="13"/>
                <w:szCs w:val="15"/>
              </w:rPr>
            </w:pPr>
            <w:r w:rsidRPr="003E54F5">
              <w:rPr>
                <w:rFonts w:ascii="Times New Roman" w:hAnsi="Times New Roman"/>
                <w:color w:val="000000"/>
                <w:sz w:val="13"/>
                <w:szCs w:val="15"/>
              </w:rPr>
              <w:t>Total net assets/equity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369,553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337,517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2,753,626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2,563,077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892,655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1,116,449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720,578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678,471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4,736,412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color w:val="000000"/>
                <w:sz w:val="13"/>
                <w:szCs w:val="15"/>
              </w:rPr>
            </w:pPr>
            <w:r w:rsidRPr="003E54F5">
              <w:rPr>
                <w:rFonts w:ascii="Times New Roman" w:hAnsi="Times New Roman"/>
                <w:color w:val="000000"/>
                <w:sz w:val="13"/>
                <w:szCs w:val="15"/>
              </w:rPr>
              <w:t xml:space="preserve">4,695,514 </w:t>
            </w:r>
          </w:p>
        </w:tc>
      </w:tr>
      <w:tr w:rsidR="003E54F5" w:rsidRPr="003E54F5" w:rsidTr="003E54F5">
        <w:trPr>
          <w:trHeight w:val="228"/>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F5" w:rsidRPr="003E54F5" w:rsidRDefault="003E54F5" w:rsidP="003E54F5">
            <w:pPr>
              <w:rPr>
                <w:rFonts w:ascii="Times New Roman" w:hAnsi="Times New Roman"/>
                <w:b/>
                <w:bCs/>
                <w:color w:val="000000"/>
                <w:sz w:val="13"/>
                <w:szCs w:val="15"/>
              </w:rPr>
            </w:pPr>
            <w:r w:rsidRPr="003E54F5">
              <w:rPr>
                <w:rFonts w:ascii="Times New Roman" w:hAnsi="Times New Roman"/>
                <w:b/>
                <w:bCs/>
                <w:color w:val="000000"/>
                <w:sz w:val="13"/>
                <w:szCs w:val="15"/>
              </w:rPr>
              <w:t>Total liabilities and net assets/equity</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1,747,877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1,742,510 </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2,941,742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2,598,967 </w:t>
            </w:r>
          </w:p>
        </w:tc>
        <w:tc>
          <w:tcPr>
            <w:tcW w:w="992"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919,372 </w:t>
            </w:r>
          </w:p>
        </w:tc>
        <w:tc>
          <w:tcPr>
            <w:tcW w:w="993"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1,149,691 </w:t>
            </w:r>
          </w:p>
        </w:tc>
        <w:tc>
          <w:tcPr>
            <w:tcW w:w="901"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1,119,207 </w:t>
            </w:r>
          </w:p>
        </w:tc>
        <w:tc>
          <w:tcPr>
            <w:tcW w:w="904" w:type="dxa"/>
            <w:tcBorders>
              <w:top w:val="nil"/>
              <w:left w:val="nil"/>
              <w:bottom w:val="single" w:sz="4" w:space="0" w:color="auto"/>
              <w:right w:val="single" w:sz="4" w:space="0" w:color="auto"/>
            </w:tcBorders>
            <w:shd w:val="clear" w:color="auto" w:fill="auto"/>
            <w:noWrap/>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1,144,539 </w:t>
            </w:r>
          </w:p>
        </w:tc>
        <w:tc>
          <w:tcPr>
            <w:tcW w:w="899"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6,728,198 </w:t>
            </w:r>
          </w:p>
        </w:tc>
        <w:tc>
          <w:tcPr>
            <w:tcW w:w="902" w:type="dxa"/>
            <w:tcBorders>
              <w:top w:val="nil"/>
              <w:left w:val="nil"/>
              <w:bottom w:val="single" w:sz="4" w:space="0" w:color="auto"/>
              <w:right w:val="single" w:sz="4" w:space="0" w:color="auto"/>
            </w:tcBorders>
            <w:shd w:val="clear" w:color="auto" w:fill="auto"/>
            <w:vAlign w:val="center"/>
            <w:hideMark/>
          </w:tcPr>
          <w:p w:rsidR="003E54F5" w:rsidRPr="003E54F5" w:rsidRDefault="003E54F5" w:rsidP="003E54F5">
            <w:pPr>
              <w:jc w:val="right"/>
              <w:rPr>
                <w:rFonts w:ascii="Times New Roman" w:hAnsi="Times New Roman"/>
                <w:b/>
                <w:bCs/>
                <w:color w:val="000000"/>
                <w:sz w:val="13"/>
                <w:szCs w:val="15"/>
              </w:rPr>
            </w:pPr>
            <w:r w:rsidRPr="003E54F5">
              <w:rPr>
                <w:rFonts w:ascii="Times New Roman" w:hAnsi="Times New Roman"/>
                <w:b/>
                <w:bCs/>
                <w:color w:val="000000"/>
                <w:sz w:val="13"/>
                <w:szCs w:val="15"/>
              </w:rPr>
              <w:t xml:space="preserve">6,635,707 </w:t>
            </w:r>
          </w:p>
        </w:tc>
      </w:tr>
    </w:tbl>
    <w:p w:rsidR="00B74D04" w:rsidRDefault="00B74D04" w:rsidP="00634F26">
      <w:pPr>
        <w:suppressAutoHyphens/>
        <w:spacing w:after="120"/>
        <w:ind w:left="1267" w:right="738"/>
        <w:rPr>
          <w:rFonts w:ascii="Times New Roman" w:hAnsi="Times New Roman"/>
          <w:b/>
          <w:bCs/>
          <w:color w:val="000000"/>
          <w:spacing w:val="-2"/>
          <w:sz w:val="28"/>
        </w:rPr>
      </w:pPr>
    </w:p>
    <w:p w:rsidR="00B74D04" w:rsidRDefault="00B74D04">
      <w:pPr>
        <w:rPr>
          <w:rFonts w:ascii="Times New Roman" w:hAnsi="Times New Roman"/>
          <w:b/>
          <w:bCs/>
          <w:color w:val="000000"/>
          <w:spacing w:val="-2"/>
          <w:sz w:val="28"/>
        </w:rPr>
      </w:pPr>
      <w:r>
        <w:rPr>
          <w:rFonts w:ascii="Times New Roman" w:hAnsi="Times New Roman"/>
          <w:b/>
          <w:bCs/>
          <w:color w:val="000000"/>
          <w:spacing w:val="-2"/>
          <w:sz w:val="28"/>
        </w:rPr>
        <w:br w:type="page"/>
      </w:r>
    </w:p>
    <w:p w:rsidR="003E54F5" w:rsidRPr="003E54F5" w:rsidRDefault="003E54F5" w:rsidP="003E54F5">
      <w:pPr>
        <w:suppressAutoHyphens/>
        <w:spacing w:after="60"/>
        <w:ind w:firstLine="475"/>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lastRenderedPageBreak/>
        <w:t>Annex II.  Regular resources – comparison of budget to actual, 2013</w:t>
      </w:r>
    </w:p>
    <w:p w:rsidR="003E54F5" w:rsidRPr="003E54F5" w:rsidRDefault="003E54F5" w:rsidP="003E54F5">
      <w:pPr>
        <w:suppressAutoHyphens/>
        <w:spacing w:after="60"/>
        <w:ind w:firstLine="475"/>
        <w:rPr>
          <w:rFonts w:ascii="Times New Roman" w:hAnsi="Times New Roman"/>
          <w:b/>
          <w:bCs/>
          <w:color w:val="000000"/>
          <w:sz w:val="28"/>
          <w:szCs w:val="28"/>
          <w:lang w:val="en-GB"/>
        </w:rPr>
      </w:pPr>
    </w:p>
    <w:p w:rsidR="003E54F5" w:rsidRPr="003E54F5" w:rsidRDefault="003E54F5" w:rsidP="003E54F5">
      <w:pPr>
        <w:suppressAutoHyphens/>
        <w:spacing w:after="60"/>
        <w:ind w:firstLine="475"/>
        <w:rPr>
          <w:rFonts w:ascii="Times New Roman" w:hAnsi="Times New Roman"/>
          <w:b/>
          <w:bCs/>
          <w:color w:val="000000"/>
          <w:sz w:val="28"/>
          <w:szCs w:val="28"/>
          <w:lang w:val="en-GB"/>
        </w:rPr>
      </w:pPr>
    </w:p>
    <w:tbl>
      <w:tblPr>
        <w:tblW w:w="11317" w:type="dxa"/>
        <w:tblInd w:w="108" w:type="dxa"/>
        <w:tblLook w:val="04A0" w:firstRow="1" w:lastRow="0" w:firstColumn="1" w:lastColumn="0" w:noHBand="0" w:noVBand="1"/>
      </w:tblPr>
      <w:tblGrid>
        <w:gridCol w:w="4680"/>
        <w:gridCol w:w="1370"/>
        <w:gridCol w:w="1279"/>
        <w:gridCol w:w="1932"/>
        <w:gridCol w:w="2056"/>
      </w:tblGrid>
      <w:tr w:rsidR="003E54F5" w:rsidRPr="003E54F5" w:rsidTr="003E54F5">
        <w:trPr>
          <w:trHeight w:val="195"/>
        </w:trPr>
        <w:tc>
          <w:tcPr>
            <w:tcW w:w="4680" w:type="dxa"/>
            <w:tcBorders>
              <w:top w:val="nil"/>
              <w:left w:val="nil"/>
              <w:bottom w:val="nil"/>
              <w:right w:val="nil"/>
            </w:tcBorders>
            <w:shd w:val="clear" w:color="000000" w:fill="FFFFFF"/>
            <w:noWrap/>
            <w:vAlign w:val="bottom"/>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 </w:t>
            </w:r>
          </w:p>
        </w:tc>
        <w:tc>
          <w:tcPr>
            <w:tcW w:w="2649" w:type="dxa"/>
            <w:gridSpan w:val="2"/>
            <w:tcBorders>
              <w:top w:val="single" w:sz="4" w:space="0" w:color="auto"/>
              <w:left w:val="nil"/>
              <w:bottom w:val="single" w:sz="4" w:space="0" w:color="auto"/>
              <w:right w:val="nil"/>
            </w:tcBorders>
            <w:shd w:val="clear" w:color="000000" w:fill="FFFFFF"/>
            <w:noWrap/>
            <w:vAlign w:val="bottom"/>
            <w:hideMark/>
          </w:tcPr>
          <w:p w:rsidR="003E54F5" w:rsidRPr="003E54F5" w:rsidRDefault="003E54F5" w:rsidP="003E54F5">
            <w:pPr>
              <w:jc w:val="center"/>
              <w:rPr>
                <w:rFonts w:ascii="Times New Roman" w:hAnsi="Times New Roman"/>
                <w:b/>
                <w:bCs/>
                <w:color w:val="000000"/>
                <w:sz w:val="18"/>
              </w:rPr>
            </w:pPr>
            <w:r w:rsidRPr="003E54F5">
              <w:rPr>
                <w:rFonts w:ascii="Times New Roman" w:hAnsi="Times New Roman"/>
                <w:b/>
                <w:bCs/>
                <w:color w:val="000000"/>
                <w:sz w:val="18"/>
              </w:rPr>
              <w:t>Approved budget</w:t>
            </w:r>
          </w:p>
        </w:tc>
        <w:tc>
          <w:tcPr>
            <w:tcW w:w="1932" w:type="dxa"/>
            <w:vMerge w:val="restart"/>
            <w:tcBorders>
              <w:top w:val="single" w:sz="4" w:space="0" w:color="auto"/>
              <w:left w:val="nil"/>
              <w:bottom w:val="nil"/>
              <w:right w:val="nil"/>
            </w:tcBorders>
            <w:shd w:val="clear" w:color="000000" w:fill="FFFFFF"/>
            <w:vAlign w:val="center"/>
            <w:hideMark/>
          </w:tcPr>
          <w:p w:rsidR="003E54F5" w:rsidRPr="003E54F5" w:rsidRDefault="003E54F5" w:rsidP="003E54F5">
            <w:pPr>
              <w:jc w:val="center"/>
              <w:rPr>
                <w:rFonts w:ascii="Times New Roman" w:hAnsi="Times New Roman"/>
                <w:b/>
                <w:bCs/>
                <w:color w:val="000000"/>
                <w:sz w:val="18"/>
              </w:rPr>
            </w:pPr>
            <w:r w:rsidRPr="003E54F5">
              <w:rPr>
                <w:rFonts w:ascii="Times New Roman" w:hAnsi="Times New Roman"/>
                <w:b/>
                <w:bCs/>
                <w:color w:val="000000"/>
                <w:sz w:val="18"/>
              </w:rPr>
              <w:t>Actual expenditure on comparable basis*</w:t>
            </w:r>
            <w:r w:rsidRPr="003E54F5">
              <w:rPr>
                <w:rFonts w:ascii="Times New Roman" w:hAnsi="Times New Roman"/>
                <w:b/>
                <w:bCs/>
                <w:color w:val="000000"/>
                <w:sz w:val="18"/>
              </w:rPr>
              <w:br/>
              <w:t xml:space="preserve"> </w:t>
            </w:r>
          </w:p>
        </w:tc>
        <w:tc>
          <w:tcPr>
            <w:tcW w:w="2056" w:type="dxa"/>
            <w:vMerge w:val="restart"/>
            <w:tcBorders>
              <w:top w:val="single" w:sz="4" w:space="0" w:color="auto"/>
              <w:left w:val="nil"/>
              <w:bottom w:val="nil"/>
              <w:right w:val="nil"/>
            </w:tcBorders>
            <w:shd w:val="clear" w:color="000000" w:fill="FFFFFF"/>
            <w:vAlign w:val="center"/>
            <w:hideMark/>
          </w:tcPr>
          <w:p w:rsidR="003E54F5" w:rsidRPr="003E54F5" w:rsidRDefault="003E54F5" w:rsidP="003E54F5">
            <w:pPr>
              <w:jc w:val="center"/>
              <w:rPr>
                <w:rFonts w:ascii="Times New Roman" w:hAnsi="Times New Roman"/>
                <w:b/>
                <w:bCs/>
                <w:color w:val="000000"/>
                <w:sz w:val="18"/>
              </w:rPr>
            </w:pPr>
            <w:r w:rsidRPr="003E54F5">
              <w:rPr>
                <w:rFonts w:ascii="Times New Roman" w:hAnsi="Times New Roman"/>
                <w:b/>
                <w:bCs/>
                <w:color w:val="000000"/>
                <w:sz w:val="18"/>
              </w:rPr>
              <w:t>Difference: final approved budget and actual expenditure*</w:t>
            </w:r>
            <w:r w:rsidRPr="003E54F5">
              <w:rPr>
                <w:rFonts w:ascii="Times New Roman" w:hAnsi="Times New Roman"/>
                <w:b/>
                <w:bCs/>
                <w:color w:val="000000"/>
                <w:sz w:val="18"/>
              </w:rPr>
              <w:br/>
              <w:t xml:space="preserve"> </w:t>
            </w:r>
          </w:p>
        </w:tc>
      </w:tr>
      <w:tr w:rsidR="003E54F5" w:rsidRPr="003E54F5" w:rsidTr="003E54F5">
        <w:trPr>
          <w:trHeight w:val="468"/>
        </w:trPr>
        <w:tc>
          <w:tcPr>
            <w:tcW w:w="4680" w:type="dxa"/>
            <w:tcBorders>
              <w:top w:val="nil"/>
              <w:left w:val="nil"/>
              <w:bottom w:val="nil"/>
              <w:right w:val="nil"/>
            </w:tcBorders>
            <w:shd w:val="clear" w:color="000000" w:fill="FFFFFF"/>
            <w:noWrap/>
            <w:vAlign w:val="bottom"/>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 </w:t>
            </w:r>
          </w:p>
        </w:tc>
        <w:tc>
          <w:tcPr>
            <w:tcW w:w="1370" w:type="dxa"/>
            <w:tcBorders>
              <w:top w:val="nil"/>
              <w:left w:val="nil"/>
              <w:bottom w:val="nil"/>
              <w:right w:val="nil"/>
            </w:tcBorders>
            <w:shd w:val="clear" w:color="000000" w:fill="FFFFFF"/>
            <w:noWrap/>
            <w:vAlign w:val="bottom"/>
            <w:hideMark/>
          </w:tcPr>
          <w:p w:rsidR="003E54F5" w:rsidRPr="003E54F5" w:rsidRDefault="003E54F5" w:rsidP="003E54F5">
            <w:pPr>
              <w:jc w:val="center"/>
              <w:rPr>
                <w:rFonts w:ascii="Times New Roman" w:hAnsi="Times New Roman"/>
                <w:b/>
                <w:bCs/>
                <w:color w:val="000000"/>
                <w:sz w:val="18"/>
              </w:rPr>
            </w:pPr>
            <w:r w:rsidRPr="003E54F5">
              <w:rPr>
                <w:rFonts w:ascii="Times New Roman" w:hAnsi="Times New Roman"/>
                <w:b/>
                <w:bCs/>
                <w:color w:val="000000"/>
                <w:sz w:val="18"/>
              </w:rPr>
              <w:t>Original</w:t>
            </w:r>
          </w:p>
        </w:tc>
        <w:tc>
          <w:tcPr>
            <w:tcW w:w="1279" w:type="dxa"/>
            <w:tcBorders>
              <w:top w:val="nil"/>
              <w:left w:val="nil"/>
              <w:bottom w:val="nil"/>
              <w:right w:val="nil"/>
            </w:tcBorders>
            <w:shd w:val="clear" w:color="000000" w:fill="FFFFFF"/>
            <w:noWrap/>
            <w:vAlign w:val="bottom"/>
            <w:hideMark/>
          </w:tcPr>
          <w:p w:rsidR="003E54F5" w:rsidRPr="003E54F5" w:rsidRDefault="003E54F5" w:rsidP="003E54F5">
            <w:pPr>
              <w:jc w:val="center"/>
              <w:rPr>
                <w:rFonts w:ascii="Times New Roman" w:hAnsi="Times New Roman"/>
                <w:b/>
                <w:bCs/>
                <w:color w:val="000000"/>
                <w:sz w:val="18"/>
              </w:rPr>
            </w:pPr>
            <w:r w:rsidRPr="003E54F5">
              <w:rPr>
                <w:rFonts w:ascii="Times New Roman" w:hAnsi="Times New Roman"/>
                <w:b/>
                <w:bCs/>
                <w:color w:val="000000"/>
                <w:sz w:val="18"/>
              </w:rPr>
              <w:t>Final</w:t>
            </w:r>
          </w:p>
        </w:tc>
        <w:tc>
          <w:tcPr>
            <w:tcW w:w="1932" w:type="dxa"/>
            <w:vMerge/>
            <w:tcBorders>
              <w:top w:val="single" w:sz="4" w:space="0" w:color="auto"/>
              <w:left w:val="nil"/>
              <w:bottom w:val="nil"/>
              <w:right w:val="nil"/>
            </w:tcBorders>
            <w:vAlign w:val="center"/>
            <w:hideMark/>
          </w:tcPr>
          <w:p w:rsidR="003E54F5" w:rsidRPr="003E54F5" w:rsidRDefault="003E54F5" w:rsidP="003E54F5">
            <w:pPr>
              <w:rPr>
                <w:rFonts w:ascii="Times New Roman" w:hAnsi="Times New Roman"/>
                <w:b/>
                <w:bCs/>
                <w:color w:val="000000"/>
                <w:sz w:val="18"/>
              </w:rPr>
            </w:pPr>
          </w:p>
        </w:tc>
        <w:tc>
          <w:tcPr>
            <w:tcW w:w="2056" w:type="dxa"/>
            <w:vMerge/>
            <w:tcBorders>
              <w:top w:val="single" w:sz="4" w:space="0" w:color="auto"/>
              <w:left w:val="nil"/>
              <w:bottom w:val="nil"/>
              <w:right w:val="nil"/>
            </w:tcBorders>
            <w:vAlign w:val="center"/>
            <w:hideMark/>
          </w:tcPr>
          <w:p w:rsidR="003E54F5" w:rsidRPr="003E54F5" w:rsidRDefault="003E54F5" w:rsidP="003E54F5">
            <w:pPr>
              <w:rPr>
                <w:rFonts w:ascii="Times New Roman" w:hAnsi="Times New Roman"/>
                <w:b/>
                <w:bCs/>
                <w:color w:val="000000"/>
                <w:sz w:val="18"/>
              </w:rPr>
            </w:pPr>
          </w:p>
        </w:tc>
      </w:tr>
      <w:tr w:rsidR="003E54F5" w:rsidRPr="003E54F5" w:rsidTr="003E54F5">
        <w:trPr>
          <w:trHeight w:val="48"/>
        </w:trPr>
        <w:tc>
          <w:tcPr>
            <w:tcW w:w="4680" w:type="dxa"/>
            <w:tcBorders>
              <w:top w:val="nil"/>
              <w:left w:val="nil"/>
              <w:bottom w:val="single" w:sz="4" w:space="0" w:color="auto"/>
              <w:right w:val="nil"/>
            </w:tcBorders>
            <w:shd w:val="clear" w:color="000000" w:fill="FFFFFF"/>
            <w:noWrap/>
            <w:vAlign w:val="bottom"/>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 </w:t>
            </w:r>
          </w:p>
        </w:tc>
        <w:tc>
          <w:tcPr>
            <w:tcW w:w="1370" w:type="dxa"/>
            <w:tcBorders>
              <w:top w:val="nil"/>
              <w:left w:val="nil"/>
              <w:bottom w:val="single" w:sz="4" w:space="0" w:color="auto"/>
              <w:right w:val="nil"/>
            </w:tcBorders>
            <w:shd w:val="clear" w:color="000000" w:fill="FFFFFF"/>
            <w:noWrap/>
            <w:vAlign w:val="bottom"/>
            <w:hideMark/>
          </w:tcPr>
          <w:p w:rsidR="003E54F5" w:rsidRPr="003E54F5" w:rsidRDefault="003E54F5" w:rsidP="003E54F5">
            <w:pPr>
              <w:jc w:val="center"/>
              <w:rPr>
                <w:rFonts w:ascii="Times New Roman" w:hAnsi="Times New Roman"/>
                <w:b/>
                <w:bCs/>
                <w:color w:val="000000"/>
                <w:sz w:val="18"/>
              </w:rPr>
            </w:pPr>
            <w:r w:rsidRPr="003E54F5">
              <w:rPr>
                <w:rFonts w:ascii="Times New Roman" w:hAnsi="Times New Roman"/>
                <w:b/>
                <w:bCs/>
                <w:color w:val="000000"/>
                <w:sz w:val="18"/>
              </w:rPr>
              <w:t> </w:t>
            </w:r>
          </w:p>
        </w:tc>
        <w:tc>
          <w:tcPr>
            <w:tcW w:w="1279" w:type="dxa"/>
            <w:tcBorders>
              <w:top w:val="nil"/>
              <w:left w:val="nil"/>
              <w:bottom w:val="single" w:sz="4" w:space="0" w:color="auto"/>
              <w:right w:val="nil"/>
            </w:tcBorders>
            <w:shd w:val="clear" w:color="000000" w:fill="FFFFFF"/>
            <w:noWrap/>
            <w:vAlign w:val="bottom"/>
            <w:hideMark/>
          </w:tcPr>
          <w:p w:rsidR="003E54F5" w:rsidRPr="003E54F5" w:rsidRDefault="003E54F5" w:rsidP="003E54F5">
            <w:pPr>
              <w:jc w:val="center"/>
              <w:rPr>
                <w:rFonts w:ascii="Times New Roman" w:hAnsi="Times New Roman"/>
                <w:b/>
                <w:bCs/>
                <w:color w:val="000000"/>
                <w:sz w:val="18"/>
              </w:rPr>
            </w:pPr>
            <w:r w:rsidRPr="003E54F5">
              <w:rPr>
                <w:rFonts w:ascii="Times New Roman" w:hAnsi="Times New Roman"/>
                <w:b/>
                <w:bCs/>
                <w:color w:val="000000"/>
                <w:sz w:val="18"/>
              </w:rPr>
              <w:t> </w:t>
            </w:r>
          </w:p>
        </w:tc>
        <w:tc>
          <w:tcPr>
            <w:tcW w:w="1932" w:type="dxa"/>
            <w:tcBorders>
              <w:top w:val="nil"/>
              <w:left w:val="nil"/>
              <w:bottom w:val="single" w:sz="4" w:space="0" w:color="auto"/>
              <w:right w:val="nil"/>
            </w:tcBorders>
            <w:shd w:val="clear" w:color="000000" w:fill="FFFFFF"/>
            <w:vAlign w:val="bottom"/>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w:t>
            </w:r>
          </w:p>
        </w:tc>
        <w:tc>
          <w:tcPr>
            <w:tcW w:w="2056" w:type="dxa"/>
            <w:tcBorders>
              <w:top w:val="nil"/>
              <w:left w:val="nil"/>
              <w:bottom w:val="single" w:sz="4" w:space="0" w:color="auto"/>
              <w:right w:val="nil"/>
            </w:tcBorders>
            <w:shd w:val="clear" w:color="000000" w:fill="FFFFFF"/>
            <w:vAlign w:val="bottom"/>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w:t>
            </w:r>
          </w:p>
        </w:tc>
      </w:tr>
      <w:tr w:rsidR="003E54F5" w:rsidRPr="003E54F5" w:rsidTr="003E54F5">
        <w:trPr>
          <w:trHeight w:val="293"/>
        </w:trPr>
        <w:tc>
          <w:tcPr>
            <w:tcW w:w="4680" w:type="dxa"/>
            <w:tcBorders>
              <w:top w:val="nil"/>
              <w:left w:val="nil"/>
              <w:bottom w:val="nil"/>
              <w:right w:val="nil"/>
            </w:tcBorders>
            <w:shd w:val="clear" w:color="000000" w:fill="FFFFFF"/>
            <w:noWrap/>
            <w:vAlign w:val="center"/>
            <w:hideMark/>
          </w:tcPr>
          <w:p w:rsidR="003E54F5" w:rsidRPr="003E54F5" w:rsidRDefault="003E54F5" w:rsidP="003E54F5">
            <w:pPr>
              <w:rPr>
                <w:rFonts w:ascii="Times New Roman" w:hAnsi="Times New Roman"/>
                <w:b/>
                <w:bCs/>
                <w:color w:val="000000"/>
                <w:sz w:val="18"/>
              </w:rPr>
            </w:pPr>
            <w:r w:rsidRPr="003E54F5">
              <w:rPr>
                <w:rFonts w:ascii="Times New Roman" w:hAnsi="Times New Roman"/>
                <w:b/>
                <w:bCs/>
                <w:color w:val="000000"/>
                <w:sz w:val="18"/>
              </w:rPr>
              <w:t>Development activities</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w:t>
            </w:r>
          </w:p>
        </w:tc>
      </w:tr>
      <w:tr w:rsidR="003E54F5" w:rsidRPr="003E54F5" w:rsidTr="003E54F5">
        <w:trPr>
          <w:trHeight w:val="215"/>
        </w:trPr>
        <w:tc>
          <w:tcPr>
            <w:tcW w:w="4680" w:type="dxa"/>
            <w:tcBorders>
              <w:top w:val="nil"/>
              <w:left w:val="nil"/>
              <w:bottom w:val="nil"/>
              <w:right w:val="nil"/>
            </w:tcBorders>
            <w:shd w:val="clear" w:color="000000" w:fill="FFFFFF"/>
            <w:noWrap/>
            <w:vAlign w:val="center"/>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Programme</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606,829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606,829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477,397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129,432 </w:t>
            </w:r>
          </w:p>
        </w:tc>
      </w:tr>
      <w:tr w:rsidR="003E54F5" w:rsidRPr="003E54F5" w:rsidTr="003E54F5">
        <w:trPr>
          <w:trHeight w:val="288"/>
        </w:trPr>
        <w:tc>
          <w:tcPr>
            <w:tcW w:w="4680" w:type="dxa"/>
            <w:tcBorders>
              <w:top w:val="nil"/>
              <w:left w:val="nil"/>
              <w:bottom w:val="nil"/>
              <w:right w:val="nil"/>
            </w:tcBorders>
            <w:shd w:val="clear" w:color="000000" w:fill="FFFFFF"/>
            <w:noWrap/>
            <w:vAlign w:val="center"/>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Development effectiveness</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95,440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95,440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87,923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7,517 </w:t>
            </w:r>
          </w:p>
        </w:tc>
      </w:tr>
      <w:tr w:rsidR="003E54F5" w:rsidRPr="003E54F5" w:rsidTr="003E54F5">
        <w:trPr>
          <w:trHeight w:val="215"/>
        </w:trPr>
        <w:tc>
          <w:tcPr>
            <w:tcW w:w="4680"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rPr>
                <w:rFonts w:ascii="Times New Roman" w:hAnsi="Times New Roman"/>
                <w:b/>
                <w:bCs/>
                <w:color w:val="000000"/>
                <w:sz w:val="18"/>
              </w:rPr>
            </w:pPr>
            <w:r w:rsidRPr="003E54F5">
              <w:rPr>
                <w:rFonts w:ascii="Times New Roman" w:hAnsi="Times New Roman"/>
                <w:b/>
                <w:bCs/>
                <w:color w:val="000000"/>
                <w:sz w:val="18"/>
              </w:rPr>
              <w:t>Total</w:t>
            </w:r>
          </w:p>
        </w:tc>
        <w:tc>
          <w:tcPr>
            <w:tcW w:w="1370" w:type="dxa"/>
            <w:tcBorders>
              <w:top w:val="single" w:sz="4" w:space="0" w:color="auto"/>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702,269 </w:t>
            </w:r>
          </w:p>
        </w:tc>
        <w:tc>
          <w:tcPr>
            <w:tcW w:w="1279" w:type="dxa"/>
            <w:tcBorders>
              <w:top w:val="single" w:sz="4" w:space="0" w:color="auto"/>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702,269 </w:t>
            </w:r>
          </w:p>
        </w:tc>
        <w:tc>
          <w:tcPr>
            <w:tcW w:w="1932" w:type="dxa"/>
            <w:tcBorders>
              <w:top w:val="single" w:sz="4" w:space="0" w:color="auto"/>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565,320 </w:t>
            </w:r>
          </w:p>
        </w:tc>
        <w:tc>
          <w:tcPr>
            <w:tcW w:w="2056" w:type="dxa"/>
            <w:tcBorders>
              <w:top w:val="single" w:sz="4" w:space="0" w:color="auto"/>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136,949 </w:t>
            </w:r>
          </w:p>
        </w:tc>
      </w:tr>
      <w:tr w:rsidR="003E54F5" w:rsidRPr="003E54F5" w:rsidTr="003E54F5">
        <w:trPr>
          <w:trHeight w:val="253"/>
        </w:trPr>
        <w:tc>
          <w:tcPr>
            <w:tcW w:w="4680" w:type="dxa"/>
            <w:tcBorders>
              <w:top w:val="nil"/>
              <w:left w:val="nil"/>
              <w:bottom w:val="single" w:sz="4" w:space="0" w:color="auto"/>
              <w:right w:val="nil"/>
            </w:tcBorders>
            <w:shd w:val="clear" w:color="000000" w:fill="FFFFFF"/>
            <w:vAlign w:val="center"/>
            <w:hideMark/>
          </w:tcPr>
          <w:p w:rsidR="003E54F5" w:rsidRPr="003E54F5" w:rsidRDefault="003E54F5" w:rsidP="003E54F5">
            <w:pPr>
              <w:rPr>
                <w:rFonts w:ascii="Times New Roman" w:hAnsi="Times New Roman"/>
                <w:b/>
                <w:bCs/>
                <w:color w:val="000000"/>
                <w:sz w:val="18"/>
              </w:rPr>
            </w:pPr>
            <w:r w:rsidRPr="003E54F5">
              <w:rPr>
                <w:rFonts w:ascii="Times New Roman" w:hAnsi="Times New Roman"/>
                <w:b/>
                <w:bCs/>
                <w:color w:val="000000"/>
                <w:sz w:val="18"/>
              </w:rPr>
              <w:t>United Nations development coordination activities</w:t>
            </w:r>
          </w:p>
        </w:tc>
        <w:tc>
          <w:tcPr>
            <w:tcW w:w="1370"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86,830 </w:t>
            </w:r>
          </w:p>
        </w:tc>
        <w:tc>
          <w:tcPr>
            <w:tcW w:w="1279"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86,830 </w:t>
            </w:r>
          </w:p>
        </w:tc>
        <w:tc>
          <w:tcPr>
            <w:tcW w:w="1932"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74,422 </w:t>
            </w:r>
          </w:p>
        </w:tc>
        <w:tc>
          <w:tcPr>
            <w:tcW w:w="2056"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12,408 </w:t>
            </w:r>
          </w:p>
        </w:tc>
      </w:tr>
      <w:tr w:rsidR="003E54F5" w:rsidRPr="003E54F5" w:rsidTr="003E54F5">
        <w:trPr>
          <w:trHeight w:val="293"/>
        </w:trPr>
        <w:tc>
          <w:tcPr>
            <w:tcW w:w="4680" w:type="dxa"/>
            <w:tcBorders>
              <w:top w:val="nil"/>
              <w:left w:val="nil"/>
              <w:bottom w:val="nil"/>
              <w:right w:val="nil"/>
            </w:tcBorders>
            <w:shd w:val="clear" w:color="000000" w:fill="FFFFFF"/>
            <w:noWrap/>
            <w:vAlign w:val="center"/>
            <w:hideMark/>
          </w:tcPr>
          <w:p w:rsidR="003E54F5" w:rsidRPr="003E54F5" w:rsidRDefault="003E54F5" w:rsidP="003E54F5">
            <w:pPr>
              <w:rPr>
                <w:rFonts w:ascii="Times New Roman" w:hAnsi="Times New Roman"/>
                <w:b/>
                <w:bCs/>
                <w:color w:val="000000"/>
                <w:sz w:val="18"/>
              </w:rPr>
            </w:pPr>
            <w:r w:rsidRPr="003E54F5">
              <w:rPr>
                <w:rFonts w:ascii="Times New Roman" w:hAnsi="Times New Roman"/>
                <w:b/>
                <w:bCs/>
                <w:color w:val="000000"/>
                <w:sz w:val="18"/>
              </w:rPr>
              <w:t>Management activities</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w:t>
            </w:r>
          </w:p>
        </w:tc>
      </w:tr>
      <w:tr w:rsidR="003E54F5" w:rsidRPr="003E54F5" w:rsidTr="003E54F5">
        <w:trPr>
          <w:trHeight w:val="195"/>
        </w:trPr>
        <w:tc>
          <w:tcPr>
            <w:tcW w:w="4680" w:type="dxa"/>
            <w:tcBorders>
              <w:top w:val="nil"/>
              <w:left w:val="nil"/>
              <w:bottom w:val="nil"/>
              <w:right w:val="nil"/>
            </w:tcBorders>
            <w:shd w:val="clear" w:color="000000" w:fill="FFFFFF"/>
            <w:noWrap/>
            <w:vAlign w:val="center"/>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 xml:space="preserve">Recurring </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270,249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270,249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233,556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36,693 </w:t>
            </w:r>
          </w:p>
        </w:tc>
      </w:tr>
      <w:tr w:rsidR="003E54F5" w:rsidRPr="003E54F5" w:rsidTr="003E54F5">
        <w:trPr>
          <w:trHeight w:val="195"/>
        </w:trPr>
        <w:tc>
          <w:tcPr>
            <w:tcW w:w="4680" w:type="dxa"/>
            <w:tcBorders>
              <w:top w:val="nil"/>
              <w:left w:val="nil"/>
              <w:bottom w:val="nil"/>
              <w:right w:val="nil"/>
            </w:tcBorders>
            <w:shd w:val="clear" w:color="000000" w:fill="FFFFFF"/>
            <w:noWrap/>
            <w:vAlign w:val="center"/>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Non-recurring</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5,100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5,100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1,682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3,418 </w:t>
            </w:r>
          </w:p>
        </w:tc>
      </w:tr>
      <w:tr w:rsidR="003E54F5" w:rsidRPr="003E54F5" w:rsidTr="003E54F5">
        <w:trPr>
          <w:trHeight w:val="195"/>
        </w:trPr>
        <w:tc>
          <w:tcPr>
            <w:tcW w:w="4680"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rPr>
                <w:rFonts w:ascii="Times New Roman" w:hAnsi="Times New Roman"/>
                <w:b/>
                <w:bCs/>
                <w:color w:val="000000"/>
                <w:sz w:val="18"/>
              </w:rPr>
            </w:pPr>
            <w:r w:rsidRPr="003E54F5">
              <w:rPr>
                <w:rFonts w:ascii="Times New Roman" w:hAnsi="Times New Roman"/>
                <w:b/>
                <w:bCs/>
                <w:color w:val="000000"/>
                <w:sz w:val="18"/>
              </w:rPr>
              <w:t>Total</w:t>
            </w:r>
          </w:p>
        </w:tc>
        <w:tc>
          <w:tcPr>
            <w:tcW w:w="1370"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275,349 </w:t>
            </w:r>
          </w:p>
        </w:tc>
        <w:tc>
          <w:tcPr>
            <w:tcW w:w="1279"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275,349 </w:t>
            </w:r>
          </w:p>
        </w:tc>
        <w:tc>
          <w:tcPr>
            <w:tcW w:w="1932"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235,238</w:t>
            </w:r>
          </w:p>
        </w:tc>
        <w:tc>
          <w:tcPr>
            <w:tcW w:w="2056"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40,111 </w:t>
            </w:r>
          </w:p>
        </w:tc>
      </w:tr>
      <w:tr w:rsidR="003E54F5" w:rsidRPr="003E54F5" w:rsidTr="003E54F5">
        <w:trPr>
          <w:trHeight w:val="263"/>
        </w:trPr>
        <w:tc>
          <w:tcPr>
            <w:tcW w:w="4680" w:type="dxa"/>
            <w:tcBorders>
              <w:top w:val="nil"/>
              <w:left w:val="nil"/>
              <w:bottom w:val="nil"/>
              <w:right w:val="nil"/>
            </w:tcBorders>
            <w:shd w:val="clear" w:color="000000" w:fill="FFFFFF"/>
            <w:noWrap/>
            <w:vAlign w:val="center"/>
            <w:hideMark/>
          </w:tcPr>
          <w:p w:rsidR="003E54F5" w:rsidRPr="003E54F5" w:rsidRDefault="003E54F5" w:rsidP="003E54F5">
            <w:pPr>
              <w:rPr>
                <w:rFonts w:ascii="Times New Roman" w:hAnsi="Times New Roman"/>
                <w:b/>
                <w:bCs/>
                <w:color w:val="000000"/>
                <w:sz w:val="18"/>
              </w:rPr>
            </w:pPr>
            <w:r w:rsidRPr="003E54F5">
              <w:rPr>
                <w:rFonts w:ascii="Times New Roman" w:hAnsi="Times New Roman"/>
                <w:b/>
                <w:bCs/>
                <w:color w:val="000000"/>
                <w:sz w:val="18"/>
              </w:rPr>
              <w:t>Special purpose activities</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w:t>
            </w:r>
          </w:p>
        </w:tc>
      </w:tr>
      <w:tr w:rsidR="003E54F5" w:rsidRPr="003E54F5" w:rsidTr="003E54F5">
        <w:trPr>
          <w:trHeight w:val="195"/>
        </w:trPr>
        <w:tc>
          <w:tcPr>
            <w:tcW w:w="4680" w:type="dxa"/>
            <w:tcBorders>
              <w:top w:val="nil"/>
              <w:left w:val="nil"/>
              <w:bottom w:val="nil"/>
              <w:right w:val="nil"/>
            </w:tcBorders>
            <w:shd w:val="clear" w:color="000000" w:fill="FFFFFF"/>
            <w:noWrap/>
            <w:vAlign w:val="center"/>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Capital investments</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   </w:t>
            </w:r>
          </w:p>
        </w:tc>
      </w:tr>
      <w:tr w:rsidR="003E54F5" w:rsidRPr="003E54F5" w:rsidTr="003E54F5">
        <w:trPr>
          <w:trHeight w:val="339"/>
        </w:trPr>
        <w:tc>
          <w:tcPr>
            <w:tcW w:w="4680" w:type="dxa"/>
            <w:tcBorders>
              <w:top w:val="nil"/>
              <w:left w:val="nil"/>
              <w:bottom w:val="nil"/>
              <w:right w:val="nil"/>
            </w:tcBorders>
            <w:shd w:val="clear" w:color="000000" w:fill="FFFFFF"/>
            <w:vAlign w:val="center"/>
            <w:hideMark/>
          </w:tcPr>
          <w:p w:rsidR="003E54F5" w:rsidRPr="003E54F5" w:rsidRDefault="003E54F5" w:rsidP="003E54F5">
            <w:pPr>
              <w:rPr>
                <w:rFonts w:ascii="Times New Roman" w:hAnsi="Times New Roman"/>
                <w:color w:val="000000"/>
                <w:sz w:val="18"/>
              </w:rPr>
            </w:pPr>
            <w:r w:rsidRPr="003E54F5">
              <w:rPr>
                <w:rFonts w:ascii="Times New Roman" w:hAnsi="Times New Roman"/>
                <w:color w:val="000000"/>
                <w:sz w:val="18"/>
              </w:rPr>
              <w:t>Non-UNDP operations administered by UNDP</w:t>
            </w:r>
          </w:p>
        </w:tc>
        <w:tc>
          <w:tcPr>
            <w:tcW w:w="1370"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18,156 </w:t>
            </w:r>
          </w:p>
        </w:tc>
        <w:tc>
          <w:tcPr>
            <w:tcW w:w="1279"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18,156 </w:t>
            </w:r>
          </w:p>
        </w:tc>
        <w:tc>
          <w:tcPr>
            <w:tcW w:w="1932"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14,009 </w:t>
            </w:r>
          </w:p>
        </w:tc>
        <w:tc>
          <w:tcPr>
            <w:tcW w:w="2056" w:type="dxa"/>
            <w:tcBorders>
              <w:top w:val="nil"/>
              <w:left w:val="nil"/>
              <w:bottom w:val="nil"/>
              <w:right w:val="nil"/>
            </w:tcBorders>
            <w:shd w:val="clear" w:color="000000" w:fill="FFFFFF"/>
            <w:noWrap/>
            <w:vAlign w:val="center"/>
            <w:hideMark/>
          </w:tcPr>
          <w:p w:rsidR="003E54F5" w:rsidRPr="003E54F5" w:rsidRDefault="003E54F5" w:rsidP="003E54F5">
            <w:pPr>
              <w:jc w:val="right"/>
              <w:rPr>
                <w:rFonts w:ascii="Times New Roman" w:hAnsi="Times New Roman"/>
                <w:color w:val="000000"/>
                <w:sz w:val="18"/>
              </w:rPr>
            </w:pPr>
            <w:r w:rsidRPr="003E54F5">
              <w:rPr>
                <w:rFonts w:ascii="Times New Roman" w:hAnsi="Times New Roman"/>
                <w:color w:val="000000"/>
                <w:sz w:val="18"/>
              </w:rPr>
              <w:t xml:space="preserve">                               4,147 </w:t>
            </w:r>
          </w:p>
        </w:tc>
      </w:tr>
      <w:tr w:rsidR="003E54F5" w:rsidRPr="003E54F5" w:rsidTr="003E54F5">
        <w:trPr>
          <w:trHeight w:val="195"/>
        </w:trPr>
        <w:tc>
          <w:tcPr>
            <w:tcW w:w="4680"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rPr>
                <w:rFonts w:ascii="Times New Roman" w:hAnsi="Times New Roman"/>
                <w:b/>
                <w:bCs/>
                <w:color w:val="000000"/>
                <w:sz w:val="18"/>
              </w:rPr>
            </w:pPr>
            <w:r w:rsidRPr="003E54F5">
              <w:rPr>
                <w:rFonts w:ascii="Times New Roman" w:hAnsi="Times New Roman"/>
                <w:b/>
                <w:bCs/>
                <w:color w:val="000000"/>
                <w:sz w:val="18"/>
              </w:rPr>
              <w:t>Total</w:t>
            </w:r>
          </w:p>
        </w:tc>
        <w:tc>
          <w:tcPr>
            <w:tcW w:w="1370"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18,156 </w:t>
            </w:r>
          </w:p>
        </w:tc>
        <w:tc>
          <w:tcPr>
            <w:tcW w:w="1279"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18,156 </w:t>
            </w:r>
          </w:p>
        </w:tc>
        <w:tc>
          <w:tcPr>
            <w:tcW w:w="1932"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14,009 </w:t>
            </w:r>
          </w:p>
        </w:tc>
        <w:tc>
          <w:tcPr>
            <w:tcW w:w="2056" w:type="dxa"/>
            <w:tcBorders>
              <w:top w:val="single" w:sz="4" w:space="0" w:color="auto"/>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4,147 </w:t>
            </w:r>
          </w:p>
        </w:tc>
      </w:tr>
      <w:tr w:rsidR="003E54F5" w:rsidRPr="003E54F5" w:rsidTr="003E54F5">
        <w:trPr>
          <w:trHeight w:val="195"/>
        </w:trPr>
        <w:tc>
          <w:tcPr>
            <w:tcW w:w="4680" w:type="dxa"/>
            <w:tcBorders>
              <w:top w:val="nil"/>
              <w:left w:val="nil"/>
              <w:bottom w:val="single" w:sz="4" w:space="0" w:color="auto"/>
              <w:right w:val="nil"/>
            </w:tcBorders>
            <w:shd w:val="clear" w:color="000000" w:fill="FFFFFF"/>
            <w:noWrap/>
            <w:vAlign w:val="center"/>
            <w:hideMark/>
          </w:tcPr>
          <w:p w:rsidR="003E54F5" w:rsidRPr="003E54F5" w:rsidRDefault="003E54F5" w:rsidP="003E54F5">
            <w:pPr>
              <w:rPr>
                <w:rFonts w:ascii="Times New Roman" w:hAnsi="Times New Roman"/>
                <w:b/>
                <w:bCs/>
                <w:color w:val="000000"/>
                <w:sz w:val="18"/>
              </w:rPr>
            </w:pPr>
            <w:r w:rsidRPr="003E54F5">
              <w:rPr>
                <w:rFonts w:ascii="Times New Roman" w:hAnsi="Times New Roman"/>
                <w:b/>
                <w:bCs/>
                <w:color w:val="000000"/>
                <w:sz w:val="18"/>
              </w:rPr>
              <w:t xml:space="preserve">Grand total </w:t>
            </w:r>
          </w:p>
        </w:tc>
        <w:tc>
          <w:tcPr>
            <w:tcW w:w="1370" w:type="dxa"/>
            <w:tcBorders>
              <w:top w:val="nil"/>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1,082,604 </w:t>
            </w:r>
          </w:p>
        </w:tc>
        <w:tc>
          <w:tcPr>
            <w:tcW w:w="1279" w:type="dxa"/>
            <w:tcBorders>
              <w:top w:val="nil"/>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1,082,604 </w:t>
            </w:r>
          </w:p>
        </w:tc>
        <w:tc>
          <w:tcPr>
            <w:tcW w:w="1932" w:type="dxa"/>
            <w:tcBorders>
              <w:top w:val="nil"/>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888,989 </w:t>
            </w:r>
          </w:p>
        </w:tc>
        <w:tc>
          <w:tcPr>
            <w:tcW w:w="2056" w:type="dxa"/>
            <w:tcBorders>
              <w:top w:val="nil"/>
              <w:left w:val="nil"/>
              <w:bottom w:val="single" w:sz="4" w:space="0" w:color="auto"/>
              <w:right w:val="nil"/>
            </w:tcBorders>
            <w:shd w:val="clear" w:color="000000" w:fill="FFFFFF"/>
            <w:noWrap/>
            <w:vAlign w:val="center"/>
            <w:hideMark/>
          </w:tcPr>
          <w:p w:rsidR="003E54F5" w:rsidRPr="003E54F5" w:rsidRDefault="003E54F5" w:rsidP="003E54F5">
            <w:pPr>
              <w:jc w:val="right"/>
              <w:rPr>
                <w:rFonts w:ascii="Times New Roman" w:hAnsi="Times New Roman"/>
                <w:b/>
                <w:bCs/>
                <w:color w:val="000000"/>
                <w:sz w:val="18"/>
              </w:rPr>
            </w:pPr>
            <w:r w:rsidRPr="003E54F5">
              <w:rPr>
                <w:rFonts w:ascii="Times New Roman" w:hAnsi="Times New Roman"/>
                <w:b/>
                <w:bCs/>
                <w:color w:val="000000"/>
                <w:sz w:val="18"/>
              </w:rPr>
              <w:t xml:space="preserve">                          193,615 </w:t>
            </w:r>
          </w:p>
        </w:tc>
      </w:tr>
    </w:tbl>
    <w:p w:rsidR="003E54F5" w:rsidRPr="003E54F5" w:rsidRDefault="003E54F5" w:rsidP="003E54F5">
      <w:pPr>
        <w:suppressAutoHyphens/>
        <w:spacing w:after="60"/>
        <w:rPr>
          <w:rFonts w:ascii="Times New Roman" w:hAnsi="Times New Roman"/>
          <w:b/>
          <w:bCs/>
          <w:color w:val="000000"/>
          <w:sz w:val="28"/>
          <w:szCs w:val="28"/>
          <w:lang w:val="en-GB"/>
        </w:rPr>
      </w:pPr>
    </w:p>
    <w:p w:rsidR="003E54F5" w:rsidRPr="003E54F5" w:rsidRDefault="003E54F5" w:rsidP="003E54F5">
      <w:pPr>
        <w:suppressAutoHyphens/>
        <w:spacing w:after="60" w:line="240" w:lineRule="exact"/>
        <w:rPr>
          <w:rFonts w:ascii="Times New Roman" w:hAnsi="Times New Roman"/>
          <w:b/>
          <w:bCs/>
          <w:color w:val="000000"/>
          <w:sz w:val="14"/>
          <w:szCs w:val="28"/>
          <w:lang w:val="en-GB"/>
        </w:rPr>
      </w:pPr>
      <w:r w:rsidRPr="003E54F5">
        <w:rPr>
          <w:rFonts w:ascii="Times New Roman" w:hAnsi="Times New Roman"/>
          <w:b/>
          <w:bCs/>
          <w:color w:val="000000"/>
          <w:spacing w:val="4"/>
          <w:w w:val="103"/>
          <w:kern w:val="14"/>
          <w:sz w:val="14"/>
          <w:szCs w:val="28"/>
        </w:rPr>
        <w:t>*Reference: UNDP financial statements, Note 7</w:t>
      </w:r>
    </w:p>
    <w:p w:rsidR="00B74D04" w:rsidRDefault="00B74D04">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rsidR="00881E2C" w:rsidRPr="00881E2C" w:rsidRDefault="00881E2C" w:rsidP="00881E2C">
      <w:pPr>
        <w:suppressAutoHyphens/>
        <w:spacing w:after="60"/>
        <w:ind w:left="720" w:firstLine="360"/>
        <w:rPr>
          <w:rFonts w:ascii="Times New Roman" w:hAnsi="Times New Roman"/>
          <w:b/>
          <w:bCs/>
          <w:color w:val="000000"/>
          <w:spacing w:val="-2"/>
          <w:sz w:val="28"/>
          <w:szCs w:val="28"/>
          <w:lang w:val="en-GB"/>
        </w:rPr>
      </w:pPr>
      <w:r w:rsidRPr="00881E2C">
        <w:rPr>
          <w:rFonts w:ascii="Times New Roman" w:hAnsi="Times New Roman"/>
          <w:b/>
          <w:bCs/>
          <w:color w:val="000000"/>
          <w:sz w:val="28"/>
          <w:szCs w:val="28"/>
          <w:lang w:val="en-GB"/>
        </w:rPr>
        <w:lastRenderedPageBreak/>
        <w:t>Annex III. United Nations Capital Development Fund - overview</w:t>
      </w:r>
    </w:p>
    <w:p w:rsidR="00881E2C" w:rsidRPr="00881E2C" w:rsidRDefault="00881E2C" w:rsidP="00881E2C">
      <w:pPr>
        <w:tabs>
          <w:tab w:val="left" w:pos="3060"/>
        </w:tabs>
        <w:suppressAutoHyphens/>
        <w:spacing w:line="240" w:lineRule="exact"/>
        <w:ind w:left="1785"/>
        <w:rPr>
          <w:rFonts w:ascii="Times New Roman" w:hAnsi="Times New Roman"/>
          <w:b/>
          <w:bCs/>
          <w:snapToGrid w:val="0"/>
          <w:color w:val="000000"/>
          <w:sz w:val="20"/>
          <w:lang w:val="en-GB"/>
        </w:rPr>
      </w:pPr>
    </w:p>
    <w:p w:rsidR="00881E2C" w:rsidRPr="00881E2C" w:rsidRDefault="00881E2C" w:rsidP="00B74D04">
      <w:pPr>
        <w:tabs>
          <w:tab w:val="left" w:pos="3060"/>
        </w:tabs>
        <w:suppressAutoHyphens/>
        <w:spacing w:line="240" w:lineRule="exact"/>
        <w:ind w:left="1080"/>
        <w:jc w:val="center"/>
        <w:rPr>
          <w:rFonts w:ascii="Times New Roman" w:hAnsi="Times New Roman"/>
          <w:b/>
          <w:bCs/>
          <w:snapToGrid w:val="0"/>
          <w:color w:val="000000"/>
          <w:szCs w:val="24"/>
          <w:lang w:val="en-GB"/>
        </w:rPr>
      </w:pPr>
      <w:r w:rsidRPr="00881E2C">
        <w:rPr>
          <w:rFonts w:ascii="Times New Roman" w:hAnsi="Times New Roman"/>
          <w:b/>
          <w:bCs/>
          <w:snapToGrid w:val="0"/>
          <w:color w:val="000000"/>
          <w:szCs w:val="24"/>
          <w:lang w:val="en-GB"/>
        </w:rPr>
        <w:t>A.  Statement of financial performance for the year ended 31 December 2013</w:t>
      </w:r>
    </w:p>
    <w:p w:rsidR="00881E2C" w:rsidRPr="00881E2C" w:rsidRDefault="00881E2C" w:rsidP="00881E2C">
      <w:pPr>
        <w:spacing w:after="60"/>
        <w:rPr>
          <w:rFonts w:ascii="Times New Roman" w:hAnsi="Times New Roman"/>
          <w:spacing w:val="4"/>
          <w:w w:val="103"/>
          <w:kern w:val="14"/>
          <w:sz w:val="20"/>
          <w:lang w:val="en-GB"/>
        </w:rPr>
      </w:pPr>
      <w:r w:rsidRPr="00881E2C">
        <w:rPr>
          <w:rFonts w:ascii="Times New Roman" w:hAnsi="Times New Roman"/>
          <w:i/>
          <w:iCs/>
          <w:snapToGrid w:val="0"/>
          <w:color w:val="000000"/>
          <w:szCs w:val="24"/>
          <w:lang w:val="en-GB"/>
        </w:rPr>
        <w:t xml:space="preserve">                                                              </w:t>
      </w:r>
    </w:p>
    <w:tbl>
      <w:tblPr>
        <w:tblW w:w="11951" w:type="dxa"/>
        <w:tblInd w:w="93" w:type="dxa"/>
        <w:tblLayout w:type="fixed"/>
        <w:tblCellMar>
          <w:left w:w="14" w:type="dxa"/>
          <w:right w:w="14" w:type="dxa"/>
        </w:tblCellMar>
        <w:tblLook w:val="04A0" w:firstRow="1" w:lastRow="0" w:firstColumn="1" w:lastColumn="0" w:noHBand="0" w:noVBand="1"/>
      </w:tblPr>
      <w:tblGrid>
        <w:gridCol w:w="2301"/>
        <w:gridCol w:w="791"/>
        <w:gridCol w:w="791"/>
        <w:gridCol w:w="791"/>
        <w:gridCol w:w="791"/>
        <w:gridCol w:w="791"/>
        <w:gridCol w:w="791"/>
        <w:gridCol w:w="845"/>
        <w:gridCol w:w="826"/>
        <w:gridCol w:w="791"/>
        <w:gridCol w:w="791"/>
        <w:gridCol w:w="791"/>
        <w:gridCol w:w="860"/>
      </w:tblGrid>
      <w:tr w:rsidR="00881E2C" w:rsidRPr="00881E2C" w:rsidTr="00881E2C">
        <w:trPr>
          <w:trHeight w:val="22"/>
        </w:trPr>
        <w:tc>
          <w:tcPr>
            <w:tcW w:w="2301" w:type="dxa"/>
            <w:vMerge w:val="restart"/>
            <w:tcBorders>
              <w:top w:val="single" w:sz="8" w:space="0" w:color="auto"/>
              <w:left w:val="nil"/>
              <w:bottom w:val="nil"/>
              <w:right w:val="nil"/>
            </w:tcBorders>
            <w:shd w:val="clear" w:color="auto" w:fill="auto"/>
            <w:vAlign w:val="center"/>
            <w:hideMark/>
          </w:tcPr>
          <w:p w:rsidR="00881E2C" w:rsidRPr="00881E2C" w:rsidRDefault="00881E2C" w:rsidP="00881E2C">
            <w:pPr>
              <w:jc w:val="center"/>
              <w:rPr>
                <w:rFonts w:ascii="Times New Roman" w:hAnsi="Times New Roman"/>
                <w:i/>
                <w:iCs/>
                <w:color w:val="000000"/>
                <w:sz w:val="14"/>
                <w:szCs w:val="16"/>
              </w:rPr>
            </w:pPr>
            <w:r w:rsidRPr="00881E2C">
              <w:rPr>
                <w:rFonts w:ascii="Times New Roman" w:hAnsi="Times New Roman"/>
                <w:i/>
                <w:iCs/>
                <w:color w:val="000000"/>
                <w:sz w:val="14"/>
                <w:szCs w:val="16"/>
              </w:rPr>
              <w:t> </w:t>
            </w:r>
          </w:p>
        </w:tc>
        <w:tc>
          <w:tcPr>
            <w:tcW w:w="1582"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Regular resources</w:t>
            </w:r>
          </w:p>
        </w:tc>
        <w:tc>
          <w:tcPr>
            <w:tcW w:w="1582"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Cost sharing</w:t>
            </w:r>
          </w:p>
        </w:tc>
        <w:tc>
          <w:tcPr>
            <w:tcW w:w="1582"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Trust funds</w:t>
            </w:r>
          </w:p>
        </w:tc>
        <w:tc>
          <w:tcPr>
            <w:tcW w:w="1670" w:type="dxa"/>
            <w:gridSpan w:val="2"/>
            <w:tcBorders>
              <w:top w:val="single" w:sz="8" w:space="0" w:color="auto"/>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i/>
                <w:iCs/>
                <w:color w:val="000000"/>
                <w:sz w:val="14"/>
                <w:szCs w:val="16"/>
              </w:rPr>
              <w:t>Reimbursable support</w:t>
            </w:r>
          </w:p>
        </w:tc>
        <w:tc>
          <w:tcPr>
            <w:tcW w:w="1582"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Elimination</w:t>
            </w:r>
            <w:r w:rsidRPr="00881E2C">
              <w:rPr>
                <w:rFonts w:ascii="Times New Roman" w:hAnsi="Times New Roman"/>
                <w:b/>
                <w:i/>
                <w:iCs/>
                <w:color w:val="000000"/>
                <w:sz w:val="18"/>
                <w:szCs w:val="16"/>
                <w:vertAlign w:val="superscript"/>
              </w:rPr>
              <w:t>b/</w:t>
            </w:r>
          </w:p>
        </w:tc>
        <w:tc>
          <w:tcPr>
            <w:tcW w:w="1651"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Total</w:t>
            </w:r>
          </w:p>
        </w:tc>
      </w:tr>
      <w:tr w:rsidR="00881E2C" w:rsidRPr="00881E2C" w:rsidTr="00881E2C">
        <w:trPr>
          <w:trHeight w:val="22"/>
        </w:trPr>
        <w:tc>
          <w:tcPr>
            <w:tcW w:w="2301" w:type="dxa"/>
            <w:vMerge/>
            <w:tcBorders>
              <w:top w:val="single" w:sz="8" w:space="0" w:color="auto"/>
              <w:left w:val="nil"/>
              <w:bottom w:val="nil"/>
              <w:right w:val="nil"/>
            </w:tcBorders>
            <w:vAlign w:val="center"/>
            <w:hideMark/>
          </w:tcPr>
          <w:p w:rsidR="00881E2C" w:rsidRPr="00881E2C" w:rsidRDefault="00881E2C" w:rsidP="00881E2C">
            <w:pPr>
              <w:rPr>
                <w:rFonts w:ascii="Times New Roman" w:hAnsi="Times New Roman"/>
                <w:i/>
                <w:iCs/>
                <w:color w:val="000000"/>
                <w:sz w:val="14"/>
                <w:szCs w:val="16"/>
              </w:rPr>
            </w:pPr>
          </w:p>
        </w:tc>
        <w:tc>
          <w:tcPr>
            <w:tcW w:w="1582" w:type="dxa"/>
            <w:gridSpan w:val="2"/>
            <w:vMerge/>
            <w:tcBorders>
              <w:top w:val="single" w:sz="8" w:space="0" w:color="auto"/>
              <w:left w:val="nil"/>
              <w:bottom w:val="nil"/>
              <w:right w:val="nil"/>
            </w:tcBorders>
            <w:vAlign w:val="center"/>
            <w:hideMark/>
          </w:tcPr>
          <w:p w:rsidR="00881E2C" w:rsidRPr="00881E2C" w:rsidRDefault="00881E2C" w:rsidP="00881E2C">
            <w:pPr>
              <w:jc w:val="center"/>
              <w:rPr>
                <w:rFonts w:ascii="Times New Roman" w:hAnsi="Times New Roman"/>
                <w:b/>
                <w:i/>
                <w:iCs/>
                <w:color w:val="000000"/>
                <w:sz w:val="14"/>
                <w:szCs w:val="16"/>
              </w:rPr>
            </w:pPr>
          </w:p>
        </w:tc>
        <w:tc>
          <w:tcPr>
            <w:tcW w:w="1582" w:type="dxa"/>
            <w:gridSpan w:val="2"/>
            <w:vMerge/>
            <w:tcBorders>
              <w:top w:val="single" w:sz="8" w:space="0" w:color="auto"/>
              <w:left w:val="nil"/>
              <w:bottom w:val="nil"/>
              <w:right w:val="nil"/>
            </w:tcBorders>
            <w:vAlign w:val="center"/>
            <w:hideMark/>
          </w:tcPr>
          <w:p w:rsidR="00881E2C" w:rsidRPr="00881E2C" w:rsidRDefault="00881E2C" w:rsidP="00881E2C">
            <w:pPr>
              <w:jc w:val="center"/>
              <w:rPr>
                <w:rFonts w:ascii="Times New Roman" w:hAnsi="Times New Roman"/>
                <w:b/>
                <w:i/>
                <w:iCs/>
                <w:color w:val="000000"/>
                <w:sz w:val="14"/>
                <w:szCs w:val="16"/>
              </w:rPr>
            </w:pPr>
          </w:p>
        </w:tc>
        <w:tc>
          <w:tcPr>
            <w:tcW w:w="1582" w:type="dxa"/>
            <w:gridSpan w:val="2"/>
            <w:vMerge/>
            <w:tcBorders>
              <w:top w:val="single" w:sz="8" w:space="0" w:color="auto"/>
              <w:left w:val="nil"/>
              <w:bottom w:val="nil"/>
              <w:right w:val="nil"/>
            </w:tcBorders>
            <w:vAlign w:val="center"/>
            <w:hideMark/>
          </w:tcPr>
          <w:p w:rsidR="00881E2C" w:rsidRPr="00881E2C" w:rsidRDefault="00881E2C" w:rsidP="00881E2C">
            <w:pPr>
              <w:jc w:val="center"/>
              <w:rPr>
                <w:rFonts w:ascii="Times New Roman" w:hAnsi="Times New Roman"/>
                <w:b/>
                <w:i/>
                <w:iCs/>
                <w:color w:val="000000"/>
                <w:sz w:val="14"/>
                <w:szCs w:val="16"/>
              </w:rPr>
            </w:pPr>
          </w:p>
        </w:tc>
        <w:tc>
          <w:tcPr>
            <w:tcW w:w="1670" w:type="dxa"/>
            <w:gridSpan w:val="2"/>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i/>
                <w:iCs/>
                <w:color w:val="000000"/>
                <w:sz w:val="14"/>
                <w:szCs w:val="16"/>
              </w:rPr>
              <w:t>services and miscellaneous activities</w:t>
            </w:r>
          </w:p>
        </w:tc>
        <w:tc>
          <w:tcPr>
            <w:tcW w:w="1582" w:type="dxa"/>
            <w:gridSpan w:val="2"/>
            <w:vMerge/>
            <w:tcBorders>
              <w:top w:val="single" w:sz="8" w:space="0" w:color="auto"/>
              <w:left w:val="nil"/>
              <w:bottom w:val="nil"/>
              <w:right w:val="nil"/>
            </w:tcBorders>
            <w:vAlign w:val="center"/>
            <w:hideMark/>
          </w:tcPr>
          <w:p w:rsidR="00881E2C" w:rsidRPr="00881E2C" w:rsidRDefault="00881E2C" w:rsidP="00881E2C">
            <w:pPr>
              <w:jc w:val="center"/>
              <w:rPr>
                <w:rFonts w:ascii="Times New Roman" w:hAnsi="Times New Roman"/>
                <w:b/>
                <w:i/>
                <w:iCs/>
                <w:color w:val="000000"/>
                <w:sz w:val="14"/>
                <w:szCs w:val="16"/>
              </w:rPr>
            </w:pPr>
          </w:p>
        </w:tc>
        <w:tc>
          <w:tcPr>
            <w:tcW w:w="1651" w:type="dxa"/>
            <w:gridSpan w:val="2"/>
            <w:vMerge/>
            <w:tcBorders>
              <w:top w:val="single" w:sz="8" w:space="0" w:color="auto"/>
              <w:left w:val="nil"/>
              <w:bottom w:val="nil"/>
              <w:right w:val="nil"/>
            </w:tcBorders>
            <w:vAlign w:val="center"/>
            <w:hideMark/>
          </w:tcPr>
          <w:p w:rsidR="00881E2C" w:rsidRPr="00881E2C" w:rsidRDefault="00881E2C" w:rsidP="00881E2C">
            <w:pPr>
              <w:jc w:val="center"/>
              <w:rPr>
                <w:rFonts w:ascii="Times New Roman" w:hAnsi="Times New Roman"/>
                <w:b/>
                <w:i/>
                <w:iCs/>
                <w:color w:val="000000"/>
                <w:sz w:val="14"/>
                <w:szCs w:val="16"/>
              </w:rPr>
            </w:pPr>
          </w:p>
        </w:tc>
      </w:tr>
      <w:tr w:rsidR="00881E2C" w:rsidRPr="00881E2C" w:rsidTr="00881E2C">
        <w:trPr>
          <w:trHeight w:val="22"/>
        </w:trPr>
        <w:tc>
          <w:tcPr>
            <w:tcW w:w="2301" w:type="dxa"/>
            <w:tcBorders>
              <w:top w:val="nil"/>
              <w:left w:val="nil"/>
              <w:bottom w:val="single" w:sz="8" w:space="0" w:color="auto"/>
              <w:right w:val="nil"/>
            </w:tcBorders>
            <w:shd w:val="clear" w:color="auto" w:fill="auto"/>
            <w:vAlign w:val="center"/>
            <w:hideMark/>
          </w:tcPr>
          <w:p w:rsidR="00881E2C" w:rsidRPr="00881E2C" w:rsidRDefault="00881E2C" w:rsidP="00881E2C">
            <w:pPr>
              <w:rPr>
                <w:rFonts w:ascii="Times New Roman" w:hAnsi="Times New Roman"/>
                <w:i/>
                <w:iCs/>
                <w:color w:val="000000"/>
                <w:sz w:val="14"/>
                <w:szCs w:val="16"/>
              </w:rPr>
            </w:pPr>
            <w:r w:rsidRPr="00881E2C">
              <w:rPr>
                <w:rFonts w:ascii="Times New Roman" w:hAnsi="Times New Roman"/>
                <w:i/>
                <w:iCs/>
                <w:color w:val="000000"/>
                <w:sz w:val="14"/>
                <w:szCs w:val="16"/>
              </w:rPr>
              <w:t> </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2013</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2012 (Restated)</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2013</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2012 (Restated)</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2013</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2012 (Restated)</w:t>
            </w:r>
          </w:p>
        </w:tc>
        <w:tc>
          <w:tcPr>
            <w:tcW w:w="845"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2013</w:t>
            </w:r>
          </w:p>
        </w:tc>
        <w:tc>
          <w:tcPr>
            <w:tcW w:w="826"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2012 (Restated)</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2013</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2012 (Restated)</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2013</w:t>
            </w:r>
          </w:p>
        </w:tc>
        <w:tc>
          <w:tcPr>
            <w:tcW w:w="860" w:type="dxa"/>
            <w:tcBorders>
              <w:top w:val="nil"/>
              <w:left w:val="nil"/>
              <w:bottom w:val="single" w:sz="8" w:space="0" w:color="auto"/>
              <w:right w:val="nil"/>
            </w:tcBorders>
            <w:shd w:val="clear" w:color="auto" w:fill="auto"/>
            <w:vAlign w:val="center"/>
            <w:hideMark/>
          </w:tcPr>
          <w:p w:rsidR="00881E2C" w:rsidRPr="00881E2C" w:rsidRDefault="00881E2C" w:rsidP="00881E2C">
            <w:pPr>
              <w:jc w:val="center"/>
              <w:rPr>
                <w:rFonts w:ascii="Times New Roman" w:hAnsi="Times New Roman"/>
                <w:b/>
                <w:i/>
                <w:iCs/>
                <w:color w:val="000000"/>
                <w:sz w:val="14"/>
                <w:szCs w:val="16"/>
              </w:rPr>
            </w:pPr>
            <w:r w:rsidRPr="00881E2C">
              <w:rPr>
                <w:rFonts w:ascii="Times New Roman" w:hAnsi="Times New Roman"/>
                <w:b/>
                <w:bCs/>
                <w:i/>
                <w:iCs/>
                <w:color w:val="000000"/>
                <w:sz w:val="14"/>
                <w:szCs w:val="16"/>
              </w:rPr>
              <w:t>2012 (Restated)</w:t>
            </w:r>
          </w:p>
        </w:tc>
      </w:tr>
      <w:tr w:rsidR="00881E2C" w:rsidRPr="00881E2C" w:rsidTr="00881E2C">
        <w:trPr>
          <w:trHeight w:val="22"/>
        </w:trPr>
        <w:tc>
          <w:tcPr>
            <w:tcW w:w="2301" w:type="dxa"/>
            <w:tcBorders>
              <w:top w:val="nil"/>
              <w:left w:val="nil"/>
              <w:bottom w:val="nil"/>
              <w:right w:val="nil"/>
            </w:tcBorders>
            <w:shd w:val="clear" w:color="auto" w:fill="auto"/>
            <w:vAlign w:val="center"/>
            <w:hideMark/>
          </w:tcPr>
          <w:p w:rsidR="00881E2C" w:rsidRPr="00881E2C" w:rsidRDefault="00881E2C" w:rsidP="00881E2C">
            <w:pPr>
              <w:rPr>
                <w:rFonts w:ascii="Times New Roman" w:hAnsi="Times New Roman"/>
                <w:b/>
                <w:bCs/>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45"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26"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60"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r>
      <w:tr w:rsidR="00881E2C" w:rsidRPr="00881E2C" w:rsidTr="00881E2C">
        <w:trPr>
          <w:trHeight w:val="22"/>
        </w:trPr>
        <w:tc>
          <w:tcPr>
            <w:tcW w:w="2301" w:type="dxa"/>
            <w:tcBorders>
              <w:top w:val="nil"/>
              <w:left w:val="nil"/>
              <w:bottom w:val="nil"/>
              <w:right w:val="nil"/>
            </w:tcBorders>
            <w:shd w:val="clear" w:color="auto" w:fill="auto"/>
            <w:vAlign w:val="center"/>
            <w:hideMark/>
          </w:tcPr>
          <w:p w:rsidR="00881E2C" w:rsidRPr="00881E2C" w:rsidRDefault="00881E2C" w:rsidP="00881E2C">
            <w:pPr>
              <w:rPr>
                <w:rFonts w:ascii="Times New Roman" w:hAnsi="Times New Roman"/>
                <w:b/>
                <w:bCs/>
                <w:color w:val="000000"/>
                <w:sz w:val="14"/>
                <w:szCs w:val="16"/>
              </w:rPr>
            </w:pPr>
            <w:r w:rsidRPr="00881E2C">
              <w:rPr>
                <w:rFonts w:ascii="Times New Roman" w:hAnsi="Times New Roman"/>
                <w:b/>
                <w:bCs/>
                <w:color w:val="000000"/>
                <w:sz w:val="14"/>
                <w:szCs w:val="16"/>
              </w:rPr>
              <w:t>Revenue</w:t>
            </w:r>
          </w:p>
          <w:p w:rsidR="00881E2C" w:rsidRPr="00881E2C" w:rsidRDefault="00881E2C" w:rsidP="00881E2C">
            <w:pPr>
              <w:rPr>
                <w:rFonts w:ascii="Times New Roman" w:hAnsi="Times New Roman"/>
                <w:b/>
                <w:bCs/>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45"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26"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60"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r>
      <w:tr w:rsidR="00881E2C" w:rsidRPr="00881E2C" w:rsidTr="00881E2C">
        <w:trPr>
          <w:trHeight w:val="389"/>
        </w:trPr>
        <w:tc>
          <w:tcPr>
            <w:tcW w:w="2301" w:type="dxa"/>
            <w:tcBorders>
              <w:top w:val="nil"/>
              <w:left w:val="nil"/>
              <w:bottom w:val="nil"/>
              <w:right w:val="nil"/>
            </w:tcBorders>
            <w:shd w:val="clear" w:color="auto" w:fill="auto"/>
            <w:vAlign w:val="center"/>
            <w:hideMark/>
          </w:tcPr>
          <w:p w:rsidR="00881E2C" w:rsidRPr="00881E2C" w:rsidRDefault="00881E2C" w:rsidP="00881E2C">
            <w:pPr>
              <w:rPr>
                <w:rFonts w:ascii="Times New Roman" w:hAnsi="Times New Roman"/>
                <w:color w:val="000000"/>
                <w:sz w:val="14"/>
                <w:szCs w:val="16"/>
              </w:rPr>
            </w:pPr>
            <w:r w:rsidRPr="00881E2C">
              <w:rPr>
                <w:rFonts w:ascii="Times New Roman" w:hAnsi="Times New Roman"/>
                <w:color w:val="000000"/>
                <w:sz w:val="14"/>
                <w:szCs w:val="16"/>
              </w:rPr>
              <w:t>Voluntary contributions, net</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16,052</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14,520</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31,191</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27,363</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17,119</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11,574</w:t>
            </w:r>
          </w:p>
        </w:tc>
        <w:tc>
          <w:tcPr>
            <w:tcW w:w="845"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807</w:t>
            </w:r>
          </w:p>
        </w:tc>
        <w:tc>
          <w:tcPr>
            <w:tcW w:w="826"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682</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65,169</w:t>
            </w:r>
          </w:p>
        </w:tc>
        <w:tc>
          <w:tcPr>
            <w:tcW w:w="860"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54,139</w:t>
            </w:r>
          </w:p>
        </w:tc>
      </w:tr>
      <w:tr w:rsidR="00881E2C" w:rsidRPr="00881E2C" w:rsidTr="00881E2C">
        <w:trPr>
          <w:trHeight w:val="314"/>
        </w:trPr>
        <w:tc>
          <w:tcPr>
            <w:tcW w:w="2301" w:type="dxa"/>
            <w:tcBorders>
              <w:top w:val="nil"/>
              <w:left w:val="nil"/>
              <w:bottom w:val="nil"/>
              <w:right w:val="nil"/>
            </w:tcBorders>
            <w:shd w:val="clear" w:color="auto" w:fill="auto"/>
            <w:vAlign w:val="center"/>
            <w:hideMark/>
          </w:tcPr>
          <w:p w:rsidR="00881E2C" w:rsidRPr="00881E2C" w:rsidRDefault="00881E2C" w:rsidP="00881E2C">
            <w:pPr>
              <w:rPr>
                <w:rFonts w:ascii="Times New Roman" w:hAnsi="Times New Roman"/>
                <w:color w:val="000000"/>
                <w:sz w:val="14"/>
                <w:szCs w:val="16"/>
              </w:rPr>
            </w:pPr>
            <w:r w:rsidRPr="00881E2C">
              <w:rPr>
                <w:rFonts w:ascii="Times New Roman" w:hAnsi="Times New Roman"/>
                <w:color w:val="000000"/>
                <w:sz w:val="14"/>
                <w:szCs w:val="16"/>
              </w:rPr>
              <w:t>Investment revenue</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239</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206</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134</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110</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53</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51</w:t>
            </w:r>
          </w:p>
        </w:tc>
        <w:tc>
          <w:tcPr>
            <w:tcW w:w="845"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826"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426</w:t>
            </w:r>
          </w:p>
        </w:tc>
        <w:tc>
          <w:tcPr>
            <w:tcW w:w="860"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367</w:t>
            </w:r>
          </w:p>
        </w:tc>
      </w:tr>
      <w:tr w:rsidR="00881E2C" w:rsidRPr="00881E2C" w:rsidTr="00881E2C">
        <w:trPr>
          <w:trHeight w:val="314"/>
        </w:trPr>
        <w:tc>
          <w:tcPr>
            <w:tcW w:w="2301" w:type="dxa"/>
            <w:tcBorders>
              <w:top w:val="nil"/>
              <w:left w:val="nil"/>
              <w:bottom w:val="single" w:sz="4" w:space="0" w:color="auto"/>
              <w:right w:val="nil"/>
            </w:tcBorders>
            <w:shd w:val="clear" w:color="auto" w:fill="auto"/>
            <w:vAlign w:val="center"/>
            <w:hideMark/>
          </w:tcPr>
          <w:p w:rsidR="00881E2C" w:rsidRPr="00881E2C" w:rsidRDefault="00881E2C" w:rsidP="00881E2C">
            <w:pPr>
              <w:rPr>
                <w:rFonts w:ascii="Times New Roman" w:hAnsi="Times New Roman"/>
                <w:color w:val="000000"/>
                <w:sz w:val="14"/>
                <w:szCs w:val="16"/>
              </w:rPr>
            </w:pPr>
            <w:r w:rsidRPr="00881E2C">
              <w:rPr>
                <w:rFonts w:ascii="Times New Roman" w:hAnsi="Times New Roman"/>
                <w:color w:val="000000"/>
                <w:sz w:val="14"/>
                <w:szCs w:val="16"/>
              </w:rPr>
              <w:t>Other revenue</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593</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645</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37</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13</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8</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5</w:t>
            </w:r>
          </w:p>
        </w:tc>
        <w:tc>
          <w:tcPr>
            <w:tcW w:w="845"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2,540</w:t>
            </w:r>
          </w:p>
        </w:tc>
        <w:tc>
          <w:tcPr>
            <w:tcW w:w="826"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2,378</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(2,536)</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(2,304)</w:t>
            </w:r>
          </w:p>
        </w:tc>
        <w:tc>
          <w:tcPr>
            <w:tcW w:w="791"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642</w:t>
            </w:r>
          </w:p>
        </w:tc>
        <w:tc>
          <w:tcPr>
            <w:tcW w:w="860" w:type="dxa"/>
            <w:tcBorders>
              <w:top w:val="nil"/>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737</w:t>
            </w:r>
          </w:p>
        </w:tc>
      </w:tr>
      <w:tr w:rsidR="00881E2C" w:rsidRPr="00881E2C" w:rsidTr="00881E2C">
        <w:trPr>
          <w:trHeight w:val="292"/>
        </w:trPr>
        <w:tc>
          <w:tcPr>
            <w:tcW w:w="230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rPr>
                <w:rFonts w:ascii="Times New Roman" w:hAnsi="Times New Roman"/>
                <w:b/>
                <w:bCs/>
                <w:color w:val="000000"/>
                <w:sz w:val="14"/>
                <w:szCs w:val="16"/>
              </w:rPr>
            </w:pPr>
            <w:r w:rsidRPr="00881E2C">
              <w:rPr>
                <w:rFonts w:ascii="Times New Roman" w:hAnsi="Times New Roman"/>
                <w:b/>
                <w:bCs/>
                <w:color w:val="000000"/>
                <w:sz w:val="14"/>
                <w:szCs w:val="16"/>
              </w:rPr>
              <w:t>Total revenue</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16,884</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15,371</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31,362</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27,486</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17,180</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11,630</w:t>
            </w:r>
          </w:p>
        </w:tc>
        <w:tc>
          <w:tcPr>
            <w:tcW w:w="845"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3,347</w:t>
            </w:r>
          </w:p>
        </w:tc>
        <w:tc>
          <w:tcPr>
            <w:tcW w:w="826"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3,060</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(2,536)</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(2,304)</w:t>
            </w:r>
          </w:p>
        </w:tc>
        <w:tc>
          <w:tcPr>
            <w:tcW w:w="791"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66,237</w:t>
            </w:r>
          </w:p>
        </w:tc>
        <w:tc>
          <w:tcPr>
            <w:tcW w:w="860" w:type="dxa"/>
            <w:tcBorders>
              <w:top w:val="single" w:sz="4" w:space="0" w:color="auto"/>
              <w:left w:val="nil"/>
              <w:bottom w:val="single" w:sz="4"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55,243</w:t>
            </w:r>
          </w:p>
        </w:tc>
      </w:tr>
      <w:tr w:rsidR="00881E2C" w:rsidRPr="00881E2C" w:rsidTr="00881E2C">
        <w:trPr>
          <w:trHeight w:val="22"/>
        </w:trPr>
        <w:tc>
          <w:tcPr>
            <w:tcW w:w="2301" w:type="dxa"/>
            <w:tcBorders>
              <w:top w:val="single" w:sz="4" w:space="0" w:color="auto"/>
              <w:left w:val="nil"/>
              <w:bottom w:val="nil"/>
              <w:right w:val="nil"/>
            </w:tcBorders>
            <w:shd w:val="clear" w:color="auto" w:fill="auto"/>
            <w:vAlign w:val="center"/>
            <w:hideMark/>
          </w:tcPr>
          <w:p w:rsidR="00881E2C" w:rsidRPr="00881E2C" w:rsidRDefault="00881E2C" w:rsidP="00881E2C">
            <w:pPr>
              <w:rPr>
                <w:rFonts w:ascii="Times New Roman" w:hAnsi="Times New Roman"/>
                <w:b/>
                <w:bCs/>
                <w:color w:val="000000"/>
                <w:sz w:val="16"/>
                <w:szCs w:val="16"/>
                <w:vertAlign w:val="superscript"/>
              </w:rPr>
            </w:pPr>
            <w:r w:rsidRPr="00881E2C">
              <w:rPr>
                <w:rFonts w:ascii="Times New Roman" w:hAnsi="Times New Roman"/>
                <w:b/>
                <w:bCs/>
                <w:color w:val="000000"/>
                <w:sz w:val="15"/>
                <w:szCs w:val="15"/>
              </w:rPr>
              <w:t xml:space="preserve">Expenses </w:t>
            </w:r>
            <w:r w:rsidRPr="00881E2C">
              <w:rPr>
                <w:rFonts w:ascii="Times New Roman" w:hAnsi="Times New Roman"/>
                <w:b/>
                <w:bCs/>
                <w:color w:val="000000"/>
                <w:sz w:val="18"/>
                <w:szCs w:val="16"/>
                <w:vertAlign w:val="superscript"/>
              </w:rPr>
              <w:t>a</w:t>
            </w:r>
          </w:p>
          <w:p w:rsidR="00881E2C" w:rsidRPr="00881E2C" w:rsidRDefault="00881E2C" w:rsidP="00881E2C">
            <w:pPr>
              <w:rPr>
                <w:rFonts w:ascii="Times New Roman" w:hAnsi="Times New Roman"/>
                <w:b/>
                <w:bCs/>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45"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26"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60" w:type="dxa"/>
            <w:tcBorders>
              <w:top w:val="single" w:sz="4" w:space="0" w:color="auto"/>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r>
      <w:tr w:rsidR="00881E2C" w:rsidRPr="00881E2C" w:rsidTr="00881E2C">
        <w:trPr>
          <w:trHeight w:val="282"/>
        </w:trPr>
        <w:tc>
          <w:tcPr>
            <w:tcW w:w="2301" w:type="dxa"/>
            <w:tcBorders>
              <w:top w:val="nil"/>
              <w:left w:val="nil"/>
              <w:bottom w:val="nil"/>
              <w:right w:val="nil"/>
            </w:tcBorders>
            <w:shd w:val="clear" w:color="auto" w:fill="auto"/>
            <w:vAlign w:val="center"/>
            <w:hideMark/>
          </w:tcPr>
          <w:p w:rsidR="00881E2C" w:rsidRPr="00881E2C" w:rsidRDefault="00881E2C" w:rsidP="00881E2C">
            <w:pPr>
              <w:rPr>
                <w:rFonts w:ascii="Times New Roman" w:hAnsi="Times New Roman"/>
                <w:color w:val="000000"/>
                <w:sz w:val="14"/>
                <w:szCs w:val="15"/>
              </w:rPr>
            </w:pPr>
            <w:r w:rsidRPr="00881E2C">
              <w:rPr>
                <w:rFonts w:ascii="Times New Roman" w:hAnsi="Times New Roman"/>
                <w:color w:val="000000"/>
                <w:sz w:val="14"/>
                <w:szCs w:val="15"/>
              </w:rPr>
              <w:t>Development activities</w:t>
            </w: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45"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26"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860" w:type="dxa"/>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r>
      <w:tr w:rsidR="00881E2C" w:rsidRPr="00881E2C" w:rsidTr="00881E2C">
        <w:trPr>
          <w:trHeight w:val="303"/>
        </w:trPr>
        <w:tc>
          <w:tcPr>
            <w:tcW w:w="2301" w:type="dxa"/>
            <w:tcBorders>
              <w:top w:val="nil"/>
              <w:left w:val="nil"/>
              <w:bottom w:val="nil"/>
              <w:right w:val="nil"/>
            </w:tcBorders>
            <w:shd w:val="clear" w:color="auto" w:fill="auto"/>
            <w:vAlign w:val="center"/>
            <w:hideMark/>
          </w:tcPr>
          <w:p w:rsidR="00881E2C" w:rsidRPr="00881E2C" w:rsidRDefault="00881E2C" w:rsidP="00881E2C">
            <w:pPr>
              <w:rPr>
                <w:rFonts w:ascii="Times New Roman" w:hAnsi="Times New Roman"/>
                <w:color w:val="000000"/>
                <w:sz w:val="14"/>
                <w:szCs w:val="15"/>
              </w:rPr>
            </w:pPr>
            <w:r w:rsidRPr="00881E2C">
              <w:rPr>
                <w:rFonts w:ascii="Times New Roman" w:hAnsi="Times New Roman"/>
                <w:color w:val="000000"/>
                <w:sz w:val="14"/>
                <w:szCs w:val="15"/>
              </w:rPr>
              <w:t xml:space="preserve">         Programme</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10,753</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18,193</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25,603</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16,575</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14,965</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9,584</w:t>
            </w:r>
          </w:p>
        </w:tc>
        <w:tc>
          <w:tcPr>
            <w:tcW w:w="845"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736</w:t>
            </w:r>
          </w:p>
        </w:tc>
        <w:tc>
          <w:tcPr>
            <w:tcW w:w="826"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819</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(2,536)</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(2,304)</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49,521</w:t>
            </w:r>
          </w:p>
        </w:tc>
        <w:tc>
          <w:tcPr>
            <w:tcW w:w="860"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42,867</w:t>
            </w:r>
          </w:p>
        </w:tc>
      </w:tr>
      <w:tr w:rsidR="00881E2C" w:rsidRPr="00881E2C" w:rsidTr="00881E2C">
        <w:trPr>
          <w:trHeight w:val="207"/>
        </w:trPr>
        <w:tc>
          <w:tcPr>
            <w:tcW w:w="2301" w:type="dxa"/>
            <w:vMerge w:val="restart"/>
            <w:tcBorders>
              <w:top w:val="nil"/>
              <w:left w:val="nil"/>
              <w:bottom w:val="nil"/>
              <w:right w:val="nil"/>
            </w:tcBorders>
            <w:shd w:val="clear" w:color="auto" w:fill="auto"/>
            <w:vAlign w:val="center"/>
            <w:hideMark/>
          </w:tcPr>
          <w:p w:rsidR="00881E2C" w:rsidRPr="00881E2C" w:rsidRDefault="00881E2C" w:rsidP="00881E2C">
            <w:pPr>
              <w:rPr>
                <w:rFonts w:ascii="Times New Roman" w:hAnsi="Times New Roman"/>
                <w:color w:val="000000"/>
                <w:sz w:val="14"/>
                <w:szCs w:val="15"/>
              </w:rPr>
            </w:pPr>
            <w:r w:rsidRPr="00881E2C">
              <w:rPr>
                <w:rFonts w:ascii="Times New Roman" w:hAnsi="Times New Roman"/>
                <w:color w:val="000000"/>
                <w:sz w:val="14"/>
                <w:szCs w:val="15"/>
              </w:rPr>
              <w:t xml:space="preserve">         Development effectiveness</w:t>
            </w: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4,823</w:t>
            </w: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3,551</w:t>
            </w: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845" w:type="dxa"/>
            <w:vMerge w:val="restart"/>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826" w:type="dxa"/>
            <w:vMerge w:val="restart"/>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val="restart"/>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4,823</w:t>
            </w:r>
          </w:p>
        </w:tc>
        <w:tc>
          <w:tcPr>
            <w:tcW w:w="860" w:type="dxa"/>
            <w:vMerge w:val="restart"/>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3,551</w:t>
            </w:r>
          </w:p>
        </w:tc>
      </w:tr>
      <w:tr w:rsidR="00881E2C" w:rsidRPr="00881E2C" w:rsidTr="00881E2C">
        <w:trPr>
          <w:trHeight w:val="192"/>
        </w:trPr>
        <w:tc>
          <w:tcPr>
            <w:tcW w:w="2301" w:type="dxa"/>
            <w:vMerge/>
            <w:tcBorders>
              <w:top w:val="nil"/>
              <w:left w:val="nil"/>
              <w:bottom w:val="nil"/>
              <w:right w:val="nil"/>
            </w:tcBorders>
            <w:vAlign w:val="center"/>
            <w:hideMark/>
          </w:tcPr>
          <w:p w:rsidR="00881E2C" w:rsidRPr="00881E2C" w:rsidRDefault="00881E2C" w:rsidP="00881E2C">
            <w:pPr>
              <w:rPr>
                <w:rFonts w:ascii="Times New Roman" w:hAnsi="Times New Roman"/>
                <w:color w:val="000000"/>
                <w:sz w:val="14"/>
                <w:szCs w:val="15"/>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845"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826"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791"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c>
          <w:tcPr>
            <w:tcW w:w="860" w:type="dxa"/>
            <w:vMerge/>
            <w:tcBorders>
              <w:top w:val="nil"/>
              <w:left w:val="nil"/>
              <w:bottom w:val="nil"/>
              <w:right w:val="nil"/>
            </w:tcBorders>
            <w:vAlign w:val="center"/>
            <w:hideMark/>
          </w:tcPr>
          <w:p w:rsidR="00881E2C" w:rsidRPr="00881E2C" w:rsidRDefault="00881E2C" w:rsidP="00881E2C">
            <w:pPr>
              <w:jc w:val="right"/>
              <w:rPr>
                <w:rFonts w:ascii="Times New Roman" w:hAnsi="Times New Roman"/>
                <w:color w:val="000000"/>
                <w:sz w:val="14"/>
                <w:szCs w:val="16"/>
              </w:rPr>
            </w:pPr>
          </w:p>
        </w:tc>
      </w:tr>
      <w:tr w:rsidR="00881E2C" w:rsidRPr="00881E2C" w:rsidTr="00881E2C">
        <w:trPr>
          <w:trHeight w:val="389"/>
        </w:trPr>
        <w:tc>
          <w:tcPr>
            <w:tcW w:w="2301" w:type="dxa"/>
            <w:tcBorders>
              <w:top w:val="nil"/>
              <w:left w:val="nil"/>
              <w:bottom w:val="nil"/>
              <w:right w:val="nil"/>
            </w:tcBorders>
            <w:shd w:val="clear" w:color="auto" w:fill="auto"/>
            <w:vAlign w:val="center"/>
            <w:hideMark/>
          </w:tcPr>
          <w:p w:rsidR="00881E2C" w:rsidRPr="00881E2C" w:rsidRDefault="00E77F33" w:rsidP="00881E2C">
            <w:pPr>
              <w:tabs>
                <w:tab w:val="left" w:pos="219"/>
                <w:tab w:val="left" w:pos="437"/>
              </w:tabs>
              <w:rPr>
                <w:rFonts w:ascii="Times New Roman" w:hAnsi="Times New Roman"/>
                <w:color w:val="000000"/>
                <w:sz w:val="14"/>
                <w:szCs w:val="15"/>
              </w:rPr>
            </w:pPr>
            <w:r w:rsidRPr="00881E2C">
              <w:rPr>
                <w:rFonts w:ascii="Times New Roman" w:hAnsi="Times New Roman"/>
                <w:color w:val="000000"/>
                <w:sz w:val="14"/>
                <w:szCs w:val="15"/>
              </w:rPr>
              <w:t>Subtotal</w:t>
            </w:r>
            <w:r w:rsidR="00881E2C" w:rsidRPr="00881E2C">
              <w:rPr>
                <w:rFonts w:ascii="Times New Roman" w:hAnsi="Times New Roman"/>
                <w:color w:val="000000"/>
                <w:sz w:val="14"/>
                <w:szCs w:val="15"/>
              </w:rPr>
              <w:t xml:space="preserve"> development activities</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15,576</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21,744</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25,603</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16,575</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14,965</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9,584</w:t>
            </w:r>
          </w:p>
        </w:tc>
        <w:tc>
          <w:tcPr>
            <w:tcW w:w="845"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736</w:t>
            </w:r>
          </w:p>
        </w:tc>
        <w:tc>
          <w:tcPr>
            <w:tcW w:w="826"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819</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(2,536)</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(2,304)</w:t>
            </w:r>
          </w:p>
        </w:tc>
        <w:tc>
          <w:tcPr>
            <w:tcW w:w="791"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54,344</w:t>
            </w:r>
          </w:p>
        </w:tc>
        <w:tc>
          <w:tcPr>
            <w:tcW w:w="860" w:type="dxa"/>
            <w:tcBorders>
              <w:top w:val="nil"/>
              <w:left w:val="nil"/>
              <w:bottom w:val="nil"/>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46,418</w:t>
            </w:r>
          </w:p>
        </w:tc>
      </w:tr>
      <w:tr w:rsidR="00881E2C" w:rsidRPr="00881E2C" w:rsidTr="00881E2C">
        <w:trPr>
          <w:trHeight w:val="325"/>
        </w:trPr>
        <w:tc>
          <w:tcPr>
            <w:tcW w:w="2301" w:type="dxa"/>
            <w:tcBorders>
              <w:top w:val="nil"/>
              <w:left w:val="nil"/>
              <w:bottom w:val="single" w:sz="8" w:space="0" w:color="auto"/>
              <w:right w:val="nil"/>
            </w:tcBorders>
            <w:shd w:val="clear" w:color="auto" w:fill="auto"/>
            <w:vAlign w:val="center"/>
            <w:hideMark/>
          </w:tcPr>
          <w:p w:rsidR="00881E2C" w:rsidRPr="00881E2C" w:rsidRDefault="00881E2C" w:rsidP="00881E2C">
            <w:pPr>
              <w:rPr>
                <w:rFonts w:ascii="Times New Roman" w:hAnsi="Times New Roman"/>
                <w:color w:val="000000"/>
                <w:sz w:val="14"/>
                <w:szCs w:val="15"/>
              </w:rPr>
            </w:pPr>
            <w:r w:rsidRPr="00881E2C">
              <w:rPr>
                <w:rFonts w:ascii="Times New Roman" w:hAnsi="Times New Roman"/>
                <w:color w:val="000000"/>
                <w:sz w:val="14"/>
                <w:szCs w:val="15"/>
              </w:rPr>
              <w:t>Management activities</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2,979</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2,539</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845"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2,619</w:t>
            </w:r>
          </w:p>
        </w:tc>
        <w:tc>
          <w:tcPr>
            <w:tcW w:w="826"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1,987</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5,598</w:t>
            </w:r>
          </w:p>
        </w:tc>
        <w:tc>
          <w:tcPr>
            <w:tcW w:w="860"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color w:val="000000"/>
                <w:sz w:val="14"/>
                <w:szCs w:val="16"/>
              </w:rPr>
            </w:pPr>
            <w:r w:rsidRPr="00881E2C">
              <w:rPr>
                <w:rFonts w:ascii="Times New Roman" w:hAnsi="Times New Roman"/>
                <w:color w:val="000000"/>
                <w:sz w:val="14"/>
                <w:szCs w:val="16"/>
              </w:rPr>
              <w:t>4,526</w:t>
            </w:r>
          </w:p>
        </w:tc>
      </w:tr>
      <w:tr w:rsidR="00881E2C" w:rsidRPr="00881E2C" w:rsidTr="00881E2C">
        <w:trPr>
          <w:trHeight w:val="237"/>
        </w:trPr>
        <w:tc>
          <w:tcPr>
            <w:tcW w:w="2301" w:type="dxa"/>
            <w:tcBorders>
              <w:top w:val="nil"/>
              <w:left w:val="nil"/>
              <w:bottom w:val="single" w:sz="8" w:space="0" w:color="auto"/>
              <w:right w:val="nil"/>
            </w:tcBorders>
            <w:shd w:val="clear" w:color="auto" w:fill="auto"/>
            <w:vAlign w:val="center"/>
            <w:hideMark/>
          </w:tcPr>
          <w:p w:rsidR="00881E2C" w:rsidRPr="00881E2C" w:rsidRDefault="00881E2C" w:rsidP="00881E2C">
            <w:pPr>
              <w:rPr>
                <w:rFonts w:ascii="Times New Roman" w:hAnsi="Times New Roman"/>
                <w:b/>
                <w:bCs/>
                <w:color w:val="000000"/>
                <w:sz w:val="14"/>
                <w:szCs w:val="16"/>
              </w:rPr>
            </w:pPr>
            <w:r w:rsidRPr="00881E2C">
              <w:rPr>
                <w:rFonts w:ascii="Times New Roman" w:hAnsi="Times New Roman"/>
                <w:b/>
                <w:bCs/>
                <w:color w:val="000000"/>
                <w:sz w:val="14"/>
                <w:szCs w:val="16"/>
              </w:rPr>
              <w:t>Total expenses</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18,555</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24,283</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25,603</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16,575</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14,965</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9,584</w:t>
            </w:r>
          </w:p>
        </w:tc>
        <w:tc>
          <w:tcPr>
            <w:tcW w:w="845"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3,355</w:t>
            </w:r>
          </w:p>
        </w:tc>
        <w:tc>
          <w:tcPr>
            <w:tcW w:w="826"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2,806</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(2,536)</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(2,304)</w:t>
            </w:r>
          </w:p>
        </w:tc>
        <w:tc>
          <w:tcPr>
            <w:tcW w:w="791"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59,942</w:t>
            </w:r>
          </w:p>
        </w:tc>
        <w:tc>
          <w:tcPr>
            <w:tcW w:w="860" w:type="dxa"/>
            <w:tcBorders>
              <w:top w:val="nil"/>
              <w:left w:val="nil"/>
              <w:bottom w:val="single" w:sz="8"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50,944</w:t>
            </w:r>
          </w:p>
        </w:tc>
      </w:tr>
      <w:tr w:rsidR="00881E2C" w:rsidRPr="00881E2C" w:rsidTr="00881E2C">
        <w:trPr>
          <w:trHeight w:val="312"/>
        </w:trPr>
        <w:tc>
          <w:tcPr>
            <w:tcW w:w="2301" w:type="dxa"/>
            <w:tcBorders>
              <w:top w:val="nil"/>
              <w:left w:val="nil"/>
              <w:bottom w:val="single" w:sz="12" w:space="0" w:color="auto"/>
              <w:right w:val="nil"/>
            </w:tcBorders>
            <w:shd w:val="clear" w:color="auto" w:fill="auto"/>
            <w:vAlign w:val="center"/>
            <w:hideMark/>
          </w:tcPr>
          <w:p w:rsidR="00881E2C" w:rsidRPr="00881E2C" w:rsidRDefault="00881E2C" w:rsidP="00881E2C">
            <w:pPr>
              <w:rPr>
                <w:rFonts w:ascii="Times New Roman" w:hAnsi="Times New Roman"/>
                <w:b/>
                <w:bCs/>
                <w:color w:val="000000"/>
                <w:sz w:val="14"/>
                <w:szCs w:val="16"/>
              </w:rPr>
            </w:pPr>
            <w:r w:rsidRPr="00881E2C">
              <w:rPr>
                <w:rFonts w:ascii="Times New Roman" w:hAnsi="Times New Roman"/>
                <w:b/>
                <w:bCs/>
                <w:color w:val="000000"/>
                <w:sz w:val="14"/>
                <w:szCs w:val="16"/>
              </w:rPr>
              <w:t>Surplus/(deficit) for the period</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(1,671)</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(8,912)</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5,759</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10,911</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2,215</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2,046</w:t>
            </w:r>
          </w:p>
        </w:tc>
        <w:tc>
          <w:tcPr>
            <w:tcW w:w="845"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(8)</w:t>
            </w:r>
          </w:p>
        </w:tc>
        <w:tc>
          <w:tcPr>
            <w:tcW w:w="826"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254</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w:t>
            </w:r>
          </w:p>
        </w:tc>
        <w:tc>
          <w:tcPr>
            <w:tcW w:w="791"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6,295</w:t>
            </w:r>
          </w:p>
        </w:tc>
        <w:tc>
          <w:tcPr>
            <w:tcW w:w="860" w:type="dxa"/>
            <w:tcBorders>
              <w:top w:val="nil"/>
              <w:left w:val="nil"/>
              <w:bottom w:val="single" w:sz="12" w:space="0" w:color="auto"/>
              <w:right w:val="nil"/>
            </w:tcBorders>
            <w:shd w:val="clear" w:color="auto" w:fill="auto"/>
            <w:vAlign w:val="center"/>
            <w:hideMark/>
          </w:tcPr>
          <w:p w:rsidR="00881E2C" w:rsidRPr="00881E2C" w:rsidRDefault="00881E2C" w:rsidP="00881E2C">
            <w:pPr>
              <w:pBdr>
                <w:left w:val="single" w:sz="4" w:space="0" w:color="auto"/>
                <w:right w:val="single" w:sz="4" w:space="0" w:color="auto"/>
              </w:pBdr>
              <w:spacing w:before="100" w:beforeAutospacing="1" w:after="100" w:afterAutospacing="1"/>
              <w:jc w:val="right"/>
              <w:rPr>
                <w:rFonts w:ascii="Times New Roman" w:hAnsi="Times New Roman"/>
                <w:b/>
                <w:bCs/>
                <w:color w:val="000000"/>
                <w:sz w:val="14"/>
                <w:szCs w:val="16"/>
              </w:rPr>
            </w:pPr>
            <w:r w:rsidRPr="00881E2C">
              <w:rPr>
                <w:rFonts w:ascii="Times New Roman" w:hAnsi="Times New Roman"/>
                <w:b/>
                <w:bCs/>
                <w:color w:val="000000"/>
                <w:sz w:val="14"/>
                <w:szCs w:val="16"/>
              </w:rPr>
              <w:t>4,299</w:t>
            </w:r>
          </w:p>
        </w:tc>
      </w:tr>
    </w:tbl>
    <w:p w:rsidR="00881E2C" w:rsidRPr="00881E2C" w:rsidRDefault="00881E2C" w:rsidP="00881E2C">
      <w:pPr>
        <w:suppressAutoHyphens/>
        <w:spacing w:after="120"/>
        <w:ind w:left="907" w:hanging="907"/>
        <w:jc w:val="both"/>
        <w:rPr>
          <w:rFonts w:ascii="Times New Roman" w:hAnsi="Times New Roman"/>
          <w:spacing w:val="4"/>
          <w:w w:val="103"/>
          <w:kern w:val="14"/>
          <w:sz w:val="20"/>
          <w:lang w:val="en-GB"/>
        </w:rPr>
      </w:pPr>
    </w:p>
    <w:p w:rsidR="00881E2C" w:rsidRPr="00881E2C" w:rsidRDefault="00881E2C" w:rsidP="00881E2C">
      <w:pPr>
        <w:suppressAutoHyphens/>
        <w:spacing w:line="276" w:lineRule="auto"/>
        <w:rPr>
          <w:rFonts w:ascii="Times New Roman" w:hAnsi="Times New Roman"/>
          <w:spacing w:val="4"/>
          <w:w w:val="103"/>
          <w:kern w:val="14"/>
          <w:sz w:val="12"/>
          <w:lang w:val="en-GB"/>
        </w:rPr>
      </w:pPr>
      <w:r w:rsidRPr="00881E2C">
        <w:rPr>
          <w:rFonts w:ascii="Times New Roman" w:hAnsi="Times New Roman"/>
          <w:color w:val="000000"/>
          <w:sz w:val="19"/>
          <w:szCs w:val="19"/>
          <w:vertAlign w:val="superscript"/>
          <w:lang w:val="en-GB"/>
        </w:rPr>
        <w:t>a/</w:t>
      </w:r>
      <w:r w:rsidRPr="00881E2C">
        <w:rPr>
          <w:rFonts w:ascii="Times New Roman" w:hAnsi="Times New Roman"/>
          <w:spacing w:val="4"/>
          <w:w w:val="103"/>
          <w:kern w:val="14"/>
          <w:sz w:val="14"/>
          <w:szCs w:val="14"/>
          <w:lang w:val="en-GB"/>
        </w:rPr>
        <w:t>Includes general management support service cost.</w:t>
      </w:r>
    </w:p>
    <w:p w:rsidR="00881E2C" w:rsidRPr="00881E2C" w:rsidRDefault="00881E2C" w:rsidP="00881E2C">
      <w:pPr>
        <w:suppressAutoHyphens/>
        <w:spacing w:line="276" w:lineRule="auto"/>
        <w:rPr>
          <w:rFonts w:ascii="Times New Roman" w:hAnsi="Times New Roman"/>
          <w:spacing w:val="4"/>
          <w:w w:val="103"/>
          <w:kern w:val="14"/>
          <w:sz w:val="14"/>
          <w:szCs w:val="14"/>
          <w:lang w:val="en-GB"/>
        </w:rPr>
      </w:pPr>
      <w:r w:rsidRPr="00881E2C">
        <w:rPr>
          <w:rFonts w:ascii="Times New Roman" w:hAnsi="Times New Roman"/>
          <w:color w:val="000000"/>
          <w:sz w:val="19"/>
          <w:szCs w:val="19"/>
          <w:vertAlign w:val="superscript"/>
          <w:lang w:val="en-GB"/>
        </w:rPr>
        <w:t>b/</w:t>
      </w:r>
      <w:r w:rsidRPr="00881E2C">
        <w:rPr>
          <w:rFonts w:ascii="Times New Roman" w:hAnsi="Times New Roman"/>
          <w:spacing w:val="4"/>
          <w:w w:val="103"/>
          <w:kern w:val="14"/>
          <w:sz w:val="14"/>
          <w:szCs w:val="14"/>
          <w:lang w:val="en-GB"/>
        </w:rPr>
        <w:t>This adjustment is required to remove the effect of internal UNDP cost recovery.</w:t>
      </w:r>
    </w:p>
    <w:p w:rsidR="00B74D04" w:rsidRDefault="00B74D04">
      <w:pPr>
        <w:rPr>
          <w:rFonts w:ascii="Times New Roman" w:hAnsi="Times New Roman"/>
          <w:b/>
          <w:bCs/>
          <w:color w:val="000000"/>
          <w:spacing w:val="-2"/>
          <w:sz w:val="28"/>
        </w:rPr>
      </w:pPr>
      <w:r>
        <w:rPr>
          <w:rFonts w:ascii="Times New Roman" w:hAnsi="Times New Roman"/>
          <w:b/>
          <w:bCs/>
          <w:color w:val="000000"/>
          <w:spacing w:val="-2"/>
          <w:sz w:val="28"/>
        </w:rPr>
        <w:br w:type="page"/>
      </w:r>
    </w:p>
    <w:p w:rsidR="00881E2C" w:rsidRPr="00881E2C" w:rsidRDefault="00881E2C" w:rsidP="00B74D04">
      <w:pPr>
        <w:suppressAutoHyphens/>
        <w:spacing w:line="240" w:lineRule="exact"/>
        <w:ind w:left="1980" w:hanging="10"/>
        <w:jc w:val="center"/>
        <w:rPr>
          <w:rFonts w:ascii="Times New Roman" w:hAnsi="Times New Roman"/>
          <w:b/>
          <w:bCs/>
          <w:spacing w:val="4"/>
          <w:w w:val="103"/>
          <w:kern w:val="14"/>
          <w:szCs w:val="24"/>
          <w:lang w:val="en-GB"/>
        </w:rPr>
      </w:pPr>
      <w:r w:rsidRPr="00881E2C">
        <w:rPr>
          <w:rFonts w:ascii="Times New Roman" w:hAnsi="Times New Roman"/>
          <w:b/>
          <w:bCs/>
          <w:spacing w:val="4"/>
          <w:w w:val="103"/>
          <w:kern w:val="14"/>
          <w:szCs w:val="24"/>
          <w:lang w:val="en-GB"/>
        </w:rPr>
        <w:lastRenderedPageBreak/>
        <w:t>B. Statement of financial position as at 31 December 2013</w:t>
      </w:r>
    </w:p>
    <w:p w:rsidR="00881E2C" w:rsidRPr="00881E2C" w:rsidRDefault="00881E2C" w:rsidP="00881E2C">
      <w:pPr>
        <w:spacing w:after="60"/>
        <w:ind w:left="1980" w:hanging="10"/>
        <w:rPr>
          <w:rFonts w:ascii="Times New Roman" w:hAnsi="Times New Roman"/>
          <w:spacing w:val="4"/>
          <w:w w:val="103"/>
          <w:kern w:val="14"/>
          <w:sz w:val="20"/>
          <w:lang w:val="en-GB"/>
        </w:rPr>
      </w:pPr>
    </w:p>
    <w:tbl>
      <w:tblPr>
        <w:tblW w:w="12308" w:type="dxa"/>
        <w:tblInd w:w="93" w:type="dxa"/>
        <w:tblLayout w:type="fixed"/>
        <w:tblLook w:val="04A0" w:firstRow="1" w:lastRow="0" w:firstColumn="1" w:lastColumn="0" w:noHBand="0" w:noVBand="1"/>
      </w:tblPr>
      <w:tblGrid>
        <w:gridCol w:w="3165"/>
        <w:gridCol w:w="932"/>
        <w:gridCol w:w="958"/>
        <w:gridCol w:w="900"/>
        <w:gridCol w:w="990"/>
        <w:gridCol w:w="810"/>
        <w:gridCol w:w="990"/>
        <w:gridCol w:w="810"/>
        <w:gridCol w:w="953"/>
        <w:gridCol w:w="847"/>
        <w:gridCol w:w="953"/>
      </w:tblGrid>
      <w:tr w:rsidR="00881E2C" w:rsidRPr="00881E2C" w:rsidTr="00881E2C">
        <w:trPr>
          <w:trHeight w:val="20"/>
        </w:trPr>
        <w:tc>
          <w:tcPr>
            <w:tcW w:w="3165" w:type="dxa"/>
            <w:vMerge w:val="restart"/>
            <w:tcBorders>
              <w:top w:val="single" w:sz="8" w:space="0" w:color="auto"/>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i/>
                <w:iCs/>
                <w:color w:val="000000"/>
                <w:spacing w:val="4"/>
                <w:w w:val="103"/>
                <w:kern w:val="14"/>
                <w:sz w:val="16"/>
                <w:szCs w:val="16"/>
                <w:lang w:val="en-GB"/>
              </w:rPr>
            </w:pPr>
            <w:r w:rsidRPr="00881E2C">
              <w:rPr>
                <w:rFonts w:ascii="Times New Roman" w:hAnsi="Times New Roman"/>
                <w:i/>
                <w:iCs/>
                <w:color w:val="000000"/>
                <w:spacing w:val="4"/>
                <w:w w:val="103"/>
                <w:kern w:val="14"/>
                <w:sz w:val="16"/>
                <w:szCs w:val="16"/>
                <w:lang w:val="en-GB"/>
              </w:rPr>
              <w:t> </w:t>
            </w:r>
          </w:p>
        </w:tc>
        <w:tc>
          <w:tcPr>
            <w:tcW w:w="1890"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Regular resources</w:t>
            </w:r>
          </w:p>
        </w:tc>
        <w:tc>
          <w:tcPr>
            <w:tcW w:w="1890"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Cost sharing</w:t>
            </w:r>
          </w:p>
        </w:tc>
        <w:tc>
          <w:tcPr>
            <w:tcW w:w="1800"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Trust funds</w:t>
            </w:r>
          </w:p>
        </w:tc>
        <w:tc>
          <w:tcPr>
            <w:tcW w:w="1763" w:type="dxa"/>
            <w:gridSpan w:val="2"/>
            <w:tcBorders>
              <w:top w:val="single" w:sz="8" w:space="0" w:color="auto"/>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i/>
                <w:iCs/>
                <w:color w:val="000000"/>
                <w:spacing w:val="4"/>
                <w:w w:val="103"/>
                <w:kern w:val="14"/>
                <w:sz w:val="16"/>
                <w:szCs w:val="16"/>
                <w:lang w:val="en-GB"/>
              </w:rPr>
              <w:t>Reimbursable support</w:t>
            </w:r>
          </w:p>
        </w:tc>
        <w:tc>
          <w:tcPr>
            <w:tcW w:w="1800" w:type="dxa"/>
            <w:gridSpan w:val="2"/>
            <w:vMerge w:val="restart"/>
            <w:tcBorders>
              <w:top w:val="single" w:sz="8" w:space="0" w:color="auto"/>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Total</w:t>
            </w:r>
          </w:p>
        </w:tc>
      </w:tr>
      <w:tr w:rsidR="00881E2C" w:rsidRPr="00881E2C" w:rsidTr="00881E2C">
        <w:trPr>
          <w:trHeight w:val="20"/>
        </w:trPr>
        <w:tc>
          <w:tcPr>
            <w:tcW w:w="3165" w:type="dxa"/>
            <w:vMerge/>
            <w:tcBorders>
              <w:top w:val="single" w:sz="8" w:space="0" w:color="auto"/>
              <w:left w:val="nil"/>
              <w:bottom w:val="nil"/>
              <w:right w:val="nil"/>
            </w:tcBorders>
            <w:vAlign w:val="center"/>
            <w:hideMark/>
          </w:tcPr>
          <w:p w:rsidR="00881E2C" w:rsidRPr="00881E2C" w:rsidRDefault="00881E2C" w:rsidP="00881E2C">
            <w:pPr>
              <w:suppressAutoHyphens/>
              <w:rPr>
                <w:rFonts w:ascii="Times New Roman" w:hAnsi="Times New Roman"/>
                <w:i/>
                <w:iCs/>
                <w:color w:val="000000"/>
                <w:spacing w:val="4"/>
                <w:w w:val="103"/>
                <w:kern w:val="14"/>
                <w:sz w:val="16"/>
                <w:szCs w:val="16"/>
                <w:lang w:val="en-GB"/>
              </w:rPr>
            </w:pPr>
          </w:p>
        </w:tc>
        <w:tc>
          <w:tcPr>
            <w:tcW w:w="1890" w:type="dxa"/>
            <w:gridSpan w:val="2"/>
            <w:vMerge/>
            <w:tcBorders>
              <w:top w:val="single" w:sz="8" w:space="0" w:color="auto"/>
              <w:left w:val="nil"/>
              <w:bottom w:val="nil"/>
              <w:right w:val="nil"/>
            </w:tcBorders>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p>
        </w:tc>
        <w:tc>
          <w:tcPr>
            <w:tcW w:w="1890" w:type="dxa"/>
            <w:gridSpan w:val="2"/>
            <w:vMerge/>
            <w:tcBorders>
              <w:top w:val="single" w:sz="8" w:space="0" w:color="auto"/>
              <w:left w:val="nil"/>
              <w:bottom w:val="nil"/>
              <w:right w:val="nil"/>
            </w:tcBorders>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p>
        </w:tc>
        <w:tc>
          <w:tcPr>
            <w:tcW w:w="1800" w:type="dxa"/>
            <w:gridSpan w:val="2"/>
            <w:vMerge/>
            <w:tcBorders>
              <w:top w:val="single" w:sz="8" w:space="0" w:color="auto"/>
              <w:left w:val="nil"/>
              <w:bottom w:val="nil"/>
              <w:right w:val="nil"/>
            </w:tcBorders>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p>
        </w:tc>
        <w:tc>
          <w:tcPr>
            <w:tcW w:w="1763" w:type="dxa"/>
            <w:gridSpan w:val="2"/>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i/>
                <w:iCs/>
                <w:color w:val="000000"/>
                <w:spacing w:val="4"/>
                <w:w w:val="103"/>
                <w:kern w:val="14"/>
                <w:sz w:val="16"/>
                <w:szCs w:val="16"/>
                <w:lang w:val="en-GB"/>
              </w:rPr>
              <w:t>services and miscellaneous activities</w:t>
            </w:r>
          </w:p>
        </w:tc>
        <w:tc>
          <w:tcPr>
            <w:tcW w:w="1800" w:type="dxa"/>
            <w:gridSpan w:val="2"/>
            <w:vMerge/>
            <w:tcBorders>
              <w:top w:val="single" w:sz="8" w:space="0" w:color="auto"/>
              <w:left w:val="nil"/>
              <w:bottom w:val="nil"/>
              <w:right w:val="nil"/>
            </w:tcBorders>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i/>
                <w:iCs/>
                <w:color w:val="000000"/>
                <w:spacing w:val="4"/>
                <w:w w:val="103"/>
                <w:kern w:val="14"/>
                <w:sz w:val="16"/>
                <w:szCs w:val="16"/>
                <w:lang w:val="en-GB"/>
              </w:rPr>
            </w:pPr>
            <w:r w:rsidRPr="00881E2C">
              <w:rPr>
                <w:rFonts w:ascii="Times New Roman" w:hAnsi="Times New Roman"/>
                <w:i/>
                <w:iCs/>
                <w:color w:val="000000"/>
                <w:spacing w:val="4"/>
                <w:w w:val="103"/>
                <w:kern w:val="14"/>
                <w:sz w:val="16"/>
                <w:szCs w:val="16"/>
                <w:lang w:val="en-GB"/>
              </w:rPr>
              <w:t> </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2013</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2012 (Restated)</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2013</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2012 (Restated)</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2013</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2012 (Restated)</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i/>
                <w:iCs/>
                <w:color w:val="000000"/>
                <w:spacing w:val="4"/>
                <w:w w:val="103"/>
                <w:kern w:val="14"/>
                <w:sz w:val="16"/>
                <w:szCs w:val="16"/>
                <w:lang w:val="en-GB"/>
              </w:rPr>
              <w:t>2013</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i/>
                <w:iCs/>
                <w:color w:val="000000"/>
                <w:spacing w:val="4"/>
                <w:w w:val="103"/>
                <w:kern w:val="14"/>
                <w:sz w:val="16"/>
                <w:szCs w:val="16"/>
                <w:lang w:val="en-GB"/>
              </w:rPr>
              <w:t>2012 (Restated)</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2013</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center"/>
              <w:rPr>
                <w:rFonts w:ascii="Times New Roman" w:hAnsi="Times New Roman"/>
                <w:b/>
                <w:i/>
                <w:iCs/>
                <w:color w:val="000000"/>
                <w:spacing w:val="4"/>
                <w:w w:val="103"/>
                <w:kern w:val="14"/>
                <w:sz w:val="16"/>
                <w:szCs w:val="16"/>
                <w:lang w:val="en-GB"/>
              </w:rPr>
            </w:pPr>
            <w:r w:rsidRPr="00881E2C">
              <w:rPr>
                <w:rFonts w:ascii="Times New Roman" w:hAnsi="Times New Roman"/>
                <w:b/>
                <w:bCs/>
                <w:i/>
                <w:iCs/>
                <w:color w:val="000000"/>
                <w:spacing w:val="4"/>
                <w:w w:val="103"/>
                <w:kern w:val="14"/>
                <w:sz w:val="16"/>
                <w:szCs w:val="16"/>
                <w:lang w:val="en-GB"/>
              </w:rPr>
              <w:t>2012 (Restated)</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Assets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Current assets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Cash and cash equivalents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2,994</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13,218</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9,000</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15,678</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3,204</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5,437</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1,317</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2,826</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16,515</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37,159</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Investments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9,568</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14,266</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28,285</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16,052</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10,071</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5,567</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4,135</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2,892</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52,059</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38,777</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Receivables (non-exchange transactions)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3,260</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438</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3,698</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Receivables (exchange transactions)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8,876</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278</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8,876</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279</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Advances issued</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357</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908</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278</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395</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306</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1,031</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1,207</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Loans to financial service providers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783</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783</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Inventories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 xml:space="preserve">Other current assets </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87</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88</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0</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178</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Total current assets</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25,838</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28,757</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37,563</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31,808</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13,670</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11,313</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5,893</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5,722</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82,964</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77,600</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Non-current assets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center"/>
              <w:rPr>
                <w:rFonts w:ascii="Times New Roman" w:hAnsi="Times New Roman"/>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Investments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1,730</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4,815</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5,571</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5,600</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1,984</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1,942</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814</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1,009</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10,099</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13,366</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Loans to financial service providers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273</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1,417</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274</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273</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(82)</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547</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1,608</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Property, plant and equipment</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496</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357</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106</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60</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73</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70</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685</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488</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Total non-current assets</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2,499</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6,589</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5,951</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5,933</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1,994</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1,943</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887</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997</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11,331</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15,462</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Total assets</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28 337</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35 346</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43 514</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37 741</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15 664</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13 256</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6 780</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6 719</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94 295</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93 062</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r>
      <w:tr w:rsidR="00881E2C" w:rsidRPr="00881E2C" w:rsidTr="00881E2C">
        <w:trPr>
          <w:trHeight w:val="195"/>
        </w:trPr>
        <w:tc>
          <w:tcPr>
            <w:tcW w:w="3165"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32"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58"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00"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90"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810"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90"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810"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847"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r>
      <w:tr w:rsidR="00881E2C" w:rsidRPr="00881E2C" w:rsidTr="00881E2C">
        <w:trPr>
          <w:trHeight w:val="20"/>
        </w:trPr>
        <w:tc>
          <w:tcPr>
            <w:tcW w:w="3165" w:type="dxa"/>
            <w:tcBorders>
              <w:top w:val="nil"/>
              <w:left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Liabilities</w:t>
            </w:r>
          </w:p>
        </w:tc>
        <w:tc>
          <w:tcPr>
            <w:tcW w:w="932"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8"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0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47"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r>
      <w:tr w:rsidR="00881E2C" w:rsidRPr="00881E2C" w:rsidTr="00881E2C">
        <w:trPr>
          <w:trHeight w:val="20"/>
        </w:trPr>
        <w:tc>
          <w:tcPr>
            <w:tcW w:w="3165" w:type="dxa"/>
            <w:tcBorders>
              <w:top w:val="nil"/>
              <w:left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Current liabilities</w:t>
            </w:r>
          </w:p>
        </w:tc>
        <w:tc>
          <w:tcPr>
            <w:tcW w:w="932"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8"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0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47"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r>
      <w:tr w:rsidR="00881E2C" w:rsidRPr="00881E2C" w:rsidTr="00881E2C">
        <w:trPr>
          <w:trHeight w:val="20"/>
        </w:trPr>
        <w:tc>
          <w:tcPr>
            <w:tcW w:w="3165" w:type="dxa"/>
            <w:tcBorders>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 xml:space="preserve">Accounts payable and accrued liabilities </w:t>
            </w:r>
          </w:p>
        </w:tc>
        <w:tc>
          <w:tcPr>
            <w:tcW w:w="932"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320</w:t>
            </w:r>
          </w:p>
        </w:tc>
        <w:tc>
          <w:tcPr>
            <w:tcW w:w="958"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7,775</w:t>
            </w:r>
          </w:p>
        </w:tc>
        <w:tc>
          <w:tcPr>
            <w:tcW w:w="900"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178</w:t>
            </w:r>
          </w:p>
        </w:tc>
        <w:tc>
          <w:tcPr>
            <w:tcW w:w="990"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318</w:t>
            </w:r>
          </w:p>
        </w:tc>
        <w:tc>
          <w:tcPr>
            <w:tcW w:w="810"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395</w:t>
            </w:r>
          </w:p>
        </w:tc>
        <w:tc>
          <w:tcPr>
            <w:tcW w:w="990"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225</w:t>
            </w:r>
          </w:p>
        </w:tc>
        <w:tc>
          <w:tcPr>
            <w:tcW w:w="810"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w:t>
            </w:r>
          </w:p>
        </w:tc>
        <w:tc>
          <w:tcPr>
            <w:tcW w:w="953"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30</w:t>
            </w:r>
          </w:p>
        </w:tc>
        <w:tc>
          <w:tcPr>
            <w:tcW w:w="847"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895</w:t>
            </w:r>
          </w:p>
        </w:tc>
        <w:tc>
          <w:tcPr>
            <w:tcW w:w="953" w:type="dxa"/>
            <w:tcBorders>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8,348</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 xml:space="preserve">Employee benefits </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1,366</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1,452</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404</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285</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164</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154</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176</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142</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2,110</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2,033</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 xml:space="preserve">Other current liabilities </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26</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26</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Total current liabilities</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1,686</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9,253</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582</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603</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559</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379</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178</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172</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3,005</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10,407</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Non-current liabilities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Employee benefits</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8,722</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11,802</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894</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1,605</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448</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807</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654</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1,088</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10,718</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15,302</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Total non-current liabilities</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8,722</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11,802</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894</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1,605</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448</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807</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654</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1,088</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10,718</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15,302</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Total liabilities</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10,408</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21,055</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1,476</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2,208</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1,007</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1,186</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832</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1,260</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13,723</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25,709</w:t>
            </w: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Net assets/equity</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p>
        </w:tc>
      </w:tr>
      <w:tr w:rsidR="00881E2C" w:rsidRPr="00881E2C" w:rsidTr="00881E2C">
        <w:trPr>
          <w:trHeight w:val="20"/>
        </w:trPr>
        <w:tc>
          <w:tcPr>
            <w:tcW w:w="3165" w:type="dxa"/>
            <w:tcBorders>
              <w:top w:val="nil"/>
              <w:left w:val="nil"/>
              <w:bottom w:val="nil"/>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bCs/>
                <w:color w:val="000000"/>
                <w:spacing w:val="4"/>
                <w:w w:val="103"/>
                <w:kern w:val="14"/>
                <w:sz w:val="16"/>
                <w:szCs w:val="16"/>
                <w:lang w:val="en-GB"/>
              </w:rPr>
              <w:t>Reserves</w:t>
            </w:r>
          </w:p>
        </w:tc>
        <w:tc>
          <w:tcPr>
            <w:tcW w:w="932"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12,618</w:t>
            </w:r>
          </w:p>
        </w:tc>
        <w:tc>
          <w:tcPr>
            <w:tcW w:w="958"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22,600</w:t>
            </w:r>
          </w:p>
        </w:tc>
        <w:tc>
          <w:tcPr>
            <w:tcW w:w="90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99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w:t>
            </w:r>
          </w:p>
        </w:tc>
        <w:tc>
          <w:tcPr>
            <w:tcW w:w="810"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2,000</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2,000</w:t>
            </w:r>
          </w:p>
        </w:tc>
        <w:tc>
          <w:tcPr>
            <w:tcW w:w="847"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14,618</w:t>
            </w:r>
          </w:p>
        </w:tc>
        <w:tc>
          <w:tcPr>
            <w:tcW w:w="953" w:type="dxa"/>
            <w:tcBorders>
              <w:top w:val="nil"/>
              <w:left w:val="nil"/>
              <w:bottom w:val="nil"/>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24,600</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color w:val="000000"/>
                <w:spacing w:val="4"/>
                <w:w w:val="103"/>
                <w:kern w:val="14"/>
                <w:sz w:val="16"/>
                <w:szCs w:val="16"/>
                <w:lang w:val="en-GB"/>
              </w:rPr>
            </w:pPr>
            <w:r w:rsidRPr="00881E2C">
              <w:rPr>
                <w:rFonts w:ascii="Times New Roman" w:hAnsi="Times New Roman"/>
                <w:bCs/>
                <w:color w:val="000000"/>
                <w:spacing w:val="4"/>
                <w:w w:val="103"/>
                <w:kern w:val="14"/>
                <w:sz w:val="16"/>
                <w:szCs w:val="16"/>
                <w:lang w:val="en-GB"/>
              </w:rPr>
              <w:t>Accumulated surplus</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5,311</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(8,309)</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42,038</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35,533</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14,657</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12,070</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3,948</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3,459</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65,954</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color w:val="000000"/>
                <w:spacing w:val="4"/>
                <w:w w:val="103"/>
                <w:kern w:val="14"/>
                <w:sz w:val="16"/>
                <w:szCs w:val="16"/>
                <w:lang w:val="en-GB"/>
              </w:rPr>
            </w:pPr>
            <w:r w:rsidRPr="00881E2C">
              <w:rPr>
                <w:rFonts w:ascii="Times New Roman" w:hAnsi="Times New Roman"/>
                <w:color w:val="000000"/>
                <w:spacing w:val="4"/>
                <w:w w:val="103"/>
                <w:kern w:val="14"/>
                <w:sz w:val="16"/>
                <w:szCs w:val="16"/>
                <w:lang w:val="en-GB"/>
              </w:rPr>
              <w:t>42,753</w:t>
            </w:r>
          </w:p>
        </w:tc>
      </w:tr>
      <w:tr w:rsidR="00881E2C" w:rsidRPr="00881E2C" w:rsidTr="00881E2C">
        <w:trPr>
          <w:trHeight w:val="20"/>
        </w:trPr>
        <w:tc>
          <w:tcPr>
            <w:tcW w:w="3165"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Total net assets/equity</w:t>
            </w:r>
          </w:p>
        </w:tc>
        <w:tc>
          <w:tcPr>
            <w:tcW w:w="932"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17,929</w:t>
            </w:r>
          </w:p>
        </w:tc>
        <w:tc>
          <w:tcPr>
            <w:tcW w:w="958"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14,291</w:t>
            </w:r>
          </w:p>
        </w:tc>
        <w:tc>
          <w:tcPr>
            <w:tcW w:w="90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42,038</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35,533</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14,657</w:t>
            </w:r>
          </w:p>
        </w:tc>
        <w:tc>
          <w:tcPr>
            <w:tcW w:w="99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12,070</w:t>
            </w:r>
          </w:p>
        </w:tc>
        <w:tc>
          <w:tcPr>
            <w:tcW w:w="810"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5,948</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5,459</w:t>
            </w:r>
          </w:p>
        </w:tc>
        <w:tc>
          <w:tcPr>
            <w:tcW w:w="847"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80,572</w:t>
            </w:r>
          </w:p>
        </w:tc>
        <w:tc>
          <w:tcPr>
            <w:tcW w:w="953" w:type="dxa"/>
            <w:tcBorders>
              <w:top w:val="nil"/>
              <w:left w:val="nil"/>
              <w:bottom w:val="single" w:sz="8"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67,353</w:t>
            </w:r>
          </w:p>
        </w:tc>
      </w:tr>
      <w:tr w:rsidR="00881E2C" w:rsidRPr="00881E2C" w:rsidTr="00881E2C">
        <w:trPr>
          <w:trHeight w:val="20"/>
        </w:trPr>
        <w:tc>
          <w:tcPr>
            <w:tcW w:w="3165"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2"/>
                <w:w w:val="103"/>
                <w:kern w:val="14"/>
                <w:sz w:val="16"/>
                <w:szCs w:val="16"/>
                <w:lang w:val="en-GB"/>
              </w:rPr>
              <w:t>Total liabilities and net assets/equity</w:t>
            </w:r>
          </w:p>
        </w:tc>
        <w:tc>
          <w:tcPr>
            <w:tcW w:w="932"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28,337</w:t>
            </w:r>
          </w:p>
        </w:tc>
        <w:tc>
          <w:tcPr>
            <w:tcW w:w="958"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35,346</w:t>
            </w:r>
          </w:p>
        </w:tc>
        <w:tc>
          <w:tcPr>
            <w:tcW w:w="900"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43,514</w:t>
            </w:r>
          </w:p>
        </w:tc>
        <w:tc>
          <w:tcPr>
            <w:tcW w:w="990"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37,741</w:t>
            </w:r>
          </w:p>
        </w:tc>
        <w:tc>
          <w:tcPr>
            <w:tcW w:w="810"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15,664</w:t>
            </w:r>
          </w:p>
        </w:tc>
        <w:tc>
          <w:tcPr>
            <w:tcW w:w="990"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13,256</w:t>
            </w:r>
          </w:p>
        </w:tc>
        <w:tc>
          <w:tcPr>
            <w:tcW w:w="810"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6,780</w:t>
            </w:r>
          </w:p>
        </w:tc>
        <w:tc>
          <w:tcPr>
            <w:tcW w:w="953"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6,719</w:t>
            </w:r>
          </w:p>
        </w:tc>
        <w:tc>
          <w:tcPr>
            <w:tcW w:w="847"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94,295</w:t>
            </w:r>
          </w:p>
        </w:tc>
        <w:tc>
          <w:tcPr>
            <w:tcW w:w="953" w:type="dxa"/>
            <w:tcBorders>
              <w:top w:val="nil"/>
              <w:left w:val="nil"/>
              <w:bottom w:val="single" w:sz="12" w:space="0" w:color="auto"/>
              <w:right w:val="nil"/>
            </w:tcBorders>
            <w:shd w:val="clear" w:color="auto" w:fill="auto"/>
            <w:vAlign w:val="center"/>
            <w:hideMark/>
          </w:tcPr>
          <w:p w:rsidR="00881E2C" w:rsidRPr="00881E2C" w:rsidRDefault="00881E2C" w:rsidP="00881E2C">
            <w:pPr>
              <w:suppressAutoHyphens/>
              <w:jc w:val="right"/>
              <w:rPr>
                <w:rFonts w:ascii="Times New Roman" w:hAnsi="Times New Roman"/>
                <w:b/>
                <w:bCs/>
                <w:color w:val="000000"/>
                <w:spacing w:val="4"/>
                <w:w w:val="103"/>
                <w:kern w:val="14"/>
                <w:sz w:val="16"/>
                <w:szCs w:val="16"/>
                <w:lang w:val="en-GB"/>
              </w:rPr>
            </w:pPr>
            <w:r w:rsidRPr="00881E2C">
              <w:rPr>
                <w:rFonts w:ascii="Times New Roman" w:hAnsi="Times New Roman"/>
                <w:b/>
                <w:bCs/>
                <w:color w:val="000000"/>
                <w:spacing w:val="4"/>
                <w:w w:val="103"/>
                <w:kern w:val="14"/>
                <w:sz w:val="16"/>
                <w:szCs w:val="16"/>
                <w:lang w:val="en-GB"/>
              </w:rPr>
              <w:t>93,062</w:t>
            </w:r>
          </w:p>
        </w:tc>
      </w:tr>
    </w:tbl>
    <w:p w:rsidR="003E54F5" w:rsidRDefault="003E54F5" w:rsidP="00634F26">
      <w:pPr>
        <w:suppressAutoHyphens/>
        <w:spacing w:after="120"/>
        <w:ind w:left="1267" w:right="738"/>
        <w:rPr>
          <w:rFonts w:ascii="Times New Roman" w:hAnsi="Times New Roman"/>
          <w:b/>
          <w:bCs/>
          <w:color w:val="000000"/>
          <w:spacing w:val="-2"/>
          <w:sz w:val="28"/>
        </w:rPr>
      </w:pPr>
    </w:p>
    <w:p w:rsidR="00E43691" w:rsidRDefault="00E43691" w:rsidP="00634F26">
      <w:pPr>
        <w:suppressAutoHyphens/>
        <w:spacing w:after="120"/>
        <w:ind w:left="1267" w:right="738"/>
        <w:rPr>
          <w:rFonts w:ascii="Times New Roman" w:hAnsi="Times New Roman"/>
          <w:b/>
          <w:bCs/>
          <w:color w:val="000000"/>
          <w:spacing w:val="-2"/>
          <w:sz w:val="28"/>
        </w:rPr>
        <w:sectPr w:rsidR="00E43691" w:rsidSect="002B5574">
          <w:headerReference w:type="even" r:id="rId8"/>
          <w:headerReference w:type="default" r:id="rId9"/>
          <w:footerReference w:type="even" r:id="rId10"/>
          <w:footerReference w:type="default" r:id="rId11"/>
          <w:endnotePr>
            <w:numFmt w:val="decimal"/>
          </w:endnotePr>
          <w:type w:val="continuous"/>
          <w:pgSz w:w="15840" w:h="12240" w:orient="landscape"/>
          <w:pgMar w:top="1526" w:right="720" w:bottom="720" w:left="2074" w:header="720" w:footer="720" w:gutter="0"/>
          <w:cols w:space="720"/>
          <w:noEndnote/>
          <w:docGrid w:linePitch="326"/>
        </w:sectPr>
      </w:pPr>
    </w:p>
    <w:p w:rsidR="00634F26" w:rsidRPr="00AD7765" w:rsidRDefault="00C14DEE" w:rsidP="00634F26">
      <w:pPr>
        <w:suppressAutoHyphens/>
        <w:spacing w:after="120"/>
        <w:ind w:left="1267" w:right="738"/>
        <w:rPr>
          <w:rFonts w:ascii="Times New Roman" w:hAnsi="Times New Roman"/>
          <w:b/>
          <w:bCs/>
          <w:color w:val="000000"/>
          <w:spacing w:val="-2"/>
          <w:sz w:val="28"/>
        </w:rPr>
      </w:pPr>
      <w:r>
        <w:rPr>
          <w:rFonts w:ascii="Times New Roman" w:hAnsi="Times New Roman"/>
          <w:b/>
          <w:bCs/>
          <w:color w:val="000000"/>
          <w:spacing w:val="-2"/>
          <w:sz w:val="28"/>
        </w:rPr>
        <w:lastRenderedPageBreak/>
        <w:t>Annex IV</w:t>
      </w:r>
      <w:r w:rsidR="00E77F33">
        <w:rPr>
          <w:rFonts w:ascii="Times New Roman" w:hAnsi="Times New Roman"/>
          <w:b/>
          <w:bCs/>
          <w:color w:val="000000"/>
          <w:spacing w:val="-2"/>
          <w:sz w:val="28"/>
        </w:rPr>
        <w:t xml:space="preserve">. </w:t>
      </w:r>
      <w:r w:rsidR="00634F26" w:rsidRPr="00AD7765">
        <w:rPr>
          <w:rFonts w:ascii="Times New Roman" w:hAnsi="Times New Roman"/>
          <w:b/>
          <w:bCs/>
          <w:color w:val="000000"/>
          <w:spacing w:val="-2"/>
          <w:sz w:val="28"/>
        </w:rPr>
        <w:t>Explanations of terms used in DP/201</w:t>
      </w:r>
      <w:r w:rsidR="003718AF">
        <w:rPr>
          <w:rFonts w:ascii="Times New Roman" w:hAnsi="Times New Roman"/>
          <w:b/>
          <w:bCs/>
          <w:color w:val="000000"/>
          <w:spacing w:val="-2"/>
          <w:sz w:val="28"/>
        </w:rPr>
        <w:t>4</w:t>
      </w:r>
      <w:r w:rsidR="00634F26" w:rsidRPr="00AD7765">
        <w:rPr>
          <w:rFonts w:ascii="Times New Roman" w:hAnsi="Times New Roman"/>
          <w:b/>
          <w:bCs/>
          <w:color w:val="000000"/>
          <w:spacing w:val="-2"/>
          <w:sz w:val="28"/>
        </w:rPr>
        <w:t>/</w:t>
      </w:r>
      <w:r w:rsidR="003718AF">
        <w:rPr>
          <w:rFonts w:ascii="Times New Roman" w:hAnsi="Times New Roman"/>
          <w:b/>
          <w:bCs/>
          <w:color w:val="000000"/>
          <w:spacing w:val="-2"/>
          <w:sz w:val="28"/>
        </w:rPr>
        <w:t>20</w:t>
      </w:r>
      <w:r w:rsidR="00634F26" w:rsidRPr="00AD7765">
        <w:rPr>
          <w:rFonts w:ascii="Times New Roman" w:hAnsi="Times New Roman"/>
          <w:b/>
          <w:bCs/>
          <w:color w:val="000000"/>
          <w:spacing w:val="-2"/>
          <w:sz w:val="28"/>
        </w:rPr>
        <w:t xml:space="preserve"> and DP/201</w:t>
      </w:r>
      <w:r w:rsidR="003718AF">
        <w:rPr>
          <w:rFonts w:ascii="Times New Roman" w:hAnsi="Times New Roman"/>
          <w:b/>
          <w:bCs/>
          <w:color w:val="000000"/>
          <w:spacing w:val="-2"/>
          <w:sz w:val="28"/>
        </w:rPr>
        <w:t>4</w:t>
      </w:r>
      <w:r w:rsidR="00634F26" w:rsidRPr="00AD7765">
        <w:rPr>
          <w:rFonts w:ascii="Times New Roman" w:hAnsi="Times New Roman"/>
          <w:b/>
          <w:bCs/>
          <w:color w:val="000000"/>
          <w:spacing w:val="-2"/>
          <w:sz w:val="28"/>
        </w:rPr>
        <w:t>/</w:t>
      </w:r>
      <w:r w:rsidR="003718AF">
        <w:rPr>
          <w:rFonts w:ascii="Times New Roman" w:hAnsi="Times New Roman"/>
          <w:b/>
          <w:bCs/>
          <w:color w:val="000000"/>
          <w:spacing w:val="-2"/>
          <w:sz w:val="28"/>
        </w:rPr>
        <w:t>20</w:t>
      </w:r>
      <w:r w:rsidR="00634F26" w:rsidRPr="00AD7765">
        <w:rPr>
          <w:rFonts w:ascii="Times New Roman" w:hAnsi="Times New Roman"/>
          <w:b/>
          <w:bCs/>
          <w:color w:val="000000"/>
          <w:spacing w:val="-2"/>
          <w:sz w:val="28"/>
        </w:rPr>
        <w:t>/Add.1</w:t>
      </w:r>
    </w:p>
    <w:p w:rsidR="00662761" w:rsidRPr="00AD7765" w:rsidRDefault="00634F26" w:rsidP="00662761">
      <w:pPr>
        <w:tabs>
          <w:tab w:val="left" w:pos="1260"/>
        </w:tabs>
        <w:suppressAutoHyphens/>
        <w:spacing w:after="120"/>
        <w:ind w:left="1260" w:right="1267" w:hanging="1260"/>
        <w:jc w:val="both"/>
        <w:rPr>
          <w:rFonts w:ascii="Times New Roman" w:hAnsi="Times New Roman"/>
          <w:spacing w:val="4"/>
          <w:w w:val="103"/>
          <w:kern w:val="14"/>
          <w:sz w:val="20"/>
        </w:rPr>
      </w:pPr>
      <w:r w:rsidRPr="00AD7765">
        <w:rPr>
          <w:rFonts w:ascii="Times New Roman" w:hAnsi="Times New Roman"/>
          <w:bCs/>
          <w:i/>
          <w:spacing w:val="4"/>
          <w:w w:val="103"/>
          <w:kern w:val="14"/>
          <w:sz w:val="20"/>
        </w:rPr>
        <w:tab/>
      </w:r>
      <w:r w:rsidR="00662761" w:rsidRPr="00AD7765">
        <w:rPr>
          <w:rFonts w:ascii="Times New Roman" w:hAnsi="Times New Roman"/>
          <w:i/>
          <w:spacing w:val="4"/>
          <w:w w:val="103"/>
          <w:kern w:val="14"/>
          <w:sz w:val="20"/>
        </w:rPr>
        <w:t xml:space="preserve">Accumulated surplus: </w:t>
      </w:r>
      <w:r w:rsidR="00662761" w:rsidRPr="00AD7765">
        <w:rPr>
          <w:rFonts w:ascii="Times New Roman" w:hAnsi="Times New Roman"/>
          <w:spacing w:val="4"/>
          <w:w w:val="103"/>
          <w:kern w:val="14"/>
          <w:sz w:val="20"/>
        </w:rPr>
        <w:t>Formerly referred to as ‘unexpended resources or unspent balance’. It represents</w:t>
      </w:r>
      <w:r w:rsidR="000E3632" w:rsidRPr="00AD7765">
        <w:rPr>
          <w:rFonts w:ascii="Times New Roman" w:hAnsi="Times New Roman"/>
          <w:spacing w:val="4"/>
          <w:w w:val="103"/>
          <w:kern w:val="14"/>
          <w:sz w:val="20"/>
        </w:rPr>
        <w:t xml:space="preserve"> </w:t>
      </w:r>
      <w:r w:rsidR="00662761" w:rsidRPr="00AD7765">
        <w:rPr>
          <w:rFonts w:ascii="Times New Roman" w:hAnsi="Times New Roman"/>
          <w:spacing w:val="4"/>
          <w:w w:val="103"/>
          <w:kern w:val="14"/>
          <w:sz w:val="20"/>
        </w:rPr>
        <w:t xml:space="preserve">accumulated funds at the end of the reporting period. </w:t>
      </w:r>
    </w:p>
    <w:p w:rsidR="00634F26" w:rsidRPr="00AD7765" w:rsidRDefault="00634F26" w:rsidP="00864721">
      <w:pPr>
        <w:spacing w:after="120"/>
        <w:ind w:left="1267" w:right="1267"/>
        <w:jc w:val="both"/>
        <w:rPr>
          <w:rFonts w:ascii="Times New Roman" w:hAnsi="Times New Roman"/>
          <w:sz w:val="20"/>
        </w:rPr>
      </w:pPr>
      <w:r w:rsidRPr="00AD7765">
        <w:rPr>
          <w:rFonts w:ascii="Times New Roman" w:hAnsi="Times New Roman"/>
          <w:i/>
          <w:sz w:val="20"/>
        </w:rPr>
        <w:t>Bilateral donors:</w:t>
      </w:r>
      <w:r w:rsidRPr="00AD7765">
        <w:rPr>
          <w:rFonts w:ascii="Times New Roman" w:hAnsi="Times New Roman"/>
          <w:sz w:val="20"/>
        </w:rPr>
        <w:t xml:space="preserve"> Members of the Development Assistance Committee of the Organisation for Economic Co-operation and Development (OECD/DAC) that contribute to UNDP regular resources and other resources.</w:t>
      </w:r>
    </w:p>
    <w:p w:rsidR="00454FCC" w:rsidRPr="00454FCC" w:rsidRDefault="00864721" w:rsidP="00454FCC">
      <w:pPr>
        <w:ind w:left="1267" w:right="1267"/>
        <w:jc w:val="both"/>
        <w:rPr>
          <w:rFonts w:ascii="Times New Roman" w:hAnsi="Times New Roman"/>
          <w:sz w:val="20"/>
          <w:lang w:val="en-GB" w:eastAsia="en-GB"/>
        </w:rPr>
      </w:pPr>
      <w:r w:rsidRPr="00053A25">
        <w:rPr>
          <w:rFonts w:ascii="Times New Roman" w:hAnsi="Times New Roman"/>
          <w:bCs/>
          <w:i/>
          <w:sz w:val="20"/>
          <w:lang w:val="en-GB" w:eastAsia="en-GB"/>
        </w:rPr>
        <w:t>Cert</w:t>
      </w:r>
      <w:r w:rsidRPr="009C474C">
        <w:rPr>
          <w:rFonts w:ascii="Times New Roman" w:hAnsi="Times New Roman"/>
          <w:bCs/>
          <w:i/>
          <w:sz w:val="20"/>
          <w:lang w:val="en-GB" w:eastAsia="en-GB"/>
        </w:rPr>
        <w:t>ified Emission Reductions (CER</w:t>
      </w:r>
      <w:r w:rsidR="009C474C" w:rsidRPr="009C474C">
        <w:rPr>
          <w:rFonts w:ascii="Times New Roman" w:hAnsi="Times New Roman"/>
          <w:bCs/>
          <w:i/>
          <w:sz w:val="20"/>
          <w:lang w:val="en-GB" w:eastAsia="en-GB"/>
        </w:rPr>
        <w:t>)</w:t>
      </w:r>
      <w:r w:rsidRPr="009C474C">
        <w:rPr>
          <w:rFonts w:ascii="Times New Roman" w:hAnsi="Times New Roman"/>
          <w:bCs/>
          <w:i/>
          <w:sz w:val="20"/>
          <w:lang w:val="en-GB" w:eastAsia="en-GB"/>
        </w:rPr>
        <w:t>s:</w:t>
      </w:r>
      <w:r w:rsidRPr="0026282B">
        <w:rPr>
          <w:rFonts w:ascii="Times New Roman" w:hAnsi="Times New Roman"/>
          <w:b/>
          <w:bCs/>
          <w:i/>
          <w:sz w:val="20"/>
          <w:lang w:val="en-GB" w:eastAsia="en-GB"/>
        </w:rPr>
        <w:t xml:space="preserve"> </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Under the Kyoto Protocol industrialized countries are offered the opportunity to offset greenhouse gas (GHG) emissions by procuring credits from Clean Development Mechanism (CDM) projects located in developing countries. A CER basically allows an entity to pay for the reduction of GHG emissions elsewhere and is often more cost-effective than reducing the GHG emissions from their own operations or is used where GHG emissions cannot be avoided. UN</w:t>
      </w:r>
      <w:r w:rsidR="00454FCC">
        <w:rPr>
          <w:rFonts w:ascii="Times New Roman" w:hAnsi="Times New Roman"/>
          <w:sz w:val="20"/>
          <w:lang w:val="en-GB" w:eastAsia="en-GB"/>
        </w:rPr>
        <w:t xml:space="preserve">DP is committed to buying only </w:t>
      </w:r>
      <w:r w:rsidR="00454FCC" w:rsidRPr="00454FCC">
        <w:rPr>
          <w:rFonts w:ascii="Times New Roman" w:hAnsi="Times New Roman"/>
          <w:sz w:val="20"/>
          <w:lang w:val="en-GB" w:eastAsia="en-GB"/>
        </w:rPr>
        <w:t>very credible, UNFCCC-issued credits (“Gold Standard”) which also deliver tangible sustainable development benefits. For details please refer to the EG-approved HQ Emission Reduction Strategy (</w:t>
      </w:r>
      <w:hyperlink r:id="rId12" w:history="1">
        <w:r w:rsidR="00454FCC" w:rsidRPr="00454FCC">
          <w:rPr>
            <w:rStyle w:val="Hyperlink"/>
            <w:rFonts w:ascii="Times New Roman" w:hAnsi="Times New Roman"/>
            <w:color w:val="auto"/>
            <w:sz w:val="20"/>
            <w:lang w:val="en-GB" w:eastAsia="en-GB"/>
          </w:rPr>
          <w:t>https://undp.unteamworks.org/node/369936</w:t>
        </w:r>
      </w:hyperlink>
      <w:r w:rsidR="00454FCC" w:rsidRPr="00454FCC">
        <w:rPr>
          <w:rFonts w:ascii="Times New Roman" w:hAnsi="Times New Roman"/>
          <w:sz w:val="20"/>
          <w:lang w:val="en-GB" w:eastAsia="en-GB"/>
        </w:rPr>
        <w:t xml:space="preserve">). </w:t>
      </w:r>
    </w:p>
    <w:p w:rsidR="00864721" w:rsidRPr="00053A25" w:rsidRDefault="00864721" w:rsidP="00053A25">
      <w:pPr>
        <w:ind w:left="1260" w:right="1260"/>
        <w:jc w:val="both"/>
        <w:rPr>
          <w:rFonts w:ascii="Times New Roman" w:hAnsi="Times New Roman"/>
          <w:color w:val="1F497D"/>
          <w:sz w:val="20"/>
          <w:lang w:val="en-GB" w:eastAsia="en-GB"/>
        </w:rPr>
      </w:pPr>
    </w:p>
    <w:p w:rsidR="00634F26" w:rsidRPr="00AD7765" w:rsidRDefault="00634F26" w:rsidP="00634F26">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Cost classification: </w:t>
      </w:r>
      <w:r w:rsidRPr="00AD7765">
        <w:rPr>
          <w:rFonts w:ascii="Times New Roman" w:hAnsi="Times New Roman"/>
          <w:bCs/>
          <w:spacing w:val="4"/>
          <w:w w:val="103"/>
          <w:kern w:val="14"/>
          <w:sz w:val="20"/>
        </w:rPr>
        <w:t>Set of criteria and the process of determining programme implementation vs. administration costs, and clarifying distinctions between those.</w:t>
      </w:r>
    </w:p>
    <w:p w:rsidR="00B1400D" w:rsidRPr="00AD7765" w:rsidRDefault="00B1400D" w:rsidP="00B1400D">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Development activities: </w:t>
      </w:r>
      <w:r w:rsidRPr="00AD7765">
        <w:rPr>
          <w:rFonts w:ascii="Times New Roman" w:hAnsi="Times New Roman"/>
          <w:bCs/>
          <w:spacing w:val="4"/>
          <w:w w:val="103"/>
          <w:kern w:val="14"/>
          <w:sz w:val="20"/>
        </w:rPr>
        <w:t>Activities associated with ‘programmes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xml:space="preserve"> and ‘development effectiveness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activities essential for achieving development results.</w:t>
      </w:r>
    </w:p>
    <w:p w:rsidR="00B1400D" w:rsidRPr="00AD7765" w:rsidRDefault="00B1400D" w:rsidP="00B1400D">
      <w:pPr>
        <w:numPr>
          <w:ilvl w:val="0"/>
          <w:numId w:val="2"/>
        </w:numPr>
        <w:suppressAutoHyphens/>
        <w:autoSpaceDE w:val="0"/>
        <w:autoSpaceDN w:val="0"/>
        <w:adjustRightInd w:val="0"/>
        <w:spacing w:after="120" w:line="240" w:lineRule="exact"/>
        <w:ind w:right="1267"/>
        <w:jc w:val="both"/>
        <w:rPr>
          <w:rFonts w:ascii="Times New Roman" w:eastAsia="Calibri" w:hAnsi="Times New Roman"/>
          <w:bCs/>
          <w:i/>
          <w:spacing w:val="4"/>
          <w:w w:val="103"/>
          <w:kern w:val="14"/>
          <w:sz w:val="20"/>
          <w:lang w:val="en-GB"/>
        </w:rPr>
      </w:pPr>
      <w:r w:rsidRPr="00AD7765">
        <w:rPr>
          <w:rFonts w:ascii="Times New Roman" w:eastAsia="Calibri" w:hAnsi="Times New Roman"/>
          <w:bCs/>
          <w:i/>
          <w:spacing w:val="4"/>
          <w:w w:val="103"/>
          <w:kern w:val="14"/>
          <w:sz w:val="20"/>
          <w:lang w:val="en-GB"/>
        </w:rPr>
        <w:t xml:space="preserve">Programmes: </w:t>
      </w:r>
      <w:r w:rsidRPr="00AD7765">
        <w:rPr>
          <w:rFonts w:ascii="Times New Roman" w:eastAsia="Calibri" w:hAnsi="Times New Roman"/>
          <w:bCs/>
          <w:spacing w:val="4"/>
          <w:w w:val="103"/>
          <w:kern w:val="14"/>
          <w:sz w:val="20"/>
          <w:lang w:val="en-GB"/>
        </w:rPr>
        <w:t xml:space="preserve">Activities </w:t>
      </w:r>
      <w:r w:rsidR="00333924">
        <w:rPr>
          <w:rFonts w:ascii="Times New Roman" w:eastAsia="Calibri" w:hAnsi="Times New Roman"/>
          <w:bCs/>
          <w:spacing w:val="4"/>
          <w:w w:val="103"/>
          <w:kern w:val="14"/>
          <w:sz w:val="20"/>
          <w:lang w:val="en-GB"/>
        </w:rPr>
        <w:t xml:space="preserve">traced </w:t>
      </w:r>
      <w:r w:rsidR="00446F05">
        <w:rPr>
          <w:rFonts w:ascii="Times New Roman" w:eastAsia="Calibri" w:hAnsi="Times New Roman"/>
          <w:bCs/>
          <w:spacing w:val="4"/>
          <w:w w:val="103"/>
          <w:kern w:val="14"/>
          <w:sz w:val="20"/>
          <w:lang w:val="en-GB"/>
        </w:rPr>
        <w:t xml:space="preserve">to </w:t>
      </w:r>
      <w:r w:rsidR="00446F05" w:rsidRPr="00AD7765">
        <w:rPr>
          <w:rFonts w:ascii="Times New Roman" w:eastAsia="Calibri" w:hAnsi="Times New Roman"/>
          <w:bCs/>
          <w:spacing w:val="4"/>
          <w:w w:val="103"/>
          <w:kern w:val="14"/>
          <w:sz w:val="20"/>
          <w:lang w:val="en-GB"/>
        </w:rPr>
        <w:t>specific</w:t>
      </w:r>
      <w:r w:rsidRPr="00AD7765">
        <w:rPr>
          <w:rFonts w:ascii="Times New Roman" w:eastAsia="Calibri" w:hAnsi="Times New Roman"/>
          <w:bCs/>
          <w:spacing w:val="4"/>
          <w:w w:val="103"/>
          <w:kern w:val="14"/>
          <w:sz w:val="20"/>
          <w:lang w:val="en-GB"/>
        </w:rPr>
        <w:t xml:space="preserve"> programme components or projects</w:t>
      </w:r>
      <w:r w:rsidR="00333924">
        <w:rPr>
          <w:rFonts w:ascii="Times New Roman" w:eastAsia="Calibri" w:hAnsi="Times New Roman"/>
          <w:bCs/>
          <w:spacing w:val="4"/>
          <w:w w:val="103"/>
          <w:kern w:val="14"/>
          <w:sz w:val="20"/>
          <w:lang w:val="en-GB"/>
        </w:rPr>
        <w:t>, which</w:t>
      </w:r>
      <w:r w:rsidR="00454FCC">
        <w:rPr>
          <w:rFonts w:ascii="Times New Roman" w:eastAsia="Calibri" w:hAnsi="Times New Roman"/>
          <w:bCs/>
          <w:spacing w:val="4"/>
          <w:w w:val="103"/>
          <w:kern w:val="14"/>
          <w:sz w:val="20"/>
          <w:lang w:val="en-GB"/>
        </w:rPr>
        <w:t xml:space="preserve"> </w:t>
      </w:r>
      <w:r w:rsidRPr="00AD7765">
        <w:rPr>
          <w:rFonts w:ascii="Times New Roman" w:eastAsia="Calibri" w:hAnsi="Times New Roman"/>
          <w:bCs/>
          <w:spacing w:val="4"/>
          <w:w w:val="103"/>
          <w:kern w:val="14"/>
          <w:sz w:val="20"/>
          <w:lang w:val="en-GB"/>
        </w:rPr>
        <w:t>contribute to deliver</w:t>
      </w:r>
      <w:r w:rsidR="00333924">
        <w:rPr>
          <w:rFonts w:ascii="Times New Roman" w:eastAsia="Calibri" w:hAnsi="Times New Roman"/>
          <w:bCs/>
          <w:spacing w:val="4"/>
          <w:w w:val="103"/>
          <w:kern w:val="14"/>
          <w:sz w:val="20"/>
          <w:lang w:val="en-GB"/>
        </w:rPr>
        <w:t>ing</w:t>
      </w:r>
      <w:r w:rsidRPr="00AD7765">
        <w:rPr>
          <w:rFonts w:ascii="Times New Roman" w:eastAsia="Calibri" w:hAnsi="Times New Roman"/>
          <w:bCs/>
          <w:spacing w:val="4"/>
          <w:w w:val="103"/>
          <w:kern w:val="14"/>
          <w:sz w:val="20"/>
          <w:lang w:val="en-GB"/>
        </w:rPr>
        <w:t xml:space="preserve"> development results </w:t>
      </w:r>
      <w:r w:rsidR="00446F05">
        <w:rPr>
          <w:rFonts w:ascii="Times New Roman" w:eastAsia="Calibri" w:hAnsi="Times New Roman"/>
          <w:bCs/>
          <w:spacing w:val="4"/>
          <w:w w:val="103"/>
          <w:kern w:val="14"/>
          <w:sz w:val="20"/>
          <w:lang w:val="en-GB"/>
        </w:rPr>
        <w:t xml:space="preserve">contained </w:t>
      </w:r>
      <w:r w:rsidR="00446F05" w:rsidRPr="00AD7765">
        <w:rPr>
          <w:rFonts w:ascii="Times New Roman" w:eastAsia="Calibri" w:hAnsi="Times New Roman"/>
          <w:bCs/>
          <w:spacing w:val="4"/>
          <w:w w:val="103"/>
          <w:kern w:val="14"/>
          <w:sz w:val="20"/>
          <w:lang w:val="en-GB"/>
        </w:rPr>
        <w:t>in</w:t>
      </w:r>
      <w:r w:rsidRPr="00AD7765">
        <w:rPr>
          <w:rFonts w:ascii="Times New Roman" w:eastAsia="Calibri" w:hAnsi="Times New Roman"/>
          <w:bCs/>
          <w:spacing w:val="4"/>
          <w:w w:val="103"/>
          <w:kern w:val="14"/>
          <w:sz w:val="20"/>
          <w:lang w:val="en-GB"/>
        </w:rPr>
        <w:t xml:space="preserve"> country/regional/global programme documents or other programming arrangements.</w:t>
      </w:r>
    </w:p>
    <w:p w:rsidR="00B1400D" w:rsidRPr="00AD7765" w:rsidRDefault="00B1400D" w:rsidP="00B1400D">
      <w:pPr>
        <w:numPr>
          <w:ilvl w:val="0"/>
          <w:numId w:val="2"/>
        </w:numPr>
        <w:suppressAutoHyphens/>
        <w:autoSpaceDE w:val="0"/>
        <w:autoSpaceDN w:val="0"/>
        <w:adjustRightInd w:val="0"/>
        <w:spacing w:after="120" w:line="240" w:lineRule="exact"/>
        <w:ind w:right="1267"/>
        <w:jc w:val="both"/>
        <w:rPr>
          <w:rFonts w:ascii="Times New Roman" w:eastAsia="Calibri" w:hAnsi="Times New Roman"/>
          <w:bCs/>
          <w:spacing w:val="4"/>
          <w:w w:val="103"/>
          <w:kern w:val="14"/>
          <w:sz w:val="20"/>
          <w:lang w:val="en-GB"/>
        </w:rPr>
      </w:pPr>
      <w:r w:rsidRPr="00AD7765">
        <w:rPr>
          <w:rFonts w:ascii="Times New Roman" w:eastAsia="Calibri" w:hAnsi="Times New Roman"/>
          <w:bCs/>
          <w:i/>
          <w:spacing w:val="4"/>
          <w:w w:val="103"/>
          <w:kern w:val="14"/>
          <w:sz w:val="20"/>
          <w:lang w:val="en-GB"/>
        </w:rPr>
        <w:t xml:space="preserve">Development effectiveness activities: </w:t>
      </w:r>
      <w:r w:rsidRPr="00AD7765">
        <w:rPr>
          <w:rFonts w:ascii="Times New Roman" w:eastAsia="Calibri" w:hAnsi="Times New Roman"/>
          <w:bCs/>
          <w:spacing w:val="4"/>
          <w:w w:val="103"/>
          <w:kern w:val="14"/>
          <w:sz w:val="20"/>
          <w:lang w:val="en-GB"/>
        </w:rPr>
        <w:t>Activities of a policy-advisory, technical and implementation nature needed to achieve the objectives of programmes and projects in UNDP’s areas of focus. While essential to the delivery of development results, they are not included in specific programme components or projects in country, regional, or global programme documents.</w:t>
      </w:r>
    </w:p>
    <w:p w:rsidR="006516C4" w:rsidRPr="006516C4" w:rsidRDefault="00662761" w:rsidP="006516C4">
      <w:pPr>
        <w:suppressAutoHyphens/>
        <w:spacing w:after="120"/>
        <w:ind w:left="1267" w:right="1267"/>
        <w:jc w:val="both"/>
        <w:rPr>
          <w:rFonts w:ascii="Times New Roman" w:hAnsi="Times New Roman"/>
          <w:spacing w:val="4"/>
          <w:sz w:val="20"/>
          <w:lang w:val="en-GB"/>
        </w:rPr>
      </w:pPr>
      <w:r w:rsidRPr="00AD7765">
        <w:rPr>
          <w:rFonts w:ascii="Times New Roman" w:hAnsi="Times New Roman"/>
          <w:bCs/>
          <w:i/>
          <w:spacing w:val="4"/>
          <w:w w:val="103"/>
          <w:kern w:val="14"/>
          <w:sz w:val="20"/>
        </w:rPr>
        <w:t>Elimination:</w:t>
      </w:r>
      <w:r w:rsidRPr="00AD7765">
        <w:rPr>
          <w:rFonts w:ascii="Times New Roman" w:hAnsi="Times New Roman"/>
          <w:bCs/>
          <w:spacing w:val="4"/>
          <w:w w:val="103"/>
          <w:kern w:val="14"/>
          <w:sz w:val="20"/>
        </w:rPr>
        <w:t xml:space="preserve"> </w:t>
      </w:r>
      <w:r w:rsidR="000E3632" w:rsidRPr="00AD7765">
        <w:rPr>
          <w:rFonts w:ascii="Times New Roman" w:hAnsi="Times New Roman"/>
          <w:bCs/>
          <w:spacing w:val="4"/>
          <w:w w:val="103"/>
          <w:kern w:val="14"/>
          <w:sz w:val="20"/>
        </w:rPr>
        <w:t>Represents int</w:t>
      </w:r>
      <w:r w:rsidR="00E96E4C">
        <w:rPr>
          <w:rFonts w:ascii="Times New Roman" w:hAnsi="Times New Roman"/>
          <w:bCs/>
          <w:spacing w:val="4"/>
          <w:w w:val="103"/>
          <w:kern w:val="14"/>
          <w:sz w:val="20"/>
        </w:rPr>
        <w:t>er-</w:t>
      </w:r>
      <w:r w:rsidR="000E3632" w:rsidRPr="00AD7765">
        <w:rPr>
          <w:rFonts w:ascii="Times New Roman" w:hAnsi="Times New Roman"/>
          <w:bCs/>
          <w:spacing w:val="4"/>
          <w:w w:val="103"/>
          <w:kern w:val="14"/>
          <w:sz w:val="20"/>
        </w:rPr>
        <w:t>segment transactions</w:t>
      </w:r>
      <w:r w:rsidR="00E96E4C">
        <w:rPr>
          <w:rFonts w:ascii="Times New Roman" w:hAnsi="Times New Roman"/>
          <w:bCs/>
          <w:spacing w:val="4"/>
          <w:w w:val="103"/>
          <w:kern w:val="14"/>
          <w:sz w:val="20"/>
        </w:rPr>
        <w:t>.</w:t>
      </w:r>
      <w:r w:rsidR="006516C4">
        <w:rPr>
          <w:rFonts w:ascii="Times New Roman" w:hAnsi="Times New Roman"/>
          <w:bCs/>
          <w:spacing w:val="4"/>
          <w:w w:val="103"/>
          <w:kern w:val="14"/>
          <w:sz w:val="20"/>
        </w:rPr>
        <w:t xml:space="preserve"> </w:t>
      </w:r>
      <w:r w:rsidR="006516C4" w:rsidRPr="006516C4">
        <w:rPr>
          <w:rFonts w:ascii="Times New Roman" w:hAnsi="Times New Roman"/>
          <w:spacing w:val="4"/>
          <w:sz w:val="20"/>
          <w:lang w:val="en-GB"/>
        </w:rPr>
        <w:t>For financial reporting</w:t>
      </w:r>
      <w:r w:rsidR="006516C4">
        <w:rPr>
          <w:rFonts w:ascii="Times New Roman" w:hAnsi="Times New Roman"/>
          <w:spacing w:val="4"/>
          <w:sz w:val="20"/>
          <w:lang w:val="en-GB"/>
        </w:rPr>
        <w:t xml:space="preserve"> purposes</w:t>
      </w:r>
      <w:r w:rsidR="006516C4" w:rsidRPr="006516C4">
        <w:rPr>
          <w:rFonts w:ascii="Times New Roman" w:hAnsi="Times New Roman"/>
          <w:spacing w:val="4"/>
          <w:sz w:val="20"/>
          <w:lang w:val="en-GB"/>
        </w:rPr>
        <w:t>, UNDP clas</w:t>
      </w:r>
      <w:r w:rsidR="006516C4">
        <w:rPr>
          <w:rFonts w:ascii="Times New Roman" w:hAnsi="Times New Roman"/>
          <w:spacing w:val="4"/>
          <w:sz w:val="20"/>
          <w:lang w:val="en-GB"/>
        </w:rPr>
        <w:t>sifies all its activities into four</w:t>
      </w:r>
      <w:r w:rsidR="006516C4" w:rsidRPr="006516C4">
        <w:rPr>
          <w:rFonts w:ascii="Times New Roman" w:hAnsi="Times New Roman"/>
          <w:spacing w:val="4"/>
          <w:sz w:val="20"/>
          <w:lang w:val="en-GB"/>
        </w:rPr>
        <w:t xml:space="preserve"> segments: regular resources; cost sharing; trust funds; and reimbursable support services</w:t>
      </w:r>
      <w:r w:rsidR="006516C4">
        <w:rPr>
          <w:rFonts w:ascii="Times New Roman" w:hAnsi="Times New Roman"/>
          <w:spacing w:val="4"/>
          <w:sz w:val="20"/>
          <w:lang w:val="en-GB"/>
        </w:rPr>
        <w:t xml:space="preserve"> </w:t>
      </w:r>
      <w:r w:rsidR="006516C4" w:rsidRPr="006516C4">
        <w:rPr>
          <w:rFonts w:ascii="Times New Roman" w:hAnsi="Times New Roman"/>
          <w:spacing w:val="4"/>
          <w:sz w:val="20"/>
          <w:lang w:val="en-GB"/>
        </w:rPr>
        <w:t>and miscellaneous activities</w:t>
      </w:r>
      <w:r w:rsidR="006516C4">
        <w:rPr>
          <w:rFonts w:ascii="Times New Roman" w:hAnsi="Times New Roman"/>
          <w:spacing w:val="4"/>
          <w:sz w:val="20"/>
          <w:lang w:val="en-GB"/>
        </w:rPr>
        <w:t>.</w:t>
      </w:r>
    </w:p>
    <w:p w:rsidR="007F75AA" w:rsidRPr="00AD7765" w:rsidRDefault="00662761" w:rsidP="000562BE">
      <w:pPr>
        <w:tabs>
          <w:tab w:val="left" w:pos="1260"/>
        </w:tabs>
        <w:suppressAutoHyphens/>
        <w:spacing w:after="120"/>
        <w:ind w:left="1260" w:right="1267" w:hanging="1260"/>
        <w:jc w:val="both"/>
        <w:rPr>
          <w:rFonts w:ascii="Times New Roman" w:hAnsi="Times New Roman"/>
          <w:i/>
          <w:color w:val="000000"/>
          <w:sz w:val="20"/>
          <w:szCs w:val="22"/>
        </w:rPr>
      </w:pPr>
      <w:r w:rsidRPr="00AD7765">
        <w:rPr>
          <w:rFonts w:ascii="Times New Roman" w:hAnsi="Times New Roman"/>
          <w:bCs/>
          <w:i/>
          <w:spacing w:val="4"/>
          <w:w w:val="103"/>
          <w:kern w:val="14"/>
          <w:sz w:val="20"/>
        </w:rPr>
        <w:tab/>
      </w:r>
      <w:r w:rsidR="000E3632" w:rsidRPr="00AD7765">
        <w:rPr>
          <w:rFonts w:ascii="Times New Roman" w:hAnsi="Times New Roman"/>
          <w:i/>
          <w:iCs/>
          <w:color w:val="000000"/>
          <w:sz w:val="20"/>
        </w:rPr>
        <w:t xml:space="preserve">Expenditure: </w:t>
      </w:r>
      <w:r w:rsidR="00333924" w:rsidRPr="00053A25">
        <w:rPr>
          <w:rFonts w:ascii="Times New Roman" w:hAnsi="Times New Roman"/>
          <w:iCs/>
          <w:color w:val="000000"/>
          <w:sz w:val="20"/>
        </w:rPr>
        <w:t>Utilization of available financial resources</w:t>
      </w:r>
      <w:r w:rsidR="00333924">
        <w:rPr>
          <w:rFonts w:ascii="Times New Roman" w:hAnsi="Times New Roman"/>
          <w:iCs/>
          <w:color w:val="000000"/>
          <w:sz w:val="20"/>
        </w:rPr>
        <w:t xml:space="preserve">, across harmonized cost classification categories </w:t>
      </w:r>
    </w:p>
    <w:p w:rsidR="000562BE" w:rsidRPr="00AD7765" w:rsidRDefault="000562BE" w:rsidP="000562BE">
      <w:pPr>
        <w:tabs>
          <w:tab w:val="left" w:pos="1260"/>
        </w:tabs>
        <w:suppressAutoHyphens/>
        <w:spacing w:after="120"/>
        <w:ind w:left="1260" w:right="1267" w:hanging="1260"/>
        <w:jc w:val="both"/>
        <w:rPr>
          <w:rFonts w:ascii="Times New Roman" w:hAnsi="Times New Roman"/>
          <w:bCs/>
          <w:spacing w:val="4"/>
          <w:w w:val="103"/>
          <w:kern w:val="14"/>
          <w:sz w:val="20"/>
        </w:rPr>
      </w:pPr>
      <w:r w:rsidRPr="00AD7765">
        <w:rPr>
          <w:rFonts w:ascii="Times New Roman" w:hAnsi="Times New Roman"/>
          <w:bCs/>
          <w:i/>
          <w:spacing w:val="4"/>
          <w:w w:val="103"/>
          <w:kern w:val="14"/>
          <w:sz w:val="20"/>
        </w:rPr>
        <w:tab/>
      </w:r>
      <w:r w:rsidR="00B1400D" w:rsidRPr="00AD7765">
        <w:rPr>
          <w:rFonts w:ascii="Times New Roman" w:hAnsi="Times New Roman"/>
          <w:bCs/>
          <w:i/>
          <w:spacing w:val="4"/>
          <w:w w:val="103"/>
          <w:kern w:val="14"/>
          <w:sz w:val="20"/>
        </w:rPr>
        <w:t>E</w:t>
      </w:r>
      <w:r w:rsidRPr="00AD7765">
        <w:rPr>
          <w:rFonts w:ascii="Times New Roman" w:hAnsi="Times New Roman"/>
          <w:bCs/>
          <w:i/>
          <w:spacing w:val="4"/>
          <w:w w:val="103"/>
          <w:kern w:val="14"/>
          <w:sz w:val="20"/>
        </w:rPr>
        <w:t>xpenses:</w:t>
      </w:r>
      <w:r w:rsidRPr="00AD7765">
        <w:rPr>
          <w:rFonts w:ascii="Times New Roman" w:hAnsi="Times New Roman"/>
          <w:bCs/>
          <w:spacing w:val="4"/>
          <w:w w:val="103"/>
          <w:kern w:val="14"/>
          <w:sz w:val="20"/>
        </w:rPr>
        <w:tab/>
        <w:t>Expenses include disbursements and accruals for goods received and services rendered, and the use or impairment of assets, dependent on the implementation arrangement.</w:t>
      </w:r>
    </w:p>
    <w:p w:rsidR="00634F26" w:rsidRPr="00AD7765" w:rsidRDefault="00634F26" w:rsidP="00634F26">
      <w:pPr>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Funds administered by UNDP: </w:t>
      </w:r>
      <w:r w:rsidRPr="00AD7765">
        <w:rPr>
          <w:rFonts w:ascii="Times New Roman" w:hAnsi="Times New Roman"/>
          <w:spacing w:val="4"/>
          <w:w w:val="103"/>
          <w:kern w:val="14"/>
          <w:sz w:val="20"/>
        </w:rPr>
        <w:t xml:space="preserve">Funds established by the General Assembly and administered by UNDP.  United Nations Capital Development Fund (UNCDF) is the only fund administered by UNDP. </w:t>
      </w:r>
    </w:p>
    <w:p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Government contributions towards local office costs</w:t>
      </w:r>
      <w:r w:rsidRPr="00AD7765">
        <w:rPr>
          <w:rFonts w:ascii="Times New Roman" w:hAnsi="Times New Roman"/>
          <w:spacing w:val="4"/>
          <w:w w:val="103"/>
          <w:kern w:val="14"/>
          <w:sz w:val="20"/>
        </w:rPr>
        <w:t xml:space="preserve"> </w:t>
      </w:r>
      <w:r w:rsidRPr="00AD7765">
        <w:rPr>
          <w:rFonts w:ascii="Times New Roman" w:hAnsi="Times New Roman"/>
          <w:i/>
          <w:spacing w:val="4"/>
          <w:w w:val="103"/>
          <w:kern w:val="14"/>
          <w:sz w:val="20"/>
        </w:rPr>
        <w:t xml:space="preserve">(GLOC): </w:t>
      </w:r>
      <w:r w:rsidRPr="00AD7765">
        <w:rPr>
          <w:rFonts w:ascii="Times New Roman" w:hAnsi="Times New Roman"/>
          <w:spacing w:val="4"/>
          <w:w w:val="103"/>
          <w:kern w:val="14"/>
          <w:sz w:val="20"/>
        </w:rPr>
        <w:t>Contributions in the f</w:t>
      </w:r>
      <w:r w:rsidR="000562BE" w:rsidRPr="00AD7765">
        <w:rPr>
          <w:rFonts w:ascii="Times New Roman" w:hAnsi="Times New Roman"/>
          <w:spacing w:val="4"/>
          <w:w w:val="103"/>
          <w:kern w:val="14"/>
          <w:sz w:val="20"/>
        </w:rPr>
        <w:t>orm of cash, or by provision in-</w:t>
      </w:r>
      <w:r w:rsidRPr="00AD7765">
        <w:rPr>
          <w:rFonts w:ascii="Times New Roman" w:hAnsi="Times New Roman"/>
          <w:spacing w:val="4"/>
          <w:w w:val="103"/>
          <w:kern w:val="14"/>
          <w:sz w:val="20"/>
        </w:rPr>
        <w:t>kind of specific goods, services and facilities that a host Government makes towards meeting the expenses of maintaining a UNDP country office.</w:t>
      </w:r>
    </w:p>
    <w:p w:rsidR="000E3632"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lastRenderedPageBreak/>
        <w:t xml:space="preserve">Institutional budget: </w:t>
      </w:r>
      <w:r w:rsidRPr="00AD7765">
        <w:rPr>
          <w:rFonts w:ascii="Times New Roman" w:hAnsi="Times New Roman"/>
          <w:spacing w:val="4"/>
          <w:w w:val="103"/>
          <w:kern w:val="14"/>
          <w:sz w:val="20"/>
          <w:lang w:val="en-GB"/>
        </w:rPr>
        <w:t xml:space="preserve">The institutional </w:t>
      </w:r>
      <w:r w:rsidR="00333924">
        <w:rPr>
          <w:rFonts w:ascii="Times New Roman" w:hAnsi="Times New Roman"/>
          <w:spacing w:val="4"/>
          <w:w w:val="103"/>
          <w:kern w:val="14"/>
          <w:sz w:val="20"/>
          <w:lang w:val="en-GB"/>
        </w:rPr>
        <w:t>component of the integrated budget covering activities over a period based on a set of defined results from the strategic plan.</w:t>
      </w:r>
      <w:r w:rsidR="00333924" w:rsidRPr="00AD7765" w:rsidDel="00333924">
        <w:rPr>
          <w:rFonts w:ascii="Times New Roman" w:hAnsi="Times New Roman"/>
          <w:spacing w:val="4"/>
          <w:w w:val="103"/>
          <w:kern w:val="14"/>
          <w:sz w:val="20"/>
          <w:lang w:val="en-GB"/>
        </w:rPr>
        <w:t xml:space="preserve"> </w:t>
      </w:r>
      <w:r w:rsidR="00662761" w:rsidRPr="00AD7765">
        <w:rPr>
          <w:rFonts w:ascii="Times New Roman" w:hAnsi="Times New Roman"/>
          <w:i/>
          <w:spacing w:val="4"/>
          <w:w w:val="103"/>
          <w:kern w:val="14"/>
          <w:sz w:val="20"/>
          <w:lang w:val="en-GB"/>
        </w:rPr>
        <w:t>IPSAS:</w:t>
      </w:r>
      <w:r w:rsidR="00662761" w:rsidRPr="00AD7765">
        <w:rPr>
          <w:rFonts w:ascii="Times New Roman" w:hAnsi="Times New Roman"/>
          <w:spacing w:val="4"/>
          <w:w w:val="103"/>
          <w:kern w:val="14"/>
          <w:sz w:val="20"/>
          <w:lang w:val="en-GB"/>
        </w:rPr>
        <w:t xml:space="preserve"> </w:t>
      </w:r>
      <w:r w:rsidR="00662761" w:rsidRPr="00AD7765">
        <w:rPr>
          <w:rFonts w:ascii="Times New Roman" w:hAnsi="Times New Roman"/>
          <w:i/>
          <w:spacing w:val="4"/>
          <w:w w:val="103"/>
          <w:kern w:val="14"/>
          <w:sz w:val="20"/>
          <w:lang w:val="en-GB"/>
        </w:rPr>
        <w:t>International Public Sector Accounting Standards</w:t>
      </w:r>
      <w:r w:rsidR="00662761" w:rsidRPr="00AD7765">
        <w:rPr>
          <w:rFonts w:ascii="Times New Roman" w:hAnsi="Times New Roman"/>
          <w:spacing w:val="4"/>
          <w:w w:val="103"/>
          <w:kern w:val="14"/>
          <w:sz w:val="20"/>
          <w:lang w:val="en-GB"/>
        </w:rPr>
        <w:t xml:space="preserve">: Independently developed accounting standards which have been considered the best accounting practice by public sector </w:t>
      </w:r>
      <w:r w:rsidR="00C23D9B">
        <w:rPr>
          <w:rFonts w:ascii="Times New Roman" w:hAnsi="Times New Roman"/>
          <w:spacing w:val="4"/>
          <w:w w:val="103"/>
          <w:kern w:val="14"/>
          <w:sz w:val="20"/>
          <w:lang w:val="en-GB"/>
        </w:rPr>
        <w:t>orga</w:t>
      </w:r>
      <w:r w:rsidR="00A76E0F">
        <w:rPr>
          <w:rFonts w:ascii="Times New Roman" w:hAnsi="Times New Roman"/>
          <w:spacing w:val="4"/>
          <w:w w:val="103"/>
          <w:kern w:val="14"/>
          <w:sz w:val="20"/>
          <w:lang w:val="en-GB"/>
        </w:rPr>
        <w:t>nisation</w:t>
      </w:r>
      <w:r w:rsidR="00662761" w:rsidRPr="00AD7765">
        <w:rPr>
          <w:rFonts w:ascii="Times New Roman" w:hAnsi="Times New Roman"/>
          <w:spacing w:val="4"/>
          <w:w w:val="103"/>
          <w:kern w:val="14"/>
          <w:sz w:val="20"/>
          <w:lang w:val="en-GB"/>
        </w:rPr>
        <w:t xml:space="preserve">s. </w:t>
      </w:r>
    </w:p>
    <w:p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color w:val="000000"/>
          <w:spacing w:val="4"/>
          <w:w w:val="103"/>
          <w:kern w:val="14"/>
          <w:sz w:val="20"/>
        </w:rPr>
      </w:pPr>
      <w:r w:rsidRPr="00AD7765">
        <w:rPr>
          <w:rFonts w:ascii="Times New Roman" w:hAnsi="Times New Roman"/>
          <w:i/>
          <w:color w:val="000000"/>
          <w:spacing w:val="4"/>
          <w:w w:val="103"/>
          <w:kern w:val="14"/>
          <w:sz w:val="20"/>
        </w:rPr>
        <w:t xml:space="preserve">Joint programmes: </w:t>
      </w:r>
      <w:r w:rsidRPr="00AD7765">
        <w:rPr>
          <w:rFonts w:ascii="Times New Roman" w:hAnsi="Times New Roman"/>
          <w:color w:val="000000"/>
          <w:spacing w:val="4"/>
          <w:w w:val="103"/>
          <w:kern w:val="14"/>
          <w:sz w:val="20"/>
        </w:rPr>
        <w:t xml:space="preserve">Collective efforts through which United Nations </w:t>
      </w:r>
      <w:r w:rsidR="00446F05">
        <w:rPr>
          <w:rFonts w:ascii="Times New Roman" w:hAnsi="Times New Roman"/>
          <w:color w:val="000000"/>
          <w:spacing w:val="4"/>
          <w:w w:val="103"/>
          <w:kern w:val="14"/>
          <w:sz w:val="20"/>
        </w:rPr>
        <w:t>organizations</w:t>
      </w:r>
      <w:r w:rsidRPr="00AD7765">
        <w:rPr>
          <w:rFonts w:ascii="Times New Roman" w:hAnsi="Times New Roman"/>
          <w:color w:val="000000"/>
          <w:spacing w:val="4"/>
          <w:w w:val="103"/>
          <w:kern w:val="14"/>
          <w:sz w:val="20"/>
        </w:rPr>
        <w:t xml:space="preserve"> and national partners work together to prepare, implement, monitor and evaluate the activities aimed at effectively and efficiently achieving the Millennium Development Goals and other international commitments arising from United Nations conferences, summits, conventions and human rights instruments.</w:t>
      </w:r>
    </w:p>
    <w:p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Local sources: </w:t>
      </w:r>
      <w:r w:rsidRPr="00AD7765">
        <w:rPr>
          <w:rFonts w:ascii="Times New Roman" w:hAnsi="Times New Roman"/>
          <w:spacing w:val="4"/>
          <w:w w:val="103"/>
          <w:kern w:val="14"/>
          <w:sz w:val="20"/>
        </w:rPr>
        <w:t>Programme-country Governments, which contribute to other resources.</w:t>
      </w:r>
    </w:p>
    <w:p w:rsidR="00B1400D" w:rsidRPr="00AD7765" w:rsidRDefault="00B1400D" w:rsidP="00B1400D">
      <w:pPr>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bCs/>
          <w:i/>
          <w:spacing w:val="4"/>
          <w:w w:val="103"/>
          <w:kern w:val="14"/>
          <w:sz w:val="20"/>
        </w:rPr>
        <w:t>Management activities:</w:t>
      </w:r>
      <w:r w:rsidRPr="00AD7765">
        <w:rPr>
          <w:rFonts w:ascii="Times New Roman" w:hAnsi="Times New Roman"/>
          <w:bCs/>
          <w:spacing w:val="4"/>
          <w:w w:val="103"/>
          <w:kern w:val="14"/>
          <w:sz w:val="20"/>
        </w:rPr>
        <w:t xml:space="preserve"> </w:t>
      </w:r>
      <w:r w:rsidRPr="00AD7765">
        <w:rPr>
          <w:rFonts w:ascii="Times New Roman" w:hAnsi="Times New Roman"/>
          <w:spacing w:val="4"/>
          <w:w w:val="103"/>
          <w:kern w:val="14"/>
          <w:sz w:val="20"/>
          <w:lang w:val="en-GB"/>
        </w:rPr>
        <w:t xml:space="preserve">Activities whose primary function is the promotion of the identity, direction and well-being of an </w:t>
      </w:r>
      <w:r w:rsidR="00C23D9B">
        <w:rPr>
          <w:rFonts w:ascii="Times New Roman" w:hAnsi="Times New Roman"/>
          <w:spacing w:val="4"/>
          <w:w w:val="103"/>
          <w:kern w:val="14"/>
          <w:sz w:val="20"/>
          <w:lang w:val="en-GB"/>
        </w:rPr>
        <w:t>organisation</w:t>
      </w:r>
      <w:r w:rsidRPr="00AD7765">
        <w:rPr>
          <w:rFonts w:ascii="Times New Roman" w:hAnsi="Times New Roman"/>
          <w:spacing w:val="4"/>
          <w:w w:val="103"/>
          <w:kern w:val="14"/>
          <w:sz w:val="20"/>
          <w:lang w:val="en-GB"/>
        </w:rPr>
        <w:t>. These include executive direction, representation, external relations and partnerships, corporate communications, legal, oversight, audit, corporate evaluation, information technology, finance, administration, security and human resources.</w:t>
      </w:r>
    </w:p>
    <w:p w:rsidR="00634F26" w:rsidRPr="00AD7765" w:rsidRDefault="00634F26" w:rsidP="00634F26">
      <w:pPr>
        <w:spacing w:after="120"/>
        <w:ind w:left="1267" w:right="1267"/>
        <w:jc w:val="both"/>
        <w:rPr>
          <w:rFonts w:ascii="Times New Roman" w:hAnsi="Times New Roman"/>
          <w:color w:val="000000"/>
          <w:spacing w:val="4"/>
          <w:w w:val="103"/>
          <w:kern w:val="14"/>
          <w:sz w:val="20"/>
        </w:rPr>
      </w:pPr>
      <w:r w:rsidRPr="00AD7765">
        <w:rPr>
          <w:rFonts w:ascii="Times New Roman" w:hAnsi="Times New Roman"/>
          <w:i/>
          <w:spacing w:val="4"/>
          <w:w w:val="103"/>
          <w:kern w:val="14"/>
          <w:sz w:val="20"/>
          <w:shd w:val="clear" w:color="auto" w:fill="FFFFFF"/>
        </w:rPr>
        <w:t>Management service agreements</w:t>
      </w:r>
      <w:r w:rsidRPr="00AD7765">
        <w:rPr>
          <w:rFonts w:ascii="Times New Roman" w:hAnsi="Times New Roman"/>
          <w:spacing w:val="4"/>
          <w:w w:val="103"/>
          <w:kern w:val="14"/>
          <w:sz w:val="20"/>
          <w:shd w:val="clear" w:color="auto" w:fill="FFFFFF"/>
        </w:rPr>
        <w:t xml:space="preserve"> (MSAs):</w:t>
      </w:r>
      <w:r w:rsidRPr="00AD7765">
        <w:rPr>
          <w:rFonts w:ascii="Times New Roman" w:hAnsi="Times New Roman"/>
          <w:color w:val="000000"/>
          <w:spacing w:val="4"/>
          <w:w w:val="103"/>
          <w:kern w:val="14"/>
          <w:sz w:val="20"/>
        </w:rPr>
        <w:t xml:space="preserve"> Management service agreement (MSA) signed with a donor to prepare for receiving contributions to deliver management and other support services to recipient governments under a specific programme or project.</w:t>
      </w:r>
    </w:p>
    <w:p w:rsidR="00634F26" w:rsidRPr="00AD7765" w:rsidRDefault="00634F26" w:rsidP="00634F26">
      <w:pPr>
        <w:spacing w:after="120"/>
        <w:ind w:left="1267" w:right="1267"/>
        <w:jc w:val="both"/>
        <w:rPr>
          <w:rFonts w:ascii="Times New Roman" w:hAnsi="Times New Roman"/>
          <w:sz w:val="20"/>
        </w:rPr>
      </w:pPr>
      <w:r w:rsidRPr="00AD7765">
        <w:rPr>
          <w:rFonts w:ascii="Times New Roman" w:hAnsi="Times New Roman"/>
          <w:i/>
          <w:sz w:val="20"/>
        </w:rPr>
        <w:t xml:space="preserve">Multilateral sources: </w:t>
      </w:r>
      <w:r w:rsidRPr="00C83B4C">
        <w:rPr>
          <w:rFonts w:ascii="Times New Roman" w:hAnsi="Times New Roman"/>
          <w:sz w:val="20"/>
        </w:rPr>
        <w:t>M</w:t>
      </w:r>
      <w:r w:rsidRPr="00AD7765">
        <w:rPr>
          <w:rFonts w:ascii="Times New Roman" w:hAnsi="Times New Roman"/>
          <w:sz w:val="20"/>
        </w:rPr>
        <w:t xml:space="preserve">ultilateral partners, such as regional development banks, international financial institutions, United Nations </w:t>
      </w:r>
      <w:r w:rsidR="00446F05">
        <w:rPr>
          <w:rFonts w:ascii="Times New Roman" w:hAnsi="Times New Roman"/>
          <w:sz w:val="20"/>
        </w:rPr>
        <w:t>organizations</w:t>
      </w:r>
      <w:r w:rsidRPr="00AD7765">
        <w:rPr>
          <w:rFonts w:ascii="Times New Roman" w:hAnsi="Times New Roman"/>
          <w:sz w:val="20"/>
        </w:rPr>
        <w:t xml:space="preserve"> and the private sector, which contribute to other resources.</w:t>
      </w:r>
    </w:p>
    <w:p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Other expenses: </w:t>
      </w:r>
      <w:r w:rsidRPr="00AD7765">
        <w:rPr>
          <w:rFonts w:ascii="Times New Roman" w:hAnsi="Times New Roman"/>
          <w:iCs/>
          <w:spacing w:val="4"/>
          <w:w w:val="103"/>
          <w:kern w:val="14"/>
          <w:sz w:val="20"/>
        </w:rPr>
        <w:t>Expenses on activities other than those covered under the four broad cost classifications</w:t>
      </w:r>
      <w:r w:rsidRPr="00AD7765">
        <w:rPr>
          <w:rFonts w:ascii="Times New Roman" w:hAnsi="Times New Roman"/>
          <w:spacing w:val="4"/>
          <w:w w:val="103"/>
          <w:kern w:val="14"/>
          <w:sz w:val="20"/>
        </w:rPr>
        <w:t xml:space="preserve"> (i.e., development, management, United Nations development coordination and special purpose)</w:t>
      </w:r>
      <w:r w:rsidRPr="00AD7765">
        <w:rPr>
          <w:rFonts w:ascii="Times New Roman" w:hAnsi="Times New Roman"/>
          <w:iCs/>
          <w:spacing w:val="4"/>
          <w:w w:val="103"/>
          <w:kern w:val="14"/>
          <w:sz w:val="20"/>
        </w:rPr>
        <w:t xml:space="preserve">. </w:t>
      </w:r>
    </w:p>
    <w:p w:rsidR="00B1400D" w:rsidRPr="00AD7765" w:rsidRDefault="00B1400D" w:rsidP="00B140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Other resources: </w:t>
      </w:r>
      <w:r w:rsidRPr="00AD7765">
        <w:rPr>
          <w:rFonts w:ascii="Times New Roman" w:hAnsi="Times New Roman"/>
          <w:spacing w:val="4"/>
          <w:w w:val="103"/>
          <w:kern w:val="14"/>
          <w:sz w:val="20"/>
        </w:rPr>
        <w:t xml:space="preserve">Resources of a voluntarily funded </w:t>
      </w:r>
      <w:r w:rsidR="00446F05">
        <w:rPr>
          <w:rFonts w:ascii="Times New Roman" w:hAnsi="Times New Roman"/>
          <w:spacing w:val="4"/>
          <w:w w:val="103"/>
          <w:kern w:val="14"/>
          <w:sz w:val="20"/>
        </w:rPr>
        <w:t>organization</w:t>
      </w:r>
      <w:r w:rsidRPr="00AD7765">
        <w:rPr>
          <w:rFonts w:ascii="Times New Roman" w:hAnsi="Times New Roman"/>
          <w:spacing w:val="4"/>
          <w:w w:val="103"/>
          <w:kern w:val="14"/>
          <w:sz w:val="20"/>
        </w:rPr>
        <w:t xml:space="preserve"> that are received for a specific programme purpose and for the provision of specific services to third parties. Resources that fall under this category are: cost sharing, trust funds established by the Administrator, reimbursable support services and miscellaneous activities. The latter includes the United Nations Volunteers programme, management services agreements, Junior Professional Officer programme, reserve for field accommodation, and reimbursable services and special activities.</w:t>
      </w:r>
    </w:p>
    <w:p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Overall UNDP contributions: </w:t>
      </w:r>
      <w:r w:rsidRPr="00AD7765">
        <w:rPr>
          <w:rFonts w:ascii="Times New Roman" w:hAnsi="Times New Roman"/>
          <w:iCs/>
          <w:spacing w:val="4"/>
          <w:w w:val="103"/>
          <w:kern w:val="14"/>
          <w:sz w:val="20"/>
        </w:rPr>
        <w:t>Contribu</w:t>
      </w:r>
      <w:r w:rsidR="00C83B4C">
        <w:rPr>
          <w:rFonts w:ascii="Times New Roman" w:hAnsi="Times New Roman"/>
          <w:iCs/>
          <w:spacing w:val="4"/>
          <w:w w:val="103"/>
          <w:kern w:val="14"/>
          <w:sz w:val="20"/>
        </w:rPr>
        <w:t>tions to UNDP regular resources and</w:t>
      </w:r>
      <w:r w:rsidRPr="00AD7765">
        <w:rPr>
          <w:rFonts w:ascii="Times New Roman" w:hAnsi="Times New Roman"/>
          <w:iCs/>
          <w:spacing w:val="4"/>
          <w:w w:val="103"/>
          <w:kern w:val="14"/>
          <w:sz w:val="20"/>
        </w:rPr>
        <w:t xml:space="preserve"> other resources.</w:t>
      </w:r>
    </w:p>
    <w:p w:rsidR="00777C57" w:rsidRPr="00AD7765" w:rsidRDefault="00777C57" w:rsidP="00777C57">
      <w:pPr>
        <w:pStyle w:val="SingleTxt"/>
        <w:spacing w:line="240" w:lineRule="auto"/>
        <w:rPr>
          <w:lang w:val="en-US"/>
        </w:rPr>
      </w:pPr>
      <w:r w:rsidRPr="00AD7765">
        <w:rPr>
          <w:i/>
          <w:iCs/>
          <w:lang w:val="en-US"/>
        </w:rPr>
        <w:t xml:space="preserve">Regular resources: </w:t>
      </w:r>
      <w:r w:rsidR="00E36F99" w:rsidRPr="00AD7765">
        <w:rPr>
          <w:lang w:val="en-US"/>
        </w:rPr>
        <w:t>Resources of UNDP which</w:t>
      </w:r>
      <w:r w:rsidRPr="00AD7765">
        <w:rPr>
          <w:lang w:val="en-US"/>
        </w:rPr>
        <w:t xml:space="preserve"> are commingled and untied. They include pledges of contributions, contributions from governmental, intergovernmental or non-governmental sources, and related interest earnings and miscellaneous income.</w:t>
      </w:r>
    </w:p>
    <w:p w:rsidR="00662761" w:rsidRPr="00AD7765" w:rsidRDefault="00662761" w:rsidP="00662761">
      <w:pPr>
        <w:suppressAutoHyphens/>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Revenue: C</w:t>
      </w:r>
      <w:r w:rsidRPr="00AD7765">
        <w:rPr>
          <w:rFonts w:ascii="Times New Roman" w:hAnsi="Times New Roman"/>
          <w:bCs/>
          <w:spacing w:val="4"/>
          <w:w w:val="103"/>
          <w:kern w:val="14"/>
          <w:sz w:val="20"/>
        </w:rPr>
        <w:t>onsists of: (a) contributions, (see below); (b) revenue from exchange transactions; (c) investment revenue; and (d) other revenue.</w:t>
      </w:r>
    </w:p>
    <w:p w:rsidR="00662761" w:rsidRPr="00AD7765" w:rsidRDefault="00662761" w:rsidP="00662761">
      <w:pPr>
        <w:suppressAutoHyphens/>
        <w:spacing w:after="120"/>
        <w:ind w:left="1440" w:right="1267"/>
        <w:jc w:val="both"/>
        <w:rPr>
          <w:rFonts w:ascii="Times New Roman" w:hAnsi="Times New Roman"/>
          <w:bCs/>
          <w:spacing w:val="4"/>
          <w:w w:val="103"/>
          <w:kern w:val="14"/>
          <w:sz w:val="20"/>
        </w:rPr>
      </w:pPr>
      <w:r w:rsidRPr="00AD7765">
        <w:rPr>
          <w:rFonts w:ascii="Times New Roman" w:hAnsi="Times New Roman"/>
          <w:spacing w:val="4"/>
          <w:w w:val="103"/>
          <w:kern w:val="14"/>
          <w:sz w:val="20"/>
        </w:rPr>
        <w:t xml:space="preserve">(a) </w:t>
      </w:r>
      <w:r w:rsidRPr="00AD7765">
        <w:rPr>
          <w:rFonts w:ascii="Times New Roman" w:hAnsi="Times New Roman"/>
          <w:spacing w:val="4"/>
          <w:w w:val="103"/>
          <w:kern w:val="14"/>
          <w:sz w:val="20"/>
        </w:rPr>
        <w:tab/>
      </w:r>
      <w:r w:rsidR="00864721">
        <w:rPr>
          <w:rFonts w:ascii="Times New Roman" w:hAnsi="Times New Roman"/>
          <w:spacing w:val="4"/>
          <w:w w:val="103"/>
          <w:kern w:val="14"/>
          <w:sz w:val="20"/>
          <w:lang w:val="en-GB"/>
        </w:rPr>
        <w:t>C</w:t>
      </w:r>
      <w:r w:rsidRPr="00AD7765">
        <w:rPr>
          <w:rFonts w:ascii="Times New Roman" w:hAnsi="Times New Roman"/>
          <w:bCs/>
          <w:i/>
          <w:spacing w:val="4"/>
          <w:w w:val="103"/>
          <w:kern w:val="14"/>
          <w:sz w:val="20"/>
        </w:rPr>
        <w:t>ontributions:</w:t>
      </w:r>
      <w:r w:rsidR="00F00B73" w:rsidRPr="00AD7765">
        <w:rPr>
          <w:rFonts w:ascii="Times New Roman" w:hAnsi="Times New Roman"/>
          <w:bCs/>
          <w:spacing w:val="4"/>
          <w:w w:val="103"/>
          <w:kern w:val="14"/>
          <w:sz w:val="20"/>
        </w:rPr>
        <w:t xml:space="preserve"> </w:t>
      </w:r>
      <w:r w:rsidR="00A2035A" w:rsidRPr="00AD7765">
        <w:rPr>
          <w:rFonts w:ascii="Times New Roman" w:hAnsi="Times New Roman"/>
          <w:bCs/>
          <w:spacing w:val="4"/>
          <w:w w:val="103"/>
          <w:kern w:val="14"/>
          <w:sz w:val="20"/>
        </w:rPr>
        <w:t>C</w:t>
      </w:r>
      <w:r w:rsidR="00F00B73" w:rsidRPr="00AD7765">
        <w:rPr>
          <w:rFonts w:ascii="Times New Roman" w:hAnsi="Times New Roman"/>
          <w:bCs/>
          <w:spacing w:val="4"/>
          <w:w w:val="103"/>
          <w:kern w:val="14"/>
          <w:sz w:val="20"/>
        </w:rPr>
        <w:t>ontributions</w:t>
      </w:r>
      <w:r w:rsidRPr="00AD7765">
        <w:rPr>
          <w:rFonts w:ascii="Times New Roman" w:hAnsi="Times New Roman"/>
          <w:bCs/>
          <w:spacing w:val="4"/>
          <w:w w:val="103"/>
          <w:kern w:val="14"/>
          <w:sz w:val="20"/>
        </w:rPr>
        <w:t xml:space="preserve"> are </w:t>
      </w:r>
      <w:r w:rsidR="00446F05">
        <w:rPr>
          <w:rFonts w:ascii="Times New Roman" w:hAnsi="Times New Roman"/>
          <w:bCs/>
          <w:spacing w:val="4"/>
          <w:w w:val="103"/>
          <w:kern w:val="14"/>
          <w:sz w:val="20"/>
        </w:rPr>
        <w:t>recognize</w:t>
      </w:r>
      <w:r w:rsidR="00446F05" w:rsidRPr="00AD7765">
        <w:rPr>
          <w:rFonts w:ascii="Times New Roman" w:hAnsi="Times New Roman"/>
          <w:bCs/>
          <w:spacing w:val="4"/>
          <w:w w:val="103"/>
          <w:kern w:val="14"/>
          <w:sz w:val="20"/>
        </w:rPr>
        <w:t>d</w:t>
      </w:r>
      <w:r w:rsidRPr="00AD7765">
        <w:rPr>
          <w:rFonts w:ascii="Times New Roman" w:hAnsi="Times New Roman"/>
          <w:bCs/>
          <w:spacing w:val="4"/>
          <w:w w:val="103"/>
          <w:kern w:val="14"/>
          <w:sz w:val="20"/>
        </w:rPr>
        <w:t xml:space="preserve"> when contribution agreements are signed, or cash is received where no contribution agreement is required.  The ‘net’ amounts are shown net of returns to donors, and transfers to other funds of unused contributions. Voluntary contributions may also include in-kind contributions and GLOC cash contributions provided by programme country governments. </w:t>
      </w:r>
    </w:p>
    <w:p w:rsidR="00662761" w:rsidRPr="00AD7765" w:rsidRDefault="00662761" w:rsidP="00662761">
      <w:pPr>
        <w:suppressAutoHyphens/>
        <w:autoSpaceDE w:val="0"/>
        <w:autoSpaceDN w:val="0"/>
        <w:adjustRightInd w:val="0"/>
        <w:spacing w:after="120"/>
        <w:ind w:left="1440" w:right="1267"/>
        <w:jc w:val="both"/>
        <w:rPr>
          <w:rFonts w:ascii="Times New Roman" w:hAnsi="Times New Roman"/>
          <w:spacing w:val="4"/>
          <w:w w:val="103"/>
          <w:kern w:val="14"/>
          <w:sz w:val="20"/>
        </w:rPr>
      </w:pPr>
      <w:r w:rsidRPr="00AD7765">
        <w:rPr>
          <w:rFonts w:ascii="Times New Roman" w:hAnsi="Times New Roman"/>
          <w:i/>
          <w:spacing w:val="4"/>
          <w:w w:val="103"/>
          <w:kern w:val="14"/>
          <w:sz w:val="20"/>
        </w:rPr>
        <w:t>(b)</w:t>
      </w:r>
      <w:r w:rsidRPr="00AD7765">
        <w:rPr>
          <w:rFonts w:ascii="Times New Roman" w:hAnsi="Times New Roman"/>
          <w:i/>
          <w:spacing w:val="4"/>
          <w:w w:val="103"/>
          <w:kern w:val="14"/>
          <w:sz w:val="20"/>
        </w:rPr>
        <w:tab/>
        <w:t xml:space="preserve"> Revenue from exchange transactions:</w:t>
      </w:r>
      <w:r w:rsidRPr="00AD7765">
        <w:rPr>
          <w:rFonts w:ascii="Times New Roman" w:hAnsi="Times New Roman"/>
          <w:spacing w:val="4"/>
          <w:w w:val="103"/>
          <w:kern w:val="14"/>
          <w:sz w:val="20"/>
        </w:rPr>
        <w:t xml:space="preserve"> UNDP receives miscellaneous revenue from the provision of services, such as procurement, training, and other services to governments, UN agencies and other parties. These are referred to as </w:t>
      </w:r>
      <w:r w:rsidRPr="00AD7765">
        <w:rPr>
          <w:rFonts w:ascii="Times New Roman" w:hAnsi="Times New Roman"/>
          <w:spacing w:val="4"/>
          <w:w w:val="103"/>
          <w:kern w:val="14"/>
          <w:sz w:val="20"/>
        </w:rPr>
        <w:lastRenderedPageBreak/>
        <w:t xml:space="preserve">exchange transactions, and revenue is recorded when the goods or services have been delivered by UNDP. </w:t>
      </w:r>
    </w:p>
    <w:p w:rsidR="00662761" w:rsidRPr="00AD7765" w:rsidRDefault="00662761" w:rsidP="00662761">
      <w:pPr>
        <w:suppressAutoHyphens/>
        <w:autoSpaceDE w:val="0"/>
        <w:autoSpaceDN w:val="0"/>
        <w:adjustRightInd w:val="0"/>
        <w:spacing w:after="120"/>
        <w:ind w:left="720" w:right="1267" w:firstLine="720"/>
        <w:jc w:val="both"/>
        <w:rPr>
          <w:rFonts w:ascii="Times New Roman" w:eastAsia="Calibri" w:hAnsi="Times New Roman"/>
          <w:spacing w:val="4"/>
          <w:w w:val="103"/>
          <w:kern w:val="14"/>
          <w:sz w:val="20"/>
        </w:rPr>
      </w:pPr>
      <w:r w:rsidRPr="00AD7765">
        <w:rPr>
          <w:rFonts w:ascii="Times New Roman" w:hAnsi="Times New Roman"/>
          <w:i/>
          <w:spacing w:val="4"/>
          <w:w w:val="103"/>
          <w:kern w:val="14"/>
          <w:sz w:val="20"/>
        </w:rPr>
        <w:t xml:space="preserve">(c) </w:t>
      </w:r>
      <w:r w:rsidRPr="00AD7765">
        <w:rPr>
          <w:rFonts w:ascii="Times New Roman" w:hAnsi="Times New Roman"/>
          <w:i/>
          <w:spacing w:val="4"/>
          <w:w w:val="103"/>
          <w:kern w:val="14"/>
          <w:sz w:val="20"/>
        </w:rPr>
        <w:tab/>
        <w:t>Investment revenue:</w:t>
      </w:r>
      <w:r w:rsidRPr="00AD7765">
        <w:rPr>
          <w:rFonts w:ascii="Times New Roman" w:eastAsia="Calibri" w:hAnsi="Times New Roman"/>
          <w:spacing w:val="4"/>
          <w:w w:val="103"/>
          <w:kern w:val="14"/>
          <w:sz w:val="20"/>
        </w:rPr>
        <w:t xml:space="preserve"> interest inflows from UNDP investments </w:t>
      </w:r>
    </w:p>
    <w:p w:rsidR="00662761" w:rsidRPr="00AD7765" w:rsidRDefault="00662761" w:rsidP="00662761">
      <w:pPr>
        <w:suppressAutoHyphens/>
        <w:autoSpaceDE w:val="0"/>
        <w:autoSpaceDN w:val="0"/>
        <w:adjustRightInd w:val="0"/>
        <w:spacing w:after="120"/>
        <w:ind w:left="1440" w:right="1267"/>
        <w:jc w:val="both"/>
        <w:rPr>
          <w:rFonts w:ascii="Times New Roman" w:hAnsi="Times New Roman"/>
          <w:bCs/>
          <w:i/>
          <w:spacing w:val="4"/>
          <w:w w:val="103"/>
          <w:kern w:val="14"/>
          <w:sz w:val="20"/>
        </w:rPr>
      </w:pPr>
      <w:r w:rsidRPr="00AD7765">
        <w:rPr>
          <w:rFonts w:ascii="Times New Roman" w:hAnsi="Times New Roman"/>
          <w:i/>
          <w:spacing w:val="4"/>
          <w:w w:val="103"/>
          <w:kern w:val="14"/>
          <w:sz w:val="20"/>
        </w:rPr>
        <w:t xml:space="preserve">(d) </w:t>
      </w:r>
      <w:r w:rsidRPr="00AD7765">
        <w:rPr>
          <w:rFonts w:ascii="Times New Roman" w:hAnsi="Times New Roman"/>
          <w:i/>
          <w:spacing w:val="4"/>
          <w:w w:val="103"/>
          <w:kern w:val="14"/>
          <w:sz w:val="20"/>
        </w:rPr>
        <w:tab/>
        <w:t>Other r</w:t>
      </w:r>
      <w:bookmarkStart w:id="0" w:name="_GoBack"/>
      <w:bookmarkEnd w:id="0"/>
      <w:r w:rsidRPr="00AD7765">
        <w:rPr>
          <w:rFonts w:ascii="Times New Roman" w:hAnsi="Times New Roman"/>
          <w:i/>
          <w:spacing w:val="4"/>
          <w:w w:val="103"/>
          <w:kern w:val="14"/>
          <w:sz w:val="20"/>
        </w:rPr>
        <w:t xml:space="preserve">evenue: </w:t>
      </w:r>
      <w:r w:rsidR="00F00B73" w:rsidRPr="00AD7765">
        <w:rPr>
          <w:rFonts w:ascii="Times New Roman" w:hAnsi="Times New Roman"/>
          <w:i/>
          <w:spacing w:val="4"/>
          <w:w w:val="103"/>
          <w:kern w:val="14"/>
          <w:sz w:val="20"/>
        </w:rPr>
        <w:t>R</w:t>
      </w:r>
      <w:r w:rsidRPr="00AD7765">
        <w:rPr>
          <w:rFonts w:ascii="Times New Roman" w:hAnsi="Times New Roman"/>
          <w:spacing w:val="4"/>
          <w:w w:val="103"/>
          <w:kern w:val="14"/>
          <w:sz w:val="20"/>
        </w:rPr>
        <w:t>evenue from sources other than contributions and investments, for example, foreign exchange gains, common services and miscellaneous revenue, and General Management Services (GMS) fees.</w:t>
      </w:r>
    </w:p>
    <w:p w:rsidR="00454FCC" w:rsidRPr="00454FCC" w:rsidRDefault="0026282B" w:rsidP="00454FCC">
      <w:pPr>
        <w:ind w:left="1260" w:right="1260"/>
        <w:jc w:val="both"/>
        <w:rPr>
          <w:rFonts w:ascii="Times New Roman" w:hAnsi="Times New Roman"/>
          <w:sz w:val="20"/>
          <w:lang w:val="en-GB" w:eastAsia="en-GB"/>
        </w:rPr>
      </w:pPr>
      <w:r w:rsidRPr="0026282B">
        <w:rPr>
          <w:rFonts w:ascii="Times New Roman" w:hAnsi="Times New Roman"/>
          <w:bCs/>
          <w:i/>
          <w:sz w:val="20"/>
          <w:lang w:val="en-GB" w:eastAsia="en-GB"/>
        </w:rPr>
        <w:t>Renewable Energy Certificates (RECs</w:t>
      </w:r>
      <w:r>
        <w:rPr>
          <w:rFonts w:ascii="Times New Roman" w:hAnsi="Times New Roman"/>
          <w:bCs/>
          <w:i/>
          <w:sz w:val="20"/>
          <w:lang w:val="en-GB" w:eastAsia="en-GB"/>
        </w:rPr>
        <w:t>:</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 xml:space="preserve">Technically, HQ sources electricity that was generated by combustion of fossil fuels and nuclear power. For technical reasons, non-fossil fuel emitting electricity generation options in New York City are not presently available.  Instead, consumption of conventionally generated electricity may be complemented with the purchase of an equivalent amount (kW-hrs) of Renewable Energy Certificates. RECs are </w:t>
      </w:r>
      <w:r w:rsidR="00454FCC" w:rsidRPr="00454FCC">
        <w:rPr>
          <w:rFonts w:ascii="Times New Roman" w:hAnsi="Times New Roman"/>
          <w:sz w:val="20"/>
          <w:lang w:val="en" w:eastAsia="en-GB"/>
        </w:rPr>
        <w:t xml:space="preserve">property rights to the environmental, social, and other non-power qualities of renewable electricity generation which can be sold separately from the physical electricity and hence enables the switching to ‘green’ power in locations such as NY where green power options are not available. In short, by buying RECs, we enable an increase in renewable power generation in other parts of the US equivalent to our local consumption of fossil fuel generated power.  For more </w:t>
      </w:r>
      <w:r w:rsidR="00454FCC" w:rsidRPr="00454FCC">
        <w:rPr>
          <w:rFonts w:ascii="Times New Roman" w:hAnsi="Times New Roman"/>
          <w:sz w:val="20"/>
          <w:lang w:val="en-GB" w:eastAsia="en-GB"/>
        </w:rPr>
        <w:t xml:space="preserve">detailed information on how the mechanism works see </w:t>
      </w:r>
      <w:hyperlink r:id="rId13" w:history="1">
        <w:r w:rsidR="00454FCC" w:rsidRPr="00454FCC">
          <w:rPr>
            <w:rStyle w:val="Hyperlink"/>
            <w:rFonts w:ascii="Times New Roman" w:hAnsi="Times New Roman"/>
            <w:sz w:val="20"/>
            <w:lang w:val="en-GB" w:eastAsia="en-GB"/>
          </w:rPr>
          <w:t>http://www.epa.gov/greenpower/gpmarket/rec.htm</w:t>
        </w:r>
      </w:hyperlink>
    </w:p>
    <w:p w:rsidR="0026282B" w:rsidRPr="0026282B" w:rsidRDefault="0026282B" w:rsidP="0026282B">
      <w:pPr>
        <w:ind w:left="1260" w:right="1260"/>
        <w:jc w:val="both"/>
        <w:rPr>
          <w:rFonts w:ascii="Times New Roman" w:hAnsi="Times New Roman"/>
          <w:color w:val="1F497D"/>
          <w:sz w:val="20"/>
          <w:lang w:val="en-GB" w:eastAsia="en-GB"/>
        </w:rPr>
      </w:pPr>
    </w:p>
    <w:p w:rsidR="00B1400D" w:rsidRPr="00AD7765" w:rsidRDefault="00634F26" w:rsidP="00B1400D">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Special purpose activities:  </w:t>
      </w:r>
      <w:r w:rsidR="00B1400D" w:rsidRPr="00AD7765">
        <w:rPr>
          <w:rFonts w:ascii="Times New Roman" w:hAnsi="Times New Roman"/>
          <w:bCs/>
          <w:spacing w:val="4"/>
          <w:w w:val="103"/>
          <w:kern w:val="14"/>
          <w:sz w:val="20"/>
        </w:rPr>
        <w:t>Activities and associated costs of (a) capital investments; and (b) non-UNDP operations administered by UNDP.</w:t>
      </w:r>
    </w:p>
    <w:p w:rsidR="00634F26" w:rsidRPr="00AD7765" w:rsidRDefault="00634F26" w:rsidP="00634F26">
      <w:pPr>
        <w:suppressAutoHyphens/>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United Nations development coordination</w:t>
      </w:r>
      <w:r w:rsidR="004A48BC">
        <w:rPr>
          <w:rFonts w:ascii="Times New Roman" w:hAnsi="Times New Roman"/>
          <w:bCs/>
          <w:i/>
          <w:spacing w:val="4"/>
          <w:w w:val="103"/>
          <w:kern w:val="14"/>
          <w:sz w:val="20"/>
        </w:rPr>
        <w:t xml:space="preserve"> activities</w:t>
      </w:r>
      <w:r w:rsidRPr="00AD7765">
        <w:rPr>
          <w:rFonts w:ascii="Times New Roman" w:hAnsi="Times New Roman"/>
          <w:bCs/>
          <w:i/>
          <w:spacing w:val="4"/>
          <w:w w:val="103"/>
          <w:kern w:val="14"/>
          <w:sz w:val="20"/>
        </w:rPr>
        <w:t xml:space="preserve">: </w:t>
      </w:r>
      <w:r w:rsidRPr="00AD7765">
        <w:rPr>
          <w:rFonts w:ascii="Times New Roman" w:hAnsi="Times New Roman"/>
          <w:bCs/>
          <w:spacing w:val="4"/>
          <w:w w:val="103"/>
          <w:kern w:val="14"/>
          <w:sz w:val="20"/>
        </w:rPr>
        <w:t>Activities and associated costs supporting the coordination of development activities of the United Nations system.</w:t>
      </w:r>
    </w:p>
    <w:p w:rsidR="007F75AA" w:rsidRPr="00634F26" w:rsidRDefault="007F75AA" w:rsidP="00634F26">
      <w:pPr>
        <w:suppressAutoHyphens/>
        <w:spacing w:after="120"/>
        <w:ind w:left="1267" w:right="1267"/>
        <w:jc w:val="both"/>
        <w:rPr>
          <w:rFonts w:ascii="Times New Roman" w:hAnsi="Times New Roman"/>
          <w:bCs/>
          <w:spacing w:val="4"/>
          <w:w w:val="103"/>
          <w:kern w:val="14"/>
          <w:sz w:val="20"/>
        </w:rPr>
      </w:pPr>
    </w:p>
    <w:p w:rsidR="00C61BB2" w:rsidRDefault="006D3023" w:rsidP="00FF1588">
      <w:pPr>
        <w:pStyle w:val="GCHEADER"/>
        <w:tabs>
          <w:tab w:val="clear" w:pos="10440"/>
          <w:tab w:val="left" w:pos="-720"/>
        </w:tabs>
        <w:spacing w:line="283" w:lineRule="auto"/>
        <w:ind w:right="720"/>
        <w:jc w:val="center"/>
        <w:outlineLvl w:val="0"/>
        <w:rPr>
          <w:rFonts w:ascii="Courier" w:hAnsi="Courier"/>
          <w:b w:val="0"/>
          <w:spacing w:val="-2"/>
          <w:sz w:val="20"/>
        </w:rPr>
      </w:pPr>
      <w:r>
        <w:rPr>
          <w:rFonts w:ascii="Courier" w:hAnsi="Courier"/>
          <w:b w:val="0"/>
          <w:spacing w:val="-2"/>
          <w:sz w:val="20"/>
        </w:rPr>
        <w:t>_____________</w:t>
      </w:r>
    </w:p>
    <w:sectPr w:rsidR="00C61BB2" w:rsidSect="00B74D04">
      <w:endnotePr>
        <w:numFmt w:val="decimal"/>
      </w:endnotePr>
      <w:pgSz w:w="12240" w:h="15840"/>
      <w:pgMar w:top="1440" w:right="720" w:bottom="2074" w:left="152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89" w:rsidRDefault="00E35989">
      <w:pPr>
        <w:spacing w:line="20" w:lineRule="exact"/>
      </w:pPr>
    </w:p>
  </w:endnote>
  <w:endnote w:type="continuationSeparator" w:id="0">
    <w:p w:rsidR="00E35989" w:rsidRDefault="00E35989">
      <w:pPr>
        <w:pStyle w:val="GCHEADER"/>
      </w:pPr>
      <w:r>
        <w:rPr>
          <w:rFonts w:ascii="Courier" w:hAnsi="Courier"/>
          <w:b w:val="0"/>
          <w:sz w:val="24"/>
          <w:lang w:val="en-US"/>
        </w:rPr>
        <w:t xml:space="preserve"> </w:t>
      </w:r>
    </w:p>
  </w:endnote>
  <w:endnote w:type="continuationNotice" w:id="1">
    <w:p w:rsidR="00E35989" w:rsidRDefault="00E35989">
      <w:pPr>
        <w:pStyle w:val="GCHEADER"/>
      </w:pPr>
      <w:r>
        <w:rPr>
          <w:rFonts w:ascii="Courier" w:hAnsi="Courier"/>
          <w:b w:val="0"/>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B2" w:rsidRDefault="000A31B2">
    <w:pPr>
      <w:spacing w:before="140" w:line="100" w:lineRule="exact"/>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B2" w:rsidRDefault="000A31B2">
    <w:pPr>
      <w:pStyle w:val="GCHEADER"/>
      <w:tabs>
        <w:tab w:val="clear" w:pos="10440"/>
        <w:tab w:val="left" w:pos="-720"/>
      </w:tabs>
      <w:spacing w:line="283" w:lineRule="auto"/>
      <w:ind w:left="360" w:right="720"/>
      <w:rPr>
        <w:rFonts w:ascii="Courier" w:hAnsi="Courie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89" w:rsidRDefault="00E35989">
      <w:pPr>
        <w:pStyle w:val="GCHEADER"/>
      </w:pPr>
      <w:r>
        <w:rPr>
          <w:rFonts w:ascii="Courier" w:hAnsi="Courier"/>
          <w:b w:val="0"/>
          <w:sz w:val="24"/>
          <w:lang w:val="en-US"/>
        </w:rPr>
        <w:separator/>
      </w:r>
    </w:p>
  </w:footnote>
  <w:footnote w:type="continuationSeparator" w:id="0">
    <w:p w:rsidR="00E35989" w:rsidRDefault="00E3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B2" w:rsidRPr="002B5574" w:rsidRDefault="000A31B2">
    <w:pPr>
      <w:pStyle w:val="Header"/>
      <w:rPr>
        <w:rFonts w:ascii="Times New Roman" w:hAnsi="Times New Roman"/>
        <w:b/>
        <w:sz w:val="18"/>
        <w:szCs w:val="18"/>
      </w:rPr>
    </w:pPr>
    <w:r>
      <w:tab/>
    </w:r>
    <w:r>
      <w:tab/>
    </w:r>
    <w:r>
      <w:tab/>
    </w:r>
    <w:r>
      <w:tab/>
    </w:r>
    <w:r>
      <w:tab/>
    </w:r>
    <w:r w:rsidRPr="00FF1588">
      <w:rPr>
        <w:rFonts w:ascii="Times New Roman" w:hAnsi="Times New Roman"/>
        <w:b/>
        <w:sz w:val="18"/>
        <w:szCs w:val="17"/>
      </w:rPr>
      <w:t>Annexes to</w:t>
    </w:r>
    <w:r>
      <w:rPr>
        <w:rFonts w:ascii="Times New Roman" w:hAnsi="Times New Roman"/>
        <w:b/>
        <w:sz w:val="18"/>
        <w:szCs w:val="17"/>
      </w:rPr>
      <w:t xml:space="preserve"> </w:t>
    </w:r>
    <w:r w:rsidRPr="002B5574">
      <w:rPr>
        <w:rFonts w:ascii="Times New Roman" w:hAnsi="Times New Roman"/>
        <w:b/>
        <w:sz w:val="18"/>
        <w:szCs w:val="18"/>
      </w:rPr>
      <w:t>DP/2014/20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B2" w:rsidRPr="002B5574" w:rsidRDefault="000A31B2">
    <w:pPr>
      <w:pStyle w:val="Header"/>
      <w:rPr>
        <w:rFonts w:ascii="Times New Roman" w:hAnsi="Times New Roman"/>
        <w:sz w:val="18"/>
        <w:szCs w:val="17"/>
      </w:rPr>
    </w:pPr>
    <w:r>
      <w:rPr>
        <w:rFonts w:ascii="Times New Roman" w:hAnsi="Times New Roman"/>
        <w:b/>
        <w:sz w:val="18"/>
        <w:szCs w:val="17"/>
      </w:rPr>
      <w:t xml:space="preserve">Annexes to </w:t>
    </w:r>
    <w:r w:rsidRPr="002B5574">
      <w:rPr>
        <w:rFonts w:ascii="Times New Roman" w:hAnsi="Times New Roman"/>
        <w:b/>
        <w:sz w:val="18"/>
        <w:szCs w:val="17"/>
      </w:rPr>
      <w:t>DP/2014/20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64F16"/>
    <w:multiLevelType w:val="hybridMultilevel"/>
    <w:tmpl w:val="AABA37C2"/>
    <w:lvl w:ilvl="0" w:tplc="8638B96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37101B7B"/>
    <w:multiLevelType w:val="hybridMultilevel"/>
    <w:tmpl w:val="17E4F8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
    <w:nsid w:val="3DCF625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nsid w:val="4E2B09F2"/>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B"/>
    <w:rsid w:val="00003393"/>
    <w:rsid w:val="000328A2"/>
    <w:rsid w:val="00036CDB"/>
    <w:rsid w:val="00053A25"/>
    <w:rsid w:val="000562BE"/>
    <w:rsid w:val="00097C53"/>
    <w:rsid w:val="000A31B2"/>
    <w:rsid w:val="000E3632"/>
    <w:rsid w:val="000E611B"/>
    <w:rsid w:val="00111425"/>
    <w:rsid w:val="001349AD"/>
    <w:rsid w:val="001A326B"/>
    <w:rsid w:val="001B618D"/>
    <w:rsid w:val="001D30A4"/>
    <w:rsid w:val="001D37CF"/>
    <w:rsid w:val="001F375E"/>
    <w:rsid w:val="00242168"/>
    <w:rsid w:val="00255E46"/>
    <w:rsid w:val="002565A3"/>
    <w:rsid w:val="0026282B"/>
    <w:rsid w:val="002B5574"/>
    <w:rsid w:val="002C52BB"/>
    <w:rsid w:val="002D0A68"/>
    <w:rsid w:val="002F0D20"/>
    <w:rsid w:val="00333924"/>
    <w:rsid w:val="00357024"/>
    <w:rsid w:val="003718AF"/>
    <w:rsid w:val="00386B29"/>
    <w:rsid w:val="003C50B0"/>
    <w:rsid w:val="003E50D4"/>
    <w:rsid w:val="003E54F5"/>
    <w:rsid w:val="00446F05"/>
    <w:rsid w:val="00452955"/>
    <w:rsid w:val="00454FCC"/>
    <w:rsid w:val="00465709"/>
    <w:rsid w:val="004A48BC"/>
    <w:rsid w:val="004A50A0"/>
    <w:rsid w:val="004C44B5"/>
    <w:rsid w:val="005F192C"/>
    <w:rsid w:val="00634F26"/>
    <w:rsid w:val="006516C4"/>
    <w:rsid w:val="00662761"/>
    <w:rsid w:val="006B729E"/>
    <w:rsid w:val="006D3023"/>
    <w:rsid w:val="00773501"/>
    <w:rsid w:val="00777C57"/>
    <w:rsid w:val="00781BC7"/>
    <w:rsid w:val="007B7D6C"/>
    <w:rsid w:val="007C27E4"/>
    <w:rsid w:val="007F75AA"/>
    <w:rsid w:val="00807BC6"/>
    <w:rsid w:val="00813FBB"/>
    <w:rsid w:val="00864721"/>
    <w:rsid w:val="00881E2C"/>
    <w:rsid w:val="009301D7"/>
    <w:rsid w:val="0093528B"/>
    <w:rsid w:val="009576E9"/>
    <w:rsid w:val="0096229E"/>
    <w:rsid w:val="00966C75"/>
    <w:rsid w:val="00967E3E"/>
    <w:rsid w:val="00985905"/>
    <w:rsid w:val="009C474C"/>
    <w:rsid w:val="009D1C5D"/>
    <w:rsid w:val="009F7BB2"/>
    <w:rsid w:val="00A0351B"/>
    <w:rsid w:val="00A2035A"/>
    <w:rsid w:val="00A47FA3"/>
    <w:rsid w:val="00A60BBA"/>
    <w:rsid w:val="00A663AB"/>
    <w:rsid w:val="00A76E0F"/>
    <w:rsid w:val="00A87EB1"/>
    <w:rsid w:val="00AB51B7"/>
    <w:rsid w:val="00AD7765"/>
    <w:rsid w:val="00B1400D"/>
    <w:rsid w:val="00B3039F"/>
    <w:rsid w:val="00B44878"/>
    <w:rsid w:val="00B74D04"/>
    <w:rsid w:val="00BD35B2"/>
    <w:rsid w:val="00BF57E4"/>
    <w:rsid w:val="00C07643"/>
    <w:rsid w:val="00C14DEE"/>
    <w:rsid w:val="00C23D9B"/>
    <w:rsid w:val="00C27A5E"/>
    <w:rsid w:val="00C53421"/>
    <w:rsid w:val="00C57C54"/>
    <w:rsid w:val="00C61BB2"/>
    <w:rsid w:val="00C83B4C"/>
    <w:rsid w:val="00CB4C5B"/>
    <w:rsid w:val="00CD0FA6"/>
    <w:rsid w:val="00CD33CA"/>
    <w:rsid w:val="00D2462D"/>
    <w:rsid w:val="00DB2ECA"/>
    <w:rsid w:val="00E35989"/>
    <w:rsid w:val="00E36F99"/>
    <w:rsid w:val="00E43691"/>
    <w:rsid w:val="00E56C36"/>
    <w:rsid w:val="00E62607"/>
    <w:rsid w:val="00E77F33"/>
    <w:rsid w:val="00E96E4C"/>
    <w:rsid w:val="00EB0DA9"/>
    <w:rsid w:val="00F00B73"/>
    <w:rsid w:val="00F42624"/>
    <w:rsid w:val="00F51994"/>
    <w:rsid w:val="00FC7F51"/>
    <w:rsid w:val="00FF1588"/>
    <w:rsid w:val="00FF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9398F2-0548-4D9E-8F98-315DF41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EADER">
    <w:name w:val="GCHEADER"/>
    <w:pPr>
      <w:tabs>
        <w:tab w:val="right" w:pos="10440"/>
      </w:tabs>
      <w:suppressAutoHyphens/>
      <w:spacing w:line="215" w:lineRule="auto"/>
    </w:pPr>
    <w:rPr>
      <w:rFonts w:ascii="Arial Rounded MT Bold" w:hAnsi="Arial Rounded MT Bold"/>
      <w:b/>
      <w:sz w:val="30"/>
      <w:lang w:val="en-G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97C53"/>
    <w:rPr>
      <w:rFonts w:ascii="Tahoma" w:hAnsi="Tahoma" w:cs="Tahoma"/>
      <w:sz w:val="16"/>
      <w:szCs w:val="16"/>
    </w:rPr>
  </w:style>
  <w:style w:type="paragraph" w:styleId="CommentText">
    <w:name w:val="annotation text"/>
    <w:basedOn w:val="Normal"/>
    <w:link w:val="CommentTextChar"/>
    <w:rsid w:val="00634F26"/>
    <w:rPr>
      <w:sz w:val="20"/>
    </w:rPr>
  </w:style>
  <w:style w:type="character" w:customStyle="1" w:styleId="CommentTextChar">
    <w:name w:val="Comment Text Char"/>
    <w:link w:val="CommentText"/>
    <w:rsid w:val="00634F26"/>
    <w:rPr>
      <w:rFonts w:ascii="Courier" w:hAnsi="Courier"/>
    </w:rPr>
  </w:style>
  <w:style w:type="character" w:styleId="CommentReference">
    <w:name w:val="annotation reference"/>
    <w:rsid w:val="00634F26"/>
    <w:rPr>
      <w:sz w:val="16"/>
      <w:szCs w:val="16"/>
    </w:rPr>
  </w:style>
  <w:style w:type="paragraph" w:customStyle="1" w:styleId="SingleTxt">
    <w:name w:val="__Single Txt"/>
    <w:basedOn w:val="Normal"/>
    <w:rsid w:val="00777C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paragraph" w:customStyle="1" w:styleId="DualTxtCharChar1CharChar">
    <w:name w:val="__Dual Txt Char Char1 Char Char"/>
    <w:basedOn w:val="Normal"/>
    <w:rsid w:val="00B1400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hAnsi="Times New Roman"/>
      <w:spacing w:val="4"/>
      <w:w w:val="103"/>
      <w:kern w:val="14"/>
      <w:sz w:val="20"/>
      <w:lang w:val="en-GB"/>
    </w:rPr>
  </w:style>
  <w:style w:type="character" w:styleId="Hyperlink">
    <w:name w:val="Hyperlink"/>
    <w:uiPriority w:val="99"/>
    <w:unhideWhenUsed/>
    <w:rsid w:val="00864721"/>
    <w:rPr>
      <w:color w:val="0000FF"/>
      <w:u w:val="single"/>
    </w:rPr>
  </w:style>
  <w:style w:type="paragraph" w:styleId="ListParagraph">
    <w:name w:val="List Paragraph"/>
    <w:basedOn w:val="Normal"/>
    <w:uiPriority w:val="34"/>
    <w:qFormat/>
    <w:rsid w:val="00B7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6367">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636447989">
      <w:bodyDiv w:val="1"/>
      <w:marLeft w:val="0"/>
      <w:marRight w:val="0"/>
      <w:marTop w:val="0"/>
      <w:marBottom w:val="0"/>
      <w:divBdr>
        <w:top w:val="none" w:sz="0" w:space="0" w:color="auto"/>
        <w:left w:val="none" w:sz="0" w:space="0" w:color="auto"/>
        <w:bottom w:val="none" w:sz="0" w:space="0" w:color="auto"/>
        <w:right w:val="none" w:sz="0" w:space="0" w:color="auto"/>
      </w:divBdr>
      <w:divsChild>
        <w:div w:id="240214377">
          <w:marLeft w:val="0"/>
          <w:marRight w:val="0"/>
          <w:marTop w:val="0"/>
          <w:marBottom w:val="0"/>
          <w:divBdr>
            <w:top w:val="none" w:sz="0" w:space="0" w:color="auto"/>
            <w:left w:val="none" w:sz="0" w:space="0" w:color="auto"/>
            <w:bottom w:val="none" w:sz="0" w:space="0" w:color="auto"/>
            <w:right w:val="none" w:sz="0" w:space="0" w:color="auto"/>
          </w:divBdr>
        </w:div>
        <w:div w:id="2017607258">
          <w:marLeft w:val="0"/>
          <w:marRight w:val="0"/>
          <w:marTop w:val="0"/>
          <w:marBottom w:val="0"/>
          <w:divBdr>
            <w:top w:val="none" w:sz="0" w:space="0" w:color="auto"/>
            <w:left w:val="none" w:sz="0" w:space="0" w:color="auto"/>
            <w:bottom w:val="none" w:sz="0" w:space="0" w:color="auto"/>
            <w:right w:val="none" w:sz="0" w:space="0" w:color="auto"/>
          </w:divBdr>
        </w:div>
      </w:divsChild>
    </w:div>
    <w:div w:id="774642068">
      <w:bodyDiv w:val="1"/>
      <w:marLeft w:val="0"/>
      <w:marRight w:val="0"/>
      <w:marTop w:val="0"/>
      <w:marBottom w:val="0"/>
      <w:divBdr>
        <w:top w:val="none" w:sz="0" w:space="0" w:color="auto"/>
        <w:left w:val="none" w:sz="0" w:space="0" w:color="auto"/>
        <w:bottom w:val="none" w:sz="0" w:space="0" w:color="auto"/>
        <w:right w:val="none" w:sz="0" w:space="0" w:color="auto"/>
      </w:divBdr>
    </w:div>
    <w:div w:id="931477538">
      <w:bodyDiv w:val="1"/>
      <w:marLeft w:val="0"/>
      <w:marRight w:val="0"/>
      <w:marTop w:val="0"/>
      <w:marBottom w:val="0"/>
      <w:divBdr>
        <w:top w:val="none" w:sz="0" w:space="0" w:color="auto"/>
        <w:left w:val="none" w:sz="0" w:space="0" w:color="auto"/>
        <w:bottom w:val="none" w:sz="0" w:space="0" w:color="auto"/>
        <w:right w:val="none" w:sz="0" w:space="0" w:color="auto"/>
      </w:divBdr>
      <w:divsChild>
        <w:div w:id="471605666">
          <w:marLeft w:val="0"/>
          <w:marRight w:val="0"/>
          <w:marTop w:val="0"/>
          <w:marBottom w:val="0"/>
          <w:divBdr>
            <w:top w:val="none" w:sz="0" w:space="0" w:color="auto"/>
            <w:left w:val="none" w:sz="0" w:space="0" w:color="auto"/>
            <w:bottom w:val="none" w:sz="0" w:space="0" w:color="auto"/>
            <w:right w:val="none" w:sz="0" w:space="0" w:color="auto"/>
          </w:divBdr>
        </w:div>
        <w:div w:id="1749039470">
          <w:marLeft w:val="0"/>
          <w:marRight w:val="0"/>
          <w:marTop w:val="0"/>
          <w:marBottom w:val="0"/>
          <w:divBdr>
            <w:top w:val="none" w:sz="0" w:space="0" w:color="auto"/>
            <w:left w:val="none" w:sz="0" w:space="0" w:color="auto"/>
            <w:bottom w:val="none" w:sz="0" w:space="0" w:color="auto"/>
            <w:right w:val="none" w:sz="0" w:space="0" w:color="auto"/>
          </w:divBdr>
        </w:div>
      </w:divsChild>
    </w:div>
    <w:div w:id="1013385865">
      <w:bodyDiv w:val="1"/>
      <w:marLeft w:val="0"/>
      <w:marRight w:val="0"/>
      <w:marTop w:val="0"/>
      <w:marBottom w:val="0"/>
      <w:divBdr>
        <w:top w:val="none" w:sz="0" w:space="0" w:color="auto"/>
        <w:left w:val="none" w:sz="0" w:space="0" w:color="auto"/>
        <w:bottom w:val="none" w:sz="0" w:space="0" w:color="auto"/>
        <w:right w:val="none" w:sz="0" w:space="0" w:color="auto"/>
      </w:divBdr>
    </w:div>
    <w:div w:id="1303270502">
      <w:bodyDiv w:val="1"/>
      <w:marLeft w:val="0"/>
      <w:marRight w:val="0"/>
      <w:marTop w:val="0"/>
      <w:marBottom w:val="0"/>
      <w:divBdr>
        <w:top w:val="none" w:sz="0" w:space="0" w:color="auto"/>
        <w:left w:val="none" w:sz="0" w:space="0" w:color="auto"/>
        <w:bottom w:val="none" w:sz="0" w:space="0" w:color="auto"/>
        <w:right w:val="none" w:sz="0" w:space="0" w:color="auto"/>
      </w:divBdr>
      <w:divsChild>
        <w:div w:id="399989105">
          <w:marLeft w:val="0"/>
          <w:marRight w:val="0"/>
          <w:marTop w:val="0"/>
          <w:marBottom w:val="0"/>
          <w:divBdr>
            <w:top w:val="none" w:sz="0" w:space="0" w:color="auto"/>
            <w:left w:val="none" w:sz="0" w:space="0" w:color="auto"/>
            <w:bottom w:val="none" w:sz="0" w:space="0" w:color="auto"/>
            <w:right w:val="none" w:sz="0" w:space="0" w:color="auto"/>
          </w:divBdr>
        </w:div>
        <w:div w:id="1555196924">
          <w:marLeft w:val="0"/>
          <w:marRight w:val="0"/>
          <w:marTop w:val="0"/>
          <w:marBottom w:val="0"/>
          <w:divBdr>
            <w:top w:val="none" w:sz="0" w:space="0" w:color="auto"/>
            <w:left w:val="none" w:sz="0" w:space="0" w:color="auto"/>
            <w:bottom w:val="none" w:sz="0" w:space="0" w:color="auto"/>
            <w:right w:val="none" w:sz="0" w:space="0" w:color="auto"/>
          </w:divBdr>
        </w:div>
      </w:divsChild>
    </w:div>
    <w:div w:id="1315336780">
      <w:bodyDiv w:val="1"/>
      <w:marLeft w:val="0"/>
      <w:marRight w:val="0"/>
      <w:marTop w:val="0"/>
      <w:marBottom w:val="0"/>
      <w:divBdr>
        <w:top w:val="none" w:sz="0" w:space="0" w:color="auto"/>
        <w:left w:val="none" w:sz="0" w:space="0" w:color="auto"/>
        <w:bottom w:val="none" w:sz="0" w:space="0" w:color="auto"/>
        <w:right w:val="none" w:sz="0" w:space="0" w:color="auto"/>
      </w:divBdr>
    </w:div>
    <w:div w:id="1546867255">
      <w:bodyDiv w:val="1"/>
      <w:marLeft w:val="0"/>
      <w:marRight w:val="0"/>
      <w:marTop w:val="0"/>
      <w:marBottom w:val="0"/>
      <w:divBdr>
        <w:top w:val="none" w:sz="0" w:space="0" w:color="auto"/>
        <w:left w:val="none" w:sz="0" w:space="0" w:color="auto"/>
        <w:bottom w:val="none" w:sz="0" w:space="0" w:color="auto"/>
        <w:right w:val="none" w:sz="0" w:space="0" w:color="auto"/>
      </w:divBdr>
    </w:div>
    <w:div w:id="1848010900">
      <w:bodyDiv w:val="1"/>
      <w:marLeft w:val="0"/>
      <w:marRight w:val="0"/>
      <w:marTop w:val="0"/>
      <w:marBottom w:val="0"/>
      <w:divBdr>
        <w:top w:val="none" w:sz="0" w:space="0" w:color="auto"/>
        <w:left w:val="none" w:sz="0" w:space="0" w:color="auto"/>
        <w:bottom w:val="none" w:sz="0" w:space="0" w:color="auto"/>
        <w:right w:val="none" w:sz="0" w:space="0" w:color="auto"/>
      </w:divBdr>
    </w:div>
    <w:div w:id="2143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gov/greenpower/gpmarket/re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p.unteamworks.org/node/369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13EA-B2F6-4339-A11A-0AE514E7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2930</Words>
  <Characters>17732</Characters>
  <Application>Microsoft Office Word</Application>
  <DocSecurity>0</DocSecurity>
  <Lines>1970</Lines>
  <Paragraphs>1475</Paragraphs>
  <ScaleCrop>false</ScaleCrop>
  <HeadingPairs>
    <vt:vector size="2" baseType="variant">
      <vt:variant>
        <vt:lpstr>Title</vt:lpstr>
      </vt:variant>
      <vt:variant>
        <vt:i4>1</vt:i4>
      </vt:variant>
    </vt:vector>
  </HeadingPairs>
  <TitlesOfParts>
    <vt:vector size="1" baseType="lpstr">
      <vt:lpstr>UNITED</vt:lpstr>
    </vt:vector>
  </TitlesOfParts>
  <Company>UNDP</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Judith Puyat Magnaye</dc:creator>
  <cp:lastModifiedBy>Svetlana Iazykova</cp:lastModifiedBy>
  <cp:revision>3</cp:revision>
  <cp:lastPrinted>2014-06-27T15:18:00Z</cp:lastPrinted>
  <dcterms:created xsi:type="dcterms:W3CDTF">2014-07-23T20:07:00Z</dcterms:created>
  <dcterms:modified xsi:type="dcterms:W3CDTF">2014-07-23T20:14:00Z</dcterms:modified>
</cp:coreProperties>
</file>