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3D" w:rsidRPr="0019048D" w:rsidRDefault="00C142BB" w:rsidP="00D4603D">
      <w:pPr>
        <w:rPr>
          <w:b/>
          <w:i/>
          <w:color w:val="0000FF"/>
        </w:rPr>
      </w:pPr>
      <w:r>
        <w:rPr>
          <w:b/>
          <w:bCs/>
          <w:color w:val="000000"/>
        </w:rPr>
        <w:t>ANNEX</w:t>
      </w:r>
      <w:bookmarkStart w:id="0" w:name="_GoBack"/>
      <w:bookmarkEnd w:id="0"/>
      <w:r>
        <w:rPr>
          <w:b/>
          <w:bCs/>
          <w:color w:val="000000"/>
        </w:rPr>
        <w:t xml:space="preserve">. </w:t>
      </w:r>
      <w:r w:rsidR="00D4603D">
        <w:rPr>
          <w:b/>
          <w:bCs/>
          <w:color w:val="000000"/>
        </w:rPr>
        <w:t xml:space="preserve">TURKMENISTAN </w:t>
      </w:r>
      <w:r w:rsidR="00D4603D" w:rsidRPr="0019048D">
        <w:rPr>
          <w:b/>
          <w:bCs/>
          <w:color w:val="000000"/>
        </w:rPr>
        <w:t>FULLY-</w:t>
      </w:r>
      <w:r w:rsidR="001164E3">
        <w:rPr>
          <w:b/>
          <w:color w:val="000000"/>
        </w:rPr>
        <w:t>COSTED EVALUATION PLAN</w:t>
      </w:r>
    </w:p>
    <w:p w:rsidR="00D4603D" w:rsidRPr="0019048D" w:rsidRDefault="00D4603D" w:rsidP="00D4603D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619"/>
        <w:gridCol w:w="1567"/>
        <w:gridCol w:w="2321"/>
        <w:gridCol w:w="1177"/>
        <w:gridCol w:w="1436"/>
        <w:gridCol w:w="1307"/>
        <w:gridCol w:w="1436"/>
        <w:gridCol w:w="1274"/>
      </w:tblGrid>
      <w:tr w:rsidR="00D4603D" w:rsidRPr="0019048D" w:rsidTr="00900D58">
        <w:trPr>
          <w:trHeight w:val="845"/>
        </w:trPr>
        <w:tc>
          <w:tcPr>
            <w:tcW w:w="513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UNDAF (or equivalent)</w:t>
            </w:r>
          </w:p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98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79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858" w:type="pct"/>
            <w:shd w:val="clear" w:color="auto" w:fill="DEEAF6" w:themeFill="accent1" w:themeFillTint="33"/>
            <w:vAlign w:val="center"/>
          </w:tcPr>
          <w:p w:rsidR="00D4603D" w:rsidRPr="0019048D" w:rsidDel="00BA628C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71" w:type="pct"/>
            <w:shd w:val="clear" w:color="auto" w:fill="DEEAF6" w:themeFill="accent1" w:themeFillTint="33"/>
            <w:vAlign w:val="center"/>
          </w:tcPr>
          <w:p w:rsidR="00D4603D" w:rsidRPr="0019048D" w:rsidRDefault="00D4603D" w:rsidP="00F723E1">
            <w:pPr>
              <w:jc w:val="center"/>
              <w:rPr>
                <w:b/>
                <w:bCs/>
                <w:sz w:val="16"/>
                <w:szCs w:val="16"/>
              </w:rPr>
            </w:pPr>
            <w:r w:rsidRPr="0019048D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D4603D" w:rsidRPr="0019048D" w:rsidTr="00900D58">
        <w:trPr>
          <w:trHeight w:val="490"/>
        </w:trPr>
        <w:tc>
          <w:tcPr>
            <w:tcW w:w="513" w:type="pct"/>
          </w:tcPr>
          <w:p w:rsidR="00D4603D" w:rsidRDefault="00D4603D" w:rsidP="0090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</w:t>
            </w:r>
            <w:r w:rsidRPr="0019048D">
              <w:rPr>
                <w:sz w:val="16"/>
                <w:szCs w:val="16"/>
              </w:rPr>
              <w:t xml:space="preserve"> national policy, legislative and institutional frameworks are aligned to reduce greenhouse gas emissions through promoting sustainable practices on energy efficiency, the use of renewables, urban development and waste management</w:t>
            </w:r>
          </w:p>
          <w:p w:rsidR="00485760" w:rsidRPr="0019048D" w:rsidRDefault="00485760" w:rsidP="00900D58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:rsidR="00D4603D" w:rsidRPr="0019048D" w:rsidRDefault="00D4603D" w:rsidP="00F723E1">
            <w:pPr>
              <w:rPr>
                <w:sz w:val="16"/>
                <w:szCs w:val="16"/>
              </w:rPr>
            </w:pPr>
            <w:r w:rsidRPr="0019048D">
              <w:rPr>
                <w:b/>
                <w:color w:val="000000" w:themeColor="text1"/>
                <w:sz w:val="16"/>
                <w:szCs w:val="16"/>
              </w:rPr>
              <w:t>Outcome 1</w:t>
            </w:r>
            <w:r w:rsidRPr="0019048D">
              <w:rPr>
                <w:color w:val="000000" w:themeColor="text1"/>
                <w:sz w:val="16"/>
                <w:szCs w:val="16"/>
              </w:rPr>
              <w:t>: Growth and development are inclusive and sustainable, incorporating productive capacities that create employment and livelihoods for the poor and excluded</w:t>
            </w:r>
          </w:p>
        </w:tc>
        <w:tc>
          <w:tcPr>
            <w:tcW w:w="579" w:type="pct"/>
          </w:tcPr>
          <w:p w:rsidR="00D4603D" w:rsidRPr="0019048D" w:rsidRDefault="00D4603D" w:rsidP="00F723E1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Outcome evaluation on “mitigation”</w:t>
            </w:r>
          </w:p>
        </w:tc>
        <w:tc>
          <w:tcPr>
            <w:tcW w:w="858" w:type="pct"/>
          </w:tcPr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Oil and Gas</w:t>
            </w:r>
          </w:p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Power Engineering</w:t>
            </w:r>
          </w:p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Construction</w:t>
            </w:r>
          </w:p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Communal Services</w:t>
            </w:r>
          </w:p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Industry</w:t>
            </w:r>
          </w:p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Nature Protection</w:t>
            </w:r>
          </w:p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Economy and Development</w:t>
            </w:r>
          </w:p>
          <w:p w:rsidR="00D4603D" w:rsidRPr="0019048D" w:rsidRDefault="00D4603D" w:rsidP="00F723E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Statistics Committee</w:t>
            </w:r>
          </w:p>
          <w:p w:rsidR="00D4603D" w:rsidRPr="0019048D" w:rsidRDefault="00D4603D" w:rsidP="00F723E1">
            <w:pPr>
              <w:rPr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Water Economy</w:t>
            </w:r>
          </w:p>
        </w:tc>
        <w:tc>
          <w:tcPr>
            <w:tcW w:w="435" w:type="pct"/>
          </w:tcPr>
          <w:p w:rsidR="00D4603D" w:rsidRPr="0019048D" w:rsidRDefault="00D4603D" w:rsidP="00F723E1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n/a</w:t>
            </w:r>
          </w:p>
        </w:tc>
        <w:tc>
          <w:tcPr>
            <w:tcW w:w="531" w:type="pct"/>
          </w:tcPr>
          <w:p w:rsidR="00D4603D" w:rsidRPr="0019048D" w:rsidRDefault="00D4603D" w:rsidP="00F723E1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Outcome</w:t>
            </w:r>
          </w:p>
        </w:tc>
        <w:tc>
          <w:tcPr>
            <w:tcW w:w="483" w:type="pct"/>
          </w:tcPr>
          <w:p w:rsidR="00D4603D" w:rsidRPr="0019048D" w:rsidRDefault="00D4603D" w:rsidP="00F723E1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September 2017</w:t>
            </w:r>
          </w:p>
        </w:tc>
        <w:tc>
          <w:tcPr>
            <w:tcW w:w="531" w:type="pct"/>
          </w:tcPr>
          <w:p w:rsidR="00D4603D" w:rsidRPr="0019048D" w:rsidRDefault="00D4603D" w:rsidP="00F723E1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$2</w:t>
            </w:r>
            <w:r>
              <w:rPr>
                <w:sz w:val="16"/>
                <w:szCs w:val="16"/>
              </w:rPr>
              <w:t>5</w:t>
            </w:r>
            <w:r w:rsidRPr="0019048D">
              <w:rPr>
                <w:sz w:val="16"/>
                <w:szCs w:val="16"/>
              </w:rPr>
              <w:t>,000</w:t>
            </w:r>
          </w:p>
        </w:tc>
        <w:tc>
          <w:tcPr>
            <w:tcW w:w="471" w:type="pct"/>
          </w:tcPr>
          <w:p w:rsidR="00D4603D" w:rsidRPr="0019048D" w:rsidRDefault="00D4603D" w:rsidP="00F723E1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Project budgets</w:t>
            </w:r>
          </w:p>
        </w:tc>
      </w:tr>
      <w:tr w:rsidR="00900D58" w:rsidRPr="0019048D" w:rsidTr="00900D58">
        <w:trPr>
          <w:trHeight w:val="490"/>
        </w:trPr>
        <w:tc>
          <w:tcPr>
            <w:tcW w:w="513" w:type="pct"/>
          </w:tcPr>
          <w:p w:rsidR="00900D58" w:rsidRDefault="00900D58" w:rsidP="0090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</w:t>
            </w:r>
            <w:r w:rsidRPr="0019048D">
              <w:rPr>
                <w:sz w:val="16"/>
                <w:szCs w:val="16"/>
              </w:rPr>
              <w:t xml:space="preserve"> national policy, legislative and institutional frameworks is responsive to climate change issues by promoting climate resilience, adaptation, climate risk management and disaster risk reduction measures at sector and community level</w:t>
            </w:r>
          </w:p>
          <w:p w:rsidR="00900D58" w:rsidRPr="0019048D" w:rsidRDefault="00900D58" w:rsidP="00900D58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900D58" w:rsidRPr="0019048D" w:rsidRDefault="00900D58" w:rsidP="00900D58">
            <w:pPr>
              <w:rPr>
                <w:color w:val="000000" w:themeColor="text1"/>
                <w:sz w:val="16"/>
                <w:szCs w:val="16"/>
              </w:rPr>
            </w:pPr>
            <w:r w:rsidRPr="0019048D">
              <w:rPr>
                <w:b/>
                <w:color w:val="000000" w:themeColor="text1"/>
                <w:sz w:val="16"/>
                <w:szCs w:val="16"/>
              </w:rPr>
              <w:t>Outcome 1</w:t>
            </w:r>
            <w:r w:rsidRPr="0019048D">
              <w:rPr>
                <w:color w:val="000000" w:themeColor="text1"/>
                <w:sz w:val="16"/>
                <w:szCs w:val="16"/>
              </w:rPr>
              <w:t>: Growth and development are inclusive and sustainable, incorporating productive capacities that create employment and livelihoods for the poor and excluded</w:t>
            </w:r>
          </w:p>
          <w:p w:rsidR="00900D58" w:rsidRPr="0019048D" w:rsidRDefault="00900D58" w:rsidP="007A30D6">
            <w:pPr>
              <w:rPr>
                <w:color w:val="000000" w:themeColor="text1"/>
                <w:sz w:val="16"/>
                <w:szCs w:val="16"/>
              </w:rPr>
            </w:pPr>
            <w:r w:rsidRPr="007A30D6">
              <w:rPr>
                <w:b/>
                <w:color w:val="000000" w:themeColor="text1"/>
                <w:sz w:val="16"/>
                <w:szCs w:val="16"/>
              </w:rPr>
              <w:t>Outcome 5</w:t>
            </w:r>
            <w:r w:rsidR="007A30D6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19048D">
              <w:rPr>
                <w:color w:val="000000" w:themeColor="text1"/>
                <w:sz w:val="16"/>
                <w:szCs w:val="16"/>
              </w:rPr>
              <w:t xml:space="preserve"> Countries are able to reduce the likelihood of conflict and lower the risk of natural disasters, including from climate change</w:t>
            </w:r>
          </w:p>
        </w:tc>
        <w:tc>
          <w:tcPr>
            <w:tcW w:w="579" w:type="pct"/>
          </w:tcPr>
          <w:p w:rsidR="00900D58" w:rsidRPr="0019048D" w:rsidRDefault="00900D58" w:rsidP="00900D58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Outcome evaluation “Resilience”</w:t>
            </w:r>
          </w:p>
        </w:tc>
        <w:tc>
          <w:tcPr>
            <w:tcW w:w="858" w:type="pct"/>
          </w:tcPr>
          <w:p w:rsidR="00900D58" w:rsidRPr="0019048D" w:rsidRDefault="00900D58" w:rsidP="00900D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Nature Protection</w:t>
            </w:r>
          </w:p>
          <w:p w:rsidR="00900D58" w:rsidRPr="0019048D" w:rsidRDefault="00900D58" w:rsidP="00900D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Water Economy</w:t>
            </w:r>
          </w:p>
          <w:p w:rsidR="00900D58" w:rsidRPr="0019048D" w:rsidRDefault="00900D58" w:rsidP="00900D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Agriculture</w:t>
            </w:r>
          </w:p>
          <w:p w:rsidR="00900D58" w:rsidRPr="0019048D" w:rsidRDefault="00900D58" w:rsidP="00900D58">
            <w:pPr>
              <w:rPr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Economy and Development</w:t>
            </w:r>
          </w:p>
        </w:tc>
        <w:tc>
          <w:tcPr>
            <w:tcW w:w="435" w:type="pct"/>
          </w:tcPr>
          <w:p w:rsidR="00900D58" w:rsidRPr="0019048D" w:rsidRDefault="00900D58" w:rsidP="00900D58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n/a</w:t>
            </w:r>
          </w:p>
        </w:tc>
        <w:tc>
          <w:tcPr>
            <w:tcW w:w="531" w:type="pct"/>
          </w:tcPr>
          <w:p w:rsidR="00900D58" w:rsidRPr="0019048D" w:rsidRDefault="00900D58" w:rsidP="00900D58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Outcome</w:t>
            </w:r>
          </w:p>
        </w:tc>
        <w:tc>
          <w:tcPr>
            <w:tcW w:w="483" w:type="pct"/>
          </w:tcPr>
          <w:p w:rsidR="00900D58" w:rsidRPr="0019048D" w:rsidRDefault="00900D58" w:rsidP="00900D58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September 2018</w:t>
            </w:r>
          </w:p>
        </w:tc>
        <w:tc>
          <w:tcPr>
            <w:tcW w:w="531" w:type="pct"/>
          </w:tcPr>
          <w:p w:rsidR="00900D58" w:rsidRPr="0019048D" w:rsidRDefault="00900D58" w:rsidP="00900D58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25,000</w:t>
            </w:r>
          </w:p>
        </w:tc>
        <w:tc>
          <w:tcPr>
            <w:tcW w:w="471" w:type="pct"/>
          </w:tcPr>
          <w:p w:rsidR="00900D58" w:rsidRPr="0019048D" w:rsidRDefault="00900D58" w:rsidP="00900D58">
            <w:pPr>
              <w:rPr>
                <w:rStyle w:val="CommentReference"/>
                <w:sz w:val="16"/>
                <w:szCs w:val="16"/>
              </w:rPr>
            </w:pPr>
            <w:r w:rsidRPr="0019048D">
              <w:rPr>
                <w:rStyle w:val="CommentReference"/>
                <w:sz w:val="16"/>
                <w:szCs w:val="16"/>
              </w:rPr>
              <w:t>Project budgets</w:t>
            </w:r>
          </w:p>
        </w:tc>
      </w:tr>
      <w:tr w:rsidR="00C31EF2" w:rsidRPr="0019048D" w:rsidTr="00900D58">
        <w:trPr>
          <w:trHeight w:val="490"/>
        </w:trPr>
        <w:tc>
          <w:tcPr>
            <w:tcW w:w="513" w:type="pct"/>
          </w:tcPr>
          <w:p w:rsidR="00C31EF2" w:rsidRPr="00C90B07" w:rsidRDefault="00C31EF2" w:rsidP="00C31EF2">
            <w:pPr>
              <w:rPr>
                <w:sz w:val="18"/>
                <w:szCs w:val="18"/>
              </w:rPr>
            </w:pPr>
            <w:r w:rsidRPr="007D5A28">
              <w:rPr>
                <w:sz w:val="16"/>
                <w:szCs w:val="16"/>
              </w:rPr>
              <w:t xml:space="preserve">State institutions  implement and monitor laws, national programmes, and strategies, in  a participatory </w:t>
            </w:r>
            <w:r w:rsidRPr="007D5A28">
              <w:rPr>
                <w:sz w:val="16"/>
                <w:szCs w:val="16"/>
              </w:rPr>
              <w:lastRenderedPageBreak/>
              <w:t>manner in line with the country’s human rights commitments</w:t>
            </w:r>
          </w:p>
        </w:tc>
        <w:tc>
          <w:tcPr>
            <w:tcW w:w="598" w:type="pct"/>
          </w:tcPr>
          <w:p w:rsidR="00C31EF2" w:rsidRPr="0019048D" w:rsidRDefault="00C31EF2" w:rsidP="00C31EF2">
            <w:pPr>
              <w:rPr>
                <w:color w:val="000000" w:themeColor="text1"/>
                <w:sz w:val="16"/>
                <w:szCs w:val="16"/>
              </w:rPr>
            </w:pPr>
            <w:r w:rsidRPr="00485760">
              <w:rPr>
                <w:b/>
                <w:color w:val="000000" w:themeColor="text1"/>
                <w:sz w:val="16"/>
                <w:szCs w:val="16"/>
              </w:rPr>
              <w:lastRenderedPageBreak/>
              <w:t xml:space="preserve">Outcome 2: </w:t>
            </w:r>
            <w:r w:rsidRPr="0019048D">
              <w:rPr>
                <w:color w:val="000000" w:themeColor="text1"/>
                <w:sz w:val="16"/>
                <w:szCs w:val="16"/>
              </w:rPr>
              <w:t xml:space="preserve">Citizen expectations for voice, development, the rule of law and accountability are met by stronger systems of </w:t>
            </w:r>
            <w:r w:rsidRPr="0019048D">
              <w:rPr>
                <w:color w:val="000000" w:themeColor="text1"/>
                <w:sz w:val="16"/>
                <w:szCs w:val="16"/>
              </w:rPr>
              <w:lastRenderedPageBreak/>
              <w:t>democratic governance</w:t>
            </w:r>
          </w:p>
        </w:tc>
        <w:tc>
          <w:tcPr>
            <w:tcW w:w="579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lastRenderedPageBreak/>
              <w:t>Outcome evaluation “Rule of Law”</w:t>
            </w:r>
          </w:p>
        </w:tc>
        <w:tc>
          <w:tcPr>
            <w:tcW w:w="858" w:type="pct"/>
          </w:tcPr>
          <w:p w:rsidR="00C31EF2" w:rsidRPr="0019048D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Interdepartmental Commission on Treaty Bodies (ICTB), National Institute of Democracy and Human Rights (NIDHR), Parliament</w:t>
            </w:r>
          </w:p>
          <w:p w:rsidR="00C31EF2" w:rsidRPr="0019048D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 xml:space="preserve"> Ministry of Justice; Judiciary training institute, Ministry of </w:t>
            </w:r>
            <w:r w:rsidRPr="0019048D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Labour and Social Protection (MoLSP), </w:t>
            </w:r>
          </w:p>
          <w:p w:rsidR="00C31EF2" w:rsidRPr="0019048D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Municipalities; Civil Service Academy, Parliament</w:t>
            </w:r>
          </w:p>
          <w:p w:rsidR="00C31EF2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Trade, Institute of Trade Research, Union of Entrepreneurs and Industrialists; State Border Guard Service, State Migration Service, State Customs, Ministry of Defence</w:t>
            </w:r>
          </w:p>
          <w:p w:rsidR="00485760" w:rsidRPr="0019048D" w:rsidRDefault="00485760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lastRenderedPageBreak/>
              <w:t>n/a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Outcome</w:t>
            </w:r>
          </w:p>
        </w:tc>
        <w:tc>
          <w:tcPr>
            <w:tcW w:w="483" w:type="pct"/>
          </w:tcPr>
          <w:p w:rsidR="00C31EF2" w:rsidRPr="0019048D" w:rsidRDefault="00C31EF2" w:rsidP="00C31EF2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September 2019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19048D">
              <w:rPr>
                <w:sz w:val="16"/>
                <w:szCs w:val="16"/>
              </w:rPr>
              <w:t>,000</w:t>
            </w:r>
          </w:p>
        </w:tc>
        <w:tc>
          <w:tcPr>
            <w:tcW w:w="471" w:type="pct"/>
          </w:tcPr>
          <w:p w:rsidR="00C31EF2" w:rsidRPr="0019048D" w:rsidRDefault="00C31EF2" w:rsidP="00C31EF2">
            <w:pPr>
              <w:rPr>
                <w:rStyle w:val="CommentReference"/>
                <w:sz w:val="16"/>
                <w:szCs w:val="16"/>
              </w:rPr>
            </w:pPr>
            <w:r w:rsidRPr="0019048D">
              <w:rPr>
                <w:rStyle w:val="CommentReference"/>
                <w:sz w:val="16"/>
                <w:szCs w:val="16"/>
              </w:rPr>
              <w:t>Project budgets</w:t>
            </w:r>
          </w:p>
        </w:tc>
      </w:tr>
      <w:tr w:rsidR="00C31EF2" w:rsidRPr="0019048D" w:rsidTr="00900D58">
        <w:trPr>
          <w:trHeight w:val="490"/>
        </w:trPr>
        <w:tc>
          <w:tcPr>
            <w:tcW w:w="513" w:type="pct"/>
          </w:tcPr>
          <w:p w:rsidR="00C31EF2" w:rsidRDefault="00C31EF2" w:rsidP="00C3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Q</w:t>
            </w:r>
            <w:r w:rsidRPr="0019048D">
              <w:rPr>
                <w:sz w:val="16"/>
                <w:szCs w:val="16"/>
              </w:rPr>
              <w:t xml:space="preserve">uality </w:t>
            </w:r>
            <w:r>
              <w:rPr>
                <w:sz w:val="16"/>
                <w:szCs w:val="16"/>
              </w:rPr>
              <w:t xml:space="preserve">disaggregated </w:t>
            </w:r>
            <w:r w:rsidRPr="0019048D">
              <w:rPr>
                <w:sz w:val="16"/>
                <w:szCs w:val="16"/>
              </w:rPr>
              <w:t xml:space="preserve">data, aligned with international standards, is available to policy makers, legislators, and the interested public to monitor the major goals of National Programmes, the post-2015 SDGs, and </w:t>
            </w:r>
            <w:r>
              <w:rPr>
                <w:sz w:val="16"/>
                <w:szCs w:val="16"/>
              </w:rPr>
              <w:t>PFD</w:t>
            </w:r>
            <w:r w:rsidRPr="0019048D">
              <w:rPr>
                <w:sz w:val="16"/>
                <w:szCs w:val="16"/>
              </w:rPr>
              <w:t xml:space="preserve"> outcome indicators, and to formulate new national strategies and programmes</w:t>
            </w:r>
          </w:p>
          <w:p w:rsidR="00485760" w:rsidRPr="0019048D" w:rsidRDefault="00485760" w:rsidP="00C31EF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:rsidR="00C31EF2" w:rsidRPr="0019048D" w:rsidRDefault="00C31EF2" w:rsidP="00C31EF2">
            <w:pPr>
              <w:rPr>
                <w:color w:val="000000" w:themeColor="text1"/>
                <w:sz w:val="16"/>
                <w:szCs w:val="16"/>
              </w:rPr>
            </w:pPr>
            <w:r w:rsidRPr="00B67F00">
              <w:rPr>
                <w:b/>
                <w:color w:val="000000" w:themeColor="text1"/>
                <w:sz w:val="16"/>
                <w:szCs w:val="16"/>
              </w:rPr>
              <w:t>Outcome 7:</w:t>
            </w:r>
            <w:r w:rsidRPr="0019048D">
              <w:rPr>
                <w:color w:val="000000" w:themeColor="text1"/>
                <w:sz w:val="16"/>
                <w:szCs w:val="16"/>
              </w:rPr>
              <w:t xml:space="preserve"> Development debates and actions at all levels prioritise poverty, inequality and exclusion, consistent with our engagement principles</w:t>
            </w:r>
          </w:p>
        </w:tc>
        <w:tc>
          <w:tcPr>
            <w:tcW w:w="579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“Data quality” evaluation</w:t>
            </w:r>
          </w:p>
        </w:tc>
        <w:tc>
          <w:tcPr>
            <w:tcW w:w="858" w:type="pct"/>
          </w:tcPr>
          <w:p w:rsidR="00C31EF2" w:rsidRPr="0019048D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 xml:space="preserve">UN agencies, </w:t>
            </w:r>
            <w:r w:rsidRPr="0019048D">
              <w:rPr>
                <w:i/>
                <w:iCs/>
                <w:color w:val="000000"/>
                <w:sz w:val="16"/>
                <w:szCs w:val="16"/>
              </w:rPr>
              <w:t xml:space="preserve">State Statistics committee, Ministry of Economy and Development, </w:t>
            </w:r>
          </w:p>
          <w:p w:rsidR="00C31EF2" w:rsidRPr="0019048D" w:rsidRDefault="00C31EF2" w:rsidP="00C31EF2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n/a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Outcome</w:t>
            </w:r>
          </w:p>
        </w:tc>
        <w:tc>
          <w:tcPr>
            <w:tcW w:w="483" w:type="pct"/>
          </w:tcPr>
          <w:p w:rsidR="00C31EF2" w:rsidRPr="0019048D" w:rsidRDefault="00C31EF2" w:rsidP="00C31EF2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September 2019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19048D">
              <w:rPr>
                <w:sz w:val="16"/>
                <w:szCs w:val="16"/>
              </w:rPr>
              <w:t>,000</w:t>
            </w:r>
          </w:p>
        </w:tc>
        <w:tc>
          <w:tcPr>
            <w:tcW w:w="471" w:type="pct"/>
          </w:tcPr>
          <w:p w:rsidR="00C31EF2" w:rsidRPr="0019048D" w:rsidRDefault="00C31EF2" w:rsidP="00C31EF2">
            <w:pPr>
              <w:rPr>
                <w:rStyle w:val="CommentReference"/>
                <w:sz w:val="16"/>
              </w:rPr>
            </w:pPr>
            <w:r w:rsidRPr="0019048D">
              <w:rPr>
                <w:rStyle w:val="CommentReference"/>
                <w:sz w:val="16"/>
              </w:rPr>
              <w:t>Project budgets</w:t>
            </w:r>
          </w:p>
        </w:tc>
      </w:tr>
      <w:tr w:rsidR="00C31EF2" w:rsidRPr="0019048D" w:rsidTr="00900D58">
        <w:trPr>
          <w:trHeight w:val="490"/>
        </w:trPr>
        <w:tc>
          <w:tcPr>
            <w:tcW w:w="513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Project “Addressing climate change risks to farming systems in Turkmenistan at national and community level”</w:t>
            </w:r>
          </w:p>
        </w:tc>
        <w:tc>
          <w:tcPr>
            <w:tcW w:w="598" w:type="pct"/>
          </w:tcPr>
          <w:p w:rsidR="00C31EF2" w:rsidRDefault="00C31EF2" w:rsidP="00C31EF2">
            <w:pPr>
              <w:rPr>
                <w:b/>
                <w:color w:val="000000" w:themeColor="text1"/>
                <w:sz w:val="16"/>
                <w:szCs w:val="16"/>
              </w:rPr>
            </w:pPr>
            <w:r w:rsidRPr="00B67F00">
              <w:rPr>
                <w:b/>
                <w:color w:val="000000" w:themeColor="text1"/>
                <w:sz w:val="16"/>
                <w:szCs w:val="16"/>
              </w:rPr>
              <w:t>Outcome 1</w:t>
            </w:r>
            <w:r w:rsidR="007A30D6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7A30D6" w:rsidRDefault="007A30D6" w:rsidP="00C31EF2">
            <w:pPr>
              <w:rPr>
                <w:color w:val="000000" w:themeColor="text1"/>
                <w:sz w:val="16"/>
                <w:szCs w:val="16"/>
              </w:rPr>
            </w:pPr>
            <w:r w:rsidRPr="007A30D6">
              <w:rPr>
                <w:color w:val="000000" w:themeColor="text1"/>
                <w:sz w:val="16"/>
                <w:szCs w:val="16"/>
              </w:rPr>
              <w:t>Growth and development are inclusive and sustainable, incorporating productive capacities that create employment and livelihoods for the poor and excluded</w:t>
            </w:r>
          </w:p>
          <w:p w:rsidR="00485760" w:rsidRPr="00B67F00" w:rsidRDefault="00485760" w:rsidP="00C31EF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Project final evaluation</w:t>
            </w:r>
          </w:p>
        </w:tc>
        <w:tc>
          <w:tcPr>
            <w:tcW w:w="858" w:type="pct"/>
          </w:tcPr>
          <w:p w:rsidR="00C31EF2" w:rsidRPr="0019048D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Nature Protection</w:t>
            </w:r>
          </w:p>
          <w:p w:rsidR="00C31EF2" w:rsidRPr="0019048D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Water Economy</w:t>
            </w:r>
          </w:p>
          <w:p w:rsidR="00C31EF2" w:rsidRPr="0019048D" w:rsidRDefault="00C31EF2" w:rsidP="00C31EF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Agriculture</w:t>
            </w:r>
          </w:p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i/>
                <w:iCs/>
                <w:color w:val="000000"/>
                <w:sz w:val="16"/>
                <w:szCs w:val="16"/>
              </w:rPr>
              <w:t>Ministry of Economy and Development</w:t>
            </w:r>
          </w:p>
        </w:tc>
        <w:tc>
          <w:tcPr>
            <w:tcW w:w="435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n/a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Project</w:t>
            </w:r>
          </w:p>
        </w:tc>
        <w:tc>
          <w:tcPr>
            <w:tcW w:w="483" w:type="pct"/>
          </w:tcPr>
          <w:p w:rsidR="00C31EF2" w:rsidRPr="0019048D" w:rsidRDefault="00C31EF2" w:rsidP="00C31EF2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September 2016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15,000</w:t>
            </w:r>
          </w:p>
        </w:tc>
        <w:tc>
          <w:tcPr>
            <w:tcW w:w="471" w:type="pct"/>
          </w:tcPr>
          <w:p w:rsidR="00C31EF2" w:rsidRPr="0019048D" w:rsidRDefault="00C31EF2" w:rsidP="00C31EF2">
            <w:pPr>
              <w:rPr>
                <w:rStyle w:val="CommentReference"/>
              </w:rPr>
            </w:pPr>
            <w:r w:rsidRPr="0019048D">
              <w:rPr>
                <w:rStyle w:val="CommentReference"/>
                <w:sz w:val="16"/>
              </w:rPr>
              <w:t>Project budgets</w:t>
            </w:r>
          </w:p>
        </w:tc>
      </w:tr>
      <w:tr w:rsidR="00C31EF2" w:rsidRPr="0019048D" w:rsidTr="00900D58">
        <w:trPr>
          <w:trHeight w:val="490"/>
        </w:trPr>
        <w:tc>
          <w:tcPr>
            <w:tcW w:w="513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Human Rights Project</w:t>
            </w:r>
          </w:p>
        </w:tc>
        <w:tc>
          <w:tcPr>
            <w:tcW w:w="598" w:type="pct"/>
          </w:tcPr>
          <w:p w:rsidR="00C31EF2" w:rsidRDefault="00C31EF2" w:rsidP="00C31EF2">
            <w:pPr>
              <w:rPr>
                <w:color w:val="000000" w:themeColor="text1"/>
                <w:sz w:val="16"/>
                <w:szCs w:val="16"/>
              </w:rPr>
            </w:pPr>
            <w:r w:rsidRPr="0019048D">
              <w:rPr>
                <w:b/>
                <w:color w:val="000000" w:themeColor="text1"/>
                <w:sz w:val="16"/>
                <w:szCs w:val="16"/>
              </w:rPr>
              <w:t>Outcome 3</w:t>
            </w:r>
            <w:r w:rsidRPr="0019048D">
              <w:rPr>
                <w:color w:val="000000" w:themeColor="text1"/>
                <w:sz w:val="16"/>
                <w:szCs w:val="16"/>
              </w:rPr>
              <w:t xml:space="preserve">: Countries have strengthened institutions to progressively deliver </w:t>
            </w:r>
            <w:r w:rsidRPr="0019048D">
              <w:rPr>
                <w:color w:val="000000" w:themeColor="text1"/>
                <w:sz w:val="16"/>
                <w:szCs w:val="16"/>
              </w:rPr>
              <w:lastRenderedPageBreak/>
              <w:t>universal access to basic services</w:t>
            </w:r>
          </w:p>
          <w:p w:rsidR="00485760" w:rsidRPr="0019048D" w:rsidRDefault="00485760" w:rsidP="00C31E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lastRenderedPageBreak/>
              <w:t>Project evaluation</w:t>
            </w:r>
          </w:p>
        </w:tc>
        <w:tc>
          <w:tcPr>
            <w:tcW w:w="858" w:type="pct"/>
          </w:tcPr>
          <w:p w:rsidR="00C31EF2" w:rsidRPr="0019048D" w:rsidRDefault="00C31EF2" w:rsidP="00C31EF2">
            <w:pPr>
              <w:rPr>
                <w:iCs/>
                <w:color w:val="000000"/>
                <w:sz w:val="16"/>
                <w:szCs w:val="16"/>
              </w:rPr>
            </w:pPr>
            <w:r w:rsidRPr="0019048D">
              <w:rPr>
                <w:iCs/>
                <w:color w:val="000000"/>
                <w:sz w:val="16"/>
                <w:szCs w:val="16"/>
              </w:rPr>
              <w:t>National Institute for Democracy and Human Rights, Ministry of Foreign Affairs</w:t>
            </w:r>
          </w:p>
        </w:tc>
        <w:tc>
          <w:tcPr>
            <w:tcW w:w="435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UNDP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Project</w:t>
            </w:r>
          </w:p>
        </w:tc>
        <w:tc>
          <w:tcPr>
            <w:tcW w:w="483" w:type="pct"/>
          </w:tcPr>
          <w:p w:rsidR="00C31EF2" w:rsidRPr="0019048D" w:rsidRDefault="00C31EF2" w:rsidP="00C31EF2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2016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10,000</w:t>
            </w:r>
          </w:p>
        </w:tc>
        <w:tc>
          <w:tcPr>
            <w:tcW w:w="471" w:type="pct"/>
          </w:tcPr>
          <w:p w:rsidR="00C31EF2" w:rsidRPr="0019048D" w:rsidRDefault="00C31EF2" w:rsidP="00C31EF2">
            <w:pPr>
              <w:rPr>
                <w:rStyle w:val="CommentReference"/>
                <w:sz w:val="16"/>
              </w:rPr>
            </w:pPr>
            <w:r w:rsidRPr="0019048D">
              <w:rPr>
                <w:rStyle w:val="CommentReference"/>
                <w:sz w:val="16"/>
              </w:rPr>
              <w:t>Project budget</w:t>
            </w:r>
          </w:p>
        </w:tc>
      </w:tr>
      <w:tr w:rsidR="00C31EF2" w:rsidRPr="0019048D" w:rsidTr="00900D58">
        <w:trPr>
          <w:trHeight w:val="490"/>
        </w:trPr>
        <w:tc>
          <w:tcPr>
            <w:tcW w:w="513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lastRenderedPageBreak/>
              <w:t>Project “Advancement of social inclusion and integration of persons with disabilities ”</w:t>
            </w:r>
          </w:p>
        </w:tc>
        <w:tc>
          <w:tcPr>
            <w:tcW w:w="598" w:type="pct"/>
          </w:tcPr>
          <w:p w:rsidR="00C31EF2" w:rsidRPr="0019048D" w:rsidRDefault="00C31EF2" w:rsidP="00C31EF2">
            <w:r w:rsidRPr="0019048D">
              <w:rPr>
                <w:b/>
                <w:color w:val="000000" w:themeColor="text1"/>
                <w:sz w:val="16"/>
                <w:szCs w:val="16"/>
              </w:rPr>
              <w:t>Outcome 4</w:t>
            </w:r>
            <w:r w:rsidRPr="0019048D">
              <w:rPr>
                <w:color w:val="000000" w:themeColor="text1"/>
                <w:sz w:val="16"/>
                <w:szCs w:val="16"/>
              </w:rPr>
              <w:t>: Faster progress is achieved in reducing gender inequality and promoting women’s empowerment</w:t>
            </w:r>
          </w:p>
          <w:p w:rsidR="00C31EF2" w:rsidRPr="0019048D" w:rsidRDefault="00C31EF2" w:rsidP="00C31E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9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Project evaluation</w:t>
            </w:r>
          </w:p>
        </w:tc>
        <w:tc>
          <w:tcPr>
            <w:tcW w:w="858" w:type="pct"/>
          </w:tcPr>
          <w:p w:rsidR="00C31EF2" w:rsidRPr="0019048D" w:rsidRDefault="00C31EF2" w:rsidP="00C31EF2">
            <w:pPr>
              <w:rPr>
                <w:iCs/>
                <w:color w:val="000000"/>
                <w:sz w:val="16"/>
                <w:szCs w:val="16"/>
              </w:rPr>
            </w:pPr>
            <w:r w:rsidRPr="0019048D">
              <w:rPr>
                <w:iCs/>
                <w:color w:val="000000"/>
                <w:sz w:val="16"/>
                <w:szCs w:val="16"/>
              </w:rPr>
              <w:t>Deaf and Blind Society of Turkmenistan, Ministry of Textile, Ministry of Labour and Social Policy</w:t>
            </w:r>
          </w:p>
          <w:p w:rsidR="00C31EF2" w:rsidRPr="0019048D" w:rsidRDefault="00C31EF2" w:rsidP="00C31EF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n/a/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Project</w:t>
            </w:r>
          </w:p>
        </w:tc>
        <w:tc>
          <w:tcPr>
            <w:tcW w:w="483" w:type="pct"/>
          </w:tcPr>
          <w:p w:rsidR="00C31EF2" w:rsidRPr="0019048D" w:rsidRDefault="00C31EF2" w:rsidP="00C31EF2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Upon completion</w:t>
            </w:r>
          </w:p>
        </w:tc>
        <w:tc>
          <w:tcPr>
            <w:tcW w:w="531" w:type="pct"/>
          </w:tcPr>
          <w:p w:rsidR="00C31EF2" w:rsidRPr="0019048D" w:rsidRDefault="00C31EF2" w:rsidP="00C31EF2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10,000</w:t>
            </w:r>
          </w:p>
        </w:tc>
        <w:tc>
          <w:tcPr>
            <w:tcW w:w="471" w:type="pct"/>
          </w:tcPr>
          <w:p w:rsidR="00C31EF2" w:rsidRPr="0019048D" w:rsidRDefault="00C31EF2" w:rsidP="00C31EF2">
            <w:pPr>
              <w:rPr>
                <w:rStyle w:val="CommentReference"/>
                <w:sz w:val="16"/>
              </w:rPr>
            </w:pPr>
            <w:r w:rsidRPr="0019048D">
              <w:rPr>
                <w:rStyle w:val="CommentReference"/>
                <w:sz w:val="16"/>
              </w:rPr>
              <w:t>Project budget</w:t>
            </w:r>
          </w:p>
        </w:tc>
      </w:tr>
      <w:tr w:rsidR="00B67F00" w:rsidRPr="0019048D" w:rsidTr="00900D58">
        <w:trPr>
          <w:trHeight w:val="490"/>
        </w:trPr>
        <w:tc>
          <w:tcPr>
            <w:tcW w:w="513" w:type="pct"/>
          </w:tcPr>
          <w:p w:rsidR="00B67F00" w:rsidRPr="0019048D" w:rsidRDefault="00B67F00" w:rsidP="00B67F00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 xml:space="preserve">UNDP participation in the </w:t>
            </w:r>
            <w:r>
              <w:rPr>
                <w:sz w:val="16"/>
                <w:szCs w:val="16"/>
              </w:rPr>
              <w:t>PFD</w:t>
            </w:r>
            <w:r w:rsidRPr="0019048D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598" w:type="pct"/>
          </w:tcPr>
          <w:p w:rsidR="00B67F00" w:rsidRPr="0019048D" w:rsidRDefault="00B67F00" w:rsidP="00B67F00">
            <w:pPr>
              <w:rPr>
                <w:b/>
                <w:color w:val="000000" w:themeColor="text1"/>
                <w:sz w:val="16"/>
                <w:szCs w:val="16"/>
              </w:rPr>
            </w:pPr>
            <w:r w:rsidRPr="0019048D">
              <w:rPr>
                <w:b/>
                <w:color w:val="000000" w:themeColor="text1"/>
                <w:sz w:val="16"/>
                <w:szCs w:val="16"/>
              </w:rPr>
              <w:t>All outcomes</w:t>
            </w:r>
          </w:p>
        </w:tc>
        <w:tc>
          <w:tcPr>
            <w:tcW w:w="579" w:type="pct"/>
          </w:tcPr>
          <w:p w:rsidR="00B67F00" w:rsidRPr="0019048D" w:rsidRDefault="00B67F00" w:rsidP="00B67F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PFD</w:t>
            </w:r>
            <w:r w:rsidRPr="0019048D">
              <w:rPr>
                <w:sz w:val="16"/>
                <w:szCs w:val="16"/>
              </w:rPr>
              <w:t xml:space="preserve"> evaluation</w:t>
            </w:r>
          </w:p>
        </w:tc>
        <w:tc>
          <w:tcPr>
            <w:tcW w:w="858" w:type="pct"/>
          </w:tcPr>
          <w:p w:rsidR="00B67F00" w:rsidRPr="0019048D" w:rsidRDefault="00B67F00" w:rsidP="00B67F00">
            <w:pPr>
              <w:rPr>
                <w:iCs/>
                <w:color w:val="000000"/>
                <w:sz w:val="16"/>
                <w:szCs w:val="16"/>
              </w:rPr>
            </w:pPr>
            <w:r w:rsidRPr="0019048D">
              <w:rPr>
                <w:iCs/>
                <w:color w:val="000000"/>
                <w:sz w:val="16"/>
                <w:szCs w:val="16"/>
              </w:rPr>
              <w:t>UN Agencies, Ministry of Foreign Affairs, Council of Ministers</w:t>
            </w:r>
          </w:p>
        </w:tc>
        <w:tc>
          <w:tcPr>
            <w:tcW w:w="435" w:type="pct"/>
          </w:tcPr>
          <w:p w:rsidR="00B67F00" w:rsidRPr="0019048D" w:rsidRDefault="00B67F00" w:rsidP="00B67F00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UNCT/UNDP</w:t>
            </w:r>
          </w:p>
        </w:tc>
        <w:tc>
          <w:tcPr>
            <w:tcW w:w="531" w:type="pct"/>
          </w:tcPr>
          <w:p w:rsidR="00B67F00" w:rsidRPr="0019048D" w:rsidRDefault="00B67F00" w:rsidP="00B67F00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Outcome level or Impact</w:t>
            </w:r>
          </w:p>
        </w:tc>
        <w:tc>
          <w:tcPr>
            <w:tcW w:w="483" w:type="pct"/>
          </w:tcPr>
          <w:p w:rsidR="00B67F00" w:rsidRPr="0019048D" w:rsidRDefault="00B67F00" w:rsidP="00B67F00">
            <w:pPr>
              <w:spacing w:before="40" w:after="40"/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2018</w:t>
            </w:r>
          </w:p>
        </w:tc>
        <w:tc>
          <w:tcPr>
            <w:tcW w:w="531" w:type="pct"/>
          </w:tcPr>
          <w:p w:rsidR="00B67F00" w:rsidRPr="0019048D" w:rsidRDefault="00B67F00" w:rsidP="00B67F00">
            <w:pPr>
              <w:rPr>
                <w:sz w:val="16"/>
                <w:szCs w:val="16"/>
              </w:rPr>
            </w:pPr>
            <w:r w:rsidRPr="0019048D">
              <w:rPr>
                <w:sz w:val="16"/>
                <w:szCs w:val="16"/>
              </w:rPr>
              <w:t>10,000</w:t>
            </w:r>
          </w:p>
        </w:tc>
        <w:tc>
          <w:tcPr>
            <w:tcW w:w="471" w:type="pct"/>
          </w:tcPr>
          <w:p w:rsidR="00B67F00" w:rsidRPr="0019048D" w:rsidRDefault="00B67F00" w:rsidP="00B67F00">
            <w:pPr>
              <w:rPr>
                <w:rStyle w:val="CommentReference"/>
                <w:sz w:val="16"/>
              </w:rPr>
            </w:pPr>
            <w:r w:rsidRPr="0019048D">
              <w:rPr>
                <w:rStyle w:val="CommentReference"/>
                <w:sz w:val="16"/>
              </w:rPr>
              <w:t>Development support services</w:t>
            </w:r>
          </w:p>
        </w:tc>
      </w:tr>
    </w:tbl>
    <w:p w:rsidR="00D70DBB" w:rsidRDefault="0078285C" w:rsidP="00B67F00">
      <w:pPr>
        <w:pBdr>
          <w:bottom w:val="single" w:sz="4" w:space="1" w:color="auto"/>
        </w:pBdr>
      </w:pPr>
    </w:p>
    <w:sectPr w:rsidR="00D70DBB" w:rsidSect="00C142BB">
      <w:headerReference w:type="even" r:id="rId6"/>
      <w:footerReference w:type="default" r:id="rId7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5C" w:rsidRDefault="0078285C">
      <w:r>
        <w:separator/>
      </w:r>
    </w:p>
  </w:endnote>
  <w:endnote w:type="continuationSeparator" w:id="0">
    <w:p w:rsidR="0078285C" w:rsidRDefault="0078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102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B09" w:rsidRDefault="00826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B09" w:rsidRDefault="00826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5C" w:rsidRDefault="0078285C">
      <w:r>
        <w:separator/>
      </w:r>
    </w:p>
  </w:footnote>
  <w:footnote w:type="continuationSeparator" w:id="0">
    <w:p w:rsidR="0078285C" w:rsidRDefault="0078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9A" w:rsidRDefault="007441A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831FE4" wp14:editId="406B34C9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C5749A" w:rsidRPr="005841A3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C5749A" w:rsidRPr="007C6F85" w:rsidRDefault="007441A3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:rsidR="00C5749A" w:rsidRPr="007C6F85" w:rsidRDefault="0078285C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</w:tc>
                          </w:tr>
                        </w:tbl>
                        <w:p w:rsidR="00C5749A" w:rsidRDefault="0078285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31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C5749A" w:rsidRPr="005841A3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C5749A" w:rsidRPr="007C6F85" w:rsidRDefault="007441A3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:rsidR="00C5749A" w:rsidRPr="007C6F85" w:rsidRDefault="00BA0DC2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</w:p>
                      </w:tc>
                    </w:tr>
                  </w:tbl>
                  <w:p w:rsidR="00C5749A" w:rsidRDefault="00BA0DC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D"/>
    <w:rsid w:val="001164E3"/>
    <w:rsid w:val="00142E4E"/>
    <w:rsid w:val="00242705"/>
    <w:rsid w:val="00485760"/>
    <w:rsid w:val="004F7073"/>
    <w:rsid w:val="007441A3"/>
    <w:rsid w:val="0078285C"/>
    <w:rsid w:val="007A30D6"/>
    <w:rsid w:val="00826B09"/>
    <w:rsid w:val="00900D58"/>
    <w:rsid w:val="00A76DA9"/>
    <w:rsid w:val="00AE051C"/>
    <w:rsid w:val="00B67F00"/>
    <w:rsid w:val="00BA0DC2"/>
    <w:rsid w:val="00BF4DF4"/>
    <w:rsid w:val="00C142BB"/>
    <w:rsid w:val="00C31EF2"/>
    <w:rsid w:val="00D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59C0C-61F8-4861-A1D8-E042F235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03D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603D"/>
    <w:rPr>
      <w:rFonts w:ascii="Courier" w:eastAsia="Times New Roman" w:hAnsi="Courier" w:cs="Times New Roman"/>
      <w:szCs w:val="20"/>
      <w:lang w:val="x-none" w:eastAsia="x-none"/>
    </w:rPr>
  </w:style>
  <w:style w:type="character" w:styleId="CommentReference">
    <w:name w:val="annotation reference"/>
    <w:semiHidden/>
    <w:rsid w:val="00D4603D"/>
    <w:rPr>
      <w:rFonts w:cs="Times New Roman"/>
      <w:sz w:val="6"/>
      <w:szCs w:val="6"/>
    </w:rPr>
  </w:style>
  <w:style w:type="paragraph" w:styleId="Footer">
    <w:name w:val="footer"/>
    <w:basedOn w:val="Normal"/>
    <w:link w:val="FooterChar"/>
    <w:uiPriority w:val="99"/>
    <w:unhideWhenUsed/>
    <w:rsid w:val="00826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Sinelnikova</dc:creator>
  <cp:keywords/>
  <dc:description/>
  <cp:lastModifiedBy>Svetlana Iazykova</cp:lastModifiedBy>
  <cp:revision>2</cp:revision>
  <dcterms:created xsi:type="dcterms:W3CDTF">2015-03-09T14:56:00Z</dcterms:created>
  <dcterms:modified xsi:type="dcterms:W3CDTF">2015-03-09T14:56:00Z</dcterms:modified>
</cp:coreProperties>
</file>