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437D8" w14:textId="77777777" w:rsidR="00065D5F" w:rsidRPr="00603C82" w:rsidRDefault="00065D5F" w:rsidP="00065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603C82">
        <w:rPr>
          <w:b/>
          <w:color w:val="000000"/>
          <w:lang w:val="en-GB"/>
        </w:rPr>
        <w:t>Second regular session 2015</w:t>
      </w:r>
    </w:p>
    <w:p w14:paraId="3CFF310F" w14:textId="1DE2CDAF" w:rsidR="00065D5F" w:rsidRPr="00603C82" w:rsidRDefault="00065D5F" w:rsidP="00065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603C82">
        <w:rPr>
          <w:color w:val="000000"/>
          <w:lang w:val="en-GB"/>
        </w:rPr>
        <w:t xml:space="preserve">1 </w:t>
      </w:r>
      <w:r w:rsidR="00484CBF">
        <w:rPr>
          <w:color w:val="000000"/>
          <w:lang w:val="en-GB"/>
        </w:rPr>
        <w:t>-</w:t>
      </w:r>
      <w:r w:rsidRPr="00603C82">
        <w:rPr>
          <w:color w:val="000000"/>
          <w:lang w:val="en-GB"/>
        </w:rPr>
        <w:t xml:space="preserve"> 4 September 2015, New York</w:t>
      </w:r>
    </w:p>
    <w:p w14:paraId="2509F341" w14:textId="77777777" w:rsidR="00065D5F" w:rsidRPr="00603C82" w:rsidRDefault="00065D5F" w:rsidP="00065D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603C82">
        <w:rPr>
          <w:color w:val="000000"/>
          <w:lang w:val="en-GB"/>
        </w:rPr>
        <w:t>Item 6 of the provisional agenda</w:t>
      </w:r>
    </w:p>
    <w:p w14:paraId="09C5C02F" w14:textId="77777777" w:rsidR="00065D5F" w:rsidRPr="00603C82" w:rsidRDefault="00065D5F" w:rsidP="00065D5F">
      <w:pPr>
        <w:ind w:right="1260"/>
        <w:rPr>
          <w:b/>
          <w:color w:val="000000"/>
          <w:lang w:val="en-GB"/>
        </w:rPr>
      </w:pPr>
      <w:r w:rsidRPr="00603C82">
        <w:rPr>
          <w:b/>
          <w:color w:val="000000"/>
          <w:lang w:val="en-GB"/>
        </w:rPr>
        <w:t>Country programmes and related matters</w:t>
      </w:r>
    </w:p>
    <w:p w14:paraId="026A8E10" w14:textId="77777777" w:rsidR="00065D5F" w:rsidRPr="00603C82" w:rsidRDefault="00065D5F" w:rsidP="00065D5F">
      <w:pPr>
        <w:pStyle w:val="SingleTxt"/>
        <w:spacing w:after="0" w:line="120" w:lineRule="exact"/>
        <w:rPr>
          <w:color w:val="000000"/>
          <w:sz w:val="10"/>
        </w:rPr>
      </w:pPr>
    </w:p>
    <w:p w14:paraId="4CD8BE20" w14:textId="77777777" w:rsidR="00065D5F" w:rsidRPr="00603C82" w:rsidRDefault="00065D5F" w:rsidP="00065D5F">
      <w:pPr>
        <w:pStyle w:val="SingleTxt"/>
        <w:spacing w:after="0" w:line="120" w:lineRule="exact"/>
        <w:rPr>
          <w:color w:val="000000"/>
          <w:sz w:val="10"/>
        </w:rPr>
      </w:pPr>
    </w:p>
    <w:p w14:paraId="3202A1F4" w14:textId="77777777" w:rsidR="00785474" w:rsidRPr="00603C82" w:rsidRDefault="00785474" w:rsidP="00D9153B">
      <w:pPr>
        <w:pStyle w:val="SingleTxt"/>
        <w:spacing w:after="0" w:line="120" w:lineRule="exact"/>
        <w:rPr>
          <w:color w:val="000000"/>
          <w:sz w:val="10"/>
        </w:rPr>
      </w:pPr>
    </w:p>
    <w:p w14:paraId="2A0BCD55" w14:textId="77777777" w:rsidR="00785474" w:rsidRPr="00603C82" w:rsidRDefault="00785474" w:rsidP="00D9153B">
      <w:pPr>
        <w:pStyle w:val="SingleTxt"/>
        <w:spacing w:after="0" w:line="120" w:lineRule="exact"/>
        <w:rPr>
          <w:color w:val="000000"/>
          <w:sz w:val="10"/>
        </w:rPr>
      </w:pPr>
    </w:p>
    <w:p w14:paraId="21D0F87E" w14:textId="77777777" w:rsidR="00785474" w:rsidRPr="00603C82" w:rsidRDefault="00785474" w:rsidP="000439B5">
      <w:pPr>
        <w:pStyle w:val="SingleTxt"/>
        <w:spacing w:after="0" w:line="120" w:lineRule="exact"/>
        <w:jc w:val="center"/>
        <w:rPr>
          <w:color w:val="000000"/>
          <w:sz w:val="12"/>
        </w:rPr>
      </w:pPr>
    </w:p>
    <w:p w14:paraId="68D9BF9B" w14:textId="77777777" w:rsidR="00A50370" w:rsidRPr="00603C82" w:rsidRDefault="00A50370" w:rsidP="000439B5">
      <w:pPr>
        <w:pStyle w:val="SingleTxt"/>
        <w:spacing w:after="0" w:line="120" w:lineRule="exact"/>
        <w:jc w:val="center"/>
        <w:rPr>
          <w:color w:val="000000"/>
          <w:sz w:val="12"/>
        </w:rPr>
      </w:pPr>
    </w:p>
    <w:p w14:paraId="0498823E" w14:textId="77777777" w:rsidR="00A50370" w:rsidRPr="00603C82" w:rsidRDefault="00A50370" w:rsidP="000439B5">
      <w:pPr>
        <w:pStyle w:val="SingleTxt"/>
        <w:spacing w:after="0" w:line="120" w:lineRule="exact"/>
        <w:jc w:val="center"/>
        <w:rPr>
          <w:color w:val="000000"/>
          <w:sz w:val="12"/>
        </w:rPr>
      </w:pPr>
    </w:p>
    <w:p w14:paraId="69C92B56" w14:textId="77777777" w:rsidR="00A50370" w:rsidRPr="00603C82" w:rsidRDefault="00A50370" w:rsidP="000439B5">
      <w:pPr>
        <w:pStyle w:val="SingleTxt"/>
        <w:spacing w:after="0" w:line="120" w:lineRule="exact"/>
        <w:jc w:val="center"/>
        <w:rPr>
          <w:color w:val="000000"/>
          <w:sz w:val="12"/>
        </w:rPr>
      </w:pPr>
    </w:p>
    <w:p w14:paraId="65905F87" w14:textId="77777777" w:rsidR="00785474" w:rsidRPr="00603C82" w:rsidRDefault="00785474" w:rsidP="00484CBF">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32"/>
        </w:rPr>
      </w:pPr>
      <w:r w:rsidRPr="00603C82">
        <w:rPr>
          <w:color w:val="000000"/>
          <w:sz w:val="32"/>
        </w:rPr>
        <w:t>Draft country programme document for</w:t>
      </w:r>
      <w:r w:rsidR="00065D5F" w:rsidRPr="00603C82">
        <w:rPr>
          <w:color w:val="000000"/>
          <w:sz w:val="32"/>
        </w:rPr>
        <w:t xml:space="preserve"> </w:t>
      </w:r>
      <w:r w:rsidR="00CE17AB" w:rsidRPr="00603C82">
        <w:rPr>
          <w:color w:val="000000"/>
          <w:sz w:val="32"/>
        </w:rPr>
        <w:t xml:space="preserve">the Republic of </w:t>
      </w:r>
      <w:r w:rsidR="00AE6672" w:rsidRPr="00603C82">
        <w:rPr>
          <w:color w:val="000000"/>
          <w:sz w:val="32"/>
        </w:rPr>
        <w:t xml:space="preserve">Belarus </w:t>
      </w:r>
      <w:r w:rsidR="000439B5" w:rsidRPr="00603C82">
        <w:rPr>
          <w:color w:val="000000"/>
          <w:sz w:val="32"/>
        </w:rPr>
        <w:t>(</w:t>
      </w:r>
      <w:r w:rsidR="00AE6672" w:rsidRPr="00603C82">
        <w:rPr>
          <w:color w:val="000000"/>
          <w:sz w:val="32"/>
        </w:rPr>
        <w:t>2016-2020</w:t>
      </w:r>
      <w:r w:rsidR="000439B5" w:rsidRPr="00603C82">
        <w:rPr>
          <w:color w:val="000000"/>
          <w:sz w:val="32"/>
        </w:rPr>
        <w:t>)</w:t>
      </w:r>
    </w:p>
    <w:p w14:paraId="6EAD9D59" w14:textId="77777777" w:rsidR="00AE6672" w:rsidRPr="00603C82" w:rsidRDefault="00AE6672" w:rsidP="00AE6672">
      <w:pPr>
        <w:rPr>
          <w:lang w:val="en-GB"/>
        </w:rPr>
      </w:pPr>
    </w:p>
    <w:p w14:paraId="157A6156" w14:textId="77777777" w:rsidR="00065D5F" w:rsidRPr="00603C82" w:rsidRDefault="00065D5F" w:rsidP="00AE6672">
      <w:pPr>
        <w:rPr>
          <w:lang w:val="en-GB"/>
        </w:rPr>
      </w:pPr>
    </w:p>
    <w:p w14:paraId="12F4D96A" w14:textId="77777777" w:rsidR="000452C7" w:rsidRPr="00603C82" w:rsidRDefault="000452C7" w:rsidP="000452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603C82">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65D5F" w:rsidRPr="004574DC" w14:paraId="26241FF6" w14:textId="77777777" w:rsidTr="00F3477F">
        <w:tc>
          <w:tcPr>
            <w:tcW w:w="1060" w:type="dxa"/>
            <w:shd w:val="clear" w:color="auto" w:fill="auto"/>
          </w:tcPr>
          <w:p w14:paraId="564581B0" w14:textId="77777777" w:rsidR="00065D5F" w:rsidRPr="00603C82" w:rsidRDefault="00065D5F" w:rsidP="00F3477F">
            <w:pPr>
              <w:suppressAutoHyphens/>
              <w:spacing w:after="120"/>
              <w:jc w:val="right"/>
              <w:rPr>
                <w:i/>
                <w:spacing w:val="4"/>
                <w:w w:val="103"/>
                <w:kern w:val="14"/>
                <w:sz w:val="14"/>
                <w:lang w:val="en-GB"/>
              </w:rPr>
            </w:pPr>
          </w:p>
        </w:tc>
        <w:tc>
          <w:tcPr>
            <w:tcW w:w="7315" w:type="dxa"/>
            <w:shd w:val="clear" w:color="auto" w:fill="auto"/>
          </w:tcPr>
          <w:p w14:paraId="438D1008" w14:textId="77777777" w:rsidR="00065D5F" w:rsidRPr="00603C82" w:rsidRDefault="00065D5F" w:rsidP="00F3477F">
            <w:pPr>
              <w:suppressAutoHyphens/>
              <w:spacing w:after="120"/>
              <w:rPr>
                <w:i/>
                <w:spacing w:val="4"/>
                <w:w w:val="103"/>
                <w:kern w:val="14"/>
                <w:sz w:val="14"/>
                <w:lang w:val="en-GB"/>
              </w:rPr>
            </w:pPr>
          </w:p>
        </w:tc>
        <w:tc>
          <w:tcPr>
            <w:tcW w:w="1527" w:type="dxa"/>
            <w:gridSpan w:val="2"/>
            <w:shd w:val="clear" w:color="auto" w:fill="auto"/>
          </w:tcPr>
          <w:p w14:paraId="15ACED9B" w14:textId="77777777" w:rsidR="00065D5F" w:rsidRPr="00603C82" w:rsidRDefault="00065D5F" w:rsidP="00F3477F">
            <w:pPr>
              <w:suppressAutoHyphens/>
              <w:spacing w:after="120"/>
              <w:jc w:val="right"/>
              <w:rPr>
                <w:i/>
                <w:spacing w:val="4"/>
                <w:w w:val="103"/>
                <w:kern w:val="14"/>
                <w:sz w:val="14"/>
                <w:lang w:val="en-GB"/>
              </w:rPr>
            </w:pPr>
            <w:r w:rsidRPr="00603C82">
              <w:rPr>
                <w:i/>
                <w:spacing w:val="4"/>
                <w:w w:val="103"/>
                <w:kern w:val="14"/>
                <w:sz w:val="14"/>
                <w:lang w:val="en-GB"/>
              </w:rPr>
              <w:t>Page</w:t>
            </w:r>
          </w:p>
        </w:tc>
      </w:tr>
      <w:tr w:rsidR="00065D5F" w:rsidRPr="004574DC" w14:paraId="0B3363C8" w14:textId="77777777" w:rsidTr="00F3477F">
        <w:tc>
          <w:tcPr>
            <w:tcW w:w="8375" w:type="dxa"/>
            <w:gridSpan w:val="2"/>
            <w:shd w:val="clear" w:color="auto" w:fill="auto"/>
          </w:tcPr>
          <w:p w14:paraId="52EAF33D" w14:textId="77777777" w:rsidR="00065D5F" w:rsidRPr="00603C82" w:rsidRDefault="00065D5F" w:rsidP="00065D5F">
            <w:pPr>
              <w:numPr>
                <w:ilvl w:val="0"/>
                <w:numId w:val="35"/>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603C82">
              <w:rPr>
                <w:spacing w:val="4"/>
                <w:w w:val="103"/>
                <w:kern w:val="14"/>
                <w:lang w:val="en-GB"/>
              </w:rPr>
              <w:tab/>
              <w:t>Programme rationale</w:t>
            </w:r>
            <w:r w:rsidRPr="00603C82">
              <w:rPr>
                <w:spacing w:val="60"/>
                <w:w w:val="103"/>
                <w:kern w:val="14"/>
                <w:sz w:val="17"/>
                <w:lang w:val="en-GB"/>
              </w:rPr>
              <w:tab/>
            </w:r>
          </w:p>
        </w:tc>
        <w:tc>
          <w:tcPr>
            <w:tcW w:w="1527" w:type="dxa"/>
            <w:gridSpan w:val="2"/>
            <w:vMerge w:val="restart"/>
            <w:shd w:val="clear" w:color="auto" w:fill="auto"/>
            <w:vAlign w:val="bottom"/>
          </w:tcPr>
          <w:p w14:paraId="1A8240F5" w14:textId="77777777" w:rsidR="00065D5F" w:rsidRPr="00AD20B2" w:rsidRDefault="00065D5F" w:rsidP="00F3477F">
            <w:pPr>
              <w:suppressAutoHyphens/>
              <w:spacing w:after="120" w:line="240" w:lineRule="exact"/>
              <w:jc w:val="right"/>
              <w:rPr>
                <w:spacing w:val="4"/>
                <w:w w:val="103"/>
                <w:kern w:val="14"/>
                <w:lang w:val="en-GB"/>
              </w:rPr>
            </w:pPr>
            <w:r w:rsidRPr="00AD20B2">
              <w:rPr>
                <w:spacing w:val="4"/>
                <w:w w:val="103"/>
                <w:kern w:val="14"/>
                <w:lang w:val="en-GB"/>
              </w:rPr>
              <w:t>2</w:t>
            </w:r>
          </w:p>
          <w:p w14:paraId="1202A9A9" w14:textId="167218A8" w:rsidR="00065D5F" w:rsidRPr="004574DC" w:rsidRDefault="00103B4F" w:rsidP="00F3477F">
            <w:pPr>
              <w:suppressAutoHyphens/>
              <w:spacing w:after="120" w:line="240" w:lineRule="exact"/>
              <w:jc w:val="right"/>
              <w:rPr>
                <w:spacing w:val="4"/>
                <w:w w:val="103"/>
                <w:kern w:val="14"/>
                <w:lang w:val="en-GB"/>
              </w:rPr>
            </w:pPr>
            <w:r>
              <w:rPr>
                <w:spacing w:val="4"/>
                <w:w w:val="103"/>
                <w:kern w:val="14"/>
                <w:lang w:val="en-GB"/>
              </w:rPr>
              <w:t>4</w:t>
            </w:r>
            <w:bookmarkStart w:id="0" w:name="_GoBack"/>
            <w:bookmarkEnd w:id="0"/>
          </w:p>
        </w:tc>
      </w:tr>
      <w:tr w:rsidR="00065D5F" w:rsidRPr="004574DC" w14:paraId="330FB90F" w14:textId="77777777" w:rsidTr="00F3477F">
        <w:tc>
          <w:tcPr>
            <w:tcW w:w="8375" w:type="dxa"/>
            <w:gridSpan w:val="2"/>
            <w:shd w:val="clear" w:color="auto" w:fill="auto"/>
          </w:tcPr>
          <w:p w14:paraId="4D87A9A6" w14:textId="77777777" w:rsidR="00065D5F" w:rsidRPr="00603C82" w:rsidRDefault="00065D5F" w:rsidP="00065D5F">
            <w:pPr>
              <w:numPr>
                <w:ilvl w:val="0"/>
                <w:numId w:val="35"/>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603C82">
              <w:rPr>
                <w:spacing w:val="4"/>
                <w:w w:val="103"/>
                <w:kern w:val="14"/>
                <w:lang w:val="en-GB"/>
              </w:rPr>
              <w:tab/>
              <w:t>Programme priorities and partnerships</w:t>
            </w:r>
            <w:r w:rsidRPr="00603C82">
              <w:rPr>
                <w:spacing w:val="60"/>
                <w:w w:val="103"/>
                <w:kern w:val="14"/>
                <w:sz w:val="17"/>
                <w:lang w:val="en-GB"/>
              </w:rPr>
              <w:tab/>
            </w:r>
          </w:p>
        </w:tc>
        <w:tc>
          <w:tcPr>
            <w:tcW w:w="1527" w:type="dxa"/>
            <w:gridSpan w:val="2"/>
            <w:vMerge/>
            <w:shd w:val="clear" w:color="auto" w:fill="auto"/>
            <w:vAlign w:val="bottom"/>
          </w:tcPr>
          <w:p w14:paraId="688435C5" w14:textId="77777777" w:rsidR="00065D5F" w:rsidRPr="004574DC" w:rsidRDefault="00065D5F" w:rsidP="00F3477F">
            <w:pPr>
              <w:suppressAutoHyphens/>
              <w:spacing w:after="120" w:line="240" w:lineRule="exact"/>
              <w:jc w:val="right"/>
              <w:rPr>
                <w:spacing w:val="4"/>
                <w:w w:val="103"/>
                <w:kern w:val="14"/>
                <w:lang w:val="en-GB"/>
              </w:rPr>
            </w:pPr>
          </w:p>
        </w:tc>
      </w:tr>
      <w:tr w:rsidR="00065D5F" w:rsidRPr="004574DC" w14:paraId="1F5AA3BF" w14:textId="77777777" w:rsidTr="00F3477F">
        <w:tc>
          <w:tcPr>
            <w:tcW w:w="8375" w:type="dxa"/>
            <w:gridSpan w:val="2"/>
            <w:shd w:val="clear" w:color="auto" w:fill="auto"/>
          </w:tcPr>
          <w:p w14:paraId="7D3B3CE7" w14:textId="77777777" w:rsidR="00065D5F" w:rsidRPr="00603C82" w:rsidRDefault="00065D5F" w:rsidP="00065D5F">
            <w:pPr>
              <w:numPr>
                <w:ilvl w:val="0"/>
                <w:numId w:val="35"/>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603C82">
              <w:rPr>
                <w:spacing w:val="4"/>
                <w:w w:val="103"/>
                <w:kern w:val="14"/>
                <w:lang w:val="en-GB"/>
              </w:rPr>
              <w:tab/>
              <w:t>Programme and risk management</w:t>
            </w:r>
            <w:r w:rsidRPr="00603C82">
              <w:rPr>
                <w:spacing w:val="60"/>
                <w:w w:val="103"/>
                <w:kern w:val="14"/>
                <w:sz w:val="17"/>
                <w:lang w:val="en-GB"/>
              </w:rPr>
              <w:tab/>
            </w:r>
          </w:p>
        </w:tc>
        <w:tc>
          <w:tcPr>
            <w:tcW w:w="1527" w:type="dxa"/>
            <w:gridSpan w:val="2"/>
            <w:vMerge w:val="restart"/>
            <w:shd w:val="clear" w:color="auto" w:fill="auto"/>
            <w:vAlign w:val="bottom"/>
          </w:tcPr>
          <w:p w14:paraId="649C5C8E" w14:textId="51879C63" w:rsidR="00065D5F" w:rsidRPr="00AD20B2" w:rsidRDefault="00103B4F" w:rsidP="00F3477F">
            <w:pPr>
              <w:suppressAutoHyphens/>
              <w:spacing w:after="120" w:line="240" w:lineRule="exact"/>
              <w:jc w:val="right"/>
              <w:rPr>
                <w:spacing w:val="4"/>
                <w:w w:val="103"/>
                <w:kern w:val="14"/>
                <w:lang w:val="en-GB"/>
              </w:rPr>
            </w:pPr>
            <w:r>
              <w:rPr>
                <w:spacing w:val="4"/>
                <w:w w:val="103"/>
                <w:kern w:val="14"/>
                <w:lang w:val="en-GB"/>
              </w:rPr>
              <w:t>6</w:t>
            </w:r>
          </w:p>
          <w:p w14:paraId="5D97B07D" w14:textId="432008FC" w:rsidR="00065D5F" w:rsidRPr="004574DC" w:rsidRDefault="00103B4F" w:rsidP="00F3477F">
            <w:pPr>
              <w:suppressAutoHyphens/>
              <w:spacing w:after="120" w:line="240" w:lineRule="exact"/>
              <w:jc w:val="right"/>
              <w:rPr>
                <w:spacing w:val="4"/>
                <w:w w:val="103"/>
                <w:kern w:val="14"/>
                <w:lang w:val="en-GB"/>
              </w:rPr>
            </w:pPr>
            <w:r>
              <w:rPr>
                <w:spacing w:val="4"/>
                <w:w w:val="103"/>
                <w:kern w:val="14"/>
                <w:lang w:val="en-GB"/>
              </w:rPr>
              <w:t>7</w:t>
            </w:r>
          </w:p>
        </w:tc>
      </w:tr>
      <w:tr w:rsidR="00065D5F" w:rsidRPr="004574DC" w14:paraId="3D1F5860" w14:textId="77777777" w:rsidTr="00F3477F">
        <w:tc>
          <w:tcPr>
            <w:tcW w:w="8375" w:type="dxa"/>
            <w:gridSpan w:val="2"/>
            <w:shd w:val="clear" w:color="auto" w:fill="auto"/>
          </w:tcPr>
          <w:p w14:paraId="7348A549" w14:textId="77777777" w:rsidR="00065D5F" w:rsidRPr="00603C82" w:rsidRDefault="00065D5F" w:rsidP="00065D5F">
            <w:pPr>
              <w:numPr>
                <w:ilvl w:val="0"/>
                <w:numId w:val="35"/>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603C82">
              <w:rPr>
                <w:spacing w:val="4"/>
                <w:w w:val="103"/>
                <w:kern w:val="14"/>
                <w:lang w:val="en-GB"/>
              </w:rPr>
              <w:tab/>
              <w:t>Monitoring and evaluation</w:t>
            </w:r>
            <w:r w:rsidRPr="00603C82">
              <w:rPr>
                <w:spacing w:val="60"/>
                <w:w w:val="103"/>
                <w:kern w:val="14"/>
                <w:sz w:val="17"/>
                <w:lang w:val="en-GB"/>
              </w:rPr>
              <w:tab/>
            </w:r>
          </w:p>
        </w:tc>
        <w:tc>
          <w:tcPr>
            <w:tcW w:w="1527" w:type="dxa"/>
            <w:gridSpan w:val="2"/>
            <w:vMerge/>
            <w:shd w:val="clear" w:color="auto" w:fill="auto"/>
            <w:vAlign w:val="bottom"/>
          </w:tcPr>
          <w:p w14:paraId="44F9C5A0" w14:textId="77777777" w:rsidR="00065D5F" w:rsidRPr="004574DC" w:rsidRDefault="00065D5F" w:rsidP="00F3477F">
            <w:pPr>
              <w:suppressAutoHyphens/>
              <w:spacing w:after="120" w:line="240" w:lineRule="exact"/>
              <w:jc w:val="right"/>
              <w:rPr>
                <w:spacing w:val="4"/>
                <w:w w:val="103"/>
                <w:kern w:val="14"/>
                <w:lang w:val="en-GB"/>
              </w:rPr>
            </w:pPr>
          </w:p>
        </w:tc>
      </w:tr>
      <w:tr w:rsidR="00065D5F" w:rsidRPr="004574DC" w14:paraId="302B8A70" w14:textId="77777777" w:rsidTr="00F3477F">
        <w:tc>
          <w:tcPr>
            <w:tcW w:w="9369" w:type="dxa"/>
            <w:gridSpan w:val="3"/>
            <w:shd w:val="clear" w:color="auto" w:fill="auto"/>
          </w:tcPr>
          <w:p w14:paraId="768E3F20" w14:textId="77777777" w:rsidR="00065D5F" w:rsidRPr="00603C82" w:rsidRDefault="00065D5F" w:rsidP="00F3477F">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603C82">
              <w:rPr>
                <w:spacing w:val="4"/>
                <w:w w:val="103"/>
                <w:kern w:val="14"/>
                <w:lang w:val="en-GB"/>
              </w:rPr>
              <w:t>Annex</w:t>
            </w:r>
          </w:p>
        </w:tc>
        <w:tc>
          <w:tcPr>
            <w:tcW w:w="533" w:type="dxa"/>
            <w:shd w:val="clear" w:color="auto" w:fill="auto"/>
            <w:vAlign w:val="bottom"/>
          </w:tcPr>
          <w:p w14:paraId="4A18B02D" w14:textId="77777777" w:rsidR="00065D5F" w:rsidRPr="00AD20B2" w:rsidRDefault="00065D5F" w:rsidP="00F3477F">
            <w:pPr>
              <w:suppressAutoHyphens/>
              <w:spacing w:after="120" w:line="240" w:lineRule="exact"/>
              <w:jc w:val="right"/>
              <w:rPr>
                <w:spacing w:val="4"/>
                <w:w w:val="103"/>
                <w:kern w:val="14"/>
                <w:lang w:val="en-GB"/>
              </w:rPr>
            </w:pPr>
          </w:p>
        </w:tc>
      </w:tr>
      <w:tr w:rsidR="00065D5F" w:rsidRPr="004574DC" w14:paraId="2BEDCA9F" w14:textId="77777777" w:rsidTr="00F3477F">
        <w:tc>
          <w:tcPr>
            <w:tcW w:w="9369" w:type="dxa"/>
            <w:gridSpan w:val="3"/>
            <w:shd w:val="clear" w:color="auto" w:fill="auto"/>
          </w:tcPr>
          <w:p w14:paraId="116AA73C" w14:textId="77777777" w:rsidR="00065D5F" w:rsidRPr="00603C82" w:rsidRDefault="00065D5F" w:rsidP="000452C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603C82">
              <w:rPr>
                <w:spacing w:val="4"/>
                <w:w w:val="103"/>
                <w:kern w:val="14"/>
                <w:lang w:val="en-GB"/>
              </w:rPr>
              <w:t xml:space="preserve">Results and resources framework for </w:t>
            </w:r>
            <w:r w:rsidR="000452C7" w:rsidRPr="00603C82">
              <w:rPr>
                <w:spacing w:val="4"/>
                <w:w w:val="103"/>
                <w:kern w:val="14"/>
                <w:lang w:val="en-GB"/>
              </w:rPr>
              <w:t xml:space="preserve">Belarus </w:t>
            </w:r>
            <w:r w:rsidRPr="00603C82">
              <w:rPr>
                <w:spacing w:val="4"/>
                <w:w w:val="103"/>
                <w:kern w:val="14"/>
                <w:lang w:val="en-GB"/>
              </w:rPr>
              <w:t>(2016-2020)</w:t>
            </w:r>
          </w:p>
        </w:tc>
        <w:tc>
          <w:tcPr>
            <w:tcW w:w="533" w:type="dxa"/>
            <w:shd w:val="clear" w:color="auto" w:fill="auto"/>
            <w:vAlign w:val="bottom"/>
          </w:tcPr>
          <w:p w14:paraId="439E5348" w14:textId="7BC5287E" w:rsidR="00065D5F" w:rsidRPr="00AD20B2" w:rsidRDefault="00103B4F" w:rsidP="00F3477F">
            <w:pPr>
              <w:suppressAutoHyphens/>
              <w:spacing w:after="120" w:line="240" w:lineRule="exact"/>
              <w:jc w:val="right"/>
              <w:rPr>
                <w:spacing w:val="4"/>
                <w:w w:val="103"/>
                <w:kern w:val="14"/>
                <w:lang w:val="en-GB"/>
              </w:rPr>
            </w:pPr>
            <w:r>
              <w:rPr>
                <w:spacing w:val="4"/>
                <w:w w:val="103"/>
                <w:kern w:val="14"/>
                <w:lang w:val="en-GB"/>
              </w:rPr>
              <w:t>8</w:t>
            </w:r>
          </w:p>
        </w:tc>
      </w:tr>
    </w:tbl>
    <w:p w14:paraId="5C830AF4" w14:textId="77777777" w:rsidR="00A918A7" w:rsidRPr="00603C82" w:rsidRDefault="00785474" w:rsidP="00F3477F">
      <w:pPr>
        <w:pStyle w:val="Heading2"/>
        <w:ind w:left="1440" w:right="1267" w:hanging="360"/>
        <w:jc w:val="both"/>
        <w:rPr>
          <w:rFonts w:ascii="Times New Roman" w:hAnsi="Times New Roman"/>
          <w:bCs/>
          <w:color w:val="000000"/>
          <w:sz w:val="24"/>
          <w:szCs w:val="24"/>
          <w:lang w:val="en-GB"/>
        </w:rPr>
      </w:pPr>
      <w:r w:rsidRPr="00603C82">
        <w:rPr>
          <w:lang w:val="en-GB"/>
        </w:rPr>
        <w:br w:type="page"/>
      </w:r>
      <w:r w:rsidR="0059112A" w:rsidRPr="00603C82">
        <w:rPr>
          <w:rFonts w:ascii="Times New Roman" w:hAnsi="Times New Roman"/>
          <w:bCs/>
          <w:color w:val="000000"/>
          <w:sz w:val="24"/>
          <w:szCs w:val="24"/>
          <w:lang w:val="en-GB"/>
        </w:rPr>
        <w:lastRenderedPageBreak/>
        <w:t xml:space="preserve">I. </w:t>
      </w:r>
      <w:r w:rsidR="00F3477F" w:rsidRPr="00603C82">
        <w:rPr>
          <w:rFonts w:ascii="Times New Roman" w:hAnsi="Times New Roman"/>
          <w:bCs/>
          <w:color w:val="000000"/>
          <w:sz w:val="24"/>
          <w:szCs w:val="24"/>
          <w:lang w:val="en-GB"/>
        </w:rPr>
        <w:tab/>
      </w:r>
      <w:r w:rsidR="0059112A" w:rsidRPr="00603C82">
        <w:rPr>
          <w:rFonts w:ascii="Times New Roman" w:hAnsi="Times New Roman"/>
          <w:bCs/>
          <w:color w:val="000000"/>
          <w:sz w:val="24"/>
          <w:szCs w:val="24"/>
          <w:lang w:val="en-GB"/>
        </w:rPr>
        <w:t xml:space="preserve">Programme </w:t>
      </w:r>
      <w:r w:rsidR="000452C7" w:rsidRPr="00603C82">
        <w:rPr>
          <w:rFonts w:ascii="Times New Roman" w:hAnsi="Times New Roman"/>
          <w:bCs/>
          <w:color w:val="000000"/>
          <w:sz w:val="24"/>
          <w:szCs w:val="24"/>
          <w:lang w:val="en-GB"/>
        </w:rPr>
        <w:t>r</w:t>
      </w:r>
      <w:r w:rsidR="0059112A" w:rsidRPr="00603C82">
        <w:rPr>
          <w:rFonts w:ascii="Times New Roman" w:hAnsi="Times New Roman"/>
          <w:bCs/>
          <w:color w:val="000000"/>
          <w:sz w:val="24"/>
          <w:szCs w:val="24"/>
          <w:lang w:val="en-GB"/>
        </w:rPr>
        <w:t>ationale</w:t>
      </w:r>
      <w:r w:rsidR="00A113D7" w:rsidRPr="00603C82">
        <w:rPr>
          <w:rFonts w:ascii="Times New Roman" w:hAnsi="Times New Roman"/>
          <w:bCs/>
          <w:color w:val="000000"/>
          <w:sz w:val="24"/>
          <w:szCs w:val="24"/>
          <w:lang w:val="en-GB"/>
        </w:rPr>
        <w:t xml:space="preserve"> </w:t>
      </w:r>
    </w:p>
    <w:p w14:paraId="2A4820A3" w14:textId="77777777" w:rsidR="00AE6672" w:rsidRPr="00484CBF" w:rsidRDefault="00AE6672" w:rsidP="00AE6672">
      <w:pPr>
        <w:rPr>
          <w:sz w:val="16"/>
          <w:szCs w:val="16"/>
          <w:lang w:val="en-GB"/>
        </w:rPr>
      </w:pPr>
    </w:p>
    <w:p w14:paraId="2C18D991" w14:textId="56554EAD" w:rsidR="00AE6672" w:rsidRPr="00603C82" w:rsidRDefault="00AE6672" w:rsidP="00AE6672">
      <w:pPr>
        <w:numPr>
          <w:ilvl w:val="0"/>
          <w:numId w:val="32"/>
        </w:numPr>
        <w:tabs>
          <w:tab w:val="left" w:pos="450"/>
          <w:tab w:val="left" w:pos="810"/>
          <w:tab w:val="left" w:pos="1800"/>
          <w:tab w:val="left" w:pos="8370"/>
        </w:tabs>
        <w:spacing w:after="120"/>
        <w:ind w:left="1440" w:right="1210" w:firstLine="0"/>
        <w:jc w:val="both"/>
        <w:rPr>
          <w:sz w:val="24"/>
          <w:lang w:val="en-GB"/>
        </w:rPr>
      </w:pPr>
      <w:r w:rsidRPr="004574DC">
        <w:rPr>
          <w:lang w:val="en-GB"/>
        </w:rPr>
        <w:t>The Republic of Belarus is an upper-middle income country with a population of 9.5</w:t>
      </w:r>
      <w:r w:rsidR="00110161" w:rsidRPr="004574DC">
        <w:rPr>
          <w:lang w:val="en-GB"/>
        </w:rPr>
        <w:t> </w:t>
      </w:r>
      <w:r w:rsidRPr="004574DC">
        <w:rPr>
          <w:lang w:val="en-GB"/>
        </w:rPr>
        <w:t>million.</w:t>
      </w:r>
      <w:r w:rsidRPr="00603C82">
        <w:rPr>
          <w:lang w:val="en-GB"/>
        </w:rPr>
        <w:t xml:space="preserve"> It ranked 53 </w:t>
      </w:r>
      <w:r w:rsidR="00F3477F" w:rsidRPr="00603C82">
        <w:rPr>
          <w:lang w:val="en-GB"/>
        </w:rPr>
        <w:t xml:space="preserve">out of 187 countries on the human development index, according to </w:t>
      </w:r>
      <w:r w:rsidRPr="00AD20B2">
        <w:rPr>
          <w:lang w:val="en-GB"/>
        </w:rPr>
        <w:t xml:space="preserve">the </w:t>
      </w:r>
      <w:r w:rsidRPr="004574DC">
        <w:rPr>
          <w:i/>
          <w:lang w:val="en-GB"/>
        </w:rPr>
        <w:t xml:space="preserve">Human Development </w:t>
      </w:r>
      <w:r w:rsidR="00F3477F" w:rsidRPr="004574DC">
        <w:rPr>
          <w:i/>
          <w:lang w:val="en-GB"/>
        </w:rPr>
        <w:t>Report 2014</w:t>
      </w:r>
      <w:r w:rsidR="00F3477F" w:rsidRPr="004574DC">
        <w:rPr>
          <w:lang w:val="en-GB"/>
        </w:rPr>
        <w:t>,</w:t>
      </w:r>
      <w:r w:rsidRPr="00603C82">
        <w:rPr>
          <w:i/>
          <w:lang w:val="en-GB"/>
        </w:rPr>
        <w:t xml:space="preserve"> </w:t>
      </w:r>
      <w:r w:rsidRPr="00603C82">
        <w:rPr>
          <w:lang w:val="en-GB"/>
        </w:rPr>
        <w:t xml:space="preserve">and has achieved most of the </w:t>
      </w:r>
      <w:r w:rsidR="001D0D95" w:rsidRPr="00603C82">
        <w:rPr>
          <w:lang w:val="en-GB"/>
        </w:rPr>
        <w:t>Millennium Development Goals (</w:t>
      </w:r>
      <w:r w:rsidRPr="00603C82">
        <w:rPr>
          <w:lang w:val="en-GB"/>
        </w:rPr>
        <w:t>MDGs</w:t>
      </w:r>
      <w:r w:rsidR="001D0D95" w:rsidRPr="00603C82">
        <w:rPr>
          <w:lang w:val="en-GB"/>
        </w:rPr>
        <w:t>)</w:t>
      </w:r>
      <w:r w:rsidRPr="00603C82">
        <w:rPr>
          <w:lang w:val="en-GB"/>
        </w:rPr>
        <w:t>. The share of those below the national poverty line declined from 30</w:t>
      </w:r>
      <w:r w:rsidR="00F6163D" w:rsidRPr="004574DC">
        <w:rPr>
          <w:lang w:val="en-GB"/>
        </w:rPr>
        <w:t>.5</w:t>
      </w:r>
      <w:r w:rsidR="00F3477F" w:rsidRPr="00603C82">
        <w:rPr>
          <w:lang w:val="en-GB"/>
        </w:rPr>
        <w:t xml:space="preserve"> per cent</w:t>
      </w:r>
      <w:r w:rsidRPr="00603C82">
        <w:rPr>
          <w:lang w:val="en-GB"/>
        </w:rPr>
        <w:t xml:space="preserve"> in 2002 to 4.8</w:t>
      </w:r>
      <w:r w:rsidR="00F3477F" w:rsidRPr="00603C82">
        <w:rPr>
          <w:lang w:val="en-GB"/>
        </w:rPr>
        <w:t xml:space="preserve"> per cent</w:t>
      </w:r>
      <w:r w:rsidRPr="00603C82">
        <w:rPr>
          <w:lang w:val="en-GB"/>
        </w:rPr>
        <w:t xml:space="preserve"> in 201</w:t>
      </w:r>
      <w:r w:rsidR="00F6163D" w:rsidRPr="004574DC">
        <w:rPr>
          <w:lang w:val="en-GB"/>
        </w:rPr>
        <w:t>4</w:t>
      </w:r>
      <w:r w:rsidRPr="00603C82">
        <w:rPr>
          <w:lang w:val="en-GB"/>
        </w:rPr>
        <w:t>. The country has significantly reduced the prevalence of tuberculosis, and 95</w:t>
      </w:r>
      <w:r w:rsidR="00F3477F" w:rsidRPr="00603C82">
        <w:rPr>
          <w:lang w:val="en-GB"/>
        </w:rPr>
        <w:t xml:space="preserve"> per cent </w:t>
      </w:r>
      <w:r w:rsidRPr="00603C82">
        <w:rPr>
          <w:lang w:val="en-GB"/>
        </w:rPr>
        <w:t>of pe</w:t>
      </w:r>
      <w:r w:rsidR="00ED5CE2" w:rsidRPr="00603C82">
        <w:rPr>
          <w:lang w:val="en-GB"/>
        </w:rPr>
        <w:t>rsons</w:t>
      </w:r>
      <w:r w:rsidRPr="004574DC">
        <w:rPr>
          <w:lang w:val="en-GB"/>
        </w:rPr>
        <w:t xml:space="preserve"> living with HIV who are included in care are receiving antiretroviral treatment.</w:t>
      </w:r>
      <w:r w:rsidRPr="00603C82">
        <w:rPr>
          <w:lang w:val="en-GB"/>
        </w:rPr>
        <w:t xml:space="preserve"> Belarus ranked 28 </w:t>
      </w:r>
      <w:r w:rsidR="006A14BD" w:rsidRPr="00603C82">
        <w:rPr>
          <w:lang w:val="en-GB"/>
        </w:rPr>
        <w:t xml:space="preserve">on </w:t>
      </w:r>
      <w:r w:rsidRPr="00603C82">
        <w:rPr>
          <w:lang w:val="en-GB"/>
        </w:rPr>
        <w:t xml:space="preserve">the </w:t>
      </w:r>
      <w:r w:rsidR="006A14BD" w:rsidRPr="004574DC">
        <w:rPr>
          <w:lang w:val="en-GB"/>
        </w:rPr>
        <w:t>g</w:t>
      </w:r>
      <w:r w:rsidRPr="004574DC">
        <w:rPr>
          <w:lang w:val="en-GB"/>
        </w:rPr>
        <w:t xml:space="preserve">ender </w:t>
      </w:r>
      <w:r w:rsidR="006A14BD" w:rsidRPr="004574DC">
        <w:rPr>
          <w:lang w:val="en-GB"/>
        </w:rPr>
        <w:t>i</w:t>
      </w:r>
      <w:r w:rsidRPr="004574DC">
        <w:rPr>
          <w:lang w:val="en-GB"/>
        </w:rPr>
        <w:t xml:space="preserve">nequality </w:t>
      </w:r>
      <w:r w:rsidR="006A14BD" w:rsidRPr="004574DC">
        <w:rPr>
          <w:lang w:val="en-GB"/>
        </w:rPr>
        <w:t>i</w:t>
      </w:r>
      <w:r w:rsidRPr="004574DC">
        <w:rPr>
          <w:lang w:val="en-GB"/>
        </w:rPr>
        <w:t>ndex</w:t>
      </w:r>
      <w:r w:rsidR="006A14BD" w:rsidRPr="004574DC">
        <w:rPr>
          <w:lang w:val="en-GB"/>
        </w:rPr>
        <w:t xml:space="preserve">, according to the </w:t>
      </w:r>
      <w:r w:rsidR="006A14BD" w:rsidRPr="004574DC">
        <w:rPr>
          <w:i/>
          <w:lang w:val="en-GB"/>
        </w:rPr>
        <w:t>Human Development Report 2014</w:t>
      </w:r>
      <w:r w:rsidR="006A14BD" w:rsidRPr="004574DC">
        <w:rPr>
          <w:lang w:val="en-GB"/>
        </w:rPr>
        <w:t>,</w:t>
      </w:r>
      <w:r w:rsidRPr="00603C82">
        <w:rPr>
          <w:lang w:val="en-GB"/>
        </w:rPr>
        <w:t xml:space="preserve"> and the </w:t>
      </w:r>
      <w:r w:rsidRPr="00603C82">
        <w:rPr>
          <w:color w:val="000000" w:themeColor="text1"/>
          <w:lang w:val="en-GB"/>
        </w:rPr>
        <w:t>share of women in the national parliament increased from 13.5</w:t>
      </w:r>
      <w:r w:rsidR="006A14BD" w:rsidRPr="00603C82">
        <w:rPr>
          <w:color w:val="000000" w:themeColor="text1"/>
          <w:lang w:val="en-GB"/>
        </w:rPr>
        <w:t xml:space="preserve"> per cent</w:t>
      </w:r>
      <w:r w:rsidRPr="00603C82">
        <w:rPr>
          <w:color w:val="000000" w:themeColor="text1"/>
          <w:lang w:val="en-GB"/>
        </w:rPr>
        <w:t xml:space="preserve"> in 2000 to 29.</w:t>
      </w:r>
      <w:r w:rsidR="00F6163D" w:rsidRPr="004574DC">
        <w:rPr>
          <w:color w:val="000000" w:themeColor="text1"/>
          <w:lang w:val="en-GB"/>
        </w:rPr>
        <w:t>7</w:t>
      </w:r>
      <w:r w:rsidR="00BD4D73" w:rsidRPr="00603C82">
        <w:rPr>
          <w:color w:val="000000" w:themeColor="text1"/>
          <w:lang w:val="en-GB"/>
        </w:rPr>
        <w:t xml:space="preserve"> </w:t>
      </w:r>
      <w:r w:rsidR="006A14BD" w:rsidRPr="00603C82">
        <w:rPr>
          <w:color w:val="000000" w:themeColor="text1"/>
          <w:lang w:val="en-GB"/>
        </w:rPr>
        <w:t>per cent</w:t>
      </w:r>
      <w:r w:rsidRPr="00603C82">
        <w:rPr>
          <w:color w:val="000000" w:themeColor="text1"/>
          <w:lang w:val="en-GB"/>
        </w:rPr>
        <w:t xml:space="preserve"> in 201</w:t>
      </w:r>
      <w:r w:rsidR="00F6163D" w:rsidRPr="004574DC">
        <w:rPr>
          <w:color w:val="000000" w:themeColor="text1"/>
          <w:lang w:val="en-GB"/>
        </w:rPr>
        <w:t>4</w:t>
      </w:r>
      <w:r w:rsidRPr="00603C82">
        <w:rPr>
          <w:color w:val="000000" w:themeColor="text1"/>
          <w:lang w:val="en-GB"/>
        </w:rPr>
        <w:t>.</w:t>
      </w:r>
      <w:r w:rsidRPr="00603C82">
        <w:rPr>
          <w:lang w:val="en-GB"/>
        </w:rPr>
        <w:t xml:space="preserve"> Current greenhouse gas emissions in Belarus are already 3</w:t>
      </w:r>
      <w:r w:rsidR="00F6163D" w:rsidRPr="004574DC">
        <w:rPr>
          <w:lang w:val="en-GB"/>
        </w:rPr>
        <w:t>3</w:t>
      </w:r>
      <w:r w:rsidR="006A14BD" w:rsidRPr="00603C82">
        <w:rPr>
          <w:lang w:val="en-GB"/>
        </w:rPr>
        <w:t xml:space="preserve"> per cent</w:t>
      </w:r>
      <w:r w:rsidRPr="00603C82">
        <w:rPr>
          <w:lang w:val="en-GB"/>
        </w:rPr>
        <w:t xml:space="preserve"> </w:t>
      </w:r>
      <w:r w:rsidR="00F6163D" w:rsidRPr="004574DC">
        <w:rPr>
          <w:lang w:val="en-GB"/>
        </w:rPr>
        <w:t xml:space="preserve">(2013) </w:t>
      </w:r>
      <w:r w:rsidRPr="00603C82">
        <w:rPr>
          <w:lang w:val="en-GB"/>
        </w:rPr>
        <w:t>below 1990 emissions. The country continues to preserve its biodiversity and expand its specially protected areas</w:t>
      </w:r>
      <w:r w:rsidR="006A14BD" w:rsidRPr="00603C82">
        <w:rPr>
          <w:lang w:val="en-GB"/>
        </w:rPr>
        <w:t xml:space="preserve">, which accounted for </w:t>
      </w:r>
      <w:r w:rsidRPr="00603C82">
        <w:rPr>
          <w:lang w:val="en-GB"/>
        </w:rPr>
        <w:t xml:space="preserve">7.8 </w:t>
      </w:r>
      <w:r w:rsidR="006A14BD" w:rsidRPr="00603C82">
        <w:rPr>
          <w:lang w:val="en-GB"/>
        </w:rPr>
        <w:t>per cent</w:t>
      </w:r>
      <w:r w:rsidRPr="00603C82">
        <w:rPr>
          <w:lang w:val="en-GB"/>
        </w:rPr>
        <w:t xml:space="preserve"> of its territory in 2013.</w:t>
      </w:r>
    </w:p>
    <w:p w14:paraId="505F6D09" w14:textId="010F5E0A" w:rsidR="00AE6672" w:rsidRPr="00603C82" w:rsidRDefault="00AE6672" w:rsidP="00AE6672">
      <w:pPr>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AD20B2">
        <w:rPr>
          <w:lang w:val="en-GB"/>
        </w:rPr>
        <w:t>Belarus has adopted a cautious approach to market reforms, preserving the central role of the state, with state-owned enterprises accounting for about 50</w:t>
      </w:r>
      <w:r w:rsidR="006A14BD" w:rsidRPr="004574DC">
        <w:rPr>
          <w:lang w:val="en-GB"/>
        </w:rPr>
        <w:t xml:space="preserve"> per cent</w:t>
      </w:r>
      <w:r w:rsidRPr="004574DC">
        <w:rPr>
          <w:lang w:val="en-GB"/>
        </w:rPr>
        <w:t xml:space="preserve"> of </w:t>
      </w:r>
      <w:r w:rsidR="006A14BD" w:rsidRPr="004574DC">
        <w:rPr>
          <w:lang w:val="en-GB"/>
        </w:rPr>
        <w:t>gross domestic product (</w:t>
      </w:r>
      <w:r w:rsidRPr="004574DC">
        <w:rPr>
          <w:lang w:val="en-GB"/>
        </w:rPr>
        <w:t>GDP</w:t>
      </w:r>
      <w:r w:rsidR="006A14BD" w:rsidRPr="004574DC">
        <w:rPr>
          <w:lang w:val="en-GB"/>
        </w:rPr>
        <w:t>)</w:t>
      </w:r>
      <w:r w:rsidRPr="00603C82">
        <w:rPr>
          <w:lang w:val="en-GB"/>
        </w:rPr>
        <w:t>. Being an export-oriented economy with the largest volumes of exports going to its major trade partner</w:t>
      </w:r>
      <w:r w:rsidR="006A14BD" w:rsidRPr="00AD20B2">
        <w:rPr>
          <w:lang w:val="en-GB"/>
        </w:rPr>
        <w:t>,</w:t>
      </w:r>
      <w:r w:rsidRPr="004574DC">
        <w:rPr>
          <w:lang w:val="en-GB"/>
        </w:rPr>
        <w:t xml:space="preserve"> </w:t>
      </w:r>
      <w:r w:rsidR="00985E5F" w:rsidRPr="004574DC">
        <w:rPr>
          <w:lang w:val="en-GB"/>
        </w:rPr>
        <w:t xml:space="preserve">the </w:t>
      </w:r>
      <w:r w:rsidRPr="004574DC">
        <w:rPr>
          <w:lang w:val="en-GB"/>
        </w:rPr>
        <w:t>Russia</w:t>
      </w:r>
      <w:r w:rsidR="00985E5F" w:rsidRPr="004574DC">
        <w:rPr>
          <w:lang w:val="en-GB"/>
        </w:rPr>
        <w:t>n Federation</w:t>
      </w:r>
      <w:r w:rsidR="006A14BD" w:rsidRPr="004574DC">
        <w:rPr>
          <w:lang w:val="en-GB"/>
        </w:rPr>
        <w:t>,</w:t>
      </w:r>
      <w:r w:rsidRPr="004574DC">
        <w:rPr>
          <w:lang w:val="en-GB"/>
        </w:rPr>
        <w:t xml:space="preserve"> and to the E</w:t>
      </w:r>
      <w:r w:rsidR="006A14BD" w:rsidRPr="004574DC">
        <w:rPr>
          <w:lang w:val="en-GB"/>
        </w:rPr>
        <w:t xml:space="preserve">uropean </w:t>
      </w:r>
      <w:r w:rsidRPr="004574DC">
        <w:rPr>
          <w:lang w:val="en-GB"/>
        </w:rPr>
        <w:t>U</w:t>
      </w:r>
      <w:r w:rsidR="006A14BD" w:rsidRPr="004574DC">
        <w:rPr>
          <w:lang w:val="en-GB"/>
        </w:rPr>
        <w:t>nion</w:t>
      </w:r>
      <w:r w:rsidRPr="00603C82">
        <w:rPr>
          <w:lang w:val="en-GB"/>
        </w:rPr>
        <w:t xml:space="preserve">, Belarus remains vulnerable to regional deceleration of growth and geopolitical tensions. </w:t>
      </w:r>
      <w:r w:rsidR="002F76EE" w:rsidRPr="004574DC">
        <w:rPr>
          <w:lang w:val="en-GB"/>
        </w:rPr>
        <w:t>I</w:t>
      </w:r>
      <w:r w:rsidR="003F2309" w:rsidRPr="004574DC">
        <w:rPr>
          <w:lang w:val="en-GB"/>
        </w:rPr>
        <w:t xml:space="preserve">n 2013 Belarus </w:t>
      </w:r>
      <w:r w:rsidRPr="004574DC">
        <w:rPr>
          <w:lang w:val="en-GB"/>
        </w:rPr>
        <w:t>faced a current account deficit of about 10</w:t>
      </w:r>
      <w:r w:rsidR="006A14BD" w:rsidRPr="004574DC">
        <w:rPr>
          <w:lang w:val="en-GB"/>
        </w:rPr>
        <w:t xml:space="preserve"> per cent</w:t>
      </w:r>
      <w:r w:rsidRPr="004574DC">
        <w:rPr>
          <w:lang w:val="en-GB"/>
        </w:rPr>
        <w:t xml:space="preserve"> of GDP</w:t>
      </w:r>
      <w:r w:rsidRPr="00603C82">
        <w:rPr>
          <w:lang w:val="en-GB"/>
        </w:rPr>
        <w:t xml:space="preserve"> and suffered a substantial decrease in exports; in the course of one year</w:t>
      </w:r>
      <w:r w:rsidR="006A14BD" w:rsidRPr="00603C82">
        <w:rPr>
          <w:lang w:val="en-GB"/>
        </w:rPr>
        <w:t xml:space="preserve">, </w:t>
      </w:r>
      <w:r w:rsidRPr="00603C82">
        <w:rPr>
          <w:lang w:val="en-GB"/>
        </w:rPr>
        <w:t>2014-2015, the national currency depreciated against the U</w:t>
      </w:r>
      <w:r w:rsidR="006A14BD" w:rsidRPr="00603C82">
        <w:rPr>
          <w:lang w:val="en-GB"/>
        </w:rPr>
        <w:t xml:space="preserve">nited </w:t>
      </w:r>
      <w:r w:rsidRPr="00603C82">
        <w:rPr>
          <w:lang w:val="en-GB"/>
        </w:rPr>
        <w:t>S</w:t>
      </w:r>
      <w:r w:rsidR="006A14BD" w:rsidRPr="00603C82">
        <w:rPr>
          <w:lang w:val="en-GB"/>
        </w:rPr>
        <w:t>tates</w:t>
      </w:r>
      <w:r w:rsidRPr="00AD20B2">
        <w:rPr>
          <w:lang w:val="en-GB"/>
        </w:rPr>
        <w:t xml:space="preserve"> dollar by 50</w:t>
      </w:r>
      <w:r w:rsidR="006A14BD" w:rsidRPr="004574DC">
        <w:rPr>
          <w:lang w:val="en-GB"/>
        </w:rPr>
        <w:t xml:space="preserve"> per cent</w:t>
      </w:r>
      <w:r w:rsidR="006A14BD" w:rsidRPr="00603C82">
        <w:rPr>
          <w:lang w:val="en-GB"/>
        </w:rPr>
        <w:t xml:space="preserve">. </w:t>
      </w:r>
      <w:r w:rsidRPr="00603C82">
        <w:rPr>
          <w:lang w:val="en-GB"/>
        </w:rPr>
        <w:t xml:space="preserve">The country has limited indigenous sources of energy and imports most fuels, primarily from </w:t>
      </w:r>
      <w:r w:rsidR="002B7165" w:rsidRPr="00AD20B2">
        <w:rPr>
          <w:lang w:val="en-GB"/>
        </w:rPr>
        <w:t xml:space="preserve">the </w:t>
      </w:r>
      <w:r w:rsidRPr="004574DC">
        <w:rPr>
          <w:lang w:val="en-GB"/>
        </w:rPr>
        <w:t>Russia</w:t>
      </w:r>
      <w:r w:rsidR="002B7165" w:rsidRPr="004574DC">
        <w:rPr>
          <w:lang w:val="en-GB"/>
        </w:rPr>
        <w:t>n Federation</w:t>
      </w:r>
      <w:r w:rsidRPr="004574DC">
        <w:rPr>
          <w:lang w:val="en-GB"/>
        </w:rPr>
        <w:t xml:space="preserve">. </w:t>
      </w:r>
      <w:r w:rsidR="002F76EE" w:rsidRPr="004574DC">
        <w:rPr>
          <w:lang w:val="en-GB"/>
        </w:rPr>
        <w:t>G</w:t>
      </w:r>
      <w:r w:rsidRPr="004574DC">
        <w:rPr>
          <w:lang w:val="en-GB"/>
        </w:rPr>
        <w:t xml:space="preserve">rowth in real income, wages and pensions has slowed down and the country is </w:t>
      </w:r>
      <w:r w:rsidR="00894A44" w:rsidRPr="004574DC">
        <w:rPr>
          <w:lang w:val="en-GB"/>
        </w:rPr>
        <w:t>experiencing low growth of labour productivity</w:t>
      </w:r>
      <w:r w:rsidRPr="00603C82">
        <w:rPr>
          <w:lang w:val="en-GB"/>
        </w:rPr>
        <w:t>. Challenges remain in the areas of sustainable agriculture, waste management, water pollution, renewable energy, and public environmental awareness</w:t>
      </w:r>
      <w:r w:rsidR="00AF5C1C" w:rsidRPr="00AD20B2">
        <w:rPr>
          <w:lang w:val="en-GB"/>
        </w:rPr>
        <w:t>, issues addressed in the United Nations Development Assistance Framework, 2016-2020</w:t>
      </w:r>
      <w:r w:rsidR="00AF5C1C" w:rsidRPr="004574DC">
        <w:rPr>
          <w:lang w:val="en-GB"/>
        </w:rPr>
        <w:t xml:space="preserve"> (UNDAF)</w:t>
      </w:r>
      <w:r w:rsidRPr="004574DC">
        <w:rPr>
          <w:lang w:val="en-GB"/>
        </w:rPr>
        <w:t>.</w:t>
      </w:r>
      <w:r w:rsidRPr="00603C82">
        <w:rPr>
          <w:lang w:val="en-GB"/>
        </w:rPr>
        <w:t xml:space="preserve"> </w:t>
      </w:r>
    </w:p>
    <w:p w14:paraId="77E6D88B" w14:textId="11D46B39" w:rsidR="00AE6672" w:rsidRPr="004574DC" w:rsidRDefault="00AE6672" w:rsidP="00AE6672">
      <w:pPr>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603C82">
        <w:rPr>
          <w:lang w:val="en-GB"/>
        </w:rPr>
        <w:t>Belarus has successfully addressed the catastrophic effects of the Chernobyl nuclear accident in rehabilitating the affected region. In anticipation of the 30</w:t>
      </w:r>
      <w:r w:rsidRPr="00603C82">
        <w:rPr>
          <w:vertAlign w:val="superscript"/>
          <w:lang w:val="en-GB"/>
        </w:rPr>
        <w:t xml:space="preserve">th </w:t>
      </w:r>
      <w:r w:rsidRPr="00603C82">
        <w:rPr>
          <w:lang w:val="en-GB"/>
        </w:rPr>
        <w:t>anniversary of the Chernobyl disaster in 2016</w:t>
      </w:r>
      <w:r w:rsidRPr="00AD20B2">
        <w:rPr>
          <w:color w:val="000000" w:themeColor="text1"/>
          <w:lang w:val="en-GB"/>
        </w:rPr>
        <w:t xml:space="preserve">, </w:t>
      </w:r>
      <w:r w:rsidRPr="004574DC">
        <w:rPr>
          <w:lang w:val="en-GB"/>
        </w:rPr>
        <w:t>sustainable human development must continue</w:t>
      </w:r>
      <w:r w:rsidRPr="004574DC">
        <w:rPr>
          <w:color w:val="000000" w:themeColor="text1"/>
          <w:lang w:val="en-GB"/>
        </w:rPr>
        <w:t xml:space="preserve"> as the guiding paradigm during the upcoming years to put the region on a stable path of development.</w:t>
      </w:r>
    </w:p>
    <w:p w14:paraId="6E0E4A60" w14:textId="3291CB19" w:rsidR="00AE6672" w:rsidRPr="00603C82" w:rsidRDefault="00AE6672" w:rsidP="00AE6672">
      <w:pPr>
        <w:numPr>
          <w:ilvl w:val="0"/>
          <w:numId w:val="32"/>
        </w:numPr>
        <w:tabs>
          <w:tab w:val="left" w:pos="450"/>
          <w:tab w:val="left" w:pos="810"/>
          <w:tab w:val="left" w:pos="1800"/>
          <w:tab w:val="left" w:pos="8370"/>
        </w:tabs>
        <w:autoSpaceDE w:val="0"/>
        <w:autoSpaceDN w:val="0"/>
        <w:adjustRightInd w:val="0"/>
        <w:spacing w:after="120"/>
        <w:ind w:left="1440" w:right="1210" w:firstLine="0"/>
        <w:jc w:val="both"/>
        <w:rPr>
          <w:sz w:val="24"/>
          <w:lang w:val="en-GB"/>
        </w:rPr>
      </w:pPr>
      <w:r w:rsidRPr="004574DC">
        <w:rPr>
          <w:lang w:val="en-GB"/>
        </w:rPr>
        <w:t>Life expectancy at birth remains relatively low at 72.6 years</w:t>
      </w:r>
      <w:r w:rsidR="006A14BD" w:rsidRPr="004574DC">
        <w:rPr>
          <w:lang w:val="en-GB"/>
        </w:rPr>
        <w:t xml:space="preserve">, according to the </w:t>
      </w:r>
      <w:r w:rsidR="006A14BD" w:rsidRPr="004574DC">
        <w:rPr>
          <w:i/>
          <w:lang w:val="en-GB"/>
        </w:rPr>
        <w:t>Human Development Report 2014</w:t>
      </w:r>
      <w:r w:rsidRPr="004574DC">
        <w:rPr>
          <w:lang w:val="en-GB"/>
        </w:rPr>
        <w:t>.</w:t>
      </w:r>
      <w:r w:rsidRPr="00603C82">
        <w:rPr>
          <w:lang w:val="en-GB"/>
        </w:rPr>
        <w:t xml:space="preserve"> It is 10.6 years lower for men than for women, mostly due to a high prevalence of non-communicable diseases and injuries, especially in rural areas. </w:t>
      </w:r>
      <w:r w:rsidR="002F76EE" w:rsidRPr="00603C82">
        <w:rPr>
          <w:lang w:val="en-GB"/>
        </w:rPr>
        <w:t>C</w:t>
      </w:r>
      <w:r w:rsidRPr="00603C82">
        <w:rPr>
          <w:lang w:val="en-GB"/>
        </w:rPr>
        <w:t xml:space="preserve">ontinued efforts are required to sustain progress in relation to multi-drug resistant </w:t>
      </w:r>
      <w:r w:rsidR="00985E5F" w:rsidRPr="00603C82">
        <w:rPr>
          <w:lang w:val="en-GB"/>
        </w:rPr>
        <w:t>tuberculo</w:t>
      </w:r>
      <w:r w:rsidR="00985E5F" w:rsidRPr="00AD20B2">
        <w:rPr>
          <w:lang w:val="en-GB"/>
        </w:rPr>
        <w:t>sis</w:t>
      </w:r>
      <w:r w:rsidRPr="004574DC">
        <w:rPr>
          <w:lang w:val="en-GB"/>
        </w:rPr>
        <w:t xml:space="preserve">, </w:t>
      </w:r>
      <w:r w:rsidR="00985E5F" w:rsidRPr="004574DC">
        <w:rPr>
          <w:lang w:val="en-GB"/>
        </w:rPr>
        <w:t>non-communicable diseases</w:t>
      </w:r>
      <w:r w:rsidRPr="004574DC">
        <w:rPr>
          <w:lang w:val="en-GB"/>
        </w:rPr>
        <w:t xml:space="preserve"> and HIV treatment and care, in order to reduce the burden on public health and the national economy.</w:t>
      </w:r>
      <w:r w:rsidRPr="00603C82">
        <w:rPr>
          <w:lang w:val="en-GB"/>
        </w:rPr>
        <w:t xml:space="preserve"> Growing urbanization (from 70.9</w:t>
      </w:r>
      <w:r w:rsidR="00985E5F" w:rsidRPr="00603C82">
        <w:rPr>
          <w:lang w:val="en-GB"/>
        </w:rPr>
        <w:t xml:space="preserve"> per cent</w:t>
      </w:r>
      <w:r w:rsidRPr="00603C82">
        <w:rPr>
          <w:lang w:val="en-GB"/>
        </w:rPr>
        <w:t xml:space="preserve"> in 2003 to </w:t>
      </w:r>
      <w:r w:rsidR="006D078A" w:rsidRPr="00603C82">
        <w:rPr>
          <w:lang w:val="en-GB"/>
        </w:rPr>
        <w:t>7</w:t>
      </w:r>
      <w:r w:rsidR="006D078A" w:rsidRPr="004574DC">
        <w:rPr>
          <w:lang w:val="en-GB"/>
        </w:rPr>
        <w:t>7</w:t>
      </w:r>
      <w:r w:rsidRPr="00603C82">
        <w:rPr>
          <w:lang w:val="en-GB"/>
        </w:rPr>
        <w:t>.</w:t>
      </w:r>
      <w:r w:rsidR="006D078A" w:rsidRPr="004574DC">
        <w:rPr>
          <w:lang w:val="en-GB"/>
        </w:rPr>
        <w:t>3</w:t>
      </w:r>
      <w:r w:rsidR="006D078A" w:rsidRPr="00603C82">
        <w:rPr>
          <w:lang w:val="en-GB"/>
        </w:rPr>
        <w:t xml:space="preserve"> </w:t>
      </w:r>
      <w:r w:rsidR="00985E5F" w:rsidRPr="00603C82">
        <w:rPr>
          <w:lang w:val="en-GB"/>
        </w:rPr>
        <w:t>per cent</w:t>
      </w:r>
      <w:r w:rsidRPr="00603C82">
        <w:rPr>
          <w:lang w:val="en-GB"/>
        </w:rPr>
        <w:t xml:space="preserve"> in </w:t>
      </w:r>
      <w:r w:rsidR="006D078A" w:rsidRPr="00603C82">
        <w:rPr>
          <w:lang w:val="en-GB"/>
        </w:rPr>
        <w:t>201</w:t>
      </w:r>
      <w:r w:rsidR="006D078A" w:rsidRPr="004574DC">
        <w:rPr>
          <w:lang w:val="en-GB"/>
        </w:rPr>
        <w:t>5)</w:t>
      </w:r>
      <w:r w:rsidRPr="00603C82">
        <w:rPr>
          <w:lang w:val="en-GB"/>
        </w:rPr>
        <w:t xml:space="preserve"> has</w:t>
      </w:r>
      <w:r w:rsidR="0001233D" w:rsidRPr="00603C82">
        <w:rPr>
          <w:lang w:val="en-GB"/>
        </w:rPr>
        <w:t xml:space="preserve"> </w:t>
      </w:r>
      <w:r w:rsidRPr="00603C82">
        <w:rPr>
          <w:lang w:val="en-GB"/>
        </w:rPr>
        <w:t>created accelerated demand for adequate basic services and infrastructure, particularly for vulnerable groups such as pe</w:t>
      </w:r>
      <w:r w:rsidR="00ED5CE2" w:rsidRPr="00603C82">
        <w:rPr>
          <w:lang w:val="en-GB"/>
        </w:rPr>
        <w:t>rsons</w:t>
      </w:r>
      <w:r w:rsidRPr="00AD20B2">
        <w:rPr>
          <w:lang w:val="en-GB"/>
        </w:rPr>
        <w:t xml:space="preserve"> living with disabilities</w:t>
      </w:r>
      <w:r w:rsidRPr="004574DC">
        <w:rPr>
          <w:lang w:val="en-GB"/>
        </w:rPr>
        <w:t>, who account for 5.7</w:t>
      </w:r>
      <w:r w:rsidR="00985E5F" w:rsidRPr="004574DC">
        <w:rPr>
          <w:lang w:val="en-GB"/>
        </w:rPr>
        <w:t xml:space="preserve"> per cent</w:t>
      </w:r>
      <w:r w:rsidRPr="004574DC">
        <w:rPr>
          <w:lang w:val="en-GB"/>
        </w:rPr>
        <w:t xml:space="preserve"> of the population.</w:t>
      </w:r>
      <w:r w:rsidRPr="00603C82">
        <w:rPr>
          <w:lang w:val="en-GB"/>
        </w:rPr>
        <w:t xml:space="preserve"> The country will also need to continue addressing the existing gender pay gap. </w:t>
      </w:r>
      <w:r w:rsidRPr="00AD20B2">
        <w:rPr>
          <w:color w:val="000000" w:themeColor="text1"/>
          <w:lang w:val="en-GB"/>
        </w:rPr>
        <w:t>D</w:t>
      </w:r>
      <w:r w:rsidRPr="004574DC">
        <w:rPr>
          <w:lang w:val="en-GB"/>
        </w:rPr>
        <w:t xml:space="preserve">espite a higher educational level, </w:t>
      </w:r>
      <w:r w:rsidR="00BD4D73" w:rsidRPr="004574DC">
        <w:rPr>
          <w:lang w:val="en-GB"/>
        </w:rPr>
        <w:t xml:space="preserve">over the past decade </w:t>
      </w:r>
      <w:r w:rsidRPr="004574DC">
        <w:rPr>
          <w:lang w:val="en-GB"/>
        </w:rPr>
        <w:t>women tend</w:t>
      </w:r>
      <w:r w:rsidR="00BD4D73" w:rsidRPr="004574DC">
        <w:rPr>
          <w:lang w:val="en-GB"/>
        </w:rPr>
        <w:t>ed</w:t>
      </w:r>
      <w:r w:rsidRPr="004574DC">
        <w:rPr>
          <w:lang w:val="en-GB"/>
        </w:rPr>
        <w:t xml:space="preserve"> to earn on average about </w:t>
      </w:r>
      <w:r w:rsidR="006D078A" w:rsidRPr="004574DC">
        <w:rPr>
          <w:lang w:val="en-GB"/>
        </w:rPr>
        <w:t>24</w:t>
      </w:r>
      <w:r w:rsidRPr="00603C82">
        <w:rPr>
          <w:lang w:val="en-GB"/>
        </w:rPr>
        <w:t>.3 per</w:t>
      </w:r>
      <w:r w:rsidR="00985E5F" w:rsidRPr="00603C82">
        <w:rPr>
          <w:lang w:val="en-GB"/>
        </w:rPr>
        <w:t xml:space="preserve"> </w:t>
      </w:r>
      <w:r w:rsidRPr="00603C82">
        <w:rPr>
          <w:lang w:val="en-GB"/>
        </w:rPr>
        <w:t>cent less than men (</w:t>
      </w:r>
      <w:r w:rsidR="006D078A" w:rsidRPr="00603C82">
        <w:rPr>
          <w:lang w:val="en-GB"/>
        </w:rPr>
        <w:t>201</w:t>
      </w:r>
      <w:r w:rsidR="006D078A" w:rsidRPr="004574DC">
        <w:rPr>
          <w:lang w:val="en-GB"/>
        </w:rPr>
        <w:t>4</w:t>
      </w:r>
      <w:r w:rsidRPr="00603C82">
        <w:rPr>
          <w:lang w:val="en-GB"/>
        </w:rPr>
        <w:t>)</w:t>
      </w:r>
      <w:r w:rsidR="00BD4D73" w:rsidRPr="00603C82">
        <w:rPr>
          <w:lang w:val="en-GB"/>
        </w:rPr>
        <w:t>,</w:t>
      </w:r>
      <w:r w:rsidRPr="00603C82">
        <w:rPr>
          <w:lang w:val="en-GB"/>
        </w:rPr>
        <w:t xml:space="preserve"> with the </w:t>
      </w:r>
      <w:r w:rsidR="006D078A" w:rsidRPr="004574DC">
        <w:rPr>
          <w:lang w:val="en-GB"/>
        </w:rPr>
        <w:t xml:space="preserve">same </w:t>
      </w:r>
      <w:r w:rsidRPr="00603C82">
        <w:rPr>
          <w:lang w:val="en-GB"/>
        </w:rPr>
        <w:t xml:space="preserve">wage gap </w:t>
      </w:r>
      <w:r w:rsidR="00BD4D73" w:rsidRPr="00603C82">
        <w:rPr>
          <w:lang w:val="en-GB"/>
        </w:rPr>
        <w:t>level</w:t>
      </w:r>
      <w:r w:rsidR="00750713" w:rsidRPr="00603C82">
        <w:rPr>
          <w:lang w:val="en-GB"/>
        </w:rPr>
        <w:t>, making them more economically vulnerable.</w:t>
      </w:r>
    </w:p>
    <w:p w14:paraId="354824B6" w14:textId="3362045C" w:rsidR="00AE6672" w:rsidRPr="004574DC" w:rsidRDefault="00AE6672" w:rsidP="00AE6672">
      <w:pPr>
        <w:pStyle w:val="ListParagraph"/>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AD20B2">
        <w:rPr>
          <w:lang w:val="en-GB"/>
        </w:rPr>
        <w:t>Belarus is a party to most international human rights instruments, with the notable exception of</w:t>
      </w:r>
      <w:r w:rsidRPr="004574DC">
        <w:rPr>
          <w:lang w:val="en-GB"/>
        </w:rPr>
        <w:t xml:space="preserve"> the Convention on the Rights of Persons with Disabilities. The country aspires to improve its system of governance, including through optimizing public administration</w:t>
      </w:r>
      <w:r w:rsidRPr="004574DC">
        <w:rPr>
          <w:lang w:val="en-GB" w:eastAsia="en-GB"/>
        </w:rPr>
        <w:t xml:space="preserve"> efficiencies, reducing sector-specific corruption risks</w:t>
      </w:r>
      <w:r w:rsidRPr="004574DC">
        <w:rPr>
          <w:lang w:val="en-GB"/>
        </w:rPr>
        <w:t xml:space="preserve">, engaging </w:t>
      </w:r>
      <w:r w:rsidRPr="004574DC">
        <w:rPr>
          <w:lang w:val="en-GB" w:eastAsia="en-GB"/>
        </w:rPr>
        <w:t>the public</w:t>
      </w:r>
      <w:r w:rsidRPr="004574DC">
        <w:rPr>
          <w:lang w:val="en-GB"/>
        </w:rPr>
        <w:t xml:space="preserve"> in decision-making and addressing the needs of vulnerable groups. </w:t>
      </w:r>
      <w:r w:rsidRPr="004574DC">
        <w:rPr>
          <w:color w:val="000000" w:themeColor="text1"/>
          <w:lang w:val="en-GB"/>
        </w:rPr>
        <w:t xml:space="preserve">Following its first Universal Periodic Review cycle in 2010, with UNDP support, Belarus conducted </w:t>
      </w:r>
      <w:r w:rsidRPr="004574DC">
        <w:rPr>
          <w:lang w:val="en-GB"/>
        </w:rPr>
        <w:t xml:space="preserve">an unprecedented series of national consultations with the participation of Parliament, state </w:t>
      </w:r>
      <w:r w:rsidRPr="004574DC">
        <w:rPr>
          <w:lang w:val="en-GB"/>
        </w:rPr>
        <w:lastRenderedPageBreak/>
        <w:t>institutions, civil society, U</w:t>
      </w:r>
      <w:r w:rsidR="00985E5F" w:rsidRPr="004574DC">
        <w:rPr>
          <w:lang w:val="en-GB"/>
        </w:rPr>
        <w:t xml:space="preserve">nited </w:t>
      </w:r>
      <w:r w:rsidRPr="004574DC">
        <w:rPr>
          <w:lang w:val="en-GB"/>
        </w:rPr>
        <w:t>N</w:t>
      </w:r>
      <w:r w:rsidR="00985E5F" w:rsidRPr="004574DC">
        <w:rPr>
          <w:lang w:val="en-GB"/>
        </w:rPr>
        <w:t>ations</w:t>
      </w:r>
      <w:r w:rsidRPr="004574DC">
        <w:rPr>
          <w:lang w:val="en-GB"/>
        </w:rPr>
        <w:t xml:space="preserve"> </w:t>
      </w:r>
      <w:r w:rsidR="00985E5F" w:rsidRPr="004574DC">
        <w:rPr>
          <w:lang w:val="en-GB"/>
        </w:rPr>
        <w:t>organizations</w:t>
      </w:r>
      <w:r w:rsidRPr="004574DC">
        <w:rPr>
          <w:lang w:val="en-GB"/>
        </w:rPr>
        <w:t>, the Council of Europe and the E</w:t>
      </w:r>
      <w:r w:rsidR="00985E5F" w:rsidRPr="004574DC">
        <w:rPr>
          <w:lang w:val="en-GB"/>
        </w:rPr>
        <w:t xml:space="preserve">uropean </w:t>
      </w:r>
      <w:r w:rsidRPr="004574DC">
        <w:rPr>
          <w:lang w:val="en-GB"/>
        </w:rPr>
        <w:t>U</w:t>
      </w:r>
      <w:r w:rsidR="00985E5F" w:rsidRPr="004574DC">
        <w:rPr>
          <w:lang w:val="en-GB"/>
        </w:rPr>
        <w:t>nion</w:t>
      </w:r>
      <w:r w:rsidRPr="004574DC">
        <w:rPr>
          <w:lang w:val="en-GB"/>
        </w:rPr>
        <w:t>.</w:t>
      </w:r>
    </w:p>
    <w:p w14:paraId="2BB519E2" w14:textId="199A0E9C" w:rsidR="00AE6672" w:rsidRPr="004574DC" w:rsidRDefault="00AE6672" w:rsidP="00AE6672">
      <w:pPr>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4574DC">
        <w:rPr>
          <w:lang w:val="en-GB"/>
        </w:rPr>
        <w:t>Positioned between the E</w:t>
      </w:r>
      <w:r w:rsidR="00985E5F" w:rsidRPr="004574DC">
        <w:rPr>
          <w:lang w:val="en-GB"/>
        </w:rPr>
        <w:t xml:space="preserve">uropean </w:t>
      </w:r>
      <w:r w:rsidRPr="004574DC">
        <w:rPr>
          <w:lang w:val="en-GB"/>
        </w:rPr>
        <w:t>U</w:t>
      </w:r>
      <w:r w:rsidR="00985E5F" w:rsidRPr="004574DC">
        <w:rPr>
          <w:lang w:val="en-GB"/>
        </w:rPr>
        <w:t>nion</w:t>
      </w:r>
      <w:r w:rsidRPr="004574DC">
        <w:rPr>
          <w:lang w:val="en-GB"/>
        </w:rPr>
        <w:t xml:space="preserve"> and the </w:t>
      </w:r>
      <w:r w:rsidR="00985E5F" w:rsidRPr="004574DC">
        <w:rPr>
          <w:lang w:val="en-GB"/>
        </w:rPr>
        <w:t>Commonwealth of Independent States</w:t>
      </w:r>
      <w:r w:rsidRPr="004574DC">
        <w:rPr>
          <w:lang w:val="en-GB"/>
        </w:rPr>
        <w:t xml:space="preserve">, Belarus is an attractive transit route for illegal migrants, illicit drugs and human trafficking. Since 2010, the country has taken the lead in the Group of Friends United against Human Trafficking, working together with 19 countries on the global plan of action against human trafficking. </w:t>
      </w:r>
    </w:p>
    <w:p w14:paraId="5DAEBCAE" w14:textId="77A9466B" w:rsidR="00AE6672" w:rsidRPr="004574DC" w:rsidRDefault="00AE6672" w:rsidP="00AE6672">
      <w:pPr>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4574DC">
        <w:rPr>
          <w:lang w:val="en-GB"/>
        </w:rPr>
        <w:t>Belarus hosts the main executive body of the Commonwealth of Independent States, and actively promotes economic and trade relationships between its members, as well as within the Eurasian Economic Union (Armenia, Belarus, Kazakhstan, Russian Federation). The country improved in the World Bank Doing Business ranking, from 129 in 2007</w:t>
      </w:r>
      <w:r w:rsidRPr="00603C82">
        <w:rPr>
          <w:lang w:val="en-GB"/>
        </w:rPr>
        <w:t xml:space="preserve"> to 57 in 201</w:t>
      </w:r>
      <w:r w:rsidR="002B7165" w:rsidRPr="00603C82">
        <w:rPr>
          <w:lang w:val="en-GB"/>
        </w:rPr>
        <w:t>4</w:t>
      </w:r>
      <w:r w:rsidRPr="00AD20B2">
        <w:rPr>
          <w:lang w:val="en-GB"/>
        </w:rPr>
        <w:t>,</w:t>
      </w:r>
      <w:r w:rsidR="002B7165" w:rsidRPr="004574DC">
        <w:rPr>
          <w:lang w:val="en-GB"/>
        </w:rPr>
        <w:t xml:space="preserve"> </w:t>
      </w:r>
      <w:r w:rsidRPr="00603C82">
        <w:rPr>
          <w:lang w:val="en-GB"/>
        </w:rPr>
        <w:t>by creating favourable conditions for investment, business taxation and construction permits</w:t>
      </w:r>
      <w:r w:rsidR="00110161" w:rsidRPr="00AD20B2">
        <w:rPr>
          <w:lang w:val="en-GB"/>
        </w:rPr>
        <w:t xml:space="preserve">, according to the </w:t>
      </w:r>
      <w:r w:rsidR="00110161" w:rsidRPr="004574DC">
        <w:rPr>
          <w:lang w:val="en-GB"/>
        </w:rPr>
        <w:t xml:space="preserve">World Bank </w:t>
      </w:r>
      <w:r w:rsidR="00110161" w:rsidRPr="004574DC">
        <w:rPr>
          <w:i/>
          <w:lang w:val="en-GB"/>
        </w:rPr>
        <w:t>Doing Business Report</w:t>
      </w:r>
      <w:r w:rsidR="00110161" w:rsidRPr="004574DC">
        <w:rPr>
          <w:lang w:val="en-GB"/>
        </w:rPr>
        <w:t xml:space="preserve"> 2007 and 2014, respectively</w:t>
      </w:r>
      <w:r w:rsidRPr="004574DC">
        <w:rPr>
          <w:lang w:val="en-GB"/>
        </w:rPr>
        <w:t xml:space="preserve">. Belarus continues to strive for </w:t>
      </w:r>
      <w:r w:rsidR="002B7165" w:rsidRPr="004574DC">
        <w:rPr>
          <w:lang w:val="en-GB"/>
        </w:rPr>
        <w:t>World Trade Organization (</w:t>
      </w:r>
      <w:r w:rsidRPr="004574DC">
        <w:rPr>
          <w:lang w:val="en-GB"/>
        </w:rPr>
        <w:t>WTO</w:t>
      </w:r>
      <w:r w:rsidR="002B7165" w:rsidRPr="004574DC">
        <w:rPr>
          <w:lang w:val="en-GB"/>
        </w:rPr>
        <w:t>)</w:t>
      </w:r>
      <w:r w:rsidRPr="004574DC">
        <w:rPr>
          <w:lang w:val="en-GB"/>
        </w:rPr>
        <w:t xml:space="preserve"> accession as the next step in its integration into the global economy. </w:t>
      </w:r>
    </w:p>
    <w:p w14:paraId="1389474A" w14:textId="3B64FDAA" w:rsidR="00AE6672" w:rsidRPr="004574DC" w:rsidRDefault="00AE6672" w:rsidP="00AE6672">
      <w:pPr>
        <w:pStyle w:val="ListParagraph"/>
        <w:numPr>
          <w:ilvl w:val="0"/>
          <w:numId w:val="32"/>
        </w:numPr>
        <w:tabs>
          <w:tab w:val="left" w:pos="450"/>
          <w:tab w:val="left" w:pos="810"/>
          <w:tab w:val="left" w:pos="1800"/>
          <w:tab w:val="left" w:pos="8370"/>
        </w:tabs>
        <w:autoSpaceDE w:val="0"/>
        <w:autoSpaceDN w:val="0"/>
        <w:adjustRightInd w:val="0"/>
        <w:spacing w:after="120"/>
        <w:ind w:left="1440" w:right="1210" w:firstLine="0"/>
        <w:jc w:val="both"/>
        <w:rPr>
          <w:lang w:val="en-GB"/>
        </w:rPr>
      </w:pPr>
      <w:r w:rsidRPr="004574DC">
        <w:rPr>
          <w:color w:val="000000" w:themeColor="text1"/>
          <w:lang w:val="en-GB"/>
        </w:rPr>
        <w:t xml:space="preserve">The National Sustainable Socio-Economic Development Strategy 2030 (NSDS-2030) sets </w:t>
      </w:r>
      <w:r w:rsidRPr="004574DC">
        <w:rPr>
          <w:lang w:val="en-GB"/>
        </w:rPr>
        <w:t xml:space="preserve">the sustainable development of Belarus as its overarching goal, </w:t>
      </w:r>
      <w:r w:rsidR="004C51F8" w:rsidRPr="004574DC">
        <w:rPr>
          <w:lang w:val="en-GB"/>
        </w:rPr>
        <w:t xml:space="preserve">with key principles </w:t>
      </w:r>
      <w:r w:rsidRPr="00603C82">
        <w:rPr>
          <w:lang w:val="en-GB"/>
        </w:rPr>
        <w:t>focusing on: (</w:t>
      </w:r>
      <w:r w:rsidR="002B7165" w:rsidRPr="00603C82">
        <w:rPr>
          <w:lang w:val="en-GB"/>
        </w:rPr>
        <w:t>a</w:t>
      </w:r>
      <w:r w:rsidRPr="00603C82">
        <w:rPr>
          <w:lang w:val="en-GB"/>
        </w:rPr>
        <w:t>) resilience – to withstand shocks and their impact on human development, the economy and the environment; and (</w:t>
      </w:r>
      <w:r w:rsidR="002B7165" w:rsidRPr="00603C82">
        <w:rPr>
          <w:lang w:val="en-GB"/>
        </w:rPr>
        <w:t>b</w:t>
      </w:r>
      <w:r w:rsidRPr="004574DC">
        <w:rPr>
          <w:lang w:val="en-GB"/>
        </w:rPr>
        <w:t>) responsiveness – to strengthen the systems of governance at central and local level though constructive</w:t>
      </w:r>
      <w:r w:rsidR="002B7165" w:rsidRPr="004574DC">
        <w:rPr>
          <w:lang w:val="en-GB"/>
        </w:rPr>
        <w:t xml:space="preserve">, </w:t>
      </w:r>
      <w:r w:rsidRPr="004574DC">
        <w:rPr>
          <w:lang w:val="en-GB"/>
        </w:rPr>
        <w:t xml:space="preserve">open dialogue between the Government, civil society and the private sector. Part of the vision of NSDS-2030 is to enter the group of forty countries with a very high </w:t>
      </w:r>
      <w:r w:rsidR="002B7165" w:rsidRPr="004574DC">
        <w:rPr>
          <w:lang w:val="en-GB"/>
        </w:rPr>
        <w:t>human development index</w:t>
      </w:r>
      <w:r w:rsidRPr="004574DC">
        <w:rPr>
          <w:lang w:val="en-GB"/>
        </w:rPr>
        <w:t xml:space="preserve">, to increase life expectancy to 77 years and to ensure universal social services to all, with particular attention to such vulnerable groups as young people, </w:t>
      </w:r>
      <w:r w:rsidR="00ED5CE2" w:rsidRPr="004574DC">
        <w:rPr>
          <w:lang w:val="en-GB"/>
        </w:rPr>
        <w:t>persons</w:t>
      </w:r>
      <w:r w:rsidR="002B7165" w:rsidRPr="004574DC">
        <w:rPr>
          <w:lang w:val="en-GB"/>
        </w:rPr>
        <w:t xml:space="preserve"> with disabilities</w:t>
      </w:r>
      <w:r w:rsidRPr="004574DC">
        <w:rPr>
          <w:lang w:val="en-GB"/>
        </w:rPr>
        <w:t xml:space="preserve">, people affected by communicable diseases like HIV and </w:t>
      </w:r>
      <w:r w:rsidR="002B7165" w:rsidRPr="004574DC">
        <w:rPr>
          <w:lang w:val="en-GB"/>
        </w:rPr>
        <w:t>tuberculosis</w:t>
      </w:r>
      <w:r w:rsidRPr="004574DC">
        <w:rPr>
          <w:lang w:val="en-GB"/>
        </w:rPr>
        <w:t xml:space="preserve">, migrants and the rural population, in Chernobyl-affected areas in particular. It also aims to create equal economic opportunities for men and women, including through small and medium enterprises (SME), while embracing the principles of a green economy. </w:t>
      </w:r>
    </w:p>
    <w:p w14:paraId="1480A0D3" w14:textId="7B0AEBF4" w:rsidR="00AE6672" w:rsidRPr="00AD20B2"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The process of addressing existing challenges and facilitating the country’s progress toward the achievement of the </w:t>
      </w:r>
      <w:r w:rsidR="002B7165" w:rsidRPr="004574DC">
        <w:rPr>
          <w:lang w:val="en-GB"/>
        </w:rPr>
        <w:t>s</w:t>
      </w:r>
      <w:r w:rsidRPr="004574DC">
        <w:rPr>
          <w:lang w:val="en-GB"/>
        </w:rPr>
        <w:t xml:space="preserve">ustainable </w:t>
      </w:r>
      <w:r w:rsidR="002B7165" w:rsidRPr="004574DC">
        <w:rPr>
          <w:lang w:val="en-GB"/>
        </w:rPr>
        <w:t>d</w:t>
      </w:r>
      <w:r w:rsidRPr="004574DC">
        <w:rPr>
          <w:lang w:val="en-GB"/>
        </w:rPr>
        <w:t xml:space="preserve">evelopment </w:t>
      </w:r>
      <w:r w:rsidR="002B7165" w:rsidRPr="004574DC">
        <w:rPr>
          <w:lang w:val="en-GB"/>
        </w:rPr>
        <w:t>g</w:t>
      </w:r>
      <w:r w:rsidRPr="004574DC">
        <w:rPr>
          <w:lang w:val="en-GB"/>
        </w:rPr>
        <w:t xml:space="preserve">oals will be enriched by UNDP experience, lessons learned and ability to bring best practices from comparable contexts. In the previous </w:t>
      </w:r>
      <w:r w:rsidR="002B7165" w:rsidRPr="004574DC">
        <w:rPr>
          <w:lang w:val="en-GB"/>
        </w:rPr>
        <w:t xml:space="preserve">country programme </w:t>
      </w:r>
      <w:r w:rsidRPr="004574DC">
        <w:rPr>
          <w:lang w:val="en-GB"/>
        </w:rPr>
        <w:t xml:space="preserve">period (2011-2015), as the </w:t>
      </w:r>
      <w:r w:rsidR="002B7165" w:rsidRPr="004574DC">
        <w:rPr>
          <w:lang w:val="en-GB"/>
        </w:rPr>
        <w:t>p</w:t>
      </w:r>
      <w:r w:rsidRPr="004574DC">
        <w:rPr>
          <w:lang w:val="en-GB"/>
        </w:rPr>
        <w:t xml:space="preserve">rincipal </w:t>
      </w:r>
      <w:r w:rsidR="002B7165" w:rsidRPr="004574DC">
        <w:rPr>
          <w:lang w:val="en-GB"/>
        </w:rPr>
        <w:t>r</w:t>
      </w:r>
      <w:r w:rsidRPr="004574DC">
        <w:rPr>
          <w:lang w:val="en-GB"/>
        </w:rPr>
        <w:t xml:space="preserve">ecipient of grants from the Global Fund to Fight AIDS, </w:t>
      </w:r>
      <w:r w:rsidR="002B7165" w:rsidRPr="004574DC">
        <w:rPr>
          <w:lang w:val="en-GB"/>
        </w:rPr>
        <w:t xml:space="preserve">Tuberculosis </w:t>
      </w:r>
      <w:r w:rsidRPr="004574DC">
        <w:rPr>
          <w:lang w:val="en-GB"/>
        </w:rPr>
        <w:t>and Malaria</w:t>
      </w:r>
      <w:r w:rsidR="002B7165" w:rsidRPr="004574DC">
        <w:rPr>
          <w:lang w:val="en-GB"/>
        </w:rPr>
        <w:t>,</w:t>
      </w:r>
      <w:r w:rsidRPr="004574DC">
        <w:rPr>
          <w:lang w:val="en-GB"/>
        </w:rPr>
        <w:t xml:space="preserve"> UNDP developed </w:t>
      </w:r>
      <w:r w:rsidR="00807D36" w:rsidRPr="004574DC">
        <w:rPr>
          <w:lang w:val="en-GB"/>
        </w:rPr>
        <w:t xml:space="preserve">partnerships and </w:t>
      </w:r>
      <w:r w:rsidRPr="00603C82">
        <w:rPr>
          <w:lang w:val="en-GB"/>
        </w:rPr>
        <w:t xml:space="preserve">best practices in promoting and ensuring access to HIV and </w:t>
      </w:r>
      <w:r w:rsidR="001A7201" w:rsidRPr="00603C82">
        <w:rPr>
          <w:lang w:val="en-GB"/>
        </w:rPr>
        <w:t>tuberculosis</w:t>
      </w:r>
      <w:r w:rsidR="002B7165" w:rsidRPr="00603C82">
        <w:rPr>
          <w:lang w:val="en-GB"/>
        </w:rPr>
        <w:t xml:space="preserve"> </w:t>
      </w:r>
      <w:r w:rsidRPr="00AD20B2">
        <w:rPr>
          <w:lang w:val="en-GB"/>
        </w:rPr>
        <w:t xml:space="preserve">prevention, treatment, care and support. </w:t>
      </w:r>
    </w:p>
    <w:p w14:paraId="25A6884F" w14:textId="54379EDE"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Together with the Global Environmental Facility (GEF), UNDP </w:t>
      </w:r>
      <w:r w:rsidR="002B7165" w:rsidRPr="004574DC">
        <w:rPr>
          <w:lang w:val="en-GB"/>
        </w:rPr>
        <w:t xml:space="preserve">introduced </w:t>
      </w:r>
      <w:r w:rsidRPr="004574DC">
        <w:rPr>
          <w:lang w:val="en-GB"/>
        </w:rPr>
        <w:t>new approaches to adapt to climate change and safeguard biodiversity. UNDP was the first organization to draw together a range of national stakeholders and U</w:t>
      </w:r>
      <w:r w:rsidR="002B7165" w:rsidRPr="004574DC">
        <w:rPr>
          <w:lang w:val="en-GB"/>
        </w:rPr>
        <w:t xml:space="preserve">nited </w:t>
      </w:r>
      <w:r w:rsidRPr="004574DC">
        <w:rPr>
          <w:lang w:val="en-GB"/>
        </w:rPr>
        <w:t>N</w:t>
      </w:r>
      <w:r w:rsidR="002B7165" w:rsidRPr="004574DC">
        <w:rPr>
          <w:lang w:val="en-GB"/>
        </w:rPr>
        <w:t>ations</w:t>
      </w:r>
      <w:r w:rsidRPr="004574DC">
        <w:rPr>
          <w:lang w:val="en-GB"/>
        </w:rPr>
        <w:t xml:space="preserve"> </w:t>
      </w:r>
      <w:r w:rsidR="002B7165" w:rsidRPr="004574DC">
        <w:rPr>
          <w:lang w:val="en-GB"/>
        </w:rPr>
        <w:t xml:space="preserve">organizations </w:t>
      </w:r>
      <w:r w:rsidRPr="004574DC">
        <w:rPr>
          <w:lang w:val="en-GB"/>
        </w:rPr>
        <w:t xml:space="preserve">for multi-stakeholder discussions on human rights in the framework of the </w:t>
      </w:r>
      <w:r w:rsidR="002B7165" w:rsidRPr="004574DC">
        <w:rPr>
          <w:lang w:val="en-GB"/>
        </w:rPr>
        <w:t>Universal Periodic Review</w:t>
      </w:r>
      <w:r w:rsidRPr="004574DC">
        <w:rPr>
          <w:lang w:val="en-GB"/>
        </w:rPr>
        <w:t xml:space="preserve">. It helped to improve the livelihoods of people residing in the Chernobyl-affected areas, especially of female-headed households. </w:t>
      </w:r>
      <w:r w:rsidRPr="004574DC">
        <w:rPr>
          <w:rFonts w:ascii="Times" w:hAnsi="Times"/>
          <w:lang w:val="en-GB"/>
        </w:rPr>
        <w:t xml:space="preserve">UNDP also introduced innovative modalities of sustainable reform, such as public-private partnerships, socially responsible restructuring of enterprises, eco-tourism, and social innovation labs. Furthermore, UNDP contributed to regional security through </w:t>
      </w:r>
      <w:r w:rsidR="002B7165" w:rsidRPr="004574DC">
        <w:rPr>
          <w:rFonts w:ascii="Times" w:hAnsi="Times"/>
          <w:lang w:val="en-GB"/>
        </w:rPr>
        <w:t xml:space="preserve">the </w:t>
      </w:r>
      <w:r w:rsidRPr="004574DC">
        <w:rPr>
          <w:rFonts w:ascii="Times" w:hAnsi="Times"/>
          <w:lang w:val="en-GB"/>
        </w:rPr>
        <w:t>support of safe storage of small arms and light weapons and the introduction of up-to-date border management practices</w:t>
      </w:r>
      <w:r w:rsidRPr="004574DC">
        <w:rPr>
          <w:lang w:val="en-GB"/>
        </w:rPr>
        <w:t xml:space="preserve">.  </w:t>
      </w:r>
    </w:p>
    <w:p w14:paraId="00C80762" w14:textId="74D68D1A"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The evaluation of </w:t>
      </w:r>
      <w:r w:rsidR="007E1C71" w:rsidRPr="004574DC">
        <w:rPr>
          <w:lang w:val="en-GB"/>
        </w:rPr>
        <w:t xml:space="preserve">UNDP projects implemented as part of </w:t>
      </w:r>
      <w:r w:rsidRPr="00603C82">
        <w:rPr>
          <w:lang w:val="en-GB"/>
        </w:rPr>
        <w:t>UNDAF</w:t>
      </w:r>
      <w:r w:rsidR="002B7165" w:rsidRPr="00603C82">
        <w:rPr>
          <w:lang w:val="en-GB"/>
        </w:rPr>
        <w:t>,</w:t>
      </w:r>
      <w:r w:rsidRPr="00603C82">
        <w:rPr>
          <w:lang w:val="en-GB"/>
        </w:rPr>
        <w:t xml:space="preserve"> 2010-2015</w:t>
      </w:r>
      <w:r w:rsidR="002B7165" w:rsidRPr="00603C82">
        <w:rPr>
          <w:lang w:val="en-GB"/>
        </w:rPr>
        <w:t>,</w:t>
      </w:r>
      <w:r w:rsidRPr="00603C82">
        <w:rPr>
          <w:lang w:val="en-GB"/>
        </w:rPr>
        <w:t xml:space="preserve"> highlighted the abil</w:t>
      </w:r>
      <w:r w:rsidRPr="00AD20B2">
        <w:rPr>
          <w:lang w:val="en-GB"/>
        </w:rPr>
        <w:t xml:space="preserve">ity of UNDP to broker partnerships between </w:t>
      </w:r>
      <w:r w:rsidR="002B7165" w:rsidRPr="004574DC">
        <w:rPr>
          <w:lang w:val="en-GB"/>
        </w:rPr>
        <w:t xml:space="preserve">the </w:t>
      </w:r>
      <w:r w:rsidRPr="004574DC">
        <w:rPr>
          <w:lang w:val="en-GB"/>
        </w:rPr>
        <w:t xml:space="preserve">Government, civil society and private sector, and to advocate for the rights of vulnerable groups. Recognized as a reliable partner, called on to deliver high-level policy inputs on socioeconomic reform, UNDP still needs to strengthen cross-sectoral cooperation, </w:t>
      </w:r>
      <w:r w:rsidRPr="004574DC">
        <w:rPr>
          <w:lang w:val="en-GB"/>
        </w:rPr>
        <w:lastRenderedPageBreak/>
        <w:t xml:space="preserve">enhance the role of beneficiaries in programmes, and use disaggregated data for monitoring and evaluation to ensure more focused impact. Moreover, key partners have reiterated the need for flexible programing and a mechanism for providing strategic policy advice on demand.  </w:t>
      </w:r>
    </w:p>
    <w:p w14:paraId="14CFF56C" w14:textId="103A9413" w:rsidR="00AE6672" w:rsidRPr="004574DC" w:rsidRDefault="00AE6672" w:rsidP="00484CBF">
      <w:pPr>
        <w:numPr>
          <w:ilvl w:val="0"/>
          <w:numId w:val="32"/>
        </w:numPr>
        <w:tabs>
          <w:tab w:val="left" w:pos="450"/>
          <w:tab w:val="left" w:pos="810"/>
          <w:tab w:val="left" w:pos="1800"/>
          <w:tab w:val="left" w:pos="8370"/>
        </w:tabs>
        <w:spacing w:after="240"/>
        <w:ind w:left="1440" w:right="1210" w:firstLine="0"/>
        <w:jc w:val="both"/>
        <w:rPr>
          <w:lang w:val="en-GB"/>
        </w:rPr>
      </w:pPr>
      <w:r w:rsidRPr="004574DC">
        <w:rPr>
          <w:lang w:val="en-GB"/>
        </w:rPr>
        <w:t xml:space="preserve">The new </w:t>
      </w:r>
      <w:r w:rsidR="006F339C" w:rsidRPr="004574DC">
        <w:rPr>
          <w:lang w:val="en-GB"/>
        </w:rPr>
        <w:t>c</w:t>
      </w:r>
      <w:r w:rsidRPr="004574DC">
        <w:rPr>
          <w:lang w:val="en-GB"/>
        </w:rPr>
        <w:t xml:space="preserve">ountry </w:t>
      </w:r>
      <w:r w:rsidR="006F339C" w:rsidRPr="004574DC">
        <w:rPr>
          <w:lang w:val="en-GB"/>
        </w:rPr>
        <w:t>p</w:t>
      </w:r>
      <w:r w:rsidRPr="004574DC">
        <w:rPr>
          <w:lang w:val="en-GB"/>
        </w:rPr>
        <w:t>rogramme</w:t>
      </w:r>
      <w:r w:rsidR="006F339C" w:rsidRPr="004574DC">
        <w:rPr>
          <w:lang w:val="en-GB"/>
        </w:rPr>
        <w:t xml:space="preserve">, </w:t>
      </w:r>
      <w:r w:rsidRPr="004574DC">
        <w:rPr>
          <w:lang w:val="en-GB"/>
        </w:rPr>
        <w:t>2016-2020</w:t>
      </w:r>
      <w:r w:rsidR="006F339C" w:rsidRPr="004574DC">
        <w:rPr>
          <w:lang w:val="en-GB"/>
        </w:rPr>
        <w:t>,</w:t>
      </w:r>
      <w:r w:rsidRPr="004574DC">
        <w:rPr>
          <w:lang w:val="en-GB"/>
        </w:rPr>
        <w:t xml:space="preserve"> is premised on NSDS-2030, sectoral strategies, the UNDAF</w:t>
      </w:r>
      <w:r w:rsidR="006F339C" w:rsidRPr="004574DC">
        <w:rPr>
          <w:lang w:val="en-GB"/>
        </w:rPr>
        <w:t>,</w:t>
      </w:r>
      <w:r w:rsidRPr="004574DC">
        <w:rPr>
          <w:lang w:val="en-GB"/>
        </w:rPr>
        <w:t xml:space="preserve"> 2016-2020, national post-2015 consultations, the My World survey, the assessment of UNDP comparative advantages</w:t>
      </w:r>
      <w:r w:rsidR="00B456EE" w:rsidRPr="004574DC">
        <w:rPr>
          <w:lang w:val="en-GB"/>
        </w:rPr>
        <w:t xml:space="preserve">, and ongoing dialogue </w:t>
      </w:r>
      <w:r w:rsidR="00D14C59" w:rsidRPr="004574DC">
        <w:rPr>
          <w:lang w:val="en-GB"/>
        </w:rPr>
        <w:t>between the Government and the</w:t>
      </w:r>
      <w:r w:rsidR="00B456EE" w:rsidRPr="004574DC">
        <w:rPr>
          <w:lang w:val="en-GB"/>
        </w:rPr>
        <w:t xml:space="preserve"> </w:t>
      </w:r>
      <w:r w:rsidR="006F339C" w:rsidRPr="004574DC">
        <w:rPr>
          <w:lang w:val="en-GB"/>
        </w:rPr>
        <w:t xml:space="preserve">international financial institutions </w:t>
      </w:r>
      <w:r w:rsidR="00B456EE" w:rsidRPr="004574DC">
        <w:rPr>
          <w:lang w:val="en-GB"/>
        </w:rPr>
        <w:t xml:space="preserve">on </w:t>
      </w:r>
      <w:r w:rsidR="00D14C59" w:rsidRPr="004574DC">
        <w:rPr>
          <w:lang w:val="en-GB"/>
        </w:rPr>
        <w:t xml:space="preserve">prospective </w:t>
      </w:r>
      <w:r w:rsidR="00B456EE" w:rsidRPr="004574DC">
        <w:rPr>
          <w:lang w:val="en-GB"/>
        </w:rPr>
        <w:t>structural reforms</w:t>
      </w:r>
      <w:r w:rsidRPr="004574DC">
        <w:rPr>
          <w:lang w:val="en-GB"/>
        </w:rPr>
        <w:t>. Under the new programme, UNDP will contribute to: (</w:t>
      </w:r>
      <w:r w:rsidR="006F339C" w:rsidRPr="004574DC">
        <w:rPr>
          <w:lang w:val="en-GB"/>
        </w:rPr>
        <w:t>a</w:t>
      </w:r>
      <w:r w:rsidRPr="004574DC">
        <w:rPr>
          <w:lang w:val="en-GB"/>
        </w:rPr>
        <w:t>) strengthening effective governance systems that are inclusive, responsive and accountable; (</w:t>
      </w:r>
      <w:r w:rsidR="006F339C" w:rsidRPr="004574DC">
        <w:rPr>
          <w:lang w:val="en-GB"/>
        </w:rPr>
        <w:t>b</w:t>
      </w:r>
      <w:r w:rsidRPr="004574DC">
        <w:rPr>
          <w:lang w:val="en-GB"/>
        </w:rPr>
        <w:t>) pursuing a green growth trajectory based on the principles of inclusion; and (</w:t>
      </w:r>
      <w:r w:rsidR="006F339C" w:rsidRPr="004574DC">
        <w:rPr>
          <w:lang w:val="en-GB"/>
        </w:rPr>
        <w:t>c</w:t>
      </w:r>
      <w:r w:rsidRPr="004574DC">
        <w:rPr>
          <w:lang w:val="en-GB"/>
        </w:rPr>
        <w:t>) ensuring universal access to basic services</w:t>
      </w:r>
      <w:r w:rsidRPr="004574DC">
        <w:rPr>
          <w:color w:val="FF0000"/>
          <w:lang w:val="en-GB"/>
        </w:rPr>
        <w:t xml:space="preserve"> </w:t>
      </w:r>
      <w:r w:rsidRPr="004574DC">
        <w:rPr>
          <w:lang w:val="en-GB"/>
        </w:rPr>
        <w:t xml:space="preserve">for vulnerable groups. These areas are primary components of NSDS-2030, as well as areas in which UNDP is either already well placed or can mobilize the expertise and support needed. </w:t>
      </w:r>
      <w:r w:rsidR="006F339C" w:rsidRPr="004574DC">
        <w:rPr>
          <w:lang w:val="en-GB"/>
        </w:rPr>
        <w:t xml:space="preserve">The role of </w:t>
      </w:r>
      <w:r w:rsidRPr="004574DC">
        <w:rPr>
          <w:rFonts w:ascii="TimesNewRomanPSMT" w:hAnsi="TimesNewRomanPSMT"/>
          <w:lang w:val="en-GB"/>
        </w:rPr>
        <w:t xml:space="preserve">UNDP as an </w:t>
      </w:r>
      <w:r w:rsidR="00603C82" w:rsidRPr="004574DC">
        <w:rPr>
          <w:rFonts w:ascii="TimesNewRomanPSMT" w:hAnsi="TimesNewRomanPSMT"/>
          <w:lang w:val="en-GB"/>
        </w:rPr>
        <w:t>impartial</w:t>
      </w:r>
      <w:r w:rsidR="006F339C" w:rsidRPr="004574DC">
        <w:rPr>
          <w:rFonts w:ascii="TimesNewRomanPSMT" w:hAnsi="TimesNewRomanPSMT"/>
          <w:lang w:val="en-GB"/>
        </w:rPr>
        <w:t xml:space="preserve"> </w:t>
      </w:r>
      <w:r w:rsidRPr="004574DC">
        <w:rPr>
          <w:rFonts w:ascii="TimesNewRomanPSMT" w:hAnsi="TimesNewRomanPSMT"/>
          <w:lang w:val="en-GB"/>
        </w:rPr>
        <w:t>trusted development partner will, through its work at the policy level, aim to leverage national resources to achieve the respective national goals</w:t>
      </w:r>
      <w:r w:rsidR="006F339C" w:rsidRPr="004574DC">
        <w:rPr>
          <w:rFonts w:ascii="TimesNewRomanPSMT" w:hAnsi="TimesNewRomanPSMT" w:cs="TimesNewRomanPSMT"/>
          <w:lang w:val="en-GB"/>
        </w:rPr>
        <w:t>,</w:t>
      </w:r>
      <w:r w:rsidRPr="004574DC">
        <w:rPr>
          <w:rFonts w:ascii="TimesNewRomanPSMT" w:hAnsi="TimesNewRomanPSMT"/>
          <w:lang w:val="en-GB"/>
        </w:rPr>
        <w:t xml:space="preserve"> in particular</w:t>
      </w:r>
      <w:r w:rsidR="006F339C" w:rsidRPr="004574DC">
        <w:rPr>
          <w:rFonts w:ascii="TimesNewRomanPSMT" w:hAnsi="TimesNewRomanPSMT"/>
          <w:lang w:val="en-GB"/>
        </w:rPr>
        <w:t xml:space="preserve"> during </w:t>
      </w:r>
      <w:r w:rsidRPr="004574DC">
        <w:rPr>
          <w:rFonts w:ascii="TimesNewRomanPSMT" w:hAnsi="TimesNewRomanPSMT"/>
          <w:lang w:val="en-GB"/>
        </w:rPr>
        <w:t>the first phase of NSDS-2030, the National Development Plan</w:t>
      </w:r>
      <w:r w:rsidR="006F339C" w:rsidRPr="004574DC">
        <w:rPr>
          <w:rFonts w:ascii="TimesNewRomanPSMT" w:hAnsi="TimesNewRomanPSMT"/>
          <w:lang w:val="en-GB"/>
        </w:rPr>
        <w:t>,</w:t>
      </w:r>
      <w:r w:rsidRPr="004574DC">
        <w:rPr>
          <w:rFonts w:ascii="TimesNewRomanPSMT" w:hAnsi="TimesNewRomanPSMT"/>
          <w:lang w:val="en-GB"/>
        </w:rPr>
        <w:t xml:space="preserve"> 2016-2020.</w:t>
      </w:r>
    </w:p>
    <w:p w14:paraId="6BBBD35C" w14:textId="27C5AB2C" w:rsidR="004820B0" w:rsidRPr="004574DC" w:rsidRDefault="004820B0" w:rsidP="006F339C">
      <w:pPr>
        <w:pStyle w:val="Heading2"/>
        <w:ind w:left="1440" w:right="1267" w:hanging="450"/>
        <w:jc w:val="both"/>
        <w:rPr>
          <w:rFonts w:ascii="Times New Roman" w:hAnsi="Times New Roman"/>
          <w:color w:val="000000"/>
          <w:spacing w:val="-3"/>
          <w:sz w:val="20"/>
          <w:lang w:val="en-GB"/>
        </w:rPr>
      </w:pPr>
      <w:r w:rsidRPr="004574DC">
        <w:rPr>
          <w:rFonts w:ascii="Times New Roman" w:hAnsi="Times New Roman"/>
          <w:bCs/>
          <w:color w:val="000000"/>
          <w:sz w:val="24"/>
          <w:szCs w:val="24"/>
          <w:lang w:val="en-GB"/>
        </w:rPr>
        <w:t xml:space="preserve">II. </w:t>
      </w:r>
      <w:r w:rsidR="006F339C" w:rsidRPr="004574DC">
        <w:rPr>
          <w:rFonts w:ascii="Times New Roman" w:hAnsi="Times New Roman"/>
          <w:bCs/>
          <w:color w:val="000000"/>
          <w:sz w:val="24"/>
          <w:szCs w:val="24"/>
          <w:lang w:val="en-GB"/>
        </w:rPr>
        <w:tab/>
      </w:r>
      <w:r w:rsidR="00677F8A" w:rsidRPr="004574DC">
        <w:rPr>
          <w:rFonts w:ascii="Times New Roman" w:hAnsi="Times New Roman"/>
          <w:bCs/>
          <w:color w:val="000000"/>
          <w:sz w:val="24"/>
          <w:szCs w:val="24"/>
          <w:lang w:val="en-GB"/>
        </w:rPr>
        <w:t xml:space="preserve">Programme </w:t>
      </w:r>
      <w:r w:rsidR="006F339C" w:rsidRPr="004574DC">
        <w:rPr>
          <w:rFonts w:ascii="Times New Roman" w:hAnsi="Times New Roman"/>
          <w:bCs/>
          <w:color w:val="000000"/>
          <w:sz w:val="24"/>
          <w:szCs w:val="24"/>
          <w:lang w:val="en-GB"/>
        </w:rPr>
        <w:t>p</w:t>
      </w:r>
      <w:r w:rsidR="00677F8A" w:rsidRPr="004574DC">
        <w:rPr>
          <w:rFonts w:ascii="Times New Roman" w:hAnsi="Times New Roman"/>
          <w:bCs/>
          <w:color w:val="000000"/>
          <w:sz w:val="24"/>
          <w:szCs w:val="24"/>
          <w:lang w:val="en-GB"/>
        </w:rPr>
        <w:t>riorities</w:t>
      </w:r>
      <w:r w:rsidR="002B6341" w:rsidRPr="004574DC">
        <w:rPr>
          <w:rFonts w:ascii="Times New Roman" w:hAnsi="Times New Roman"/>
          <w:bCs/>
          <w:color w:val="000000"/>
          <w:sz w:val="24"/>
          <w:szCs w:val="24"/>
          <w:lang w:val="en-GB"/>
        </w:rPr>
        <w:t xml:space="preserve"> </w:t>
      </w:r>
      <w:r w:rsidR="004736BE" w:rsidRPr="004574DC">
        <w:rPr>
          <w:rFonts w:ascii="Times New Roman" w:hAnsi="Times New Roman"/>
          <w:bCs/>
          <w:color w:val="000000"/>
          <w:sz w:val="24"/>
          <w:szCs w:val="24"/>
          <w:lang w:val="en-GB"/>
        </w:rPr>
        <w:t xml:space="preserve">and </w:t>
      </w:r>
      <w:r w:rsidR="006F339C" w:rsidRPr="004574DC">
        <w:rPr>
          <w:rFonts w:ascii="Times New Roman" w:hAnsi="Times New Roman"/>
          <w:bCs/>
          <w:color w:val="000000"/>
          <w:sz w:val="24"/>
          <w:szCs w:val="24"/>
          <w:lang w:val="en-GB"/>
        </w:rPr>
        <w:t>p</w:t>
      </w:r>
      <w:r w:rsidR="002B6341" w:rsidRPr="004574DC">
        <w:rPr>
          <w:rFonts w:ascii="Times New Roman" w:hAnsi="Times New Roman"/>
          <w:bCs/>
          <w:color w:val="000000"/>
          <w:sz w:val="24"/>
          <w:szCs w:val="24"/>
          <w:lang w:val="en-GB"/>
        </w:rPr>
        <w:t>artnerships</w:t>
      </w:r>
      <w:r w:rsidR="00074DB9" w:rsidRPr="004574DC">
        <w:rPr>
          <w:rFonts w:ascii="Times New Roman" w:hAnsi="Times New Roman"/>
          <w:bCs/>
          <w:color w:val="000000"/>
          <w:sz w:val="24"/>
          <w:szCs w:val="24"/>
          <w:lang w:val="en-GB"/>
        </w:rPr>
        <w:t xml:space="preserve"> </w:t>
      </w:r>
    </w:p>
    <w:p w14:paraId="1FA87203" w14:textId="77777777" w:rsidR="00E42084" w:rsidRPr="00484CBF" w:rsidRDefault="00E42084" w:rsidP="00AE6672">
      <w:pPr>
        <w:ind w:left="1440" w:right="1210"/>
        <w:rPr>
          <w:sz w:val="16"/>
          <w:szCs w:val="16"/>
          <w:lang w:val="en-GB"/>
        </w:rPr>
      </w:pPr>
    </w:p>
    <w:p w14:paraId="1C2AA972" w14:textId="0DDFF518"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UNDP will streamline its support to ensure consistency across three priority development areas aligned with NSDS-2030, </w:t>
      </w:r>
      <w:r w:rsidR="001603F3" w:rsidRPr="004574DC">
        <w:rPr>
          <w:lang w:val="en-GB"/>
        </w:rPr>
        <w:t xml:space="preserve">national development programmes, </w:t>
      </w:r>
      <w:r w:rsidRPr="00603C82">
        <w:rPr>
          <w:lang w:val="en-GB"/>
        </w:rPr>
        <w:t>UNDAF</w:t>
      </w:r>
      <w:r w:rsidR="00235A27" w:rsidRPr="00603C82">
        <w:rPr>
          <w:lang w:val="en-GB"/>
        </w:rPr>
        <w:t>,</w:t>
      </w:r>
      <w:r w:rsidRPr="00603C82">
        <w:rPr>
          <w:lang w:val="en-GB"/>
        </w:rPr>
        <w:t xml:space="preserve"> 2016-2020</w:t>
      </w:r>
      <w:r w:rsidR="00235A27" w:rsidRPr="00603C82">
        <w:rPr>
          <w:lang w:val="en-GB"/>
        </w:rPr>
        <w:t>,</w:t>
      </w:r>
      <w:r w:rsidRPr="00603C82">
        <w:rPr>
          <w:lang w:val="en-GB"/>
        </w:rPr>
        <w:t xml:space="preserve"> and UNDP </w:t>
      </w:r>
      <w:r w:rsidR="00235A27" w:rsidRPr="00603C82">
        <w:rPr>
          <w:lang w:val="en-GB"/>
        </w:rPr>
        <w:t>s</w:t>
      </w:r>
      <w:r w:rsidRPr="004574DC">
        <w:rPr>
          <w:lang w:val="en-GB"/>
        </w:rPr>
        <w:t xml:space="preserve">trategic </w:t>
      </w:r>
      <w:r w:rsidR="00235A27" w:rsidRPr="004574DC">
        <w:rPr>
          <w:lang w:val="en-GB"/>
        </w:rPr>
        <w:t>p</w:t>
      </w:r>
      <w:r w:rsidRPr="004574DC">
        <w:rPr>
          <w:lang w:val="en-GB"/>
        </w:rPr>
        <w:t>lan</w:t>
      </w:r>
      <w:r w:rsidR="00235A27" w:rsidRPr="004574DC">
        <w:rPr>
          <w:lang w:val="en-GB"/>
        </w:rPr>
        <w:t>,</w:t>
      </w:r>
      <w:r w:rsidRPr="004574DC">
        <w:rPr>
          <w:lang w:val="en-GB"/>
        </w:rPr>
        <w:t xml:space="preserve"> 2014-2017.  </w:t>
      </w:r>
    </w:p>
    <w:p w14:paraId="2BB3316A" w14:textId="64C59316"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b/>
          <w:lang w:val="en-GB"/>
        </w:rPr>
        <w:t xml:space="preserve">Priority Area 1: </w:t>
      </w:r>
      <w:r w:rsidR="00DC417D" w:rsidRPr="004574DC">
        <w:rPr>
          <w:b/>
          <w:lang w:val="en-GB"/>
        </w:rPr>
        <w:t>S</w:t>
      </w:r>
      <w:r w:rsidRPr="004574DC">
        <w:rPr>
          <w:b/>
          <w:lang w:val="en-GB"/>
        </w:rPr>
        <w:t>tronger systems of inclusive and responsive governance</w:t>
      </w:r>
      <w:r w:rsidRPr="004574DC">
        <w:rPr>
          <w:lang w:val="en-GB"/>
        </w:rPr>
        <w:t xml:space="preserve">. This priority area aims to contribute to UNDP </w:t>
      </w:r>
      <w:r w:rsidR="00235A27" w:rsidRPr="004574DC">
        <w:rPr>
          <w:lang w:val="en-GB"/>
        </w:rPr>
        <w:t>s</w:t>
      </w:r>
      <w:r w:rsidRPr="004574DC">
        <w:rPr>
          <w:lang w:val="en-GB"/>
        </w:rPr>
        <w:t xml:space="preserve">trategic </w:t>
      </w:r>
      <w:r w:rsidR="00235A27" w:rsidRPr="004574DC">
        <w:rPr>
          <w:lang w:val="en-GB"/>
        </w:rPr>
        <w:t>p</w:t>
      </w:r>
      <w:r w:rsidRPr="004574DC">
        <w:rPr>
          <w:lang w:val="en-GB"/>
        </w:rPr>
        <w:t xml:space="preserve">lan </w:t>
      </w:r>
      <w:r w:rsidR="00235A27" w:rsidRPr="004574DC">
        <w:rPr>
          <w:lang w:val="en-GB"/>
        </w:rPr>
        <w:t>o</w:t>
      </w:r>
      <w:r w:rsidRPr="004574DC">
        <w:rPr>
          <w:lang w:val="en-GB"/>
        </w:rPr>
        <w:t xml:space="preserve">utcome 2 and UNDAF </w:t>
      </w:r>
      <w:r w:rsidR="00235A27" w:rsidRPr="004574DC">
        <w:rPr>
          <w:lang w:val="en-GB"/>
        </w:rPr>
        <w:t>o</w:t>
      </w:r>
      <w:r w:rsidRPr="004574DC">
        <w:rPr>
          <w:lang w:val="en-GB"/>
        </w:rPr>
        <w:t xml:space="preserve">utcome 1.2. </w:t>
      </w:r>
    </w:p>
    <w:p w14:paraId="147B6F6D" w14:textId="029971BD"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To support resilient state-society relations for socioeconomic development, UNDP will assist structures at the national and local levels to ensure progressive realization of human rights</w:t>
      </w:r>
      <w:r w:rsidR="00C441A5" w:rsidRPr="004574DC">
        <w:rPr>
          <w:lang w:val="en-GB"/>
        </w:rPr>
        <w:t xml:space="preserve"> and implement recommendations in the framework of the Universal Periodic Review and recommendations of U</w:t>
      </w:r>
      <w:r w:rsidR="00754359" w:rsidRPr="004574DC">
        <w:rPr>
          <w:lang w:val="en-GB"/>
        </w:rPr>
        <w:t xml:space="preserve">nited </w:t>
      </w:r>
      <w:r w:rsidR="00C441A5" w:rsidRPr="004574DC">
        <w:rPr>
          <w:lang w:val="en-GB"/>
        </w:rPr>
        <w:t>N</w:t>
      </w:r>
      <w:r w:rsidR="00754359" w:rsidRPr="004574DC">
        <w:rPr>
          <w:lang w:val="en-GB"/>
        </w:rPr>
        <w:t>ations</w:t>
      </w:r>
      <w:r w:rsidR="00C441A5" w:rsidRPr="004574DC">
        <w:rPr>
          <w:lang w:val="en-GB"/>
        </w:rPr>
        <w:t xml:space="preserve"> treaty bodies</w:t>
      </w:r>
      <w:r w:rsidRPr="00603C82">
        <w:rPr>
          <w:lang w:val="en-GB"/>
        </w:rPr>
        <w:t xml:space="preserve">. Specifically, UNDP will facilitate multi-stakeholder dialogue in the second cycle of the </w:t>
      </w:r>
      <w:r w:rsidR="00235A27" w:rsidRPr="00603C82">
        <w:rPr>
          <w:lang w:val="en-GB"/>
        </w:rPr>
        <w:t>Universal Periodic Review</w:t>
      </w:r>
      <w:r w:rsidR="00235A27" w:rsidRPr="00AD20B2">
        <w:rPr>
          <w:lang w:val="en-GB"/>
        </w:rPr>
        <w:t xml:space="preserve"> </w:t>
      </w:r>
      <w:r w:rsidRPr="004574DC">
        <w:rPr>
          <w:lang w:val="en-GB"/>
        </w:rPr>
        <w:t xml:space="preserve">and promote the role of </w:t>
      </w:r>
      <w:r w:rsidR="00A23F65" w:rsidRPr="004574DC">
        <w:rPr>
          <w:lang w:val="en-GB"/>
        </w:rPr>
        <w:t xml:space="preserve">diverse </w:t>
      </w:r>
      <w:r w:rsidRPr="004574DC">
        <w:rPr>
          <w:lang w:val="en-GB"/>
        </w:rPr>
        <w:t xml:space="preserve">civil society, </w:t>
      </w:r>
      <w:r w:rsidR="00A23F65" w:rsidRPr="004574DC">
        <w:rPr>
          <w:lang w:val="en-GB"/>
        </w:rPr>
        <w:t>men and women</w:t>
      </w:r>
      <w:r w:rsidR="0052274A" w:rsidRPr="004574DC">
        <w:rPr>
          <w:lang w:val="en-GB"/>
        </w:rPr>
        <w:t xml:space="preserve"> equally</w:t>
      </w:r>
      <w:r w:rsidR="00A23F65" w:rsidRPr="004574DC">
        <w:rPr>
          <w:lang w:val="en-GB"/>
        </w:rPr>
        <w:t xml:space="preserve">, </w:t>
      </w:r>
      <w:r w:rsidRPr="004574DC">
        <w:rPr>
          <w:lang w:val="en-GB"/>
        </w:rPr>
        <w:t xml:space="preserve">especially youth, in the decision-making, implementation and evaluation of national and local policies and programmes. It will continue to boost the capacity of justice and law enforcement institutions to systematically apply and implement international conventions. </w:t>
      </w:r>
    </w:p>
    <w:p w14:paraId="5E6E59C0" w14:textId="7674046F"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Considering </w:t>
      </w:r>
      <w:r w:rsidR="000846D6" w:rsidRPr="004574DC">
        <w:rPr>
          <w:lang w:val="en-GB"/>
        </w:rPr>
        <w:t xml:space="preserve">the country’s </w:t>
      </w:r>
      <w:r w:rsidRPr="004574DC">
        <w:rPr>
          <w:lang w:val="en-GB"/>
        </w:rPr>
        <w:t xml:space="preserve">transit position and associated transboundary threats, UNDP will support </w:t>
      </w:r>
      <w:r w:rsidR="000846D6" w:rsidRPr="004574DC">
        <w:rPr>
          <w:lang w:val="en-GB"/>
        </w:rPr>
        <w:t xml:space="preserve">Belarus </w:t>
      </w:r>
      <w:r w:rsidRPr="004574DC">
        <w:rPr>
          <w:lang w:val="en-GB"/>
        </w:rPr>
        <w:t>in contributing to regional security and</w:t>
      </w:r>
      <w:r w:rsidR="000846D6" w:rsidRPr="004574DC">
        <w:rPr>
          <w:lang w:val="en-GB"/>
        </w:rPr>
        <w:t>,</w:t>
      </w:r>
      <w:r w:rsidRPr="004574DC">
        <w:rPr>
          <w:lang w:val="en-GB"/>
        </w:rPr>
        <w:t xml:space="preserve"> in partnership with other U</w:t>
      </w:r>
      <w:r w:rsidR="000846D6" w:rsidRPr="004574DC">
        <w:rPr>
          <w:lang w:val="en-GB"/>
        </w:rPr>
        <w:t xml:space="preserve">nited </w:t>
      </w:r>
      <w:r w:rsidRPr="004574DC">
        <w:rPr>
          <w:lang w:val="en-GB"/>
        </w:rPr>
        <w:t>N</w:t>
      </w:r>
      <w:r w:rsidR="000846D6" w:rsidRPr="004574DC">
        <w:rPr>
          <w:lang w:val="en-GB"/>
        </w:rPr>
        <w:t>ations</w:t>
      </w:r>
      <w:r w:rsidRPr="004574DC">
        <w:rPr>
          <w:lang w:val="en-GB"/>
        </w:rPr>
        <w:t xml:space="preserve"> </w:t>
      </w:r>
      <w:r w:rsidR="000846D6" w:rsidRPr="004574DC">
        <w:rPr>
          <w:lang w:val="en-GB"/>
        </w:rPr>
        <w:t xml:space="preserve">organizations </w:t>
      </w:r>
      <w:r w:rsidRPr="004574DC">
        <w:rPr>
          <w:lang w:val="en-GB"/>
        </w:rPr>
        <w:t xml:space="preserve">and international organizations, it will work to build better systems to protect the rights of irregular migrants and victims of human trafficking. It will also help the country to adopt up-to-date border management practices and to capacitate institutions for the safe storage of small arms and light weapons. </w:t>
      </w:r>
    </w:p>
    <w:p w14:paraId="4A75FA95" w14:textId="0EA7142E"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To promote an inclusive</w:t>
      </w:r>
      <w:r w:rsidR="0037074D" w:rsidRPr="004574DC">
        <w:rPr>
          <w:lang w:val="en-GB"/>
        </w:rPr>
        <w:t>,</w:t>
      </w:r>
      <w:r w:rsidRPr="004574DC">
        <w:rPr>
          <w:lang w:val="en-GB"/>
        </w:rPr>
        <w:t xml:space="preserve"> accountable and responsive governance system, UNDP will support the country in its efforts to enhance the integrity of public institutions and improve public service delivery. </w:t>
      </w:r>
      <w:r w:rsidR="002B2139" w:rsidRPr="004574DC">
        <w:rPr>
          <w:lang w:val="en-GB"/>
        </w:rPr>
        <w:t>It will also help Belarus explore and scale up s</w:t>
      </w:r>
      <w:r w:rsidRPr="004574DC">
        <w:rPr>
          <w:lang w:val="en-GB"/>
        </w:rPr>
        <w:t xml:space="preserve">ectoral assessments of corruption vulnerabilities, promotion of e-governance, access to public information, and new institutional forms of service provision, such as integrated customer service centres for the provision of administrative services. </w:t>
      </w:r>
      <w:r w:rsidR="002B2139" w:rsidRPr="004574DC">
        <w:rPr>
          <w:lang w:val="en-GB"/>
        </w:rPr>
        <w:t>It will support t</w:t>
      </w:r>
      <w:r w:rsidRPr="004574DC">
        <w:rPr>
          <w:lang w:val="en-GB"/>
        </w:rPr>
        <w:t xml:space="preserve">he adoption and implementation of a law on personal data protection in accordance with international standards. UNDP will assist the country in designing evidence-based policies and frameworks to advance </w:t>
      </w:r>
      <w:r w:rsidR="002B2139" w:rsidRPr="004574DC">
        <w:rPr>
          <w:lang w:val="en-GB"/>
        </w:rPr>
        <w:t xml:space="preserve">women’s </w:t>
      </w:r>
      <w:r w:rsidRPr="004574DC">
        <w:rPr>
          <w:lang w:val="en-GB"/>
        </w:rPr>
        <w:t xml:space="preserve">participation in decision-making and to create an </w:t>
      </w:r>
      <w:r w:rsidRPr="004574DC">
        <w:rPr>
          <w:lang w:val="en-GB"/>
        </w:rPr>
        <w:lastRenderedPageBreak/>
        <w:t xml:space="preserve">enabling environment for female entrepreneurs to become an important source of economic growth and employment. </w:t>
      </w:r>
    </w:p>
    <w:p w14:paraId="2B1B0C2F" w14:textId="1F41E9C2"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b/>
          <w:lang w:val="en-GB"/>
        </w:rPr>
        <w:t xml:space="preserve">Priority Area 2: Growth and development are inclusive and sustainable, incorporating productive capacities that target employment and create livelihoods for vulnerable groups. </w:t>
      </w:r>
      <w:r w:rsidRPr="004574DC">
        <w:rPr>
          <w:lang w:val="en-GB"/>
        </w:rPr>
        <w:t xml:space="preserve">This priority area aims to contribute to UNDP </w:t>
      </w:r>
      <w:r w:rsidR="002B2139" w:rsidRPr="004574DC">
        <w:rPr>
          <w:lang w:val="en-GB"/>
        </w:rPr>
        <w:t>s</w:t>
      </w:r>
      <w:r w:rsidRPr="004574DC">
        <w:rPr>
          <w:lang w:val="en-GB"/>
        </w:rPr>
        <w:t xml:space="preserve">trategic </w:t>
      </w:r>
      <w:r w:rsidR="002B2139" w:rsidRPr="004574DC">
        <w:rPr>
          <w:lang w:val="en-GB"/>
        </w:rPr>
        <w:t>p</w:t>
      </w:r>
      <w:r w:rsidRPr="004574DC">
        <w:rPr>
          <w:lang w:val="en-GB"/>
        </w:rPr>
        <w:t xml:space="preserve">lan </w:t>
      </w:r>
      <w:r w:rsidR="002B2139" w:rsidRPr="004574DC">
        <w:rPr>
          <w:lang w:val="en-GB"/>
        </w:rPr>
        <w:t>o</w:t>
      </w:r>
      <w:r w:rsidRPr="004574DC">
        <w:rPr>
          <w:lang w:val="en-GB"/>
        </w:rPr>
        <w:t xml:space="preserve">utcome 1 and two UNDAF </w:t>
      </w:r>
      <w:r w:rsidR="002B2139" w:rsidRPr="004574DC">
        <w:rPr>
          <w:lang w:val="en-GB"/>
        </w:rPr>
        <w:t>o</w:t>
      </w:r>
      <w:r w:rsidRPr="004574DC">
        <w:rPr>
          <w:lang w:val="en-GB"/>
        </w:rPr>
        <w:t>utcomes: 2.1 and 3.1.</w:t>
      </w:r>
    </w:p>
    <w:p w14:paraId="47AF29AF" w14:textId="0D59D024"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Building on the </w:t>
      </w:r>
      <w:r w:rsidR="00C15EF9" w:rsidRPr="004574DC">
        <w:rPr>
          <w:lang w:val="en-GB"/>
        </w:rPr>
        <w:t>N</w:t>
      </w:r>
      <w:r w:rsidRPr="004574DC">
        <w:rPr>
          <w:lang w:val="en-GB"/>
        </w:rPr>
        <w:t xml:space="preserve">ational </w:t>
      </w:r>
      <w:r w:rsidR="00C15EF9" w:rsidRPr="004574DC">
        <w:rPr>
          <w:lang w:val="en-GB"/>
        </w:rPr>
        <w:t>H</w:t>
      </w:r>
      <w:r w:rsidRPr="004574DC">
        <w:rPr>
          <w:lang w:val="en-GB"/>
        </w:rPr>
        <w:t xml:space="preserve">uman </w:t>
      </w:r>
      <w:r w:rsidR="00C15EF9" w:rsidRPr="004574DC">
        <w:rPr>
          <w:lang w:val="en-GB"/>
        </w:rPr>
        <w:t>D</w:t>
      </w:r>
      <w:r w:rsidRPr="004574DC">
        <w:rPr>
          <w:lang w:val="en-GB"/>
        </w:rPr>
        <w:t xml:space="preserve">evelopment </w:t>
      </w:r>
      <w:r w:rsidR="00C15EF9" w:rsidRPr="004574DC">
        <w:rPr>
          <w:lang w:val="en-GB"/>
        </w:rPr>
        <w:t>R</w:t>
      </w:r>
      <w:r w:rsidRPr="004574DC">
        <w:rPr>
          <w:lang w:val="en-GB"/>
        </w:rPr>
        <w:t>eport 2015 on regional competitiveness, UNDP will direct its efforts in supporting the country to shift from a highly energy-dependent economy to energy efficiency and green growth whil</w:t>
      </w:r>
      <w:r w:rsidR="002B2139" w:rsidRPr="004574DC">
        <w:rPr>
          <w:lang w:val="en-GB"/>
        </w:rPr>
        <w:t>e</w:t>
      </w:r>
      <w:r w:rsidRPr="004574DC">
        <w:rPr>
          <w:lang w:val="en-GB"/>
        </w:rPr>
        <w:t xml:space="preserve"> maintaining inclusive and sustainable social policies. </w:t>
      </w:r>
    </w:p>
    <w:p w14:paraId="25DF0AC6" w14:textId="77777777"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UNDP will support the country in developing sustainable economic conditions at the local level, particularly in the areas recovering from the Chernobyl disaster, by facilitating measures to attract investment, support innovation, develop SMEs and promote inclusive gender-balanced employment</w:t>
      </w:r>
      <w:r w:rsidR="00D70A10" w:rsidRPr="004574DC">
        <w:rPr>
          <w:lang w:val="en-GB"/>
        </w:rPr>
        <w:t>, particularly focusing on youth.</w:t>
      </w:r>
      <w:r w:rsidRPr="004574DC">
        <w:rPr>
          <w:lang w:val="en-GB"/>
        </w:rPr>
        <w:t xml:space="preserve"> This will inter alia</w:t>
      </w:r>
      <w:r w:rsidRPr="004574DC">
        <w:rPr>
          <w:i/>
          <w:lang w:val="en-GB"/>
        </w:rPr>
        <w:t xml:space="preserve"> </w:t>
      </w:r>
      <w:r w:rsidRPr="004574DC">
        <w:rPr>
          <w:lang w:val="en-GB"/>
        </w:rPr>
        <w:t>entail engagement in supporting vocational education, development of small and innovative businesses and the participation of SMEs in export.</w:t>
      </w:r>
    </w:p>
    <w:p w14:paraId="78AD0C7E" w14:textId="6F8392BB"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Public-private partnerships and SMEs will benefit from East-East knowledge exchange, and UNDP will contribute to economic reform, with a focus on employment in low-energy sectors. UNDP will continue to provide assistance in meeting the requirements for WTO accession. It will support tax legislation reform to reduce the costs faced by businesses and to promote efficient models of tax administration and tax advisory services for businesses.</w:t>
      </w:r>
    </w:p>
    <w:p w14:paraId="21C53151" w14:textId="7AD2516A"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UNDP will assist in applying the principles of green economy and gender-sensitive green urban development by promoting the use of renewable energy resources, particularly wind energy, and </w:t>
      </w:r>
      <w:r w:rsidR="002B2139" w:rsidRPr="004574DC">
        <w:rPr>
          <w:lang w:val="en-GB"/>
        </w:rPr>
        <w:t xml:space="preserve">by </w:t>
      </w:r>
      <w:r w:rsidRPr="004574DC">
        <w:rPr>
          <w:lang w:val="en-GB"/>
        </w:rPr>
        <w:t xml:space="preserve">improving energy efficiency standards and waste management mechanisms. UNDP will support </w:t>
      </w:r>
      <w:r w:rsidR="002B2139" w:rsidRPr="004574DC">
        <w:rPr>
          <w:lang w:val="en-GB"/>
        </w:rPr>
        <w:t xml:space="preserve">the </w:t>
      </w:r>
      <w:r w:rsidRPr="004574DC">
        <w:rPr>
          <w:lang w:val="en-GB"/>
        </w:rPr>
        <w:t xml:space="preserve">capacity </w:t>
      </w:r>
      <w:r w:rsidR="002B2139" w:rsidRPr="004574DC">
        <w:rPr>
          <w:lang w:val="en-GB"/>
        </w:rPr>
        <w:t xml:space="preserve">of Belarus </w:t>
      </w:r>
      <w:r w:rsidRPr="004574DC">
        <w:rPr>
          <w:lang w:val="en-GB"/>
        </w:rPr>
        <w:t>to tackle climate change through</w:t>
      </w:r>
      <w:r w:rsidR="002B2139" w:rsidRPr="004574DC">
        <w:rPr>
          <w:lang w:val="en-GB"/>
        </w:rPr>
        <w:t>:</w:t>
      </w:r>
      <w:r w:rsidRPr="004574DC">
        <w:rPr>
          <w:lang w:val="en-GB"/>
        </w:rPr>
        <w:t xml:space="preserve"> </w:t>
      </w:r>
      <w:r w:rsidR="002B2139" w:rsidRPr="004574DC">
        <w:rPr>
          <w:lang w:val="en-GB"/>
        </w:rPr>
        <w:t xml:space="preserve">the </w:t>
      </w:r>
      <w:r w:rsidRPr="004574DC">
        <w:rPr>
          <w:lang w:val="en-GB"/>
        </w:rPr>
        <w:t xml:space="preserve">formulation of gender-sensitive mitigation and adaptation policies, </w:t>
      </w:r>
      <w:r w:rsidR="002B2139" w:rsidRPr="004574DC">
        <w:rPr>
          <w:lang w:val="en-GB"/>
        </w:rPr>
        <w:t xml:space="preserve">the </w:t>
      </w:r>
      <w:r w:rsidRPr="004574DC">
        <w:rPr>
          <w:lang w:val="en-GB"/>
        </w:rPr>
        <w:t>develop</w:t>
      </w:r>
      <w:r w:rsidR="002B2139" w:rsidRPr="004574DC">
        <w:rPr>
          <w:lang w:val="en-GB"/>
        </w:rPr>
        <w:t>ment of</w:t>
      </w:r>
      <w:r w:rsidRPr="004574DC">
        <w:rPr>
          <w:lang w:val="en-GB"/>
        </w:rPr>
        <w:t xml:space="preserve"> disaster-risk reduction strategies that take special note of vulnerable groups such as the rural elderly, children and </w:t>
      </w:r>
      <w:r w:rsidR="00ED5CE2" w:rsidRPr="004574DC">
        <w:rPr>
          <w:lang w:val="en-GB"/>
        </w:rPr>
        <w:t>persons</w:t>
      </w:r>
      <w:r w:rsidR="002B2139" w:rsidRPr="004574DC">
        <w:rPr>
          <w:lang w:val="en-GB"/>
        </w:rPr>
        <w:t xml:space="preserve"> with disabilities</w:t>
      </w:r>
      <w:r w:rsidRPr="004574DC">
        <w:rPr>
          <w:lang w:val="en-GB"/>
        </w:rPr>
        <w:t xml:space="preserve">, and the setting up of international river basin coordination mechanisms. It will support the protection of rare species and biotopes of national and international significance by building national capacity to develop and implement policies on integrated ecosystem management, including preservation and expansion of protected areas and management of the country’s significant forest resources. </w:t>
      </w:r>
    </w:p>
    <w:p w14:paraId="2501A780" w14:textId="1642E62B"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b/>
          <w:lang w:val="en-GB"/>
        </w:rPr>
        <w:t>Priority Area 3: Institutions are strengthened to progressively deliver universal access to basic services, with a focus on vulnerable groups</w:t>
      </w:r>
      <w:r w:rsidRPr="004574DC">
        <w:rPr>
          <w:lang w:val="en-GB"/>
        </w:rPr>
        <w:t xml:space="preserve">. This priority area aims to contribute directly to UNDP </w:t>
      </w:r>
      <w:r w:rsidR="008240FC" w:rsidRPr="004574DC">
        <w:rPr>
          <w:lang w:val="en-GB"/>
        </w:rPr>
        <w:t>s</w:t>
      </w:r>
      <w:r w:rsidRPr="004574DC">
        <w:rPr>
          <w:lang w:val="en-GB"/>
        </w:rPr>
        <w:t xml:space="preserve">trategic </w:t>
      </w:r>
      <w:r w:rsidR="008240FC" w:rsidRPr="004574DC">
        <w:rPr>
          <w:lang w:val="en-GB"/>
        </w:rPr>
        <w:t>p</w:t>
      </w:r>
      <w:r w:rsidRPr="004574DC">
        <w:rPr>
          <w:lang w:val="en-GB"/>
        </w:rPr>
        <w:t xml:space="preserve">lan </w:t>
      </w:r>
      <w:r w:rsidR="008240FC" w:rsidRPr="004574DC">
        <w:rPr>
          <w:lang w:val="en-GB"/>
        </w:rPr>
        <w:t>o</w:t>
      </w:r>
      <w:r w:rsidRPr="004574DC">
        <w:rPr>
          <w:lang w:val="en-GB"/>
        </w:rPr>
        <w:t xml:space="preserve">utcome 3 and UNDAF </w:t>
      </w:r>
      <w:r w:rsidR="008240FC" w:rsidRPr="004574DC">
        <w:rPr>
          <w:lang w:val="en-GB"/>
        </w:rPr>
        <w:t>o</w:t>
      </w:r>
      <w:r w:rsidRPr="004574DC">
        <w:rPr>
          <w:lang w:val="en-GB"/>
        </w:rPr>
        <w:t>utcome 4.3.</w:t>
      </w:r>
    </w:p>
    <w:p w14:paraId="4B83A062" w14:textId="420E09C9"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To support the Government in addressing low life expectancy, largely caused by </w:t>
      </w:r>
      <w:r w:rsidR="008240FC" w:rsidRPr="004574DC">
        <w:rPr>
          <w:lang w:val="en-GB"/>
        </w:rPr>
        <w:t xml:space="preserve">non-communicable diseases </w:t>
      </w:r>
      <w:r w:rsidRPr="004574DC">
        <w:rPr>
          <w:lang w:val="en-GB"/>
        </w:rPr>
        <w:t xml:space="preserve">and adversely effecting economic growth, UNDP will facilitate the involvement of local authorities and civil society organizations in the promotion of healthy lifestyles, including in the Chernobyl-affected areas and especially among </w:t>
      </w:r>
      <w:r w:rsidR="00B71E3C" w:rsidRPr="004574DC">
        <w:rPr>
          <w:lang w:val="en-GB"/>
        </w:rPr>
        <w:t>youth</w:t>
      </w:r>
      <w:r w:rsidRPr="004574DC">
        <w:rPr>
          <w:lang w:val="en-GB"/>
        </w:rPr>
        <w:t xml:space="preserve">. UNDP particularly aims to assist local authorities, communities and </w:t>
      </w:r>
      <w:r w:rsidR="008240FC" w:rsidRPr="004574DC">
        <w:rPr>
          <w:lang w:val="en-GB"/>
        </w:rPr>
        <w:t xml:space="preserve">civil society organizations (CSOs) </w:t>
      </w:r>
      <w:r w:rsidRPr="004574DC">
        <w:rPr>
          <w:lang w:val="en-GB"/>
        </w:rPr>
        <w:t xml:space="preserve">in rural areas in reducing tobacco and alcohol consumption and </w:t>
      </w:r>
      <w:r w:rsidR="008240FC" w:rsidRPr="004574DC">
        <w:rPr>
          <w:lang w:val="en-GB"/>
        </w:rPr>
        <w:t xml:space="preserve">in </w:t>
      </w:r>
      <w:r w:rsidRPr="004574DC">
        <w:rPr>
          <w:lang w:val="en-GB"/>
        </w:rPr>
        <w:t xml:space="preserve">promoting healthier lifestyles equally among men and women through public policy formulation, awareness raising and innovative behavioural change campaigns. </w:t>
      </w:r>
      <w:r w:rsidR="00B456EE" w:rsidRPr="004574DC">
        <w:rPr>
          <w:lang w:val="en-GB"/>
        </w:rPr>
        <w:t xml:space="preserve">UNDP will also stand ready to support the country </w:t>
      </w:r>
      <w:r w:rsidR="00D14C59" w:rsidRPr="004574DC">
        <w:rPr>
          <w:lang w:val="en-GB"/>
        </w:rPr>
        <w:t>in addressing possible adverse effects of structural adjustment process</w:t>
      </w:r>
      <w:r w:rsidR="006F187C" w:rsidRPr="004574DC">
        <w:rPr>
          <w:lang w:val="en-GB"/>
        </w:rPr>
        <w:t>es</w:t>
      </w:r>
      <w:r w:rsidR="00D14C59" w:rsidRPr="004574DC">
        <w:rPr>
          <w:lang w:val="en-GB"/>
        </w:rPr>
        <w:t xml:space="preserve"> on vulnerable groups</w:t>
      </w:r>
      <w:r w:rsidR="006F187C" w:rsidRPr="004574DC">
        <w:rPr>
          <w:lang w:val="en-GB"/>
        </w:rPr>
        <w:t>.</w:t>
      </w:r>
    </w:p>
    <w:p w14:paraId="13ACA300" w14:textId="760AE65E"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UNDP will continue to support the Government in implementing HIV and </w:t>
      </w:r>
      <w:r w:rsidR="008240FC" w:rsidRPr="004574DC">
        <w:rPr>
          <w:lang w:val="en-GB"/>
        </w:rPr>
        <w:t xml:space="preserve">tuberculosis </w:t>
      </w:r>
      <w:r w:rsidRPr="004574DC">
        <w:rPr>
          <w:lang w:val="en-GB"/>
        </w:rPr>
        <w:t xml:space="preserve">programmes, including through management, accountability and oversight of activities funded by the </w:t>
      </w:r>
      <w:r w:rsidR="008240FC" w:rsidRPr="004574DC">
        <w:rPr>
          <w:lang w:val="en-GB"/>
        </w:rPr>
        <w:t>Global Fund</w:t>
      </w:r>
      <w:r w:rsidRPr="004574DC">
        <w:rPr>
          <w:lang w:val="en-GB"/>
        </w:rPr>
        <w:t xml:space="preserve">, and capacity development of the </w:t>
      </w:r>
      <w:r w:rsidR="008240FC" w:rsidRPr="004574DC">
        <w:rPr>
          <w:lang w:val="en-GB"/>
        </w:rPr>
        <w:t>p</w:t>
      </w:r>
      <w:r w:rsidRPr="004574DC">
        <w:rPr>
          <w:lang w:val="en-GB"/>
        </w:rPr>
        <w:t xml:space="preserve">rincipal </w:t>
      </w:r>
      <w:r w:rsidR="008240FC" w:rsidRPr="004574DC">
        <w:rPr>
          <w:lang w:val="en-GB"/>
        </w:rPr>
        <w:t>r</w:t>
      </w:r>
      <w:r w:rsidRPr="004574DC">
        <w:rPr>
          <w:lang w:val="en-GB"/>
        </w:rPr>
        <w:t xml:space="preserve">ecipient. </w:t>
      </w:r>
      <w:r w:rsidRPr="004574DC">
        <w:rPr>
          <w:lang w:val="en-GB"/>
        </w:rPr>
        <w:lastRenderedPageBreak/>
        <w:t xml:space="preserve">UNDP will strengthen dialogue between the Government and civil society and ensure the smooth transition to national ownership of the implementation of </w:t>
      </w:r>
      <w:r w:rsidR="00ED5CE2" w:rsidRPr="004574DC">
        <w:rPr>
          <w:lang w:val="en-GB"/>
        </w:rPr>
        <w:t>Global Fund</w:t>
      </w:r>
      <w:r w:rsidRPr="004574DC">
        <w:rPr>
          <w:lang w:val="en-GB"/>
        </w:rPr>
        <w:t xml:space="preserve"> projects starting from 2016.</w:t>
      </w:r>
    </w:p>
    <w:p w14:paraId="60F5F0D8" w14:textId="1B348928"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UNDP will support the country’s stated desire to join the U</w:t>
      </w:r>
      <w:r w:rsidR="00ED5CE2" w:rsidRPr="004574DC">
        <w:rPr>
          <w:lang w:val="en-GB"/>
        </w:rPr>
        <w:t xml:space="preserve">nited </w:t>
      </w:r>
      <w:r w:rsidRPr="004574DC">
        <w:rPr>
          <w:lang w:val="en-GB"/>
        </w:rPr>
        <w:t>N</w:t>
      </w:r>
      <w:r w:rsidR="00ED5CE2" w:rsidRPr="004574DC">
        <w:rPr>
          <w:lang w:val="en-GB"/>
        </w:rPr>
        <w:t>ations</w:t>
      </w:r>
      <w:r w:rsidRPr="004574DC">
        <w:rPr>
          <w:lang w:val="en-GB"/>
        </w:rPr>
        <w:t xml:space="preserve"> Convention on the Rights of Persons with Disabilities and work with multiple stakeholders to address negative social stereotypes and </w:t>
      </w:r>
      <w:r w:rsidR="00ED5CE2" w:rsidRPr="004574DC">
        <w:rPr>
          <w:lang w:val="en-GB"/>
        </w:rPr>
        <w:t xml:space="preserve">to </w:t>
      </w:r>
      <w:r w:rsidRPr="004574DC">
        <w:rPr>
          <w:lang w:val="en-GB"/>
        </w:rPr>
        <w:t xml:space="preserve">create livelihood opportunities for </w:t>
      </w:r>
      <w:r w:rsidR="00ED5CE2" w:rsidRPr="004574DC">
        <w:rPr>
          <w:lang w:val="en-GB"/>
        </w:rPr>
        <w:t>persons with disabilities</w:t>
      </w:r>
      <w:r w:rsidRPr="004574DC">
        <w:rPr>
          <w:lang w:val="en-GB"/>
        </w:rPr>
        <w:t xml:space="preserve">. </w:t>
      </w:r>
    </w:p>
    <w:p w14:paraId="56257100" w14:textId="006D7411"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i/>
          <w:lang w:val="en-GB"/>
        </w:rPr>
        <w:t>Partnerships and East-East Cooperation</w:t>
      </w:r>
      <w:r w:rsidR="00ED5CE2" w:rsidRPr="004574DC">
        <w:rPr>
          <w:i/>
          <w:lang w:val="en-GB"/>
        </w:rPr>
        <w:t>.</w:t>
      </w:r>
      <w:r w:rsidRPr="004574DC">
        <w:rPr>
          <w:lang w:val="en-GB"/>
        </w:rPr>
        <w:t xml:space="preserve"> UNDP has established itself as a key hub for sharing knowledge, innovation, and the development of East-East dialogue in the recent past. UNDP will build on General Assembly resolution 69/10 that calls for greater cooperation between the U</w:t>
      </w:r>
      <w:r w:rsidR="00ED5CE2" w:rsidRPr="004574DC">
        <w:rPr>
          <w:lang w:val="en-GB"/>
        </w:rPr>
        <w:t xml:space="preserve">nited </w:t>
      </w:r>
      <w:r w:rsidRPr="004574DC">
        <w:rPr>
          <w:lang w:val="en-GB"/>
        </w:rPr>
        <w:t>N</w:t>
      </w:r>
      <w:r w:rsidR="00ED5CE2" w:rsidRPr="004574DC">
        <w:rPr>
          <w:lang w:val="en-GB"/>
        </w:rPr>
        <w:t>ations</w:t>
      </w:r>
      <w:r w:rsidRPr="004574DC">
        <w:rPr>
          <w:lang w:val="en-GB"/>
        </w:rPr>
        <w:t xml:space="preserve"> and the </w:t>
      </w:r>
      <w:r w:rsidR="00ED5CE2" w:rsidRPr="004574DC">
        <w:rPr>
          <w:lang w:val="en-GB"/>
        </w:rPr>
        <w:t>Commonwealth of Independent States</w:t>
      </w:r>
      <w:r w:rsidRPr="004574DC">
        <w:rPr>
          <w:lang w:val="en-GB"/>
        </w:rPr>
        <w:t xml:space="preserve">. To this end, UNDP will capitalize on the presence of the </w:t>
      </w:r>
      <w:r w:rsidR="00ED5CE2" w:rsidRPr="004574DC">
        <w:rPr>
          <w:lang w:val="en-GB"/>
        </w:rPr>
        <w:t>Commonwealth of Independent States</w:t>
      </w:r>
      <w:r w:rsidRPr="004574DC">
        <w:rPr>
          <w:lang w:val="en-GB"/>
        </w:rPr>
        <w:t xml:space="preserve"> Executive Committee in Minsk to expand dialogue and generate synergies with other </w:t>
      </w:r>
      <w:r w:rsidR="00ED5CE2" w:rsidRPr="004574DC">
        <w:rPr>
          <w:lang w:val="en-GB"/>
        </w:rPr>
        <w:t xml:space="preserve">Commonwealth </w:t>
      </w:r>
      <w:r w:rsidRPr="004574DC">
        <w:rPr>
          <w:lang w:val="en-GB"/>
        </w:rPr>
        <w:t>countries in the area of green economy, promotion of rights of pe</w:t>
      </w:r>
      <w:r w:rsidR="00ED5CE2" w:rsidRPr="004574DC">
        <w:rPr>
          <w:lang w:val="en-GB"/>
        </w:rPr>
        <w:t>rsons</w:t>
      </w:r>
      <w:r w:rsidRPr="004574DC">
        <w:rPr>
          <w:lang w:val="en-GB"/>
        </w:rPr>
        <w:t xml:space="preserve"> with disabilities, disaster risk reduction, Chernobyl recovery, </w:t>
      </w:r>
      <w:r w:rsidR="00ED5CE2" w:rsidRPr="004574DC">
        <w:rPr>
          <w:lang w:val="en-GB"/>
        </w:rPr>
        <w:t>non-communicable diseases</w:t>
      </w:r>
      <w:r w:rsidR="00B71E3C" w:rsidRPr="004574DC">
        <w:rPr>
          <w:lang w:val="en-GB"/>
        </w:rPr>
        <w:t>,</w:t>
      </w:r>
      <w:r w:rsidRPr="004574DC">
        <w:rPr>
          <w:lang w:val="en-GB"/>
        </w:rPr>
        <w:t xml:space="preserve"> </w:t>
      </w:r>
      <w:r w:rsidR="00C758E2" w:rsidRPr="004574DC">
        <w:rPr>
          <w:lang w:val="en-GB"/>
        </w:rPr>
        <w:t xml:space="preserve">HIV, </w:t>
      </w:r>
      <w:r w:rsidR="00ED5CE2" w:rsidRPr="004574DC">
        <w:rPr>
          <w:lang w:val="en-GB"/>
        </w:rPr>
        <w:t xml:space="preserve">tuberculosis </w:t>
      </w:r>
      <w:r w:rsidRPr="004574DC">
        <w:rPr>
          <w:lang w:val="en-GB"/>
        </w:rPr>
        <w:t xml:space="preserve">and gender mainstreaming. </w:t>
      </w:r>
    </w:p>
    <w:p w14:paraId="756CE15E" w14:textId="1D122AAD" w:rsidR="00AE6672" w:rsidRPr="004574DC" w:rsidRDefault="00AE6672" w:rsidP="00915B6B">
      <w:pPr>
        <w:numPr>
          <w:ilvl w:val="0"/>
          <w:numId w:val="32"/>
        </w:numPr>
        <w:tabs>
          <w:tab w:val="left" w:pos="450"/>
          <w:tab w:val="left" w:pos="810"/>
          <w:tab w:val="left" w:pos="1800"/>
          <w:tab w:val="left" w:pos="8370"/>
        </w:tabs>
        <w:spacing w:after="240"/>
        <w:ind w:left="1440" w:right="1210" w:firstLine="0"/>
        <w:jc w:val="both"/>
        <w:rPr>
          <w:lang w:val="en-GB"/>
        </w:rPr>
      </w:pPr>
      <w:r w:rsidRPr="004574DC">
        <w:rPr>
          <w:lang w:val="en-GB"/>
        </w:rPr>
        <w:t xml:space="preserve">Increasingly, UNDP </w:t>
      </w:r>
      <w:r w:rsidR="00A43253" w:rsidRPr="004574DC">
        <w:rPr>
          <w:lang w:val="en-GB"/>
        </w:rPr>
        <w:t xml:space="preserve">will continue providing </w:t>
      </w:r>
      <w:r w:rsidRPr="004574DC">
        <w:rPr>
          <w:lang w:val="en-GB"/>
        </w:rPr>
        <w:t>high-level policy advice in strategic areas such as in economic forecasting, building resilience from shocks, social protection for vulnerable groups, and inclusive national planning.</w:t>
      </w:r>
      <w:r w:rsidR="00A43253" w:rsidRPr="004574DC">
        <w:rPr>
          <w:lang w:val="en-GB"/>
        </w:rPr>
        <w:t xml:space="preserve"> </w:t>
      </w:r>
      <w:r w:rsidR="00F2393B" w:rsidRPr="004574DC">
        <w:rPr>
          <w:lang w:val="en-GB"/>
        </w:rPr>
        <w:t xml:space="preserve">UNDP will set up a mechanism able to rapidly identify and deploy cutting-edge upstream policy advice on any area within the </w:t>
      </w:r>
      <w:r w:rsidR="00ED5CE2" w:rsidRPr="004574DC">
        <w:rPr>
          <w:lang w:val="en-GB"/>
        </w:rPr>
        <w:t xml:space="preserve">country programme </w:t>
      </w:r>
      <w:r w:rsidR="00F2393B" w:rsidRPr="004574DC">
        <w:rPr>
          <w:lang w:val="en-GB"/>
        </w:rPr>
        <w:t xml:space="preserve">and UNDAF. </w:t>
      </w:r>
      <w:r w:rsidRPr="004574DC">
        <w:rPr>
          <w:lang w:val="en-GB"/>
        </w:rPr>
        <w:t xml:space="preserve">Utilizing its global knowledge network, </w:t>
      </w:r>
      <w:r w:rsidR="00346B89" w:rsidRPr="004574DC">
        <w:rPr>
          <w:lang w:val="en-GB"/>
        </w:rPr>
        <w:t xml:space="preserve">including its regional and global centres, </w:t>
      </w:r>
      <w:r w:rsidRPr="004574DC">
        <w:rPr>
          <w:lang w:val="en-GB"/>
        </w:rPr>
        <w:t>UNDP will foster cooperation and partnership between the U</w:t>
      </w:r>
      <w:r w:rsidR="00ED5CE2" w:rsidRPr="004574DC">
        <w:rPr>
          <w:lang w:val="en-GB"/>
        </w:rPr>
        <w:t xml:space="preserve">nited </w:t>
      </w:r>
      <w:r w:rsidRPr="004574DC">
        <w:rPr>
          <w:lang w:val="en-GB"/>
        </w:rPr>
        <w:t>N</w:t>
      </w:r>
      <w:r w:rsidR="00ED5CE2" w:rsidRPr="004574DC">
        <w:rPr>
          <w:lang w:val="en-GB"/>
        </w:rPr>
        <w:t>ations</w:t>
      </w:r>
      <w:r w:rsidRPr="004574DC">
        <w:rPr>
          <w:lang w:val="en-GB"/>
        </w:rPr>
        <w:t xml:space="preserve">, academia, the private sector, local governments, and other institutions for knowledge exchange and innovation across sectors. </w:t>
      </w:r>
      <w:r w:rsidR="008B7193" w:rsidRPr="004574DC">
        <w:rPr>
          <w:lang w:val="en-GB"/>
        </w:rPr>
        <w:t xml:space="preserve">Building on its long-lasting experience of working with public and </w:t>
      </w:r>
      <w:r w:rsidR="008B7193" w:rsidRPr="00603C82">
        <w:rPr>
          <w:lang w:val="en-GB"/>
        </w:rPr>
        <w:t xml:space="preserve">civil society sectors, UNDP will continue </w:t>
      </w:r>
      <w:r w:rsidR="008B7193" w:rsidRPr="00AD20B2">
        <w:rPr>
          <w:lang w:val="en-GB"/>
        </w:rPr>
        <w:t xml:space="preserve">to support </w:t>
      </w:r>
      <w:r w:rsidR="008B7193" w:rsidRPr="004574DC">
        <w:rPr>
          <w:lang w:val="en-GB"/>
        </w:rPr>
        <w:t>capacity development of state institutions, local authorities, academia, private sector and civil society by providing technical assistance and grant management to create space for multi-stakeholder dialogue in the areas identified by the country programme and UNDAF</w:t>
      </w:r>
      <w:r w:rsidR="00754359" w:rsidRPr="004574DC">
        <w:rPr>
          <w:lang w:val="en-GB"/>
        </w:rPr>
        <w:t xml:space="preserve">, </w:t>
      </w:r>
      <w:r w:rsidR="008B7193" w:rsidRPr="004574DC">
        <w:rPr>
          <w:lang w:val="en-GB"/>
        </w:rPr>
        <w:t>2016-2020</w:t>
      </w:r>
      <w:r w:rsidR="008B7193" w:rsidRPr="00603C82">
        <w:rPr>
          <w:lang w:val="en-GB"/>
        </w:rPr>
        <w:t xml:space="preserve">. </w:t>
      </w:r>
      <w:r w:rsidR="008B7193" w:rsidRPr="004574DC">
        <w:rPr>
          <w:lang w:val="en-GB"/>
        </w:rPr>
        <w:t xml:space="preserve">Following </w:t>
      </w:r>
      <w:r w:rsidRPr="004574DC">
        <w:rPr>
          <w:lang w:val="en-GB"/>
        </w:rPr>
        <w:t xml:space="preserve">the success of its 2014 Social Innovation Lab, UNDP will </w:t>
      </w:r>
      <w:r w:rsidR="00A40722" w:rsidRPr="004574DC">
        <w:rPr>
          <w:lang w:val="en-GB"/>
        </w:rPr>
        <w:t>develop</w:t>
      </w:r>
      <w:r w:rsidRPr="004574DC">
        <w:rPr>
          <w:lang w:val="en-GB"/>
        </w:rPr>
        <w:t xml:space="preserve"> partnerships and strengthen the capacities of young social innovators, professional networks and public authorities in the implementation of </w:t>
      </w:r>
      <w:r w:rsidR="00ED5CE2" w:rsidRPr="004574DC">
        <w:rPr>
          <w:lang w:val="en-GB"/>
        </w:rPr>
        <w:t xml:space="preserve">the </w:t>
      </w:r>
      <w:r w:rsidRPr="004574DC">
        <w:rPr>
          <w:lang w:val="en-GB"/>
        </w:rPr>
        <w:t xml:space="preserve">NSDS-2030. </w:t>
      </w:r>
    </w:p>
    <w:p w14:paraId="6A1754BD" w14:textId="583ED52B" w:rsidR="0063402B" w:rsidRPr="004574DC" w:rsidRDefault="0063402B" w:rsidP="00915B6B">
      <w:pPr>
        <w:pStyle w:val="Heading1"/>
        <w:tabs>
          <w:tab w:val="left" w:pos="1800"/>
        </w:tabs>
        <w:spacing w:after="200"/>
        <w:ind w:left="1440" w:right="1267" w:hanging="540"/>
        <w:jc w:val="both"/>
        <w:rPr>
          <w:rFonts w:ascii="Times New Roman" w:hAnsi="Times New Roman"/>
          <w:color w:val="000000"/>
          <w:sz w:val="20"/>
          <w:lang w:val="en-GB"/>
        </w:rPr>
      </w:pPr>
      <w:r w:rsidRPr="004574DC">
        <w:rPr>
          <w:rFonts w:ascii="Times New Roman" w:hAnsi="Times New Roman"/>
          <w:color w:val="000000"/>
          <w:sz w:val="24"/>
          <w:szCs w:val="24"/>
          <w:lang w:val="en-GB"/>
        </w:rPr>
        <w:t xml:space="preserve">III. </w:t>
      </w:r>
      <w:r w:rsidR="00441517" w:rsidRPr="004574DC">
        <w:rPr>
          <w:rFonts w:ascii="Times New Roman" w:hAnsi="Times New Roman"/>
          <w:color w:val="000000"/>
          <w:sz w:val="24"/>
          <w:szCs w:val="24"/>
          <w:lang w:val="en-GB"/>
        </w:rPr>
        <w:tab/>
      </w:r>
      <w:r w:rsidRPr="004574DC">
        <w:rPr>
          <w:rFonts w:ascii="Times New Roman" w:hAnsi="Times New Roman"/>
          <w:color w:val="000000"/>
          <w:sz w:val="24"/>
          <w:szCs w:val="24"/>
          <w:lang w:val="en-GB"/>
        </w:rPr>
        <w:t xml:space="preserve">Programme and </w:t>
      </w:r>
      <w:r w:rsidR="000452C7" w:rsidRPr="004574DC">
        <w:rPr>
          <w:rFonts w:ascii="Times New Roman" w:hAnsi="Times New Roman"/>
          <w:color w:val="000000"/>
          <w:sz w:val="24"/>
          <w:szCs w:val="24"/>
          <w:lang w:val="en-GB"/>
        </w:rPr>
        <w:t>r</w:t>
      </w:r>
      <w:r w:rsidRPr="004574DC">
        <w:rPr>
          <w:rFonts w:ascii="Times New Roman" w:hAnsi="Times New Roman"/>
          <w:color w:val="000000"/>
          <w:sz w:val="24"/>
          <w:szCs w:val="24"/>
          <w:lang w:val="en-GB"/>
        </w:rPr>
        <w:t>isk</w:t>
      </w:r>
      <w:r w:rsidR="00AC1BE7" w:rsidRPr="004574DC">
        <w:rPr>
          <w:rFonts w:ascii="Times New Roman" w:hAnsi="Times New Roman"/>
          <w:color w:val="000000"/>
          <w:sz w:val="24"/>
          <w:szCs w:val="24"/>
          <w:lang w:val="en-GB"/>
        </w:rPr>
        <w:t xml:space="preserve"> </w:t>
      </w:r>
      <w:r w:rsidR="000452C7" w:rsidRPr="004574DC">
        <w:rPr>
          <w:rFonts w:ascii="Times New Roman" w:hAnsi="Times New Roman"/>
          <w:color w:val="000000"/>
          <w:sz w:val="24"/>
          <w:szCs w:val="24"/>
          <w:lang w:val="en-GB"/>
        </w:rPr>
        <w:t>m</w:t>
      </w:r>
      <w:r w:rsidR="001C6C08" w:rsidRPr="004574DC">
        <w:rPr>
          <w:rFonts w:ascii="Times New Roman" w:hAnsi="Times New Roman"/>
          <w:color w:val="000000"/>
          <w:sz w:val="24"/>
          <w:szCs w:val="24"/>
          <w:lang w:val="en-GB"/>
        </w:rPr>
        <w:t>anagement</w:t>
      </w:r>
      <w:r w:rsidRPr="004574DC">
        <w:rPr>
          <w:rFonts w:ascii="Times New Roman" w:hAnsi="Times New Roman"/>
          <w:color w:val="000000"/>
          <w:sz w:val="24"/>
          <w:szCs w:val="24"/>
          <w:lang w:val="en-GB"/>
        </w:rPr>
        <w:t xml:space="preserve"> </w:t>
      </w:r>
    </w:p>
    <w:p w14:paraId="47E9250D" w14:textId="60DA497E"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The country programme will be </w:t>
      </w:r>
      <w:r w:rsidR="002C0378" w:rsidRPr="004574DC">
        <w:rPr>
          <w:lang w:val="en-GB"/>
        </w:rPr>
        <w:t>implemented</w:t>
      </w:r>
      <w:r w:rsidRPr="004574DC">
        <w:rPr>
          <w:lang w:val="en-GB"/>
        </w:rPr>
        <w:t xml:space="preserve"> under the coordination of the Ministry of Economy. The key principles of programme management will </w:t>
      </w:r>
      <w:r w:rsidR="00683376" w:rsidRPr="004574DC">
        <w:rPr>
          <w:lang w:val="en-GB"/>
        </w:rPr>
        <w:t xml:space="preserve">include: </w:t>
      </w:r>
      <w:r w:rsidRPr="004574DC">
        <w:rPr>
          <w:lang w:val="en-GB"/>
        </w:rPr>
        <w:t>joint formulation, implementation, monitoring and cost-sharing of projects</w:t>
      </w:r>
      <w:r w:rsidR="00CC6B79" w:rsidRPr="004574DC">
        <w:rPr>
          <w:lang w:val="en-GB"/>
        </w:rPr>
        <w:t xml:space="preserve">, </w:t>
      </w:r>
      <w:r w:rsidRPr="004574DC">
        <w:rPr>
          <w:lang w:val="en-GB"/>
        </w:rPr>
        <w:t>in line with Delivering</w:t>
      </w:r>
      <w:r w:rsidR="00CC6B79" w:rsidRPr="004574DC">
        <w:rPr>
          <w:lang w:val="en-GB"/>
        </w:rPr>
        <w:t>-</w:t>
      </w:r>
      <w:r w:rsidRPr="004574DC">
        <w:rPr>
          <w:lang w:val="en-GB"/>
        </w:rPr>
        <w:t>as</w:t>
      </w:r>
      <w:r w:rsidR="00CC6B79" w:rsidRPr="004574DC">
        <w:rPr>
          <w:lang w:val="en-GB"/>
        </w:rPr>
        <w:t>-</w:t>
      </w:r>
      <w:r w:rsidRPr="004574DC">
        <w:rPr>
          <w:lang w:val="en-GB"/>
        </w:rPr>
        <w:t xml:space="preserve">One </w:t>
      </w:r>
      <w:r w:rsidR="00683376" w:rsidRPr="004574DC">
        <w:rPr>
          <w:lang w:val="en-GB"/>
        </w:rPr>
        <w:t>s</w:t>
      </w:r>
      <w:r w:rsidRPr="004574DC">
        <w:rPr>
          <w:lang w:val="en-GB"/>
        </w:rPr>
        <w:t xml:space="preserve">tandard </w:t>
      </w:r>
      <w:r w:rsidR="00683376" w:rsidRPr="004574DC">
        <w:rPr>
          <w:lang w:val="en-GB"/>
        </w:rPr>
        <w:t>o</w:t>
      </w:r>
      <w:r w:rsidRPr="004574DC">
        <w:rPr>
          <w:lang w:val="en-GB"/>
        </w:rPr>
        <w:t xml:space="preserve">perating </w:t>
      </w:r>
      <w:r w:rsidR="00683376" w:rsidRPr="004574DC">
        <w:rPr>
          <w:lang w:val="en-GB"/>
        </w:rPr>
        <w:t>p</w:t>
      </w:r>
      <w:r w:rsidRPr="004574DC">
        <w:rPr>
          <w:lang w:val="en-GB"/>
        </w:rPr>
        <w:t xml:space="preserve">rocedures where applicable. </w:t>
      </w:r>
      <w:r w:rsidR="002C0378" w:rsidRPr="004574DC">
        <w:rPr>
          <w:lang w:val="en-GB"/>
        </w:rPr>
        <w:t xml:space="preserve">National execution will be the preferred modality. </w:t>
      </w:r>
      <w:r w:rsidRPr="004574DC">
        <w:rPr>
          <w:lang w:val="en-GB"/>
        </w:rPr>
        <w:t>Direct execution will be used in exceptional situations. UNDP will continue to provide implementation support services at the request of the Government.</w:t>
      </w:r>
    </w:p>
    <w:p w14:paraId="563F33F8" w14:textId="3573A6B4"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As this country programme contributes to the implementation of UNDAF</w:t>
      </w:r>
      <w:r w:rsidR="00683376" w:rsidRPr="004574DC">
        <w:rPr>
          <w:lang w:val="en-GB"/>
        </w:rPr>
        <w:t>,</w:t>
      </w:r>
      <w:r w:rsidRPr="004574DC">
        <w:rPr>
          <w:lang w:val="en-GB"/>
        </w:rPr>
        <w:t xml:space="preserve"> 2016-2020, synergies will be established with progress reporting and monitoring under </w:t>
      </w:r>
      <w:r w:rsidR="00683376" w:rsidRPr="004574DC">
        <w:rPr>
          <w:lang w:val="en-GB"/>
        </w:rPr>
        <w:t xml:space="preserve">the </w:t>
      </w:r>
      <w:r w:rsidRPr="004574DC">
        <w:rPr>
          <w:lang w:val="en-GB"/>
        </w:rPr>
        <w:t xml:space="preserve">UNDAF. The UNDAF Coordination Committee will oversee progress, informed by </w:t>
      </w:r>
      <w:r w:rsidR="00683376" w:rsidRPr="004574DC">
        <w:rPr>
          <w:lang w:val="en-GB"/>
        </w:rPr>
        <w:t>‘r</w:t>
      </w:r>
      <w:r w:rsidRPr="004574DC">
        <w:rPr>
          <w:lang w:val="en-GB"/>
        </w:rPr>
        <w:t xml:space="preserve">esults </w:t>
      </w:r>
      <w:r w:rsidR="00683376" w:rsidRPr="004574DC">
        <w:rPr>
          <w:lang w:val="en-GB"/>
        </w:rPr>
        <w:t>g</w:t>
      </w:r>
      <w:r w:rsidRPr="004574DC">
        <w:rPr>
          <w:lang w:val="en-GB"/>
        </w:rPr>
        <w:t>roups</w:t>
      </w:r>
      <w:r w:rsidR="00683376" w:rsidRPr="004574DC">
        <w:rPr>
          <w:lang w:val="en-GB"/>
        </w:rPr>
        <w:t>’</w:t>
      </w:r>
      <w:r w:rsidRPr="004574DC">
        <w:rPr>
          <w:lang w:val="en-GB"/>
        </w:rPr>
        <w:t xml:space="preserve"> comprising national counterparts and U</w:t>
      </w:r>
      <w:r w:rsidR="00683376" w:rsidRPr="004574DC">
        <w:rPr>
          <w:lang w:val="en-GB"/>
        </w:rPr>
        <w:t xml:space="preserve">nited </w:t>
      </w:r>
      <w:r w:rsidRPr="004574DC">
        <w:rPr>
          <w:lang w:val="en-GB"/>
        </w:rPr>
        <w:t>N</w:t>
      </w:r>
      <w:r w:rsidR="00683376" w:rsidRPr="004574DC">
        <w:rPr>
          <w:lang w:val="en-GB"/>
        </w:rPr>
        <w:t>ations</w:t>
      </w:r>
      <w:r w:rsidRPr="004574DC">
        <w:rPr>
          <w:lang w:val="en-GB"/>
        </w:rPr>
        <w:t xml:space="preserve"> </w:t>
      </w:r>
      <w:r w:rsidR="00683376" w:rsidRPr="004574DC">
        <w:rPr>
          <w:lang w:val="en-GB"/>
        </w:rPr>
        <w:t>organizations</w:t>
      </w:r>
      <w:r w:rsidRPr="004574DC">
        <w:rPr>
          <w:lang w:val="en-GB"/>
        </w:rPr>
        <w:t xml:space="preserve">. </w:t>
      </w:r>
    </w:p>
    <w:p w14:paraId="51B99F8A" w14:textId="65020C31" w:rsidR="00AE6672" w:rsidRPr="004574DC" w:rsidRDefault="00CC0A00"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Resource requirements of the country programme are preliminar</w:t>
      </w:r>
      <w:r w:rsidR="00E245BE" w:rsidRPr="004574DC">
        <w:rPr>
          <w:lang w:val="en-GB"/>
        </w:rPr>
        <w:t>ily</w:t>
      </w:r>
      <w:r w:rsidRPr="004574DC">
        <w:rPr>
          <w:lang w:val="en-GB"/>
        </w:rPr>
        <w:t xml:space="preserve"> estimated at </w:t>
      </w:r>
      <w:r w:rsidR="00A75BDC" w:rsidRPr="004574DC">
        <w:rPr>
          <w:lang w:val="en-GB"/>
        </w:rPr>
        <w:t>$82 </w:t>
      </w:r>
      <w:r w:rsidRPr="004574DC">
        <w:rPr>
          <w:lang w:val="en-GB"/>
        </w:rPr>
        <w:t xml:space="preserve">million. </w:t>
      </w:r>
      <w:r w:rsidR="00AE6672" w:rsidRPr="004574DC">
        <w:rPr>
          <w:lang w:val="en-GB"/>
        </w:rPr>
        <w:t xml:space="preserve">Given the difficulty of raising funds </w:t>
      </w:r>
      <w:r w:rsidR="00A968D2" w:rsidRPr="004574DC">
        <w:rPr>
          <w:lang w:val="en-GB"/>
        </w:rPr>
        <w:t>in the</w:t>
      </w:r>
      <w:r w:rsidR="00AE6672" w:rsidRPr="00603C82">
        <w:rPr>
          <w:lang w:val="en-GB"/>
        </w:rPr>
        <w:t xml:space="preserve"> current international context and the political and security situation in the region, an innovative s</w:t>
      </w:r>
      <w:r w:rsidR="00AE6672" w:rsidRPr="00AD20B2">
        <w:rPr>
          <w:lang w:val="en-GB"/>
        </w:rPr>
        <w:t>trategy for partnerships and resource mobilization will be designed to meet the country programme’s resource requirements. This necessitates a more flexible</w:t>
      </w:r>
      <w:r w:rsidR="00683376" w:rsidRPr="004574DC">
        <w:rPr>
          <w:lang w:val="en-GB"/>
        </w:rPr>
        <w:t xml:space="preserve">, </w:t>
      </w:r>
      <w:r w:rsidR="00AE6672" w:rsidRPr="004574DC">
        <w:rPr>
          <w:lang w:val="en-GB"/>
        </w:rPr>
        <w:t xml:space="preserve">robust approach to partnership and resource mobilization, expanding the traditional donor base by engaging non-traditional </w:t>
      </w:r>
      <w:r w:rsidR="00AE6672" w:rsidRPr="004574DC">
        <w:rPr>
          <w:lang w:val="en-GB"/>
        </w:rPr>
        <w:lastRenderedPageBreak/>
        <w:t xml:space="preserve">donors, issue-specific global funds, foundations and the private sector, as well as government cost-sharing for priority areas. </w:t>
      </w:r>
    </w:p>
    <w:p w14:paraId="592A40EE" w14:textId="3AA1959F"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UNDP will adhere to a stringent portfolio approach to ensure the quality, effectiveness and efficiency of its programme and projects. Specifically, it will consolidate smaller projects and apply integrated crosscutting programming, thereby maintaining a focus on a narrower set of results. Project boards will be established for each project. UNDP will take into account issues of social and environmental sustainability when designing and running all projects</w:t>
      </w:r>
      <w:r w:rsidR="00683376" w:rsidRPr="004574DC">
        <w:rPr>
          <w:lang w:val="en-GB"/>
        </w:rPr>
        <w:t>, and will fully mainstream g</w:t>
      </w:r>
      <w:r w:rsidRPr="004574DC">
        <w:rPr>
          <w:lang w:val="en-GB"/>
        </w:rPr>
        <w:t xml:space="preserve">ender, disaster risk reduction and human rights. </w:t>
      </w:r>
      <w:r w:rsidR="00683376" w:rsidRPr="004574DC">
        <w:rPr>
          <w:lang w:val="en-GB"/>
        </w:rPr>
        <w:t>UNDP will incorporate c</w:t>
      </w:r>
      <w:r w:rsidRPr="004574DC">
        <w:rPr>
          <w:lang w:val="en-GB"/>
        </w:rPr>
        <w:t xml:space="preserve">ountry </w:t>
      </w:r>
      <w:r w:rsidR="00683376" w:rsidRPr="004574DC">
        <w:rPr>
          <w:lang w:val="en-GB"/>
        </w:rPr>
        <w:t>t</w:t>
      </w:r>
      <w:r w:rsidRPr="004574DC">
        <w:rPr>
          <w:lang w:val="en-GB"/>
        </w:rPr>
        <w:t xml:space="preserve">eam strategies on </w:t>
      </w:r>
      <w:r w:rsidR="00683376" w:rsidRPr="004574DC">
        <w:rPr>
          <w:lang w:val="en-GB"/>
        </w:rPr>
        <w:t>c</w:t>
      </w:r>
      <w:r w:rsidRPr="004574DC">
        <w:rPr>
          <w:lang w:val="en-GB"/>
        </w:rPr>
        <w:t xml:space="preserve">ivil </w:t>
      </w:r>
      <w:r w:rsidR="00683376" w:rsidRPr="004574DC">
        <w:rPr>
          <w:lang w:val="en-GB"/>
        </w:rPr>
        <w:t>s</w:t>
      </w:r>
      <w:r w:rsidRPr="004574DC">
        <w:rPr>
          <w:lang w:val="en-GB"/>
        </w:rPr>
        <w:t xml:space="preserve">ociety and </w:t>
      </w:r>
      <w:r w:rsidR="00683376" w:rsidRPr="004574DC">
        <w:rPr>
          <w:lang w:val="en-GB"/>
        </w:rPr>
        <w:t>y</w:t>
      </w:r>
      <w:r w:rsidRPr="004574DC">
        <w:rPr>
          <w:lang w:val="en-GB"/>
        </w:rPr>
        <w:t>outh and the U</w:t>
      </w:r>
      <w:r w:rsidR="00683376" w:rsidRPr="004574DC">
        <w:rPr>
          <w:lang w:val="en-GB"/>
        </w:rPr>
        <w:t xml:space="preserve">nited </w:t>
      </w:r>
      <w:r w:rsidRPr="004574DC">
        <w:rPr>
          <w:lang w:val="en-GB"/>
        </w:rPr>
        <w:t>N</w:t>
      </w:r>
      <w:r w:rsidR="00683376" w:rsidRPr="004574DC">
        <w:rPr>
          <w:lang w:val="en-GB"/>
        </w:rPr>
        <w:t>ations</w:t>
      </w:r>
      <w:r w:rsidRPr="004574DC">
        <w:rPr>
          <w:lang w:val="en-GB"/>
        </w:rPr>
        <w:t xml:space="preserve"> Belarus Youth Advisory Group will operate as an additional resource from design to monitoring and evaluation. </w:t>
      </w:r>
    </w:p>
    <w:p w14:paraId="4509D575" w14:textId="63F5C5FB" w:rsidR="00AE6672" w:rsidRPr="004574DC" w:rsidRDefault="00AE6672" w:rsidP="00915B6B">
      <w:pPr>
        <w:numPr>
          <w:ilvl w:val="0"/>
          <w:numId w:val="32"/>
        </w:numPr>
        <w:tabs>
          <w:tab w:val="left" w:pos="450"/>
          <w:tab w:val="left" w:pos="810"/>
          <w:tab w:val="left" w:pos="1800"/>
          <w:tab w:val="left" w:pos="8370"/>
        </w:tabs>
        <w:spacing w:after="240"/>
        <w:ind w:left="1440" w:right="1210" w:firstLine="0"/>
        <w:jc w:val="both"/>
        <w:rPr>
          <w:lang w:val="en-GB"/>
        </w:rPr>
      </w:pPr>
      <w:r w:rsidRPr="004574DC">
        <w:rPr>
          <w:lang w:val="en-GB"/>
        </w:rPr>
        <w:t>The country programme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the internal controls framework.</w:t>
      </w:r>
    </w:p>
    <w:p w14:paraId="5BDC3F4B" w14:textId="0DCBAD26" w:rsidR="00701B6B" w:rsidRPr="004574DC" w:rsidRDefault="001B3F87" w:rsidP="00915B6B">
      <w:pPr>
        <w:pStyle w:val="Heading1"/>
        <w:tabs>
          <w:tab w:val="left" w:pos="1800"/>
        </w:tabs>
        <w:spacing w:after="200"/>
        <w:ind w:left="1440" w:right="1267" w:hanging="540"/>
        <w:jc w:val="both"/>
        <w:rPr>
          <w:rFonts w:ascii="Times New Roman" w:hAnsi="Times New Roman"/>
          <w:color w:val="000000"/>
          <w:sz w:val="24"/>
          <w:szCs w:val="24"/>
          <w:lang w:val="en-GB"/>
        </w:rPr>
      </w:pPr>
      <w:r w:rsidRPr="004574DC">
        <w:rPr>
          <w:rFonts w:ascii="Times New Roman" w:hAnsi="Times New Roman"/>
          <w:color w:val="000000"/>
          <w:sz w:val="24"/>
          <w:szCs w:val="24"/>
          <w:lang w:val="en-GB"/>
        </w:rPr>
        <w:t>IV</w:t>
      </w:r>
      <w:r w:rsidR="001D42D1" w:rsidRPr="004574DC">
        <w:rPr>
          <w:rFonts w:ascii="Times New Roman" w:hAnsi="Times New Roman"/>
          <w:color w:val="000000"/>
          <w:sz w:val="24"/>
          <w:szCs w:val="24"/>
          <w:lang w:val="en-GB"/>
        </w:rPr>
        <w:t xml:space="preserve">. </w:t>
      </w:r>
      <w:r w:rsidR="00683376" w:rsidRPr="004574DC">
        <w:rPr>
          <w:rFonts w:ascii="Times New Roman" w:hAnsi="Times New Roman"/>
          <w:color w:val="000000"/>
          <w:sz w:val="24"/>
          <w:szCs w:val="24"/>
          <w:lang w:val="en-GB"/>
        </w:rPr>
        <w:tab/>
      </w:r>
      <w:r w:rsidR="001D42D1" w:rsidRPr="004574DC">
        <w:rPr>
          <w:rFonts w:ascii="Times New Roman" w:hAnsi="Times New Roman"/>
          <w:color w:val="000000"/>
          <w:sz w:val="24"/>
          <w:szCs w:val="24"/>
          <w:lang w:val="en-GB"/>
        </w:rPr>
        <w:t xml:space="preserve">Monitoring and </w:t>
      </w:r>
      <w:r w:rsidR="000452C7" w:rsidRPr="004574DC">
        <w:rPr>
          <w:rFonts w:ascii="Times New Roman" w:hAnsi="Times New Roman"/>
          <w:color w:val="000000"/>
          <w:sz w:val="24"/>
          <w:szCs w:val="24"/>
          <w:lang w:val="en-GB"/>
        </w:rPr>
        <w:t>e</w:t>
      </w:r>
      <w:r w:rsidRPr="004574DC">
        <w:rPr>
          <w:rFonts w:ascii="Times New Roman" w:hAnsi="Times New Roman"/>
          <w:color w:val="000000"/>
          <w:sz w:val="24"/>
          <w:szCs w:val="24"/>
          <w:lang w:val="en-GB"/>
        </w:rPr>
        <w:t>valuation</w:t>
      </w:r>
    </w:p>
    <w:p w14:paraId="41493410" w14:textId="689FE45C"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UNDP will continue to promote and support the generation of </w:t>
      </w:r>
      <w:r w:rsidR="00A40722" w:rsidRPr="004574DC">
        <w:rPr>
          <w:lang w:val="en-GB"/>
        </w:rPr>
        <w:t>relevant</w:t>
      </w:r>
      <w:r w:rsidR="00683376" w:rsidRPr="004574DC">
        <w:rPr>
          <w:lang w:val="en-GB"/>
        </w:rPr>
        <w:t xml:space="preserve">, </w:t>
      </w:r>
      <w:r w:rsidRPr="004574DC">
        <w:rPr>
          <w:lang w:val="en-GB"/>
        </w:rPr>
        <w:t>reliable statistics, which will include data sets on vulnerable groups and gender disaggregated data at the national and regional levels, in line with the human rights-based approach</w:t>
      </w:r>
      <w:r w:rsidR="00A40722" w:rsidRPr="004574DC">
        <w:rPr>
          <w:lang w:val="en-GB"/>
        </w:rPr>
        <w:t>. UNDP</w:t>
      </w:r>
      <w:r w:rsidRPr="004574DC">
        <w:rPr>
          <w:lang w:val="en-GB"/>
        </w:rPr>
        <w:t xml:space="preserve"> </w:t>
      </w:r>
      <w:r w:rsidR="00A40722" w:rsidRPr="004574DC">
        <w:rPr>
          <w:lang w:val="en-GB"/>
        </w:rPr>
        <w:t xml:space="preserve">will closely work with </w:t>
      </w:r>
      <w:r w:rsidR="00683376" w:rsidRPr="004574DC">
        <w:rPr>
          <w:lang w:val="en-GB"/>
        </w:rPr>
        <w:t>g</w:t>
      </w:r>
      <w:r w:rsidR="00A40722" w:rsidRPr="004574DC">
        <w:rPr>
          <w:lang w:val="en-GB"/>
        </w:rPr>
        <w:t xml:space="preserve">overnment agencies, research institutions and CSOs </w:t>
      </w:r>
      <w:r w:rsidRPr="004574DC">
        <w:rPr>
          <w:lang w:val="en-GB"/>
        </w:rPr>
        <w:t xml:space="preserve">to support </w:t>
      </w:r>
      <w:r w:rsidR="00683376" w:rsidRPr="004574DC">
        <w:rPr>
          <w:lang w:val="en-GB"/>
        </w:rPr>
        <w:t xml:space="preserve">the </w:t>
      </w:r>
      <w:r w:rsidRPr="004574DC">
        <w:rPr>
          <w:lang w:val="en-GB"/>
        </w:rPr>
        <w:t>NSDS-2030 in strengthening the monitoring and evaluation of national development programmes.</w:t>
      </w:r>
    </w:p>
    <w:p w14:paraId="305F15DE" w14:textId="77777777" w:rsidR="00AE6672"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UNDP will strengthen its capacity for data collection, analysis and use in order to track the contribution of the programme to transformational change. This will include the training of programme and project managers, embedding planning and monitoring functions, and ensuring evidence-based management of results. UNDP will manage monitoring and evaluation at annual intervals and for every programme/project cycle. It will also build on guidance from programme/project boards. It will aim to ensure that budgets for monitoring and evaluation are earmarked and approved by local project appraisal committees. Outcome evaluations are planned for each of the programme’s priority areas.</w:t>
      </w:r>
    </w:p>
    <w:p w14:paraId="4AD6A723" w14:textId="39C82845" w:rsidR="00AE6672" w:rsidRPr="004574DC" w:rsidRDefault="00683376"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UNDP will establish e</w:t>
      </w:r>
      <w:r w:rsidR="00AE6672" w:rsidRPr="004574DC">
        <w:rPr>
          <w:lang w:val="en-GB"/>
        </w:rPr>
        <w:t xml:space="preserve">ffective beneficiary feedback mechanisms to ensure accountability </w:t>
      </w:r>
      <w:r w:rsidR="001C0B82" w:rsidRPr="004574DC">
        <w:rPr>
          <w:lang w:val="en-GB"/>
        </w:rPr>
        <w:t xml:space="preserve">upstream </w:t>
      </w:r>
      <w:r w:rsidRPr="004574DC">
        <w:rPr>
          <w:lang w:val="en-GB"/>
        </w:rPr>
        <w:t>to beneficiaries downstream</w:t>
      </w:r>
      <w:r w:rsidR="00AE6672" w:rsidRPr="004574DC">
        <w:rPr>
          <w:lang w:val="en-GB"/>
        </w:rPr>
        <w:t>.</w:t>
      </w:r>
    </w:p>
    <w:p w14:paraId="27D6BA1D" w14:textId="2C3AE4DD" w:rsidR="00AE6672" w:rsidRPr="004574DC" w:rsidRDefault="001C0B8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 xml:space="preserve">UNDP will use </w:t>
      </w:r>
      <w:r w:rsidR="00AE6672" w:rsidRPr="004574DC">
        <w:rPr>
          <w:lang w:val="en-GB"/>
        </w:rPr>
        <w:t>UNDAF annual reviews and, wherever possible, joint evaluations with other U</w:t>
      </w:r>
      <w:r w:rsidRPr="004574DC">
        <w:rPr>
          <w:lang w:val="en-GB"/>
        </w:rPr>
        <w:t xml:space="preserve">nited </w:t>
      </w:r>
      <w:r w:rsidR="00AE6672" w:rsidRPr="004574DC">
        <w:rPr>
          <w:lang w:val="en-GB"/>
        </w:rPr>
        <w:t>N</w:t>
      </w:r>
      <w:r w:rsidRPr="004574DC">
        <w:rPr>
          <w:lang w:val="en-GB"/>
        </w:rPr>
        <w:t>ations</w:t>
      </w:r>
      <w:r w:rsidR="00AE6672" w:rsidRPr="004574DC">
        <w:rPr>
          <w:lang w:val="en-GB"/>
        </w:rPr>
        <w:t xml:space="preserve"> </w:t>
      </w:r>
      <w:r w:rsidRPr="004574DC">
        <w:rPr>
          <w:lang w:val="en-GB"/>
        </w:rPr>
        <w:t xml:space="preserve">organizations </w:t>
      </w:r>
      <w:r w:rsidR="00AE6672" w:rsidRPr="004574DC">
        <w:rPr>
          <w:lang w:val="en-GB"/>
        </w:rPr>
        <w:t>to validate progress in relation to planned results.</w:t>
      </w:r>
    </w:p>
    <w:p w14:paraId="73AEC08D" w14:textId="77777777" w:rsidR="000452C7" w:rsidRPr="004574DC" w:rsidRDefault="00AE6672" w:rsidP="00AE6672">
      <w:pPr>
        <w:numPr>
          <w:ilvl w:val="0"/>
          <w:numId w:val="32"/>
        </w:numPr>
        <w:tabs>
          <w:tab w:val="left" w:pos="450"/>
          <w:tab w:val="left" w:pos="810"/>
          <w:tab w:val="left" w:pos="1800"/>
          <w:tab w:val="left" w:pos="8370"/>
        </w:tabs>
        <w:spacing w:after="120"/>
        <w:ind w:left="1440" w:right="1210" w:firstLine="0"/>
        <w:jc w:val="both"/>
        <w:rPr>
          <w:lang w:val="en-GB"/>
        </w:rPr>
      </w:pPr>
      <w:r w:rsidRPr="004574DC">
        <w:rPr>
          <w:lang w:val="en-GB"/>
        </w:rPr>
        <w:t>The proposed programme will support the Government in developing information analysis and processing systems for public policies, and in implementing the participatory follow-up for the post-2015 global development agenda</w:t>
      </w:r>
      <w:r w:rsidR="000452C7" w:rsidRPr="004574DC">
        <w:rPr>
          <w:lang w:val="en-GB"/>
        </w:rPr>
        <w:t>.</w:t>
      </w:r>
    </w:p>
    <w:p w14:paraId="121DCF25" w14:textId="77777777" w:rsidR="000452C7" w:rsidRPr="004574DC" w:rsidRDefault="000452C7" w:rsidP="000452C7">
      <w:pPr>
        <w:tabs>
          <w:tab w:val="left" w:pos="450"/>
          <w:tab w:val="left" w:pos="810"/>
          <w:tab w:val="left" w:pos="1800"/>
          <w:tab w:val="left" w:pos="8370"/>
        </w:tabs>
        <w:spacing w:after="120"/>
        <w:ind w:left="1440" w:right="1210"/>
        <w:jc w:val="both"/>
        <w:rPr>
          <w:lang w:val="en-GB"/>
        </w:rPr>
      </w:pPr>
    </w:p>
    <w:p w14:paraId="1CA083E7" w14:textId="77777777" w:rsidR="00EE0DF2" w:rsidRPr="004574DC" w:rsidRDefault="00AE6672" w:rsidP="000452C7">
      <w:pPr>
        <w:tabs>
          <w:tab w:val="left" w:pos="450"/>
          <w:tab w:val="left" w:pos="810"/>
          <w:tab w:val="left" w:pos="1800"/>
          <w:tab w:val="left" w:pos="8370"/>
        </w:tabs>
        <w:spacing w:after="120"/>
        <w:ind w:left="1440" w:right="1210"/>
        <w:jc w:val="both"/>
        <w:rPr>
          <w:lang w:val="en-GB"/>
        </w:rPr>
        <w:sectPr w:rsidR="00EE0DF2" w:rsidRPr="004574DC" w:rsidSect="00A50370">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166" w:right="1195" w:bottom="1440" w:left="1195" w:header="810" w:footer="1037" w:gutter="0"/>
          <w:cols w:space="720"/>
          <w:noEndnote/>
          <w:titlePg/>
          <w:docGrid w:linePitch="272"/>
        </w:sectPr>
      </w:pPr>
      <w:r w:rsidRPr="004574DC">
        <w:rPr>
          <w:lang w:val="en-GB"/>
        </w:rPr>
        <w:t>.</w:t>
      </w:r>
    </w:p>
    <w:p w14:paraId="54F0F701" w14:textId="77777777" w:rsidR="0080240B" w:rsidRPr="004574DC" w:rsidRDefault="006B6E78" w:rsidP="006B6E78">
      <w:pPr>
        <w:pStyle w:val="Heading4"/>
        <w:spacing w:after="120"/>
        <w:rPr>
          <w:rFonts w:ascii="Times New Roman" w:hAnsi="Times New Roman"/>
          <w:bCs/>
          <w:i/>
          <w:color w:val="000000"/>
          <w:sz w:val="24"/>
          <w:szCs w:val="24"/>
          <w:lang w:val="en-GB"/>
        </w:rPr>
      </w:pPr>
      <w:r w:rsidRPr="004574DC">
        <w:rPr>
          <w:rFonts w:ascii="Times New Roman" w:hAnsi="Times New Roman"/>
          <w:bCs/>
          <w:color w:val="000000"/>
          <w:sz w:val="24"/>
          <w:szCs w:val="24"/>
          <w:lang w:val="en-GB"/>
        </w:rPr>
        <w:lastRenderedPageBreak/>
        <w:t>A</w:t>
      </w:r>
      <w:r w:rsidR="000452C7" w:rsidRPr="004574DC">
        <w:rPr>
          <w:rFonts w:ascii="Times New Roman" w:hAnsi="Times New Roman"/>
          <w:bCs/>
          <w:color w:val="000000"/>
          <w:sz w:val="24"/>
          <w:szCs w:val="24"/>
          <w:lang w:val="en-GB"/>
        </w:rPr>
        <w:t>nnex</w:t>
      </w:r>
      <w:r w:rsidR="00A66322" w:rsidRPr="004574DC">
        <w:rPr>
          <w:rFonts w:ascii="Times New Roman" w:hAnsi="Times New Roman"/>
          <w:bCs/>
          <w:color w:val="000000"/>
          <w:sz w:val="24"/>
          <w:szCs w:val="24"/>
          <w:lang w:val="en-GB"/>
        </w:rPr>
        <w:t>.</w:t>
      </w:r>
      <w:r w:rsidRPr="004574DC">
        <w:rPr>
          <w:rFonts w:ascii="Times New Roman" w:hAnsi="Times New Roman"/>
          <w:bCs/>
          <w:color w:val="000000"/>
          <w:sz w:val="24"/>
          <w:szCs w:val="24"/>
          <w:lang w:val="en-GB"/>
        </w:rPr>
        <w:t xml:space="preserve"> </w:t>
      </w:r>
      <w:r w:rsidR="000452C7" w:rsidRPr="004574DC">
        <w:rPr>
          <w:rFonts w:ascii="Times New Roman" w:hAnsi="Times New Roman"/>
          <w:spacing w:val="4"/>
          <w:w w:val="103"/>
          <w:kern w:val="14"/>
          <w:sz w:val="24"/>
          <w:szCs w:val="24"/>
          <w:lang w:val="en-GB"/>
        </w:rPr>
        <w:t>Results and resources framework for Belarus (2016-2020)</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87"/>
        <w:gridCol w:w="735"/>
        <w:gridCol w:w="645"/>
        <w:gridCol w:w="733"/>
        <w:gridCol w:w="6248"/>
        <w:gridCol w:w="7"/>
        <w:gridCol w:w="1190"/>
        <w:gridCol w:w="273"/>
        <w:gridCol w:w="8"/>
        <w:gridCol w:w="1147"/>
      </w:tblGrid>
      <w:tr w:rsidR="007A05B6" w:rsidRPr="004574DC" w14:paraId="3E8B3DDB" w14:textId="77777777" w:rsidTr="00915B6B">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B40C325" w14:textId="52441628" w:rsidR="007A05B6" w:rsidRPr="004574DC" w:rsidRDefault="00E57DB9" w:rsidP="00E57DB9">
            <w:pPr>
              <w:rPr>
                <w:color w:val="000000"/>
                <w:sz w:val="16"/>
                <w:szCs w:val="16"/>
                <w:lang w:val="en-GB"/>
              </w:rPr>
            </w:pPr>
            <w:r w:rsidRPr="004574DC">
              <w:rPr>
                <w:b/>
                <w:sz w:val="16"/>
                <w:lang w:val="en-GB"/>
              </w:rPr>
              <w:t xml:space="preserve">National priority or goal: </w:t>
            </w:r>
            <w:r w:rsidRPr="004574DC">
              <w:rPr>
                <w:sz w:val="16"/>
                <w:lang w:val="en-GB"/>
              </w:rPr>
              <w:t xml:space="preserve">Development of governance systems for sustainable development; ensuring transparency and openness of the public administration bodies (NSDS 2030); Ensure more inclusive social and political processes, with gender equality as a crosscutting issue (Post-2015 </w:t>
            </w:r>
            <w:r w:rsidR="00440C21" w:rsidRPr="004574DC">
              <w:rPr>
                <w:sz w:val="16"/>
                <w:lang w:val="en-GB"/>
              </w:rPr>
              <w:t>n</w:t>
            </w:r>
            <w:r w:rsidRPr="004574DC">
              <w:rPr>
                <w:sz w:val="16"/>
                <w:lang w:val="en-GB"/>
              </w:rPr>
              <w:t xml:space="preserve">ational </w:t>
            </w:r>
            <w:r w:rsidR="00440C21" w:rsidRPr="004574DC">
              <w:rPr>
                <w:sz w:val="16"/>
                <w:lang w:val="en-GB"/>
              </w:rPr>
              <w:t>c</w:t>
            </w:r>
            <w:r w:rsidRPr="004574DC">
              <w:rPr>
                <w:sz w:val="16"/>
                <w:lang w:val="en-GB"/>
              </w:rPr>
              <w:t>onsultations)</w:t>
            </w:r>
            <w:r w:rsidR="00426D80" w:rsidRPr="004574DC">
              <w:rPr>
                <w:sz w:val="16"/>
                <w:lang w:val="en-GB"/>
              </w:rPr>
              <w:t>.</w:t>
            </w:r>
          </w:p>
        </w:tc>
      </w:tr>
      <w:tr w:rsidR="007A05B6" w:rsidRPr="004574DC" w14:paraId="2A26B91C" w14:textId="77777777" w:rsidTr="00915B6B">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ED0C51C" w14:textId="77777777" w:rsidR="007A05B6" w:rsidRPr="00AD20B2" w:rsidRDefault="00E57DB9" w:rsidP="00E57DB9">
            <w:pPr>
              <w:rPr>
                <w:color w:val="000000"/>
                <w:sz w:val="16"/>
                <w:szCs w:val="16"/>
                <w:lang w:val="en-GB"/>
              </w:rPr>
            </w:pPr>
            <w:r w:rsidRPr="00603C82">
              <w:rPr>
                <w:b/>
                <w:sz w:val="16"/>
                <w:lang w:val="en-GB"/>
              </w:rPr>
              <w:t xml:space="preserve">UNDAF outcome 1.2: </w:t>
            </w:r>
            <w:r w:rsidRPr="00603C82">
              <w:rPr>
                <w:sz w:val="16"/>
                <w:lang w:val="en-GB"/>
              </w:rPr>
              <w:t>By 2020, state institutions ensure responsive, accountable and transparent governance to enable citizens to benefit from all human rights in line with international principles and standards.</w:t>
            </w:r>
          </w:p>
        </w:tc>
      </w:tr>
      <w:tr w:rsidR="00772802" w:rsidRPr="004574DC" w14:paraId="2D78E7F9" w14:textId="77777777" w:rsidTr="00915B6B">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A983D6A" w14:textId="1912E176" w:rsidR="00772802" w:rsidRPr="00AD20B2" w:rsidRDefault="00E57DB9" w:rsidP="00CB23DD">
            <w:pPr>
              <w:rPr>
                <w:b/>
                <w:bCs/>
                <w:color w:val="000000"/>
                <w:sz w:val="16"/>
                <w:szCs w:val="16"/>
                <w:lang w:val="en-GB"/>
              </w:rPr>
            </w:pPr>
            <w:r w:rsidRPr="00603C82">
              <w:rPr>
                <w:b/>
                <w:sz w:val="16"/>
                <w:lang w:val="en-GB"/>
              </w:rPr>
              <w:t xml:space="preserve">Strategic plan outcome 2: </w:t>
            </w:r>
            <w:r w:rsidRPr="00603C82">
              <w:rPr>
                <w:sz w:val="16"/>
                <w:lang w:val="en-GB"/>
              </w:rPr>
              <w:t>Citizen expectations for voice, development, the rule of law and accountability are met by stronger systems of democratic governance</w:t>
            </w:r>
            <w:r w:rsidR="00440C21" w:rsidRPr="00603C82">
              <w:rPr>
                <w:sz w:val="16"/>
                <w:lang w:val="en-GB"/>
              </w:rPr>
              <w:t>.</w:t>
            </w:r>
          </w:p>
        </w:tc>
      </w:tr>
      <w:tr w:rsidR="00F704AF" w:rsidRPr="004574DC" w14:paraId="4E80EE36" w14:textId="77777777" w:rsidTr="00915B6B">
        <w:tc>
          <w:tcPr>
            <w:tcW w:w="893"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1267F47B" w14:textId="77777777" w:rsidR="007A05B6" w:rsidRPr="00AD20B2" w:rsidRDefault="00E57DB9" w:rsidP="00125266">
            <w:pPr>
              <w:jc w:val="center"/>
              <w:rPr>
                <w:color w:val="000000"/>
                <w:sz w:val="16"/>
                <w:szCs w:val="16"/>
                <w:lang w:val="en-GB"/>
              </w:rPr>
            </w:pPr>
            <w:r w:rsidRPr="00603C82">
              <w:rPr>
                <w:b/>
                <w:bCs/>
                <w:color w:val="000000"/>
                <w:sz w:val="16"/>
                <w:szCs w:val="16"/>
                <w:lang w:val="en-GB"/>
              </w:rPr>
              <w:t>UNDAF outcome indicator(s), baselines, target(s)</w:t>
            </w:r>
          </w:p>
        </w:tc>
        <w:tc>
          <w:tcPr>
            <w:tcW w:w="516" w:type="pct"/>
            <w:gridSpan w:val="2"/>
            <w:tcBorders>
              <w:top w:val="single" w:sz="4" w:space="0" w:color="auto"/>
              <w:bottom w:val="single" w:sz="4" w:space="0" w:color="auto"/>
            </w:tcBorders>
            <w:shd w:val="clear" w:color="auto" w:fill="auto"/>
            <w:vAlign w:val="center"/>
          </w:tcPr>
          <w:p w14:paraId="391ACEED" w14:textId="77777777" w:rsidR="007A05B6" w:rsidRPr="004574DC" w:rsidRDefault="00E57DB9" w:rsidP="00125266">
            <w:pPr>
              <w:jc w:val="center"/>
              <w:rPr>
                <w:b/>
                <w:color w:val="000000"/>
                <w:sz w:val="16"/>
                <w:szCs w:val="16"/>
                <w:lang w:val="en-GB"/>
              </w:rPr>
            </w:pPr>
            <w:r w:rsidRPr="004574DC">
              <w:rPr>
                <w:b/>
                <w:color w:val="000000"/>
                <w:sz w:val="16"/>
                <w:szCs w:val="16"/>
                <w:lang w:val="en-GB"/>
              </w:rPr>
              <w:t>Data source and frequency of data collection, and responsibilities</w:t>
            </w:r>
          </w:p>
        </w:tc>
        <w:tc>
          <w:tcPr>
            <w:tcW w:w="2610"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tcPr>
          <w:p w14:paraId="5481356F" w14:textId="77777777" w:rsidR="007A05B6" w:rsidRPr="004574DC" w:rsidRDefault="00E57DB9" w:rsidP="00E57DB9">
            <w:pPr>
              <w:jc w:val="center"/>
              <w:rPr>
                <w:color w:val="000000"/>
                <w:sz w:val="16"/>
                <w:szCs w:val="16"/>
                <w:lang w:val="en-GB"/>
              </w:rPr>
            </w:pPr>
            <w:r w:rsidRPr="004574DC">
              <w:rPr>
                <w:b/>
                <w:bCs/>
                <w:color w:val="000000"/>
                <w:sz w:val="16"/>
                <w:szCs w:val="16"/>
                <w:lang w:val="en-GB"/>
              </w:rPr>
              <w:t>Indicative country programme outputs</w:t>
            </w:r>
          </w:p>
        </w:tc>
        <w:tc>
          <w:tcPr>
            <w:tcW w:w="549" w:type="pct"/>
            <w:gridSpan w:val="3"/>
            <w:tcBorders>
              <w:top w:val="single" w:sz="4" w:space="0" w:color="auto"/>
              <w:bottom w:val="single" w:sz="4" w:space="0" w:color="auto"/>
            </w:tcBorders>
            <w:shd w:val="clear" w:color="auto" w:fill="auto"/>
            <w:vAlign w:val="center"/>
          </w:tcPr>
          <w:p w14:paraId="7BEBCD45" w14:textId="77777777" w:rsidR="00E57DB9" w:rsidRPr="004574DC" w:rsidRDefault="00E57DB9" w:rsidP="00E57DB9">
            <w:pPr>
              <w:jc w:val="center"/>
              <w:rPr>
                <w:b/>
                <w:bCs/>
                <w:color w:val="000000"/>
                <w:sz w:val="16"/>
                <w:szCs w:val="16"/>
                <w:lang w:val="en-GB"/>
              </w:rPr>
            </w:pPr>
            <w:r w:rsidRPr="004574DC">
              <w:rPr>
                <w:b/>
                <w:bCs/>
                <w:color w:val="000000"/>
                <w:sz w:val="16"/>
                <w:szCs w:val="16"/>
                <w:lang w:val="en-GB"/>
              </w:rPr>
              <w:t>Major partners</w:t>
            </w:r>
          </w:p>
          <w:p w14:paraId="202ECA20" w14:textId="77777777" w:rsidR="007A05B6" w:rsidRPr="004574DC" w:rsidRDefault="007A05B6" w:rsidP="00125266">
            <w:pPr>
              <w:jc w:val="center"/>
              <w:rPr>
                <w:b/>
                <w:bCs/>
                <w:color w:val="000000"/>
                <w:sz w:val="16"/>
                <w:szCs w:val="16"/>
                <w:lang w:val="en-GB"/>
              </w:rPr>
            </w:pPr>
          </w:p>
        </w:tc>
        <w:tc>
          <w:tcPr>
            <w:tcW w:w="432"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3E0D036B" w14:textId="0460390C" w:rsidR="007A05B6" w:rsidRPr="004574DC" w:rsidRDefault="00E57DB9" w:rsidP="00125266">
            <w:pPr>
              <w:jc w:val="center"/>
              <w:rPr>
                <w:b/>
                <w:bCs/>
                <w:color w:val="000000"/>
                <w:sz w:val="16"/>
                <w:szCs w:val="16"/>
                <w:lang w:val="en-GB"/>
              </w:rPr>
            </w:pPr>
            <w:r w:rsidRPr="004574DC">
              <w:rPr>
                <w:b/>
                <w:bCs/>
                <w:color w:val="000000"/>
                <w:sz w:val="16"/>
                <w:szCs w:val="16"/>
                <w:lang w:val="en-GB"/>
              </w:rPr>
              <w:t>Indicative resources by outcome (</w:t>
            </w:r>
            <w:r w:rsidRPr="004574DC">
              <w:rPr>
                <w:bCs/>
                <w:i/>
                <w:color w:val="000000"/>
                <w:sz w:val="16"/>
                <w:szCs w:val="16"/>
                <w:lang w:val="en-GB"/>
              </w:rPr>
              <w:t>in thousand</w:t>
            </w:r>
            <w:r w:rsidR="00405D70" w:rsidRPr="004574DC">
              <w:rPr>
                <w:bCs/>
                <w:i/>
                <w:color w:val="000000"/>
                <w:sz w:val="16"/>
                <w:szCs w:val="16"/>
                <w:lang w:val="en-GB"/>
              </w:rPr>
              <w:t xml:space="preserve">s of </w:t>
            </w:r>
            <w:r w:rsidRPr="004574DC">
              <w:rPr>
                <w:bCs/>
                <w:i/>
                <w:color w:val="000000"/>
                <w:sz w:val="16"/>
                <w:szCs w:val="16"/>
                <w:lang w:val="en-GB"/>
              </w:rPr>
              <w:t xml:space="preserve"> </w:t>
            </w:r>
            <w:r w:rsidR="0029653C" w:rsidRPr="004574DC">
              <w:rPr>
                <w:bCs/>
                <w:i/>
                <w:color w:val="000000"/>
                <w:sz w:val="16"/>
                <w:szCs w:val="16"/>
                <w:lang w:val="en-GB"/>
              </w:rPr>
              <w:t>U</w:t>
            </w:r>
            <w:r w:rsidR="00405D70" w:rsidRPr="004574DC">
              <w:rPr>
                <w:bCs/>
                <w:i/>
                <w:color w:val="000000"/>
                <w:sz w:val="16"/>
                <w:szCs w:val="16"/>
                <w:lang w:val="en-GB"/>
              </w:rPr>
              <w:t xml:space="preserve">nited </w:t>
            </w:r>
            <w:r w:rsidR="0029653C" w:rsidRPr="004574DC">
              <w:rPr>
                <w:bCs/>
                <w:i/>
                <w:color w:val="000000"/>
                <w:sz w:val="16"/>
                <w:szCs w:val="16"/>
                <w:lang w:val="en-GB"/>
              </w:rPr>
              <w:t>S</w:t>
            </w:r>
            <w:r w:rsidR="00405D70" w:rsidRPr="004574DC">
              <w:rPr>
                <w:bCs/>
                <w:i/>
                <w:color w:val="000000"/>
                <w:sz w:val="16"/>
                <w:szCs w:val="16"/>
                <w:lang w:val="en-GB"/>
              </w:rPr>
              <w:t>tates dollars</w:t>
            </w:r>
            <w:r w:rsidR="00405D70" w:rsidRPr="004574DC">
              <w:rPr>
                <w:b/>
                <w:bCs/>
                <w:color w:val="000000"/>
                <w:sz w:val="16"/>
                <w:szCs w:val="16"/>
                <w:lang w:val="en-GB"/>
              </w:rPr>
              <w:t>)</w:t>
            </w:r>
          </w:p>
          <w:p w14:paraId="1448F8E4" w14:textId="77777777" w:rsidR="007A05B6" w:rsidRPr="004574DC" w:rsidRDefault="007A05B6" w:rsidP="00125266">
            <w:pPr>
              <w:jc w:val="center"/>
              <w:rPr>
                <w:i/>
                <w:color w:val="0000FF"/>
                <w:sz w:val="16"/>
                <w:szCs w:val="16"/>
                <w:lang w:val="en-GB"/>
              </w:rPr>
            </w:pPr>
          </w:p>
        </w:tc>
      </w:tr>
      <w:tr w:rsidR="00F704AF" w:rsidRPr="004574DC" w14:paraId="0EB8C371" w14:textId="77777777" w:rsidTr="00022DF7">
        <w:tc>
          <w:tcPr>
            <w:tcW w:w="893"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433F6DFA" w14:textId="17710178" w:rsidR="0079542C" w:rsidRPr="004574DC" w:rsidRDefault="0079542C" w:rsidP="0079542C">
            <w:pPr>
              <w:rPr>
                <w:sz w:val="16"/>
                <w:lang w:val="en-GB"/>
              </w:rPr>
            </w:pPr>
            <w:r w:rsidRPr="00603C82">
              <w:rPr>
                <w:sz w:val="16"/>
                <w:lang w:val="en-GB"/>
              </w:rPr>
              <w:t>1.1.2. Implementation of public consultations on draft legal acts, government resolutions and national programmes, and the share of submissions from civil society and the private sector are taken into account in the process of amending the legislation</w:t>
            </w:r>
            <w:r w:rsidR="00440C21" w:rsidRPr="00AD20B2">
              <w:rPr>
                <w:sz w:val="16"/>
                <w:lang w:val="en-GB"/>
              </w:rPr>
              <w:t>.</w:t>
            </w:r>
            <w:r w:rsidRPr="004574DC">
              <w:rPr>
                <w:sz w:val="16"/>
                <w:lang w:val="en-GB"/>
              </w:rPr>
              <w:t xml:space="preserve"> </w:t>
            </w:r>
          </w:p>
          <w:p w14:paraId="736AD9EC" w14:textId="17EADD1C" w:rsidR="0079542C" w:rsidRPr="004574DC" w:rsidRDefault="0079542C" w:rsidP="0079542C">
            <w:pPr>
              <w:rPr>
                <w:sz w:val="16"/>
                <w:lang w:val="en-GB"/>
              </w:rPr>
            </w:pPr>
            <w:r w:rsidRPr="004574DC">
              <w:rPr>
                <w:i/>
                <w:sz w:val="16"/>
                <w:lang w:val="en-GB"/>
              </w:rPr>
              <w:br/>
              <w:t>Baseline:</w:t>
            </w:r>
            <w:r w:rsidRPr="004574DC">
              <w:rPr>
                <w:sz w:val="16"/>
                <w:lang w:val="en-GB"/>
              </w:rPr>
              <w:t xml:space="preserve"> Isolated instances of public consultations on draft legal acts and government resolutions; a small number of submissions from civil society and the private sector is taken into account during amendments of the legislation</w:t>
            </w:r>
            <w:r w:rsidR="00440C21" w:rsidRPr="004574DC">
              <w:rPr>
                <w:sz w:val="16"/>
                <w:lang w:val="en-GB"/>
              </w:rPr>
              <w:t>.</w:t>
            </w:r>
            <w:r w:rsidRPr="004574DC">
              <w:rPr>
                <w:sz w:val="16"/>
                <w:lang w:val="en-GB"/>
              </w:rPr>
              <w:t xml:space="preserve"> </w:t>
            </w:r>
          </w:p>
          <w:p w14:paraId="65372539" w14:textId="77777777" w:rsidR="0079542C" w:rsidRPr="004574DC" w:rsidRDefault="0079542C" w:rsidP="0079542C">
            <w:pPr>
              <w:rPr>
                <w:sz w:val="16"/>
                <w:lang w:val="en-GB"/>
              </w:rPr>
            </w:pPr>
          </w:p>
          <w:p w14:paraId="0F9BEA87" w14:textId="28313E62" w:rsidR="0079542C" w:rsidRPr="004574DC" w:rsidRDefault="0079542C" w:rsidP="0079542C">
            <w:pPr>
              <w:rPr>
                <w:sz w:val="16"/>
                <w:lang w:val="en-GB"/>
              </w:rPr>
            </w:pPr>
            <w:r w:rsidRPr="004574DC">
              <w:rPr>
                <w:i/>
                <w:sz w:val="16"/>
                <w:lang w:val="en-GB"/>
              </w:rPr>
              <w:t>Target:</w:t>
            </w:r>
            <w:r w:rsidRPr="004574DC">
              <w:rPr>
                <w:sz w:val="16"/>
                <w:lang w:val="en-GB"/>
              </w:rPr>
              <w:t xml:space="preserve"> The practice of public consultations on draft legal acts and government resolutions is expanded and the share of submissions from</w:t>
            </w:r>
            <w:r w:rsidR="00440C21" w:rsidRPr="004574DC">
              <w:rPr>
                <w:sz w:val="16"/>
                <w:lang w:val="en-GB"/>
              </w:rPr>
              <w:t xml:space="preserve"> </w:t>
            </w:r>
            <w:r w:rsidRPr="004574DC">
              <w:rPr>
                <w:sz w:val="16"/>
                <w:lang w:val="en-GB"/>
              </w:rPr>
              <w:t>civil society and the private sector that are taken into account in the process of amending the legislation is increased</w:t>
            </w:r>
          </w:p>
          <w:p w14:paraId="6B810951" w14:textId="77777777" w:rsidR="0079542C" w:rsidRPr="004574DC" w:rsidRDefault="0079542C" w:rsidP="0079542C">
            <w:pPr>
              <w:rPr>
                <w:lang w:val="en-GB"/>
              </w:rPr>
            </w:pPr>
          </w:p>
          <w:p w14:paraId="504F652E" w14:textId="04330CD2" w:rsidR="0079542C" w:rsidRPr="004574DC" w:rsidRDefault="0079542C" w:rsidP="0079542C">
            <w:pPr>
              <w:rPr>
                <w:sz w:val="16"/>
                <w:lang w:val="en-GB"/>
              </w:rPr>
            </w:pPr>
            <w:r w:rsidRPr="004574DC">
              <w:rPr>
                <w:sz w:val="16"/>
                <w:lang w:val="en-GB"/>
              </w:rPr>
              <w:t>1.2.1. Continued alignment of</w:t>
            </w:r>
            <w:r w:rsidR="00405D70" w:rsidRPr="004574DC">
              <w:rPr>
                <w:sz w:val="16"/>
                <w:lang w:val="en-GB"/>
              </w:rPr>
              <w:t xml:space="preserve"> </w:t>
            </w:r>
            <w:r w:rsidRPr="004574DC">
              <w:rPr>
                <w:sz w:val="16"/>
                <w:lang w:val="en-GB"/>
              </w:rPr>
              <w:t xml:space="preserve">national legislation with the generally recognized principles </w:t>
            </w:r>
            <w:r w:rsidRPr="004574DC">
              <w:rPr>
                <w:sz w:val="16"/>
                <w:lang w:val="en-GB"/>
              </w:rPr>
              <w:lastRenderedPageBreak/>
              <w:t>of international law and the provisions of international agreements to which Belarus is a party; implementations of these principles and provisions in judicial and enforcement practices</w:t>
            </w:r>
            <w:r w:rsidR="00405D70" w:rsidRPr="004574DC">
              <w:rPr>
                <w:sz w:val="16"/>
                <w:lang w:val="en-GB"/>
              </w:rPr>
              <w:t>.</w:t>
            </w:r>
          </w:p>
          <w:p w14:paraId="10E98030" w14:textId="77777777" w:rsidR="0079542C" w:rsidRPr="004574DC" w:rsidRDefault="0079542C" w:rsidP="0079542C">
            <w:pPr>
              <w:rPr>
                <w:sz w:val="16"/>
                <w:lang w:val="en-GB"/>
              </w:rPr>
            </w:pPr>
            <w:r w:rsidRPr="004574DC">
              <w:rPr>
                <w:i/>
                <w:sz w:val="16"/>
                <w:lang w:val="en-GB"/>
              </w:rPr>
              <w:br/>
              <w:t>Baseline:</w:t>
            </w:r>
            <w:r w:rsidRPr="004574DC">
              <w:rPr>
                <w:sz w:val="16"/>
                <w:lang w:val="en-GB"/>
              </w:rPr>
              <w:t xml:space="preserve"> National legislation and practice have not fully incorporated the provisions of international agreements to which Belarus is a party.</w:t>
            </w:r>
          </w:p>
          <w:p w14:paraId="68E7692F" w14:textId="7B009F6C" w:rsidR="0079542C" w:rsidRPr="004574DC" w:rsidRDefault="0079542C" w:rsidP="0079542C">
            <w:pPr>
              <w:rPr>
                <w:sz w:val="16"/>
                <w:lang w:val="en-GB"/>
              </w:rPr>
            </w:pPr>
            <w:r w:rsidRPr="004574DC">
              <w:rPr>
                <w:sz w:val="16"/>
                <w:lang w:val="en-GB"/>
              </w:rPr>
              <w:br/>
            </w:r>
            <w:r w:rsidRPr="004574DC">
              <w:rPr>
                <w:i/>
                <w:sz w:val="16"/>
                <w:lang w:val="en-GB"/>
              </w:rPr>
              <w:t>Targets</w:t>
            </w:r>
            <w:r w:rsidRPr="004574DC">
              <w:rPr>
                <w:sz w:val="16"/>
                <w:lang w:val="en-GB"/>
              </w:rPr>
              <w:t>: Improvement of</w:t>
            </w:r>
            <w:r w:rsidR="00405D70" w:rsidRPr="004574DC">
              <w:rPr>
                <w:sz w:val="16"/>
                <w:lang w:val="en-GB"/>
              </w:rPr>
              <w:t xml:space="preserve"> </w:t>
            </w:r>
            <w:r w:rsidRPr="004574DC">
              <w:rPr>
                <w:sz w:val="16"/>
                <w:lang w:val="en-GB"/>
              </w:rPr>
              <w:t>national legislation and expansion of the practice of implementing the provisions of international agreements to which Belarus is a party</w:t>
            </w:r>
            <w:r w:rsidR="00405D70" w:rsidRPr="004574DC">
              <w:rPr>
                <w:sz w:val="16"/>
                <w:lang w:val="en-GB"/>
              </w:rPr>
              <w:t>.</w:t>
            </w:r>
          </w:p>
          <w:p w14:paraId="10BB0F50" w14:textId="77777777" w:rsidR="0079542C" w:rsidRPr="004574DC" w:rsidRDefault="0079542C" w:rsidP="0079542C">
            <w:pPr>
              <w:rPr>
                <w:lang w:val="en-GB"/>
              </w:rPr>
            </w:pPr>
          </w:p>
          <w:p w14:paraId="73471E5E" w14:textId="61F0D9B5" w:rsidR="0079542C" w:rsidRPr="004574DC" w:rsidRDefault="0079542C" w:rsidP="0079542C">
            <w:pPr>
              <w:rPr>
                <w:sz w:val="16"/>
                <w:lang w:val="en-GB"/>
              </w:rPr>
            </w:pPr>
            <w:r w:rsidRPr="004574DC">
              <w:rPr>
                <w:sz w:val="16"/>
                <w:lang w:val="en-GB"/>
              </w:rPr>
              <w:t xml:space="preserve">1.2.2. Improvement of analysis and implementation of recommendations made by international organizations, including through the </w:t>
            </w:r>
            <w:r w:rsidR="00405D70" w:rsidRPr="004574DC">
              <w:rPr>
                <w:sz w:val="16"/>
                <w:lang w:val="en-GB"/>
              </w:rPr>
              <w:t xml:space="preserve">Universal Periodic Review </w:t>
            </w:r>
            <w:r w:rsidRPr="004574DC">
              <w:rPr>
                <w:sz w:val="16"/>
                <w:lang w:val="en-GB"/>
              </w:rPr>
              <w:t>of the U</w:t>
            </w:r>
            <w:r w:rsidR="00405D70" w:rsidRPr="004574DC">
              <w:rPr>
                <w:sz w:val="16"/>
                <w:lang w:val="en-GB"/>
              </w:rPr>
              <w:t xml:space="preserve">nited </w:t>
            </w:r>
            <w:r w:rsidRPr="004574DC">
              <w:rPr>
                <w:sz w:val="16"/>
                <w:lang w:val="en-GB"/>
              </w:rPr>
              <w:t>N</w:t>
            </w:r>
            <w:r w:rsidR="00405D70" w:rsidRPr="004574DC">
              <w:rPr>
                <w:sz w:val="16"/>
                <w:lang w:val="en-GB"/>
              </w:rPr>
              <w:t>ations</w:t>
            </w:r>
            <w:r w:rsidRPr="004574DC">
              <w:rPr>
                <w:sz w:val="16"/>
                <w:lang w:val="en-GB"/>
              </w:rPr>
              <w:t xml:space="preserve"> Human Rights Council, in the national practice</w:t>
            </w:r>
            <w:r w:rsidR="00405D70" w:rsidRPr="004574DC">
              <w:rPr>
                <w:sz w:val="16"/>
                <w:lang w:val="en-GB"/>
              </w:rPr>
              <w:t>.</w:t>
            </w:r>
          </w:p>
          <w:p w14:paraId="0A64DFBB" w14:textId="66653EEF" w:rsidR="0079542C" w:rsidRPr="004574DC" w:rsidRDefault="0079542C" w:rsidP="0079542C">
            <w:pPr>
              <w:rPr>
                <w:sz w:val="16"/>
                <w:lang w:val="en-GB"/>
              </w:rPr>
            </w:pPr>
            <w:r w:rsidRPr="004574DC">
              <w:rPr>
                <w:i/>
                <w:sz w:val="16"/>
                <w:lang w:val="en-GB"/>
              </w:rPr>
              <w:br/>
              <w:t>Baseline:</w:t>
            </w:r>
            <w:r w:rsidRPr="004574DC">
              <w:rPr>
                <w:sz w:val="16"/>
                <w:lang w:val="en-GB"/>
              </w:rPr>
              <w:t xml:space="preserve"> </w:t>
            </w:r>
            <w:r w:rsidR="00405D70" w:rsidRPr="004574DC">
              <w:rPr>
                <w:sz w:val="16"/>
                <w:lang w:val="en-GB"/>
              </w:rPr>
              <w:t>L</w:t>
            </w:r>
            <w:r w:rsidRPr="004574DC">
              <w:rPr>
                <w:sz w:val="16"/>
                <w:lang w:val="en-GB"/>
              </w:rPr>
              <w:t>ow participation of</w:t>
            </w:r>
            <w:r w:rsidR="00405D70" w:rsidRPr="004574DC">
              <w:rPr>
                <w:sz w:val="16"/>
                <w:lang w:val="en-GB"/>
              </w:rPr>
              <w:t xml:space="preserve"> </w:t>
            </w:r>
            <w:r w:rsidRPr="004574DC">
              <w:rPr>
                <w:sz w:val="16"/>
                <w:lang w:val="en-GB"/>
              </w:rPr>
              <w:t>civil society and public administration bodies in international monitoring processes focused on Belarus and efforts to implement recommendations from international organizations</w:t>
            </w:r>
            <w:r w:rsidR="00405D70" w:rsidRPr="004574DC">
              <w:rPr>
                <w:sz w:val="16"/>
                <w:lang w:val="en-GB"/>
              </w:rPr>
              <w:t>.</w:t>
            </w:r>
          </w:p>
          <w:p w14:paraId="5AE7CBD8" w14:textId="1E8E8647" w:rsidR="0079542C" w:rsidRPr="004574DC" w:rsidRDefault="0079542C" w:rsidP="0079542C">
            <w:pPr>
              <w:rPr>
                <w:sz w:val="16"/>
                <w:lang w:val="en-GB"/>
              </w:rPr>
            </w:pPr>
            <w:r w:rsidRPr="004574DC">
              <w:rPr>
                <w:sz w:val="16"/>
                <w:lang w:val="en-GB"/>
              </w:rPr>
              <w:br/>
            </w:r>
            <w:r w:rsidRPr="004574DC">
              <w:rPr>
                <w:i/>
                <w:sz w:val="16"/>
                <w:lang w:val="en-GB"/>
              </w:rPr>
              <w:t>Target:</w:t>
            </w:r>
            <w:r w:rsidRPr="004574DC">
              <w:rPr>
                <w:sz w:val="16"/>
                <w:lang w:val="en-GB"/>
              </w:rPr>
              <w:t xml:space="preserve"> High participation of civil society and public administration bodies in international monitoring processes focused on Belarus and efforts to implement recommendations from international organizations</w:t>
            </w:r>
            <w:r w:rsidR="00405D70" w:rsidRPr="004574DC">
              <w:rPr>
                <w:sz w:val="16"/>
                <w:lang w:val="en-GB"/>
              </w:rPr>
              <w:t>.</w:t>
            </w:r>
          </w:p>
          <w:p w14:paraId="0983FF2E" w14:textId="77777777" w:rsidR="0079542C" w:rsidRPr="004574DC" w:rsidRDefault="0079542C" w:rsidP="0079542C">
            <w:pPr>
              <w:rPr>
                <w:sz w:val="16"/>
                <w:lang w:val="en-GB"/>
              </w:rPr>
            </w:pPr>
          </w:p>
          <w:p w14:paraId="27E135CB" w14:textId="51B01EFC" w:rsidR="0079542C" w:rsidRPr="004574DC" w:rsidRDefault="0079542C" w:rsidP="0079542C">
            <w:pPr>
              <w:rPr>
                <w:sz w:val="16"/>
                <w:lang w:val="en-GB"/>
              </w:rPr>
            </w:pPr>
            <w:r w:rsidRPr="004574DC">
              <w:rPr>
                <w:sz w:val="16"/>
                <w:lang w:val="en-GB"/>
              </w:rPr>
              <w:t>1.2.4. Share of administrative procedures performed online</w:t>
            </w:r>
            <w:r w:rsidR="00331EC0" w:rsidRPr="004574DC">
              <w:rPr>
                <w:sz w:val="16"/>
                <w:lang w:val="en-GB"/>
              </w:rPr>
              <w:t>.</w:t>
            </w:r>
            <w:r w:rsidRPr="004574DC">
              <w:rPr>
                <w:sz w:val="16"/>
                <w:lang w:val="en-GB"/>
              </w:rPr>
              <w:t xml:space="preserve"> </w:t>
            </w:r>
            <w:r w:rsidRPr="004574DC">
              <w:rPr>
                <w:sz w:val="16"/>
                <w:lang w:val="en-GB"/>
              </w:rPr>
              <w:br/>
            </w:r>
          </w:p>
          <w:p w14:paraId="7CE4160A" w14:textId="1D9B33D9" w:rsidR="00B436B1" w:rsidRPr="004574DC" w:rsidRDefault="0079542C" w:rsidP="00B436B1">
            <w:pPr>
              <w:rPr>
                <w:sz w:val="16"/>
                <w:lang w:val="en-GB"/>
              </w:rPr>
            </w:pPr>
            <w:r w:rsidRPr="004574DC">
              <w:rPr>
                <w:sz w:val="16"/>
                <w:lang w:val="en-GB"/>
              </w:rPr>
              <w:t>Baseline:</w:t>
            </w:r>
            <w:r w:rsidRPr="004574DC">
              <w:rPr>
                <w:sz w:val="16"/>
                <w:lang w:val="en-GB"/>
              </w:rPr>
              <w:br/>
              <w:t>2015 – to be defined based on research</w:t>
            </w:r>
            <w:r w:rsidR="00B436B1" w:rsidRPr="004574DC">
              <w:rPr>
                <w:sz w:val="16"/>
                <w:lang w:val="en-GB"/>
              </w:rPr>
              <w:t>; United web</w:t>
            </w:r>
            <w:r w:rsidR="00A3703D" w:rsidRPr="004574DC">
              <w:rPr>
                <w:sz w:val="16"/>
                <w:lang w:val="en-GB"/>
              </w:rPr>
              <w:t xml:space="preserve"> </w:t>
            </w:r>
            <w:r w:rsidR="00B436B1" w:rsidRPr="004574DC">
              <w:rPr>
                <w:sz w:val="16"/>
                <w:lang w:val="en-GB"/>
              </w:rPr>
              <w:t>portal of state e-services is functional</w:t>
            </w:r>
            <w:r w:rsidRPr="004574DC">
              <w:rPr>
                <w:sz w:val="16"/>
                <w:lang w:val="en-GB"/>
              </w:rPr>
              <w:br/>
              <w:t>Targets:</w:t>
            </w:r>
            <w:r w:rsidRPr="004574DC">
              <w:rPr>
                <w:sz w:val="16"/>
                <w:lang w:val="en-GB"/>
              </w:rPr>
              <w:br/>
              <w:t>2020 – to be defined based on research</w:t>
            </w:r>
            <w:r w:rsidR="00B436B1" w:rsidRPr="004574DC">
              <w:rPr>
                <w:sz w:val="16"/>
                <w:lang w:val="en-GB"/>
              </w:rPr>
              <w:t>; United web</w:t>
            </w:r>
            <w:r w:rsidR="00A3703D" w:rsidRPr="004574DC">
              <w:rPr>
                <w:sz w:val="16"/>
                <w:lang w:val="en-GB"/>
              </w:rPr>
              <w:t xml:space="preserve"> </w:t>
            </w:r>
            <w:r w:rsidR="00B436B1" w:rsidRPr="004574DC">
              <w:rPr>
                <w:sz w:val="16"/>
                <w:lang w:val="en-GB"/>
              </w:rPr>
              <w:t>portal of state e-services is functional as ‘one window’ in external trade</w:t>
            </w:r>
          </w:p>
          <w:p w14:paraId="4FC53736" w14:textId="77777777" w:rsidR="00B436B1" w:rsidRPr="004574DC" w:rsidRDefault="00B436B1" w:rsidP="00B436B1">
            <w:pPr>
              <w:rPr>
                <w:sz w:val="16"/>
                <w:lang w:val="en-GB"/>
              </w:rPr>
            </w:pPr>
          </w:p>
          <w:p w14:paraId="05D97B6D" w14:textId="6620D303" w:rsidR="00B436B1" w:rsidRPr="004574DC" w:rsidRDefault="00B436B1" w:rsidP="00C46DD7">
            <w:pPr>
              <w:rPr>
                <w:bCs/>
                <w:color w:val="000000"/>
                <w:sz w:val="16"/>
                <w:szCs w:val="16"/>
                <w:lang w:val="en-GB"/>
              </w:rPr>
            </w:pPr>
          </w:p>
        </w:tc>
        <w:tc>
          <w:tcPr>
            <w:tcW w:w="516" w:type="pct"/>
            <w:gridSpan w:val="2"/>
            <w:vMerge w:val="restart"/>
            <w:tcBorders>
              <w:top w:val="single" w:sz="4" w:space="0" w:color="auto"/>
              <w:bottom w:val="single" w:sz="4" w:space="0" w:color="auto"/>
            </w:tcBorders>
          </w:tcPr>
          <w:p w14:paraId="0360AD70" w14:textId="77777777" w:rsidR="0079542C" w:rsidRPr="00603C82" w:rsidRDefault="0079542C" w:rsidP="0079542C">
            <w:pPr>
              <w:rPr>
                <w:sz w:val="16"/>
                <w:lang w:val="en-GB"/>
              </w:rPr>
            </w:pPr>
            <w:r w:rsidRPr="004574DC">
              <w:rPr>
                <w:sz w:val="16"/>
                <w:lang w:val="en-GB"/>
              </w:rPr>
              <w:lastRenderedPageBreak/>
              <w:t>National Legal Information Portal (</w:t>
            </w:r>
            <w:hyperlink r:id="rId17" w:history="1">
              <w:r w:rsidRPr="004574DC">
                <w:rPr>
                  <w:rStyle w:val="Hyperlink"/>
                  <w:sz w:val="16"/>
                  <w:lang w:val="en-GB"/>
                </w:rPr>
                <w:t>www.pravo.by</w:t>
              </w:r>
            </w:hyperlink>
            <w:r w:rsidRPr="00603C82">
              <w:rPr>
                <w:sz w:val="16"/>
                <w:lang w:val="en-GB"/>
              </w:rPr>
              <w:t>);</w:t>
            </w:r>
          </w:p>
          <w:p w14:paraId="2EEA54F1" w14:textId="77777777" w:rsidR="0079542C" w:rsidRPr="00AD20B2" w:rsidRDefault="0079542C" w:rsidP="0079542C">
            <w:pPr>
              <w:rPr>
                <w:sz w:val="16"/>
                <w:lang w:val="en-GB"/>
              </w:rPr>
            </w:pPr>
          </w:p>
          <w:p w14:paraId="6EC95E51" w14:textId="440FDE25" w:rsidR="00B456EE" w:rsidRPr="004574DC" w:rsidRDefault="0079542C" w:rsidP="0079542C">
            <w:pPr>
              <w:rPr>
                <w:sz w:val="16"/>
                <w:lang w:val="en-GB"/>
              </w:rPr>
            </w:pPr>
            <w:r w:rsidRPr="004574DC">
              <w:rPr>
                <w:sz w:val="16"/>
                <w:lang w:val="en-GB"/>
              </w:rPr>
              <w:t>Reference depository of legal information of the Republic of Belarus</w:t>
            </w:r>
            <w:r w:rsidR="00B456EE" w:rsidRPr="004574DC">
              <w:rPr>
                <w:sz w:val="16"/>
                <w:lang w:val="en-GB"/>
              </w:rPr>
              <w:t xml:space="preserve"> </w:t>
            </w:r>
          </w:p>
          <w:p w14:paraId="3E342F2E" w14:textId="77777777" w:rsidR="00B456EE" w:rsidRPr="004574DC" w:rsidRDefault="00B456EE" w:rsidP="0079542C">
            <w:pPr>
              <w:rPr>
                <w:sz w:val="16"/>
                <w:lang w:val="en-GB"/>
              </w:rPr>
            </w:pPr>
          </w:p>
          <w:p w14:paraId="7302C4F6" w14:textId="77777777" w:rsidR="004F50AF" w:rsidRPr="004574DC" w:rsidRDefault="00B456EE" w:rsidP="00B456EE">
            <w:pPr>
              <w:rPr>
                <w:b/>
                <w:bCs/>
                <w:i/>
                <w:color w:val="000000"/>
                <w:sz w:val="16"/>
                <w:szCs w:val="16"/>
                <w:lang w:val="en-GB"/>
              </w:rPr>
            </w:pPr>
            <w:r w:rsidRPr="004574DC">
              <w:rPr>
                <w:i/>
                <w:sz w:val="16"/>
                <w:lang w:val="en-GB"/>
              </w:rPr>
              <w:t>(data to be disaggregated by age and sex)</w:t>
            </w:r>
          </w:p>
        </w:tc>
        <w:tc>
          <w:tcPr>
            <w:tcW w:w="2610" w:type="pct"/>
            <w:gridSpan w:val="2"/>
            <w:vMerge w:val="restart"/>
            <w:tcBorders>
              <w:top w:val="single" w:sz="4" w:space="0" w:color="auto"/>
              <w:bottom w:val="single" w:sz="4" w:space="0" w:color="auto"/>
            </w:tcBorders>
            <w:tcMar>
              <w:top w:w="72" w:type="dxa"/>
              <w:left w:w="144" w:type="dxa"/>
              <w:bottom w:w="72" w:type="dxa"/>
              <w:right w:w="144" w:type="dxa"/>
            </w:tcMar>
          </w:tcPr>
          <w:p w14:paraId="4C4AF59F" w14:textId="76A6893D" w:rsidR="004F50AF" w:rsidRPr="004574DC" w:rsidRDefault="0079542C" w:rsidP="0079542C">
            <w:pPr>
              <w:rPr>
                <w:b/>
                <w:sz w:val="16"/>
                <w:lang w:val="en-GB"/>
              </w:rPr>
            </w:pPr>
            <w:r w:rsidRPr="004574DC">
              <w:rPr>
                <w:b/>
                <w:sz w:val="16"/>
                <w:lang w:val="en-GB"/>
              </w:rPr>
              <w:t xml:space="preserve">Output 1.1: Structures in place at central and local level to ensure progressive realization of human rights and efficient implementation of </w:t>
            </w:r>
            <w:r w:rsidR="00440C21" w:rsidRPr="004574DC">
              <w:rPr>
                <w:b/>
                <w:sz w:val="16"/>
                <w:lang w:val="en-GB"/>
              </w:rPr>
              <w:t xml:space="preserve">Universal Periodic Review </w:t>
            </w:r>
            <w:r w:rsidRPr="004574DC">
              <w:rPr>
                <w:b/>
                <w:sz w:val="16"/>
                <w:lang w:val="en-GB"/>
              </w:rPr>
              <w:t xml:space="preserve">recommendations, enabling civil society organizations and </w:t>
            </w:r>
            <w:r w:rsidR="001373E0" w:rsidRPr="004574DC">
              <w:rPr>
                <w:b/>
                <w:sz w:val="16"/>
                <w:lang w:val="en-GB"/>
              </w:rPr>
              <w:t>citizens</w:t>
            </w:r>
            <w:r w:rsidR="003C190C" w:rsidRPr="004574DC">
              <w:rPr>
                <w:b/>
                <w:sz w:val="16"/>
                <w:lang w:val="en-GB"/>
              </w:rPr>
              <w:t xml:space="preserve">, including young people, </w:t>
            </w:r>
            <w:r w:rsidRPr="004574DC">
              <w:rPr>
                <w:b/>
                <w:sz w:val="16"/>
                <w:lang w:val="en-GB"/>
              </w:rPr>
              <w:t>peaceful, increasingly active and meaningful participation in national decision-making</w:t>
            </w:r>
          </w:p>
          <w:p w14:paraId="72BDB019" w14:textId="77777777" w:rsidR="0079542C" w:rsidRPr="004574DC" w:rsidRDefault="0079542C" w:rsidP="0079542C">
            <w:pPr>
              <w:rPr>
                <w:b/>
                <w:sz w:val="16"/>
                <w:lang w:val="en-GB"/>
              </w:rPr>
            </w:pPr>
          </w:p>
          <w:p w14:paraId="72199907" w14:textId="6DEBD188" w:rsidR="0079542C" w:rsidRPr="004574DC" w:rsidRDefault="0079542C" w:rsidP="0079542C">
            <w:pPr>
              <w:tabs>
                <w:tab w:val="left" w:pos="294"/>
              </w:tabs>
              <w:rPr>
                <w:lang w:val="en-GB"/>
              </w:rPr>
            </w:pPr>
            <w:r w:rsidRPr="004574DC">
              <w:rPr>
                <w:sz w:val="16"/>
                <w:lang w:val="en-GB"/>
              </w:rPr>
              <w:t xml:space="preserve">1.1.1: Percentage of accepted </w:t>
            </w:r>
            <w:r w:rsidR="00440C21" w:rsidRPr="004574DC">
              <w:rPr>
                <w:sz w:val="16"/>
                <w:lang w:val="en-GB"/>
              </w:rPr>
              <w:t xml:space="preserve">Universal Periodic Review </w:t>
            </w:r>
            <w:r w:rsidRPr="004574DC">
              <w:rPr>
                <w:sz w:val="16"/>
                <w:lang w:val="en-GB"/>
              </w:rPr>
              <w:t xml:space="preserve">recommendations that are implemented </w:t>
            </w:r>
          </w:p>
          <w:p w14:paraId="5B109BC0" w14:textId="77777777" w:rsidR="0079542C" w:rsidRPr="004574DC" w:rsidRDefault="0079542C" w:rsidP="0079542C">
            <w:pPr>
              <w:tabs>
                <w:tab w:val="left" w:pos="294"/>
              </w:tabs>
              <w:rPr>
                <w:lang w:val="en-GB"/>
              </w:rPr>
            </w:pPr>
            <w:r w:rsidRPr="004574DC">
              <w:rPr>
                <w:sz w:val="16"/>
                <w:lang w:val="en-GB"/>
              </w:rPr>
              <w:t xml:space="preserve">Baseline: 77% </w:t>
            </w:r>
          </w:p>
          <w:p w14:paraId="2733F87B" w14:textId="5A09CB7C" w:rsidR="0079542C" w:rsidRPr="004574DC" w:rsidRDefault="0079542C" w:rsidP="0079542C">
            <w:pPr>
              <w:tabs>
                <w:tab w:val="left" w:pos="294"/>
              </w:tabs>
              <w:rPr>
                <w:lang w:val="en-GB"/>
              </w:rPr>
            </w:pPr>
            <w:r w:rsidRPr="004574DC">
              <w:rPr>
                <w:sz w:val="16"/>
                <w:lang w:val="en-GB"/>
              </w:rPr>
              <w:t xml:space="preserve">Target: 90% </w:t>
            </w:r>
            <w:r w:rsidRPr="004574DC">
              <w:rPr>
                <w:sz w:val="16"/>
                <w:lang w:val="en-GB"/>
              </w:rPr>
              <w:br/>
              <w:t xml:space="preserve">Data: </w:t>
            </w:r>
            <w:r w:rsidR="00440C21" w:rsidRPr="004574DC">
              <w:rPr>
                <w:sz w:val="16"/>
                <w:lang w:val="en-GB"/>
              </w:rPr>
              <w:t>Universal Periodic Review</w:t>
            </w:r>
            <w:r w:rsidRPr="004574DC">
              <w:rPr>
                <w:sz w:val="16"/>
                <w:lang w:val="en-GB"/>
              </w:rPr>
              <w:t xml:space="preserve"> </w:t>
            </w:r>
            <w:r w:rsidR="00440C21" w:rsidRPr="004574DC">
              <w:rPr>
                <w:sz w:val="16"/>
                <w:lang w:val="en-GB"/>
              </w:rPr>
              <w:t>n</w:t>
            </w:r>
            <w:r w:rsidRPr="004574DC">
              <w:rPr>
                <w:sz w:val="16"/>
                <w:lang w:val="en-GB"/>
              </w:rPr>
              <w:t xml:space="preserve">ational </w:t>
            </w:r>
            <w:r w:rsidR="00440C21" w:rsidRPr="004574DC">
              <w:rPr>
                <w:sz w:val="16"/>
                <w:lang w:val="en-GB"/>
              </w:rPr>
              <w:t>r</w:t>
            </w:r>
            <w:r w:rsidRPr="004574DC">
              <w:rPr>
                <w:sz w:val="16"/>
                <w:lang w:val="en-GB"/>
              </w:rPr>
              <w:t xml:space="preserve">eport, </w:t>
            </w:r>
            <w:r w:rsidR="00440C21" w:rsidRPr="004574DC">
              <w:rPr>
                <w:sz w:val="16"/>
                <w:lang w:val="en-GB"/>
              </w:rPr>
              <w:t>Universal Periodic Review</w:t>
            </w:r>
            <w:r w:rsidRPr="004574DC">
              <w:rPr>
                <w:sz w:val="16"/>
                <w:lang w:val="en-GB"/>
              </w:rPr>
              <w:t xml:space="preserve"> </w:t>
            </w:r>
            <w:r w:rsidR="00440C21" w:rsidRPr="004574DC">
              <w:rPr>
                <w:sz w:val="16"/>
                <w:lang w:val="en-GB"/>
              </w:rPr>
              <w:t>country team r</w:t>
            </w:r>
            <w:r w:rsidRPr="004574DC">
              <w:rPr>
                <w:sz w:val="16"/>
                <w:lang w:val="en-GB"/>
              </w:rPr>
              <w:t xml:space="preserve">eport </w:t>
            </w:r>
          </w:p>
          <w:p w14:paraId="0FD05776" w14:textId="77777777" w:rsidR="0079542C" w:rsidRPr="004574DC" w:rsidRDefault="0079542C" w:rsidP="0079542C">
            <w:pPr>
              <w:tabs>
                <w:tab w:val="left" w:pos="294"/>
              </w:tabs>
              <w:rPr>
                <w:sz w:val="16"/>
                <w:lang w:val="en-GB"/>
              </w:rPr>
            </w:pPr>
          </w:p>
          <w:p w14:paraId="46B7F600" w14:textId="070212A1" w:rsidR="0079542C" w:rsidRPr="004574DC" w:rsidRDefault="0079542C" w:rsidP="0079542C">
            <w:pPr>
              <w:tabs>
                <w:tab w:val="left" w:pos="294"/>
              </w:tabs>
              <w:rPr>
                <w:lang w:val="en-GB"/>
              </w:rPr>
            </w:pPr>
            <w:r w:rsidRPr="004574DC">
              <w:rPr>
                <w:sz w:val="16"/>
                <w:lang w:val="en-GB"/>
              </w:rPr>
              <w:t>1.1.2: Number of CSO members that participate in the Country Coordination Mechanism for HIV and T</w:t>
            </w:r>
            <w:r w:rsidR="00440C21" w:rsidRPr="004574DC">
              <w:rPr>
                <w:sz w:val="16"/>
                <w:lang w:val="en-GB"/>
              </w:rPr>
              <w:t>uberculosis</w:t>
            </w:r>
            <w:r w:rsidRPr="004574DC">
              <w:rPr>
                <w:sz w:val="16"/>
                <w:lang w:val="en-GB"/>
              </w:rPr>
              <w:t xml:space="preserve"> Programmes in Belarus</w:t>
            </w:r>
          </w:p>
          <w:p w14:paraId="1A653751" w14:textId="77777777" w:rsidR="0079542C" w:rsidRPr="004574DC" w:rsidRDefault="0079542C" w:rsidP="0079542C">
            <w:pPr>
              <w:tabs>
                <w:tab w:val="left" w:pos="294"/>
              </w:tabs>
              <w:rPr>
                <w:lang w:val="en-GB"/>
              </w:rPr>
            </w:pPr>
            <w:r w:rsidRPr="004574DC">
              <w:rPr>
                <w:sz w:val="16"/>
                <w:lang w:val="en-GB"/>
              </w:rPr>
              <w:t>Baseline: 12 (2014)</w:t>
            </w:r>
          </w:p>
          <w:p w14:paraId="3807E5AF" w14:textId="77777777" w:rsidR="0079542C" w:rsidRPr="004574DC" w:rsidRDefault="0079542C" w:rsidP="0079542C">
            <w:pPr>
              <w:tabs>
                <w:tab w:val="left" w:pos="294"/>
              </w:tabs>
              <w:rPr>
                <w:lang w:val="en-GB"/>
              </w:rPr>
            </w:pPr>
            <w:r w:rsidRPr="004574DC">
              <w:rPr>
                <w:sz w:val="16"/>
                <w:lang w:val="en-GB"/>
              </w:rPr>
              <w:t>Target: 20 (2018)</w:t>
            </w:r>
          </w:p>
          <w:p w14:paraId="22033A73" w14:textId="75916B4C" w:rsidR="0079542C" w:rsidRPr="004574DC" w:rsidRDefault="0079542C" w:rsidP="0079542C">
            <w:pPr>
              <w:tabs>
                <w:tab w:val="left" w:pos="294"/>
              </w:tabs>
              <w:rPr>
                <w:sz w:val="16"/>
                <w:lang w:val="en-GB"/>
              </w:rPr>
            </w:pPr>
            <w:r w:rsidRPr="004574DC">
              <w:rPr>
                <w:sz w:val="16"/>
                <w:lang w:val="en-GB"/>
              </w:rPr>
              <w:t xml:space="preserve">Data: Reports of the </w:t>
            </w:r>
            <w:r w:rsidR="00440C21" w:rsidRPr="004574DC">
              <w:rPr>
                <w:sz w:val="16"/>
                <w:lang w:val="en-GB"/>
              </w:rPr>
              <w:t>Country Coordination Mechanism</w:t>
            </w:r>
            <w:r w:rsidRPr="004574DC">
              <w:rPr>
                <w:sz w:val="16"/>
                <w:lang w:val="en-GB"/>
              </w:rPr>
              <w:t xml:space="preserve"> </w:t>
            </w:r>
          </w:p>
          <w:p w14:paraId="70E61961" w14:textId="77777777" w:rsidR="0079542C" w:rsidRPr="004574DC" w:rsidRDefault="0079542C" w:rsidP="0079542C">
            <w:pPr>
              <w:tabs>
                <w:tab w:val="left" w:pos="294"/>
              </w:tabs>
              <w:rPr>
                <w:lang w:val="en-GB"/>
              </w:rPr>
            </w:pPr>
          </w:p>
          <w:p w14:paraId="466882A4" w14:textId="12954F59" w:rsidR="0079542C" w:rsidRPr="004574DC" w:rsidRDefault="0079542C" w:rsidP="0079542C">
            <w:pPr>
              <w:tabs>
                <w:tab w:val="left" w:pos="294"/>
              </w:tabs>
              <w:rPr>
                <w:sz w:val="16"/>
                <w:lang w:val="en-GB"/>
              </w:rPr>
            </w:pPr>
            <w:r w:rsidRPr="004574DC">
              <w:rPr>
                <w:sz w:val="16"/>
                <w:lang w:val="en-GB"/>
              </w:rPr>
              <w:t xml:space="preserve">1.1.3: </w:t>
            </w:r>
            <w:r w:rsidRPr="004574DC">
              <w:rPr>
                <w:sz w:val="16"/>
                <w:lang w:val="en-GB" w:eastAsia="en-GB"/>
              </w:rPr>
              <w:t xml:space="preserve"> Extent of State Border Committee of Belarus capacity for effective integrated border management, including capacity to respond to the needs of vulnerable migrants</w:t>
            </w:r>
            <w:r w:rsidRPr="004574DC">
              <w:rPr>
                <w:sz w:val="16"/>
                <w:lang w:val="en-GB"/>
              </w:rPr>
              <w:t xml:space="preserve"> </w:t>
            </w:r>
          </w:p>
          <w:p w14:paraId="3268B6B4" w14:textId="77777777" w:rsidR="0079542C" w:rsidRPr="004574DC" w:rsidRDefault="0079542C" w:rsidP="0079542C">
            <w:pPr>
              <w:tabs>
                <w:tab w:val="left" w:pos="294"/>
              </w:tabs>
              <w:rPr>
                <w:lang w:val="en-GB"/>
              </w:rPr>
            </w:pPr>
            <w:r w:rsidRPr="004574DC">
              <w:rPr>
                <w:sz w:val="16"/>
                <w:lang w:val="en-GB"/>
              </w:rPr>
              <w:t xml:space="preserve">Baseline: </w:t>
            </w:r>
            <w:r w:rsidR="008527CB" w:rsidRPr="004574DC">
              <w:rPr>
                <w:sz w:val="16"/>
                <w:lang w:val="en-GB" w:eastAsia="en-GB"/>
              </w:rPr>
              <w:t>Limited</w:t>
            </w:r>
          </w:p>
          <w:p w14:paraId="7635EB28" w14:textId="77777777" w:rsidR="0079542C" w:rsidRPr="004574DC" w:rsidRDefault="0079542C" w:rsidP="0079542C">
            <w:pPr>
              <w:tabs>
                <w:tab w:val="left" w:pos="294"/>
              </w:tabs>
              <w:rPr>
                <w:lang w:val="en-GB"/>
              </w:rPr>
            </w:pPr>
            <w:r w:rsidRPr="004574DC">
              <w:rPr>
                <w:sz w:val="16"/>
                <w:lang w:val="en-GB"/>
              </w:rPr>
              <w:t xml:space="preserve">Target: </w:t>
            </w:r>
            <w:r w:rsidR="008527CB" w:rsidRPr="004574DC">
              <w:rPr>
                <w:sz w:val="16"/>
                <w:lang w:val="en-GB" w:eastAsia="en-GB"/>
              </w:rPr>
              <w:t xml:space="preserve">Capacity development plans are designed and implemented based on systemic assessments </w:t>
            </w:r>
          </w:p>
          <w:p w14:paraId="0D8B6096" w14:textId="0511CD85" w:rsidR="0079542C" w:rsidRPr="004574DC" w:rsidRDefault="0079542C" w:rsidP="0079542C">
            <w:pPr>
              <w:tabs>
                <w:tab w:val="left" w:pos="294"/>
              </w:tabs>
              <w:rPr>
                <w:sz w:val="16"/>
                <w:lang w:val="en-GB"/>
              </w:rPr>
            </w:pPr>
            <w:r w:rsidRPr="004574DC">
              <w:rPr>
                <w:sz w:val="16"/>
                <w:lang w:val="en-GB"/>
              </w:rPr>
              <w:t xml:space="preserve">Data: Official </w:t>
            </w:r>
            <w:r w:rsidR="00405D70" w:rsidRPr="004574DC">
              <w:rPr>
                <w:sz w:val="16"/>
                <w:lang w:val="en-GB"/>
              </w:rPr>
              <w:t>g</w:t>
            </w:r>
            <w:r w:rsidRPr="004574DC">
              <w:rPr>
                <w:sz w:val="16"/>
                <w:lang w:val="en-GB"/>
              </w:rPr>
              <w:t xml:space="preserve">overnment reports, project reports </w:t>
            </w:r>
          </w:p>
          <w:p w14:paraId="37050221" w14:textId="77777777" w:rsidR="0079542C" w:rsidRPr="004574DC" w:rsidRDefault="0079542C" w:rsidP="0079542C">
            <w:pPr>
              <w:tabs>
                <w:tab w:val="left" w:pos="294"/>
              </w:tabs>
              <w:rPr>
                <w:lang w:val="en-GB"/>
              </w:rPr>
            </w:pPr>
          </w:p>
          <w:p w14:paraId="562F8933" w14:textId="17062609" w:rsidR="0079542C" w:rsidRPr="004574DC" w:rsidRDefault="0079542C" w:rsidP="0079542C">
            <w:pPr>
              <w:tabs>
                <w:tab w:val="left" w:pos="294"/>
              </w:tabs>
              <w:rPr>
                <w:lang w:val="en-GB"/>
              </w:rPr>
            </w:pPr>
            <w:r w:rsidRPr="004574DC">
              <w:rPr>
                <w:sz w:val="16"/>
                <w:lang w:val="en-GB"/>
              </w:rPr>
              <w:t xml:space="preserve">1.1.4: </w:t>
            </w:r>
            <w:r w:rsidRPr="004574DC">
              <w:rPr>
                <w:sz w:val="16"/>
                <w:lang w:val="en-GB" w:eastAsia="en-GB"/>
              </w:rPr>
              <w:t>Number of updated curricula for training and retraining legal professionals that incorporate provisions of international agreements on human rights, the rule of law and gender equality, to which Belarus is a party</w:t>
            </w:r>
          </w:p>
          <w:p w14:paraId="78AF41DD" w14:textId="61EDDC04" w:rsidR="0079542C" w:rsidRPr="004574DC" w:rsidRDefault="0079542C" w:rsidP="0079542C">
            <w:pPr>
              <w:tabs>
                <w:tab w:val="left" w:pos="294"/>
              </w:tabs>
              <w:rPr>
                <w:sz w:val="16"/>
                <w:lang w:val="en-GB"/>
              </w:rPr>
            </w:pPr>
            <w:r w:rsidRPr="004574DC">
              <w:rPr>
                <w:sz w:val="16"/>
                <w:lang w:val="en-GB"/>
              </w:rPr>
              <w:t>Baseline: 0</w:t>
            </w:r>
          </w:p>
          <w:p w14:paraId="767EC167" w14:textId="7D1E80DB" w:rsidR="0079542C" w:rsidRPr="004574DC" w:rsidRDefault="0079542C" w:rsidP="0079542C">
            <w:pPr>
              <w:tabs>
                <w:tab w:val="left" w:pos="294"/>
              </w:tabs>
              <w:rPr>
                <w:sz w:val="16"/>
                <w:lang w:val="en-GB"/>
              </w:rPr>
            </w:pPr>
            <w:r w:rsidRPr="004574DC">
              <w:rPr>
                <w:sz w:val="16"/>
                <w:lang w:val="en-GB"/>
              </w:rPr>
              <w:t>Target: 3</w:t>
            </w:r>
          </w:p>
          <w:p w14:paraId="77CE9203" w14:textId="77777777" w:rsidR="0079542C" w:rsidRPr="004574DC" w:rsidRDefault="0079542C" w:rsidP="0079542C">
            <w:pPr>
              <w:tabs>
                <w:tab w:val="left" w:pos="294"/>
              </w:tabs>
              <w:rPr>
                <w:sz w:val="16"/>
                <w:lang w:val="en-GB"/>
              </w:rPr>
            </w:pPr>
            <w:r w:rsidRPr="004574DC">
              <w:rPr>
                <w:sz w:val="16"/>
                <w:lang w:val="en-GB"/>
              </w:rPr>
              <w:t>Data: Reports of professional educational establishments, expert analysis</w:t>
            </w:r>
          </w:p>
          <w:p w14:paraId="4AC47832" w14:textId="77777777" w:rsidR="0079542C" w:rsidRPr="004574DC" w:rsidRDefault="0079542C" w:rsidP="0079542C">
            <w:pPr>
              <w:tabs>
                <w:tab w:val="left" w:pos="294"/>
              </w:tabs>
              <w:rPr>
                <w:sz w:val="16"/>
                <w:lang w:val="en-GB"/>
              </w:rPr>
            </w:pPr>
          </w:p>
          <w:p w14:paraId="6E4400C9" w14:textId="77777777" w:rsidR="004C7FB6" w:rsidRPr="004574DC" w:rsidRDefault="004C7FB6" w:rsidP="0079542C">
            <w:pPr>
              <w:tabs>
                <w:tab w:val="left" w:pos="294"/>
              </w:tabs>
              <w:rPr>
                <w:sz w:val="16"/>
                <w:lang w:val="en-GB"/>
              </w:rPr>
            </w:pPr>
          </w:p>
          <w:p w14:paraId="41DF0B11" w14:textId="77777777" w:rsidR="0079542C" w:rsidRPr="004574DC" w:rsidRDefault="0079542C" w:rsidP="0079542C">
            <w:pPr>
              <w:rPr>
                <w:sz w:val="16"/>
                <w:lang w:val="en-GB"/>
              </w:rPr>
            </w:pPr>
            <w:r w:rsidRPr="004574DC">
              <w:rPr>
                <w:sz w:val="16"/>
                <w:lang w:val="en-GB"/>
              </w:rPr>
              <w:t xml:space="preserve">1.1.5: </w:t>
            </w:r>
            <w:r w:rsidR="00436A85" w:rsidRPr="004574DC">
              <w:rPr>
                <w:sz w:val="16"/>
                <w:lang w:val="en-GB"/>
              </w:rPr>
              <w:t xml:space="preserve">Number of new evidence-based policies and frameworks to advance participation of women in </w:t>
            </w:r>
            <w:r w:rsidR="00436A85" w:rsidRPr="004574DC">
              <w:rPr>
                <w:sz w:val="16"/>
                <w:lang w:val="en-GB"/>
              </w:rPr>
              <w:lastRenderedPageBreak/>
              <w:t xml:space="preserve">decision-making and supporting women’s economic empowerment </w:t>
            </w:r>
          </w:p>
          <w:p w14:paraId="24B86252" w14:textId="77777777" w:rsidR="0079542C" w:rsidRPr="004574DC" w:rsidRDefault="0079542C" w:rsidP="0079542C">
            <w:pPr>
              <w:rPr>
                <w:sz w:val="16"/>
                <w:lang w:val="en-GB"/>
              </w:rPr>
            </w:pPr>
            <w:r w:rsidRPr="004574DC">
              <w:rPr>
                <w:sz w:val="16"/>
                <w:lang w:val="en-GB"/>
              </w:rPr>
              <w:t>Baseline: 0</w:t>
            </w:r>
          </w:p>
          <w:p w14:paraId="50A0A0C8" w14:textId="77777777" w:rsidR="0079542C" w:rsidRPr="004574DC" w:rsidRDefault="0079542C" w:rsidP="0079542C">
            <w:pPr>
              <w:rPr>
                <w:sz w:val="16"/>
                <w:lang w:val="en-GB"/>
              </w:rPr>
            </w:pPr>
            <w:r w:rsidRPr="004574DC">
              <w:rPr>
                <w:sz w:val="16"/>
                <w:lang w:val="en-GB"/>
              </w:rPr>
              <w:t xml:space="preserve">Target: </w:t>
            </w:r>
            <w:r w:rsidR="00436A85" w:rsidRPr="004574DC">
              <w:rPr>
                <w:sz w:val="16"/>
                <w:lang w:val="en-GB"/>
              </w:rPr>
              <w:t xml:space="preserve">4 </w:t>
            </w:r>
          </w:p>
          <w:p w14:paraId="3D44ECF3" w14:textId="09FCF7EF" w:rsidR="0079542C" w:rsidRPr="004574DC" w:rsidRDefault="0079542C" w:rsidP="0079542C">
            <w:pPr>
              <w:rPr>
                <w:sz w:val="16"/>
                <w:lang w:val="en-GB"/>
              </w:rPr>
            </w:pPr>
            <w:r w:rsidRPr="004574DC">
              <w:rPr>
                <w:sz w:val="16"/>
                <w:lang w:val="en-GB"/>
              </w:rPr>
              <w:t xml:space="preserve">Data: </w:t>
            </w:r>
            <w:r w:rsidR="00405D70" w:rsidRPr="004574DC">
              <w:rPr>
                <w:sz w:val="16"/>
                <w:lang w:val="en-GB"/>
              </w:rPr>
              <w:t>Convention on the Elimination of All Forms of Discrimination Against Women (</w:t>
            </w:r>
            <w:r w:rsidRPr="004574DC">
              <w:rPr>
                <w:sz w:val="16"/>
                <w:lang w:val="en-GB"/>
              </w:rPr>
              <w:t>CEDAW</w:t>
            </w:r>
            <w:r w:rsidR="00405D70" w:rsidRPr="004574DC">
              <w:rPr>
                <w:sz w:val="16"/>
                <w:lang w:val="en-GB"/>
              </w:rPr>
              <w:t>)</w:t>
            </w:r>
            <w:r w:rsidRPr="004574DC">
              <w:rPr>
                <w:sz w:val="16"/>
                <w:lang w:val="en-GB"/>
              </w:rPr>
              <w:t xml:space="preserve"> </w:t>
            </w:r>
            <w:r w:rsidR="00405D70" w:rsidRPr="004574DC">
              <w:rPr>
                <w:sz w:val="16"/>
                <w:lang w:val="en-GB"/>
              </w:rPr>
              <w:t>n</w:t>
            </w:r>
            <w:r w:rsidRPr="004574DC">
              <w:rPr>
                <w:sz w:val="16"/>
                <w:lang w:val="en-GB"/>
              </w:rPr>
              <w:t xml:space="preserve">ational </w:t>
            </w:r>
            <w:r w:rsidR="00405D70" w:rsidRPr="004574DC">
              <w:rPr>
                <w:sz w:val="16"/>
                <w:lang w:val="en-GB"/>
              </w:rPr>
              <w:t>r</w:t>
            </w:r>
            <w:r w:rsidRPr="004574DC">
              <w:rPr>
                <w:sz w:val="16"/>
                <w:lang w:val="en-GB"/>
              </w:rPr>
              <w:t xml:space="preserve">eport, CEDAW </w:t>
            </w:r>
            <w:r w:rsidR="00405D70" w:rsidRPr="004574DC">
              <w:rPr>
                <w:sz w:val="16"/>
                <w:lang w:val="en-GB"/>
              </w:rPr>
              <w:t>country team r</w:t>
            </w:r>
            <w:r w:rsidRPr="004574DC">
              <w:rPr>
                <w:sz w:val="16"/>
                <w:lang w:val="en-GB"/>
              </w:rPr>
              <w:t>eport, other CEDAW submissions, website of the Ministry of Labour and Social Protection, women NGOs</w:t>
            </w:r>
          </w:p>
          <w:p w14:paraId="18430D62" w14:textId="77777777" w:rsidR="0079542C" w:rsidRPr="004574DC" w:rsidRDefault="0079542C" w:rsidP="0079542C">
            <w:pPr>
              <w:tabs>
                <w:tab w:val="left" w:pos="294"/>
              </w:tabs>
              <w:rPr>
                <w:sz w:val="16"/>
                <w:lang w:val="en-GB"/>
              </w:rPr>
            </w:pPr>
          </w:p>
          <w:p w14:paraId="5F6519AE" w14:textId="48C03A81" w:rsidR="0079542C" w:rsidRPr="004574DC" w:rsidRDefault="0079542C" w:rsidP="0079542C">
            <w:pPr>
              <w:tabs>
                <w:tab w:val="left" w:pos="294"/>
              </w:tabs>
              <w:rPr>
                <w:b/>
                <w:lang w:val="en-GB"/>
              </w:rPr>
            </w:pPr>
            <w:r w:rsidRPr="004574DC">
              <w:rPr>
                <w:b/>
                <w:sz w:val="16"/>
                <w:lang w:val="en-GB"/>
              </w:rPr>
              <w:t xml:space="preserve">Output 1.2: National legislation aligned with recognized principles of international law and the provisions of international agreements </w:t>
            </w:r>
            <w:r w:rsidR="00CC0A00" w:rsidRPr="004574DC">
              <w:rPr>
                <w:b/>
                <w:sz w:val="16"/>
                <w:lang w:val="en-GB"/>
              </w:rPr>
              <w:t>of</w:t>
            </w:r>
            <w:r w:rsidRPr="004574DC">
              <w:rPr>
                <w:b/>
                <w:sz w:val="16"/>
                <w:lang w:val="en-GB"/>
              </w:rPr>
              <w:t xml:space="preserve"> Belarus; international conventions and constitutional provisions are systematically applied and implemented by justice a</w:t>
            </w:r>
            <w:r w:rsidR="004C7FB6" w:rsidRPr="004574DC">
              <w:rPr>
                <w:b/>
                <w:sz w:val="16"/>
                <w:lang w:val="en-GB"/>
              </w:rPr>
              <w:t>nd law enforcement institutions</w:t>
            </w:r>
            <w:r w:rsidRPr="004574DC">
              <w:rPr>
                <w:b/>
                <w:sz w:val="16"/>
                <w:lang w:val="en-GB"/>
              </w:rPr>
              <w:t xml:space="preserve"> </w:t>
            </w:r>
          </w:p>
          <w:p w14:paraId="44970113" w14:textId="77777777" w:rsidR="0079542C" w:rsidRPr="004574DC" w:rsidRDefault="0079542C" w:rsidP="0079542C">
            <w:pPr>
              <w:tabs>
                <w:tab w:val="left" w:pos="294"/>
              </w:tabs>
              <w:rPr>
                <w:sz w:val="16"/>
                <w:lang w:val="en-GB"/>
              </w:rPr>
            </w:pPr>
          </w:p>
          <w:p w14:paraId="70112013" w14:textId="45A3DB57" w:rsidR="0079542C" w:rsidRPr="00603C82" w:rsidRDefault="0079542C" w:rsidP="0079542C">
            <w:pPr>
              <w:tabs>
                <w:tab w:val="left" w:pos="294"/>
              </w:tabs>
              <w:rPr>
                <w:lang w:val="en-GB"/>
              </w:rPr>
            </w:pPr>
            <w:r w:rsidRPr="004574DC">
              <w:rPr>
                <w:sz w:val="16"/>
                <w:lang w:val="en-GB"/>
              </w:rPr>
              <w:t xml:space="preserve">1.2.1: Number of </w:t>
            </w:r>
            <w:r w:rsidR="004519E0" w:rsidRPr="004574DC">
              <w:rPr>
                <w:sz w:val="16"/>
                <w:lang w:val="en-GB"/>
              </w:rPr>
              <w:t xml:space="preserve">new </w:t>
            </w:r>
            <w:r w:rsidRPr="00603C82">
              <w:rPr>
                <w:sz w:val="16"/>
                <w:lang w:val="en-GB"/>
              </w:rPr>
              <w:t>legislative acts that incorporate the provisions of international agreements</w:t>
            </w:r>
          </w:p>
          <w:p w14:paraId="5C086180" w14:textId="0D5AA055" w:rsidR="0079542C" w:rsidRPr="004574DC" w:rsidRDefault="0079542C" w:rsidP="0079542C">
            <w:pPr>
              <w:tabs>
                <w:tab w:val="left" w:pos="294"/>
              </w:tabs>
              <w:rPr>
                <w:lang w:val="en-GB"/>
              </w:rPr>
            </w:pPr>
            <w:r w:rsidRPr="00603C82">
              <w:rPr>
                <w:sz w:val="16"/>
                <w:lang w:val="en-GB"/>
              </w:rPr>
              <w:t xml:space="preserve">Baseline: </w:t>
            </w:r>
            <w:r w:rsidR="004519E0" w:rsidRPr="00AD20B2">
              <w:rPr>
                <w:sz w:val="16"/>
                <w:lang w:val="en-GB"/>
              </w:rPr>
              <w:t>0 (2016)</w:t>
            </w:r>
            <w:r w:rsidRPr="004574DC">
              <w:rPr>
                <w:sz w:val="16"/>
                <w:lang w:val="en-GB"/>
              </w:rPr>
              <w:t xml:space="preserve"> </w:t>
            </w:r>
          </w:p>
          <w:p w14:paraId="48915B38" w14:textId="68C59320" w:rsidR="0079542C" w:rsidRPr="00603C82" w:rsidRDefault="0079542C" w:rsidP="0079542C">
            <w:pPr>
              <w:tabs>
                <w:tab w:val="left" w:pos="294"/>
              </w:tabs>
              <w:rPr>
                <w:lang w:val="en-GB"/>
              </w:rPr>
            </w:pPr>
            <w:r w:rsidRPr="004574DC">
              <w:rPr>
                <w:sz w:val="16"/>
                <w:lang w:val="en-GB"/>
              </w:rPr>
              <w:t xml:space="preserve">Target: </w:t>
            </w:r>
            <w:r w:rsidR="004519E0" w:rsidRPr="004574DC">
              <w:rPr>
                <w:sz w:val="16"/>
                <w:lang w:val="en-GB"/>
              </w:rPr>
              <w:t>10</w:t>
            </w:r>
            <w:r w:rsidR="004519E0" w:rsidRPr="00603C82">
              <w:rPr>
                <w:sz w:val="16"/>
                <w:lang w:val="en-GB"/>
              </w:rPr>
              <w:t xml:space="preserve"> (2020)</w:t>
            </w:r>
          </w:p>
          <w:p w14:paraId="0B654685" w14:textId="7E73ECB7" w:rsidR="0079542C" w:rsidRPr="004574DC" w:rsidRDefault="0079542C" w:rsidP="0079542C">
            <w:pPr>
              <w:tabs>
                <w:tab w:val="left" w:pos="294"/>
              </w:tabs>
              <w:rPr>
                <w:lang w:val="en-GB"/>
              </w:rPr>
            </w:pPr>
            <w:r w:rsidRPr="00603C82">
              <w:rPr>
                <w:sz w:val="16"/>
                <w:lang w:val="en-GB"/>
              </w:rPr>
              <w:t xml:space="preserve">Data: Official </w:t>
            </w:r>
            <w:r w:rsidR="001507F6" w:rsidRPr="00603C82">
              <w:rPr>
                <w:sz w:val="16"/>
                <w:lang w:val="en-GB"/>
              </w:rPr>
              <w:t>g</w:t>
            </w:r>
            <w:r w:rsidRPr="00AD20B2">
              <w:rPr>
                <w:sz w:val="16"/>
                <w:lang w:val="en-GB"/>
              </w:rPr>
              <w:t>overnment reports, proj</w:t>
            </w:r>
            <w:r w:rsidRPr="004574DC">
              <w:rPr>
                <w:sz w:val="16"/>
                <w:lang w:val="en-GB"/>
              </w:rPr>
              <w:t>ect reports, documents of</w:t>
            </w:r>
            <w:r w:rsidRPr="004574DC">
              <w:rPr>
                <w:lang w:val="en-GB"/>
              </w:rPr>
              <w:t xml:space="preserve"> </w:t>
            </w:r>
            <w:r w:rsidRPr="004574DC">
              <w:rPr>
                <w:sz w:val="16"/>
                <w:lang w:val="en-GB"/>
              </w:rPr>
              <w:t>U</w:t>
            </w:r>
            <w:r w:rsidR="001507F6" w:rsidRPr="004574DC">
              <w:rPr>
                <w:sz w:val="16"/>
                <w:lang w:val="en-GB"/>
              </w:rPr>
              <w:t xml:space="preserve">nited </w:t>
            </w:r>
            <w:r w:rsidRPr="004574DC">
              <w:rPr>
                <w:sz w:val="16"/>
                <w:lang w:val="en-GB"/>
              </w:rPr>
              <w:t>N</w:t>
            </w:r>
            <w:r w:rsidR="001507F6" w:rsidRPr="004574DC">
              <w:rPr>
                <w:sz w:val="16"/>
                <w:lang w:val="en-GB"/>
              </w:rPr>
              <w:t>ations</w:t>
            </w:r>
            <w:r w:rsidRPr="004574DC">
              <w:rPr>
                <w:sz w:val="16"/>
                <w:lang w:val="en-GB"/>
              </w:rPr>
              <w:t xml:space="preserve"> </w:t>
            </w:r>
            <w:r w:rsidR="001507F6" w:rsidRPr="004574DC">
              <w:rPr>
                <w:sz w:val="16"/>
                <w:lang w:val="en-GB"/>
              </w:rPr>
              <w:t>h</w:t>
            </w:r>
            <w:r w:rsidRPr="004574DC">
              <w:rPr>
                <w:sz w:val="16"/>
                <w:lang w:val="en-GB"/>
              </w:rPr>
              <w:t xml:space="preserve">uman </w:t>
            </w:r>
            <w:r w:rsidR="001507F6" w:rsidRPr="004574DC">
              <w:rPr>
                <w:sz w:val="16"/>
                <w:lang w:val="en-GB"/>
              </w:rPr>
              <w:t>r</w:t>
            </w:r>
            <w:r w:rsidRPr="004574DC">
              <w:rPr>
                <w:sz w:val="16"/>
                <w:lang w:val="en-GB"/>
              </w:rPr>
              <w:t xml:space="preserve">ights </w:t>
            </w:r>
            <w:r w:rsidR="001507F6" w:rsidRPr="004574DC">
              <w:rPr>
                <w:sz w:val="16"/>
                <w:lang w:val="en-GB"/>
              </w:rPr>
              <w:t>t</w:t>
            </w:r>
            <w:r w:rsidRPr="004574DC">
              <w:rPr>
                <w:sz w:val="16"/>
                <w:lang w:val="en-GB"/>
              </w:rPr>
              <w:t xml:space="preserve">reaty </w:t>
            </w:r>
            <w:r w:rsidR="001507F6" w:rsidRPr="004574DC">
              <w:rPr>
                <w:sz w:val="16"/>
                <w:lang w:val="en-GB"/>
              </w:rPr>
              <w:t>b</w:t>
            </w:r>
            <w:r w:rsidRPr="004574DC">
              <w:rPr>
                <w:sz w:val="16"/>
                <w:lang w:val="en-GB"/>
              </w:rPr>
              <w:t>odies</w:t>
            </w:r>
          </w:p>
          <w:p w14:paraId="474F0142" w14:textId="77777777" w:rsidR="0079542C" w:rsidRPr="004574DC" w:rsidRDefault="0079542C" w:rsidP="0079542C">
            <w:pPr>
              <w:tabs>
                <w:tab w:val="left" w:pos="294"/>
              </w:tabs>
              <w:rPr>
                <w:sz w:val="16"/>
                <w:lang w:val="en-GB"/>
              </w:rPr>
            </w:pPr>
          </w:p>
          <w:p w14:paraId="3CF00982" w14:textId="404D36FF" w:rsidR="0079542C" w:rsidRPr="004574DC" w:rsidRDefault="0079542C" w:rsidP="0079542C">
            <w:pPr>
              <w:tabs>
                <w:tab w:val="left" w:pos="294"/>
              </w:tabs>
              <w:rPr>
                <w:sz w:val="16"/>
                <w:lang w:val="en-GB"/>
              </w:rPr>
            </w:pPr>
            <w:r w:rsidRPr="004574DC">
              <w:rPr>
                <w:sz w:val="16"/>
                <w:lang w:val="en-GB"/>
              </w:rPr>
              <w:t xml:space="preserve">1.2.2: </w:t>
            </w:r>
            <w:r w:rsidRPr="004574DC">
              <w:rPr>
                <w:sz w:val="16"/>
                <w:lang w:val="en-GB" w:eastAsia="en-GB"/>
              </w:rPr>
              <w:t xml:space="preserve"> Extent of national capacity </w:t>
            </w:r>
            <w:r w:rsidR="003F7A5B" w:rsidRPr="004574DC">
              <w:rPr>
                <w:sz w:val="16"/>
                <w:lang w:val="en-GB" w:eastAsia="en-GB"/>
              </w:rPr>
              <w:t xml:space="preserve">to apply </w:t>
            </w:r>
            <w:r w:rsidR="006812EE" w:rsidRPr="004574DC">
              <w:rPr>
                <w:sz w:val="16"/>
                <w:lang w:val="en-GB" w:eastAsia="en-GB"/>
              </w:rPr>
              <w:t>advanced methods of detection, recording and investigation of crimes related to human trafficking, following the human rights</w:t>
            </w:r>
            <w:r w:rsidR="001507F6" w:rsidRPr="004574DC">
              <w:rPr>
                <w:sz w:val="16"/>
                <w:lang w:val="en-GB" w:eastAsia="en-GB"/>
              </w:rPr>
              <w:t>-</w:t>
            </w:r>
            <w:r w:rsidR="006812EE" w:rsidRPr="004574DC">
              <w:rPr>
                <w:sz w:val="16"/>
                <w:lang w:val="en-GB" w:eastAsia="en-GB"/>
              </w:rPr>
              <w:t xml:space="preserve">based approach, </w:t>
            </w:r>
            <w:r w:rsidR="003F7A5B" w:rsidRPr="004574DC">
              <w:rPr>
                <w:sz w:val="16"/>
                <w:lang w:val="en-GB" w:eastAsia="en-GB"/>
              </w:rPr>
              <w:t>and through coordination with other countries</w:t>
            </w:r>
          </w:p>
          <w:p w14:paraId="5FA99378" w14:textId="77777777" w:rsidR="0079542C" w:rsidRPr="004574DC" w:rsidRDefault="0079542C" w:rsidP="0079542C">
            <w:pPr>
              <w:tabs>
                <w:tab w:val="left" w:pos="294"/>
              </w:tabs>
              <w:rPr>
                <w:sz w:val="16"/>
                <w:lang w:val="en-GB"/>
              </w:rPr>
            </w:pPr>
            <w:r w:rsidRPr="004574DC">
              <w:rPr>
                <w:sz w:val="16"/>
                <w:lang w:val="en-GB"/>
              </w:rPr>
              <w:t xml:space="preserve">Baseline: </w:t>
            </w:r>
            <w:r w:rsidR="003F7A5B" w:rsidRPr="004574DC">
              <w:rPr>
                <w:sz w:val="16"/>
                <w:lang w:val="en-GB"/>
              </w:rPr>
              <w:t>Limited</w:t>
            </w:r>
          </w:p>
          <w:p w14:paraId="078B5B3B" w14:textId="77777777" w:rsidR="006812EE" w:rsidRPr="004574DC" w:rsidRDefault="0079542C" w:rsidP="0079542C">
            <w:pPr>
              <w:tabs>
                <w:tab w:val="left" w:pos="294"/>
              </w:tabs>
              <w:rPr>
                <w:sz w:val="16"/>
                <w:lang w:val="en-GB" w:eastAsia="en-GB"/>
              </w:rPr>
            </w:pPr>
            <w:r w:rsidRPr="004574DC">
              <w:rPr>
                <w:sz w:val="16"/>
                <w:lang w:val="en-GB"/>
              </w:rPr>
              <w:t xml:space="preserve">Target: </w:t>
            </w:r>
            <w:r w:rsidRPr="004574DC">
              <w:rPr>
                <w:sz w:val="16"/>
                <w:lang w:val="en-GB" w:eastAsia="en-GB"/>
              </w:rPr>
              <w:t xml:space="preserve"> </w:t>
            </w:r>
            <w:r w:rsidR="003F7A5B" w:rsidRPr="004574DC">
              <w:rPr>
                <w:sz w:val="16"/>
                <w:lang w:val="en-GB" w:eastAsia="en-GB"/>
              </w:rPr>
              <w:t>Capacity development plans are designed and implemented based on systemic assessments</w:t>
            </w:r>
          </w:p>
          <w:p w14:paraId="0837AAD9" w14:textId="6D439AB1" w:rsidR="0079542C" w:rsidRPr="004574DC" w:rsidRDefault="0079542C" w:rsidP="0079542C">
            <w:pPr>
              <w:tabs>
                <w:tab w:val="left" w:pos="294"/>
              </w:tabs>
              <w:rPr>
                <w:sz w:val="16"/>
                <w:lang w:val="en-GB"/>
              </w:rPr>
            </w:pPr>
            <w:r w:rsidRPr="004574DC">
              <w:rPr>
                <w:sz w:val="16"/>
                <w:lang w:val="en-GB"/>
              </w:rPr>
              <w:t xml:space="preserve">Data: </w:t>
            </w:r>
            <w:r w:rsidR="003F7A5B" w:rsidRPr="004574DC">
              <w:rPr>
                <w:sz w:val="16"/>
                <w:lang w:val="en-GB"/>
              </w:rPr>
              <w:t>Systemic</w:t>
            </w:r>
            <w:r w:rsidR="006812EE" w:rsidRPr="004574DC">
              <w:rPr>
                <w:sz w:val="16"/>
                <w:lang w:val="en-GB"/>
              </w:rPr>
              <w:t xml:space="preserve"> capacity assessments, </w:t>
            </w:r>
            <w:r w:rsidR="002555AF" w:rsidRPr="004574DC">
              <w:rPr>
                <w:sz w:val="16"/>
                <w:lang w:val="en-GB"/>
              </w:rPr>
              <w:t>official</w:t>
            </w:r>
            <w:r w:rsidRPr="004574DC">
              <w:rPr>
                <w:sz w:val="16"/>
                <w:lang w:val="en-GB"/>
              </w:rPr>
              <w:t xml:space="preserve"> </w:t>
            </w:r>
            <w:r w:rsidR="001507F6" w:rsidRPr="004574DC">
              <w:rPr>
                <w:sz w:val="16"/>
                <w:lang w:val="en-GB"/>
              </w:rPr>
              <w:t>g</w:t>
            </w:r>
            <w:r w:rsidRPr="004574DC">
              <w:rPr>
                <w:sz w:val="16"/>
                <w:lang w:val="en-GB"/>
              </w:rPr>
              <w:t>overnment reports, project reports</w:t>
            </w:r>
          </w:p>
          <w:p w14:paraId="5AA1F416" w14:textId="77777777" w:rsidR="0079542C" w:rsidRPr="004574DC" w:rsidRDefault="0079542C" w:rsidP="0079542C">
            <w:pPr>
              <w:tabs>
                <w:tab w:val="left" w:pos="294"/>
              </w:tabs>
              <w:rPr>
                <w:lang w:val="en-GB"/>
              </w:rPr>
            </w:pPr>
          </w:p>
          <w:p w14:paraId="121DE51C" w14:textId="78AFFE31" w:rsidR="0079542C" w:rsidRPr="004574DC" w:rsidRDefault="0079542C" w:rsidP="0079542C">
            <w:pPr>
              <w:tabs>
                <w:tab w:val="left" w:pos="294"/>
              </w:tabs>
              <w:rPr>
                <w:sz w:val="16"/>
                <w:lang w:val="en-GB" w:eastAsia="en-GB"/>
              </w:rPr>
            </w:pPr>
            <w:r w:rsidRPr="004574DC">
              <w:rPr>
                <w:sz w:val="16"/>
                <w:lang w:val="en-GB" w:eastAsia="en-GB"/>
              </w:rPr>
              <w:t xml:space="preserve">1.2.3: Number of </w:t>
            </w:r>
            <w:r w:rsidR="00CE0866" w:rsidRPr="004574DC">
              <w:rPr>
                <w:sz w:val="16"/>
                <w:lang w:val="en-GB" w:eastAsia="en-GB"/>
              </w:rPr>
              <w:t xml:space="preserve">new </w:t>
            </w:r>
            <w:r w:rsidR="00CC0A00" w:rsidRPr="00603C82">
              <w:rPr>
                <w:sz w:val="16"/>
                <w:lang w:val="en-GB" w:eastAsia="en-GB"/>
              </w:rPr>
              <w:t xml:space="preserve">legislative acts adopted to ensure protection of personal data of Belarusian citizens </w:t>
            </w:r>
            <w:r w:rsidR="00CC0A00" w:rsidRPr="00AD20B2">
              <w:rPr>
                <w:sz w:val="16"/>
                <w:lang w:val="en-GB" w:eastAsia="en-GB"/>
              </w:rPr>
              <w:t xml:space="preserve">in line with relevant </w:t>
            </w:r>
            <w:r w:rsidRPr="004574DC">
              <w:rPr>
                <w:sz w:val="16"/>
                <w:lang w:val="en-GB" w:eastAsia="en-GB"/>
              </w:rPr>
              <w:t xml:space="preserve">international standards </w:t>
            </w:r>
          </w:p>
          <w:p w14:paraId="1FEB12FA" w14:textId="77777777" w:rsidR="0079542C" w:rsidRPr="004574DC" w:rsidRDefault="0079542C" w:rsidP="0079542C">
            <w:pPr>
              <w:tabs>
                <w:tab w:val="left" w:pos="294"/>
              </w:tabs>
              <w:rPr>
                <w:sz w:val="16"/>
                <w:lang w:val="en-GB" w:eastAsia="en-GB"/>
              </w:rPr>
            </w:pPr>
            <w:r w:rsidRPr="004574DC">
              <w:rPr>
                <w:sz w:val="16"/>
                <w:lang w:val="en-GB" w:eastAsia="en-GB"/>
              </w:rPr>
              <w:t>Baseline: 0</w:t>
            </w:r>
          </w:p>
          <w:p w14:paraId="1843D651" w14:textId="77777777" w:rsidR="00E534DE" w:rsidRPr="004574DC" w:rsidRDefault="0079542C" w:rsidP="0079542C">
            <w:pPr>
              <w:tabs>
                <w:tab w:val="left" w:pos="294"/>
              </w:tabs>
              <w:rPr>
                <w:sz w:val="16"/>
                <w:lang w:val="en-GB" w:eastAsia="en-GB"/>
              </w:rPr>
            </w:pPr>
            <w:r w:rsidRPr="004574DC">
              <w:rPr>
                <w:sz w:val="16"/>
                <w:lang w:val="en-GB" w:eastAsia="en-GB"/>
              </w:rPr>
              <w:t>Target: 1</w:t>
            </w:r>
          </w:p>
          <w:p w14:paraId="7D819E90" w14:textId="12B790D2" w:rsidR="0079542C" w:rsidRPr="004574DC" w:rsidRDefault="0079542C" w:rsidP="0079542C">
            <w:pPr>
              <w:tabs>
                <w:tab w:val="left" w:pos="294"/>
              </w:tabs>
              <w:rPr>
                <w:sz w:val="16"/>
                <w:lang w:val="en-GB"/>
              </w:rPr>
            </w:pPr>
            <w:r w:rsidRPr="004574DC">
              <w:rPr>
                <w:sz w:val="16"/>
                <w:lang w:val="en-GB"/>
              </w:rPr>
              <w:t>Data: Reference depository of legal information of the Republic of Belarus, expert analysis</w:t>
            </w:r>
          </w:p>
          <w:p w14:paraId="70AD02E7" w14:textId="77777777" w:rsidR="0079542C" w:rsidRPr="004574DC" w:rsidRDefault="0079542C" w:rsidP="0079542C">
            <w:pPr>
              <w:tabs>
                <w:tab w:val="left" w:pos="294"/>
              </w:tabs>
              <w:rPr>
                <w:lang w:val="en-GB"/>
              </w:rPr>
            </w:pPr>
          </w:p>
          <w:p w14:paraId="38555D37" w14:textId="77777777" w:rsidR="0079542C" w:rsidRPr="004574DC" w:rsidRDefault="0079542C" w:rsidP="0079542C">
            <w:pPr>
              <w:tabs>
                <w:tab w:val="left" w:pos="294"/>
              </w:tabs>
              <w:rPr>
                <w:b/>
                <w:sz w:val="16"/>
                <w:lang w:val="en-GB"/>
              </w:rPr>
            </w:pPr>
            <w:r w:rsidRPr="004574DC">
              <w:rPr>
                <w:b/>
                <w:sz w:val="16"/>
                <w:lang w:val="en-GB"/>
              </w:rPr>
              <w:t xml:space="preserve">Output 1.3: Capacities are developed for efficient, transparent and accountable public service delivery (especially at the local level) in accordance with the rule of </w:t>
            </w:r>
            <w:r w:rsidR="004C7FB6" w:rsidRPr="004574DC">
              <w:rPr>
                <w:b/>
                <w:sz w:val="16"/>
                <w:lang w:val="en-GB"/>
              </w:rPr>
              <w:t>law and human rights principles</w:t>
            </w:r>
          </w:p>
          <w:p w14:paraId="3DE5E637" w14:textId="77777777" w:rsidR="0079542C" w:rsidRPr="004574DC" w:rsidRDefault="0079542C" w:rsidP="0079542C">
            <w:pPr>
              <w:tabs>
                <w:tab w:val="left" w:pos="294"/>
              </w:tabs>
              <w:rPr>
                <w:b/>
                <w:lang w:val="en-GB"/>
              </w:rPr>
            </w:pPr>
          </w:p>
          <w:p w14:paraId="37BDA0A6" w14:textId="273B74E0" w:rsidR="0079542C" w:rsidRPr="004574DC" w:rsidRDefault="0079542C" w:rsidP="0079542C">
            <w:pPr>
              <w:tabs>
                <w:tab w:val="left" w:pos="294"/>
              </w:tabs>
              <w:rPr>
                <w:lang w:val="en-GB"/>
              </w:rPr>
            </w:pPr>
            <w:r w:rsidRPr="004574DC">
              <w:rPr>
                <w:sz w:val="16"/>
                <w:lang w:val="en-GB"/>
              </w:rPr>
              <w:t xml:space="preserve">1.3.1: Level of public satisfaction </w:t>
            </w:r>
            <w:r w:rsidR="00DB3C6F" w:rsidRPr="004574DC">
              <w:rPr>
                <w:sz w:val="16"/>
                <w:lang w:val="en-GB"/>
              </w:rPr>
              <w:t>with public service delivery with respect to the principles of efficiency, transparency and accountability</w:t>
            </w:r>
            <w:r w:rsidRPr="004574DC">
              <w:rPr>
                <w:sz w:val="16"/>
                <w:lang w:val="en-GB"/>
              </w:rPr>
              <w:t xml:space="preserve"> </w:t>
            </w:r>
          </w:p>
          <w:p w14:paraId="00C8E3E3" w14:textId="77777777" w:rsidR="0079542C" w:rsidRPr="004574DC" w:rsidRDefault="0079542C" w:rsidP="0079542C">
            <w:pPr>
              <w:tabs>
                <w:tab w:val="left" w:pos="294"/>
              </w:tabs>
              <w:rPr>
                <w:sz w:val="16"/>
                <w:lang w:val="en-GB"/>
              </w:rPr>
            </w:pPr>
            <w:r w:rsidRPr="004574DC">
              <w:rPr>
                <w:sz w:val="16"/>
                <w:lang w:val="en-GB"/>
              </w:rPr>
              <w:t>Baseline: There is a qualitative indication of low satisfaction and dialogue between the Government, civil society and the private sector</w:t>
            </w:r>
          </w:p>
          <w:p w14:paraId="35DB3E4D" w14:textId="77777777" w:rsidR="0079542C" w:rsidRPr="004574DC" w:rsidRDefault="0079542C" w:rsidP="0079542C">
            <w:pPr>
              <w:tabs>
                <w:tab w:val="left" w:pos="294"/>
              </w:tabs>
              <w:rPr>
                <w:lang w:val="en-GB"/>
              </w:rPr>
            </w:pPr>
            <w:r w:rsidRPr="004574DC">
              <w:rPr>
                <w:sz w:val="16"/>
                <w:lang w:val="en-GB"/>
              </w:rPr>
              <w:t>Target: High</w:t>
            </w:r>
          </w:p>
          <w:p w14:paraId="36F1EAB6" w14:textId="2EFF6BC6" w:rsidR="0079542C" w:rsidRPr="004574DC" w:rsidRDefault="0079542C" w:rsidP="0079542C">
            <w:pPr>
              <w:tabs>
                <w:tab w:val="left" w:pos="294"/>
              </w:tabs>
              <w:rPr>
                <w:sz w:val="16"/>
                <w:lang w:val="en-GB"/>
              </w:rPr>
            </w:pPr>
            <w:r w:rsidRPr="004574DC">
              <w:rPr>
                <w:sz w:val="16"/>
                <w:lang w:val="en-GB"/>
              </w:rPr>
              <w:t xml:space="preserve">Data: Surveys, official </w:t>
            </w:r>
            <w:r w:rsidR="001507F6" w:rsidRPr="004574DC">
              <w:rPr>
                <w:sz w:val="16"/>
                <w:lang w:val="en-GB"/>
              </w:rPr>
              <w:t>g</w:t>
            </w:r>
            <w:r w:rsidRPr="004574DC">
              <w:rPr>
                <w:sz w:val="16"/>
                <w:lang w:val="en-GB"/>
              </w:rPr>
              <w:t>overnment reports, expert analysis</w:t>
            </w:r>
          </w:p>
          <w:p w14:paraId="79C62C25" w14:textId="77777777" w:rsidR="0079542C" w:rsidRPr="004574DC" w:rsidRDefault="0079542C" w:rsidP="0079542C">
            <w:pPr>
              <w:tabs>
                <w:tab w:val="left" w:pos="294"/>
              </w:tabs>
              <w:rPr>
                <w:lang w:val="en-GB"/>
              </w:rPr>
            </w:pPr>
          </w:p>
          <w:p w14:paraId="42987416" w14:textId="17D65FD4" w:rsidR="0079542C" w:rsidRPr="004574DC" w:rsidRDefault="0079542C" w:rsidP="0079542C">
            <w:pPr>
              <w:tabs>
                <w:tab w:val="left" w:pos="294"/>
              </w:tabs>
              <w:rPr>
                <w:lang w:val="en-GB"/>
              </w:rPr>
            </w:pPr>
            <w:r w:rsidRPr="004574DC">
              <w:rPr>
                <w:sz w:val="16"/>
                <w:lang w:val="en-GB"/>
              </w:rPr>
              <w:t xml:space="preserve">1.3.2: Number of military units with improved infrastructure and physical security for managing </w:t>
            </w:r>
            <w:r w:rsidR="001507F6" w:rsidRPr="004574DC">
              <w:rPr>
                <w:sz w:val="16"/>
                <w:lang w:val="en-GB"/>
              </w:rPr>
              <w:t xml:space="preserve">small arms and light weapons </w:t>
            </w:r>
            <w:r w:rsidRPr="004574DC">
              <w:rPr>
                <w:sz w:val="16"/>
                <w:lang w:val="en-GB"/>
              </w:rPr>
              <w:t>stockpiles.</w:t>
            </w:r>
          </w:p>
          <w:p w14:paraId="6DAA5884" w14:textId="77777777" w:rsidR="0079542C" w:rsidRPr="004574DC" w:rsidRDefault="0079542C" w:rsidP="0079542C">
            <w:pPr>
              <w:tabs>
                <w:tab w:val="left" w:pos="294"/>
              </w:tabs>
              <w:rPr>
                <w:lang w:val="en-GB"/>
              </w:rPr>
            </w:pPr>
            <w:r w:rsidRPr="004574DC">
              <w:rPr>
                <w:sz w:val="16"/>
                <w:lang w:val="en-GB"/>
              </w:rPr>
              <w:t xml:space="preserve">Baseline: 8 </w:t>
            </w:r>
          </w:p>
          <w:p w14:paraId="3B12A8B4" w14:textId="77777777" w:rsidR="0079542C" w:rsidRPr="004574DC" w:rsidRDefault="0079542C" w:rsidP="0079542C">
            <w:pPr>
              <w:tabs>
                <w:tab w:val="left" w:pos="294"/>
              </w:tabs>
              <w:rPr>
                <w:lang w:val="en-GB"/>
              </w:rPr>
            </w:pPr>
            <w:r w:rsidRPr="004574DC">
              <w:rPr>
                <w:sz w:val="16"/>
                <w:lang w:val="en-GB"/>
              </w:rPr>
              <w:t xml:space="preserve">Target: 13 </w:t>
            </w:r>
          </w:p>
          <w:p w14:paraId="55DED8D5" w14:textId="1626F3C7" w:rsidR="0079542C" w:rsidRPr="004574DC" w:rsidRDefault="0079542C" w:rsidP="0079542C">
            <w:pPr>
              <w:tabs>
                <w:tab w:val="left" w:pos="294"/>
              </w:tabs>
              <w:rPr>
                <w:sz w:val="16"/>
                <w:lang w:val="en-GB"/>
              </w:rPr>
            </w:pPr>
            <w:r w:rsidRPr="004574DC">
              <w:rPr>
                <w:sz w:val="16"/>
                <w:lang w:val="en-GB"/>
              </w:rPr>
              <w:lastRenderedPageBreak/>
              <w:t xml:space="preserve">Data: Official </w:t>
            </w:r>
            <w:r w:rsidR="001507F6" w:rsidRPr="004574DC">
              <w:rPr>
                <w:sz w:val="16"/>
                <w:lang w:val="en-GB"/>
              </w:rPr>
              <w:t>g</w:t>
            </w:r>
            <w:r w:rsidRPr="004574DC">
              <w:rPr>
                <w:sz w:val="16"/>
                <w:lang w:val="en-GB"/>
              </w:rPr>
              <w:t>overnment reports, project reports</w:t>
            </w:r>
          </w:p>
          <w:p w14:paraId="61313C3E" w14:textId="77777777" w:rsidR="0079542C" w:rsidRPr="004574DC" w:rsidRDefault="0079542C" w:rsidP="0079542C">
            <w:pPr>
              <w:tabs>
                <w:tab w:val="left" w:pos="294"/>
              </w:tabs>
              <w:rPr>
                <w:sz w:val="16"/>
                <w:lang w:val="en-GB"/>
              </w:rPr>
            </w:pPr>
          </w:p>
          <w:p w14:paraId="38E100B3" w14:textId="6F62CFC3" w:rsidR="0079542C" w:rsidRPr="004574DC" w:rsidRDefault="0079542C" w:rsidP="0079542C">
            <w:pPr>
              <w:tabs>
                <w:tab w:val="left" w:pos="294"/>
              </w:tabs>
              <w:rPr>
                <w:sz w:val="16"/>
                <w:lang w:val="en-GB"/>
              </w:rPr>
            </w:pPr>
            <w:r w:rsidRPr="004574DC">
              <w:rPr>
                <w:sz w:val="16"/>
                <w:lang w:val="en-GB"/>
              </w:rPr>
              <w:t>1.3.3</w:t>
            </w:r>
            <w:r w:rsidR="00A10B3A" w:rsidRPr="004574DC">
              <w:rPr>
                <w:sz w:val="16"/>
                <w:lang w:val="en-GB"/>
              </w:rPr>
              <w:t>:</w:t>
            </w:r>
            <w:r w:rsidRPr="004574DC">
              <w:rPr>
                <w:sz w:val="16"/>
                <w:lang w:val="en-GB"/>
              </w:rPr>
              <w:t xml:space="preserve"> Integrated customer service centres for administrative procedures are available and functional</w:t>
            </w:r>
            <w:r w:rsidRPr="004574DC">
              <w:rPr>
                <w:sz w:val="16"/>
                <w:lang w:val="en-GB"/>
              </w:rPr>
              <w:br/>
              <w:t>Baseline: No centres are available; no legal framework for their operation exists</w:t>
            </w:r>
            <w:r w:rsidRPr="004574DC">
              <w:rPr>
                <w:sz w:val="16"/>
                <w:lang w:val="en-GB"/>
              </w:rPr>
              <w:br/>
              <w:t>Target: One centre is piloted and functional; legal framework for the operation of such centres is developed</w:t>
            </w:r>
          </w:p>
          <w:p w14:paraId="2AE49544" w14:textId="77777777" w:rsidR="0079542C" w:rsidRPr="004574DC" w:rsidRDefault="0079542C" w:rsidP="0079542C">
            <w:pPr>
              <w:tabs>
                <w:tab w:val="left" w:pos="294"/>
              </w:tabs>
              <w:rPr>
                <w:sz w:val="16"/>
                <w:lang w:val="en-GB"/>
              </w:rPr>
            </w:pPr>
            <w:r w:rsidRPr="004574DC">
              <w:rPr>
                <w:sz w:val="16"/>
                <w:lang w:val="en-GB"/>
              </w:rPr>
              <w:t xml:space="preserve">Data: Reports of local governance and self-governance bodies, client surveys </w:t>
            </w:r>
          </w:p>
          <w:p w14:paraId="1E3F1B0F" w14:textId="77777777" w:rsidR="0079542C" w:rsidRPr="004574DC" w:rsidRDefault="0079542C" w:rsidP="0079542C">
            <w:pPr>
              <w:tabs>
                <w:tab w:val="left" w:pos="294"/>
              </w:tabs>
              <w:rPr>
                <w:sz w:val="16"/>
                <w:lang w:val="en-GB"/>
              </w:rPr>
            </w:pPr>
          </w:p>
          <w:p w14:paraId="75FDE19E" w14:textId="292F3913" w:rsidR="0079542C" w:rsidRPr="004574DC" w:rsidRDefault="0079542C" w:rsidP="0079542C">
            <w:pPr>
              <w:tabs>
                <w:tab w:val="left" w:pos="294"/>
              </w:tabs>
              <w:rPr>
                <w:sz w:val="16"/>
                <w:lang w:val="en-GB" w:eastAsia="en-GB"/>
              </w:rPr>
            </w:pPr>
            <w:r w:rsidRPr="004574DC">
              <w:rPr>
                <w:sz w:val="16"/>
                <w:lang w:val="en-GB"/>
              </w:rPr>
              <w:t>1.3.4</w:t>
            </w:r>
            <w:r w:rsidR="00A10B3A" w:rsidRPr="004574DC">
              <w:rPr>
                <w:sz w:val="16"/>
                <w:lang w:val="en-GB"/>
              </w:rPr>
              <w:t>:</w:t>
            </w:r>
            <w:r w:rsidRPr="004574DC">
              <w:rPr>
                <w:sz w:val="16"/>
                <w:lang w:val="en-GB"/>
              </w:rPr>
              <w:t xml:space="preserve"> </w:t>
            </w:r>
            <w:r w:rsidRPr="004574DC">
              <w:rPr>
                <w:sz w:val="16"/>
                <w:lang w:val="en-GB" w:eastAsia="en-GB"/>
              </w:rPr>
              <w:t xml:space="preserve">Number of </w:t>
            </w:r>
            <w:r w:rsidR="002924E0" w:rsidRPr="004574DC">
              <w:rPr>
                <w:sz w:val="16"/>
                <w:lang w:val="en-GB" w:eastAsia="en-GB"/>
              </w:rPr>
              <w:t xml:space="preserve">methodologies </w:t>
            </w:r>
            <w:r w:rsidRPr="004574DC">
              <w:rPr>
                <w:sz w:val="16"/>
                <w:lang w:val="en-GB" w:eastAsia="en-GB"/>
              </w:rPr>
              <w:t>to improve functions and competencies of government bodies</w:t>
            </w:r>
            <w:r w:rsidR="002924E0" w:rsidRPr="004574DC">
              <w:rPr>
                <w:sz w:val="16"/>
                <w:lang w:val="en-GB" w:eastAsia="en-GB"/>
              </w:rPr>
              <w:t xml:space="preserve"> introduced and implemented in practice</w:t>
            </w:r>
            <w:r w:rsidRPr="004574DC">
              <w:rPr>
                <w:sz w:val="16"/>
                <w:lang w:val="en-GB" w:eastAsia="en-GB"/>
              </w:rPr>
              <w:br/>
              <w:t>Baseline: 0</w:t>
            </w:r>
          </w:p>
          <w:p w14:paraId="27C55C11" w14:textId="77777777" w:rsidR="0079542C" w:rsidRPr="004574DC" w:rsidRDefault="0079542C" w:rsidP="0079542C">
            <w:pPr>
              <w:tabs>
                <w:tab w:val="left" w:pos="294"/>
              </w:tabs>
              <w:rPr>
                <w:sz w:val="16"/>
                <w:lang w:val="en-GB" w:eastAsia="en-GB"/>
              </w:rPr>
            </w:pPr>
            <w:r w:rsidRPr="004574DC">
              <w:rPr>
                <w:sz w:val="16"/>
                <w:lang w:val="en-GB" w:eastAsia="en-GB"/>
              </w:rPr>
              <w:t xml:space="preserve">Target: 1 </w:t>
            </w:r>
          </w:p>
          <w:p w14:paraId="5969C0C8" w14:textId="13AD480D" w:rsidR="0079542C" w:rsidRPr="004574DC" w:rsidRDefault="0079542C" w:rsidP="0079542C">
            <w:pPr>
              <w:tabs>
                <w:tab w:val="left" w:pos="294"/>
              </w:tabs>
              <w:rPr>
                <w:sz w:val="16"/>
                <w:lang w:val="en-GB"/>
              </w:rPr>
            </w:pPr>
            <w:r w:rsidRPr="004574DC">
              <w:rPr>
                <w:sz w:val="16"/>
                <w:lang w:val="en-GB"/>
              </w:rPr>
              <w:t xml:space="preserve">Data: National Legal Information Portal, official </w:t>
            </w:r>
            <w:r w:rsidR="00331EC0" w:rsidRPr="004574DC">
              <w:rPr>
                <w:sz w:val="16"/>
                <w:lang w:val="en-GB"/>
              </w:rPr>
              <w:t>g</w:t>
            </w:r>
            <w:r w:rsidRPr="004574DC">
              <w:rPr>
                <w:sz w:val="16"/>
                <w:lang w:val="en-GB"/>
              </w:rPr>
              <w:t>overnment reports, expert analysis</w:t>
            </w:r>
          </w:p>
          <w:p w14:paraId="491592DF" w14:textId="77777777" w:rsidR="0079542C" w:rsidRPr="004574DC" w:rsidRDefault="0079542C" w:rsidP="0079542C">
            <w:pPr>
              <w:tabs>
                <w:tab w:val="left" w:pos="294"/>
              </w:tabs>
              <w:rPr>
                <w:sz w:val="16"/>
                <w:lang w:val="en-GB"/>
              </w:rPr>
            </w:pPr>
          </w:p>
          <w:p w14:paraId="5BB04329" w14:textId="77777777" w:rsidR="0079542C" w:rsidRPr="004574DC" w:rsidRDefault="0079542C" w:rsidP="0079542C">
            <w:pPr>
              <w:tabs>
                <w:tab w:val="left" w:pos="294"/>
              </w:tabs>
              <w:rPr>
                <w:lang w:val="en-GB"/>
              </w:rPr>
            </w:pPr>
            <w:r w:rsidRPr="004574DC">
              <w:rPr>
                <w:sz w:val="16"/>
                <w:lang w:val="en-GB"/>
              </w:rPr>
              <w:t>1.3.5: Number of proposals adopted to mitigate sector-specific corruption risks</w:t>
            </w:r>
          </w:p>
          <w:p w14:paraId="140D670C" w14:textId="77777777" w:rsidR="0079542C" w:rsidRPr="004574DC" w:rsidRDefault="0079542C" w:rsidP="0079542C">
            <w:pPr>
              <w:tabs>
                <w:tab w:val="left" w:pos="294"/>
              </w:tabs>
              <w:rPr>
                <w:lang w:val="en-GB"/>
              </w:rPr>
            </w:pPr>
            <w:r w:rsidRPr="004574DC">
              <w:rPr>
                <w:sz w:val="16"/>
                <w:lang w:val="en-GB"/>
              </w:rPr>
              <w:t>Baseline: 0</w:t>
            </w:r>
          </w:p>
          <w:p w14:paraId="6136E118" w14:textId="77777777" w:rsidR="0079542C" w:rsidRPr="004574DC" w:rsidRDefault="0079542C" w:rsidP="0079542C">
            <w:pPr>
              <w:tabs>
                <w:tab w:val="left" w:pos="294"/>
              </w:tabs>
              <w:rPr>
                <w:sz w:val="16"/>
                <w:lang w:val="en-GB"/>
              </w:rPr>
            </w:pPr>
            <w:r w:rsidRPr="004574DC">
              <w:rPr>
                <w:sz w:val="16"/>
                <w:lang w:val="en-GB"/>
              </w:rPr>
              <w:t xml:space="preserve">Target: </w:t>
            </w:r>
            <w:r w:rsidRPr="004574DC">
              <w:rPr>
                <w:lang w:val="en-GB"/>
              </w:rPr>
              <w:t xml:space="preserve"> </w:t>
            </w:r>
            <w:r w:rsidRPr="004574DC">
              <w:rPr>
                <w:sz w:val="16"/>
                <w:lang w:val="en-GB"/>
              </w:rPr>
              <w:t xml:space="preserve">3 </w:t>
            </w:r>
          </w:p>
          <w:p w14:paraId="1166363B" w14:textId="79B1CC66" w:rsidR="0079542C" w:rsidRPr="004574DC" w:rsidRDefault="0079542C" w:rsidP="0079542C">
            <w:pPr>
              <w:rPr>
                <w:b/>
                <w:bCs/>
                <w:color w:val="000000"/>
                <w:sz w:val="16"/>
                <w:szCs w:val="16"/>
                <w:lang w:val="en-GB"/>
              </w:rPr>
            </w:pPr>
            <w:r w:rsidRPr="004574DC">
              <w:rPr>
                <w:sz w:val="16"/>
                <w:lang w:val="en-GB"/>
              </w:rPr>
              <w:t xml:space="preserve">Data: Official </w:t>
            </w:r>
            <w:r w:rsidR="00331EC0" w:rsidRPr="004574DC">
              <w:rPr>
                <w:sz w:val="16"/>
                <w:lang w:val="en-GB"/>
              </w:rPr>
              <w:t>g</w:t>
            </w:r>
            <w:r w:rsidRPr="004574DC">
              <w:rPr>
                <w:sz w:val="16"/>
                <w:lang w:val="en-GB"/>
              </w:rPr>
              <w:t>overnment reports, project reports, expert analysis</w:t>
            </w:r>
          </w:p>
        </w:tc>
        <w:tc>
          <w:tcPr>
            <w:tcW w:w="549" w:type="pct"/>
            <w:gridSpan w:val="3"/>
            <w:vMerge w:val="restart"/>
            <w:tcBorders>
              <w:top w:val="single" w:sz="4" w:space="0" w:color="auto"/>
              <w:bottom w:val="single" w:sz="4" w:space="0" w:color="auto"/>
            </w:tcBorders>
          </w:tcPr>
          <w:p w14:paraId="193B271D" w14:textId="4D69024A" w:rsidR="004F50AF" w:rsidRPr="004574DC" w:rsidRDefault="00F704AF" w:rsidP="00613799">
            <w:pPr>
              <w:rPr>
                <w:i/>
                <w:iCs/>
                <w:color w:val="000000"/>
                <w:sz w:val="16"/>
                <w:szCs w:val="16"/>
                <w:lang w:val="en-GB"/>
              </w:rPr>
            </w:pPr>
            <w:r w:rsidRPr="004574DC">
              <w:rPr>
                <w:sz w:val="16"/>
                <w:lang w:val="en-GB"/>
              </w:rPr>
              <w:lastRenderedPageBreak/>
              <w:t>Ministry of Foreign Affairs; National Assembly; Ministry of Defence; State Border Committee; Ministry of Economy; Ministry of Justice; National Centre of Legislation and Legal Research; National Centre for E-Services; Ministry of Communication; Ministry of Internal Affairs, General Prosecutor’s Office;</w:t>
            </w:r>
            <w:r w:rsidR="00613799" w:rsidRPr="004574DC">
              <w:rPr>
                <w:sz w:val="16"/>
                <w:lang w:val="en-GB"/>
              </w:rPr>
              <w:t xml:space="preserve"> Ministry of Health;</w:t>
            </w:r>
            <w:r w:rsidRPr="00603C82">
              <w:rPr>
                <w:sz w:val="16"/>
                <w:lang w:val="en-GB"/>
              </w:rPr>
              <w:t xml:space="preserve"> Constitutional Court; Supreme Court; academic and educational in</w:t>
            </w:r>
            <w:r w:rsidRPr="00AD20B2">
              <w:rPr>
                <w:sz w:val="16"/>
                <w:lang w:val="en-GB"/>
              </w:rPr>
              <w:t xml:space="preserve">stitutions; local authorities; </w:t>
            </w:r>
            <w:r w:rsidR="00405D70" w:rsidRPr="004574DC">
              <w:rPr>
                <w:sz w:val="16"/>
                <w:lang w:val="en-GB"/>
              </w:rPr>
              <w:t>non-governmental organizations (</w:t>
            </w:r>
            <w:r w:rsidRPr="004574DC">
              <w:rPr>
                <w:sz w:val="16"/>
                <w:lang w:val="en-GB"/>
              </w:rPr>
              <w:t>NGOs</w:t>
            </w:r>
            <w:r w:rsidR="00405D70" w:rsidRPr="004574DC">
              <w:rPr>
                <w:sz w:val="16"/>
                <w:lang w:val="en-GB"/>
              </w:rPr>
              <w:t>)</w:t>
            </w:r>
            <w:r w:rsidRPr="004574DC">
              <w:rPr>
                <w:sz w:val="16"/>
                <w:lang w:val="en-GB"/>
              </w:rPr>
              <w:t xml:space="preserve">; </w:t>
            </w:r>
            <w:r w:rsidR="00405D70" w:rsidRPr="004574DC">
              <w:rPr>
                <w:sz w:val="16"/>
                <w:lang w:val="en-GB"/>
              </w:rPr>
              <w:t>Organization for the Coordination of Humanitarian Affairs (</w:t>
            </w:r>
            <w:r w:rsidRPr="004574DC">
              <w:rPr>
                <w:sz w:val="16"/>
                <w:lang w:val="en-GB"/>
              </w:rPr>
              <w:t>OHCHR</w:t>
            </w:r>
            <w:r w:rsidR="00405D70" w:rsidRPr="004574DC">
              <w:rPr>
                <w:sz w:val="16"/>
                <w:lang w:val="en-GB"/>
              </w:rPr>
              <w:t>)</w:t>
            </w:r>
            <w:r w:rsidRPr="004574DC">
              <w:rPr>
                <w:sz w:val="16"/>
                <w:lang w:val="en-GB"/>
              </w:rPr>
              <w:t xml:space="preserve">; </w:t>
            </w:r>
            <w:r w:rsidR="00405D70" w:rsidRPr="004574DC">
              <w:rPr>
                <w:sz w:val="16"/>
                <w:lang w:val="en-GB"/>
              </w:rPr>
              <w:t xml:space="preserve">Office of the High Commissioner for </w:t>
            </w:r>
            <w:r w:rsidR="00405D70" w:rsidRPr="004574DC">
              <w:rPr>
                <w:sz w:val="16"/>
                <w:lang w:val="en-GB"/>
              </w:rPr>
              <w:lastRenderedPageBreak/>
              <w:t>Refugees (</w:t>
            </w:r>
            <w:r w:rsidRPr="004574DC">
              <w:rPr>
                <w:sz w:val="16"/>
                <w:lang w:val="en-GB"/>
              </w:rPr>
              <w:t>UNHCR</w:t>
            </w:r>
            <w:r w:rsidR="00405D70" w:rsidRPr="004574DC">
              <w:rPr>
                <w:sz w:val="16"/>
                <w:lang w:val="en-GB"/>
              </w:rPr>
              <w:t>)</w:t>
            </w:r>
            <w:r w:rsidRPr="004574DC">
              <w:rPr>
                <w:sz w:val="16"/>
                <w:lang w:val="en-GB"/>
              </w:rPr>
              <w:t xml:space="preserve">; </w:t>
            </w:r>
            <w:r w:rsidR="00405D70" w:rsidRPr="004574DC">
              <w:rPr>
                <w:sz w:val="16"/>
                <w:lang w:val="en-GB"/>
              </w:rPr>
              <w:t>International Organization for Migration (</w:t>
            </w:r>
            <w:r w:rsidRPr="004574DC">
              <w:rPr>
                <w:sz w:val="16"/>
                <w:lang w:val="en-GB"/>
              </w:rPr>
              <w:t>IOM</w:t>
            </w:r>
            <w:r w:rsidR="00405D70" w:rsidRPr="004574DC">
              <w:rPr>
                <w:sz w:val="16"/>
                <w:lang w:val="en-GB"/>
              </w:rPr>
              <w:t>)</w:t>
            </w:r>
          </w:p>
        </w:tc>
        <w:tc>
          <w:tcPr>
            <w:tcW w:w="43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0D58476C" w14:textId="027F5BE7" w:rsidR="004F50AF" w:rsidRPr="004574DC" w:rsidRDefault="004F50AF" w:rsidP="00885F85">
            <w:pPr>
              <w:rPr>
                <w:b/>
                <w:color w:val="000000"/>
                <w:sz w:val="16"/>
                <w:szCs w:val="16"/>
                <w:lang w:val="en-GB"/>
              </w:rPr>
            </w:pPr>
            <w:r w:rsidRPr="004574DC">
              <w:rPr>
                <w:b/>
                <w:color w:val="000000"/>
                <w:sz w:val="16"/>
                <w:szCs w:val="16"/>
                <w:lang w:val="en-GB"/>
              </w:rPr>
              <w:lastRenderedPageBreak/>
              <w:t>Regular</w:t>
            </w:r>
            <w:r w:rsidR="00F704AF" w:rsidRPr="004574DC">
              <w:rPr>
                <w:b/>
                <w:color w:val="000000"/>
                <w:sz w:val="16"/>
                <w:szCs w:val="16"/>
                <w:lang w:val="en-GB"/>
              </w:rPr>
              <w:t xml:space="preserve">: </w:t>
            </w:r>
            <w:r w:rsidR="00405D70" w:rsidRPr="004574DC">
              <w:rPr>
                <w:b/>
                <w:color w:val="000000"/>
                <w:sz w:val="16"/>
                <w:szCs w:val="16"/>
                <w:lang w:val="en-GB"/>
              </w:rPr>
              <w:t>$</w:t>
            </w:r>
            <w:r w:rsidR="00F704AF" w:rsidRPr="004574DC">
              <w:rPr>
                <w:b/>
                <w:color w:val="000000"/>
                <w:sz w:val="16"/>
                <w:szCs w:val="16"/>
                <w:lang w:val="en-GB"/>
              </w:rPr>
              <w:t>794</w:t>
            </w:r>
          </w:p>
        </w:tc>
      </w:tr>
      <w:tr w:rsidR="00F704AF" w:rsidRPr="004574DC" w14:paraId="5E0F8BCF" w14:textId="77777777" w:rsidTr="00022DF7">
        <w:tc>
          <w:tcPr>
            <w:tcW w:w="893"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12E8B48" w14:textId="77777777" w:rsidR="004F50AF" w:rsidRPr="004574DC" w:rsidRDefault="004F50AF" w:rsidP="00885F85">
            <w:pPr>
              <w:rPr>
                <w:i/>
                <w:iCs/>
                <w:color w:val="000000"/>
                <w:sz w:val="16"/>
                <w:szCs w:val="16"/>
                <w:lang w:val="en-GB"/>
              </w:rPr>
            </w:pPr>
          </w:p>
        </w:tc>
        <w:tc>
          <w:tcPr>
            <w:tcW w:w="516" w:type="pct"/>
            <w:gridSpan w:val="2"/>
            <w:vMerge/>
            <w:tcBorders>
              <w:top w:val="single" w:sz="4" w:space="0" w:color="auto"/>
              <w:bottom w:val="single" w:sz="4" w:space="0" w:color="auto"/>
            </w:tcBorders>
          </w:tcPr>
          <w:p w14:paraId="51A24310" w14:textId="77777777" w:rsidR="004F50AF" w:rsidRPr="004574DC" w:rsidRDefault="004F50AF" w:rsidP="00885F85">
            <w:pPr>
              <w:rPr>
                <w:i/>
                <w:iCs/>
                <w:color w:val="000000"/>
                <w:sz w:val="16"/>
                <w:szCs w:val="16"/>
                <w:lang w:val="en-GB"/>
              </w:rPr>
            </w:pPr>
          </w:p>
        </w:tc>
        <w:tc>
          <w:tcPr>
            <w:tcW w:w="2610" w:type="pct"/>
            <w:gridSpan w:val="2"/>
            <w:vMerge/>
            <w:tcBorders>
              <w:top w:val="single" w:sz="4" w:space="0" w:color="auto"/>
              <w:bottom w:val="single" w:sz="4" w:space="0" w:color="auto"/>
            </w:tcBorders>
            <w:tcMar>
              <w:top w:w="72" w:type="dxa"/>
              <w:left w:w="144" w:type="dxa"/>
              <w:bottom w:w="72" w:type="dxa"/>
              <w:right w:w="144" w:type="dxa"/>
            </w:tcMar>
          </w:tcPr>
          <w:p w14:paraId="58F3AAF5" w14:textId="77777777" w:rsidR="004F50AF" w:rsidRPr="004574DC" w:rsidRDefault="004F50AF" w:rsidP="00885F85">
            <w:pPr>
              <w:rPr>
                <w:i/>
                <w:iCs/>
                <w:color w:val="000000"/>
                <w:sz w:val="16"/>
                <w:szCs w:val="16"/>
                <w:lang w:val="en-GB"/>
              </w:rPr>
            </w:pPr>
          </w:p>
        </w:tc>
        <w:tc>
          <w:tcPr>
            <w:tcW w:w="549" w:type="pct"/>
            <w:gridSpan w:val="3"/>
            <w:vMerge/>
            <w:tcBorders>
              <w:top w:val="single" w:sz="4" w:space="0" w:color="auto"/>
              <w:bottom w:val="single" w:sz="4" w:space="0" w:color="auto"/>
            </w:tcBorders>
          </w:tcPr>
          <w:p w14:paraId="16F2534C" w14:textId="77777777" w:rsidR="004F50AF" w:rsidRPr="004574DC" w:rsidRDefault="004F50AF" w:rsidP="00885F85">
            <w:pPr>
              <w:rPr>
                <w:i/>
                <w:iCs/>
                <w:color w:val="000000"/>
                <w:sz w:val="16"/>
                <w:szCs w:val="16"/>
                <w:lang w:val="en-GB"/>
              </w:rPr>
            </w:pPr>
          </w:p>
        </w:tc>
        <w:tc>
          <w:tcPr>
            <w:tcW w:w="43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6972395D" w14:textId="6AF54C16" w:rsidR="004F50AF" w:rsidRPr="004574DC" w:rsidRDefault="004F50AF" w:rsidP="00885F85">
            <w:pPr>
              <w:rPr>
                <w:b/>
                <w:color w:val="000000"/>
                <w:sz w:val="16"/>
                <w:szCs w:val="16"/>
                <w:lang w:val="en-GB"/>
              </w:rPr>
            </w:pPr>
            <w:r w:rsidRPr="004574DC">
              <w:rPr>
                <w:b/>
                <w:color w:val="000000"/>
                <w:sz w:val="16"/>
                <w:szCs w:val="16"/>
                <w:lang w:val="en-GB"/>
              </w:rPr>
              <w:t>Other</w:t>
            </w:r>
            <w:r w:rsidR="00F704AF" w:rsidRPr="004574DC">
              <w:rPr>
                <w:b/>
                <w:color w:val="000000"/>
                <w:sz w:val="16"/>
                <w:szCs w:val="16"/>
                <w:lang w:val="en-GB"/>
              </w:rPr>
              <w:t xml:space="preserve">: </w:t>
            </w:r>
            <w:r w:rsidR="00405D70" w:rsidRPr="004574DC">
              <w:rPr>
                <w:b/>
                <w:color w:val="000000"/>
                <w:sz w:val="16"/>
                <w:szCs w:val="16"/>
                <w:lang w:val="en-GB"/>
              </w:rPr>
              <w:t>$</w:t>
            </w:r>
            <w:r w:rsidR="00F704AF" w:rsidRPr="004574DC">
              <w:rPr>
                <w:b/>
                <w:color w:val="000000"/>
                <w:sz w:val="16"/>
                <w:szCs w:val="16"/>
                <w:lang w:val="en-GB"/>
              </w:rPr>
              <w:t>14,132 (to be mobilized)</w:t>
            </w:r>
          </w:p>
        </w:tc>
      </w:tr>
      <w:tr w:rsidR="00F704AF" w:rsidRPr="004574DC" w14:paraId="599C810E" w14:textId="77777777" w:rsidTr="00915B6B">
        <w:tc>
          <w:tcPr>
            <w:tcW w:w="893"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15737B0A" w14:textId="77777777" w:rsidR="007A05B6" w:rsidRPr="004574DC" w:rsidRDefault="007A05B6" w:rsidP="00885F85">
            <w:pPr>
              <w:rPr>
                <w:i/>
                <w:iCs/>
                <w:color w:val="000000"/>
                <w:sz w:val="16"/>
                <w:szCs w:val="16"/>
                <w:lang w:val="en-GB"/>
              </w:rPr>
            </w:pPr>
          </w:p>
        </w:tc>
        <w:tc>
          <w:tcPr>
            <w:tcW w:w="516" w:type="pct"/>
            <w:gridSpan w:val="2"/>
            <w:vMerge/>
            <w:tcBorders>
              <w:top w:val="single" w:sz="4" w:space="0" w:color="auto"/>
              <w:bottom w:val="single" w:sz="4" w:space="0" w:color="auto"/>
            </w:tcBorders>
          </w:tcPr>
          <w:p w14:paraId="0A43E542" w14:textId="77777777" w:rsidR="007A05B6" w:rsidRPr="004574DC" w:rsidRDefault="007A05B6" w:rsidP="00885F85">
            <w:pPr>
              <w:rPr>
                <w:i/>
                <w:iCs/>
                <w:color w:val="000000"/>
                <w:sz w:val="16"/>
                <w:szCs w:val="16"/>
                <w:lang w:val="en-GB"/>
              </w:rPr>
            </w:pPr>
          </w:p>
        </w:tc>
        <w:tc>
          <w:tcPr>
            <w:tcW w:w="2610" w:type="pct"/>
            <w:gridSpan w:val="2"/>
            <w:vMerge/>
            <w:tcBorders>
              <w:top w:val="single" w:sz="4" w:space="0" w:color="auto"/>
              <w:bottom w:val="single" w:sz="4" w:space="0" w:color="auto"/>
            </w:tcBorders>
            <w:tcMar>
              <w:top w:w="72" w:type="dxa"/>
              <w:left w:w="144" w:type="dxa"/>
              <w:bottom w:w="72" w:type="dxa"/>
              <w:right w:w="144" w:type="dxa"/>
            </w:tcMar>
          </w:tcPr>
          <w:p w14:paraId="69BED869" w14:textId="77777777" w:rsidR="007A05B6" w:rsidRPr="004574DC" w:rsidRDefault="007A05B6" w:rsidP="00885F85">
            <w:pPr>
              <w:rPr>
                <w:i/>
                <w:iCs/>
                <w:color w:val="000000"/>
                <w:sz w:val="16"/>
                <w:szCs w:val="16"/>
                <w:lang w:val="en-GB"/>
              </w:rPr>
            </w:pPr>
          </w:p>
        </w:tc>
        <w:tc>
          <w:tcPr>
            <w:tcW w:w="549" w:type="pct"/>
            <w:gridSpan w:val="3"/>
            <w:vMerge/>
            <w:tcBorders>
              <w:top w:val="single" w:sz="4" w:space="0" w:color="auto"/>
              <w:bottom w:val="single" w:sz="4" w:space="0" w:color="auto"/>
            </w:tcBorders>
          </w:tcPr>
          <w:p w14:paraId="59812044" w14:textId="77777777" w:rsidR="007A05B6" w:rsidRPr="004574DC" w:rsidRDefault="007A05B6" w:rsidP="00885F85">
            <w:pPr>
              <w:rPr>
                <w:i/>
                <w:iCs/>
                <w:color w:val="000000"/>
                <w:sz w:val="16"/>
                <w:szCs w:val="16"/>
                <w:lang w:val="en-GB"/>
              </w:rPr>
            </w:pPr>
          </w:p>
        </w:tc>
        <w:tc>
          <w:tcPr>
            <w:tcW w:w="432"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49BFAEAA" w14:textId="77777777" w:rsidR="007A05B6" w:rsidRPr="004574DC" w:rsidRDefault="007A05B6" w:rsidP="0079542C">
            <w:pPr>
              <w:rPr>
                <w:b/>
                <w:color w:val="000000"/>
                <w:sz w:val="16"/>
                <w:szCs w:val="16"/>
                <w:lang w:val="en-GB"/>
              </w:rPr>
            </w:pPr>
          </w:p>
        </w:tc>
      </w:tr>
      <w:tr w:rsidR="0029653C" w:rsidRPr="004574DC" w14:paraId="4E1E6377"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640FD2FF" w14:textId="69CCCE42" w:rsidR="0029653C" w:rsidRPr="004574DC" w:rsidRDefault="0080240B" w:rsidP="0029653C">
            <w:pPr>
              <w:rPr>
                <w:b/>
                <w:lang w:val="en-GB"/>
              </w:rPr>
            </w:pPr>
            <w:r w:rsidRPr="00603C82">
              <w:rPr>
                <w:color w:val="000000"/>
                <w:lang w:val="en-GB"/>
              </w:rPr>
              <w:lastRenderedPageBreak/>
              <w:t xml:space="preserve"> </w:t>
            </w:r>
            <w:r w:rsidR="0029653C" w:rsidRPr="00603C82">
              <w:rPr>
                <w:b/>
                <w:bCs/>
                <w:color w:val="000000"/>
                <w:sz w:val="17"/>
                <w:szCs w:val="17"/>
                <w:lang w:val="en-GB"/>
              </w:rPr>
              <w:t xml:space="preserve">National priority or goal: </w:t>
            </w:r>
            <w:r w:rsidR="0029653C" w:rsidRPr="00603C82">
              <w:rPr>
                <w:sz w:val="16"/>
                <w:lang w:val="en-GB"/>
              </w:rPr>
              <w:t xml:space="preserve">Improvement of the institutional environment and formation of the favourable business environment; transformation of SMEs into the driving force of socioeconomic development; rational </w:t>
            </w:r>
            <w:r w:rsidR="0029653C" w:rsidRPr="00AD20B2">
              <w:rPr>
                <w:sz w:val="16"/>
                <w:lang w:val="en-GB"/>
              </w:rPr>
              <w:t xml:space="preserve">employment and effective use of human capital; education for sustainable development; economy based on innovations, effective use of national resources and comparative competitive advantages (NSDS 2030); decent work and steady income (Post-2015 </w:t>
            </w:r>
            <w:r w:rsidR="00426D80" w:rsidRPr="004574DC">
              <w:rPr>
                <w:sz w:val="16"/>
                <w:lang w:val="en-GB"/>
              </w:rPr>
              <w:t>n</w:t>
            </w:r>
            <w:r w:rsidR="0029653C" w:rsidRPr="004574DC">
              <w:rPr>
                <w:sz w:val="16"/>
                <w:lang w:val="en-GB"/>
              </w:rPr>
              <w:t xml:space="preserve">ational </w:t>
            </w:r>
            <w:r w:rsidR="00426D80" w:rsidRPr="004574DC">
              <w:rPr>
                <w:sz w:val="16"/>
                <w:lang w:val="en-GB"/>
              </w:rPr>
              <w:t>c</w:t>
            </w:r>
            <w:r w:rsidR="0029653C" w:rsidRPr="004574DC">
              <w:rPr>
                <w:sz w:val="16"/>
                <w:lang w:val="en-GB"/>
              </w:rPr>
              <w:t>onsultations)</w:t>
            </w:r>
            <w:r w:rsidR="00426D80" w:rsidRPr="004574DC">
              <w:rPr>
                <w:sz w:val="16"/>
                <w:lang w:val="en-GB"/>
              </w:rPr>
              <w:t>.</w:t>
            </w:r>
          </w:p>
        </w:tc>
      </w:tr>
      <w:tr w:rsidR="0029653C" w:rsidRPr="004574DC" w14:paraId="287D4B8B"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7EDABC78" w14:textId="77777777" w:rsidR="0029653C" w:rsidRPr="00603C82" w:rsidRDefault="0029653C" w:rsidP="0029653C">
            <w:pPr>
              <w:rPr>
                <w:b/>
                <w:lang w:val="en-GB"/>
              </w:rPr>
            </w:pPr>
            <w:r w:rsidRPr="00603C82">
              <w:rPr>
                <w:b/>
                <w:sz w:val="16"/>
                <w:lang w:val="en-GB"/>
              </w:rPr>
              <w:t xml:space="preserve">UNDAF outcome 2.1: </w:t>
            </w:r>
            <w:r w:rsidRPr="00603C82">
              <w:rPr>
                <w:sz w:val="16"/>
                <w:lang w:val="en-GB"/>
              </w:rPr>
              <w:t xml:space="preserve">By 2020, the economy's competitiveness is improved through structural reforms, accelerated development of the private sector and integration in the world economy. </w:t>
            </w:r>
          </w:p>
        </w:tc>
      </w:tr>
      <w:tr w:rsidR="0029653C" w:rsidRPr="004574DC" w14:paraId="352B1673"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69C7E863" w14:textId="06643A57" w:rsidR="0029653C" w:rsidRPr="00603C82" w:rsidRDefault="0029653C" w:rsidP="0029653C">
            <w:pPr>
              <w:rPr>
                <w:b/>
                <w:lang w:val="en-GB"/>
              </w:rPr>
            </w:pPr>
            <w:r w:rsidRPr="00603C82">
              <w:rPr>
                <w:b/>
                <w:sz w:val="16"/>
                <w:lang w:val="en-GB"/>
              </w:rPr>
              <w:t xml:space="preserve">Strategic plan outcome 1: </w:t>
            </w:r>
            <w:r w:rsidRPr="00603C82">
              <w:rPr>
                <w:sz w:val="16"/>
                <w:lang w:val="en-GB"/>
              </w:rPr>
              <w:t>Growth and development are inclusive and sustainable, incorporating productive capacities that create employment and livelihoods for the poor and excluded</w:t>
            </w:r>
            <w:r w:rsidR="00426D80" w:rsidRPr="00603C82">
              <w:rPr>
                <w:sz w:val="16"/>
                <w:lang w:val="en-GB"/>
              </w:rPr>
              <w:t>.</w:t>
            </w:r>
          </w:p>
        </w:tc>
      </w:tr>
      <w:tr w:rsidR="00E57DB9" w:rsidRPr="004574DC" w14:paraId="2D4889AB" w14:textId="77777777" w:rsidTr="00022DF7">
        <w:tblPrEx>
          <w:tblBorders>
            <w:top w:val="single" w:sz="4" w:space="0" w:color="auto"/>
            <w:left w:val="single" w:sz="4" w:space="0" w:color="auto"/>
            <w:bottom w:val="single" w:sz="4" w:space="0" w:color="auto"/>
            <w:right w:val="single" w:sz="4" w:space="0" w:color="auto"/>
          </w:tblBorders>
        </w:tblPrEx>
        <w:tc>
          <w:tcPr>
            <w:tcW w:w="893" w:type="pct"/>
            <w:vMerge w:val="restart"/>
            <w:tcMar>
              <w:top w:w="72" w:type="dxa"/>
              <w:left w:w="144" w:type="dxa"/>
              <w:bottom w:w="72" w:type="dxa"/>
              <w:right w:w="144" w:type="dxa"/>
            </w:tcMar>
          </w:tcPr>
          <w:p w14:paraId="5109169D" w14:textId="77777777" w:rsidR="0029653C" w:rsidRPr="004574DC" w:rsidRDefault="0029653C" w:rsidP="0029653C">
            <w:pPr>
              <w:rPr>
                <w:lang w:val="en-GB"/>
              </w:rPr>
            </w:pPr>
            <w:r w:rsidRPr="00603C82">
              <w:rPr>
                <w:sz w:val="16"/>
                <w:lang w:val="en-GB"/>
              </w:rPr>
              <w:t>2.1.2. Rank of Belarus in the World Bank’s Doing Business Report</w:t>
            </w:r>
            <w:r w:rsidRPr="00603C82">
              <w:rPr>
                <w:sz w:val="16"/>
                <w:lang w:val="en-GB"/>
              </w:rPr>
              <w:br/>
            </w:r>
            <w:r w:rsidRPr="00AD20B2">
              <w:rPr>
                <w:i/>
                <w:sz w:val="16"/>
                <w:lang w:val="en-GB"/>
              </w:rPr>
              <w:t>Baseline:</w:t>
            </w:r>
            <w:r w:rsidRPr="004574DC">
              <w:rPr>
                <w:sz w:val="16"/>
                <w:lang w:val="en-GB"/>
              </w:rPr>
              <w:t xml:space="preserve"> 57th (2014)</w:t>
            </w:r>
            <w:r w:rsidRPr="004574DC">
              <w:rPr>
                <w:sz w:val="16"/>
                <w:lang w:val="en-GB"/>
              </w:rPr>
              <w:br/>
            </w:r>
            <w:r w:rsidRPr="004574DC">
              <w:rPr>
                <w:i/>
                <w:sz w:val="16"/>
                <w:lang w:val="en-GB"/>
              </w:rPr>
              <w:t>Target:</w:t>
            </w:r>
            <w:r w:rsidRPr="004574DC">
              <w:rPr>
                <w:sz w:val="16"/>
                <w:lang w:val="en-GB"/>
              </w:rPr>
              <w:t xml:space="preserve"> 40th (2020)</w:t>
            </w:r>
          </w:p>
          <w:p w14:paraId="64B560E5" w14:textId="77777777" w:rsidR="0029653C" w:rsidRPr="004574DC" w:rsidRDefault="0029653C" w:rsidP="0029653C">
            <w:pPr>
              <w:rPr>
                <w:lang w:val="en-GB"/>
              </w:rPr>
            </w:pPr>
          </w:p>
          <w:p w14:paraId="1D53258F" w14:textId="77777777" w:rsidR="0029653C" w:rsidRPr="004574DC" w:rsidRDefault="0029653C" w:rsidP="0029653C">
            <w:pPr>
              <w:rPr>
                <w:lang w:val="en-GB"/>
              </w:rPr>
            </w:pPr>
            <w:r w:rsidRPr="004574DC">
              <w:rPr>
                <w:sz w:val="16"/>
                <w:lang w:val="en-GB"/>
              </w:rPr>
              <w:t>2.1.7. Contribution of SMEs to GDP</w:t>
            </w:r>
            <w:r w:rsidRPr="004574DC">
              <w:rPr>
                <w:sz w:val="16"/>
                <w:lang w:val="en-GB"/>
              </w:rPr>
              <w:br/>
              <w:t>Baseline: 21.9% (2013)</w:t>
            </w:r>
            <w:r w:rsidRPr="004574DC">
              <w:rPr>
                <w:sz w:val="16"/>
                <w:lang w:val="en-GB"/>
              </w:rPr>
              <w:br/>
              <w:t>Target: 37% (2020)</w:t>
            </w:r>
          </w:p>
          <w:p w14:paraId="19D495CD" w14:textId="77777777" w:rsidR="0029653C" w:rsidRPr="004574DC" w:rsidRDefault="0029653C" w:rsidP="0029653C">
            <w:pPr>
              <w:rPr>
                <w:lang w:val="en-GB"/>
              </w:rPr>
            </w:pPr>
          </w:p>
          <w:p w14:paraId="50899A89" w14:textId="77777777" w:rsidR="0029653C" w:rsidRPr="004574DC" w:rsidRDefault="0029653C" w:rsidP="0029653C">
            <w:pPr>
              <w:rPr>
                <w:lang w:val="en-GB"/>
              </w:rPr>
            </w:pPr>
          </w:p>
          <w:p w14:paraId="49FA58DA" w14:textId="21B27F55" w:rsidR="0029653C" w:rsidRPr="004574DC" w:rsidRDefault="00244E71" w:rsidP="0029653C">
            <w:pPr>
              <w:rPr>
                <w:sz w:val="16"/>
                <w:lang w:val="en-GB"/>
              </w:rPr>
            </w:pPr>
            <w:r w:rsidRPr="004574DC">
              <w:rPr>
                <w:sz w:val="16"/>
                <w:lang w:val="en-GB"/>
              </w:rPr>
              <w:t>4.4.9</w:t>
            </w:r>
            <w:r w:rsidR="0029653C" w:rsidRPr="004574DC">
              <w:rPr>
                <w:sz w:val="16"/>
                <w:lang w:val="en-GB"/>
              </w:rPr>
              <w:t>. Number and share of inhabited localities in Chernobyl-affected areas where average annual effective exposure dose exceeds 1 mZv/year</w:t>
            </w:r>
          </w:p>
          <w:p w14:paraId="242F904B" w14:textId="77777777" w:rsidR="0029653C" w:rsidRPr="004574DC" w:rsidRDefault="0029653C" w:rsidP="0029653C">
            <w:pPr>
              <w:rPr>
                <w:sz w:val="16"/>
                <w:lang w:val="en-GB"/>
              </w:rPr>
            </w:pPr>
            <w:r w:rsidRPr="004574DC">
              <w:rPr>
                <w:sz w:val="16"/>
                <w:lang w:val="en-GB"/>
              </w:rPr>
              <w:t>Baseline:</w:t>
            </w:r>
          </w:p>
          <w:p w14:paraId="4FBF52B4" w14:textId="77777777" w:rsidR="0029653C" w:rsidRPr="004574DC" w:rsidRDefault="0029653C" w:rsidP="0029653C">
            <w:pPr>
              <w:rPr>
                <w:sz w:val="16"/>
                <w:lang w:val="en-GB"/>
              </w:rPr>
            </w:pPr>
            <w:r w:rsidRPr="004574DC">
              <w:rPr>
                <w:sz w:val="16"/>
                <w:lang w:val="en-GB"/>
              </w:rPr>
              <w:t>193, 8.1%.</w:t>
            </w:r>
          </w:p>
          <w:p w14:paraId="79D4ABD6" w14:textId="77777777" w:rsidR="0029653C" w:rsidRPr="004574DC" w:rsidRDefault="0029653C" w:rsidP="0029653C">
            <w:pPr>
              <w:rPr>
                <w:sz w:val="16"/>
                <w:lang w:val="en-GB"/>
              </w:rPr>
            </w:pPr>
            <w:r w:rsidRPr="004574DC">
              <w:rPr>
                <w:sz w:val="16"/>
                <w:lang w:val="en-GB"/>
              </w:rPr>
              <w:t>Target:</w:t>
            </w:r>
          </w:p>
          <w:p w14:paraId="6ED138E2" w14:textId="77777777" w:rsidR="00E57DB9" w:rsidRPr="004574DC" w:rsidRDefault="0029653C" w:rsidP="0029653C">
            <w:pPr>
              <w:rPr>
                <w:bCs/>
                <w:i/>
                <w:color w:val="000000"/>
                <w:sz w:val="16"/>
                <w:szCs w:val="16"/>
                <w:lang w:val="en-GB"/>
              </w:rPr>
            </w:pPr>
            <w:r w:rsidRPr="004574DC">
              <w:rPr>
                <w:sz w:val="16"/>
                <w:lang w:val="en-GB"/>
              </w:rPr>
              <w:t>84, 3.8%</w:t>
            </w:r>
          </w:p>
        </w:tc>
        <w:tc>
          <w:tcPr>
            <w:tcW w:w="516" w:type="pct"/>
            <w:gridSpan w:val="2"/>
            <w:vMerge w:val="restart"/>
          </w:tcPr>
          <w:p w14:paraId="6B8037F3" w14:textId="3998A7F2" w:rsidR="00401D09" w:rsidRPr="004574DC" w:rsidRDefault="00401D09" w:rsidP="00401D09">
            <w:pPr>
              <w:rPr>
                <w:sz w:val="16"/>
                <w:lang w:val="en-GB"/>
              </w:rPr>
            </w:pPr>
            <w:r w:rsidRPr="004574DC">
              <w:rPr>
                <w:sz w:val="16"/>
                <w:lang w:val="en-GB"/>
              </w:rPr>
              <w:t xml:space="preserve">National Statistical Committee, State Committee on Science and Technology, Economic Research Institute of the Ministry of Economy, </w:t>
            </w:r>
            <w:r w:rsidR="00426D80" w:rsidRPr="004574DC">
              <w:rPr>
                <w:sz w:val="16"/>
                <w:lang w:val="en-GB"/>
              </w:rPr>
              <w:t>European Bank for Reconstruction and Development</w:t>
            </w:r>
            <w:r w:rsidRPr="004574DC">
              <w:rPr>
                <w:sz w:val="16"/>
                <w:lang w:val="en-GB"/>
              </w:rPr>
              <w:t xml:space="preserve">, </w:t>
            </w:r>
          </w:p>
          <w:p w14:paraId="30EF5D3D" w14:textId="77777777" w:rsidR="00B456EE" w:rsidRPr="004574DC" w:rsidRDefault="00401D09" w:rsidP="00B456EE">
            <w:pPr>
              <w:rPr>
                <w:sz w:val="16"/>
                <w:lang w:val="en-GB"/>
              </w:rPr>
            </w:pPr>
            <w:r w:rsidRPr="004574DC">
              <w:rPr>
                <w:sz w:val="16"/>
                <w:lang w:val="en-GB"/>
              </w:rPr>
              <w:t>World Bank Doing Business Report, National Bank of Belarus, surveys of enterprises</w:t>
            </w:r>
            <w:r w:rsidR="00F2393B" w:rsidRPr="004574DC">
              <w:rPr>
                <w:sz w:val="16"/>
                <w:lang w:val="en-GB"/>
              </w:rPr>
              <w:t xml:space="preserve"> </w:t>
            </w:r>
          </w:p>
          <w:p w14:paraId="69D8BFA7" w14:textId="77777777" w:rsidR="00B456EE" w:rsidRPr="004574DC" w:rsidRDefault="00B456EE" w:rsidP="00B456EE">
            <w:pPr>
              <w:rPr>
                <w:sz w:val="16"/>
                <w:lang w:val="en-GB"/>
              </w:rPr>
            </w:pPr>
          </w:p>
          <w:p w14:paraId="3B3D6959" w14:textId="77777777" w:rsidR="00E57DB9" w:rsidRPr="004574DC" w:rsidRDefault="00B456EE" w:rsidP="00B456EE">
            <w:pPr>
              <w:rPr>
                <w:b/>
                <w:bCs/>
                <w:i/>
                <w:color w:val="000000"/>
                <w:sz w:val="16"/>
                <w:szCs w:val="16"/>
                <w:lang w:val="en-GB"/>
              </w:rPr>
            </w:pPr>
            <w:r w:rsidRPr="004574DC">
              <w:rPr>
                <w:i/>
                <w:sz w:val="16"/>
                <w:lang w:val="en-GB"/>
              </w:rPr>
              <w:t>(data to be disaggregated by age and sex)</w:t>
            </w:r>
          </w:p>
        </w:tc>
        <w:tc>
          <w:tcPr>
            <w:tcW w:w="2612" w:type="pct"/>
            <w:gridSpan w:val="3"/>
            <w:vMerge w:val="restart"/>
            <w:tcMar>
              <w:top w:w="72" w:type="dxa"/>
              <w:left w:w="144" w:type="dxa"/>
              <w:bottom w:w="72" w:type="dxa"/>
              <w:right w:w="144" w:type="dxa"/>
            </w:tcMar>
          </w:tcPr>
          <w:p w14:paraId="3DFF4297" w14:textId="306FB799" w:rsidR="00401D09" w:rsidRPr="004574DC" w:rsidRDefault="00401D09" w:rsidP="00401D09">
            <w:pPr>
              <w:rPr>
                <w:sz w:val="16"/>
                <w:lang w:val="en-GB"/>
              </w:rPr>
            </w:pPr>
            <w:r w:rsidRPr="004574DC">
              <w:rPr>
                <w:b/>
                <w:sz w:val="16"/>
                <w:lang w:val="en-GB"/>
              </w:rPr>
              <w:t>Output 2.1:  National and subnational systems and institutions are able to achieve structural transformation of productive capacities that are sustainable and geared towards enhancement of employment and livelihoods</w:t>
            </w:r>
          </w:p>
          <w:p w14:paraId="04AA6ABC" w14:textId="77777777" w:rsidR="00401D09" w:rsidRPr="004574DC" w:rsidRDefault="00401D09" w:rsidP="00401D09">
            <w:pPr>
              <w:rPr>
                <w:sz w:val="16"/>
                <w:lang w:val="en-GB"/>
              </w:rPr>
            </w:pPr>
          </w:p>
          <w:p w14:paraId="18CD538A" w14:textId="48E32367" w:rsidR="00401D09" w:rsidRPr="004574DC" w:rsidRDefault="00401D09" w:rsidP="00401D09">
            <w:pPr>
              <w:rPr>
                <w:lang w:val="en-GB"/>
              </w:rPr>
            </w:pPr>
            <w:r w:rsidRPr="004574DC">
              <w:rPr>
                <w:sz w:val="16"/>
                <w:lang w:val="en-GB"/>
              </w:rPr>
              <w:t>2.1.1: Percentage of workforce employed in SMEs</w:t>
            </w:r>
            <w:r w:rsidRPr="004574DC">
              <w:rPr>
                <w:sz w:val="16"/>
                <w:lang w:val="en-GB"/>
              </w:rPr>
              <w:br/>
              <w:t xml:space="preserve">Baseline: 28.4% </w:t>
            </w:r>
            <w:r w:rsidRPr="004574DC">
              <w:rPr>
                <w:sz w:val="16"/>
                <w:lang w:val="en-GB"/>
              </w:rPr>
              <w:br/>
              <w:t>Target: 35%</w:t>
            </w:r>
          </w:p>
          <w:p w14:paraId="180A932D" w14:textId="77777777" w:rsidR="00401D09" w:rsidRPr="004574DC" w:rsidRDefault="00401D09" w:rsidP="00401D09">
            <w:pPr>
              <w:rPr>
                <w:sz w:val="16"/>
                <w:lang w:val="en-GB"/>
              </w:rPr>
            </w:pPr>
            <w:r w:rsidRPr="004574DC">
              <w:rPr>
                <w:sz w:val="16"/>
                <w:lang w:val="en-GB"/>
              </w:rPr>
              <w:t xml:space="preserve">Data: National Statistics Committee </w:t>
            </w:r>
          </w:p>
          <w:p w14:paraId="68BCE81B" w14:textId="77777777" w:rsidR="00401D09" w:rsidRPr="004574DC" w:rsidRDefault="00401D09" w:rsidP="00401D09">
            <w:pPr>
              <w:rPr>
                <w:lang w:val="en-GB"/>
              </w:rPr>
            </w:pPr>
          </w:p>
          <w:p w14:paraId="32214DF1" w14:textId="4CD1F072" w:rsidR="00401D09" w:rsidRPr="004574DC" w:rsidRDefault="00401D09" w:rsidP="00401D09">
            <w:pPr>
              <w:rPr>
                <w:lang w:val="en-GB"/>
              </w:rPr>
            </w:pPr>
            <w:r w:rsidRPr="004574DC">
              <w:rPr>
                <w:sz w:val="16"/>
                <w:lang w:val="en-GB"/>
              </w:rPr>
              <w:t>2.1.2: Number of public-private partnerships providing employment in energy-efficient sectors, including the high-tech sector, agriculture, tourism and green economy</w:t>
            </w:r>
          </w:p>
          <w:p w14:paraId="42B7F33D" w14:textId="77777777" w:rsidR="00401D09" w:rsidRPr="004574DC" w:rsidRDefault="00401D09" w:rsidP="00401D09">
            <w:pPr>
              <w:rPr>
                <w:lang w:val="en-GB"/>
              </w:rPr>
            </w:pPr>
            <w:r w:rsidRPr="004574DC">
              <w:rPr>
                <w:sz w:val="16"/>
                <w:lang w:val="en-GB"/>
              </w:rPr>
              <w:t>Baseline: 0</w:t>
            </w:r>
          </w:p>
          <w:p w14:paraId="25FB3916" w14:textId="77777777" w:rsidR="00401D09" w:rsidRPr="004574DC" w:rsidRDefault="00401D09" w:rsidP="00401D09">
            <w:pPr>
              <w:rPr>
                <w:lang w:val="en-GB"/>
              </w:rPr>
            </w:pPr>
            <w:r w:rsidRPr="004574DC">
              <w:rPr>
                <w:sz w:val="16"/>
                <w:lang w:val="en-GB"/>
              </w:rPr>
              <w:t xml:space="preserve">Target: 10 </w:t>
            </w:r>
          </w:p>
          <w:p w14:paraId="31C9D73C" w14:textId="481C33C4" w:rsidR="00401D09" w:rsidRPr="004574DC" w:rsidRDefault="00401D09" w:rsidP="00401D09">
            <w:pPr>
              <w:rPr>
                <w:lang w:val="en-GB"/>
              </w:rPr>
            </w:pPr>
            <w:r w:rsidRPr="004574DC">
              <w:rPr>
                <w:sz w:val="16"/>
                <w:lang w:val="en-GB"/>
              </w:rPr>
              <w:t xml:space="preserve">Data: </w:t>
            </w:r>
            <w:r w:rsidRPr="004574DC">
              <w:rPr>
                <w:sz w:val="16"/>
                <w:lang w:val="en-GB" w:eastAsia="en-GB"/>
              </w:rPr>
              <w:t xml:space="preserve"> Official </w:t>
            </w:r>
            <w:r w:rsidR="00426D80" w:rsidRPr="004574DC">
              <w:rPr>
                <w:sz w:val="16"/>
                <w:lang w:val="en-GB" w:eastAsia="en-GB"/>
              </w:rPr>
              <w:t>g</w:t>
            </w:r>
            <w:r w:rsidRPr="004574DC">
              <w:rPr>
                <w:sz w:val="16"/>
                <w:lang w:val="en-GB" w:eastAsia="en-GB"/>
              </w:rPr>
              <w:t>overnment reports, project reports</w:t>
            </w:r>
          </w:p>
          <w:p w14:paraId="2752F543" w14:textId="77777777" w:rsidR="00401D09" w:rsidRPr="004574DC" w:rsidRDefault="00401D09" w:rsidP="00401D09">
            <w:pPr>
              <w:rPr>
                <w:sz w:val="16"/>
                <w:lang w:val="en-GB"/>
              </w:rPr>
            </w:pPr>
          </w:p>
          <w:p w14:paraId="3497C45C" w14:textId="7CF0114F" w:rsidR="00401D09" w:rsidRPr="004574DC" w:rsidRDefault="00401D09" w:rsidP="00401D09">
            <w:pPr>
              <w:rPr>
                <w:sz w:val="16"/>
                <w:lang w:val="en-GB" w:eastAsia="en-GB"/>
              </w:rPr>
            </w:pPr>
            <w:r w:rsidRPr="004574DC">
              <w:rPr>
                <w:sz w:val="16"/>
                <w:lang w:val="en-GB" w:eastAsia="en-GB"/>
              </w:rPr>
              <w:t>2.1.3</w:t>
            </w:r>
            <w:r w:rsidR="00A10B3A" w:rsidRPr="004574DC">
              <w:rPr>
                <w:sz w:val="16"/>
                <w:lang w:val="en-GB" w:eastAsia="en-GB"/>
              </w:rPr>
              <w:t>:</w:t>
            </w:r>
            <w:r w:rsidRPr="004574DC">
              <w:rPr>
                <w:sz w:val="16"/>
                <w:lang w:val="en-GB" w:eastAsia="en-GB"/>
              </w:rPr>
              <w:t xml:space="preserve"> Number of capacity building measures to support bilateral negotiations for Belarus WTO membership</w:t>
            </w:r>
            <w:r w:rsidRPr="004574DC">
              <w:rPr>
                <w:sz w:val="16"/>
                <w:lang w:val="en-GB" w:eastAsia="en-GB"/>
              </w:rPr>
              <w:br/>
            </w:r>
            <w:r w:rsidRPr="004574DC">
              <w:rPr>
                <w:sz w:val="16"/>
                <w:lang w:val="en-GB"/>
              </w:rPr>
              <w:t>Baseline</w:t>
            </w:r>
            <w:r w:rsidRPr="004574DC">
              <w:rPr>
                <w:sz w:val="16"/>
                <w:lang w:val="en-GB" w:eastAsia="en-GB"/>
              </w:rPr>
              <w:t>: 0 (2014)</w:t>
            </w:r>
            <w:r w:rsidRPr="004574DC">
              <w:rPr>
                <w:sz w:val="16"/>
                <w:lang w:val="en-GB" w:eastAsia="en-GB"/>
              </w:rPr>
              <w:br/>
              <w:t>Target: 10 (2017)</w:t>
            </w:r>
          </w:p>
          <w:p w14:paraId="3D54E007" w14:textId="7CFAB21A" w:rsidR="00401D09" w:rsidRPr="004574DC" w:rsidRDefault="00401D09" w:rsidP="00401D09">
            <w:pPr>
              <w:rPr>
                <w:sz w:val="16"/>
                <w:lang w:val="en-GB"/>
              </w:rPr>
            </w:pPr>
            <w:r w:rsidRPr="004574DC">
              <w:rPr>
                <w:sz w:val="16"/>
                <w:lang w:val="en-GB"/>
              </w:rPr>
              <w:t xml:space="preserve">Data:  </w:t>
            </w:r>
            <w:r w:rsidRPr="004574DC">
              <w:rPr>
                <w:sz w:val="16"/>
                <w:lang w:val="en-GB" w:eastAsia="en-GB"/>
              </w:rPr>
              <w:t xml:space="preserve">Official </w:t>
            </w:r>
            <w:r w:rsidR="00426D80" w:rsidRPr="004574DC">
              <w:rPr>
                <w:sz w:val="16"/>
                <w:lang w:val="en-GB" w:eastAsia="en-GB"/>
              </w:rPr>
              <w:t>g</w:t>
            </w:r>
            <w:r w:rsidRPr="004574DC">
              <w:rPr>
                <w:sz w:val="16"/>
                <w:lang w:val="en-GB" w:eastAsia="en-GB"/>
              </w:rPr>
              <w:t>overnment reports, project reports</w:t>
            </w:r>
          </w:p>
          <w:p w14:paraId="7C2347E1" w14:textId="77777777" w:rsidR="00401D09" w:rsidRPr="004574DC" w:rsidRDefault="00401D09" w:rsidP="00401D09">
            <w:pPr>
              <w:rPr>
                <w:lang w:val="en-GB"/>
              </w:rPr>
            </w:pPr>
          </w:p>
          <w:p w14:paraId="70896CAF" w14:textId="388F8FB9" w:rsidR="00401D09" w:rsidRPr="004574DC" w:rsidRDefault="00401D09" w:rsidP="00401D09">
            <w:pPr>
              <w:rPr>
                <w:sz w:val="16"/>
                <w:lang w:val="en-GB" w:eastAsia="en-GB"/>
              </w:rPr>
            </w:pPr>
            <w:r w:rsidRPr="004574DC">
              <w:rPr>
                <w:b/>
                <w:sz w:val="16"/>
                <w:lang w:val="en-GB" w:eastAsia="en-GB"/>
              </w:rPr>
              <w:t>Output 2.2:  Inclusive and sustainable socioeconomic policies developed and implemented in selected sectors</w:t>
            </w:r>
          </w:p>
          <w:p w14:paraId="631B6FC8" w14:textId="77777777" w:rsidR="00401D09" w:rsidRPr="004574DC" w:rsidRDefault="00401D09" w:rsidP="00401D09">
            <w:pPr>
              <w:rPr>
                <w:sz w:val="16"/>
                <w:lang w:val="en-GB" w:eastAsia="en-GB"/>
              </w:rPr>
            </w:pPr>
          </w:p>
          <w:p w14:paraId="2E9C2F63" w14:textId="768984D8" w:rsidR="00401D09" w:rsidRPr="004574DC" w:rsidRDefault="00401D09" w:rsidP="00401D09">
            <w:pPr>
              <w:rPr>
                <w:lang w:val="en-GB" w:eastAsia="en-GB"/>
              </w:rPr>
            </w:pPr>
            <w:r w:rsidRPr="004574DC">
              <w:rPr>
                <w:sz w:val="16"/>
                <w:lang w:val="en-GB" w:eastAsia="en-GB"/>
              </w:rPr>
              <w:t>2.2.1: Number of local development initiatives that create income generation opportunities in response to the specific needs of vulnerable groups, including in Chernobyl-affected areas</w:t>
            </w:r>
          </w:p>
          <w:p w14:paraId="38D2B9BD" w14:textId="77777777" w:rsidR="00401D09" w:rsidRPr="004574DC" w:rsidRDefault="00401D09" w:rsidP="00401D09">
            <w:pPr>
              <w:rPr>
                <w:lang w:val="en-GB" w:eastAsia="en-GB"/>
              </w:rPr>
            </w:pPr>
            <w:r w:rsidRPr="004574DC">
              <w:rPr>
                <w:sz w:val="16"/>
                <w:lang w:val="en-GB"/>
              </w:rPr>
              <w:t>Baseline</w:t>
            </w:r>
            <w:r w:rsidRPr="004574DC">
              <w:rPr>
                <w:sz w:val="16"/>
                <w:lang w:val="en-GB" w:eastAsia="en-GB"/>
              </w:rPr>
              <w:t>: none</w:t>
            </w:r>
            <w:r w:rsidRPr="004574DC">
              <w:rPr>
                <w:sz w:val="16"/>
                <w:lang w:val="en-GB" w:eastAsia="en-GB"/>
              </w:rPr>
              <w:br/>
              <w:t>Target: 30</w:t>
            </w:r>
          </w:p>
          <w:p w14:paraId="072C5A29" w14:textId="14BA4E1A" w:rsidR="00401D09" w:rsidRPr="004574DC" w:rsidRDefault="00401D09" w:rsidP="00401D09">
            <w:pPr>
              <w:rPr>
                <w:lang w:val="en-GB" w:eastAsia="en-GB"/>
              </w:rPr>
            </w:pPr>
            <w:r w:rsidRPr="004574DC">
              <w:rPr>
                <w:sz w:val="16"/>
                <w:lang w:val="en-GB" w:eastAsia="en-GB"/>
              </w:rPr>
              <w:t xml:space="preserve">Data: Official </w:t>
            </w:r>
            <w:r w:rsidR="00A10B3A" w:rsidRPr="004574DC">
              <w:rPr>
                <w:sz w:val="16"/>
                <w:lang w:val="en-GB" w:eastAsia="en-GB"/>
              </w:rPr>
              <w:t>g</w:t>
            </w:r>
            <w:r w:rsidRPr="004574DC">
              <w:rPr>
                <w:sz w:val="16"/>
                <w:lang w:val="en-GB" w:eastAsia="en-GB"/>
              </w:rPr>
              <w:t>overnment reports</w:t>
            </w:r>
            <w:r w:rsidR="00F93C06" w:rsidRPr="004574DC">
              <w:rPr>
                <w:sz w:val="16"/>
                <w:lang w:val="en-GB" w:eastAsia="en-GB"/>
              </w:rPr>
              <w:t>, project reports</w:t>
            </w:r>
          </w:p>
          <w:p w14:paraId="4B8B89D8" w14:textId="77777777" w:rsidR="00401D09" w:rsidRPr="00603C82" w:rsidRDefault="00401D09" w:rsidP="00401D09">
            <w:pPr>
              <w:rPr>
                <w:sz w:val="16"/>
                <w:lang w:val="en-GB" w:eastAsia="en-GB"/>
              </w:rPr>
            </w:pPr>
          </w:p>
          <w:p w14:paraId="43341117" w14:textId="0C5F6B8F" w:rsidR="00401D09" w:rsidRPr="004574DC" w:rsidRDefault="00401D09" w:rsidP="00401D09">
            <w:pPr>
              <w:rPr>
                <w:lang w:val="en-GB" w:eastAsia="en-GB"/>
              </w:rPr>
            </w:pPr>
            <w:r w:rsidRPr="00603C82">
              <w:rPr>
                <w:sz w:val="16"/>
                <w:lang w:val="en-GB" w:eastAsia="en-GB"/>
              </w:rPr>
              <w:t>2.2.3: Number of</w:t>
            </w:r>
            <w:r w:rsidR="004A7E5C" w:rsidRPr="00603C82">
              <w:rPr>
                <w:sz w:val="16"/>
                <w:lang w:val="en-GB" w:eastAsia="en-GB"/>
              </w:rPr>
              <w:t xml:space="preserve"> people benefiting from introduced </w:t>
            </w:r>
            <w:r w:rsidR="00A10B3A" w:rsidRPr="00603C82">
              <w:rPr>
                <w:sz w:val="16"/>
                <w:lang w:val="en-GB" w:eastAsia="en-GB"/>
              </w:rPr>
              <w:t>v</w:t>
            </w:r>
            <w:r w:rsidRPr="004574DC">
              <w:rPr>
                <w:sz w:val="16"/>
                <w:lang w:val="en-GB" w:eastAsia="en-GB"/>
              </w:rPr>
              <w:t xml:space="preserve">ocational </w:t>
            </w:r>
            <w:r w:rsidR="00A10B3A" w:rsidRPr="004574DC">
              <w:rPr>
                <w:sz w:val="16"/>
                <w:lang w:val="en-GB" w:eastAsia="en-GB"/>
              </w:rPr>
              <w:t>t</w:t>
            </w:r>
            <w:r w:rsidRPr="004574DC">
              <w:rPr>
                <w:sz w:val="16"/>
                <w:lang w:val="en-GB" w:eastAsia="en-GB"/>
              </w:rPr>
              <w:t>raining courses</w:t>
            </w:r>
            <w:r w:rsidR="00244E71" w:rsidRPr="004574DC">
              <w:rPr>
                <w:sz w:val="16"/>
                <w:lang w:val="en-GB" w:eastAsia="en-GB"/>
              </w:rPr>
              <w:t xml:space="preserve"> and other measures </w:t>
            </w:r>
            <w:r w:rsidRPr="00603C82">
              <w:rPr>
                <w:sz w:val="16"/>
                <w:lang w:val="en-GB" w:eastAsia="en-GB"/>
              </w:rPr>
              <w:t>on small and medium, local and i</w:t>
            </w:r>
            <w:r w:rsidRPr="00AD20B2">
              <w:rPr>
                <w:sz w:val="16"/>
                <w:lang w:val="en-GB" w:eastAsia="en-GB"/>
              </w:rPr>
              <w:t>nnovative business development, including on small business export participation</w:t>
            </w:r>
            <w:r w:rsidR="004A7E5C" w:rsidRPr="004574DC">
              <w:rPr>
                <w:sz w:val="16"/>
                <w:lang w:val="en-GB" w:eastAsia="en-GB"/>
              </w:rPr>
              <w:t>, disaggregated by age, sex and disability</w:t>
            </w:r>
            <w:r w:rsidRPr="004574DC">
              <w:rPr>
                <w:sz w:val="16"/>
                <w:lang w:val="en-GB" w:eastAsia="en-GB"/>
              </w:rPr>
              <w:t xml:space="preserve"> </w:t>
            </w:r>
          </w:p>
          <w:p w14:paraId="3F806F3B" w14:textId="77777777" w:rsidR="00401D09" w:rsidRPr="004574DC" w:rsidRDefault="00401D09" w:rsidP="00401D09">
            <w:pPr>
              <w:rPr>
                <w:lang w:val="en-GB" w:eastAsia="en-GB"/>
              </w:rPr>
            </w:pPr>
            <w:r w:rsidRPr="004574DC">
              <w:rPr>
                <w:sz w:val="16"/>
                <w:lang w:val="en-GB"/>
              </w:rPr>
              <w:t>Baseline</w:t>
            </w:r>
            <w:r w:rsidRPr="004574DC">
              <w:rPr>
                <w:sz w:val="16"/>
                <w:lang w:val="en-GB" w:eastAsia="en-GB"/>
              </w:rPr>
              <w:t xml:space="preserve">: 0 </w:t>
            </w:r>
          </w:p>
          <w:p w14:paraId="3D37F609" w14:textId="77777777" w:rsidR="00401D09" w:rsidRPr="004574DC" w:rsidRDefault="00401D09" w:rsidP="00401D09">
            <w:pPr>
              <w:rPr>
                <w:lang w:val="en-GB" w:eastAsia="en-GB"/>
              </w:rPr>
            </w:pPr>
            <w:r w:rsidRPr="004574DC">
              <w:rPr>
                <w:sz w:val="16"/>
                <w:lang w:val="en-GB" w:eastAsia="en-GB"/>
              </w:rPr>
              <w:t xml:space="preserve">Target: </w:t>
            </w:r>
            <w:r w:rsidR="004A7E5C" w:rsidRPr="004574DC">
              <w:rPr>
                <w:sz w:val="16"/>
                <w:lang w:val="en-GB" w:eastAsia="en-GB"/>
              </w:rPr>
              <w:t>1,500</w:t>
            </w:r>
            <w:r w:rsidRPr="004574DC">
              <w:rPr>
                <w:sz w:val="16"/>
                <w:lang w:val="en-GB" w:eastAsia="en-GB"/>
              </w:rPr>
              <w:t xml:space="preserve"> </w:t>
            </w:r>
          </w:p>
          <w:p w14:paraId="26E69BAD" w14:textId="43AE0153" w:rsidR="00E57DB9" w:rsidRPr="004574DC" w:rsidRDefault="00401D09">
            <w:pPr>
              <w:rPr>
                <w:b/>
                <w:bCs/>
                <w:color w:val="000000"/>
                <w:sz w:val="16"/>
                <w:szCs w:val="16"/>
                <w:lang w:val="en-GB"/>
              </w:rPr>
            </w:pPr>
            <w:r w:rsidRPr="004574DC">
              <w:rPr>
                <w:sz w:val="16"/>
                <w:lang w:val="en-GB" w:eastAsia="en-GB"/>
              </w:rPr>
              <w:t xml:space="preserve">Data:  Official </w:t>
            </w:r>
            <w:r w:rsidR="00A10B3A" w:rsidRPr="004574DC">
              <w:rPr>
                <w:sz w:val="16"/>
                <w:lang w:val="en-GB" w:eastAsia="en-GB"/>
              </w:rPr>
              <w:t>g</w:t>
            </w:r>
            <w:r w:rsidRPr="004574DC">
              <w:rPr>
                <w:sz w:val="16"/>
                <w:lang w:val="en-GB" w:eastAsia="en-GB"/>
              </w:rPr>
              <w:t>overnment reports</w:t>
            </w:r>
            <w:r w:rsidR="00F93C06" w:rsidRPr="004574DC">
              <w:rPr>
                <w:sz w:val="16"/>
                <w:lang w:val="en-GB" w:eastAsia="en-GB"/>
              </w:rPr>
              <w:t>, project reports</w:t>
            </w:r>
          </w:p>
        </w:tc>
        <w:tc>
          <w:tcPr>
            <w:tcW w:w="550" w:type="pct"/>
            <w:gridSpan w:val="3"/>
            <w:vMerge w:val="restart"/>
          </w:tcPr>
          <w:p w14:paraId="77EEFE9B" w14:textId="77777777" w:rsidR="00401D09" w:rsidRPr="004574DC" w:rsidRDefault="00401D09" w:rsidP="00401D09">
            <w:pPr>
              <w:rPr>
                <w:lang w:val="en-GB"/>
              </w:rPr>
            </w:pPr>
            <w:r w:rsidRPr="004574DC">
              <w:rPr>
                <w:sz w:val="16"/>
                <w:lang w:val="en-GB"/>
              </w:rPr>
              <w:lastRenderedPageBreak/>
              <w:t>Ministry of Economy; Ministry of Foreign Affairs; Ministry for Taxes and Duties; Ministry of Sport and Tourism; Ministry of Labour and Social Protection; Ministry of Education; local authorities.</w:t>
            </w:r>
          </w:p>
          <w:p w14:paraId="26AA7A72" w14:textId="0575A5B9" w:rsidR="00401D09" w:rsidRPr="004574DC" w:rsidRDefault="00401D09" w:rsidP="00401D09">
            <w:pPr>
              <w:rPr>
                <w:lang w:val="en-GB"/>
              </w:rPr>
            </w:pPr>
            <w:r w:rsidRPr="004574DC">
              <w:rPr>
                <w:sz w:val="16"/>
                <w:lang w:val="en-GB"/>
              </w:rPr>
              <w:t xml:space="preserve">UNDAF </w:t>
            </w:r>
            <w:r w:rsidR="00A10B3A" w:rsidRPr="004574DC">
              <w:rPr>
                <w:sz w:val="16"/>
                <w:lang w:val="en-GB"/>
              </w:rPr>
              <w:t>organizations</w:t>
            </w:r>
            <w:r w:rsidRPr="004574DC">
              <w:rPr>
                <w:sz w:val="16"/>
                <w:lang w:val="en-GB"/>
              </w:rPr>
              <w:t>, private enterprises and business associations, NGOs</w:t>
            </w:r>
          </w:p>
          <w:p w14:paraId="75281DE2" w14:textId="77777777" w:rsidR="00E57DB9" w:rsidRPr="004574DC" w:rsidRDefault="00E57DB9" w:rsidP="00F3477F">
            <w:pPr>
              <w:rPr>
                <w:i/>
                <w:iCs/>
                <w:color w:val="000000"/>
                <w:sz w:val="16"/>
                <w:szCs w:val="16"/>
                <w:lang w:val="en-GB"/>
              </w:rPr>
            </w:pPr>
          </w:p>
        </w:tc>
        <w:tc>
          <w:tcPr>
            <w:tcW w:w="429" w:type="pct"/>
            <w:tcMar>
              <w:top w:w="15" w:type="dxa"/>
              <w:left w:w="108" w:type="dxa"/>
              <w:bottom w:w="0" w:type="dxa"/>
              <w:right w:w="108" w:type="dxa"/>
            </w:tcMar>
          </w:tcPr>
          <w:p w14:paraId="1F0F6954" w14:textId="6581D72B" w:rsidR="00E57DB9" w:rsidRPr="004574DC" w:rsidRDefault="00E57DB9" w:rsidP="00F3477F">
            <w:pPr>
              <w:rPr>
                <w:b/>
                <w:color w:val="000000"/>
                <w:sz w:val="16"/>
                <w:szCs w:val="16"/>
                <w:lang w:val="en-GB"/>
              </w:rPr>
            </w:pPr>
            <w:r w:rsidRPr="004574DC">
              <w:rPr>
                <w:b/>
                <w:color w:val="000000"/>
                <w:sz w:val="16"/>
                <w:szCs w:val="16"/>
                <w:lang w:val="en-GB"/>
              </w:rPr>
              <w:t>Regular</w:t>
            </w:r>
            <w:r w:rsidR="0029653C" w:rsidRPr="004574DC">
              <w:rPr>
                <w:b/>
                <w:color w:val="000000"/>
                <w:sz w:val="16"/>
                <w:szCs w:val="16"/>
                <w:lang w:val="en-GB"/>
              </w:rPr>
              <w:t xml:space="preserve">: </w:t>
            </w:r>
            <w:r w:rsidR="00A10B3A" w:rsidRPr="004574DC">
              <w:rPr>
                <w:b/>
                <w:color w:val="000000"/>
                <w:sz w:val="16"/>
                <w:szCs w:val="16"/>
                <w:lang w:val="en-GB"/>
              </w:rPr>
              <w:t>$</w:t>
            </w:r>
            <w:r w:rsidR="0029653C" w:rsidRPr="004574DC">
              <w:rPr>
                <w:b/>
                <w:color w:val="000000"/>
                <w:sz w:val="16"/>
                <w:szCs w:val="16"/>
                <w:lang w:val="en-GB"/>
              </w:rPr>
              <w:t>500</w:t>
            </w:r>
          </w:p>
        </w:tc>
      </w:tr>
      <w:tr w:rsidR="00E57DB9" w:rsidRPr="004574DC" w14:paraId="2CE5760A" w14:textId="77777777" w:rsidTr="00022DF7">
        <w:tblPrEx>
          <w:tblBorders>
            <w:top w:val="single" w:sz="4" w:space="0" w:color="auto"/>
            <w:left w:val="single" w:sz="4" w:space="0" w:color="auto"/>
            <w:bottom w:val="single" w:sz="4" w:space="0" w:color="auto"/>
            <w:right w:val="single" w:sz="4" w:space="0" w:color="auto"/>
          </w:tblBorders>
        </w:tblPrEx>
        <w:tc>
          <w:tcPr>
            <w:tcW w:w="893" w:type="pct"/>
            <w:vMerge/>
            <w:tcMar>
              <w:top w:w="72" w:type="dxa"/>
              <w:left w:w="144" w:type="dxa"/>
              <w:bottom w:w="72" w:type="dxa"/>
              <w:right w:w="144" w:type="dxa"/>
            </w:tcMar>
          </w:tcPr>
          <w:p w14:paraId="52D629E8" w14:textId="77777777" w:rsidR="00E57DB9" w:rsidRPr="004574DC" w:rsidRDefault="00E57DB9" w:rsidP="00F3477F">
            <w:pPr>
              <w:rPr>
                <w:i/>
                <w:iCs/>
                <w:color w:val="000000"/>
                <w:sz w:val="16"/>
                <w:szCs w:val="16"/>
                <w:lang w:val="en-GB"/>
              </w:rPr>
            </w:pPr>
          </w:p>
        </w:tc>
        <w:tc>
          <w:tcPr>
            <w:tcW w:w="516" w:type="pct"/>
            <w:gridSpan w:val="2"/>
            <w:vMerge/>
          </w:tcPr>
          <w:p w14:paraId="7D127960" w14:textId="77777777" w:rsidR="00E57DB9" w:rsidRPr="004574DC" w:rsidRDefault="00E57DB9" w:rsidP="00F3477F">
            <w:pPr>
              <w:rPr>
                <w:i/>
                <w:iCs/>
                <w:color w:val="000000"/>
                <w:sz w:val="16"/>
                <w:szCs w:val="16"/>
                <w:lang w:val="en-GB"/>
              </w:rPr>
            </w:pPr>
          </w:p>
        </w:tc>
        <w:tc>
          <w:tcPr>
            <w:tcW w:w="2612" w:type="pct"/>
            <w:gridSpan w:val="3"/>
            <w:vMerge/>
            <w:tcMar>
              <w:top w:w="72" w:type="dxa"/>
              <w:left w:w="144" w:type="dxa"/>
              <w:bottom w:w="72" w:type="dxa"/>
              <w:right w:w="144" w:type="dxa"/>
            </w:tcMar>
          </w:tcPr>
          <w:p w14:paraId="48C75EBF" w14:textId="77777777" w:rsidR="00E57DB9" w:rsidRPr="004574DC" w:rsidRDefault="00E57DB9" w:rsidP="00F3477F">
            <w:pPr>
              <w:rPr>
                <w:i/>
                <w:iCs/>
                <w:color w:val="000000"/>
                <w:sz w:val="16"/>
                <w:szCs w:val="16"/>
                <w:lang w:val="en-GB"/>
              </w:rPr>
            </w:pPr>
          </w:p>
        </w:tc>
        <w:tc>
          <w:tcPr>
            <w:tcW w:w="550" w:type="pct"/>
            <w:gridSpan w:val="3"/>
            <w:vMerge/>
          </w:tcPr>
          <w:p w14:paraId="238A9D6E" w14:textId="77777777" w:rsidR="00E57DB9" w:rsidRPr="004574DC" w:rsidRDefault="00E57DB9" w:rsidP="00F3477F">
            <w:pPr>
              <w:rPr>
                <w:i/>
                <w:iCs/>
                <w:color w:val="000000"/>
                <w:sz w:val="16"/>
                <w:szCs w:val="16"/>
                <w:lang w:val="en-GB"/>
              </w:rPr>
            </w:pPr>
          </w:p>
        </w:tc>
        <w:tc>
          <w:tcPr>
            <w:tcW w:w="429" w:type="pct"/>
            <w:tcMar>
              <w:top w:w="15" w:type="dxa"/>
              <w:left w:w="108" w:type="dxa"/>
              <w:bottom w:w="0" w:type="dxa"/>
              <w:right w:w="108" w:type="dxa"/>
            </w:tcMar>
          </w:tcPr>
          <w:p w14:paraId="17C648D9" w14:textId="41287BE4" w:rsidR="00E57DB9" w:rsidRPr="004574DC" w:rsidRDefault="00E57DB9" w:rsidP="00F3477F">
            <w:pPr>
              <w:rPr>
                <w:b/>
                <w:color w:val="000000"/>
                <w:sz w:val="16"/>
                <w:szCs w:val="16"/>
                <w:lang w:val="en-GB"/>
              </w:rPr>
            </w:pPr>
            <w:r w:rsidRPr="004574DC">
              <w:rPr>
                <w:b/>
                <w:color w:val="000000"/>
                <w:sz w:val="16"/>
                <w:szCs w:val="16"/>
                <w:lang w:val="en-GB"/>
              </w:rPr>
              <w:t>Other</w:t>
            </w:r>
            <w:r w:rsidR="0029653C" w:rsidRPr="004574DC">
              <w:rPr>
                <w:b/>
                <w:color w:val="000000"/>
                <w:sz w:val="16"/>
                <w:szCs w:val="16"/>
                <w:lang w:val="en-GB"/>
              </w:rPr>
              <w:t xml:space="preserve">: </w:t>
            </w:r>
            <w:r w:rsidR="00A10B3A" w:rsidRPr="004574DC">
              <w:rPr>
                <w:b/>
                <w:color w:val="000000"/>
                <w:sz w:val="16"/>
                <w:szCs w:val="16"/>
                <w:lang w:val="en-GB"/>
              </w:rPr>
              <w:t>$</w:t>
            </w:r>
            <w:r w:rsidR="0029653C" w:rsidRPr="004574DC">
              <w:rPr>
                <w:b/>
                <w:color w:val="000000"/>
                <w:sz w:val="16"/>
                <w:szCs w:val="16"/>
                <w:lang w:val="en-GB"/>
              </w:rPr>
              <w:t>18,250 (to be mobilized)</w:t>
            </w:r>
          </w:p>
        </w:tc>
      </w:tr>
      <w:tr w:rsidR="00E57DB9" w:rsidRPr="004574DC" w14:paraId="5A529CF4" w14:textId="77777777" w:rsidTr="00915B6B">
        <w:tblPrEx>
          <w:tblBorders>
            <w:top w:val="single" w:sz="4" w:space="0" w:color="auto"/>
            <w:left w:val="single" w:sz="4" w:space="0" w:color="auto"/>
            <w:bottom w:val="single" w:sz="4" w:space="0" w:color="auto"/>
            <w:right w:val="single" w:sz="4" w:space="0" w:color="auto"/>
          </w:tblBorders>
        </w:tblPrEx>
        <w:tc>
          <w:tcPr>
            <w:tcW w:w="893" w:type="pct"/>
            <w:vMerge/>
            <w:tcBorders>
              <w:bottom w:val="single" w:sz="4" w:space="0" w:color="auto"/>
            </w:tcBorders>
            <w:tcMar>
              <w:top w:w="72" w:type="dxa"/>
              <w:left w:w="144" w:type="dxa"/>
              <w:bottom w:w="72" w:type="dxa"/>
              <w:right w:w="144" w:type="dxa"/>
            </w:tcMar>
          </w:tcPr>
          <w:p w14:paraId="79EE22DD" w14:textId="77777777" w:rsidR="00E57DB9" w:rsidRPr="004574DC" w:rsidRDefault="00E57DB9" w:rsidP="00F3477F">
            <w:pPr>
              <w:rPr>
                <w:i/>
                <w:iCs/>
                <w:color w:val="000000"/>
                <w:sz w:val="16"/>
                <w:szCs w:val="16"/>
                <w:lang w:val="en-GB"/>
              </w:rPr>
            </w:pPr>
          </w:p>
        </w:tc>
        <w:tc>
          <w:tcPr>
            <w:tcW w:w="516" w:type="pct"/>
            <w:gridSpan w:val="2"/>
            <w:vMerge/>
            <w:tcBorders>
              <w:bottom w:val="single" w:sz="4" w:space="0" w:color="auto"/>
            </w:tcBorders>
          </w:tcPr>
          <w:p w14:paraId="3FBC7232" w14:textId="77777777" w:rsidR="00E57DB9" w:rsidRPr="004574DC" w:rsidRDefault="00E57DB9" w:rsidP="00F3477F">
            <w:pPr>
              <w:rPr>
                <w:i/>
                <w:iCs/>
                <w:color w:val="000000"/>
                <w:sz w:val="16"/>
                <w:szCs w:val="16"/>
                <w:lang w:val="en-GB"/>
              </w:rPr>
            </w:pPr>
          </w:p>
        </w:tc>
        <w:tc>
          <w:tcPr>
            <w:tcW w:w="2612" w:type="pct"/>
            <w:gridSpan w:val="3"/>
            <w:vMerge/>
            <w:tcBorders>
              <w:bottom w:val="single" w:sz="4" w:space="0" w:color="auto"/>
            </w:tcBorders>
            <w:tcMar>
              <w:top w:w="72" w:type="dxa"/>
              <w:left w:w="144" w:type="dxa"/>
              <w:bottom w:w="72" w:type="dxa"/>
              <w:right w:w="144" w:type="dxa"/>
            </w:tcMar>
          </w:tcPr>
          <w:p w14:paraId="3B75B005" w14:textId="77777777" w:rsidR="00E57DB9" w:rsidRPr="004574DC" w:rsidRDefault="00E57DB9" w:rsidP="00F3477F">
            <w:pPr>
              <w:rPr>
                <w:i/>
                <w:iCs/>
                <w:color w:val="000000"/>
                <w:sz w:val="16"/>
                <w:szCs w:val="16"/>
                <w:lang w:val="en-GB"/>
              </w:rPr>
            </w:pPr>
          </w:p>
        </w:tc>
        <w:tc>
          <w:tcPr>
            <w:tcW w:w="550" w:type="pct"/>
            <w:gridSpan w:val="3"/>
            <w:vMerge/>
            <w:tcBorders>
              <w:bottom w:val="single" w:sz="4" w:space="0" w:color="auto"/>
            </w:tcBorders>
          </w:tcPr>
          <w:p w14:paraId="2CEE9113" w14:textId="77777777" w:rsidR="00E57DB9" w:rsidRPr="004574DC" w:rsidRDefault="00E57DB9" w:rsidP="00F3477F">
            <w:pPr>
              <w:rPr>
                <w:i/>
                <w:iCs/>
                <w:color w:val="000000"/>
                <w:sz w:val="16"/>
                <w:szCs w:val="16"/>
                <w:lang w:val="en-GB"/>
              </w:rPr>
            </w:pPr>
          </w:p>
        </w:tc>
        <w:tc>
          <w:tcPr>
            <w:tcW w:w="429" w:type="pct"/>
            <w:tcBorders>
              <w:bottom w:val="single" w:sz="4" w:space="0" w:color="auto"/>
            </w:tcBorders>
            <w:tcMar>
              <w:top w:w="15" w:type="dxa"/>
              <w:left w:w="108" w:type="dxa"/>
              <w:bottom w:w="0" w:type="dxa"/>
              <w:right w:w="108" w:type="dxa"/>
            </w:tcMar>
          </w:tcPr>
          <w:p w14:paraId="574056E6" w14:textId="77777777" w:rsidR="00E57DB9" w:rsidRPr="004574DC" w:rsidRDefault="00E57DB9" w:rsidP="00F3477F">
            <w:pPr>
              <w:rPr>
                <w:b/>
                <w:color w:val="000000"/>
                <w:sz w:val="16"/>
                <w:szCs w:val="16"/>
                <w:lang w:val="en-GB"/>
              </w:rPr>
            </w:pPr>
          </w:p>
        </w:tc>
      </w:tr>
      <w:tr w:rsidR="00401D09" w:rsidRPr="004574DC" w14:paraId="21A89263"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2E5C2FF5" w14:textId="4C14C68D" w:rsidR="00401D09" w:rsidRPr="004574DC" w:rsidRDefault="00401D09" w:rsidP="0029108C">
            <w:pPr>
              <w:rPr>
                <w:b/>
                <w:lang w:val="en-GB"/>
              </w:rPr>
            </w:pPr>
            <w:r w:rsidRPr="00603C82">
              <w:rPr>
                <w:b/>
                <w:bCs/>
                <w:color w:val="000000"/>
                <w:sz w:val="17"/>
                <w:szCs w:val="17"/>
                <w:lang w:val="en-GB"/>
              </w:rPr>
              <w:lastRenderedPageBreak/>
              <w:t>National priority or goal</w:t>
            </w:r>
            <w:r w:rsidRPr="00603C82">
              <w:rPr>
                <w:b/>
                <w:sz w:val="16"/>
                <w:lang w:val="en-GB"/>
              </w:rPr>
              <w:t xml:space="preserve">:  </w:t>
            </w:r>
            <w:r w:rsidRPr="00AD20B2">
              <w:rPr>
                <w:sz w:val="16"/>
                <w:lang w:val="en-GB"/>
              </w:rPr>
              <w:t>Preservation of the natural potential for future generations, preservation and sustainable use of biological and landscape diversity</w:t>
            </w:r>
            <w:r w:rsidRPr="004574DC">
              <w:rPr>
                <w:sz w:val="16"/>
                <w:lang w:val="en-GB"/>
              </w:rPr>
              <w:t xml:space="preserve"> protect, restore and promote sustainable use of terrestrial ecosystems, sustainably manage forests, combat desertification, and halt and reverse land degradation and halt biodiversity loss; urgent action to combat climate change and its impacts; ensure access to affordable, reliable, sustainable, and modern energy for all</w:t>
            </w:r>
            <w:r w:rsidRPr="004574DC">
              <w:rPr>
                <w:lang w:val="en-GB"/>
              </w:rPr>
              <w:t xml:space="preserve"> </w:t>
            </w:r>
            <w:r w:rsidRPr="004574DC">
              <w:rPr>
                <w:sz w:val="16"/>
                <w:lang w:val="en-GB"/>
              </w:rPr>
              <w:t>(NSDS 2030</w:t>
            </w:r>
            <w:r w:rsidR="0029108C" w:rsidRPr="004574DC">
              <w:rPr>
                <w:sz w:val="16"/>
                <w:lang w:val="en-GB"/>
              </w:rPr>
              <w:t>; draft SDGs</w:t>
            </w:r>
            <w:r w:rsidRPr="004574DC">
              <w:rPr>
                <w:sz w:val="16"/>
                <w:lang w:val="en-GB"/>
              </w:rPr>
              <w:t xml:space="preserve">); </w:t>
            </w:r>
            <w:r w:rsidR="00A10B3A" w:rsidRPr="004574DC">
              <w:rPr>
                <w:sz w:val="16"/>
                <w:lang w:val="en-GB"/>
              </w:rPr>
              <w:t>e</w:t>
            </w:r>
            <w:r w:rsidRPr="004574DC">
              <w:rPr>
                <w:sz w:val="16"/>
                <w:lang w:val="en-GB"/>
              </w:rPr>
              <w:t xml:space="preserve">nvironmental sustainability (Post-2015 </w:t>
            </w:r>
            <w:r w:rsidR="00A10B3A" w:rsidRPr="004574DC">
              <w:rPr>
                <w:sz w:val="16"/>
                <w:lang w:val="en-GB"/>
              </w:rPr>
              <w:t>n</w:t>
            </w:r>
            <w:r w:rsidRPr="004574DC">
              <w:rPr>
                <w:sz w:val="16"/>
                <w:lang w:val="en-GB"/>
              </w:rPr>
              <w:t xml:space="preserve">ational </w:t>
            </w:r>
            <w:r w:rsidR="00A10B3A" w:rsidRPr="004574DC">
              <w:rPr>
                <w:sz w:val="16"/>
                <w:lang w:val="en-GB"/>
              </w:rPr>
              <w:t>c</w:t>
            </w:r>
            <w:r w:rsidRPr="004574DC">
              <w:rPr>
                <w:sz w:val="16"/>
                <w:lang w:val="en-GB"/>
              </w:rPr>
              <w:t>onsultations)</w:t>
            </w:r>
            <w:r w:rsidR="00A10B3A" w:rsidRPr="004574DC">
              <w:rPr>
                <w:sz w:val="16"/>
                <w:lang w:val="en-GB"/>
              </w:rPr>
              <w:t>.</w:t>
            </w:r>
          </w:p>
        </w:tc>
      </w:tr>
      <w:tr w:rsidR="00401D09" w:rsidRPr="004574DC" w14:paraId="5C4548F1"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5B04A546" w14:textId="77777777" w:rsidR="00401D09" w:rsidRPr="004574DC" w:rsidRDefault="00401D09" w:rsidP="00401D09">
            <w:pPr>
              <w:rPr>
                <w:b/>
                <w:lang w:val="en-GB"/>
              </w:rPr>
            </w:pPr>
            <w:r w:rsidRPr="00603C82">
              <w:rPr>
                <w:b/>
                <w:sz w:val="16"/>
                <w:lang w:val="en-GB"/>
              </w:rPr>
              <w:t xml:space="preserve">UNDAF outcome 3.1: </w:t>
            </w:r>
            <w:r w:rsidRPr="00603C82">
              <w:rPr>
                <w:sz w:val="16"/>
                <w:lang w:val="en-GB"/>
              </w:rPr>
              <w:t>By 2020, policies have been improved and measures have been effectively implemented to increase energy efficiency and production of renewable energy, protect landscape and biological diversity and reduce the anthropogenic burden on the environment.</w:t>
            </w:r>
            <w:r w:rsidRPr="00AD20B2">
              <w:rPr>
                <w:b/>
                <w:sz w:val="16"/>
                <w:lang w:val="en-GB"/>
              </w:rPr>
              <w:t xml:space="preserve"> </w:t>
            </w:r>
          </w:p>
        </w:tc>
      </w:tr>
      <w:tr w:rsidR="00401D09" w:rsidRPr="004574DC" w14:paraId="1389F512"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690C2F92" w14:textId="6AE4C2FD" w:rsidR="00401D09" w:rsidRPr="00AD20B2" w:rsidRDefault="00401D09" w:rsidP="00401D09">
            <w:pPr>
              <w:rPr>
                <w:b/>
                <w:lang w:val="en-GB"/>
              </w:rPr>
            </w:pPr>
            <w:r w:rsidRPr="00603C82">
              <w:rPr>
                <w:b/>
                <w:sz w:val="16"/>
                <w:lang w:val="en-GB"/>
              </w:rPr>
              <w:t xml:space="preserve">Strategic plan outcome 1: </w:t>
            </w:r>
            <w:r w:rsidRPr="00603C82">
              <w:rPr>
                <w:sz w:val="16"/>
                <w:lang w:val="en-GB"/>
              </w:rPr>
              <w:t>Growth and development are inclusive and sustainable, incorporating productive capacities that create employment and livelihoods for the poor and excluded</w:t>
            </w:r>
            <w:r w:rsidR="00A10B3A" w:rsidRPr="00603C82">
              <w:rPr>
                <w:sz w:val="16"/>
                <w:lang w:val="en-GB"/>
              </w:rPr>
              <w:t>.</w:t>
            </w:r>
          </w:p>
        </w:tc>
      </w:tr>
      <w:tr w:rsidR="00E57DB9" w:rsidRPr="004574DC" w14:paraId="14AA6F2F" w14:textId="77777777" w:rsidTr="00022DF7">
        <w:tblPrEx>
          <w:tblBorders>
            <w:top w:val="single" w:sz="4" w:space="0" w:color="auto"/>
            <w:left w:val="single" w:sz="4" w:space="0" w:color="auto"/>
            <w:bottom w:val="single" w:sz="4" w:space="0" w:color="auto"/>
            <w:right w:val="single" w:sz="4" w:space="0" w:color="auto"/>
          </w:tblBorders>
        </w:tblPrEx>
        <w:tc>
          <w:tcPr>
            <w:tcW w:w="893" w:type="pct"/>
            <w:vMerge w:val="restart"/>
            <w:tcMar>
              <w:top w:w="72" w:type="dxa"/>
              <w:left w:w="144" w:type="dxa"/>
              <w:bottom w:w="72" w:type="dxa"/>
              <w:right w:w="144" w:type="dxa"/>
            </w:tcMar>
          </w:tcPr>
          <w:p w14:paraId="2E8B5EC6" w14:textId="4EFB92EA" w:rsidR="00401D09" w:rsidRPr="004574DC" w:rsidRDefault="00401D09" w:rsidP="00401D09">
            <w:pPr>
              <w:rPr>
                <w:lang w:val="en-GB"/>
              </w:rPr>
            </w:pPr>
            <w:r w:rsidRPr="00603C82">
              <w:rPr>
                <w:sz w:val="16"/>
                <w:lang w:val="en-GB"/>
              </w:rPr>
              <w:t xml:space="preserve">3.1.2. </w:t>
            </w:r>
            <w:r w:rsidR="00A10B3A" w:rsidRPr="00603C82">
              <w:rPr>
                <w:sz w:val="16"/>
                <w:lang w:val="en-GB"/>
              </w:rPr>
              <w:t>Percentage</w:t>
            </w:r>
            <w:r w:rsidRPr="00603C82">
              <w:rPr>
                <w:sz w:val="16"/>
                <w:lang w:val="en-GB"/>
              </w:rPr>
              <w:t xml:space="preserve"> of primary energy produced from renewable energy sources in the total amount of energy consumed</w:t>
            </w:r>
            <w:r w:rsidRPr="004574DC">
              <w:rPr>
                <w:sz w:val="16"/>
                <w:lang w:val="en-GB"/>
              </w:rPr>
              <w:t xml:space="preserve"> </w:t>
            </w:r>
          </w:p>
          <w:p w14:paraId="33BFA45A" w14:textId="77777777" w:rsidR="00401D09" w:rsidRPr="004574DC" w:rsidRDefault="00401D09" w:rsidP="00401D09">
            <w:pPr>
              <w:rPr>
                <w:lang w:val="en-GB"/>
              </w:rPr>
            </w:pPr>
            <w:r w:rsidRPr="004574DC">
              <w:rPr>
                <w:sz w:val="16"/>
                <w:lang w:val="en-GB"/>
              </w:rPr>
              <w:t>Baseline: 5% (2010), 5.5% (2015 projection)</w:t>
            </w:r>
            <w:r w:rsidRPr="004574DC">
              <w:rPr>
                <w:sz w:val="16"/>
                <w:lang w:val="en-GB"/>
              </w:rPr>
              <w:br/>
              <w:t>Target: 6 % (2020)</w:t>
            </w:r>
          </w:p>
          <w:p w14:paraId="5A10E30A" w14:textId="77777777" w:rsidR="00401D09" w:rsidRPr="004574DC" w:rsidRDefault="00401D09" w:rsidP="00401D09">
            <w:pPr>
              <w:rPr>
                <w:lang w:val="en-GB"/>
              </w:rPr>
            </w:pPr>
          </w:p>
          <w:p w14:paraId="54E2E85F" w14:textId="77777777" w:rsidR="00401D09" w:rsidRPr="004574DC" w:rsidRDefault="00401D09" w:rsidP="00401D09">
            <w:pPr>
              <w:rPr>
                <w:lang w:val="en-GB"/>
              </w:rPr>
            </w:pPr>
            <w:r w:rsidRPr="004574DC">
              <w:rPr>
                <w:sz w:val="16"/>
                <w:lang w:val="en-GB"/>
              </w:rPr>
              <w:t>3.1.3. Tons of pollutants discharged into the atmosphere (tons per unit of square kilometres)</w:t>
            </w:r>
          </w:p>
          <w:p w14:paraId="1FF97A60" w14:textId="77777777" w:rsidR="00401D09" w:rsidRPr="004574DC" w:rsidRDefault="00401D09" w:rsidP="00401D09">
            <w:pPr>
              <w:rPr>
                <w:lang w:val="en-GB"/>
              </w:rPr>
            </w:pPr>
            <w:r w:rsidRPr="004574DC">
              <w:rPr>
                <w:sz w:val="16"/>
                <w:lang w:val="en-GB"/>
              </w:rPr>
              <w:t>Baseline: 6,62 tons/km</w:t>
            </w:r>
            <w:r w:rsidRPr="004574DC">
              <w:rPr>
                <w:sz w:val="16"/>
                <w:vertAlign w:val="superscript"/>
                <w:lang w:val="en-GB"/>
              </w:rPr>
              <w:t>2</w:t>
            </w:r>
            <w:r w:rsidRPr="004574DC">
              <w:rPr>
                <w:sz w:val="16"/>
                <w:lang w:val="en-GB"/>
              </w:rPr>
              <w:t xml:space="preserve"> (2013)</w:t>
            </w:r>
          </w:p>
          <w:p w14:paraId="40D88400" w14:textId="77777777" w:rsidR="00401D09" w:rsidRPr="004574DC" w:rsidRDefault="00401D09" w:rsidP="00401D09">
            <w:pPr>
              <w:rPr>
                <w:lang w:val="en-GB"/>
              </w:rPr>
            </w:pPr>
            <w:r w:rsidRPr="004574DC">
              <w:rPr>
                <w:sz w:val="16"/>
                <w:lang w:val="en-GB"/>
              </w:rPr>
              <w:t>Target: 6,49 tons/km</w:t>
            </w:r>
            <w:r w:rsidRPr="004574DC">
              <w:rPr>
                <w:sz w:val="16"/>
                <w:vertAlign w:val="superscript"/>
                <w:lang w:val="en-GB"/>
              </w:rPr>
              <w:t>2</w:t>
            </w:r>
            <w:r w:rsidRPr="004574DC">
              <w:rPr>
                <w:sz w:val="16"/>
                <w:lang w:val="en-GB"/>
              </w:rPr>
              <w:t xml:space="preserve"> (2020)</w:t>
            </w:r>
          </w:p>
          <w:p w14:paraId="4D4CC6A5" w14:textId="77777777" w:rsidR="00401D09" w:rsidRPr="004574DC" w:rsidRDefault="00401D09" w:rsidP="00401D09">
            <w:pPr>
              <w:rPr>
                <w:lang w:val="en-GB"/>
              </w:rPr>
            </w:pPr>
          </w:p>
          <w:p w14:paraId="156D8F32" w14:textId="243FF659" w:rsidR="00401D09" w:rsidRPr="004574DC" w:rsidRDefault="00401D09" w:rsidP="00401D09">
            <w:pPr>
              <w:rPr>
                <w:sz w:val="16"/>
                <w:lang w:val="en-GB"/>
              </w:rPr>
            </w:pPr>
            <w:r w:rsidRPr="004574DC">
              <w:rPr>
                <w:sz w:val="16"/>
                <w:lang w:val="en-GB"/>
              </w:rPr>
              <w:t xml:space="preserve">3.1.5. Area of protected territories, </w:t>
            </w:r>
            <w:r w:rsidR="00A10B3A" w:rsidRPr="004574DC">
              <w:rPr>
                <w:sz w:val="16"/>
                <w:lang w:val="en-GB"/>
              </w:rPr>
              <w:t>percentage</w:t>
            </w:r>
            <w:r w:rsidRPr="004574DC">
              <w:rPr>
                <w:sz w:val="16"/>
                <w:lang w:val="en-GB"/>
              </w:rPr>
              <w:t xml:space="preserve"> of country’s area</w:t>
            </w:r>
            <w:r w:rsidRPr="004574DC">
              <w:rPr>
                <w:sz w:val="16"/>
                <w:lang w:val="en-GB"/>
              </w:rPr>
              <w:br/>
              <w:t xml:space="preserve">Baseline: 7.8% of the country’s territory (1 January, 2014) </w:t>
            </w:r>
          </w:p>
          <w:p w14:paraId="271B302E" w14:textId="77777777" w:rsidR="00401D09" w:rsidRPr="004574DC" w:rsidRDefault="00401D09" w:rsidP="00401D09">
            <w:pPr>
              <w:rPr>
                <w:lang w:val="en-GB"/>
              </w:rPr>
            </w:pPr>
            <w:r w:rsidRPr="004574DC">
              <w:rPr>
                <w:sz w:val="16"/>
                <w:lang w:val="en-GB"/>
              </w:rPr>
              <w:t>Target: 8.6% of the country’s territory (2020)</w:t>
            </w:r>
          </w:p>
          <w:p w14:paraId="59142555" w14:textId="77777777" w:rsidR="00E57DB9" w:rsidRPr="004574DC" w:rsidRDefault="00E57DB9" w:rsidP="00401D09">
            <w:pPr>
              <w:ind w:left="360"/>
              <w:rPr>
                <w:bCs/>
                <w:i/>
                <w:color w:val="000000"/>
                <w:sz w:val="16"/>
                <w:szCs w:val="16"/>
                <w:lang w:val="en-GB"/>
              </w:rPr>
            </w:pPr>
          </w:p>
        </w:tc>
        <w:tc>
          <w:tcPr>
            <w:tcW w:w="516" w:type="pct"/>
            <w:gridSpan w:val="2"/>
            <w:vMerge w:val="restart"/>
          </w:tcPr>
          <w:p w14:paraId="74E918CC" w14:textId="44DA77EB" w:rsidR="00E57DB9" w:rsidRPr="004574DC" w:rsidRDefault="00401D09" w:rsidP="00401D09">
            <w:pPr>
              <w:rPr>
                <w:sz w:val="16"/>
                <w:lang w:val="en-GB"/>
              </w:rPr>
            </w:pPr>
            <w:r w:rsidRPr="004574DC">
              <w:rPr>
                <w:sz w:val="16"/>
                <w:lang w:val="en-GB"/>
              </w:rPr>
              <w:t>National Statistical Committee of Belarus, Ministry of Natural Resources and Environmental Protection, Ministry of Education, Energy Efficiency Department</w:t>
            </w:r>
          </w:p>
          <w:p w14:paraId="2D695208" w14:textId="77777777" w:rsidR="00B456EE" w:rsidRPr="004574DC" w:rsidRDefault="00B456EE" w:rsidP="00401D09">
            <w:pPr>
              <w:rPr>
                <w:sz w:val="16"/>
                <w:lang w:val="en-GB"/>
              </w:rPr>
            </w:pPr>
          </w:p>
          <w:p w14:paraId="3C7CC390" w14:textId="77777777" w:rsidR="00B456EE" w:rsidRPr="004574DC" w:rsidRDefault="00B456EE" w:rsidP="00401D09">
            <w:pPr>
              <w:rPr>
                <w:b/>
                <w:bCs/>
                <w:i/>
                <w:color w:val="000000"/>
                <w:sz w:val="16"/>
                <w:szCs w:val="16"/>
                <w:lang w:val="en-GB"/>
              </w:rPr>
            </w:pPr>
            <w:r w:rsidRPr="004574DC">
              <w:rPr>
                <w:i/>
                <w:sz w:val="16"/>
                <w:lang w:val="en-GB"/>
              </w:rPr>
              <w:t>(data to be disaggregated by age and sex)</w:t>
            </w:r>
          </w:p>
        </w:tc>
        <w:tc>
          <w:tcPr>
            <w:tcW w:w="2612" w:type="pct"/>
            <w:gridSpan w:val="3"/>
            <w:vMerge w:val="restart"/>
            <w:tcMar>
              <w:top w:w="72" w:type="dxa"/>
              <w:left w:w="144" w:type="dxa"/>
              <w:bottom w:w="72" w:type="dxa"/>
              <w:right w:w="144" w:type="dxa"/>
            </w:tcMar>
          </w:tcPr>
          <w:p w14:paraId="1967502B" w14:textId="0C374612" w:rsidR="00401D09" w:rsidRPr="004574DC" w:rsidRDefault="00401D09" w:rsidP="00401D09">
            <w:pPr>
              <w:rPr>
                <w:b/>
                <w:sz w:val="16"/>
                <w:lang w:val="en-GB"/>
              </w:rPr>
            </w:pPr>
            <w:r w:rsidRPr="004574DC">
              <w:rPr>
                <w:b/>
                <w:sz w:val="16"/>
                <w:lang w:val="en-GB"/>
              </w:rPr>
              <w:t>Output 3.1</w:t>
            </w:r>
            <w:r w:rsidR="00A10B3A" w:rsidRPr="004574DC">
              <w:rPr>
                <w:b/>
                <w:sz w:val="16"/>
                <w:lang w:val="en-GB"/>
              </w:rPr>
              <w:t>:</w:t>
            </w:r>
            <w:r w:rsidRPr="004574DC">
              <w:rPr>
                <w:b/>
                <w:sz w:val="16"/>
                <w:lang w:val="en-GB"/>
              </w:rPr>
              <w:t xml:space="preserve"> Solutions developed at national and subnational levels for the sustainable management of natural resources, ecosystem services, chemicals and waste </w:t>
            </w:r>
          </w:p>
          <w:p w14:paraId="2B7B47D5" w14:textId="77777777" w:rsidR="00401D09" w:rsidRPr="004574DC" w:rsidRDefault="00401D09" w:rsidP="00401D09">
            <w:pPr>
              <w:rPr>
                <w:lang w:val="en-GB"/>
              </w:rPr>
            </w:pPr>
          </w:p>
          <w:p w14:paraId="337F716C" w14:textId="3F87CFE5" w:rsidR="00401D09" w:rsidRPr="004574DC" w:rsidRDefault="00401D09" w:rsidP="00401D09">
            <w:pPr>
              <w:rPr>
                <w:lang w:val="en-GB"/>
              </w:rPr>
            </w:pPr>
            <w:r w:rsidRPr="004574DC">
              <w:rPr>
                <w:sz w:val="16"/>
                <w:lang w:val="en-GB"/>
              </w:rPr>
              <w:t>3.1.1: Number of new jobs created through management of natural resources, ecosystem services, chemicals and waste, disaggregated by sex</w:t>
            </w:r>
          </w:p>
          <w:p w14:paraId="3B2F1B2B" w14:textId="77777777" w:rsidR="00401D09" w:rsidRPr="004574DC" w:rsidRDefault="00401D09" w:rsidP="00401D09">
            <w:pPr>
              <w:rPr>
                <w:lang w:val="en-GB"/>
              </w:rPr>
            </w:pPr>
            <w:r w:rsidRPr="004574DC">
              <w:rPr>
                <w:sz w:val="16"/>
                <w:lang w:val="en-GB"/>
              </w:rPr>
              <w:t>Baseline: 0</w:t>
            </w:r>
          </w:p>
          <w:p w14:paraId="19321FC8" w14:textId="77777777" w:rsidR="00401D09" w:rsidRPr="004574DC" w:rsidRDefault="00401D09" w:rsidP="00401D09">
            <w:pPr>
              <w:rPr>
                <w:lang w:val="en-GB"/>
              </w:rPr>
            </w:pPr>
            <w:r w:rsidRPr="004574DC">
              <w:rPr>
                <w:sz w:val="16"/>
                <w:lang w:val="en-GB"/>
              </w:rPr>
              <w:t>Target: 30 (including at least one half for women)</w:t>
            </w:r>
          </w:p>
          <w:p w14:paraId="32FA095C" w14:textId="77777777" w:rsidR="00401D09" w:rsidRPr="004574DC" w:rsidRDefault="00401D09" w:rsidP="00401D09">
            <w:pPr>
              <w:rPr>
                <w:lang w:val="en-GB"/>
              </w:rPr>
            </w:pPr>
            <w:r w:rsidRPr="004574DC">
              <w:rPr>
                <w:sz w:val="16"/>
                <w:lang w:val="en-GB"/>
              </w:rPr>
              <w:t>Data: Statistics from local authorities</w:t>
            </w:r>
          </w:p>
          <w:p w14:paraId="3D45CFC3" w14:textId="77777777" w:rsidR="00401D09" w:rsidRPr="004574DC" w:rsidRDefault="00401D09" w:rsidP="00401D09">
            <w:pPr>
              <w:rPr>
                <w:lang w:val="en-GB"/>
              </w:rPr>
            </w:pPr>
          </w:p>
          <w:p w14:paraId="02BDAA9C" w14:textId="77777777" w:rsidR="00401D09" w:rsidRPr="004574DC" w:rsidRDefault="00401D09" w:rsidP="00401D09">
            <w:pPr>
              <w:rPr>
                <w:lang w:val="en-GB"/>
              </w:rPr>
            </w:pPr>
            <w:r w:rsidRPr="004574DC">
              <w:rPr>
                <w:sz w:val="16"/>
                <w:lang w:val="en-GB"/>
              </w:rPr>
              <w:t xml:space="preserve">3.1.2: Number of functioning river basin coordination mechanisms that include neighbouring countries </w:t>
            </w:r>
          </w:p>
          <w:p w14:paraId="4146C8BC" w14:textId="77777777" w:rsidR="00401D09" w:rsidRPr="004574DC" w:rsidRDefault="00401D09" w:rsidP="00401D09">
            <w:pPr>
              <w:rPr>
                <w:lang w:val="en-GB"/>
              </w:rPr>
            </w:pPr>
            <w:r w:rsidRPr="004574DC">
              <w:rPr>
                <w:sz w:val="16"/>
                <w:lang w:val="en-GB"/>
              </w:rPr>
              <w:t>Baseline:  0</w:t>
            </w:r>
          </w:p>
          <w:p w14:paraId="538FB8A1" w14:textId="77777777" w:rsidR="00401D09" w:rsidRPr="004574DC" w:rsidRDefault="00401D09" w:rsidP="00401D09">
            <w:pPr>
              <w:rPr>
                <w:lang w:val="en-GB"/>
              </w:rPr>
            </w:pPr>
            <w:r w:rsidRPr="004574DC">
              <w:rPr>
                <w:sz w:val="16"/>
                <w:lang w:val="en-GB"/>
              </w:rPr>
              <w:t xml:space="preserve">Target:  2 </w:t>
            </w:r>
          </w:p>
          <w:p w14:paraId="4BAACB49" w14:textId="583F563D" w:rsidR="00401D09" w:rsidRPr="004574DC" w:rsidRDefault="00401D09" w:rsidP="00401D09">
            <w:pPr>
              <w:rPr>
                <w:sz w:val="16"/>
                <w:lang w:val="en-GB" w:eastAsia="en-GB"/>
              </w:rPr>
            </w:pPr>
            <w:r w:rsidRPr="004574DC">
              <w:rPr>
                <w:sz w:val="16"/>
                <w:lang w:val="en-GB"/>
              </w:rPr>
              <w:t xml:space="preserve">Data: </w:t>
            </w:r>
            <w:r w:rsidRPr="004574DC">
              <w:rPr>
                <w:sz w:val="16"/>
                <w:lang w:val="en-GB" w:eastAsia="en-GB"/>
              </w:rPr>
              <w:t xml:space="preserve"> Official </w:t>
            </w:r>
            <w:r w:rsidR="00A10B3A" w:rsidRPr="004574DC">
              <w:rPr>
                <w:sz w:val="16"/>
                <w:lang w:val="en-GB" w:eastAsia="en-GB"/>
              </w:rPr>
              <w:t>g</w:t>
            </w:r>
            <w:r w:rsidRPr="004574DC">
              <w:rPr>
                <w:sz w:val="16"/>
                <w:lang w:val="en-GB" w:eastAsia="en-GB"/>
              </w:rPr>
              <w:t>overnment reports, project reports</w:t>
            </w:r>
          </w:p>
          <w:p w14:paraId="72457E57" w14:textId="77777777" w:rsidR="00401D09" w:rsidRPr="004574DC" w:rsidRDefault="00401D09" w:rsidP="00401D09">
            <w:pPr>
              <w:rPr>
                <w:sz w:val="16"/>
                <w:lang w:val="en-GB"/>
              </w:rPr>
            </w:pPr>
          </w:p>
          <w:p w14:paraId="6F0CD31A" w14:textId="10DC3808" w:rsidR="00401D09" w:rsidRPr="004574DC" w:rsidRDefault="00401D09" w:rsidP="00401D09">
            <w:pPr>
              <w:rPr>
                <w:b/>
                <w:sz w:val="16"/>
                <w:lang w:val="en-GB"/>
              </w:rPr>
            </w:pPr>
            <w:r w:rsidRPr="004574DC">
              <w:rPr>
                <w:b/>
                <w:sz w:val="16"/>
                <w:lang w:val="en-GB"/>
              </w:rPr>
              <w:t>Output 3.2</w:t>
            </w:r>
            <w:r w:rsidR="00A10B3A" w:rsidRPr="004574DC">
              <w:rPr>
                <w:b/>
                <w:sz w:val="16"/>
                <w:lang w:val="en-GB"/>
              </w:rPr>
              <w:t>:</w:t>
            </w:r>
            <w:r w:rsidRPr="004574DC">
              <w:rPr>
                <w:b/>
                <w:sz w:val="16"/>
                <w:lang w:val="en-GB"/>
              </w:rPr>
              <w:t xml:space="preserve"> Legal and regulatory frameworks, policies and institutions able to ensure the conservation and sustainable use of natural resources, biodiversity and ecosystems, in line with international conventions and national legislation</w:t>
            </w:r>
          </w:p>
          <w:p w14:paraId="47CB5F4F" w14:textId="77777777" w:rsidR="00A10B3A" w:rsidRPr="004574DC" w:rsidRDefault="00A10B3A" w:rsidP="00401D09">
            <w:pPr>
              <w:tabs>
                <w:tab w:val="left" w:pos="294"/>
              </w:tabs>
              <w:rPr>
                <w:sz w:val="16"/>
                <w:lang w:val="en-GB"/>
              </w:rPr>
            </w:pPr>
          </w:p>
          <w:p w14:paraId="5A0B8441" w14:textId="7E8DCCDA" w:rsidR="00401D09" w:rsidRPr="004574DC" w:rsidRDefault="00401D09" w:rsidP="00401D09">
            <w:pPr>
              <w:tabs>
                <w:tab w:val="left" w:pos="294"/>
              </w:tabs>
              <w:rPr>
                <w:lang w:val="en-GB"/>
              </w:rPr>
            </w:pPr>
            <w:r w:rsidRPr="004574DC">
              <w:rPr>
                <w:sz w:val="16"/>
                <w:lang w:val="en-GB"/>
              </w:rPr>
              <w:t>3.2.1</w:t>
            </w:r>
            <w:r w:rsidR="00A10B3A" w:rsidRPr="004574DC">
              <w:rPr>
                <w:sz w:val="16"/>
                <w:lang w:val="en-GB"/>
              </w:rPr>
              <w:t>:</w:t>
            </w:r>
            <w:r w:rsidRPr="004574DC">
              <w:rPr>
                <w:sz w:val="16"/>
                <w:lang w:val="en-GB"/>
              </w:rPr>
              <w:t xml:space="preserve"> </w:t>
            </w:r>
            <w:r w:rsidR="00A10B3A" w:rsidRPr="004574DC">
              <w:rPr>
                <w:sz w:val="16"/>
                <w:lang w:val="en-GB"/>
              </w:rPr>
              <w:t>Percentage</w:t>
            </w:r>
            <w:r w:rsidRPr="004574DC">
              <w:rPr>
                <w:sz w:val="16"/>
                <w:lang w:val="en-GB"/>
              </w:rPr>
              <w:t xml:space="preserve"> of h</w:t>
            </w:r>
            <w:r w:rsidR="00A10B3A" w:rsidRPr="004574DC">
              <w:rPr>
                <w:sz w:val="16"/>
                <w:lang w:val="en-GB"/>
              </w:rPr>
              <w:t>ectares</w:t>
            </w:r>
            <w:r w:rsidRPr="004574DC">
              <w:rPr>
                <w:sz w:val="16"/>
                <w:lang w:val="en-GB"/>
              </w:rPr>
              <w:t xml:space="preserve"> of degraded wetlands restored</w:t>
            </w:r>
          </w:p>
          <w:p w14:paraId="06DD9C8A" w14:textId="77777777" w:rsidR="00401D09" w:rsidRPr="004574DC" w:rsidRDefault="00401D09" w:rsidP="00401D09">
            <w:pPr>
              <w:tabs>
                <w:tab w:val="left" w:pos="294"/>
              </w:tabs>
              <w:rPr>
                <w:lang w:val="en-GB"/>
              </w:rPr>
            </w:pPr>
            <w:r w:rsidRPr="004574DC">
              <w:rPr>
                <w:sz w:val="16"/>
                <w:lang w:val="en-GB"/>
              </w:rPr>
              <w:t>Baseline: 45,000 (2013)</w:t>
            </w:r>
          </w:p>
          <w:p w14:paraId="7ECB1553" w14:textId="77777777" w:rsidR="00401D09" w:rsidRPr="004574DC" w:rsidRDefault="00401D09" w:rsidP="00401D09">
            <w:pPr>
              <w:tabs>
                <w:tab w:val="left" w:pos="294"/>
              </w:tabs>
              <w:rPr>
                <w:lang w:val="en-GB"/>
              </w:rPr>
            </w:pPr>
            <w:r w:rsidRPr="004574DC">
              <w:rPr>
                <w:sz w:val="16"/>
                <w:lang w:val="en-GB"/>
              </w:rPr>
              <w:t>Target: 51,3000 (2020)</w:t>
            </w:r>
          </w:p>
          <w:p w14:paraId="4FFDFE06" w14:textId="20F8B425" w:rsidR="00401D09" w:rsidRPr="004574DC" w:rsidRDefault="00401D09" w:rsidP="00401D09">
            <w:pPr>
              <w:rPr>
                <w:sz w:val="16"/>
                <w:lang w:val="en-GB"/>
              </w:rPr>
            </w:pPr>
            <w:r w:rsidRPr="004574DC">
              <w:rPr>
                <w:sz w:val="16"/>
                <w:lang w:val="en-GB"/>
              </w:rPr>
              <w:t xml:space="preserve">Data: </w:t>
            </w:r>
            <w:r w:rsidRPr="004574DC">
              <w:rPr>
                <w:sz w:val="16"/>
                <w:lang w:val="en-GB" w:eastAsia="en-GB"/>
              </w:rPr>
              <w:t xml:space="preserve"> Official </w:t>
            </w:r>
            <w:r w:rsidR="00A10B3A" w:rsidRPr="004574DC">
              <w:rPr>
                <w:sz w:val="16"/>
                <w:lang w:val="en-GB" w:eastAsia="en-GB"/>
              </w:rPr>
              <w:t>g</w:t>
            </w:r>
            <w:r w:rsidRPr="004574DC">
              <w:rPr>
                <w:sz w:val="16"/>
                <w:lang w:val="en-GB" w:eastAsia="en-GB"/>
              </w:rPr>
              <w:t>overnment reports, project monitoring reports</w:t>
            </w:r>
          </w:p>
          <w:p w14:paraId="5E07032C" w14:textId="77777777" w:rsidR="00401D09" w:rsidRPr="004574DC" w:rsidRDefault="00401D09" w:rsidP="00401D09">
            <w:pPr>
              <w:rPr>
                <w:lang w:val="en-GB"/>
              </w:rPr>
            </w:pPr>
          </w:p>
          <w:p w14:paraId="4E118467" w14:textId="72CEDBCC" w:rsidR="00401D09" w:rsidRPr="004574DC" w:rsidRDefault="00401D09" w:rsidP="00401D09">
            <w:pPr>
              <w:tabs>
                <w:tab w:val="left" w:pos="294"/>
              </w:tabs>
              <w:rPr>
                <w:lang w:val="en-GB" w:eastAsia="en-GB"/>
              </w:rPr>
            </w:pPr>
            <w:r w:rsidRPr="004574DC">
              <w:rPr>
                <w:sz w:val="16"/>
                <w:lang w:val="en-GB" w:eastAsia="en-GB"/>
              </w:rPr>
              <w:t>3.2.2</w:t>
            </w:r>
            <w:r w:rsidR="00A10B3A" w:rsidRPr="004574DC">
              <w:rPr>
                <w:sz w:val="16"/>
                <w:lang w:val="en-GB" w:eastAsia="en-GB"/>
              </w:rPr>
              <w:t>:</w:t>
            </w:r>
            <w:r w:rsidRPr="004574DC">
              <w:rPr>
                <w:sz w:val="16"/>
                <w:lang w:val="en-GB" w:eastAsia="en-GB"/>
              </w:rPr>
              <w:t xml:space="preserve"> Number of policies/regulatory frameworks that incorporate requirements of international </w:t>
            </w:r>
            <w:r w:rsidRPr="004574DC">
              <w:rPr>
                <w:sz w:val="16"/>
                <w:lang w:val="en-GB" w:eastAsia="en-GB"/>
              </w:rPr>
              <w:lastRenderedPageBreak/>
              <w:t xml:space="preserve">environmental conventions </w:t>
            </w:r>
          </w:p>
          <w:p w14:paraId="11113FF5" w14:textId="77777777" w:rsidR="00401D09" w:rsidRPr="004574DC" w:rsidRDefault="00401D09" w:rsidP="00401D09">
            <w:pPr>
              <w:tabs>
                <w:tab w:val="left" w:pos="294"/>
              </w:tabs>
              <w:rPr>
                <w:lang w:val="en-GB" w:eastAsia="en-GB"/>
              </w:rPr>
            </w:pPr>
            <w:r w:rsidRPr="004574DC">
              <w:rPr>
                <w:sz w:val="16"/>
                <w:lang w:val="en-GB"/>
              </w:rPr>
              <w:t>Baseline</w:t>
            </w:r>
            <w:r w:rsidRPr="004574DC">
              <w:rPr>
                <w:sz w:val="16"/>
                <w:lang w:val="en-GB" w:eastAsia="en-GB"/>
              </w:rPr>
              <w:t>: 0 (2014)</w:t>
            </w:r>
          </w:p>
          <w:p w14:paraId="5DCF59FE" w14:textId="77777777" w:rsidR="00401D09" w:rsidRPr="004574DC" w:rsidRDefault="00401D09" w:rsidP="00401D09">
            <w:pPr>
              <w:tabs>
                <w:tab w:val="left" w:pos="294"/>
              </w:tabs>
              <w:rPr>
                <w:lang w:val="en-GB" w:eastAsia="en-GB"/>
              </w:rPr>
            </w:pPr>
            <w:r w:rsidRPr="004574DC">
              <w:rPr>
                <w:sz w:val="16"/>
                <w:lang w:val="en-GB" w:eastAsia="en-GB"/>
              </w:rPr>
              <w:t>Target: 7 (2020)</w:t>
            </w:r>
          </w:p>
          <w:p w14:paraId="76BC43C1" w14:textId="32899C02" w:rsidR="00401D09" w:rsidRPr="004574DC" w:rsidRDefault="00401D09" w:rsidP="00401D09">
            <w:pPr>
              <w:rPr>
                <w:sz w:val="16"/>
                <w:lang w:val="en-GB" w:eastAsia="en-GB"/>
              </w:rPr>
            </w:pPr>
            <w:r w:rsidRPr="004574DC">
              <w:rPr>
                <w:sz w:val="16"/>
                <w:lang w:val="en-GB" w:eastAsia="en-GB"/>
              </w:rPr>
              <w:t xml:space="preserve">Data: Official </w:t>
            </w:r>
            <w:r w:rsidR="00A10B3A" w:rsidRPr="004574DC">
              <w:rPr>
                <w:sz w:val="16"/>
                <w:lang w:val="en-GB" w:eastAsia="en-GB"/>
              </w:rPr>
              <w:t>g</w:t>
            </w:r>
            <w:r w:rsidRPr="004574DC">
              <w:rPr>
                <w:sz w:val="16"/>
                <w:lang w:val="en-GB" w:eastAsia="en-GB"/>
              </w:rPr>
              <w:t>overnment reports, project reports</w:t>
            </w:r>
          </w:p>
          <w:p w14:paraId="2F804531" w14:textId="77777777" w:rsidR="00401D09" w:rsidRPr="004574DC" w:rsidRDefault="00401D09" w:rsidP="00401D09">
            <w:pPr>
              <w:rPr>
                <w:lang w:val="en-GB"/>
              </w:rPr>
            </w:pPr>
          </w:p>
          <w:p w14:paraId="66EB28DD" w14:textId="77777777" w:rsidR="00401D09" w:rsidRPr="004574DC" w:rsidRDefault="00401D09" w:rsidP="00401D09">
            <w:pPr>
              <w:jc w:val="both"/>
              <w:rPr>
                <w:b/>
                <w:sz w:val="16"/>
                <w:lang w:val="en-GB"/>
              </w:rPr>
            </w:pPr>
            <w:r w:rsidRPr="004574DC">
              <w:rPr>
                <w:b/>
                <w:sz w:val="16"/>
                <w:lang w:val="en-GB"/>
              </w:rPr>
              <w:t xml:space="preserve">Output 3.3: Inclusive and sustainable solutions have been adopted to achieve increased energy efficiency and universal modern energy access </w:t>
            </w:r>
          </w:p>
          <w:p w14:paraId="668B8BBC" w14:textId="77777777" w:rsidR="00401D09" w:rsidRPr="004574DC" w:rsidRDefault="00401D09" w:rsidP="00401D09">
            <w:pPr>
              <w:rPr>
                <w:sz w:val="16"/>
                <w:lang w:val="en-GB"/>
              </w:rPr>
            </w:pPr>
          </w:p>
          <w:p w14:paraId="127CA941" w14:textId="74D660FA" w:rsidR="00401D09" w:rsidRPr="004574DC" w:rsidRDefault="00401D09" w:rsidP="00401D09">
            <w:pPr>
              <w:rPr>
                <w:lang w:val="en-GB"/>
              </w:rPr>
            </w:pPr>
            <w:r w:rsidRPr="004574DC">
              <w:rPr>
                <w:sz w:val="16"/>
                <w:lang w:val="en-GB"/>
              </w:rPr>
              <w:t xml:space="preserve">3.3.1: </w:t>
            </w:r>
            <w:r w:rsidR="00243984" w:rsidRPr="004574DC">
              <w:rPr>
                <w:sz w:val="16"/>
                <w:lang w:val="en-GB"/>
              </w:rPr>
              <w:t>Energy use (</w:t>
            </w:r>
            <w:r w:rsidR="00FB3695" w:rsidRPr="004574DC">
              <w:rPr>
                <w:sz w:val="16"/>
                <w:lang w:val="en-GB"/>
              </w:rPr>
              <w:t>Number</w:t>
            </w:r>
            <w:r w:rsidRPr="004574DC">
              <w:rPr>
                <w:sz w:val="16"/>
                <w:lang w:val="en-GB"/>
              </w:rPr>
              <w:t xml:space="preserve"> </w:t>
            </w:r>
            <w:r w:rsidR="00FB3695" w:rsidRPr="004574DC">
              <w:rPr>
                <w:sz w:val="16"/>
                <w:lang w:val="en-GB"/>
              </w:rPr>
              <w:t>of kilograms</w:t>
            </w:r>
            <w:r w:rsidRPr="004574DC">
              <w:rPr>
                <w:sz w:val="16"/>
                <w:lang w:val="en-GB"/>
              </w:rPr>
              <w:t xml:space="preserve"> of oil equivalent</w:t>
            </w:r>
            <w:r w:rsidR="00243984" w:rsidRPr="004574DC">
              <w:rPr>
                <w:sz w:val="16"/>
                <w:lang w:val="en-GB"/>
              </w:rPr>
              <w:t>)</w:t>
            </w:r>
            <w:r w:rsidRPr="004574DC">
              <w:rPr>
                <w:sz w:val="16"/>
                <w:lang w:val="en-GB"/>
              </w:rPr>
              <w:t xml:space="preserve"> per </w:t>
            </w:r>
            <w:r w:rsidR="00FB3695" w:rsidRPr="004574DC">
              <w:rPr>
                <w:sz w:val="16"/>
                <w:lang w:val="en-GB"/>
              </w:rPr>
              <w:t>$</w:t>
            </w:r>
            <w:r w:rsidRPr="004574DC">
              <w:rPr>
                <w:sz w:val="16"/>
                <w:lang w:val="en-GB"/>
              </w:rPr>
              <w:t xml:space="preserve">1,000 of GDP </w:t>
            </w:r>
          </w:p>
          <w:p w14:paraId="5375E30D" w14:textId="5F534197" w:rsidR="00401D09" w:rsidRPr="004574DC" w:rsidRDefault="00401D09" w:rsidP="00401D09">
            <w:pPr>
              <w:rPr>
                <w:lang w:val="en-GB"/>
              </w:rPr>
            </w:pPr>
            <w:r w:rsidRPr="004574DC">
              <w:rPr>
                <w:sz w:val="16"/>
                <w:lang w:val="en-GB"/>
              </w:rPr>
              <w:t xml:space="preserve">Baseline: 210 (2012, </w:t>
            </w:r>
            <w:r w:rsidR="001905EB" w:rsidRPr="004574DC">
              <w:rPr>
                <w:sz w:val="16"/>
                <w:lang w:val="en-GB"/>
              </w:rPr>
              <w:t>purchasing power parity</w:t>
            </w:r>
            <w:r w:rsidRPr="004574DC">
              <w:rPr>
                <w:sz w:val="16"/>
                <w:lang w:val="en-GB"/>
              </w:rPr>
              <w:t xml:space="preserve"> prices 2005)</w:t>
            </w:r>
          </w:p>
          <w:p w14:paraId="6C944BA7" w14:textId="180837EB" w:rsidR="00401D09" w:rsidRPr="004574DC" w:rsidRDefault="00401D09" w:rsidP="00401D09">
            <w:pPr>
              <w:rPr>
                <w:sz w:val="16"/>
                <w:lang w:val="en-GB"/>
              </w:rPr>
            </w:pPr>
            <w:r w:rsidRPr="004574DC">
              <w:rPr>
                <w:sz w:val="16"/>
                <w:lang w:val="en-GB"/>
              </w:rPr>
              <w:t xml:space="preserve">Target: 170 (2020 projection, </w:t>
            </w:r>
            <w:r w:rsidR="001905EB" w:rsidRPr="004574DC">
              <w:rPr>
                <w:sz w:val="16"/>
                <w:lang w:val="en-GB"/>
              </w:rPr>
              <w:t>purchasing power parity</w:t>
            </w:r>
            <w:r w:rsidRPr="004574DC">
              <w:rPr>
                <w:sz w:val="16"/>
                <w:lang w:val="en-GB"/>
              </w:rPr>
              <w:t xml:space="preserve"> prices 2005)</w:t>
            </w:r>
          </w:p>
          <w:p w14:paraId="10272F05" w14:textId="7700FE8F" w:rsidR="00401D09" w:rsidRPr="004574DC" w:rsidRDefault="00401D09" w:rsidP="00401D09">
            <w:pPr>
              <w:rPr>
                <w:sz w:val="16"/>
                <w:lang w:val="en-GB"/>
              </w:rPr>
            </w:pPr>
            <w:r w:rsidRPr="004574DC">
              <w:rPr>
                <w:sz w:val="16"/>
                <w:lang w:val="en-GB"/>
              </w:rPr>
              <w:t xml:space="preserve">Data: </w:t>
            </w:r>
            <w:r w:rsidR="00F35C7D" w:rsidRPr="004574DC">
              <w:rPr>
                <w:sz w:val="16"/>
                <w:lang w:val="en-GB" w:eastAsia="en-GB"/>
              </w:rPr>
              <w:t>International Energy Agency</w:t>
            </w:r>
          </w:p>
          <w:p w14:paraId="4A439547" w14:textId="77777777" w:rsidR="00401D09" w:rsidRPr="00603C82" w:rsidRDefault="00401D09" w:rsidP="00401D09">
            <w:pPr>
              <w:rPr>
                <w:sz w:val="16"/>
                <w:lang w:val="en-GB"/>
              </w:rPr>
            </w:pPr>
          </w:p>
          <w:p w14:paraId="1DC2A30E" w14:textId="77777777" w:rsidR="00401D09" w:rsidRPr="00AD20B2" w:rsidRDefault="00401D09" w:rsidP="00401D09">
            <w:pPr>
              <w:rPr>
                <w:sz w:val="16"/>
                <w:lang w:val="en-GB"/>
              </w:rPr>
            </w:pPr>
            <w:r w:rsidRPr="00AD20B2">
              <w:rPr>
                <w:sz w:val="16"/>
                <w:lang w:val="en-GB"/>
              </w:rPr>
              <w:t>3.3.2: Percentage of primary energy produced from renewable energy resources in the total amount of energy consumed</w:t>
            </w:r>
          </w:p>
          <w:p w14:paraId="4EF616E5" w14:textId="77777777" w:rsidR="00401D09" w:rsidRPr="004574DC" w:rsidRDefault="00401D09" w:rsidP="00401D09">
            <w:pPr>
              <w:rPr>
                <w:sz w:val="16"/>
                <w:lang w:val="en-GB"/>
              </w:rPr>
            </w:pPr>
            <w:r w:rsidRPr="004574DC">
              <w:rPr>
                <w:sz w:val="16"/>
                <w:lang w:val="en-GB"/>
              </w:rPr>
              <w:t>Baseline: 5% (2010), 5.5% (2015 projection)</w:t>
            </w:r>
          </w:p>
          <w:p w14:paraId="51D91B9E" w14:textId="77777777" w:rsidR="00401D09" w:rsidRPr="004574DC" w:rsidRDefault="00401D09" w:rsidP="00401D09">
            <w:pPr>
              <w:rPr>
                <w:sz w:val="16"/>
                <w:lang w:val="en-GB"/>
              </w:rPr>
            </w:pPr>
            <w:r w:rsidRPr="004574DC">
              <w:rPr>
                <w:sz w:val="16"/>
                <w:lang w:val="en-GB"/>
              </w:rPr>
              <w:t>Target: 6 % (2020)</w:t>
            </w:r>
          </w:p>
          <w:p w14:paraId="110560BB" w14:textId="7C32BB0B" w:rsidR="00E57DB9" w:rsidRPr="004574DC" w:rsidRDefault="00401D09" w:rsidP="00E23D31">
            <w:pPr>
              <w:rPr>
                <w:b/>
                <w:bCs/>
                <w:color w:val="000000"/>
                <w:sz w:val="16"/>
                <w:szCs w:val="16"/>
                <w:lang w:val="en-GB"/>
              </w:rPr>
            </w:pPr>
            <w:r w:rsidRPr="004574DC">
              <w:rPr>
                <w:sz w:val="16"/>
                <w:lang w:val="en-GB"/>
              </w:rPr>
              <w:t xml:space="preserve">Data: </w:t>
            </w:r>
            <w:r w:rsidRPr="004574DC">
              <w:rPr>
                <w:sz w:val="16"/>
                <w:lang w:val="en-GB" w:eastAsia="en-GB"/>
              </w:rPr>
              <w:t xml:space="preserve"> Official </w:t>
            </w:r>
            <w:r w:rsidR="001905EB" w:rsidRPr="004574DC">
              <w:rPr>
                <w:sz w:val="16"/>
                <w:lang w:val="en-GB" w:eastAsia="en-GB"/>
              </w:rPr>
              <w:t>g</w:t>
            </w:r>
            <w:r w:rsidRPr="004574DC">
              <w:rPr>
                <w:sz w:val="16"/>
                <w:lang w:val="en-GB" w:eastAsia="en-GB"/>
              </w:rPr>
              <w:t>overnment reports, project reports</w:t>
            </w:r>
          </w:p>
        </w:tc>
        <w:tc>
          <w:tcPr>
            <w:tcW w:w="550" w:type="pct"/>
            <w:gridSpan w:val="3"/>
            <w:vMerge w:val="restart"/>
          </w:tcPr>
          <w:p w14:paraId="165CA1BB" w14:textId="77777777" w:rsidR="00E57DB9" w:rsidRPr="004574DC" w:rsidRDefault="00401D09" w:rsidP="00F3477F">
            <w:pPr>
              <w:rPr>
                <w:i/>
                <w:iCs/>
                <w:color w:val="000000"/>
                <w:sz w:val="16"/>
                <w:szCs w:val="16"/>
                <w:lang w:val="en-GB"/>
              </w:rPr>
            </w:pPr>
            <w:r w:rsidRPr="004574DC">
              <w:rPr>
                <w:sz w:val="16"/>
                <w:lang w:val="en-GB"/>
              </w:rPr>
              <w:lastRenderedPageBreak/>
              <w:t>Ministry of Natural Resources and Environmental Protection, Energy Efficiency Department, National Academy of Science, local authorities</w:t>
            </w:r>
          </w:p>
        </w:tc>
        <w:tc>
          <w:tcPr>
            <w:tcW w:w="429" w:type="pct"/>
            <w:tcMar>
              <w:top w:w="15" w:type="dxa"/>
              <w:left w:w="108" w:type="dxa"/>
              <w:bottom w:w="0" w:type="dxa"/>
              <w:right w:w="108" w:type="dxa"/>
            </w:tcMar>
          </w:tcPr>
          <w:p w14:paraId="7AB53475" w14:textId="43DFBA22" w:rsidR="00E57DB9" w:rsidRPr="004574DC" w:rsidRDefault="00E57DB9" w:rsidP="00F3477F">
            <w:pPr>
              <w:rPr>
                <w:b/>
                <w:color w:val="000000"/>
                <w:sz w:val="16"/>
                <w:szCs w:val="16"/>
                <w:lang w:val="en-GB"/>
              </w:rPr>
            </w:pPr>
            <w:r w:rsidRPr="004574DC">
              <w:rPr>
                <w:b/>
                <w:color w:val="000000"/>
                <w:sz w:val="16"/>
                <w:szCs w:val="16"/>
                <w:lang w:val="en-GB"/>
              </w:rPr>
              <w:t>Regular</w:t>
            </w:r>
            <w:r w:rsidR="00401D09" w:rsidRPr="004574DC">
              <w:rPr>
                <w:b/>
                <w:color w:val="000000"/>
                <w:sz w:val="16"/>
                <w:szCs w:val="16"/>
                <w:lang w:val="en-GB"/>
              </w:rPr>
              <w:t xml:space="preserve">: </w:t>
            </w:r>
            <w:r w:rsidR="00A10B3A" w:rsidRPr="004574DC">
              <w:rPr>
                <w:b/>
                <w:color w:val="000000"/>
                <w:sz w:val="16"/>
                <w:szCs w:val="16"/>
                <w:lang w:val="en-GB"/>
              </w:rPr>
              <w:t>$</w:t>
            </w:r>
            <w:r w:rsidR="00401D09" w:rsidRPr="004574DC">
              <w:rPr>
                <w:b/>
                <w:color w:val="000000"/>
                <w:sz w:val="16"/>
                <w:szCs w:val="16"/>
                <w:lang w:val="en-GB"/>
              </w:rPr>
              <w:t>500</w:t>
            </w:r>
          </w:p>
        </w:tc>
      </w:tr>
      <w:tr w:rsidR="00E57DB9" w:rsidRPr="004574DC" w14:paraId="3C807B05" w14:textId="77777777" w:rsidTr="00022DF7">
        <w:tblPrEx>
          <w:tblBorders>
            <w:top w:val="single" w:sz="4" w:space="0" w:color="auto"/>
            <w:left w:val="single" w:sz="4" w:space="0" w:color="auto"/>
            <w:bottom w:val="single" w:sz="4" w:space="0" w:color="auto"/>
            <w:right w:val="single" w:sz="4" w:space="0" w:color="auto"/>
          </w:tblBorders>
        </w:tblPrEx>
        <w:tc>
          <w:tcPr>
            <w:tcW w:w="893" w:type="pct"/>
            <w:vMerge/>
            <w:tcMar>
              <w:top w:w="72" w:type="dxa"/>
              <w:left w:w="144" w:type="dxa"/>
              <w:bottom w:w="72" w:type="dxa"/>
              <w:right w:w="144" w:type="dxa"/>
            </w:tcMar>
          </w:tcPr>
          <w:p w14:paraId="69780928" w14:textId="77777777" w:rsidR="00E57DB9" w:rsidRPr="004574DC" w:rsidRDefault="00E57DB9" w:rsidP="00F3477F">
            <w:pPr>
              <w:rPr>
                <w:i/>
                <w:iCs/>
                <w:color w:val="000000"/>
                <w:sz w:val="16"/>
                <w:szCs w:val="16"/>
                <w:lang w:val="en-GB"/>
              </w:rPr>
            </w:pPr>
          </w:p>
        </w:tc>
        <w:tc>
          <w:tcPr>
            <w:tcW w:w="516" w:type="pct"/>
            <w:gridSpan w:val="2"/>
            <w:vMerge/>
          </w:tcPr>
          <w:p w14:paraId="3D042E61" w14:textId="77777777" w:rsidR="00E57DB9" w:rsidRPr="004574DC" w:rsidRDefault="00E57DB9" w:rsidP="00F3477F">
            <w:pPr>
              <w:rPr>
                <w:i/>
                <w:iCs/>
                <w:color w:val="000000"/>
                <w:sz w:val="16"/>
                <w:szCs w:val="16"/>
                <w:lang w:val="en-GB"/>
              </w:rPr>
            </w:pPr>
          </w:p>
        </w:tc>
        <w:tc>
          <w:tcPr>
            <w:tcW w:w="2612" w:type="pct"/>
            <w:gridSpan w:val="3"/>
            <w:vMerge/>
            <w:tcMar>
              <w:top w:w="72" w:type="dxa"/>
              <w:left w:w="144" w:type="dxa"/>
              <w:bottom w:w="72" w:type="dxa"/>
              <w:right w:w="144" w:type="dxa"/>
            </w:tcMar>
          </w:tcPr>
          <w:p w14:paraId="647419D3" w14:textId="77777777" w:rsidR="00E57DB9" w:rsidRPr="004574DC" w:rsidRDefault="00E57DB9" w:rsidP="00F3477F">
            <w:pPr>
              <w:rPr>
                <w:i/>
                <w:iCs/>
                <w:color w:val="000000"/>
                <w:sz w:val="16"/>
                <w:szCs w:val="16"/>
                <w:lang w:val="en-GB"/>
              </w:rPr>
            </w:pPr>
          </w:p>
        </w:tc>
        <w:tc>
          <w:tcPr>
            <w:tcW w:w="550" w:type="pct"/>
            <w:gridSpan w:val="3"/>
            <w:vMerge/>
          </w:tcPr>
          <w:p w14:paraId="550FA4A5" w14:textId="77777777" w:rsidR="00E57DB9" w:rsidRPr="004574DC" w:rsidRDefault="00E57DB9" w:rsidP="00F3477F">
            <w:pPr>
              <w:rPr>
                <w:i/>
                <w:iCs/>
                <w:color w:val="000000"/>
                <w:sz w:val="16"/>
                <w:szCs w:val="16"/>
                <w:lang w:val="en-GB"/>
              </w:rPr>
            </w:pPr>
          </w:p>
        </w:tc>
        <w:tc>
          <w:tcPr>
            <w:tcW w:w="429" w:type="pct"/>
            <w:tcMar>
              <w:top w:w="15" w:type="dxa"/>
              <w:left w:w="108" w:type="dxa"/>
              <w:bottom w:w="0" w:type="dxa"/>
              <w:right w:w="108" w:type="dxa"/>
            </w:tcMar>
          </w:tcPr>
          <w:p w14:paraId="542C247C" w14:textId="78F471C1" w:rsidR="00E57DB9" w:rsidRPr="004574DC" w:rsidRDefault="00E57DB9" w:rsidP="00F3477F">
            <w:pPr>
              <w:rPr>
                <w:b/>
                <w:color w:val="000000"/>
                <w:sz w:val="16"/>
                <w:szCs w:val="16"/>
                <w:lang w:val="en-GB"/>
              </w:rPr>
            </w:pPr>
            <w:r w:rsidRPr="004574DC">
              <w:rPr>
                <w:b/>
                <w:color w:val="000000"/>
                <w:sz w:val="16"/>
                <w:szCs w:val="16"/>
                <w:lang w:val="en-GB"/>
              </w:rPr>
              <w:t>Other</w:t>
            </w:r>
            <w:r w:rsidR="00401D09" w:rsidRPr="004574DC">
              <w:rPr>
                <w:b/>
                <w:color w:val="000000"/>
                <w:sz w:val="16"/>
                <w:szCs w:val="16"/>
                <w:lang w:val="en-GB"/>
              </w:rPr>
              <w:t xml:space="preserve">: </w:t>
            </w:r>
            <w:r w:rsidR="00A10B3A" w:rsidRPr="004574DC">
              <w:rPr>
                <w:b/>
                <w:color w:val="000000"/>
                <w:sz w:val="16"/>
                <w:szCs w:val="16"/>
                <w:lang w:val="en-GB"/>
              </w:rPr>
              <w:t>$</w:t>
            </w:r>
            <w:r w:rsidR="00401D09" w:rsidRPr="004574DC">
              <w:rPr>
                <w:b/>
                <w:color w:val="000000"/>
                <w:sz w:val="16"/>
                <w:szCs w:val="16"/>
                <w:lang w:val="en-GB"/>
              </w:rPr>
              <w:t>34,324 (to be mobilized)</w:t>
            </w:r>
          </w:p>
        </w:tc>
      </w:tr>
      <w:tr w:rsidR="00E57DB9" w:rsidRPr="004574DC" w14:paraId="67247032" w14:textId="77777777" w:rsidTr="00915B6B">
        <w:tblPrEx>
          <w:tblBorders>
            <w:top w:val="single" w:sz="4" w:space="0" w:color="auto"/>
            <w:left w:val="single" w:sz="4" w:space="0" w:color="auto"/>
            <w:bottom w:val="single" w:sz="4" w:space="0" w:color="auto"/>
            <w:right w:val="single" w:sz="4" w:space="0" w:color="auto"/>
          </w:tblBorders>
        </w:tblPrEx>
        <w:tc>
          <w:tcPr>
            <w:tcW w:w="893" w:type="pct"/>
            <w:vMerge/>
            <w:tcBorders>
              <w:bottom w:val="single" w:sz="4" w:space="0" w:color="auto"/>
            </w:tcBorders>
            <w:tcMar>
              <w:top w:w="72" w:type="dxa"/>
              <w:left w:w="144" w:type="dxa"/>
              <w:bottom w:w="72" w:type="dxa"/>
              <w:right w:w="144" w:type="dxa"/>
            </w:tcMar>
          </w:tcPr>
          <w:p w14:paraId="27FC3DB8" w14:textId="77777777" w:rsidR="00E57DB9" w:rsidRPr="004574DC" w:rsidRDefault="00E57DB9" w:rsidP="00F3477F">
            <w:pPr>
              <w:rPr>
                <w:i/>
                <w:iCs/>
                <w:color w:val="000000"/>
                <w:sz w:val="16"/>
                <w:szCs w:val="16"/>
                <w:lang w:val="en-GB"/>
              </w:rPr>
            </w:pPr>
          </w:p>
        </w:tc>
        <w:tc>
          <w:tcPr>
            <w:tcW w:w="516" w:type="pct"/>
            <w:gridSpan w:val="2"/>
            <w:vMerge/>
            <w:tcBorders>
              <w:bottom w:val="single" w:sz="4" w:space="0" w:color="auto"/>
            </w:tcBorders>
          </w:tcPr>
          <w:p w14:paraId="12D87996" w14:textId="77777777" w:rsidR="00E57DB9" w:rsidRPr="004574DC" w:rsidRDefault="00E57DB9" w:rsidP="00F3477F">
            <w:pPr>
              <w:rPr>
                <w:i/>
                <w:iCs/>
                <w:color w:val="000000"/>
                <w:sz w:val="16"/>
                <w:szCs w:val="16"/>
                <w:lang w:val="en-GB"/>
              </w:rPr>
            </w:pPr>
          </w:p>
        </w:tc>
        <w:tc>
          <w:tcPr>
            <w:tcW w:w="2612" w:type="pct"/>
            <w:gridSpan w:val="3"/>
            <w:vMerge/>
            <w:tcBorders>
              <w:bottom w:val="single" w:sz="4" w:space="0" w:color="auto"/>
            </w:tcBorders>
            <w:tcMar>
              <w:top w:w="72" w:type="dxa"/>
              <w:left w:w="144" w:type="dxa"/>
              <w:bottom w:w="72" w:type="dxa"/>
              <w:right w:w="144" w:type="dxa"/>
            </w:tcMar>
          </w:tcPr>
          <w:p w14:paraId="15BD3CBF" w14:textId="77777777" w:rsidR="00E57DB9" w:rsidRPr="004574DC" w:rsidRDefault="00E57DB9" w:rsidP="00F3477F">
            <w:pPr>
              <w:rPr>
                <w:i/>
                <w:iCs/>
                <w:color w:val="000000"/>
                <w:sz w:val="16"/>
                <w:szCs w:val="16"/>
                <w:lang w:val="en-GB"/>
              </w:rPr>
            </w:pPr>
          </w:p>
        </w:tc>
        <w:tc>
          <w:tcPr>
            <w:tcW w:w="550" w:type="pct"/>
            <w:gridSpan w:val="3"/>
            <w:vMerge/>
            <w:tcBorders>
              <w:bottom w:val="single" w:sz="4" w:space="0" w:color="auto"/>
            </w:tcBorders>
          </w:tcPr>
          <w:p w14:paraId="17D02948" w14:textId="77777777" w:rsidR="00E57DB9" w:rsidRPr="004574DC" w:rsidRDefault="00E57DB9" w:rsidP="00F3477F">
            <w:pPr>
              <w:rPr>
                <w:i/>
                <w:iCs/>
                <w:color w:val="000000"/>
                <w:sz w:val="16"/>
                <w:szCs w:val="16"/>
                <w:lang w:val="en-GB"/>
              </w:rPr>
            </w:pPr>
          </w:p>
        </w:tc>
        <w:tc>
          <w:tcPr>
            <w:tcW w:w="429" w:type="pct"/>
            <w:tcBorders>
              <w:bottom w:val="single" w:sz="4" w:space="0" w:color="auto"/>
            </w:tcBorders>
            <w:tcMar>
              <w:top w:w="15" w:type="dxa"/>
              <w:left w:w="108" w:type="dxa"/>
              <w:bottom w:w="0" w:type="dxa"/>
              <w:right w:w="108" w:type="dxa"/>
            </w:tcMar>
          </w:tcPr>
          <w:p w14:paraId="27CC63FC" w14:textId="77777777" w:rsidR="00E57DB9" w:rsidRPr="004574DC" w:rsidRDefault="00E57DB9" w:rsidP="00F3477F">
            <w:pPr>
              <w:rPr>
                <w:b/>
                <w:color w:val="000000"/>
                <w:sz w:val="16"/>
                <w:szCs w:val="16"/>
                <w:lang w:val="en-GB"/>
              </w:rPr>
            </w:pPr>
          </w:p>
        </w:tc>
      </w:tr>
      <w:tr w:rsidR="00401D09" w:rsidRPr="004574DC" w14:paraId="691D5C69"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7BF10A19" w14:textId="160EB862" w:rsidR="00401D09" w:rsidRPr="004574DC" w:rsidRDefault="00401D09" w:rsidP="00401D09">
            <w:pPr>
              <w:rPr>
                <w:lang w:val="en-GB"/>
              </w:rPr>
            </w:pPr>
            <w:r w:rsidRPr="00603C82">
              <w:rPr>
                <w:b/>
                <w:bCs/>
                <w:color w:val="000000"/>
                <w:sz w:val="17"/>
                <w:szCs w:val="17"/>
                <w:lang w:val="en-GB"/>
              </w:rPr>
              <w:lastRenderedPageBreak/>
              <w:t>National priority or goal</w:t>
            </w:r>
            <w:r w:rsidRPr="00603C82">
              <w:rPr>
                <w:sz w:val="16"/>
                <w:lang w:val="en-GB"/>
              </w:rPr>
              <w:t xml:space="preserve">: Human capital development and efficient use of human potential; high-quality healthcare and healthy lifestyles (NSDS 2030); quality of education and healthcare; greater inclusion and empowerment of vulnerable groups (Post-2015 </w:t>
            </w:r>
            <w:r w:rsidR="004E2198" w:rsidRPr="00603C82">
              <w:rPr>
                <w:sz w:val="16"/>
                <w:lang w:val="en-GB"/>
              </w:rPr>
              <w:t>national c</w:t>
            </w:r>
            <w:r w:rsidRPr="00AD20B2">
              <w:rPr>
                <w:sz w:val="16"/>
                <w:lang w:val="en-GB"/>
              </w:rPr>
              <w:t>onsultations)</w:t>
            </w:r>
            <w:r w:rsidR="004E2198" w:rsidRPr="004574DC">
              <w:rPr>
                <w:sz w:val="16"/>
                <w:lang w:val="en-GB"/>
              </w:rPr>
              <w:t>.</w:t>
            </w:r>
            <w:r w:rsidRPr="004574DC">
              <w:rPr>
                <w:b/>
                <w:sz w:val="16"/>
                <w:lang w:val="en-GB"/>
              </w:rPr>
              <w:t xml:space="preserve"> </w:t>
            </w:r>
            <w:r w:rsidRPr="004574DC">
              <w:rPr>
                <w:sz w:val="16"/>
                <w:lang w:val="en-GB"/>
              </w:rPr>
              <w:t xml:space="preserve"> </w:t>
            </w:r>
          </w:p>
        </w:tc>
      </w:tr>
      <w:tr w:rsidR="00401D09" w:rsidRPr="004574DC" w14:paraId="1154B10B"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266F27C0" w14:textId="0EA6D625" w:rsidR="00401D09" w:rsidRPr="004574DC" w:rsidRDefault="00401D09" w:rsidP="00401D09">
            <w:pPr>
              <w:rPr>
                <w:b/>
                <w:lang w:val="en-GB"/>
              </w:rPr>
            </w:pPr>
            <w:r w:rsidRPr="00603C82">
              <w:rPr>
                <w:b/>
                <w:sz w:val="16"/>
                <w:lang w:val="en-GB"/>
              </w:rPr>
              <w:t xml:space="preserve">UNDAF outcome 4.3: </w:t>
            </w:r>
            <w:r w:rsidRPr="00603C82">
              <w:rPr>
                <w:sz w:val="16"/>
                <w:lang w:val="en-GB"/>
              </w:rPr>
              <w:t>By 2020, vulnerable groups and the population at large have equal access to quality health, education and social protection services that effectively address their needs, including comprehensive post-Chernobyl development</w:t>
            </w:r>
            <w:r w:rsidR="004E2198" w:rsidRPr="00AD20B2">
              <w:rPr>
                <w:sz w:val="16"/>
                <w:lang w:val="en-GB"/>
              </w:rPr>
              <w:t>.</w:t>
            </w:r>
          </w:p>
        </w:tc>
      </w:tr>
      <w:tr w:rsidR="00401D09" w:rsidRPr="004574DC" w14:paraId="40D70BB7" w14:textId="77777777" w:rsidTr="00915B6B">
        <w:tblPrEx>
          <w:tblBorders>
            <w:top w:val="single" w:sz="4" w:space="0" w:color="auto"/>
            <w:left w:val="single" w:sz="4" w:space="0" w:color="auto"/>
            <w:bottom w:val="single" w:sz="4" w:space="0" w:color="auto"/>
            <w:right w:val="single" w:sz="4" w:space="0" w:color="auto"/>
          </w:tblBorders>
        </w:tblPrEx>
        <w:tc>
          <w:tcPr>
            <w:tcW w:w="5000" w:type="pct"/>
            <w:gridSpan w:val="10"/>
            <w:shd w:val="clear" w:color="auto" w:fill="auto"/>
            <w:tcMar>
              <w:top w:w="72" w:type="dxa"/>
              <w:left w:w="144" w:type="dxa"/>
              <w:bottom w:w="72" w:type="dxa"/>
              <w:right w:w="144" w:type="dxa"/>
            </w:tcMar>
          </w:tcPr>
          <w:p w14:paraId="7918A0A0" w14:textId="31720F47" w:rsidR="00401D09" w:rsidRPr="00603C82" w:rsidRDefault="00401D09" w:rsidP="00401D09">
            <w:pPr>
              <w:rPr>
                <w:b/>
                <w:lang w:val="en-GB"/>
              </w:rPr>
            </w:pPr>
            <w:r w:rsidRPr="00603C82">
              <w:rPr>
                <w:b/>
                <w:sz w:val="16"/>
                <w:lang w:val="en-GB"/>
              </w:rPr>
              <w:t xml:space="preserve">Strategic plan outcome 3: </w:t>
            </w:r>
            <w:r w:rsidRPr="00603C82">
              <w:rPr>
                <w:color w:val="000000"/>
                <w:sz w:val="16"/>
                <w:lang w:val="en-GB"/>
              </w:rPr>
              <w:t>Countries have strengthened institutions to progressively deliver universal access to basic services</w:t>
            </w:r>
            <w:r w:rsidR="004E2198" w:rsidRPr="00603C82">
              <w:rPr>
                <w:color w:val="000000"/>
                <w:sz w:val="16"/>
                <w:lang w:val="en-GB"/>
              </w:rPr>
              <w:t>.</w:t>
            </w:r>
          </w:p>
        </w:tc>
      </w:tr>
      <w:tr w:rsidR="00E57DB9" w:rsidRPr="004574DC" w14:paraId="121F3C4A" w14:textId="77777777" w:rsidTr="00022DF7">
        <w:tblPrEx>
          <w:tblBorders>
            <w:top w:val="single" w:sz="4" w:space="0" w:color="auto"/>
            <w:left w:val="single" w:sz="4" w:space="0" w:color="auto"/>
            <w:bottom w:val="single" w:sz="4" w:space="0" w:color="auto"/>
            <w:right w:val="single" w:sz="4" w:space="0" w:color="auto"/>
          </w:tblBorders>
        </w:tblPrEx>
        <w:tc>
          <w:tcPr>
            <w:tcW w:w="1168" w:type="pct"/>
            <w:gridSpan w:val="2"/>
            <w:vMerge w:val="restart"/>
            <w:tcMar>
              <w:top w:w="72" w:type="dxa"/>
              <w:left w:w="144" w:type="dxa"/>
              <w:bottom w:w="72" w:type="dxa"/>
              <w:right w:w="144" w:type="dxa"/>
            </w:tcMar>
          </w:tcPr>
          <w:p w14:paraId="14E95369" w14:textId="4DC454C7" w:rsidR="009E3AF9" w:rsidRPr="00603C82" w:rsidRDefault="00F35C7D" w:rsidP="009E3AF9">
            <w:pPr>
              <w:rPr>
                <w:sz w:val="16"/>
                <w:lang w:val="en-GB"/>
              </w:rPr>
            </w:pPr>
            <w:r w:rsidRPr="004574DC">
              <w:rPr>
                <w:sz w:val="16"/>
                <w:lang w:val="en-GB"/>
              </w:rPr>
              <w:t>4.1.3</w:t>
            </w:r>
            <w:r w:rsidR="009E3AF9" w:rsidRPr="00603C82">
              <w:rPr>
                <w:sz w:val="16"/>
                <w:lang w:val="en-GB"/>
              </w:rPr>
              <w:t xml:space="preserve">: Alcohol abuse at age 15+ (disaggregated by sex and age) </w:t>
            </w:r>
          </w:p>
          <w:p w14:paraId="56319426" w14:textId="77777777" w:rsidR="009E3AF9" w:rsidRPr="004574DC" w:rsidRDefault="009E3AF9" w:rsidP="009E3AF9">
            <w:pPr>
              <w:rPr>
                <w:lang w:val="en-GB"/>
              </w:rPr>
            </w:pPr>
            <w:r w:rsidRPr="00AD20B2">
              <w:rPr>
                <w:sz w:val="16"/>
                <w:lang w:val="en-GB"/>
              </w:rPr>
              <w:t>Baseline:</w:t>
            </w:r>
            <w:r w:rsidRPr="004574DC">
              <w:rPr>
                <w:sz w:val="16"/>
                <w:lang w:val="en-GB"/>
              </w:rPr>
              <w:t xml:space="preserve"> STEPS study in 2015 </w:t>
            </w:r>
          </w:p>
          <w:p w14:paraId="470D47B4" w14:textId="77777777" w:rsidR="009E3AF9" w:rsidRPr="004574DC" w:rsidRDefault="009E3AF9" w:rsidP="009E3AF9">
            <w:pPr>
              <w:rPr>
                <w:sz w:val="16"/>
                <w:lang w:val="en-GB"/>
              </w:rPr>
            </w:pPr>
            <w:r w:rsidRPr="004574DC">
              <w:rPr>
                <w:sz w:val="16"/>
                <w:lang w:val="en-GB"/>
              </w:rPr>
              <w:t xml:space="preserve">Target: 10% reduction </w:t>
            </w:r>
          </w:p>
          <w:p w14:paraId="63848C52" w14:textId="77777777" w:rsidR="009E3AF9" w:rsidRPr="004574DC" w:rsidRDefault="009E3AF9" w:rsidP="009E3AF9">
            <w:pPr>
              <w:rPr>
                <w:lang w:val="en-GB"/>
              </w:rPr>
            </w:pPr>
          </w:p>
          <w:p w14:paraId="6F080E03" w14:textId="7FF53393" w:rsidR="009E3AF9" w:rsidRPr="00AD20B2" w:rsidRDefault="00F35C7D" w:rsidP="009E3AF9">
            <w:pPr>
              <w:rPr>
                <w:sz w:val="16"/>
                <w:lang w:val="en-GB"/>
              </w:rPr>
            </w:pPr>
            <w:r w:rsidRPr="004574DC">
              <w:rPr>
                <w:sz w:val="16"/>
                <w:lang w:val="en-GB"/>
              </w:rPr>
              <w:t>4.4.8</w:t>
            </w:r>
            <w:r w:rsidR="009E3AF9" w:rsidRPr="00603C82">
              <w:rPr>
                <w:sz w:val="16"/>
                <w:lang w:val="en-GB"/>
              </w:rPr>
              <w:t xml:space="preserve">: Share of population residing in areas affected by Chernobyl </w:t>
            </w:r>
            <w:r w:rsidR="009E3AF9" w:rsidRPr="00AD20B2">
              <w:rPr>
                <w:sz w:val="16"/>
                <w:lang w:val="en-GB"/>
              </w:rPr>
              <w:t xml:space="preserve">accident and possessing safe living skills </w:t>
            </w:r>
          </w:p>
          <w:p w14:paraId="230E7C55" w14:textId="77777777" w:rsidR="009E3AF9" w:rsidRPr="004574DC" w:rsidRDefault="009E3AF9" w:rsidP="009E3AF9">
            <w:pPr>
              <w:rPr>
                <w:sz w:val="16"/>
                <w:lang w:val="en-GB"/>
              </w:rPr>
            </w:pPr>
            <w:r w:rsidRPr="004574DC">
              <w:rPr>
                <w:sz w:val="16"/>
                <w:lang w:val="en-GB"/>
              </w:rPr>
              <w:t>Baseline: 45%.</w:t>
            </w:r>
          </w:p>
          <w:p w14:paraId="7DC48A70" w14:textId="77777777" w:rsidR="009E3AF9" w:rsidRPr="004574DC" w:rsidRDefault="009E3AF9" w:rsidP="009E3AF9">
            <w:pPr>
              <w:rPr>
                <w:sz w:val="16"/>
                <w:lang w:val="en-GB"/>
              </w:rPr>
            </w:pPr>
            <w:r w:rsidRPr="004574DC">
              <w:rPr>
                <w:sz w:val="16"/>
                <w:lang w:val="en-GB"/>
              </w:rPr>
              <w:t>Target: 65%</w:t>
            </w:r>
          </w:p>
          <w:p w14:paraId="77FFE86A" w14:textId="77777777" w:rsidR="009E3AF9" w:rsidRPr="004574DC" w:rsidRDefault="009E3AF9" w:rsidP="009E3AF9">
            <w:pPr>
              <w:rPr>
                <w:sz w:val="16"/>
                <w:lang w:val="en-GB"/>
              </w:rPr>
            </w:pPr>
          </w:p>
          <w:p w14:paraId="2F8422EB" w14:textId="7CC89412" w:rsidR="009E3AF9" w:rsidRPr="004574DC" w:rsidRDefault="00F35C7D" w:rsidP="009E3AF9">
            <w:pPr>
              <w:rPr>
                <w:lang w:val="en-GB"/>
              </w:rPr>
            </w:pPr>
            <w:r w:rsidRPr="004574DC">
              <w:rPr>
                <w:sz w:val="16"/>
                <w:lang w:val="en-GB"/>
              </w:rPr>
              <w:t>4.1.4</w:t>
            </w:r>
            <w:r w:rsidR="009E3AF9" w:rsidRPr="00603C82">
              <w:rPr>
                <w:sz w:val="16"/>
                <w:lang w:val="en-GB"/>
              </w:rPr>
              <w:t>: Relative prevalence of tobacco use at age 15+ (</w:t>
            </w:r>
            <w:r w:rsidR="009E3AF9" w:rsidRPr="00AD20B2">
              <w:rPr>
                <w:sz w:val="16"/>
                <w:lang w:val="en-GB"/>
              </w:rPr>
              <w:t>disaggregated by age and sex)</w:t>
            </w:r>
          </w:p>
          <w:p w14:paraId="7B3C6750" w14:textId="7CB88604" w:rsidR="009E3AF9" w:rsidRPr="004574DC" w:rsidRDefault="009E3AF9" w:rsidP="009E3AF9">
            <w:pPr>
              <w:rPr>
                <w:lang w:val="en-GB"/>
              </w:rPr>
            </w:pPr>
            <w:r w:rsidRPr="004574DC">
              <w:rPr>
                <w:sz w:val="16"/>
                <w:lang w:val="en-GB"/>
              </w:rPr>
              <w:t xml:space="preserve">Baseline: </w:t>
            </w:r>
            <w:r w:rsidR="004E2198" w:rsidRPr="004574DC">
              <w:rPr>
                <w:sz w:val="16"/>
                <w:lang w:val="en-GB"/>
              </w:rPr>
              <w:t>Study of Transitions and Education Pathways (</w:t>
            </w:r>
            <w:r w:rsidRPr="004574DC">
              <w:rPr>
                <w:sz w:val="16"/>
                <w:lang w:val="en-GB"/>
              </w:rPr>
              <w:t>STEPS</w:t>
            </w:r>
            <w:r w:rsidR="004E2198" w:rsidRPr="004574DC">
              <w:rPr>
                <w:sz w:val="16"/>
                <w:lang w:val="en-GB"/>
              </w:rPr>
              <w:t>)</w:t>
            </w:r>
            <w:r w:rsidRPr="004574DC">
              <w:rPr>
                <w:sz w:val="16"/>
                <w:lang w:val="en-GB"/>
              </w:rPr>
              <w:t xml:space="preserve"> study in 2015</w:t>
            </w:r>
          </w:p>
          <w:p w14:paraId="57544F03" w14:textId="77777777" w:rsidR="009E3AF9" w:rsidRPr="004574DC" w:rsidRDefault="009E3AF9" w:rsidP="009E3AF9">
            <w:pPr>
              <w:rPr>
                <w:sz w:val="16"/>
                <w:lang w:val="en-GB"/>
              </w:rPr>
            </w:pPr>
            <w:r w:rsidRPr="004574DC">
              <w:rPr>
                <w:sz w:val="16"/>
                <w:lang w:val="en-GB"/>
              </w:rPr>
              <w:t xml:space="preserve">Target: 8% reduction </w:t>
            </w:r>
          </w:p>
          <w:p w14:paraId="5868161B" w14:textId="77777777" w:rsidR="009E3AF9" w:rsidRPr="004574DC" w:rsidRDefault="009E3AF9" w:rsidP="009E3AF9">
            <w:pPr>
              <w:rPr>
                <w:lang w:val="en-GB"/>
              </w:rPr>
            </w:pPr>
          </w:p>
          <w:p w14:paraId="2C24F8DB" w14:textId="3407DB4D" w:rsidR="009E3AF9" w:rsidRPr="004574DC" w:rsidRDefault="00F35C7D" w:rsidP="009E3AF9">
            <w:pPr>
              <w:rPr>
                <w:sz w:val="16"/>
                <w:lang w:val="en-GB"/>
              </w:rPr>
            </w:pPr>
            <w:r w:rsidRPr="004574DC">
              <w:rPr>
                <w:sz w:val="16"/>
                <w:lang w:val="en-GB"/>
              </w:rPr>
              <w:t>4.2.1</w:t>
            </w:r>
            <w:r w:rsidR="009E3AF9" w:rsidRPr="00603C82">
              <w:rPr>
                <w:sz w:val="16"/>
                <w:lang w:val="en-GB"/>
              </w:rPr>
              <w:t>: Number and percentage of key populations reached with comprehensive package of interventions on HIV prevention,</w:t>
            </w:r>
            <w:r w:rsidR="009E3AF9" w:rsidRPr="00AD20B2">
              <w:rPr>
                <w:sz w:val="16"/>
                <w:lang w:val="en-GB"/>
              </w:rPr>
              <w:t xml:space="preserve"> treatment and care (disaggregated by key population</w:t>
            </w:r>
            <w:r w:rsidR="009E3AF9" w:rsidRPr="004574DC">
              <w:rPr>
                <w:sz w:val="16"/>
                <w:lang w:val="en-GB"/>
              </w:rPr>
              <w:t xml:space="preserve">, gender, </w:t>
            </w:r>
            <w:r w:rsidR="009E3AF9" w:rsidRPr="004574DC">
              <w:rPr>
                <w:sz w:val="16"/>
                <w:lang w:val="en-GB"/>
              </w:rPr>
              <w:lastRenderedPageBreak/>
              <w:t>type of service)</w:t>
            </w:r>
            <w:r w:rsidR="009E3AF9" w:rsidRPr="004574DC">
              <w:rPr>
                <w:sz w:val="16"/>
                <w:lang w:val="en-GB"/>
              </w:rPr>
              <w:br/>
              <w:t xml:space="preserve">Baseline: </w:t>
            </w:r>
            <w:r w:rsidR="000E7F42" w:rsidRPr="004574DC">
              <w:rPr>
                <w:sz w:val="16"/>
                <w:lang w:val="en-GB"/>
              </w:rPr>
              <w:t>T</w:t>
            </w:r>
            <w:r w:rsidR="00693378" w:rsidRPr="004574DC">
              <w:rPr>
                <w:sz w:val="16"/>
                <w:lang w:val="en-GB"/>
              </w:rPr>
              <w:t>o</w:t>
            </w:r>
            <w:r w:rsidR="009E3AF9" w:rsidRPr="004574DC">
              <w:rPr>
                <w:sz w:val="16"/>
                <w:lang w:val="en-GB"/>
              </w:rPr>
              <w:t xml:space="preserve"> be determined </w:t>
            </w:r>
            <w:r w:rsidR="00693378" w:rsidRPr="004574DC">
              <w:rPr>
                <w:sz w:val="16"/>
                <w:lang w:val="en-GB"/>
              </w:rPr>
              <w:t>(</w:t>
            </w:r>
            <w:r w:rsidR="009E3AF9" w:rsidRPr="004574DC">
              <w:rPr>
                <w:sz w:val="16"/>
                <w:lang w:val="en-GB"/>
              </w:rPr>
              <w:t>2015</w:t>
            </w:r>
            <w:r w:rsidR="00693378" w:rsidRPr="004574DC">
              <w:rPr>
                <w:sz w:val="16"/>
                <w:lang w:val="en-GB"/>
              </w:rPr>
              <w:t>)</w:t>
            </w:r>
            <w:r w:rsidR="009E3AF9" w:rsidRPr="004574DC">
              <w:rPr>
                <w:sz w:val="16"/>
                <w:lang w:val="en-GB"/>
              </w:rPr>
              <w:t xml:space="preserve"> </w:t>
            </w:r>
            <w:r w:rsidR="009E3AF9" w:rsidRPr="004574DC">
              <w:rPr>
                <w:sz w:val="16"/>
                <w:lang w:val="en-GB"/>
              </w:rPr>
              <w:br/>
              <w:t xml:space="preserve">Target: </w:t>
            </w:r>
            <w:r w:rsidR="000E7F42" w:rsidRPr="004574DC">
              <w:rPr>
                <w:sz w:val="16"/>
                <w:lang w:val="en-GB"/>
              </w:rPr>
              <w:t>T</w:t>
            </w:r>
            <w:r w:rsidR="00693378" w:rsidRPr="004574DC">
              <w:rPr>
                <w:sz w:val="16"/>
                <w:lang w:val="en-GB"/>
              </w:rPr>
              <w:t>o be determined (2015)</w:t>
            </w:r>
          </w:p>
          <w:p w14:paraId="216BA461" w14:textId="77777777" w:rsidR="009E3AF9" w:rsidRPr="004574DC" w:rsidRDefault="009E3AF9" w:rsidP="009E3AF9">
            <w:pPr>
              <w:rPr>
                <w:sz w:val="16"/>
                <w:lang w:val="en-GB"/>
              </w:rPr>
            </w:pPr>
          </w:p>
          <w:p w14:paraId="398DE745" w14:textId="09598808" w:rsidR="009E3AF9" w:rsidRPr="004574DC" w:rsidRDefault="00F35C7D" w:rsidP="009E3AF9">
            <w:pPr>
              <w:rPr>
                <w:lang w:val="en-GB"/>
              </w:rPr>
            </w:pPr>
            <w:r w:rsidRPr="004574DC">
              <w:rPr>
                <w:sz w:val="16"/>
                <w:lang w:val="en-GB"/>
              </w:rPr>
              <w:t>4.3.5</w:t>
            </w:r>
            <w:r w:rsidR="009E3AF9" w:rsidRPr="00603C82">
              <w:rPr>
                <w:sz w:val="16"/>
                <w:lang w:val="en-GB"/>
              </w:rPr>
              <w:t xml:space="preserve">: Ratification of the </w:t>
            </w:r>
            <w:r w:rsidR="000540BC" w:rsidRPr="00603C82">
              <w:rPr>
                <w:sz w:val="16"/>
                <w:lang w:val="en-GB"/>
              </w:rPr>
              <w:t xml:space="preserve">United Nations </w:t>
            </w:r>
            <w:r w:rsidR="009E3AF9" w:rsidRPr="00603C82">
              <w:rPr>
                <w:sz w:val="16"/>
                <w:lang w:val="en-GB"/>
              </w:rPr>
              <w:t xml:space="preserve">Convention on the Rights of </w:t>
            </w:r>
            <w:r w:rsidR="000E7F42" w:rsidRPr="00603C82">
              <w:rPr>
                <w:sz w:val="16"/>
                <w:lang w:val="en-GB"/>
              </w:rPr>
              <w:t xml:space="preserve">Persons with Disabilities </w:t>
            </w:r>
            <w:r w:rsidR="009E3AF9" w:rsidRPr="00AD20B2">
              <w:rPr>
                <w:sz w:val="16"/>
                <w:lang w:val="en-GB"/>
              </w:rPr>
              <w:t xml:space="preserve">and alignment of </w:t>
            </w:r>
            <w:r w:rsidR="009E3AF9" w:rsidRPr="004574DC">
              <w:rPr>
                <w:sz w:val="16"/>
                <w:lang w:val="en-GB"/>
              </w:rPr>
              <w:t>national legislation with its provisions</w:t>
            </w:r>
          </w:p>
          <w:p w14:paraId="13EE073A" w14:textId="4AC4476A" w:rsidR="009E3AF9" w:rsidRPr="004574DC" w:rsidRDefault="009E3AF9" w:rsidP="009E3AF9">
            <w:pPr>
              <w:rPr>
                <w:sz w:val="16"/>
                <w:lang w:val="en-GB"/>
              </w:rPr>
            </w:pPr>
            <w:r w:rsidRPr="004574DC">
              <w:rPr>
                <w:sz w:val="16"/>
                <w:lang w:val="en-GB"/>
              </w:rPr>
              <w:t xml:space="preserve">Baseline: Convention on the Rights of </w:t>
            </w:r>
            <w:r w:rsidR="000E7F42" w:rsidRPr="004574DC">
              <w:rPr>
                <w:sz w:val="16"/>
                <w:lang w:val="en-GB"/>
              </w:rPr>
              <w:t xml:space="preserve">Persons with Disabilities </w:t>
            </w:r>
            <w:r w:rsidRPr="004574DC">
              <w:rPr>
                <w:sz w:val="16"/>
                <w:lang w:val="en-GB"/>
              </w:rPr>
              <w:t>is discussed</w:t>
            </w:r>
          </w:p>
          <w:p w14:paraId="2D9808A6" w14:textId="66F4834C" w:rsidR="00E57DB9" w:rsidRPr="004574DC" w:rsidRDefault="009E3AF9" w:rsidP="009E3AF9">
            <w:pPr>
              <w:rPr>
                <w:bCs/>
                <w:i/>
                <w:color w:val="000000"/>
                <w:sz w:val="16"/>
                <w:szCs w:val="16"/>
                <w:lang w:val="en-GB"/>
              </w:rPr>
            </w:pPr>
            <w:r w:rsidRPr="004574DC">
              <w:rPr>
                <w:sz w:val="16"/>
                <w:lang w:val="en-GB"/>
              </w:rPr>
              <w:t xml:space="preserve">Target: Convention on the Rights of </w:t>
            </w:r>
            <w:r w:rsidR="000E7F42" w:rsidRPr="004574DC">
              <w:rPr>
                <w:sz w:val="16"/>
                <w:lang w:val="en-GB"/>
              </w:rPr>
              <w:t xml:space="preserve">Persons with Disabilities </w:t>
            </w:r>
            <w:r w:rsidRPr="004574DC">
              <w:rPr>
                <w:sz w:val="16"/>
                <w:lang w:val="en-GB"/>
              </w:rPr>
              <w:t>is ratified and the national legislation is aligned with its provisions</w:t>
            </w:r>
          </w:p>
        </w:tc>
        <w:tc>
          <w:tcPr>
            <w:tcW w:w="515" w:type="pct"/>
            <w:gridSpan w:val="2"/>
            <w:vMerge w:val="restart"/>
          </w:tcPr>
          <w:p w14:paraId="3C909435" w14:textId="77777777" w:rsidR="009E3AF9" w:rsidRPr="004574DC" w:rsidRDefault="009E3AF9" w:rsidP="009E3AF9">
            <w:pPr>
              <w:rPr>
                <w:sz w:val="16"/>
                <w:lang w:val="en-GB"/>
              </w:rPr>
            </w:pPr>
            <w:r w:rsidRPr="004574DC">
              <w:rPr>
                <w:sz w:val="16"/>
                <w:lang w:val="en-GB"/>
              </w:rPr>
              <w:lastRenderedPageBreak/>
              <w:t>STEPS survey;</w:t>
            </w:r>
          </w:p>
          <w:p w14:paraId="11928F2C" w14:textId="77777777" w:rsidR="009E3AF9" w:rsidRPr="004574DC" w:rsidRDefault="009E3AF9" w:rsidP="009E3AF9">
            <w:pPr>
              <w:rPr>
                <w:lang w:val="en-GB"/>
              </w:rPr>
            </w:pPr>
          </w:p>
          <w:p w14:paraId="3E8B3D43" w14:textId="77777777" w:rsidR="009E3AF9" w:rsidRPr="004574DC" w:rsidRDefault="009E3AF9" w:rsidP="009E3AF9">
            <w:pPr>
              <w:rPr>
                <w:sz w:val="16"/>
                <w:lang w:val="en-GB"/>
              </w:rPr>
            </w:pPr>
            <w:r w:rsidRPr="004574DC">
              <w:rPr>
                <w:sz w:val="16"/>
                <w:lang w:val="en-GB"/>
              </w:rPr>
              <w:t xml:space="preserve">Statistical reporting on HIV by the Ministry of Health; </w:t>
            </w:r>
          </w:p>
          <w:p w14:paraId="7EBA089B" w14:textId="77777777" w:rsidR="009E3AF9" w:rsidRPr="004574DC" w:rsidRDefault="009E3AF9" w:rsidP="009E3AF9">
            <w:pPr>
              <w:rPr>
                <w:sz w:val="16"/>
                <w:lang w:val="en-GB"/>
              </w:rPr>
            </w:pPr>
          </w:p>
          <w:p w14:paraId="41E91746" w14:textId="294C30A9" w:rsidR="009E3AF9" w:rsidRPr="004574DC" w:rsidRDefault="009E3AF9" w:rsidP="009E3AF9">
            <w:pPr>
              <w:rPr>
                <w:sz w:val="16"/>
                <w:lang w:val="en-GB"/>
              </w:rPr>
            </w:pPr>
            <w:r w:rsidRPr="004574DC">
              <w:rPr>
                <w:sz w:val="16"/>
                <w:lang w:val="en-GB"/>
              </w:rPr>
              <w:t xml:space="preserve">Annual Ministry of Health report to </w:t>
            </w:r>
            <w:r w:rsidR="000E7F42" w:rsidRPr="004574DC">
              <w:rPr>
                <w:sz w:val="16"/>
                <w:lang w:val="en-GB"/>
              </w:rPr>
              <w:t>the Joint United Nations Programme on HIV/AIDS (</w:t>
            </w:r>
            <w:r w:rsidRPr="004574DC">
              <w:rPr>
                <w:sz w:val="16"/>
                <w:lang w:val="en-GB"/>
              </w:rPr>
              <w:t>UNAIDS</w:t>
            </w:r>
            <w:r w:rsidR="000E7F42" w:rsidRPr="004574DC">
              <w:rPr>
                <w:sz w:val="16"/>
                <w:lang w:val="en-GB"/>
              </w:rPr>
              <w:t xml:space="preserve">) </w:t>
            </w:r>
            <w:r w:rsidRPr="004574DC">
              <w:rPr>
                <w:sz w:val="16"/>
                <w:lang w:val="en-GB"/>
              </w:rPr>
              <w:t>G</w:t>
            </w:r>
            <w:r w:rsidR="000E7F42" w:rsidRPr="004574DC">
              <w:rPr>
                <w:sz w:val="16"/>
                <w:lang w:val="en-GB"/>
              </w:rPr>
              <w:t>lobal AIDS Response Progress Reporting (GARPR)</w:t>
            </w:r>
          </w:p>
          <w:p w14:paraId="262EA0BD" w14:textId="77777777" w:rsidR="009E3AF9" w:rsidRPr="004574DC" w:rsidRDefault="009E3AF9" w:rsidP="009E3AF9">
            <w:pPr>
              <w:rPr>
                <w:lang w:val="en-GB"/>
              </w:rPr>
            </w:pPr>
          </w:p>
          <w:p w14:paraId="65D93100" w14:textId="77777777" w:rsidR="009E3AF9" w:rsidRPr="004574DC" w:rsidRDefault="009E3AF9" w:rsidP="009E3AF9">
            <w:pPr>
              <w:rPr>
                <w:sz w:val="16"/>
                <w:lang w:val="en-GB"/>
              </w:rPr>
            </w:pPr>
            <w:r w:rsidRPr="004574DC">
              <w:rPr>
                <w:sz w:val="16"/>
                <w:lang w:val="en-GB"/>
              </w:rPr>
              <w:t>Reference depository of legal information of the Republic of Belarus</w:t>
            </w:r>
          </w:p>
          <w:p w14:paraId="5839ABA2" w14:textId="77777777" w:rsidR="00B456EE" w:rsidRPr="004574DC" w:rsidRDefault="00B456EE" w:rsidP="009E3AF9">
            <w:pPr>
              <w:rPr>
                <w:sz w:val="16"/>
                <w:lang w:val="en-GB"/>
              </w:rPr>
            </w:pPr>
          </w:p>
          <w:p w14:paraId="377A4F80" w14:textId="77777777" w:rsidR="00B456EE" w:rsidRPr="004574DC" w:rsidRDefault="00B456EE" w:rsidP="009E3AF9">
            <w:pPr>
              <w:rPr>
                <w:lang w:val="en-GB"/>
              </w:rPr>
            </w:pPr>
            <w:r w:rsidRPr="004574DC">
              <w:rPr>
                <w:i/>
                <w:sz w:val="16"/>
                <w:lang w:val="en-GB"/>
              </w:rPr>
              <w:t xml:space="preserve">(data to be </w:t>
            </w:r>
            <w:r w:rsidRPr="004574DC">
              <w:rPr>
                <w:i/>
                <w:sz w:val="16"/>
                <w:lang w:val="en-GB"/>
              </w:rPr>
              <w:lastRenderedPageBreak/>
              <w:t>disaggregated by age and sex)</w:t>
            </w:r>
          </w:p>
          <w:p w14:paraId="6A48BFAF" w14:textId="77777777" w:rsidR="00E57DB9" w:rsidRPr="004574DC" w:rsidRDefault="00E57DB9" w:rsidP="00F3477F">
            <w:pPr>
              <w:rPr>
                <w:b/>
                <w:bCs/>
                <w:i/>
                <w:color w:val="000000"/>
                <w:sz w:val="16"/>
                <w:szCs w:val="16"/>
                <w:lang w:val="en-GB"/>
              </w:rPr>
            </w:pPr>
          </w:p>
        </w:tc>
        <w:tc>
          <w:tcPr>
            <w:tcW w:w="2334" w:type="pct"/>
            <w:vMerge w:val="restart"/>
            <w:tcMar>
              <w:top w:w="72" w:type="dxa"/>
              <w:left w:w="144" w:type="dxa"/>
              <w:bottom w:w="72" w:type="dxa"/>
              <w:right w:w="144" w:type="dxa"/>
            </w:tcMar>
          </w:tcPr>
          <w:p w14:paraId="03EE82C8" w14:textId="1A1E2F6F" w:rsidR="009E3AF9" w:rsidRPr="004574DC" w:rsidRDefault="009E3AF9" w:rsidP="009E3AF9">
            <w:pPr>
              <w:rPr>
                <w:b/>
                <w:sz w:val="16"/>
                <w:lang w:val="en-GB"/>
              </w:rPr>
            </w:pPr>
            <w:r w:rsidRPr="004574DC">
              <w:rPr>
                <w:b/>
                <w:sz w:val="16"/>
                <w:lang w:val="en-GB"/>
              </w:rPr>
              <w:lastRenderedPageBreak/>
              <w:t>Output 4.1: Improved capacity of national and subnational level institutions to deliver basic services and respond to priorities voiced by the public, including in rural and Chernobyl-affected areas and with respect to pe</w:t>
            </w:r>
            <w:r w:rsidR="000E7F42" w:rsidRPr="004574DC">
              <w:rPr>
                <w:b/>
                <w:sz w:val="16"/>
                <w:lang w:val="en-GB"/>
              </w:rPr>
              <w:t>rsons</w:t>
            </w:r>
            <w:r w:rsidRPr="004574DC">
              <w:rPr>
                <w:b/>
                <w:sz w:val="16"/>
                <w:lang w:val="en-GB"/>
              </w:rPr>
              <w:t xml:space="preserve"> living with disabilities </w:t>
            </w:r>
          </w:p>
          <w:p w14:paraId="701BDCD7" w14:textId="77777777" w:rsidR="009E3AF9" w:rsidRPr="004574DC" w:rsidRDefault="009E3AF9" w:rsidP="009E3AF9">
            <w:pPr>
              <w:rPr>
                <w:lang w:val="en-GB"/>
              </w:rPr>
            </w:pPr>
          </w:p>
          <w:p w14:paraId="77F4080F" w14:textId="130E8188" w:rsidR="009E3AF9" w:rsidRPr="004574DC" w:rsidRDefault="009E3AF9" w:rsidP="009E3AF9">
            <w:pPr>
              <w:rPr>
                <w:lang w:val="en-GB"/>
              </w:rPr>
            </w:pPr>
            <w:r w:rsidRPr="004574DC">
              <w:rPr>
                <w:sz w:val="16"/>
                <w:lang w:val="en-GB"/>
              </w:rPr>
              <w:t xml:space="preserve">4.1.1: Number of formal </w:t>
            </w:r>
            <w:r w:rsidR="00592481" w:rsidRPr="004574DC">
              <w:rPr>
                <w:sz w:val="16"/>
                <w:lang w:val="en-GB"/>
              </w:rPr>
              <w:t xml:space="preserve">partnership </w:t>
            </w:r>
            <w:r w:rsidRPr="004574DC">
              <w:rPr>
                <w:sz w:val="16"/>
                <w:lang w:val="en-GB"/>
              </w:rPr>
              <w:t>arrangements under which local authorities, communities and CSOs work to reduce tobacco and alcohol abuse and promote healthy lifestyles</w:t>
            </w:r>
          </w:p>
          <w:p w14:paraId="67E60D46" w14:textId="2E8BE778" w:rsidR="009E3AF9" w:rsidRPr="004574DC" w:rsidRDefault="009E3AF9" w:rsidP="009E3AF9">
            <w:pPr>
              <w:rPr>
                <w:lang w:val="en-GB"/>
              </w:rPr>
            </w:pPr>
            <w:r w:rsidRPr="004574DC">
              <w:rPr>
                <w:sz w:val="16"/>
                <w:lang w:val="en-GB"/>
              </w:rPr>
              <w:t xml:space="preserve">Baseline: </w:t>
            </w:r>
            <w:r w:rsidR="000E7F42" w:rsidRPr="004574DC">
              <w:rPr>
                <w:sz w:val="16"/>
                <w:lang w:val="en-GB"/>
              </w:rPr>
              <w:t>not available</w:t>
            </w:r>
            <w:r w:rsidRPr="004574DC">
              <w:rPr>
                <w:sz w:val="16"/>
                <w:lang w:val="en-GB"/>
              </w:rPr>
              <w:t xml:space="preserve"> (2014)</w:t>
            </w:r>
          </w:p>
          <w:p w14:paraId="7F9830EF" w14:textId="77777777" w:rsidR="009E3AF9" w:rsidRPr="004574DC" w:rsidRDefault="009E3AF9" w:rsidP="009E3AF9">
            <w:pPr>
              <w:rPr>
                <w:lang w:val="en-GB"/>
              </w:rPr>
            </w:pPr>
            <w:r w:rsidRPr="004574DC">
              <w:rPr>
                <w:sz w:val="16"/>
                <w:lang w:val="en-GB"/>
              </w:rPr>
              <w:t>Target: 20 (2018)</w:t>
            </w:r>
          </w:p>
          <w:p w14:paraId="0C9A405B" w14:textId="483BAEC0" w:rsidR="009E3AF9" w:rsidRPr="004574DC" w:rsidRDefault="009E3AF9" w:rsidP="009E3AF9">
            <w:pPr>
              <w:rPr>
                <w:sz w:val="16"/>
                <w:lang w:val="en-GB"/>
              </w:rPr>
            </w:pPr>
            <w:r w:rsidRPr="004574DC">
              <w:rPr>
                <w:sz w:val="16"/>
                <w:lang w:val="en-GB"/>
              </w:rPr>
              <w:t xml:space="preserve">Data: Programme reports (semi-annual), official </w:t>
            </w:r>
            <w:r w:rsidR="000E7F42" w:rsidRPr="004574DC">
              <w:rPr>
                <w:sz w:val="16"/>
                <w:lang w:val="en-GB"/>
              </w:rPr>
              <w:t>g</w:t>
            </w:r>
            <w:r w:rsidRPr="004574DC">
              <w:rPr>
                <w:sz w:val="16"/>
                <w:lang w:val="en-GB"/>
              </w:rPr>
              <w:t>overnment reports</w:t>
            </w:r>
          </w:p>
          <w:p w14:paraId="14A39C88" w14:textId="77777777" w:rsidR="009E3AF9" w:rsidRPr="004574DC" w:rsidRDefault="009E3AF9" w:rsidP="009E3AF9">
            <w:pPr>
              <w:rPr>
                <w:sz w:val="16"/>
                <w:lang w:val="en-GB"/>
              </w:rPr>
            </w:pPr>
          </w:p>
          <w:p w14:paraId="63B8CD18" w14:textId="5A2AF1D8" w:rsidR="009E3AF9" w:rsidRPr="004574DC" w:rsidRDefault="009E3AF9" w:rsidP="009E3AF9">
            <w:pPr>
              <w:rPr>
                <w:lang w:val="en-GB"/>
              </w:rPr>
            </w:pPr>
            <w:r w:rsidRPr="004574DC">
              <w:rPr>
                <w:sz w:val="16"/>
                <w:lang w:val="en-GB"/>
              </w:rPr>
              <w:t xml:space="preserve">4.1.2: Number of mass media standards for the coverage of </w:t>
            </w:r>
            <w:r w:rsidR="000E7F42" w:rsidRPr="004574DC">
              <w:rPr>
                <w:sz w:val="16"/>
                <w:lang w:val="en-GB"/>
              </w:rPr>
              <w:t>persons with disabilities</w:t>
            </w:r>
            <w:r w:rsidRPr="004574DC">
              <w:rPr>
                <w:sz w:val="16"/>
                <w:lang w:val="en-GB"/>
              </w:rPr>
              <w:t>-related issues developed</w:t>
            </w:r>
            <w:r w:rsidR="004F66B1" w:rsidRPr="004574DC">
              <w:rPr>
                <w:sz w:val="16"/>
                <w:lang w:val="en-GB"/>
              </w:rPr>
              <w:t xml:space="preserve"> using a participatory approach </w:t>
            </w:r>
          </w:p>
          <w:p w14:paraId="43A0FAB2" w14:textId="77777777" w:rsidR="009E3AF9" w:rsidRPr="004574DC" w:rsidRDefault="009E3AF9" w:rsidP="009E3AF9">
            <w:pPr>
              <w:rPr>
                <w:lang w:val="en-GB"/>
              </w:rPr>
            </w:pPr>
            <w:r w:rsidRPr="004574DC">
              <w:rPr>
                <w:sz w:val="16"/>
                <w:lang w:val="en-GB"/>
              </w:rPr>
              <w:t>Baseline: No standards (2014)</w:t>
            </w:r>
          </w:p>
          <w:p w14:paraId="11BE4480" w14:textId="3C8CDEA2" w:rsidR="009E3AF9" w:rsidRPr="004574DC" w:rsidRDefault="009E3AF9" w:rsidP="009E3AF9">
            <w:pPr>
              <w:rPr>
                <w:lang w:val="en-GB"/>
              </w:rPr>
            </w:pPr>
            <w:r w:rsidRPr="004574DC">
              <w:rPr>
                <w:sz w:val="16"/>
                <w:lang w:val="en-GB"/>
              </w:rPr>
              <w:t xml:space="preserve">Target: </w:t>
            </w:r>
            <w:r w:rsidR="000E7F42" w:rsidRPr="004574DC">
              <w:rPr>
                <w:sz w:val="16"/>
                <w:lang w:val="en-GB"/>
              </w:rPr>
              <w:t>M</w:t>
            </w:r>
            <w:r w:rsidRPr="004574DC">
              <w:rPr>
                <w:sz w:val="16"/>
                <w:lang w:val="en-GB"/>
              </w:rPr>
              <w:t>inimum 7 standards (2020)</w:t>
            </w:r>
          </w:p>
          <w:p w14:paraId="4B56A111" w14:textId="20163C26" w:rsidR="009E3AF9" w:rsidRPr="004574DC" w:rsidRDefault="009E3AF9" w:rsidP="009E3AF9">
            <w:pPr>
              <w:rPr>
                <w:sz w:val="16"/>
                <w:lang w:val="en-GB"/>
              </w:rPr>
            </w:pPr>
            <w:r w:rsidRPr="004574DC">
              <w:rPr>
                <w:sz w:val="16"/>
                <w:lang w:val="en-GB"/>
              </w:rPr>
              <w:t>Data: Official website</w:t>
            </w:r>
            <w:r w:rsidR="00582265" w:rsidRPr="004574DC">
              <w:rPr>
                <w:sz w:val="16"/>
                <w:lang w:val="en-GB"/>
              </w:rPr>
              <w:t xml:space="preserve">s of government bodies and other organizations, media reports </w:t>
            </w:r>
          </w:p>
          <w:p w14:paraId="556DD65A" w14:textId="77777777" w:rsidR="009E3AF9" w:rsidRPr="004574DC" w:rsidRDefault="009E3AF9" w:rsidP="009E3AF9">
            <w:pPr>
              <w:rPr>
                <w:sz w:val="16"/>
                <w:lang w:val="en-GB"/>
              </w:rPr>
            </w:pPr>
          </w:p>
          <w:p w14:paraId="71C517FA" w14:textId="0B7CC938" w:rsidR="009E3AF9" w:rsidRPr="004574DC" w:rsidRDefault="009E3AF9" w:rsidP="009E3AF9">
            <w:pPr>
              <w:rPr>
                <w:sz w:val="16"/>
                <w:lang w:val="en-GB"/>
              </w:rPr>
            </w:pPr>
            <w:r w:rsidRPr="004574DC">
              <w:rPr>
                <w:sz w:val="16"/>
                <w:lang w:val="en-GB"/>
              </w:rPr>
              <w:t>4.1.3</w:t>
            </w:r>
            <w:r w:rsidR="000E7F42" w:rsidRPr="004574DC">
              <w:rPr>
                <w:sz w:val="16"/>
                <w:lang w:val="en-GB"/>
              </w:rPr>
              <w:t>:</w:t>
            </w:r>
            <w:r w:rsidRPr="004574DC">
              <w:rPr>
                <w:sz w:val="16"/>
                <w:lang w:val="en-GB"/>
              </w:rPr>
              <w:t xml:space="preserve"> Number of sectors (transport, education, etc.) applying new standards for provision of services to</w:t>
            </w:r>
            <w:r w:rsidR="000E7F42" w:rsidRPr="004574DC">
              <w:rPr>
                <w:sz w:val="16"/>
                <w:lang w:val="en-GB"/>
              </w:rPr>
              <w:t xml:space="preserve"> persons with disabilities</w:t>
            </w:r>
          </w:p>
          <w:p w14:paraId="3135D77E" w14:textId="77777777" w:rsidR="009E3AF9" w:rsidRPr="004574DC" w:rsidRDefault="009E3AF9" w:rsidP="009E3AF9">
            <w:pPr>
              <w:rPr>
                <w:sz w:val="16"/>
                <w:lang w:val="en-GB"/>
              </w:rPr>
            </w:pPr>
            <w:r w:rsidRPr="004574DC">
              <w:rPr>
                <w:sz w:val="16"/>
                <w:lang w:val="en-GB"/>
              </w:rPr>
              <w:t>Baseline: 0 (2015)</w:t>
            </w:r>
          </w:p>
          <w:p w14:paraId="7998D868" w14:textId="77777777" w:rsidR="009E3AF9" w:rsidRPr="004574DC" w:rsidRDefault="009E3AF9" w:rsidP="009E3AF9">
            <w:pPr>
              <w:rPr>
                <w:sz w:val="16"/>
                <w:lang w:val="en-GB"/>
              </w:rPr>
            </w:pPr>
            <w:r w:rsidRPr="004574DC">
              <w:rPr>
                <w:sz w:val="16"/>
                <w:lang w:val="en-GB"/>
              </w:rPr>
              <w:t>Target: 5 (2020)</w:t>
            </w:r>
          </w:p>
          <w:p w14:paraId="77B3139A" w14:textId="4D4028BC" w:rsidR="009E3AF9" w:rsidRPr="004574DC" w:rsidRDefault="009E3AF9" w:rsidP="009E3AF9">
            <w:pPr>
              <w:rPr>
                <w:sz w:val="16"/>
                <w:lang w:val="en-GB"/>
              </w:rPr>
            </w:pPr>
            <w:r w:rsidRPr="004574DC">
              <w:rPr>
                <w:sz w:val="16"/>
                <w:lang w:val="en-GB"/>
              </w:rPr>
              <w:t xml:space="preserve">Data: Official </w:t>
            </w:r>
            <w:r w:rsidR="000E7F42" w:rsidRPr="004574DC">
              <w:rPr>
                <w:sz w:val="16"/>
                <w:lang w:val="en-GB"/>
              </w:rPr>
              <w:t>g</w:t>
            </w:r>
            <w:r w:rsidRPr="004574DC">
              <w:rPr>
                <w:sz w:val="16"/>
                <w:lang w:val="en-GB"/>
              </w:rPr>
              <w:t>overnment reports, project monitoring reports</w:t>
            </w:r>
          </w:p>
          <w:p w14:paraId="2C03E4AC" w14:textId="77777777" w:rsidR="009E3AF9" w:rsidRPr="004574DC" w:rsidRDefault="009E3AF9" w:rsidP="009E3AF9">
            <w:pPr>
              <w:rPr>
                <w:sz w:val="16"/>
                <w:lang w:val="en-GB"/>
              </w:rPr>
            </w:pPr>
          </w:p>
          <w:p w14:paraId="2C68595A" w14:textId="31678166" w:rsidR="009E3AF9" w:rsidRPr="004574DC" w:rsidRDefault="009E3AF9" w:rsidP="009E3AF9">
            <w:pPr>
              <w:rPr>
                <w:b/>
                <w:lang w:val="en-GB"/>
              </w:rPr>
            </w:pPr>
            <w:r w:rsidRPr="004574DC">
              <w:rPr>
                <w:b/>
                <w:sz w:val="16"/>
                <w:lang w:val="en-GB"/>
              </w:rPr>
              <w:lastRenderedPageBreak/>
              <w:t xml:space="preserve">Output 4.2: Management, accountability and oversight functions of national institutions implementing HIV and </w:t>
            </w:r>
            <w:r w:rsidR="000E7F42" w:rsidRPr="004574DC">
              <w:rPr>
                <w:b/>
                <w:sz w:val="16"/>
                <w:lang w:val="en-GB"/>
              </w:rPr>
              <w:t>tuberculosis</w:t>
            </w:r>
            <w:r w:rsidRPr="004574DC">
              <w:rPr>
                <w:b/>
                <w:sz w:val="16"/>
                <w:lang w:val="en-GB"/>
              </w:rPr>
              <w:t xml:space="preserve"> programmes strengthened</w:t>
            </w:r>
          </w:p>
          <w:p w14:paraId="3A389462" w14:textId="77777777" w:rsidR="009E3AF9" w:rsidRPr="004574DC" w:rsidRDefault="009E3AF9" w:rsidP="009E3AF9">
            <w:pPr>
              <w:rPr>
                <w:sz w:val="16"/>
                <w:lang w:val="en-GB"/>
              </w:rPr>
            </w:pPr>
          </w:p>
          <w:p w14:paraId="27A14068" w14:textId="6ADBFC5F" w:rsidR="009E3AF9" w:rsidRPr="004574DC" w:rsidRDefault="009E3AF9" w:rsidP="009E3AF9">
            <w:pPr>
              <w:rPr>
                <w:sz w:val="16"/>
                <w:lang w:val="en-GB"/>
              </w:rPr>
            </w:pPr>
            <w:r w:rsidRPr="004574DC">
              <w:rPr>
                <w:sz w:val="16"/>
                <w:lang w:val="en-GB"/>
              </w:rPr>
              <w:t>4.2.1</w:t>
            </w:r>
            <w:r w:rsidRPr="004574DC">
              <w:rPr>
                <w:color w:val="000000" w:themeColor="text1"/>
                <w:kern w:val="24"/>
                <w:lang w:val="en-GB"/>
              </w:rPr>
              <w:t xml:space="preserve">: </w:t>
            </w:r>
            <w:r w:rsidRPr="004574DC">
              <w:rPr>
                <w:sz w:val="16"/>
                <w:lang w:val="en-GB"/>
              </w:rPr>
              <w:t>Percentage of pe</w:t>
            </w:r>
            <w:r w:rsidR="000E7F42" w:rsidRPr="004574DC">
              <w:rPr>
                <w:sz w:val="16"/>
                <w:lang w:val="en-GB"/>
              </w:rPr>
              <w:t>rsons</w:t>
            </w:r>
            <w:r w:rsidRPr="004574DC">
              <w:rPr>
                <w:sz w:val="16"/>
                <w:lang w:val="en-GB"/>
              </w:rPr>
              <w:t xml:space="preserve"> living with HIV receiving antiretroviral therapy</w:t>
            </w:r>
          </w:p>
          <w:p w14:paraId="70309039" w14:textId="77777777" w:rsidR="009E3AF9" w:rsidRPr="004574DC" w:rsidRDefault="009E3AF9" w:rsidP="009E3AF9">
            <w:pPr>
              <w:rPr>
                <w:lang w:val="en-GB"/>
              </w:rPr>
            </w:pPr>
            <w:r w:rsidRPr="004574DC">
              <w:rPr>
                <w:sz w:val="16"/>
                <w:lang w:val="en-GB"/>
              </w:rPr>
              <w:t>Baseline: 44.7% (2013)</w:t>
            </w:r>
          </w:p>
          <w:p w14:paraId="1219CEA0" w14:textId="77777777" w:rsidR="009E3AF9" w:rsidRPr="004574DC" w:rsidRDefault="009E3AF9" w:rsidP="009E3AF9">
            <w:pPr>
              <w:rPr>
                <w:lang w:val="en-GB"/>
              </w:rPr>
            </w:pPr>
            <w:r w:rsidRPr="004574DC">
              <w:rPr>
                <w:sz w:val="16"/>
                <w:lang w:val="en-GB"/>
              </w:rPr>
              <w:t>Target: 80% (2020)</w:t>
            </w:r>
          </w:p>
          <w:p w14:paraId="0318839B" w14:textId="4E6A17E3" w:rsidR="009E3AF9" w:rsidRPr="004574DC" w:rsidRDefault="009E3AF9" w:rsidP="009E3AF9">
            <w:pPr>
              <w:rPr>
                <w:sz w:val="16"/>
                <w:lang w:val="en-GB"/>
              </w:rPr>
            </w:pPr>
            <w:r w:rsidRPr="004574DC">
              <w:rPr>
                <w:sz w:val="16"/>
                <w:lang w:val="en-GB"/>
              </w:rPr>
              <w:t xml:space="preserve">Data:  GARPR reports, reports of the </w:t>
            </w:r>
            <w:r w:rsidR="000E7F42" w:rsidRPr="004574DC">
              <w:rPr>
                <w:sz w:val="16"/>
                <w:lang w:val="en-GB"/>
              </w:rPr>
              <w:t>n</w:t>
            </w:r>
            <w:r w:rsidRPr="004574DC">
              <w:rPr>
                <w:sz w:val="16"/>
                <w:lang w:val="en-GB"/>
              </w:rPr>
              <w:t xml:space="preserve">ational HIV prevention </w:t>
            </w:r>
            <w:r w:rsidR="000E7F42" w:rsidRPr="004574DC">
              <w:rPr>
                <w:sz w:val="16"/>
                <w:lang w:val="en-GB"/>
              </w:rPr>
              <w:t>p</w:t>
            </w:r>
            <w:r w:rsidRPr="004574DC">
              <w:rPr>
                <w:sz w:val="16"/>
                <w:lang w:val="en-GB"/>
              </w:rPr>
              <w:t>rogramme.</w:t>
            </w:r>
          </w:p>
          <w:p w14:paraId="5E7D7C9E" w14:textId="77777777" w:rsidR="009E3AF9" w:rsidRPr="004574DC" w:rsidRDefault="009E3AF9" w:rsidP="009E3AF9">
            <w:pPr>
              <w:rPr>
                <w:sz w:val="16"/>
                <w:lang w:val="en-GB"/>
              </w:rPr>
            </w:pPr>
          </w:p>
          <w:p w14:paraId="0F2292CB" w14:textId="5723496A" w:rsidR="009E3AF9" w:rsidRPr="004574DC" w:rsidRDefault="009E3AF9" w:rsidP="009E3AF9">
            <w:pPr>
              <w:rPr>
                <w:sz w:val="16"/>
                <w:lang w:val="en-GB"/>
              </w:rPr>
            </w:pPr>
            <w:r w:rsidRPr="004574DC">
              <w:rPr>
                <w:sz w:val="16"/>
                <w:lang w:val="en-GB"/>
              </w:rPr>
              <w:t xml:space="preserve">4.2.2: Percentage of </w:t>
            </w:r>
            <w:r w:rsidR="000E7F42" w:rsidRPr="004574DC">
              <w:rPr>
                <w:sz w:val="16"/>
                <w:lang w:val="en-GB"/>
              </w:rPr>
              <w:t xml:space="preserve">tuberculosis and </w:t>
            </w:r>
            <w:r w:rsidRPr="004574DC">
              <w:rPr>
                <w:sz w:val="16"/>
                <w:lang w:val="en-GB"/>
              </w:rPr>
              <w:t xml:space="preserve">HIV patients receiving antiretroviral treatment </w:t>
            </w:r>
          </w:p>
          <w:p w14:paraId="3C66349D" w14:textId="77777777" w:rsidR="009E3AF9" w:rsidRPr="004574DC" w:rsidRDefault="009E3AF9" w:rsidP="009E3AF9">
            <w:pPr>
              <w:rPr>
                <w:sz w:val="16"/>
                <w:lang w:val="en-GB"/>
              </w:rPr>
            </w:pPr>
            <w:r w:rsidRPr="004574DC">
              <w:rPr>
                <w:sz w:val="16"/>
                <w:lang w:val="en-GB"/>
              </w:rPr>
              <w:t>Baseline: 67% (2013)</w:t>
            </w:r>
            <w:r w:rsidRPr="004574DC">
              <w:rPr>
                <w:sz w:val="16"/>
                <w:lang w:val="en-GB"/>
              </w:rPr>
              <w:br/>
              <w:t>Target: 90% (2020)</w:t>
            </w:r>
          </w:p>
          <w:p w14:paraId="37FD2DB9" w14:textId="26200F9C" w:rsidR="00E57DB9" w:rsidRPr="004574DC" w:rsidRDefault="009E3AF9">
            <w:pPr>
              <w:rPr>
                <w:b/>
                <w:bCs/>
                <w:color w:val="000000"/>
                <w:sz w:val="16"/>
                <w:szCs w:val="16"/>
                <w:lang w:val="en-GB"/>
              </w:rPr>
            </w:pPr>
            <w:r w:rsidRPr="004574DC">
              <w:rPr>
                <w:sz w:val="16"/>
                <w:lang w:val="en-GB"/>
              </w:rPr>
              <w:t xml:space="preserve">Data: Official </w:t>
            </w:r>
            <w:r w:rsidR="00E526E3" w:rsidRPr="004574DC">
              <w:rPr>
                <w:sz w:val="16"/>
                <w:lang w:val="en-GB"/>
              </w:rPr>
              <w:t>g</w:t>
            </w:r>
            <w:r w:rsidRPr="004574DC">
              <w:rPr>
                <w:sz w:val="16"/>
                <w:lang w:val="en-GB"/>
              </w:rPr>
              <w:t>overnment</w:t>
            </w:r>
            <w:r w:rsidR="00CB3391" w:rsidRPr="004574DC">
              <w:rPr>
                <w:sz w:val="16"/>
                <w:lang w:val="en-GB"/>
              </w:rPr>
              <w:t xml:space="preserve"> </w:t>
            </w:r>
            <w:r w:rsidRPr="004574DC">
              <w:rPr>
                <w:sz w:val="16"/>
                <w:lang w:val="en-GB"/>
              </w:rPr>
              <w:t>reports</w:t>
            </w:r>
          </w:p>
        </w:tc>
        <w:tc>
          <w:tcPr>
            <w:tcW w:w="447" w:type="pct"/>
            <w:gridSpan w:val="2"/>
            <w:vMerge w:val="restart"/>
          </w:tcPr>
          <w:p w14:paraId="06CFDF03" w14:textId="77777777" w:rsidR="009E3AF9" w:rsidRPr="004574DC" w:rsidRDefault="009E3AF9" w:rsidP="009E3AF9">
            <w:pPr>
              <w:rPr>
                <w:lang w:val="en-GB"/>
              </w:rPr>
            </w:pPr>
            <w:r w:rsidRPr="004574DC">
              <w:rPr>
                <w:sz w:val="16"/>
                <w:lang w:val="en-GB"/>
              </w:rPr>
              <w:lastRenderedPageBreak/>
              <w:t>Ministry of Health;</w:t>
            </w:r>
          </w:p>
          <w:p w14:paraId="6FAB3088" w14:textId="77777777" w:rsidR="009E3AF9" w:rsidRPr="004574DC" w:rsidRDefault="009E3AF9" w:rsidP="009E3AF9">
            <w:pPr>
              <w:rPr>
                <w:lang w:val="en-GB"/>
              </w:rPr>
            </w:pPr>
            <w:r w:rsidRPr="004574DC">
              <w:rPr>
                <w:sz w:val="16"/>
                <w:lang w:val="en-GB"/>
              </w:rPr>
              <w:t>Ministry of Labour and Social Protection;</w:t>
            </w:r>
          </w:p>
          <w:p w14:paraId="48ABB4A1" w14:textId="28C4A614" w:rsidR="00E57DB9" w:rsidRPr="004574DC" w:rsidRDefault="00C46DD7" w:rsidP="00C46DD7">
            <w:pPr>
              <w:rPr>
                <w:i/>
                <w:iCs/>
                <w:color w:val="000000"/>
                <w:sz w:val="16"/>
                <w:szCs w:val="16"/>
                <w:lang w:val="en-GB"/>
              </w:rPr>
            </w:pPr>
            <w:r w:rsidRPr="004574DC">
              <w:rPr>
                <w:sz w:val="16"/>
                <w:lang w:val="en-GB"/>
              </w:rPr>
              <w:t>Ministry of Information</w:t>
            </w:r>
            <w:r w:rsidR="009E3AF9" w:rsidRPr="00603C82">
              <w:rPr>
                <w:sz w:val="16"/>
                <w:lang w:val="en-GB"/>
              </w:rPr>
              <w:t xml:space="preserve">; </w:t>
            </w:r>
            <w:r w:rsidRPr="00AD20B2">
              <w:rPr>
                <w:sz w:val="16"/>
                <w:lang w:val="en-GB"/>
              </w:rPr>
              <w:t xml:space="preserve">local authorities; </w:t>
            </w:r>
            <w:r w:rsidR="009E3AF9" w:rsidRPr="004574DC">
              <w:rPr>
                <w:sz w:val="16"/>
                <w:lang w:val="en-GB"/>
              </w:rPr>
              <w:t>NGOs; UNAIDS, UNFPA,</w:t>
            </w:r>
            <w:r w:rsidR="007B115B" w:rsidRPr="004574DC">
              <w:rPr>
                <w:sz w:val="16"/>
                <w:lang w:val="en-GB"/>
              </w:rPr>
              <w:t xml:space="preserve"> United Nations Children’s Fund</w:t>
            </w:r>
            <w:r w:rsidR="009E3AF9" w:rsidRPr="004574DC">
              <w:rPr>
                <w:sz w:val="16"/>
                <w:lang w:val="en-GB"/>
              </w:rPr>
              <w:t xml:space="preserve">, </w:t>
            </w:r>
            <w:r w:rsidR="007B115B" w:rsidRPr="004574DC">
              <w:rPr>
                <w:sz w:val="16"/>
                <w:lang w:val="en-GB"/>
              </w:rPr>
              <w:t>World Health Organization</w:t>
            </w:r>
          </w:p>
        </w:tc>
        <w:tc>
          <w:tcPr>
            <w:tcW w:w="536" w:type="pct"/>
            <w:gridSpan w:val="3"/>
            <w:tcMar>
              <w:top w:w="15" w:type="dxa"/>
              <w:left w:w="108" w:type="dxa"/>
              <w:bottom w:w="0" w:type="dxa"/>
              <w:right w:w="108" w:type="dxa"/>
            </w:tcMar>
          </w:tcPr>
          <w:p w14:paraId="7E3D5628" w14:textId="01A55226" w:rsidR="00E57DB9" w:rsidRPr="004574DC" w:rsidRDefault="009E3AF9" w:rsidP="00F3477F">
            <w:pPr>
              <w:rPr>
                <w:b/>
                <w:color w:val="000000"/>
                <w:sz w:val="16"/>
                <w:szCs w:val="16"/>
                <w:lang w:val="en-GB"/>
              </w:rPr>
            </w:pPr>
            <w:r w:rsidRPr="004574DC">
              <w:rPr>
                <w:b/>
                <w:color w:val="000000"/>
                <w:sz w:val="16"/>
                <w:szCs w:val="16"/>
                <w:lang w:val="en-GB"/>
              </w:rPr>
              <w:t xml:space="preserve">Regular: </w:t>
            </w:r>
            <w:r w:rsidR="007B115B" w:rsidRPr="004574DC">
              <w:rPr>
                <w:b/>
                <w:color w:val="000000"/>
                <w:sz w:val="16"/>
                <w:szCs w:val="16"/>
                <w:lang w:val="en-GB"/>
              </w:rPr>
              <w:t>$</w:t>
            </w:r>
            <w:r w:rsidRPr="004574DC">
              <w:rPr>
                <w:b/>
                <w:color w:val="000000"/>
                <w:sz w:val="16"/>
                <w:szCs w:val="16"/>
                <w:lang w:val="en-GB"/>
              </w:rPr>
              <w:t>500</w:t>
            </w:r>
          </w:p>
        </w:tc>
      </w:tr>
      <w:tr w:rsidR="00E57DB9" w:rsidRPr="004574DC" w14:paraId="15CE78AA" w14:textId="77777777" w:rsidTr="00022DF7">
        <w:tblPrEx>
          <w:tblBorders>
            <w:top w:val="single" w:sz="4" w:space="0" w:color="auto"/>
            <w:left w:val="single" w:sz="4" w:space="0" w:color="auto"/>
            <w:bottom w:val="single" w:sz="4" w:space="0" w:color="auto"/>
            <w:right w:val="single" w:sz="4" w:space="0" w:color="auto"/>
          </w:tblBorders>
        </w:tblPrEx>
        <w:tc>
          <w:tcPr>
            <w:tcW w:w="1168" w:type="pct"/>
            <w:gridSpan w:val="2"/>
            <w:vMerge/>
            <w:tcMar>
              <w:top w:w="72" w:type="dxa"/>
              <w:left w:w="144" w:type="dxa"/>
              <w:bottom w:w="72" w:type="dxa"/>
              <w:right w:w="144" w:type="dxa"/>
            </w:tcMar>
          </w:tcPr>
          <w:p w14:paraId="53588AD2" w14:textId="77777777" w:rsidR="00E57DB9" w:rsidRPr="004574DC" w:rsidRDefault="00E57DB9" w:rsidP="00F3477F">
            <w:pPr>
              <w:rPr>
                <w:i/>
                <w:iCs/>
                <w:color w:val="000000"/>
                <w:sz w:val="16"/>
                <w:szCs w:val="16"/>
                <w:lang w:val="en-GB"/>
              </w:rPr>
            </w:pPr>
          </w:p>
        </w:tc>
        <w:tc>
          <w:tcPr>
            <w:tcW w:w="515" w:type="pct"/>
            <w:gridSpan w:val="2"/>
            <w:vMerge/>
          </w:tcPr>
          <w:p w14:paraId="06D26D04" w14:textId="77777777" w:rsidR="00E57DB9" w:rsidRPr="004574DC" w:rsidRDefault="00E57DB9" w:rsidP="00F3477F">
            <w:pPr>
              <w:rPr>
                <w:i/>
                <w:iCs/>
                <w:color w:val="000000"/>
                <w:sz w:val="16"/>
                <w:szCs w:val="16"/>
                <w:lang w:val="en-GB"/>
              </w:rPr>
            </w:pPr>
          </w:p>
        </w:tc>
        <w:tc>
          <w:tcPr>
            <w:tcW w:w="2334" w:type="pct"/>
            <w:vMerge/>
            <w:tcMar>
              <w:top w:w="72" w:type="dxa"/>
              <w:left w:w="144" w:type="dxa"/>
              <w:bottom w:w="72" w:type="dxa"/>
              <w:right w:w="144" w:type="dxa"/>
            </w:tcMar>
          </w:tcPr>
          <w:p w14:paraId="51ACD3F2" w14:textId="77777777" w:rsidR="00E57DB9" w:rsidRPr="004574DC" w:rsidRDefault="00E57DB9" w:rsidP="00F3477F">
            <w:pPr>
              <w:rPr>
                <w:i/>
                <w:iCs/>
                <w:color w:val="000000"/>
                <w:sz w:val="16"/>
                <w:szCs w:val="16"/>
                <w:lang w:val="en-GB"/>
              </w:rPr>
            </w:pPr>
          </w:p>
        </w:tc>
        <w:tc>
          <w:tcPr>
            <w:tcW w:w="447" w:type="pct"/>
            <w:gridSpan w:val="2"/>
            <w:vMerge/>
          </w:tcPr>
          <w:p w14:paraId="6E4BCC2B" w14:textId="77777777" w:rsidR="00E57DB9" w:rsidRPr="004574DC" w:rsidRDefault="00E57DB9" w:rsidP="00F3477F">
            <w:pPr>
              <w:rPr>
                <w:i/>
                <w:iCs/>
                <w:color w:val="000000"/>
                <w:sz w:val="16"/>
                <w:szCs w:val="16"/>
                <w:lang w:val="en-GB"/>
              </w:rPr>
            </w:pPr>
          </w:p>
        </w:tc>
        <w:tc>
          <w:tcPr>
            <w:tcW w:w="536" w:type="pct"/>
            <w:gridSpan w:val="3"/>
            <w:tcMar>
              <w:top w:w="15" w:type="dxa"/>
              <w:left w:w="108" w:type="dxa"/>
              <w:bottom w:w="0" w:type="dxa"/>
              <w:right w:w="108" w:type="dxa"/>
            </w:tcMar>
          </w:tcPr>
          <w:p w14:paraId="6CE484FB" w14:textId="3E4D2AC9" w:rsidR="00E57DB9" w:rsidRPr="004574DC" w:rsidRDefault="00E57DB9" w:rsidP="00F3477F">
            <w:pPr>
              <w:rPr>
                <w:b/>
                <w:color w:val="000000"/>
                <w:sz w:val="16"/>
                <w:szCs w:val="16"/>
                <w:lang w:val="en-GB"/>
              </w:rPr>
            </w:pPr>
            <w:r w:rsidRPr="004574DC">
              <w:rPr>
                <w:b/>
                <w:color w:val="000000"/>
                <w:sz w:val="16"/>
                <w:szCs w:val="16"/>
                <w:lang w:val="en-GB"/>
              </w:rPr>
              <w:t>Other</w:t>
            </w:r>
            <w:r w:rsidR="009E3AF9" w:rsidRPr="004574DC">
              <w:rPr>
                <w:b/>
                <w:color w:val="000000"/>
                <w:sz w:val="16"/>
                <w:szCs w:val="16"/>
                <w:lang w:val="en-GB"/>
              </w:rPr>
              <w:t xml:space="preserve">: </w:t>
            </w:r>
            <w:r w:rsidR="007B115B" w:rsidRPr="004574DC">
              <w:rPr>
                <w:b/>
                <w:color w:val="000000"/>
                <w:sz w:val="16"/>
                <w:szCs w:val="16"/>
                <w:lang w:val="en-GB"/>
              </w:rPr>
              <w:t>$</w:t>
            </w:r>
            <w:r w:rsidR="009E3AF9" w:rsidRPr="004574DC">
              <w:rPr>
                <w:b/>
                <w:color w:val="000000"/>
                <w:sz w:val="16"/>
                <w:szCs w:val="16"/>
                <w:lang w:val="en-GB"/>
              </w:rPr>
              <w:t>13,000 (to be mobilized)</w:t>
            </w:r>
          </w:p>
        </w:tc>
      </w:tr>
      <w:tr w:rsidR="00E57DB9" w:rsidRPr="004574DC" w14:paraId="2F353ADA" w14:textId="77777777" w:rsidTr="00022DF7">
        <w:tblPrEx>
          <w:tblBorders>
            <w:top w:val="single" w:sz="4" w:space="0" w:color="auto"/>
            <w:left w:val="single" w:sz="4" w:space="0" w:color="auto"/>
            <w:bottom w:val="single" w:sz="4" w:space="0" w:color="auto"/>
            <w:right w:val="single" w:sz="4" w:space="0" w:color="auto"/>
          </w:tblBorders>
        </w:tblPrEx>
        <w:tc>
          <w:tcPr>
            <w:tcW w:w="1168" w:type="pct"/>
            <w:gridSpan w:val="2"/>
            <w:vMerge/>
            <w:tcMar>
              <w:top w:w="72" w:type="dxa"/>
              <w:left w:w="144" w:type="dxa"/>
              <w:bottom w:w="72" w:type="dxa"/>
              <w:right w:w="144" w:type="dxa"/>
            </w:tcMar>
          </w:tcPr>
          <w:p w14:paraId="2CF7BF64" w14:textId="77777777" w:rsidR="00E57DB9" w:rsidRPr="004574DC" w:rsidRDefault="00E57DB9" w:rsidP="00F3477F">
            <w:pPr>
              <w:rPr>
                <w:i/>
                <w:iCs/>
                <w:color w:val="000000"/>
                <w:sz w:val="16"/>
                <w:szCs w:val="16"/>
                <w:lang w:val="en-GB"/>
              </w:rPr>
            </w:pPr>
          </w:p>
        </w:tc>
        <w:tc>
          <w:tcPr>
            <w:tcW w:w="515" w:type="pct"/>
            <w:gridSpan w:val="2"/>
            <w:vMerge/>
          </w:tcPr>
          <w:p w14:paraId="37762A8F" w14:textId="77777777" w:rsidR="00E57DB9" w:rsidRPr="004574DC" w:rsidRDefault="00E57DB9" w:rsidP="00F3477F">
            <w:pPr>
              <w:rPr>
                <w:i/>
                <w:iCs/>
                <w:color w:val="000000"/>
                <w:sz w:val="16"/>
                <w:szCs w:val="16"/>
                <w:lang w:val="en-GB"/>
              </w:rPr>
            </w:pPr>
          </w:p>
        </w:tc>
        <w:tc>
          <w:tcPr>
            <w:tcW w:w="2334" w:type="pct"/>
            <w:vMerge/>
            <w:tcMar>
              <w:top w:w="72" w:type="dxa"/>
              <w:left w:w="144" w:type="dxa"/>
              <w:bottom w:w="72" w:type="dxa"/>
              <w:right w:w="144" w:type="dxa"/>
            </w:tcMar>
          </w:tcPr>
          <w:p w14:paraId="4B4B7183" w14:textId="77777777" w:rsidR="00E57DB9" w:rsidRPr="004574DC" w:rsidRDefault="00E57DB9" w:rsidP="00F3477F">
            <w:pPr>
              <w:rPr>
                <w:i/>
                <w:iCs/>
                <w:color w:val="000000"/>
                <w:sz w:val="16"/>
                <w:szCs w:val="16"/>
                <w:lang w:val="en-GB"/>
              </w:rPr>
            </w:pPr>
          </w:p>
        </w:tc>
        <w:tc>
          <w:tcPr>
            <w:tcW w:w="447" w:type="pct"/>
            <w:gridSpan w:val="2"/>
            <w:vMerge/>
          </w:tcPr>
          <w:p w14:paraId="284E85F5" w14:textId="77777777" w:rsidR="00E57DB9" w:rsidRPr="004574DC" w:rsidRDefault="00E57DB9" w:rsidP="00F3477F">
            <w:pPr>
              <w:rPr>
                <w:i/>
                <w:iCs/>
                <w:color w:val="000000"/>
                <w:sz w:val="16"/>
                <w:szCs w:val="16"/>
                <w:lang w:val="en-GB"/>
              </w:rPr>
            </w:pPr>
          </w:p>
        </w:tc>
        <w:tc>
          <w:tcPr>
            <w:tcW w:w="536" w:type="pct"/>
            <w:gridSpan w:val="3"/>
            <w:tcMar>
              <w:top w:w="15" w:type="dxa"/>
              <w:left w:w="108" w:type="dxa"/>
              <w:bottom w:w="0" w:type="dxa"/>
              <w:right w:w="108" w:type="dxa"/>
            </w:tcMar>
          </w:tcPr>
          <w:p w14:paraId="6775D9E6" w14:textId="77777777" w:rsidR="00E57DB9" w:rsidRPr="004574DC" w:rsidRDefault="00E57DB9" w:rsidP="00F3477F">
            <w:pPr>
              <w:rPr>
                <w:b/>
                <w:color w:val="000000"/>
                <w:sz w:val="16"/>
                <w:szCs w:val="16"/>
                <w:lang w:val="en-GB"/>
              </w:rPr>
            </w:pPr>
          </w:p>
        </w:tc>
      </w:tr>
    </w:tbl>
    <w:p w14:paraId="281F7F0F" w14:textId="77777777" w:rsidR="006A0C50" w:rsidRPr="00603C82" w:rsidRDefault="006A0C50" w:rsidP="006A0C50">
      <w:pPr>
        <w:jc w:val="center"/>
        <w:rPr>
          <w:color w:val="000000"/>
          <w:lang w:val="en-GB"/>
        </w:rPr>
      </w:pPr>
    </w:p>
    <w:p w14:paraId="5B5A2F53" w14:textId="30D90D9B" w:rsidR="006A0C50" w:rsidRPr="00AD20B2" w:rsidRDefault="00103B4F" w:rsidP="006A0C50">
      <w:pPr>
        <w:jc w:val="center"/>
        <w:rPr>
          <w:color w:val="000000"/>
          <w:lang w:val="en-GB"/>
        </w:rPr>
      </w:pPr>
      <w:r w:rsidRPr="00DD32B3">
        <w:rPr>
          <w:noProof/>
          <w:color w:val="000000"/>
          <w:sz w:val="16"/>
          <w:szCs w:val="16"/>
        </w:rPr>
        <w:drawing>
          <wp:inline distT="0" distB="0" distL="0" distR="0" wp14:anchorId="11EBD146" wp14:editId="1EC8155E">
            <wp:extent cx="942975" cy="28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2DD66AEE" w14:textId="7E106D11" w:rsidR="00E57DB9" w:rsidRPr="004574DC" w:rsidRDefault="00E57DB9" w:rsidP="006A0C50">
      <w:pPr>
        <w:jc w:val="center"/>
        <w:rPr>
          <w:color w:val="000000"/>
          <w:lang w:val="en-GB"/>
        </w:rPr>
      </w:pPr>
    </w:p>
    <w:sectPr w:rsidR="00E57DB9" w:rsidRPr="004574DC" w:rsidSect="0080240B">
      <w:headerReference w:type="even" r:id="rId19"/>
      <w:head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36B40" w14:textId="77777777" w:rsidR="009D7A79" w:rsidRDefault="009D7A79" w:rsidP="00441061">
      <w:r>
        <w:separator/>
      </w:r>
    </w:p>
  </w:endnote>
  <w:endnote w:type="continuationSeparator" w:id="0">
    <w:p w14:paraId="6A36DEF9" w14:textId="77777777" w:rsidR="009D7A79" w:rsidRDefault="009D7A7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5A86" w14:textId="77777777" w:rsidR="00A3703D" w:rsidRPr="005841A3" w:rsidRDefault="00A3703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3B4F">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0D92" w14:textId="77777777" w:rsidR="00A3703D" w:rsidRPr="000452C7" w:rsidRDefault="00A3703D" w:rsidP="000452C7">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3B4F">
      <w:rPr>
        <w:b/>
        <w:noProof/>
        <w:sz w:val="17"/>
        <w:szCs w:val="17"/>
      </w:rPr>
      <w:t>13</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3CD75" w14:textId="77777777" w:rsidR="009D7A79" w:rsidRDefault="009D7A79" w:rsidP="00441061">
      <w:r>
        <w:separator/>
      </w:r>
    </w:p>
  </w:footnote>
  <w:footnote w:type="continuationSeparator" w:id="0">
    <w:p w14:paraId="4E3C77CF" w14:textId="77777777" w:rsidR="009D7A79" w:rsidRDefault="009D7A79" w:rsidP="0044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3703D" w:rsidRPr="00682B25" w14:paraId="4C644884" w14:textId="77777777" w:rsidTr="00F3477F">
      <w:trPr>
        <w:trHeight w:hRule="exact" w:val="864"/>
      </w:trPr>
      <w:tc>
        <w:tcPr>
          <w:tcW w:w="4838" w:type="dxa"/>
          <w:tcBorders>
            <w:bottom w:val="single" w:sz="4" w:space="0" w:color="auto"/>
          </w:tcBorders>
          <w:vAlign w:val="bottom"/>
        </w:tcPr>
        <w:p w14:paraId="6D03DD5E" w14:textId="77777777" w:rsidR="00A3703D" w:rsidRPr="00682B25" w:rsidRDefault="00A3703D" w:rsidP="000452C7">
          <w:pPr>
            <w:widowControl w:val="0"/>
            <w:tabs>
              <w:tab w:val="center" w:pos="4320"/>
              <w:tab w:val="right" w:pos="8640"/>
            </w:tabs>
            <w:spacing w:after="80"/>
            <w:rPr>
              <w:b/>
              <w:sz w:val="17"/>
              <w:szCs w:val="17"/>
            </w:rPr>
          </w:pPr>
          <w:r w:rsidRPr="00682B25">
            <w:rPr>
              <w:b/>
              <w:sz w:val="17"/>
              <w:szCs w:val="17"/>
            </w:rPr>
            <w:t>DP/DCP/</w:t>
          </w:r>
          <w:r>
            <w:rPr>
              <w:b/>
              <w:sz w:val="17"/>
              <w:szCs w:val="17"/>
            </w:rPr>
            <w:t>BLR</w:t>
          </w:r>
          <w:r w:rsidRPr="00682B25">
            <w:rPr>
              <w:b/>
              <w:sz w:val="17"/>
              <w:szCs w:val="17"/>
            </w:rPr>
            <w:t>/3</w:t>
          </w:r>
        </w:p>
      </w:tc>
      <w:tc>
        <w:tcPr>
          <w:tcW w:w="5047" w:type="dxa"/>
          <w:tcBorders>
            <w:bottom w:val="single" w:sz="4" w:space="0" w:color="auto"/>
          </w:tcBorders>
          <w:vAlign w:val="bottom"/>
        </w:tcPr>
        <w:p w14:paraId="485051F0" w14:textId="77777777" w:rsidR="00A3703D" w:rsidRPr="00682B25" w:rsidRDefault="00A3703D" w:rsidP="000452C7">
          <w:pPr>
            <w:widowControl w:val="0"/>
            <w:tabs>
              <w:tab w:val="center" w:pos="4320"/>
              <w:tab w:val="right" w:pos="8640"/>
            </w:tabs>
            <w:rPr>
              <w:sz w:val="17"/>
              <w:szCs w:val="17"/>
            </w:rPr>
          </w:pPr>
        </w:p>
      </w:tc>
    </w:tr>
  </w:tbl>
  <w:p w14:paraId="3E3ED21C" w14:textId="77777777" w:rsidR="00A3703D" w:rsidRDefault="00A37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703D" w:rsidRPr="00682B25" w14:paraId="3B651C63" w14:textId="77777777" w:rsidTr="00F3477F">
      <w:trPr>
        <w:trHeight w:hRule="exact" w:val="864"/>
      </w:trPr>
      <w:tc>
        <w:tcPr>
          <w:tcW w:w="4838" w:type="dxa"/>
          <w:shd w:val="clear" w:color="auto" w:fill="auto"/>
          <w:vAlign w:val="bottom"/>
        </w:tcPr>
        <w:p w14:paraId="6618C61F" w14:textId="77777777" w:rsidR="00A3703D" w:rsidRPr="00682B25" w:rsidRDefault="00A3703D" w:rsidP="006A0C50">
          <w:pPr>
            <w:tabs>
              <w:tab w:val="center" w:pos="4320"/>
              <w:tab w:val="right" w:pos="8640"/>
            </w:tabs>
            <w:spacing w:after="80"/>
            <w:rPr>
              <w:b/>
              <w:noProof/>
              <w:sz w:val="17"/>
            </w:rPr>
          </w:pPr>
        </w:p>
      </w:tc>
      <w:tc>
        <w:tcPr>
          <w:tcW w:w="5033" w:type="dxa"/>
          <w:shd w:val="clear" w:color="auto" w:fill="auto"/>
          <w:vAlign w:val="bottom"/>
        </w:tcPr>
        <w:p w14:paraId="5F758B12" w14:textId="54FA289C" w:rsidR="00A3703D" w:rsidRPr="00682B25" w:rsidRDefault="00A3703D" w:rsidP="006A0C50">
          <w:pPr>
            <w:tabs>
              <w:tab w:val="center" w:pos="4320"/>
              <w:tab w:val="right" w:pos="8640"/>
            </w:tabs>
            <w:jc w:val="right"/>
            <w:rPr>
              <w:noProof/>
              <w:sz w:val="17"/>
            </w:rPr>
          </w:pPr>
          <w:r w:rsidRPr="00682B25">
            <w:rPr>
              <w:b/>
              <w:noProof/>
              <w:sz w:val="17"/>
            </w:rPr>
            <w:t>DP/DCP/</w:t>
          </w:r>
          <w:r>
            <w:rPr>
              <w:b/>
              <w:noProof/>
              <w:sz w:val="17"/>
            </w:rPr>
            <w:t>BLR</w:t>
          </w:r>
          <w:r w:rsidRPr="00682B25">
            <w:rPr>
              <w:b/>
              <w:noProof/>
              <w:sz w:val="17"/>
            </w:rPr>
            <w:t>/3</w:t>
          </w:r>
        </w:p>
      </w:tc>
    </w:tr>
  </w:tbl>
  <w:p w14:paraId="30FEDC8E" w14:textId="77777777" w:rsidR="00A3703D" w:rsidRPr="00916E69" w:rsidRDefault="00A3703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703D" w:rsidRPr="009D2C97" w14:paraId="2C217664" w14:textId="77777777" w:rsidTr="00F3477F">
      <w:trPr>
        <w:trHeight w:hRule="exact" w:val="864"/>
      </w:trPr>
      <w:tc>
        <w:tcPr>
          <w:tcW w:w="1267" w:type="dxa"/>
          <w:tcBorders>
            <w:bottom w:val="single" w:sz="4" w:space="0" w:color="auto"/>
          </w:tcBorders>
          <w:shd w:val="clear" w:color="auto" w:fill="auto"/>
          <w:vAlign w:val="bottom"/>
        </w:tcPr>
        <w:p w14:paraId="302360E9" w14:textId="77777777" w:rsidR="00A3703D" w:rsidRPr="009D2C97" w:rsidRDefault="00A3703D" w:rsidP="00CE17A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8498889" w14:textId="77777777" w:rsidR="00A3703D" w:rsidRPr="009D2C97" w:rsidRDefault="00A3703D" w:rsidP="00CE17A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9D2C97">
            <w:rPr>
              <w:spacing w:val="2"/>
              <w:w w:val="96"/>
              <w:kern w:val="14"/>
              <w:sz w:val="28"/>
              <w:lang w:val="en-GB"/>
            </w:rPr>
            <w:t>United Nations</w:t>
          </w:r>
        </w:p>
      </w:tc>
      <w:tc>
        <w:tcPr>
          <w:tcW w:w="245" w:type="dxa"/>
          <w:tcBorders>
            <w:bottom w:val="single" w:sz="4" w:space="0" w:color="auto"/>
          </w:tcBorders>
          <w:shd w:val="clear" w:color="auto" w:fill="auto"/>
          <w:vAlign w:val="bottom"/>
        </w:tcPr>
        <w:p w14:paraId="1807CAF6" w14:textId="77777777" w:rsidR="00A3703D" w:rsidRPr="009D2C97" w:rsidRDefault="00A3703D" w:rsidP="00CE17A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7E01F503" w14:textId="77777777" w:rsidR="00A3703D" w:rsidRPr="009D2C97" w:rsidRDefault="00A3703D" w:rsidP="00CE17AB">
          <w:pPr>
            <w:suppressAutoHyphens/>
            <w:spacing w:after="80"/>
            <w:jc w:val="right"/>
            <w:rPr>
              <w:spacing w:val="4"/>
              <w:w w:val="103"/>
              <w:kern w:val="14"/>
              <w:position w:val="-4"/>
              <w:lang w:val="en-GB"/>
            </w:rPr>
          </w:pPr>
          <w:r w:rsidRPr="009D2C97">
            <w:rPr>
              <w:spacing w:val="4"/>
              <w:w w:val="103"/>
              <w:kern w:val="14"/>
              <w:position w:val="-4"/>
              <w:sz w:val="40"/>
              <w:lang w:val="en-GB"/>
            </w:rPr>
            <w:t>DP</w:t>
          </w:r>
          <w:r w:rsidRPr="009D2C97">
            <w:rPr>
              <w:spacing w:val="4"/>
              <w:w w:val="103"/>
              <w:kern w:val="14"/>
              <w:position w:val="-4"/>
              <w:lang w:val="en-GB"/>
            </w:rPr>
            <w:t>/DCP/</w:t>
          </w:r>
          <w:r>
            <w:rPr>
              <w:spacing w:val="4"/>
              <w:w w:val="103"/>
              <w:kern w:val="14"/>
              <w:position w:val="-4"/>
              <w:lang w:val="en-GB"/>
            </w:rPr>
            <w:t>BLR</w:t>
          </w:r>
          <w:r w:rsidRPr="009D2C97">
            <w:rPr>
              <w:spacing w:val="4"/>
              <w:w w:val="103"/>
              <w:kern w:val="14"/>
              <w:position w:val="-4"/>
              <w:lang w:val="en-GB"/>
            </w:rPr>
            <w:t>/</w:t>
          </w:r>
          <w:r>
            <w:rPr>
              <w:spacing w:val="4"/>
              <w:w w:val="103"/>
              <w:kern w:val="14"/>
              <w:position w:val="-4"/>
              <w:lang w:val="en-GB"/>
            </w:rPr>
            <w:t>3</w:t>
          </w:r>
        </w:p>
      </w:tc>
    </w:tr>
    <w:tr w:rsidR="00A3703D" w:rsidRPr="009D2C97" w14:paraId="556802AE" w14:textId="77777777" w:rsidTr="00F3477F">
      <w:trPr>
        <w:gridAfter w:val="1"/>
        <w:wAfter w:w="28" w:type="dxa"/>
        <w:trHeight w:hRule="exact" w:val="2880"/>
      </w:trPr>
      <w:tc>
        <w:tcPr>
          <w:tcW w:w="1267" w:type="dxa"/>
          <w:tcBorders>
            <w:top w:val="single" w:sz="4" w:space="0" w:color="auto"/>
            <w:bottom w:val="single" w:sz="12" w:space="0" w:color="auto"/>
          </w:tcBorders>
          <w:shd w:val="clear" w:color="auto" w:fill="auto"/>
        </w:tcPr>
        <w:p w14:paraId="1AC7AF60" w14:textId="77777777" w:rsidR="00A3703D" w:rsidRPr="009D2C97" w:rsidRDefault="00A3703D" w:rsidP="00CE17AB">
          <w:pPr>
            <w:tabs>
              <w:tab w:val="center" w:pos="4320"/>
              <w:tab w:val="right" w:pos="8640"/>
            </w:tabs>
            <w:spacing w:before="109"/>
            <w:rPr>
              <w:noProof/>
              <w:sz w:val="17"/>
            </w:rPr>
          </w:pPr>
          <w:r w:rsidRPr="009D2C97">
            <w:rPr>
              <w:noProof/>
              <w:sz w:val="17"/>
            </w:rPr>
            <w:t xml:space="preserve"> </w:t>
          </w:r>
          <w:r w:rsidRPr="009D2C97">
            <w:rPr>
              <w:noProof/>
              <w:sz w:val="17"/>
            </w:rPr>
            <w:drawing>
              <wp:inline distT="0" distB="0" distL="0" distR="0" wp14:anchorId="7323F0D4" wp14:editId="44DAEB41">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799FAF91" w14:textId="77777777" w:rsidR="00A3703D" w:rsidRPr="009D2C97" w:rsidRDefault="00A3703D" w:rsidP="00CE17A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E1F48A1" w14:textId="77777777" w:rsidR="00A3703D" w:rsidRPr="009D2C97" w:rsidRDefault="00A3703D" w:rsidP="00F347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276" w:lineRule="auto"/>
            <w:outlineLvl w:val="0"/>
            <w:rPr>
              <w:b/>
              <w:spacing w:val="-4"/>
              <w:w w:val="98"/>
              <w:kern w:val="14"/>
              <w:sz w:val="34"/>
              <w:lang w:val="en-GB"/>
            </w:rPr>
          </w:pPr>
          <w:r w:rsidRPr="009D2C97">
            <w:rPr>
              <w:b/>
              <w:sz w:val="34"/>
            </w:rPr>
            <w:t>Executive Board of the</w:t>
          </w:r>
          <w:r w:rsidRPr="009D2C97">
            <w:rPr>
              <w:b/>
              <w:sz w:val="34"/>
            </w:rPr>
            <w:br/>
            <w:t>United Nations Development</w:t>
          </w:r>
          <w:r w:rsidRPr="009D2C97">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11324B8B" w14:textId="77777777" w:rsidR="00A3703D" w:rsidRPr="009D2C97" w:rsidRDefault="00A3703D" w:rsidP="00F3477F">
          <w:pPr>
            <w:tabs>
              <w:tab w:val="center" w:pos="4320"/>
              <w:tab w:val="right" w:pos="8640"/>
            </w:tabs>
            <w:spacing w:before="109" w:line="276" w:lineRule="auto"/>
            <w:rPr>
              <w:noProof/>
              <w:sz w:val="17"/>
            </w:rPr>
          </w:pPr>
        </w:p>
      </w:tc>
      <w:tc>
        <w:tcPr>
          <w:tcW w:w="3140" w:type="dxa"/>
          <w:tcBorders>
            <w:top w:val="single" w:sz="4" w:space="0" w:color="auto"/>
            <w:bottom w:val="single" w:sz="12" w:space="0" w:color="auto"/>
          </w:tcBorders>
          <w:shd w:val="clear" w:color="auto" w:fill="auto"/>
        </w:tcPr>
        <w:p w14:paraId="5188BB22" w14:textId="77777777" w:rsidR="00A3703D" w:rsidRPr="009D2C97" w:rsidRDefault="00A3703D" w:rsidP="00CE17AB">
          <w:pPr>
            <w:suppressAutoHyphens/>
            <w:spacing w:before="240" w:line="240" w:lineRule="exact"/>
            <w:rPr>
              <w:spacing w:val="4"/>
              <w:w w:val="103"/>
              <w:kern w:val="14"/>
              <w:lang w:val="en-GB"/>
            </w:rPr>
          </w:pPr>
          <w:r w:rsidRPr="009D2C97">
            <w:rPr>
              <w:spacing w:val="4"/>
              <w:w w:val="103"/>
              <w:kern w:val="14"/>
              <w:lang w:val="en-GB"/>
            </w:rPr>
            <w:t>Distr.: General</w:t>
          </w:r>
        </w:p>
        <w:p w14:paraId="057FE491" w14:textId="60D0606E" w:rsidR="00A3703D" w:rsidRPr="009D2C97" w:rsidRDefault="00484CBF" w:rsidP="00CE17AB">
          <w:pPr>
            <w:suppressAutoHyphens/>
            <w:spacing w:line="240" w:lineRule="exact"/>
            <w:rPr>
              <w:spacing w:val="4"/>
              <w:w w:val="103"/>
              <w:kern w:val="14"/>
              <w:lang w:val="en-GB"/>
            </w:rPr>
          </w:pPr>
          <w:r>
            <w:rPr>
              <w:spacing w:val="4"/>
              <w:w w:val="103"/>
              <w:kern w:val="14"/>
              <w:lang w:val="en-GB"/>
            </w:rPr>
            <w:t>9 June</w:t>
          </w:r>
          <w:r w:rsidR="00A3703D">
            <w:rPr>
              <w:spacing w:val="4"/>
              <w:w w:val="103"/>
              <w:kern w:val="14"/>
              <w:lang w:val="en-GB"/>
            </w:rPr>
            <w:t xml:space="preserve"> 2015</w:t>
          </w:r>
        </w:p>
        <w:p w14:paraId="167040A8" w14:textId="77777777" w:rsidR="00A3703D" w:rsidRPr="009D2C97" w:rsidRDefault="00A3703D" w:rsidP="00CE17AB">
          <w:pPr>
            <w:suppressAutoHyphens/>
            <w:spacing w:line="240" w:lineRule="exact"/>
            <w:rPr>
              <w:spacing w:val="4"/>
              <w:w w:val="103"/>
              <w:kern w:val="14"/>
              <w:lang w:val="en-GB"/>
            </w:rPr>
          </w:pPr>
        </w:p>
        <w:p w14:paraId="6B6D266D" w14:textId="77777777" w:rsidR="00A3703D" w:rsidRPr="009D2C97" w:rsidRDefault="00A3703D" w:rsidP="00CE17AB">
          <w:pPr>
            <w:suppressAutoHyphens/>
            <w:spacing w:line="240" w:lineRule="exact"/>
            <w:rPr>
              <w:spacing w:val="4"/>
              <w:w w:val="103"/>
              <w:kern w:val="14"/>
              <w:lang w:val="en-GB"/>
            </w:rPr>
          </w:pPr>
          <w:r w:rsidRPr="009D2C97">
            <w:rPr>
              <w:spacing w:val="4"/>
              <w:w w:val="103"/>
              <w:kern w:val="14"/>
              <w:lang w:val="en-GB"/>
            </w:rPr>
            <w:t>Original: English</w:t>
          </w:r>
        </w:p>
      </w:tc>
    </w:tr>
  </w:tbl>
  <w:p w14:paraId="123BBA62" w14:textId="77777777" w:rsidR="00A3703D" w:rsidRPr="00F3477F" w:rsidRDefault="00A3703D">
    <w:pPr>
      <w:pStyle w:val="Header"/>
      <w:rPr>
        <w:sz w:val="2"/>
        <w:szCs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06DF" w14:textId="77777777" w:rsidR="00A3703D" w:rsidRDefault="00A3703D">
    <w:pPr>
      <w:pStyle w:val="Header"/>
    </w:pPr>
    <w:r>
      <w:rPr>
        <w:noProof/>
        <w:lang w:val="en-US" w:eastAsia="en-US"/>
      </w:rPr>
      <mc:AlternateContent>
        <mc:Choice Requires="wps">
          <w:drawing>
            <wp:anchor distT="0" distB="0" distL="114300" distR="114300" simplePos="0" relativeHeight="251657728" behindDoc="0" locked="0" layoutInCell="0" allowOverlap="1" wp14:anchorId="1D7FF69B" wp14:editId="5124518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3703D" w:rsidRPr="005841A3" w14:paraId="764FC553" w14:textId="77777777">
                            <w:trPr>
                              <w:trHeight w:hRule="exact" w:val="864"/>
                            </w:trPr>
                            <w:tc>
                              <w:tcPr>
                                <w:tcW w:w="4838" w:type="dxa"/>
                                <w:tcBorders>
                                  <w:bottom w:val="single" w:sz="4" w:space="0" w:color="auto"/>
                                </w:tcBorders>
                                <w:vAlign w:val="bottom"/>
                              </w:tcPr>
                              <w:p w14:paraId="28F44E82" w14:textId="77777777" w:rsidR="00A3703D" w:rsidRPr="007C6F85" w:rsidRDefault="00A3703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BLR/3</w:t>
                                </w:r>
                              </w:p>
                            </w:tc>
                            <w:tc>
                              <w:tcPr>
                                <w:tcW w:w="8276" w:type="dxa"/>
                                <w:tcBorders>
                                  <w:bottom w:val="single" w:sz="4" w:space="0" w:color="auto"/>
                                </w:tcBorders>
                                <w:vAlign w:val="bottom"/>
                              </w:tcPr>
                              <w:p w14:paraId="3F74939D" w14:textId="77777777" w:rsidR="00A3703D" w:rsidRPr="007C6F85" w:rsidRDefault="00A3703D">
                                <w:pPr>
                                  <w:pStyle w:val="Header"/>
                                  <w:rPr>
                                    <w:rFonts w:ascii="Times New Roman" w:hAnsi="Times New Roman"/>
                                    <w:sz w:val="17"/>
                                    <w:szCs w:val="17"/>
                                    <w:lang w:val="en-US" w:eastAsia="en-US"/>
                                  </w:rPr>
                                </w:pPr>
                              </w:p>
                            </w:tc>
                          </w:tr>
                        </w:tbl>
                        <w:p w14:paraId="6D51F271" w14:textId="77777777" w:rsidR="00A3703D" w:rsidRDefault="00A3703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7FF69B"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A3703D" w:rsidRPr="005841A3" w14:paraId="764FC553" w14:textId="77777777">
                      <w:trPr>
                        <w:trHeight w:hRule="exact" w:val="864"/>
                      </w:trPr>
                      <w:tc>
                        <w:tcPr>
                          <w:tcW w:w="4838" w:type="dxa"/>
                          <w:tcBorders>
                            <w:bottom w:val="single" w:sz="4" w:space="0" w:color="auto"/>
                          </w:tcBorders>
                          <w:vAlign w:val="bottom"/>
                        </w:tcPr>
                        <w:p w14:paraId="28F44E82" w14:textId="77777777" w:rsidR="00A3703D" w:rsidRPr="007C6F85" w:rsidRDefault="00A3703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BLR/3</w:t>
                          </w:r>
                        </w:p>
                      </w:tc>
                      <w:tc>
                        <w:tcPr>
                          <w:tcW w:w="8276" w:type="dxa"/>
                          <w:tcBorders>
                            <w:bottom w:val="single" w:sz="4" w:space="0" w:color="auto"/>
                          </w:tcBorders>
                          <w:vAlign w:val="bottom"/>
                        </w:tcPr>
                        <w:p w14:paraId="3F74939D" w14:textId="77777777" w:rsidR="00A3703D" w:rsidRPr="007C6F85" w:rsidRDefault="00A3703D">
                          <w:pPr>
                            <w:pStyle w:val="Header"/>
                            <w:rPr>
                              <w:rFonts w:ascii="Times New Roman" w:hAnsi="Times New Roman"/>
                              <w:sz w:val="17"/>
                              <w:szCs w:val="17"/>
                              <w:lang w:val="en-US" w:eastAsia="en-US"/>
                            </w:rPr>
                          </w:pPr>
                        </w:p>
                      </w:tc>
                    </w:tr>
                  </w:tbl>
                  <w:p w14:paraId="6D51F271" w14:textId="77777777" w:rsidR="00A3703D" w:rsidRDefault="00A3703D"/>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032"/>
    </w:tblGrid>
    <w:tr w:rsidR="00A3703D" w:rsidRPr="00682B25" w14:paraId="1C0B905E" w14:textId="77777777" w:rsidTr="006A0C50">
      <w:trPr>
        <w:trHeight w:hRule="exact" w:val="864"/>
      </w:trPr>
      <w:tc>
        <w:tcPr>
          <w:tcW w:w="4838" w:type="dxa"/>
          <w:shd w:val="clear" w:color="auto" w:fill="auto"/>
          <w:vAlign w:val="bottom"/>
        </w:tcPr>
        <w:p w14:paraId="5176F883" w14:textId="77777777" w:rsidR="00A3703D" w:rsidRPr="00682B25" w:rsidRDefault="00A3703D" w:rsidP="006A0C50">
          <w:pPr>
            <w:tabs>
              <w:tab w:val="center" w:pos="4320"/>
              <w:tab w:val="right" w:pos="8640"/>
            </w:tabs>
            <w:spacing w:after="80"/>
            <w:rPr>
              <w:b/>
              <w:noProof/>
              <w:sz w:val="17"/>
            </w:rPr>
          </w:pPr>
        </w:p>
      </w:tc>
      <w:tc>
        <w:tcPr>
          <w:tcW w:w="8032" w:type="dxa"/>
          <w:shd w:val="clear" w:color="auto" w:fill="auto"/>
          <w:vAlign w:val="bottom"/>
        </w:tcPr>
        <w:p w14:paraId="5C2895E6" w14:textId="46D3415F" w:rsidR="00A3703D" w:rsidRPr="00682B25" w:rsidRDefault="00A3703D" w:rsidP="006A0C50">
          <w:pPr>
            <w:tabs>
              <w:tab w:val="center" w:pos="4320"/>
              <w:tab w:val="right" w:pos="8640"/>
            </w:tabs>
            <w:jc w:val="right"/>
            <w:rPr>
              <w:noProof/>
              <w:sz w:val="17"/>
            </w:rPr>
          </w:pPr>
          <w:r w:rsidRPr="00682B25">
            <w:rPr>
              <w:b/>
              <w:noProof/>
              <w:sz w:val="17"/>
            </w:rPr>
            <w:t>DP/DCP/</w:t>
          </w:r>
          <w:r>
            <w:rPr>
              <w:b/>
              <w:noProof/>
              <w:sz w:val="17"/>
            </w:rPr>
            <w:t>BLR</w:t>
          </w:r>
          <w:r w:rsidRPr="00682B25">
            <w:rPr>
              <w:b/>
              <w:noProof/>
              <w:sz w:val="17"/>
            </w:rPr>
            <w:t>/3</w:t>
          </w:r>
        </w:p>
      </w:tc>
    </w:tr>
  </w:tbl>
  <w:p w14:paraId="02AE2AA3" w14:textId="77777777" w:rsidR="00A3703D" w:rsidRPr="00916E69" w:rsidRDefault="00A3703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67887"/>
    <w:multiLevelType w:val="multilevel"/>
    <w:tmpl w:val="8B163BC6"/>
    <w:lvl w:ilvl="0">
      <w:start w:val="1"/>
      <w:numFmt w:val="decimal"/>
      <w:lvlText w:val="%1."/>
      <w:lvlJc w:val="left"/>
      <w:pPr>
        <w:ind w:left="720" w:firstLine="1080"/>
      </w:pPr>
      <w:rPr>
        <w:b w:val="0"/>
        <w:i w:val="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02372"/>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4" w15:restartNumberingAfterBreak="0">
    <w:nsid w:val="6590229A"/>
    <w:multiLevelType w:val="multilevel"/>
    <w:tmpl w:val="8B163BC6"/>
    <w:lvl w:ilvl="0">
      <w:start w:val="1"/>
      <w:numFmt w:val="decimal"/>
      <w:lvlText w:val="%1."/>
      <w:lvlJc w:val="left"/>
      <w:pPr>
        <w:ind w:left="720" w:firstLine="1080"/>
      </w:pPr>
      <w:rPr>
        <w:b w:val="0"/>
        <w:i w:val="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6"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8" w15:restartNumberingAfterBreak="0">
    <w:nsid w:val="685D7AB8"/>
    <w:multiLevelType w:val="multilevel"/>
    <w:tmpl w:val="8B163BC6"/>
    <w:lvl w:ilvl="0">
      <w:start w:val="1"/>
      <w:numFmt w:val="decimal"/>
      <w:lvlText w:val="%1."/>
      <w:lvlJc w:val="left"/>
      <w:pPr>
        <w:ind w:left="720" w:firstLine="1080"/>
      </w:pPr>
      <w:rPr>
        <w:b w:val="0"/>
        <w:i w:val="0"/>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22"/>
  </w:num>
  <w:num w:numId="3">
    <w:abstractNumId w:val="18"/>
  </w:num>
  <w:num w:numId="4">
    <w:abstractNumId w:val="27"/>
  </w:num>
  <w:num w:numId="5">
    <w:abstractNumId w:val="19"/>
  </w:num>
  <w:num w:numId="6">
    <w:abstractNumId w:val="0"/>
  </w:num>
  <w:num w:numId="7">
    <w:abstractNumId w:val="12"/>
  </w:num>
  <w:num w:numId="8">
    <w:abstractNumId w:val="23"/>
  </w:num>
  <w:num w:numId="9">
    <w:abstractNumId w:val="34"/>
  </w:num>
  <w:num w:numId="10">
    <w:abstractNumId w:val="26"/>
  </w:num>
  <w:num w:numId="11">
    <w:abstractNumId w:val="33"/>
  </w:num>
  <w:num w:numId="12">
    <w:abstractNumId w:val="16"/>
  </w:num>
  <w:num w:numId="13">
    <w:abstractNumId w:val="4"/>
  </w:num>
  <w:num w:numId="14">
    <w:abstractNumId w:val="11"/>
  </w:num>
  <w:num w:numId="15">
    <w:abstractNumId w:val="30"/>
  </w:num>
  <w:num w:numId="16">
    <w:abstractNumId w:val="7"/>
  </w:num>
  <w:num w:numId="17">
    <w:abstractNumId w:val="9"/>
  </w:num>
  <w:num w:numId="18">
    <w:abstractNumId w:val="13"/>
  </w:num>
  <w:num w:numId="19">
    <w:abstractNumId w:val="32"/>
  </w:num>
  <w:num w:numId="20">
    <w:abstractNumId w:val="6"/>
  </w:num>
  <w:num w:numId="21">
    <w:abstractNumId w:val="5"/>
  </w:num>
  <w:num w:numId="22">
    <w:abstractNumId w:val="31"/>
  </w:num>
  <w:num w:numId="23">
    <w:abstractNumId w:val="10"/>
  </w:num>
  <w:num w:numId="24">
    <w:abstractNumId w:val="3"/>
  </w:num>
  <w:num w:numId="25">
    <w:abstractNumId w:val="29"/>
  </w:num>
  <w:num w:numId="26">
    <w:abstractNumId w:val="25"/>
  </w:num>
  <w:num w:numId="27">
    <w:abstractNumId w:val="21"/>
  </w:num>
  <w:num w:numId="28">
    <w:abstractNumId w:val="1"/>
  </w:num>
  <w:num w:numId="29">
    <w:abstractNumId w:val="17"/>
  </w:num>
  <w:num w:numId="30">
    <w:abstractNumId w:val="20"/>
  </w:num>
  <w:num w:numId="31">
    <w:abstractNumId w:val="8"/>
  </w:num>
  <w:num w:numId="32">
    <w:abstractNumId w:val="24"/>
  </w:num>
  <w:num w:numId="33">
    <w:abstractNumId w:val="2"/>
  </w:num>
  <w:num w:numId="34">
    <w:abstractNumId w:val="28"/>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1233D"/>
    <w:rsid w:val="00015FDE"/>
    <w:rsid w:val="00016217"/>
    <w:rsid w:val="00016861"/>
    <w:rsid w:val="000200CF"/>
    <w:rsid w:val="000205F1"/>
    <w:rsid w:val="0002100C"/>
    <w:rsid w:val="00022047"/>
    <w:rsid w:val="00022DF7"/>
    <w:rsid w:val="000274B9"/>
    <w:rsid w:val="0002758B"/>
    <w:rsid w:val="000276A0"/>
    <w:rsid w:val="000330DB"/>
    <w:rsid w:val="0003429F"/>
    <w:rsid w:val="0003562A"/>
    <w:rsid w:val="00036095"/>
    <w:rsid w:val="00036AF4"/>
    <w:rsid w:val="00041C10"/>
    <w:rsid w:val="00043804"/>
    <w:rsid w:val="000439B5"/>
    <w:rsid w:val="000441A1"/>
    <w:rsid w:val="000452C7"/>
    <w:rsid w:val="00050869"/>
    <w:rsid w:val="00051D68"/>
    <w:rsid w:val="000540BC"/>
    <w:rsid w:val="000561C1"/>
    <w:rsid w:val="00056204"/>
    <w:rsid w:val="000570D1"/>
    <w:rsid w:val="000571A9"/>
    <w:rsid w:val="00060290"/>
    <w:rsid w:val="00063E24"/>
    <w:rsid w:val="00065D5F"/>
    <w:rsid w:val="00072229"/>
    <w:rsid w:val="00073CF1"/>
    <w:rsid w:val="00074BD0"/>
    <w:rsid w:val="00074D9A"/>
    <w:rsid w:val="00074DB9"/>
    <w:rsid w:val="000753C4"/>
    <w:rsid w:val="00075DF0"/>
    <w:rsid w:val="000762CA"/>
    <w:rsid w:val="000803A4"/>
    <w:rsid w:val="0008339E"/>
    <w:rsid w:val="000846D6"/>
    <w:rsid w:val="00090AD1"/>
    <w:rsid w:val="00090F4F"/>
    <w:rsid w:val="00091476"/>
    <w:rsid w:val="00092879"/>
    <w:rsid w:val="000929C7"/>
    <w:rsid w:val="00093725"/>
    <w:rsid w:val="000948AA"/>
    <w:rsid w:val="00094E87"/>
    <w:rsid w:val="000955A8"/>
    <w:rsid w:val="00097FB2"/>
    <w:rsid w:val="000A151D"/>
    <w:rsid w:val="000A24C5"/>
    <w:rsid w:val="000A3F7F"/>
    <w:rsid w:val="000B3A13"/>
    <w:rsid w:val="000B4BB2"/>
    <w:rsid w:val="000C76B0"/>
    <w:rsid w:val="000C7BBE"/>
    <w:rsid w:val="000D189B"/>
    <w:rsid w:val="000D2475"/>
    <w:rsid w:val="000D442C"/>
    <w:rsid w:val="000D4DC4"/>
    <w:rsid w:val="000E612D"/>
    <w:rsid w:val="000E745A"/>
    <w:rsid w:val="000E7E9E"/>
    <w:rsid w:val="000E7F42"/>
    <w:rsid w:val="000F0044"/>
    <w:rsid w:val="000F703B"/>
    <w:rsid w:val="00102C70"/>
    <w:rsid w:val="00103B4F"/>
    <w:rsid w:val="00106EF8"/>
    <w:rsid w:val="00110161"/>
    <w:rsid w:val="001101A2"/>
    <w:rsid w:val="00110B3A"/>
    <w:rsid w:val="00111489"/>
    <w:rsid w:val="00111797"/>
    <w:rsid w:val="00111B19"/>
    <w:rsid w:val="00112199"/>
    <w:rsid w:val="00114A64"/>
    <w:rsid w:val="00115F59"/>
    <w:rsid w:val="00116C1A"/>
    <w:rsid w:val="00121F3E"/>
    <w:rsid w:val="0012229E"/>
    <w:rsid w:val="00123849"/>
    <w:rsid w:val="00123A5E"/>
    <w:rsid w:val="00125010"/>
    <w:rsid w:val="00125266"/>
    <w:rsid w:val="00125B82"/>
    <w:rsid w:val="001305E6"/>
    <w:rsid w:val="0013239A"/>
    <w:rsid w:val="001373E0"/>
    <w:rsid w:val="0013761A"/>
    <w:rsid w:val="0014423A"/>
    <w:rsid w:val="00147042"/>
    <w:rsid w:val="001471A7"/>
    <w:rsid w:val="001506F6"/>
    <w:rsid w:val="001507F6"/>
    <w:rsid w:val="00154032"/>
    <w:rsid w:val="001547D3"/>
    <w:rsid w:val="001559BD"/>
    <w:rsid w:val="00157F79"/>
    <w:rsid w:val="001603F3"/>
    <w:rsid w:val="00162312"/>
    <w:rsid w:val="00163E84"/>
    <w:rsid w:val="001668AA"/>
    <w:rsid w:val="001675B1"/>
    <w:rsid w:val="0016789D"/>
    <w:rsid w:val="00167C87"/>
    <w:rsid w:val="00172EE3"/>
    <w:rsid w:val="00175DD1"/>
    <w:rsid w:val="00177BF3"/>
    <w:rsid w:val="00177E7E"/>
    <w:rsid w:val="0018356F"/>
    <w:rsid w:val="001876C5"/>
    <w:rsid w:val="00187D68"/>
    <w:rsid w:val="00190155"/>
    <w:rsid w:val="001905EB"/>
    <w:rsid w:val="001906B5"/>
    <w:rsid w:val="00194163"/>
    <w:rsid w:val="00194FEB"/>
    <w:rsid w:val="001970A4"/>
    <w:rsid w:val="00197AD1"/>
    <w:rsid w:val="001A092D"/>
    <w:rsid w:val="001A7201"/>
    <w:rsid w:val="001B0020"/>
    <w:rsid w:val="001B3F87"/>
    <w:rsid w:val="001B4026"/>
    <w:rsid w:val="001B598C"/>
    <w:rsid w:val="001B742B"/>
    <w:rsid w:val="001B76A6"/>
    <w:rsid w:val="001C07F8"/>
    <w:rsid w:val="001C0B82"/>
    <w:rsid w:val="001C2F59"/>
    <w:rsid w:val="001C6C08"/>
    <w:rsid w:val="001D0D95"/>
    <w:rsid w:val="001D1DEC"/>
    <w:rsid w:val="001D2056"/>
    <w:rsid w:val="001D42D1"/>
    <w:rsid w:val="001D64E5"/>
    <w:rsid w:val="001D6EB8"/>
    <w:rsid w:val="001E05EC"/>
    <w:rsid w:val="001E2463"/>
    <w:rsid w:val="001E4809"/>
    <w:rsid w:val="001E4F4F"/>
    <w:rsid w:val="001F27F4"/>
    <w:rsid w:val="001F3DC0"/>
    <w:rsid w:val="001F4C5A"/>
    <w:rsid w:val="001F6425"/>
    <w:rsid w:val="001F6772"/>
    <w:rsid w:val="001F7421"/>
    <w:rsid w:val="00200195"/>
    <w:rsid w:val="00200B5F"/>
    <w:rsid w:val="00201EEF"/>
    <w:rsid w:val="002047C8"/>
    <w:rsid w:val="002052B3"/>
    <w:rsid w:val="002058F9"/>
    <w:rsid w:val="00212B1F"/>
    <w:rsid w:val="00213D7C"/>
    <w:rsid w:val="00214513"/>
    <w:rsid w:val="002155B7"/>
    <w:rsid w:val="0021766A"/>
    <w:rsid w:val="002225D3"/>
    <w:rsid w:val="00222A35"/>
    <w:rsid w:val="0022301D"/>
    <w:rsid w:val="00224B2C"/>
    <w:rsid w:val="00227E55"/>
    <w:rsid w:val="00232AA0"/>
    <w:rsid w:val="00234CDF"/>
    <w:rsid w:val="00235A27"/>
    <w:rsid w:val="00236B91"/>
    <w:rsid w:val="002408D0"/>
    <w:rsid w:val="002424C0"/>
    <w:rsid w:val="00242CAA"/>
    <w:rsid w:val="00243984"/>
    <w:rsid w:val="00244E71"/>
    <w:rsid w:val="00245D74"/>
    <w:rsid w:val="00246DDF"/>
    <w:rsid w:val="002478C2"/>
    <w:rsid w:val="00254A1E"/>
    <w:rsid w:val="002555AF"/>
    <w:rsid w:val="002573CC"/>
    <w:rsid w:val="00260FAA"/>
    <w:rsid w:val="00261E39"/>
    <w:rsid w:val="00262338"/>
    <w:rsid w:val="00262F84"/>
    <w:rsid w:val="00263938"/>
    <w:rsid w:val="002646D7"/>
    <w:rsid w:val="002671D7"/>
    <w:rsid w:val="002714FD"/>
    <w:rsid w:val="0027259C"/>
    <w:rsid w:val="00273543"/>
    <w:rsid w:val="00274C82"/>
    <w:rsid w:val="0027654D"/>
    <w:rsid w:val="002810DF"/>
    <w:rsid w:val="002812AB"/>
    <w:rsid w:val="002816D8"/>
    <w:rsid w:val="00282A8C"/>
    <w:rsid w:val="00282F66"/>
    <w:rsid w:val="00283584"/>
    <w:rsid w:val="002854EE"/>
    <w:rsid w:val="0028565C"/>
    <w:rsid w:val="002875DE"/>
    <w:rsid w:val="00287E07"/>
    <w:rsid w:val="00290EB3"/>
    <w:rsid w:val="0029108C"/>
    <w:rsid w:val="002922AA"/>
    <w:rsid w:val="002924E0"/>
    <w:rsid w:val="00292846"/>
    <w:rsid w:val="00292A90"/>
    <w:rsid w:val="0029653C"/>
    <w:rsid w:val="002971D6"/>
    <w:rsid w:val="002A2F08"/>
    <w:rsid w:val="002A3641"/>
    <w:rsid w:val="002A495F"/>
    <w:rsid w:val="002A706F"/>
    <w:rsid w:val="002A70EA"/>
    <w:rsid w:val="002A7363"/>
    <w:rsid w:val="002A7F43"/>
    <w:rsid w:val="002B19CF"/>
    <w:rsid w:val="002B2139"/>
    <w:rsid w:val="002B365E"/>
    <w:rsid w:val="002B489A"/>
    <w:rsid w:val="002B6341"/>
    <w:rsid w:val="002B7165"/>
    <w:rsid w:val="002C0378"/>
    <w:rsid w:val="002C0526"/>
    <w:rsid w:val="002C27A8"/>
    <w:rsid w:val="002C333E"/>
    <w:rsid w:val="002C36C8"/>
    <w:rsid w:val="002C4E58"/>
    <w:rsid w:val="002C51A0"/>
    <w:rsid w:val="002D0584"/>
    <w:rsid w:val="002D2E2A"/>
    <w:rsid w:val="002D5295"/>
    <w:rsid w:val="002D52BF"/>
    <w:rsid w:val="002D68FA"/>
    <w:rsid w:val="002D7ECA"/>
    <w:rsid w:val="002E0141"/>
    <w:rsid w:val="002E0B5D"/>
    <w:rsid w:val="002E1495"/>
    <w:rsid w:val="002E2900"/>
    <w:rsid w:val="002E3C0D"/>
    <w:rsid w:val="002E43EC"/>
    <w:rsid w:val="002E5B3C"/>
    <w:rsid w:val="002E7A79"/>
    <w:rsid w:val="002F1668"/>
    <w:rsid w:val="002F2C6E"/>
    <w:rsid w:val="002F3C88"/>
    <w:rsid w:val="002F4067"/>
    <w:rsid w:val="002F7339"/>
    <w:rsid w:val="002F7461"/>
    <w:rsid w:val="002F76EE"/>
    <w:rsid w:val="003025E2"/>
    <w:rsid w:val="00306D24"/>
    <w:rsid w:val="00307712"/>
    <w:rsid w:val="0031404A"/>
    <w:rsid w:val="00314B7C"/>
    <w:rsid w:val="00314E49"/>
    <w:rsid w:val="00315445"/>
    <w:rsid w:val="003161BE"/>
    <w:rsid w:val="00317183"/>
    <w:rsid w:val="003204AE"/>
    <w:rsid w:val="003208EF"/>
    <w:rsid w:val="00324846"/>
    <w:rsid w:val="00324ABD"/>
    <w:rsid w:val="00324D9B"/>
    <w:rsid w:val="003272A6"/>
    <w:rsid w:val="003273CB"/>
    <w:rsid w:val="0033125E"/>
    <w:rsid w:val="00331EC0"/>
    <w:rsid w:val="00336913"/>
    <w:rsid w:val="0033718C"/>
    <w:rsid w:val="00337407"/>
    <w:rsid w:val="00340E02"/>
    <w:rsid w:val="00343E6E"/>
    <w:rsid w:val="003446FC"/>
    <w:rsid w:val="003450C8"/>
    <w:rsid w:val="00346B89"/>
    <w:rsid w:val="0034782B"/>
    <w:rsid w:val="00351D3E"/>
    <w:rsid w:val="00351E5C"/>
    <w:rsid w:val="0035580F"/>
    <w:rsid w:val="00357CB4"/>
    <w:rsid w:val="003604EE"/>
    <w:rsid w:val="0036286B"/>
    <w:rsid w:val="00363371"/>
    <w:rsid w:val="00364989"/>
    <w:rsid w:val="003664C0"/>
    <w:rsid w:val="00367E04"/>
    <w:rsid w:val="0037074D"/>
    <w:rsid w:val="0037277A"/>
    <w:rsid w:val="003761F2"/>
    <w:rsid w:val="00376A05"/>
    <w:rsid w:val="003774FE"/>
    <w:rsid w:val="0038315A"/>
    <w:rsid w:val="00390E30"/>
    <w:rsid w:val="00393ABE"/>
    <w:rsid w:val="0039458D"/>
    <w:rsid w:val="00394D61"/>
    <w:rsid w:val="003A1F5A"/>
    <w:rsid w:val="003A2ECE"/>
    <w:rsid w:val="003A4252"/>
    <w:rsid w:val="003A539A"/>
    <w:rsid w:val="003A62A4"/>
    <w:rsid w:val="003A7476"/>
    <w:rsid w:val="003A7D86"/>
    <w:rsid w:val="003B0AA1"/>
    <w:rsid w:val="003B243D"/>
    <w:rsid w:val="003B304F"/>
    <w:rsid w:val="003B5D18"/>
    <w:rsid w:val="003B795D"/>
    <w:rsid w:val="003C190C"/>
    <w:rsid w:val="003C26A6"/>
    <w:rsid w:val="003C26C1"/>
    <w:rsid w:val="003C5C11"/>
    <w:rsid w:val="003C6A5A"/>
    <w:rsid w:val="003C6AAD"/>
    <w:rsid w:val="003D16F7"/>
    <w:rsid w:val="003D1D4D"/>
    <w:rsid w:val="003D37DD"/>
    <w:rsid w:val="003D45DF"/>
    <w:rsid w:val="003D47C6"/>
    <w:rsid w:val="003D674E"/>
    <w:rsid w:val="003D7E38"/>
    <w:rsid w:val="003D7EAC"/>
    <w:rsid w:val="003E379A"/>
    <w:rsid w:val="003E52B0"/>
    <w:rsid w:val="003E64DC"/>
    <w:rsid w:val="003E7A43"/>
    <w:rsid w:val="003F0B58"/>
    <w:rsid w:val="003F0D40"/>
    <w:rsid w:val="003F1875"/>
    <w:rsid w:val="003F2236"/>
    <w:rsid w:val="003F2309"/>
    <w:rsid w:val="003F27B7"/>
    <w:rsid w:val="003F4051"/>
    <w:rsid w:val="003F5812"/>
    <w:rsid w:val="003F7A5B"/>
    <w:rsid w:val="00400E4A"/>
    <w:rsid w:val="00401D09"/>
    <w:rsid w:val="00402E9A"/>
    <w:rsid w:val="00403FA8"/>
    <w:rsid w:val="00404040"/>
    <w:rsid w:val="00404213"/>
    <w:rsid w:val="004048AC"/>
    <w:rsid w:val="00404B8E"/>
    <w:rsid w:val="00405B55"/>
    <w:rsid w:val="00405D70"/>
    <w:rsid w:val="004068C2"/>
    <w:rsid w:val="00415E7F"/>
    <w:rsid w:val="00420288"/>
    <w:rsid w:val="00421C78"/>
    <w:rsid w:val="004224CE"/>
    <w:rsid w:val="00424A78"/>
    <w:rsid w:val="004254DB"/>
    <w:rsid w:val="00426D80"/>
    <w:rsid w:val="00427EEA"/>
    <w:rsid w:val="00431836"/>
    <w:rsid w:val="004321E6"/>
    <w:rsid w:val="0043278E"/>
    <w:rsid w:val="00434039"/>
    <w:rsid w:val="004360AC"/>
    <w:rsid w:val="00436A85"/>
    <w:rsid w:val="00436B83"/>
    <w:rsid w:val="00440C21"/>
    <w:rsid w:val="00441061"/>
    <w:rsid w:val="00441517"/>
    <w:rsid w:val="00450C70"/>
    <w:rsid w:val="004519E0"/>
    <w:rsid w:val="00453344"/>
    <w:rsid w:val="00454E76"/>
    <w:rsid w:val="0045637E"/>
    <w:rsid w:val="004568FA"/>
    <w:rsid w:val="00457080"/>
    <w:rsid w:val="004574DC"/>
    <w:rsid w:val="004600ED"/>
    <w:rsid w:val="00460891"/>
    <w:rsid w:val="00464FB2"/>
    <w:rsid w:val="0046745E"/>
    <w:rsid w:val="004736BE"/>
    <w:rsid w:val="0047556D"/>
    <w:rsid w:val="00475789"/>
    <w:rsid w:val="00476170"/>
    <w:rsid w:val="004820B0"/>
    <w:rsid w:val="00482E2F"/>
    <w:rsid w:val="00484CBF"/>
    <w:rsid w:val="004859B4"/>
    <w:rsid w:val="00486ACD"/>
    <w:rsid w:val="00492C65"/>
    <w:rsid w:val="0049403F"/>
    <w:rsid w:val="00494323"/>
    <w:rsid w:val="00494349"/>
    <w:rsid w:val="00494485"/>
    <w:rsid w:val="004A0F27"/>
    <w:rsid w:val="004A0F37"/>
    <w:rsid w:val="004A0F68"/>
    <w:rsid w:val="004A295C"/>
    <w:rsid w:val="004A3608"/>
    <w:rsid w:val="004A446E"/>
    <w:rsid w:val="004A4FBD"/>
    <w:rsid w:val="004A7810"/>
    <w:rsid w:val="004A7E5C"/>
    <w:rsid w:val="004A7E93"/>
    <w:rsid w:val="004B3CFB"/>
    <w:rsid w:val="004B3D1B"/>
    <w:rsid w:val="004B5D6B"/>
    <w:rsid w:val="004B76F8"/>
    <w:rsid w:val="004C1FA6"/>
    <w:rsid w:val="004C51F8"/>
    <w:rsid w:val="004C5CFD"/>
    <w:rsid w:val="004C7FB6"/>
    <w:rsid w:val="004D12C0"/>
    <w:rsid w:val="004D3713"/>
    <w:rsid w:val="004D7E99"/>
    <w:rsid w:val="004E2198"/>
    <w:rsid w:val="004E2BDB"/>
    <w:rsid w:val="004F2BB4"/>
    <w:rsid w:val="004F50AF"/>
    <w:rsid w:val="004F66B1"/>
    <w:rsid w:val="004F67DD"/>
    <w:rsid w:val="004F681D"/>
    <w:rsid w:val="00502857"/>
    <w:rsid w:val="005044A9"/>
    <w:rsid w:val="00504D05"/>
    <w:rsid w:val="00505994"/>
    <w:rsid w:val="00505FD4"/>
    <w:rsid w:val="00506E25"/>
    <w:rsid w:val="0051132C"/>
    <w:rsid w:val="00513483"/>
    <w:rsid w:val="00514A55"/>
    <w:rsid w:val="00514EF5"/>
    <w:rsid w:val="0051782D"/>
    <w:rsid w:val="0052087E"/>
    <w:rsid w:val="0052274A"/>
    <w:rsid w:val="0052315E"/>
    <w:rsid w:val="00530ED3"/>
    <w:rsid w:val="0053159D"/>
    <w:rsid w:val="0053438E"/>
    <w:rsid w:val="005355EE"/>
    <w:rsid w:val="00535B16"/>
    <w:rsid w:val="005366D0"/>
    <w:rsid w:val="00537E27"/>
    <w:rsid w:val="00540B4D"/>
    <w:rsid w:val="00540FFA"/>
    <w:rsid w:val="00542930"/>
    <w:rsid w:val="005435B3"/>
    <w:rsid w:val="005463AB"/>
    <w:rsid w:val="00550849"/>
    <w:rsid w:val="00553B8B"/>
    <w:rsid w:val="00554BF3"/>
    <w:rsid w:val="0055655F"/>
    <w:rsid w:val="0055657D"/>
    <w:rsid w:val="00560D0D"/>
    <w:rsid w:val="00565FB1"/>
    <w:rsid w:val="005662FB"/>
    <w:rsid w:val="00567781"/>
    <w:rsid w:val="00567ECC"/>
    <w:rsid w:val="005713B1"/>
    <w:rsid w:val="00572EF7"/>
    <w:rsid w:val="00582265"/>
    <w:rsid w:val="00583090"/>
    <w:rsid w:val="005835F4"/>
    <w:rsid w:val="00583EFE"/>
    <w:rsid w:val="005841A3"/>
    <w:rsid w:val="00590EAE"/>
    <w:rsid w:val="0059112A"/>
    <w:rsid w:val="00592481"/>
    <w:rsid w:val="00593216"/>
    <w:rsid w:val="00594BC3"/>
    <w:rsid w:val="00596CA7"/>
    <w:rsid w:val="00596DC8"/>
    <w:rsid w:val="00596E16"/>
    <w:rsid w:val="005A0395"/>
    <w:rsid w:val="005A16A3"/>
    <w:rsid w:val="005A1C48"/>
    <w:rsid w:val="005A253A"/>
    <w:rsid w:val="005B1094"/>
    <w:rsid w:val="005B2712"/>
    <w:rsid w:val="005B35E0"/>
    <w:rsid w:val="005B4421"/>
    <w:rsid w:val="005B6F0D"/>
    <w:rsid w:val="005B7929"/>
    <w:rsid w:val="005C146B"/>
    <w:rsid w:val="005C25D1"/>
    <w:rsid w:val="005C35A9"/>
    <w:rsid w:val="005C464B"/>
    <w:rsid w:val="005C74A0"/>
    <w:rsid w:val="005D052C"/>
    <w:rsid w:val="005D16FE"/>
    <w:rsid w:val="005D4084"/>
    <w:rsid w:val="005D4777"/>
    <w:rsid w:val="005D4C2B"/>
    <w:rsid w:val="005E6C03"/>
    <w:rsid w:val="005E784A"/>
    <w:rsid w:val="005E7953"/>
    <w:rsid w:val="005E7E82"/>
    <w:rsid w:val="005F6C28"/>
    <w:rsid w:val="005F7AB6"/>
    <w:rsid w:val="005F7E3C"/>
    <w:rsid w:val="00600FA8"/>
    <w:rsid w:val="00603C82"/>
    <w:rsid w:val="006063DA"/>
    <w:rsid w:val="00606CE3"/>
    <w:rsid w:val="00611DD3"/>
    <w:rsid w:val="00611EF0"/>
    <w:rsid w:val="00612219"/>
    <w:rsid w:val="00612E04"/>
    <w:rsid w:val="00613799"/>
    <w:rsid w:val="006173A4"/>
    <w:rsid w:val="00617C44"/>
    <w:rsid w:val="00622CE4"/>
    <w:rsid w:val="006234A7"/>
    <w:rsid w:val="00625917"/>
    <w:rsid w:val="0062789F"/>
    <w:rsid w:val="006301BE"/>
    <w:rsid w:val="0063096E"/>
    <w:rsid w:val="00633349"/>
    <w:rsid w:val="00633D61"/>
    <w:rsid w:val="0063402B"/>
    <w:rsid w:val="00636570"/>
    <w:rsid w:val="00637901"/>
    <w:rsid w:val="00637E1B"/>
    <w:rsid w:val="006402DF"/>
    <w:rsid w:val="0064164B"/>
    <w:rsid w:val="00641E94"/>
    <w:rsid w:val="00642BAC"/>
    <w:rsid w:val="00644468"/>
    <w:rsid w:val="00645F5E"/>
    <w:rsid w:val="00647B1E"/>
    <w:rsid w:val="00647C55"/>
    <w:rsid w:val="0065008B"/>
    <w:rsid w:val="00653A3B"/>
    <w:rsid w:val="00653FD9"/>
    <w:rsid w:val="00654D42"/>
    <w:rsid w:val="00656328"/>
    <w:rsid w:val="00660279"/>
    <w:rsid w:val="006622B9"/>
    <w:rsid w:val="00662E1E"/>
    <w:rsid w:val="0066371E"/>
    <w:rsid w:val="006724AD"/>
    <w:rsid w:val="00672BAB"/>
    <w:rsid w:val="0067314A"/>
    <w:rsid w:val="00673D1E"/>
    <w:rsid w:val="006779CF"/>
    <w:rsid w:val="00677A8F"/>
    <w:rsid w:val="00677F8A"/>
    <w:rsid w:val="006812EE"/>
    <w:rsid w:val="006821E3"/>
    <w:rsid w:val="00683376"/>
    <w:rsid w:val="00683AD6"/>
    <w:rsid w:val="006842AE"/>
    <w:rsid w:val="00685FBB"/>
    <w:rsid w:val="0069097D"/>
    <w:rsid w:val="00693378"/>
    <w:rsid w:val="006A0C50"/>
    <w:rsid w:val="006A14BD"/>
    <w:rsid w:val="006A5773"/>
    <w:rsid w:val="006A5804"/>
    <w:rsid w:val="006A58F0"/>
    <w:rsid w:val="006B0372"/>
    <w:rsid w:val="006B0764"/>
    <w:rsid w:val="006B4467"/>
    <w:rsid w:val="006B6C46"/>
    <w:rsid w:val="006B6E78"/>
    <w:rsid w:val="006C0039"/>
    <w:rsid w:val="006C1927"/>
    <w:rsid w:val="006C2585"/>
    <w:rsid w:val="006C4008"/>
    <w:rsid w:val="006C5931"/>
    <w:rsid w:val="006C73EF"/>
    <w:rsid w:val="006D078A"/>
    <w:rsid w:val="006D1723"/>
    <w:rsid w:val="006D5CB2"/>
    <w:rsid w:val="006D5D3F"/>
    <w:rsid w:val="006D60ED"/>
    <w:rsid w:val="006E1166"/>
    <w:rsid w:val="006E596E"/>
    <w:rsid w:val="006F033F"/>
    <w:rsid w:val="006F187C"/>
    <w:rsid w:val="006F24D8"/>
    <w:rsid w:val="006F339C"/>
    <w:rsid w:val="006F33B8"/>
    <w:rsid w:val="006F4C9C"/>
    <w:rsid w:val="006F640F"/>
    <w:rsid w:val="006F762A"/>
    <w:rsid w:val="00700420"/>
    <w:rsid w:val="00701B6B"/>
    <w:rsid w:val="0070384F"/>
    <w:rsid w:val="00703A9E"/>
    <w:rsid w:val="00703D6D"/>
    <w:rsid w:val="00704152"/>
    <w:rsid w:val="00704FB5"/>
    <w:rsid w:val="00706B71"/>
    <w:rsid w:val="00712EE5"/>
    <w:rsid w:val="00713493"/>
    <w:rsid w:val="00713494"/>
    <w:rsid w:val="00714031"/>
    <w:rsid w:val="0071466E"/>
    <w:rsid w:val="00714A6C"/>
    <w:rsid w:val="00714CD3"/>
    <w:rsid w:val="007206A8"/>
    <w:rsid w:val="0072116D"/>
    <w:rsid w:val="0072226F"/>
    <w:rsid w:val="00725B78"/>
    <w:rsid w:val="00727082"/>
    <w:rsid w:val="0073233C"/>
    <w:rsid w:val="00732D0C"/>
    <w:rsid w:val="00733EAD"/>
    <w:rsid w:val="00734F54"/>
    <w:rsid w:val="00737C04"/>
    <w:rsid w:val="00744110"/>
    <w:rsid w:val="00744595"/>
    <w:rsid w:val="00747A52"/>
    <w:rsid w:val="00750713"/>
    <w:rsid w:val="00750F1E"/>
    <w:rsid w:val="00751C12"/>
    <w:rsid w:val="00752691"/>
    <w:rsid w:val="007528F2"/>
    <w:rsid w:val="00753F40"/>
    <w:rsid w:val="00754359"/>
    <w:rsid w:val="00763700"/>
    <w:rsid w:val="0076427C"/>
    <w:rsid w:val="00765217"/>
    <w:rsid w:val="007659AA"/>
    <w:rsid w:val="0077266C"/>
    <w:rsid w:val="00772802"/>
    <w:rsid w:val="00775066"/>
    <w:rsid w:val="00776406"/>
    <w:rsid w:val="0078005A"/>
    <w:rsid w:val="00781B6F"/>
    <w:rsid w:val="00781F9C"/>
    <w:rsid w:val="00782DFD"/>
    <w:rsid w:val="00784424"/>
    <w:rsid w:val="00785474"/>
    <w:rsid w:val="00787B99"/>
    <w:rsid w:val="0079421C"/>
    <w:rsid w:val="0079526D"/>
    <w:rsid w:val="0079542C"/>
    <w:rsid w:val="00795A2C"/>
    <w:rsid w:val="00797390"/>
    <w:rsid w:val="007A05B6"/>
    <w:rsid w:val="007A1C0A"/>
    <w:rsid w:val="007A1C59"/>
    <w:rsid w:val="007A5B41"/>
    <w:rsid w:val="007A7635"/>
    <w:rsid w:val="007B115B"/>
    <w:rsid w:val="007B152B"/>
    <w:rsid w:val="007B5792"/>
    <w:rsid w:val="007C31E2"/>
    <w:rsid w:val="007C5CE1"/>
    <w:rsid w:val="007C6F85"/>
    <w:rsid w:val="007D0569"/>
    <w:rsid w:val="007D16B1"/>
    <w:rsid w:val="007D19E4"/>
    <w:rsid w:val="007D71D9"/>
    <w:rsid w:val="007D7400"/>
    <w:rsid w:val="007D7761"/>
    <w:rsid w:val="007D79FF"/>
    <w:rsid w:val="007E02A7"/>
    <w:rsid w:val="007E1C71"/>
    <w:rsid w:val="007E468A"/>
    <w:rsid w:val="007E51A5"/>
    <w:rsid w:val="007E7F4C"/>
    <w:rsid w:val="007F1E50"/>
    <w:rsid w:val="007F3018"/>
    <w:rsid w:val="0080240B"/>
    <w:rsid w:val="008060C3"/>
    <w:rsid w:val="008063A1"/>
    <w:rsid w:val="00807D36"/>
    <w:rsid w:val="00807F00"/>
    <w:rsid w:val="008134BD"/>
    <w:rsid w:val="00814656"/>
    <w:rsid w:val="00815D6A"/>
    <w:rsid w:val="00820E45"/>
    <w:rsid w:val="00821E2C"/>
    <w:rsid w:val="00822835"/>
    <w:rsid w:val="008240FC"/>
    <w:rsid w:val="00826758"/>
    <w:rsid w:val="008353E0"/>
    <w:rsid w:val="008365F0"/>
    <w:rsid w:val="00841534"/>
    <w:rsid w:val="008462F1"/>
    <w:rsid w:val="00850FDE"/>
    <w:rsid w:val="008527CB"/>
    <w:rsid w:val="00852876"/>
    <w:rsid w:val="008543F5"/>
    <w:rsid w:val="00855004"/>
    <w:rsid w:val="008572C4"/>
    <w:rsid w:val="0085733E"/>
    <w:rsid w:val="008604A8"/>
    <w:rsid w:val="00861AFA"/>
    <w:rsid w:val="00863C61"/>
    <w:rsid w:val="00865522"/>
    <w:rsid w:val="00865ADF"/>
    <w:rsid w:val="0086644C"/>
    <w:rsid w:val="008666B5"/>
    <w:rsid w:val="008703B3"/>
    <w:rsid w:val="00876985"/>
    <w:rsid w:val="00883780"/>
    <w:rsid w:val="00883B99"/>
    <w:rsid w:val="00885066"/>
    <w:rsid w:val="00885F85"/>
    <w:rsid w:val="0088665E"/>
    <w:rsid w:val="008923C8"/>
    <w:rsid w:val="00893260"/>
    <w:rsid w:val="008932A8"/>
    <w:rsid w:val="00893756"/>
    <w:rsid w:val="00894A44"/>
    <w:rsid w:val="00894A9E"/>
    <w:rsid w:val="008950F6"/>
    <w:rsid w:val="00896815"/>
    <w:rsid w:val="008A0744"/>
    <w:rsid w:val="008A0A6E"/>
    <w:rsid w:val="008A0D0F"/>
    <w:rsid w:val="008A2FB3"/>
    <w:rsid w:val="008A398B"/>
    <w:rsid w:val="008A5601"/>
    <w:rsid w:val="008A59AD"/>
    <w:rsid w:val="008B0EEB"/>
    <w:rsid w:val="008B431D"/>
    <w:rsid w:val="008B51FD"/>
    <w:rsid w:val="008B7193"/>
    <w:rsid w:val="008C1939"/>
    <w:rsid w:val="008C3396"/>
    <w:rsid w:val="008C621C"/>
    <w:rsid w:val="008C697C"/>
    <w:rsid w:val="008C75ED"/>
    <w:rsid w:val="008C7649"/>
    <w:rsid w:val="008E0991"/>
    <w:rsid w:val="008E338E"/>
    <w:rsid w:val="008E57FE"/>
    <w:rsid w:val="008F2665"/>
    <w:rsid w:val="008F6376"/>
    <w:rsid w:val="009019FB"/>
    <w:rsid w:val="00905B05"/>
    <w:rsid w:val="0090753C"/>
    <w:rsid w:val="00911B66"/>
    <w:rsid w:val="00912A7E"/>
    <w:rsid w:val="00914AD7"/>
    <w:rsid w:val="00915330"/>
    <w:rsid w:val="00915B6B"/>
    <w:rsid w:val="00916E69"/>
    <w:rsid w:val="00917525"/>
    <w:rsid w:val="0091777D"/>
    <w:rsid w:val="0092057D"/>
    <w:rsid w:val="009218DE"/>
    <w:rsid w:val="00922D00"/>
    <w:rsid w:val="00923F17"/>
    <w:rsid w:val="009266DA"/>
    <w:rsid w:val="00930DE8"/>
    <w:rsid w:val="009318DD"/>
    <w:rsid w:val="00935413"/>
    <w:rsid w:val="00935F5D"/>
    <w:rsid w:val="009368E0"/>
    <w:rsid w:val="0094260B"/>
    <w:rsid w:val="00942661"/>
    <w:rsid w:val="00945307"/>
    <w:rsid w:val="0094558D"/>
    <w:rsid w:val="00946FCE"/>
    <w:rsid w:val="009515BC"/>
    <w:rsid w:val="00953ED0"/>
    <w:rsid w:val="0095492E"/>
    <w:rsid w:val="00954CDB"/>
    <w:rsid w:val="00955F7D"/>
    <w:rsid w:val="0096242F"/>
    <w:rsid w:val="00962E3B"/>
    <w:rsid w:val="00962FF5"/>
    <w:rsid w:val="00964A4E"/>
    <w:rsid w:val="00965B02"/>
    <w:rsid w:val="00965C07"/>
    <w:rsid w:val="00965D2D"/>
    <w:rsid w:val="00971847"/>
    <w:rsid w:val="009723E7"/>
    <w:rsid w:val="00972964"/>
    <w:rsid w:val="0097762F"/>
    <w:rsid w:val="009816B8"/>
    <w:rsid w:val="00983B45"/>
    <w:rsid w:val="00985E5F"/>
    <w:rsid w:val="0098766F"/>
    <w:rsid w:val="00993912"/>
    <w:rsid w:val="00994050"/>
    <w:rsid w:val="009962CF"/>
    <w:rsid w:val="009969D6"/>
    <w:rsid w:val="009A345A"/>
    <w:rsid w:val="009A5DB1"/>
    <w:rsid w:val="009A7C5A"/>
    <w:rsid w:val="009A7E51"/>
    <w:rsid w:val="009B21B9"/>
    <w:rsid w:val="009B4CD0"/>
    <w:rsid w:val="009B4DA7"/>
    <w:rsid w:val="009B51EC"/>
    <w:rsid w:val="009C21C6"/>
    <w:rsid w:val="009C383B"/>
    <w:rsid w:val="009C3A80"/>
    <w:rsid w:val="009C5238"/>
    <w:rsid w:val="009C65E6"/>
    <w:rsid w:val="009D12B4"/>
    <w:rsid w:val="009D1E70"/>
    <w:rsid w:val="009D2135"/>
    <w:rsid w:val="009D2FA7"/>
    <w:rsid w:val="009D4CAE"/>
    <w:rsid w:val="009D55F9"/>
    <w:rsid w:val="009D5A11"/>
    <w:rsid w:val="009D7760"/>
    <w:rsid w:val="009D7A79"/>
    <w:rsid w:val="009E16E6"/>
    <w:rsid w:val="009E2953"/>
    <w:rsid w:val="009E30CE"/>
    <w:rsid w:val="009E3AF9"/>
    <w:rsid w:val="009F04C3"/>
    <w:rsid w:val="009F074B"/>
    <w:rsid w:val="009F0760"/>
    <w:rsid w:val="009F4860"/>
    <w:rsid w:val="00A00057"/>
    <w:rsid w:val="00A00485"/>
    <w:rsid w:val="00A01A5F"/>
    <w:rsid w:val="00A02C96"/>
    <w:rsid w:val="00A02E65"/>
    <w:rsid w:val="00A031DC"/>
    <w:rsid w:val="00A0340A"/>
    <w:rsid w:val="00A0440C"/>
    <w:rsid w:val="00A0585F"/>
    <w:rsid w:val="00A0694A"/>
    <w:rsid w:val="00A10A30"/>
    <w:rsid w:val="00A10B3A"/>
    <w:rsid w:val="00A1137C"/>
    <w:rsid w:val="00A113D7"/>
    <w:rsid w:val="00A11F0F"/>
    <w:rsid w:val="00A15CE5"/>
    <w:rsid w:val="00A16126"/>
    <w:rsid w:val="00A20872"/>
    <w:rsid w:val="00A23F65"/>
    <w:rsid w:val="00A24133"/>
    <w:rsid w:val="00A262BF"/>
    <w:rsid w:val="00A27809"/>
    <w:rsid w:val="00A317B0"/>
    <w:rsid w:val="00A34591"/>
    <w:rsid w:val="00A34E44"/>
    <w:rsid w:val="00A3640F"/>
    <w:rsid w:val="00A3703D"/>
    <w:rsid w:val="00A40722"/>
    <w:rsid w:val="00A40CE2"/>
    <w:rsid w:val="00A43253"/>
    <w:rsid w:val="00A47176"/>
    <w:rsid w:val="00A475C5"/>
    <w:rsid w:val="00A4768C"/>
    <w:rsid w:val="00A500A1"/>
    <w:rsid w:val="00A50370"/>
    <w:rsid w:val="00A50A68"/>
    <w:rsid w:val="00A50D3B"/>
    <w:rsid w:val="00A518AA"/>
    <w:rsid w:val="00A56348"/>
    <w:rsid w:val="00A5703F"/>
    <w:rsid w:val="00A57D39"/>
    <w:rsid w:val="00A6316B"/>
    <w:rsid w:val="00A65316"/>
    <w:rsid w:val="00A66322"/>
    <w:rsid w:val="00A674FF"/>
    <w:rsid w:val="00A70F69"/>
    <w:rsid w:val="00A72611"/>
    <w:rsid w:val="00A73ABB"/>
    <w:rsid w:val="00A75BDC"/>
    <w:rsid w:val="00A76D2C"/>
    <w:rsid w:val="00A77746"/>
    <w:rsid w:val="00A806AA"/>
    <w:rsid w:val="00A83BF6"/>
    <w:rsid w:val="00A87F31"/>
    <w:rsid w:val="00A90D27"/>
    <w:rsid w:val="00A9103B"/>
    <w:rsid w:val="00A91284"/>
    <w:rsid w:val="00A918A7"/>
    <w:rsid w:val="00A92871"/>
    <w:rsid w:val="00A955EB"/>
    <w:rsid w:val="00A968D2"/>
    <w:rsid w:val="00AA1F49"/>
    <w:rsid w:val="00AA2DB6"/>
    <w:rsid w:val="00AA3A2E"/>
    <w:rsid w:val="00AA4099"/>
    <w:rsid w:val="00AA6913"/>
    <w:rsid w:val="00AB1F73"/>
    <w:rsid w:val="00AB2190"/>
    <w:rsid w:val="00AB39EB"/>
    <w:rsid w:val="00AB3F27"/>
    <w:rsid w:val="00AB3FD9"/>
    <w:rsid w:val="00AB7DE7"/>
    <w:rsid w:val="00AC1BE7"/>
    <w:rsid w:val="00AC275F"/>
    <w:rsid w:val="00AC4EC4"/>
    <w:rsid w:val="00AC50A4"/>
    <w:rsid w:val="00AC5A95"/>
    <w:rsid w:val="00AC6074"/>
    <w:rsid w:val="00AC6471"/>
    <w:rsid w:val="00AD1751"/>
    <w:rsid w:val="00AD1DBC"/>
    <w:rsid w:val="00AD20B2"/>
    <w:rsid w:val="00AD2B6E"/>
    <w:rsid w:val="00AD3443"/>
    <w:rsid w:val="00AD4B3C"/>
    <w:rsid w:val="00AD68A5"/>
    <w:rsid w:val="00AE185D"/>
    <w:rsid w:val="00AE1BFE"/>
    <w:rsid w:val="00AE3842"/>
    <w:rsid w:val="00AE3D83"/>
    <w:rsid w:val="00AE4374"/>
    <w:rsid w:val="00AE485C"/>
    <w:rsid w:val="00AE6672"/>
    <w:rsid w:val="00AE7D4F"/>
    <w:rsid w:val="00AE7F25"/>
    <w:rsid w:val="00AE7FE4"/>
    <w:rsid w:val="00AF17D3"/>
    <w:rsid w:val="00AF1D77"/>
    <w:rsid w:val="00AF38BA"/>
    <w:rsid w:val="00AF4F67"/>
    <w:rsid w:val="00AF5811"/>
    <w:rsid w:val="00AF5C1C"/>
    <w:rsid w:val="00AF6509"/>
    <w:rsid w:val="00B00BBE"/>
    <w:rsid w:val="00B0456E"/>
    <w:rsid w:val="00B06A05"/>
    <w:rsid w:val="00B06BF6"/>
    <w:rsid w:val="00B06F7F"/>
    <w:rsid w:val="00B100F0"/>
    <w:rsid w:val="00B1402E"/>
    <w:rsid w:val="00B14865"/>
    <w:rsid w:val="00B21D50"/>
    <w:rsid w:val="00B22F9B"/>
    <w:rsid w:val="00B23747"/>
    <w:rsid w:val="00B24090"/>
    <w:rsid w:val="00B257E3"/>
    <w:rsid w:val="00B260C7"/>
    <w:rsid w:val="00B27494"/>
    <w:rsid w:val="00B279B9"/>
    <w:rsid w:val="00B34F48"/>
    <w:rsid w:val="00B436B1"/>
    <w:rsid w:val="00B44FB0"/>
    <w:rsid w:val="00B456EE"/>
    <w:rsid w:val="00B51BA0"/>
    <w:rsid w:val="00B535BD"/>
    <w:rsid w:val="00B53701"/>
    <w:rsid w:val="00B548D7"/>
    <w:rsid w:val="00B54942"/>
    <w:rsid w:val="00B56A26"/>
    <w:rsid w:val="00B6110A"/>
    <w:rsid w:val="00B6176A"/>
    <w:rsid w:val="00B6301A"/>
    <w:rsid w:val="00B64CAD"/>
    <w:rsid w:val="00B66751"/>
    <w:rsid w:val="00B67AA6"/>
    <w:rsid w:val="00B7066C"/>
    <w:rsid w:val="00B717D8"/>
    <w:rsid w:val="00B71E3C"/>
    <w:rsid w:val="00B72DF3"/>
    <w:rsid w:val="00B74146"/>
    <w:rsid w:val="00B76F6C"/>
    <w:rsid w:val="00B8080B"/>
    <w:rsid w:val="00B811EF"/>
    <w:rsid w:val="00B86EF1"/>
    <w:rsid w:val="00B90674"/>
    <w:rsid w:val="00B934E3"/>
    <w:rsid w:val="00B94323"/>
    <w:rsid w:val="00B961B7"/>
    <w:rsid w:val="00B963D4"/>
    <w:rsid w:val="00B9772B"/>
    <w:rsid w:val="00BA2DEF"/>
    <w:rsid w:val="00BA42FB"/>
    <w:rsid w:val="00BA4768"/>
    <w:rsid w:val="00BA516F"/>
    <w:rsid w:val="00BA628C"/>
    <w:rsid w:val="00BA7059"/>
    <w:rsid w:val="00BB0051"/>
    <w:rsid w:val="00BB02C6"/>
    <w:rsid w:val="00BB1082"/>
    <w:rsid w:val="00BB2127"/>
    <w:rsid w:val="00BB3805"/>
    <w:rsid w:val="00BB52A5"/>
    <w:rsid w:val="00BB6740"/>
    <w:rsid w:val="00BB7EA1"/>
    <w:rsid w:val="00BB7F81"/>
    <w:rsid w:val="00BC269B"/>
    <w:rsid w:val="00BC27D2"/>
    <w:rsid w:val="00BD35E1"/>
    <w:rsid w:val="00BD4D73"/>
    <w:rsid w:val="00BD54FC"/>
    <w:rsid w:val="00BD63C3"/>
    <w:rsid w:val="00BD76A4"/>
    <w:rsid w:val="00BE1C8A"/>
    <w:rsid w:val="00BE4857"/>
    <w:rsid w:val="00BE5847"/>
    <w:rsid w:val="00BE5BE0"/>
    <w:rsid w:val="00BE70E8"/>
    <w:rsid w:val="00BF0E76"/>
    <w:rsid w:val="00BF19DC"/>
    <w:rsid w:val="00BF2B3E"/>
    <w:rsid w:val="00BF2DAF"/>
    <w:rsid w:val="00BF4E1B"/>
    <w:rsid w:val="00C022D0"/>
    <w:rsid w:val="00C0480F"/>
    <w:rsid w:val="00C1043C"/>
    <w:rsid w:val="00C12A51"/>
    <w:rsid w:val="00C1591E"/>
    <w:rsid w:val="00C15EF9"/>
    <w:rsid w:val="00C20D36"/>
    <w:rsid w:val="00C21038"/>
    <w:rsid w:val="00C2289A"/>
    <w:rsid w:val="00C2396B"/>
    <w:rsid w:val="00C2785F"/>
    <w:rsid w:val="00C30BA6"/>
    <w:rsid w:val="00C31467"/>
    <w:rsid w:val="00C34CCB"/>
    <w:rsid w:val="00C34D57"/>
    <w:rsid w:val="00C36696"/>
    <w:rsid w:val="00C36720"/>
    <w:rsid w:val="00C37518"/>
    <w:rsid w:val="00C37F00"/>
    <w:rsid w:val="00C421C9"/>
    <w:rsid w:val="00C42A3A"/>
    <w:rsid w:val="00C441A5"/>
    <w:rsid w:val="00C4517F"/>
    <w:rsid w:val="00C45232"/>
    <w:rsid w:val="00C46DD7"/>
    <w:rsid w:val="00C46E94"/>
    <w:rsid w:val="00C52BA5"/>
    <w:rsid w:val="00C53323"/>
    <w:rsid w:val="00C54D8C"/>
    <w:rsid w:val="00C632FE"/>
    <w:rsid w:val="00C66CEF"/>
    <w:rsid w:val="00C670FE"/>
    <w:rsid w:val="00C7184B"/>
    <w:rsid w:val="00C71E3C"/>
    <w:rsid w:val="00C75492"/>
    <w:rsid w:val="00C758E2"/>
    <w:rsid w:val="00C77C78"/>
    <w:rsid w:val="00C8146C"/>
    <w:rsid w:val="00C846DD"/>
    <w:rsid w:val="00C85CA6"/>
    <w:rsid w:val="00C9147E"/>
    <w:rsid w:val="00C925ED"/>
    <w:rsid w:val="00C9339F"/>
    <w:rsid w:val="00C96A10"/>
    <w:rsid w:val="00C9753B"/>
    <w:rsid w:val="00CA00AE"/>
    <w:rsid w:val="00CA19CD"/>
    <w:rsid w:val="00CA4A62"/>
    <w:rsid w:val="00CA659E"/>
    <w:rsid w:val="00CB23DD"/>
    <w:rsid w:val="00CB2757"/>
    <w:rsid w:val="00CB2FE7"/>
    <w:rsid w:val="00CB3391"/>
    <w:rsid w:val="00CB3B57"/>
    <w:rsid w:val="00CB42AE"/>
    <w:rsid w:val="00CB6768"/>
    <w:rsid w:val="00CC0A00"/>
    <w:rsid w:val="00CC17DB"/>
    <w:rsid w:val="00CC2F01"/>
    <w:rsid w:val="00CC6453"/>
    <w:rsid w:val="00CC6B79"/>
    <w:rsid w:val="00CD2D8A"/>
    <w:rsid w:val="00CD31EA"/>
    <w:rsid w:val="00CD692F"/>
    <w:rsid w:val="00CE0392"/>
    <w:rsid w:val="00CE0866"/>
    <w:rsid w:val="00CE17AB"/>
    <w:rsid w:val="00CE516A"/>
    <w:rsid w:val="00CE5481"/>
    <w:rsid w:val="00CE5866"/>
    <w:rsid w:val="00CF0045"/>
    <w:rsid w:val="00CF28A5"/>
    <w:rsid w:val="00CF66B9"/>
    <w:rsid w:val="00CF7194"/>
    <w:rsid w:val="00CF7C90"/>
    <w:rsid w:val="00CF7EA0"/>
    <w:rsid w:val="00D00600"/>
    <w:rsid w:val="00D0329F"/>
    <w:rsid w:val="00D06299"/>
    <w:rsid w:val="00D1045D"/>
    <w:rsid w:val="00D133AA"/>
    <w:rsid w:val="00D13B0B"/>
    <w:rsid w:val="00D13CCF"/>
    <w:rsid w:val="00D14C59"/>
    <w:rsid w:val="00D14CF7"/>
    <w:rsid w:val="00D15E67"/>
    <w:rsid w:val="00D20ABB"/>
    <w:rsid w:val="00D24AEE"/>
    <w:rsid w:val="00D303E4"/>
    <w:rsid w:val="00D3073E"/>
    <w:rsid w:val="00D31676"/>
    <w:rsid w:val="00D316C8"/>
    <w:rsid w:val="00D337D5"/>
    <w:rsid w:val="00D33DDD"/>
    <w:rsid w:val="00D34817"/>
    <w:rsid w:val="00D365BB"/>
    <w:rsid w:val="00D3795A"/>
    <w:rsid w:val="00D37AB5"/>
    <w:rsid w:val="00D40C74"/>
    <w:rsid w:val="00D42A5E"/>
    <w:rsid w:val="00D43282"/>
    <w:rsid w:val="00D43EA4"/>
    <w:rsid w:val="00D44508"/>
    <w:rsid w:val="00D47810"/>
    <w:rsid w:val="00D5128E"/>
    <w:rsid w:val="00D52FD0"/>
    <w:rsid w:val="00D53C83"/>
    <w:rsid w:val="00D54385"/>
    <w:rsid w:val="00D6259C"/>
    <w:rsid w:val="00D63B91"/>
    <w:rsid w:val="00D64A4A"/>
    <w:rsid w:val="00D6679C"/>
    <w:rsid w:val="00D70A10"/>
    <w:rsid w:val="00D73EE6"/>
    <w:rsid w:val="00D742D2"/>
    <w:rsid w:val="00D744DC"/>
    <w:rsid w:val="00D75CF7"/>
    <w:rsid w:val="00D75F59"/>
    <w:rsid w:val="00D776C3"/>
    <w:rsid w:val="00D80153"/>
    <w:rsid w:val="00D81AC7"/>
    <w:rsid w:val="00D8495C"/>
    <w:rsid w:val="00D86737"/>
    <w:rsid w:val="00D8696A"/>
    <w:rsid w:val="00D9153B"/>
    <w:rsid w:val="00D95903"/>
    <w:rsid w:val="00D95D78"/>
    <w:rsid w:val="00D96E2C"/>
    <w:rsid w:val="00DA0810"/>
    <w:rsid w:val="00DA3F53"/>
    <w:rsid w:val="00DA3FCE"/>
    <w:rsid w:val="00DB3C6F"/>
    <w:rsid w:val="00DB4203"/>
    <w:rsid w:val="00DB7CA1"/>
    <w:rsid w:val="00DC25DA"/>
    <w:rsid w:val="00DC417D"/>
    <w:rsid w:val="00DC5149"/>
    <w:rsid w:val="00DD1B88"/>
    <w:rsid w:val="00DD2C61"/>
    <w:rsid w:val="00DD3C08"/>
    <w:rsid w:val="00DE0476"/>
    <w:rsid w:val="00DE2AAC"/>
    <w:rsid w:val="00DF1125"/>
    <w:rsid w:val="00DF27AC"/>
    <w:rsid w:val="00DF28E7"/>
    <w:rsid w:val="00DF399A"/>
    <w:rsid w:val="00DF6280"/>
    <w:rsid w:val="00DF7B14"/>
    <w:rsid w:val="00E00009"/>
    <w:rsid w:val="00E01EF4"/>
    <w:rsid w:val="00E02CF2"/>
    <w:rsid w:val="00E04947"/>
    <w:rsid w:val="00E069F7"/>
    <w:rsid w:val="00E06C35"/>
    <w:rsid w:val="00E0710D"/>
    <w:rsid w:val="00E07F71"/>
    <w:rsid w:val="00E11044"/>
    <w:rsid w:val="00E114D8"/>
    <w:rsid w:val="00E1347F"/>
    <w:rsid w:val="00E1478C"/>
    <w:rsid w:val="00E1621B"/>
    <w:rsid w:val="00E21114"/>
    <w:rsid w:val="00E22B84"/>
    <w:rsid w:val="00E23D31"/>
    <w:rsid w:val="00E245BE"/>
    <w:rsid w:val="00E26045"/>
    <w:rsid w:val="00E26BDB"/>
    <w:rsid w:val="00E27304"/>
    <w:rsid w:val="00E337F5"/>
    <w:rsid w:val="00E339E4"/>
    <w:rsid w:val="00E34026"/>
    <w:rsid w:val="00E34EBC"/>
    <w:rsid w:val="00E37211"/>
    <w:rsid w:val="00E37848"/>
    <w:rsid w:val="00E37ACE"/>
    <w:rsid w:val="00E4034D"/>
    <w:rsid w:val="00E404B3"/>
    <w:rsid w:val="00E41EE7"/>
    <w:rsid w:val="00E42084"/>
    <w:rsid w:val="00E46DB5"/>
    <w:rsid w:val="00E526E3"/>
    <w:rsid w:val="00E534DE"/>
    <w:rsid w:val="00E55808"/>
    <w:rsid w:val="00E559EA"/>
    <w:rsid w:val="00E5696D"/>
    <w:rsid w:val="00E56E45"/>
    <w:rsid w:val="00E57DB9"/>
    <w:rsid w:val="00E6161C"/>
    <w:rsid w:val="00E62DEC"/>
    <w:rsid w:val="00E63233"/>
    <w:rsid w:val="00E65F8A"/>
    <w:rsid w:val="00E66ECB"/>
    <w:rsid w:val="00E67486"/>
    <w:rsid w:val="00E70633"/>
    <w:rsid w:val="00E70FAB"/>
    <w:rsid w:val="00E727CE"/>
    <w:rsid w:val="00E749E1"/>
    <w:rsid w:val="00E8007A"/>
    <w:rsid w:val="00E80578"/>
    <w:rsid w:val="00E80B43"/>
    <w:rsid w:val="00E833CB"/>
    <w:rsid w:val="00E83995"/>
    <w:rsid w:val="00E83CBA"/>
    <w:rsid w:val="00E83D2E"/>
    <w:rsid w:val="00E83FB2"/>
    <w:rsid w:val="00E90615"/>
    <w:rsid w:val="00E91FE0"/>
    <w:rsid w:val="00E95AC2"/>
    <w:rsid w:val="00E97167"/>
    <w:rsid w:val="00E97DBB"/>
    <w:rsid w:val="00EA0169"/>
    <w:rsid w:val="00EA1676"/>
    <w:rsid w:val="00EA3781"/>
    <w:rsid w:val="00EA4AA9"/>
    <w:rsid w:val="00EA4B4A"/>
    <w:rsid w:val="00EA5023"/>
    <w:rsid w:val="00EA7061"/>
    <w:rsid w:val="00EB13FE"/>
    <w:rsid w:val="00EB254B"/>
    <w:rsid w:val="00EB39F1"/>
    <w:rsid w:val="00EB472E"/>
    <w:rsid w:val="00EB5434"/>
    <w:rsid w:val="00EB5D6C"/>
    <w:rsid w:val="00EB6A9B"/>
    <w:rsid w:val="00EB76D6"/>
    <w:rsid w:val="00EC0178"/>
    <w:rsid w:val="00EC049F"/>
    <w:rsid w:val="00ED024E"/>
    <w:rsid w:val="00ED194C"/>
    <w:rsid w:val="00ED2C26"/>
    <w:rsid w:val="00ED3898"/>
    <w:rsid w:val="00ED5CE2"/>
    <w:rsid w:val="00ED5EC2"/>
    <w:rsid w:val="00EE0DF2"/>
    <w:rsid w:val="00EE21DD"/>
    <w:rsid w:val="00EE56DF"/>
    <w:rsid w:val="00EF1A24"/>
    <w:rsid w:val="00EF1BF1"/>
    <w:rsid w:val="00EF71E1"/>
    <w:rsid w:val="00F01BD5"/>
    <w:rsid w:val="00F0264E"/>
    <w:rsid w:val="00F026B5"/>
    <w:rsid w:val="00F05EAF"/>
    <w:rsid w:val="00F06D7C"/>
    <w:rsid w:val="00F1049D"/>
    <w:rsid w:val="00F119F0"/>
    <w:rsid w:val="00F147FD"/>
    <w:rsid w:val="00F15FC1"/>
    <w:rsid w:val="00F17762"/>
    <w:rsid w:val="00F2393B"/>
    <w:rsid w:val="00F23C5A"/>
    <w:rsid w:val="00F23E91"/>
    <w:rsid w:val="00F277D4"/>
    <w:rsid w:val="00F31104"/>
    <w:rsid w:val="00F3477F"/>
    <w:rsid w:val="00F34E93"/>
    <w:rsid w:val="00F35C7D"/>
    <w:rsid w:val="00F4474B"/>
    <w:rsid w:val="00F513E5"/>
    <w:rsid w:val="00F5219B"/>
    <w:rsid w:val="00F53138"/>
    <w:rsid w:val="00F534C0"/>
    <w:rsid w:val="00F53F75"/>
    <w:rsid w:val="00F54930"/>
    <w:rsid w:val="00F5523B"/>
    <w:rsid w:val="00F6163D"/>
    <w:rsid w:val="00F623B6"/>
    <w:rsid w:val="00F623CF"/>
    <w:rsid w:val="00F6280F"/>
    <w:rsid w:val="00F62819"/>
    <w:rsid w:val="00F6394B"/>
    <w:rsid w:val="00F704AF"/>
    <w:rsid w:val="00F708D9"/>
    <w:rsid w:val="00F720FB"/>
    <w:rsid w:val="00F80602"/>
    <w:rsid w:val="00F81376"/>
    <w:rsid w:val="00F84C20"/>
    <w:rsid w:val="00F92112"/>
    <w:rsid w:val="00F9230A"/>
    <w:rsid w:val="00F92366"/>
    <w:rsid w:val="00F92753"/>
    <w:rsid w:val="00F93C06"/>
    <w:rsid w:val="00F9598E"/>
    <w:rsid w:val="00F96B32"/>
    <w:rsid w:val="00F9735A"/>
    <w:rsid w:val="00FA42F4"/>
    <w:rsid w:val="00FB0730"/>
    <w:rsid w:val="00FB0BC1"/>
    <w:rsid w:val="00FB14A0"/>
    <w:rsid w:val="00FB3695"/>
    <w:rsid w:val="00FB4E4A"/>
    <w:rsid w:val="00FB6D3A"/>
    <w:rsid w:val="00FB7924"/>
    <w:rsid w:val="00FB7F35"/>
    <w:rsid w:val="00FC11D6"/>
    <w:rsid w:val="00FC48DD"/>
    <w:rsid w:val="00FC569E"/>
    <w:rsid w:val="00FC67E5"/>
    <w:rsid w:val="00FC6BFF"/>
    <w:rsid w:val="00FD04EB"/>
    <w:rsid w:val="00FD1036"/>
    <w:rsid w:val="00FD131D"/>
    <w:rsid w:val="00FD5177"/>
    <w:rsid w:val="00FE35E1"/>
    <w:rsid w:val="00FE6D86"/>
    <w:rsid w:val="00FE71BF"/>
    <w:rsid w:val="00FF0DA7"/>
    <w:rsid w:val="00FF3276"/>
    <w:rsid w:val="00FF5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4E653"/>
  <w15:docId w15:val="{7A1AC61B-EFA8-4F1F-A5EA-EF6CE02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
    <w:link w:val="ListParagraph"/>
    <w:uiPriority w:val="34"/>
    <w:locked/>
    <w:rsid w:val="00AE6672"/>
    <w:rPr>
      <w:lang w:val="en-US" w:eastAsia="en-US"/>
    </w:rPr>
  </w:style>
  <w:style w:type="paragraph" w:customStyle="1" w:styleId="Char2">
    <w:name w:val="Char2"/>
    <w:basedOn w:val="Normal"/>
    <w:link w:val="FootnoteReference"/>
    <w:uiPriority w:val="99"/>
    <w:rsid w:val="00AE6672"/>
    <w:pPr>
      <w:spacing w:after="160" w:line="240" w:lineRule="exact"/>
      <w:jc w:val="both"/>
    </w:pPr>
    <w:rPr>
      <w:vertAlign w:val="superscript"/>
      <w:lang w:val="en-GB" w:eastAsia="en-GB"/>
    </w:rPr>
  </w:style>
  <w:style w:type="character" w:styleId="FollowedHyperlink">
    <w:name w:val="FollowedHyperlink"/>
    <w:basedOn w:val="DefaultParagraphFont"/>
    <w:semiHidden/>
    <w:unhideWhenUsed/>
    <w:rsid w:val="002B7165"/>
    <w:rPr>
      <w:color w:val="800080" w:themeColor="followedHyperlink"/>
      <w:u w:val="single"/>
    </w:rPr>
  </w:style>
  <w:style w:type="paragraph" w:styleId="Revision">
    <w:name w:val="Revision"/>
    <w:hidden/>
    <w:uiPriority w:val="99"/>
    <w:semiHidden/>
    <w:rsid w:val="00CF66B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ravo.b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UNDPGBL-215-3</_dlc_DocId>
    <_dlc_DocIdUrl xmlns="83ed2304-0f0e-45ba-b0cc-7d360cbc1769">
      <Url>https://intranet.undp.org/global/popp/ppm/_layouts/DocIdRedir.aspx?ID=UNDPGBL-215-3</Url>
      <Description>UNDPGBL-215-3</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1F18-DD58-45A1-94B6-DAF8FAC43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4.xml><?xml version="1.0" encoding="utf-8"?>
<ds:datastoreItem xmlns:ds="http://schemas.openxmlformats.org/officeDocument/2006/customXml" ds:itemID="{9CE25B70-81C9-4530-9909-A818764F4661}">
  <ds:schemaRefs>
    <ds:schemaRef ds:uri="http://schemas.microsoft.com/sharepoint/events"/>
  </ds:schemaRefs>
</ds:datastoreItem>
</file>

<file path=customXml/itemProps5.xml><?xml version="1.0" encoding="utf-8"?>
<ds:datastoreItem xmlns:ds="http://schemas.openxmlformats.org/officeDocument/2006/customXml" ds:itemID="{480389E2-2B07-4BA5-9F20-D28DFB42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6427</Words>
  <Characters>36638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CPD- Revised Template and Guidance</vt:lpstr>
    </vt:vector>
  </TitlesOfParts>
  <Company>Microsoft</Company>
  <LinksUpToDate>false</LinksUpToDate>
  <CharactersWithSpaces>42980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Revised Template and Guidance</dc:title>
  <dc:creator>John Magoha</dc:creator>
  <cp:lastModifiedBy>Svetlana Iazykova</cp:lastModifiedBy>
  <cp:revision>2</cp:revision>
  <cp:lastPrinted>2015-04-27T16:28:00Z</cp:lastPrinted>
  <dcterms:created xsi:type="dcterms:W3CDTF">2015-06-09T20:51:00Z</dcterms:created>
  <dcterms:modified xsi:type="dcterms:W3CDTF">2015-06-09T20:51:00Z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28112a3a-cf14-4582-90a1-17f4ab434cb7</vt:lpwstr>
  </property>
</Properties>
</file>