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8795" w14:textId="77777777" w:rsidR="00301ACA" w:rsidRPr="00BD3436" w:rsidRDefault="00301ACA" w:rsidP="00301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en-GB"/>
        </w:rPr>
      </w:pPr>
      <w:r w:rsidRPr="00BD3436">
        <w:rPr>
          <w:b/>
          <w:lang w:val="en-GB"/>
        </w:rPr>
        <w:t>Second regular session 2015</w:t>
      </w:r>
    </w:p>
    <w:p w14:paraId="34141288" w14:textId="17CE1FA4" w:rsidR="00301ACA" w:rsidRPr="00BD3436" w:rsidRDefault="00301ACA" w:rsidP="00301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sidRPr="00BD3436">
        <w:rPr>
          <w:lang w:val="en-GB"/>
        </w:rPr>
        <w:t xml:space="preserve">1 </w:t>
      </w:r>
      <w:r w:rsidR="004303A7">
        <w:rPr>
          <w:lang w:val="en-GB"/>
        </w:rPr>
        <w:t>-</w:t>
      </w:r>
      <w:r w:rsidRPr="00BD3436">
        <w:rPr>
          <w:lang w:val="en-GB"/>
        </w:rPr>
        <w:t xml:space="preserve"> 4 September 2015, New York</w:t>
      </w:r>
    </w:p>
    <w:p w14:paraId="0117B61D" w14:textId="77777777" w:rsidR="00301ACA" w:rsidRPr="00BD3436" w:rsidRDefault="00301ACA" w:rsidP="00301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GB"/>
        </w:rPr>
      </w:pPr>
      <w:r w:rsidRPr="00BD3436">
        <w:rPr>
          <w:lang w:val="en-GB"/>
        </w:rPr>
        <w:t>Item 6 of the provisional agenda</w:t>
      </w:r>
    </w:p>
    <w:p w14:paraId="05B22DB0" w14:textId="77777777" w:rsidR="00301ACA" w:rsidRPr="00BD3436" w:rsidRDefault="00301ACA" w:rsidP="00301ACA">
      <w:pPr>
        <w:ind w:right="1260"/>
        <w:rPr>
          <w:b/>
          <w:lang w:val="en-GB"/>
        </w:rPr>
      </w:pPr>
      <w:r w:rsidRPr="00BD3436">
        <w:rPr>
          <w:b/>
          <w:lang w:val="en-GB"/>
        </w:rPr>
        <w:t>Country programmes and related matters</w:t>
      </w:r>
    </w:p>
    <w:p w14:paraId="1F8F606E"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5A73105E"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0B47CDBE"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5CAC96E3"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64256A63"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spacing w:val="4"/>
          <w:w w:val="103"/>
          <w:kern w:val="14"/>
          <w:sz w:val="12"/>
          <w:lang w:val="en-GB"/>
        </w:rPr>
      </w:pPr>
    </w:p>
    <w:p w14:paraId="2359DF3F" w14:textId="77777777" w:rsidR="00301ACA" w:rsidRPr="00BD3436" w:rsidRDefault="00301ACA" w:rsidP="00301AC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spacing w:val="4"/>
          <w:w w:val="103"/>
          <w:kern w:val="14"/>
          <w:sz w:val="12"/>
          <w:lang w:val="en-GB"/>
        </w:rPr>
      </w:pPr>
    </w:p>
    <w:p w14:paraId="49D635C0" w14:textId="77777777" w:rsidR="00301ACA" w:rsidRPr="00BD3436" w:rsidRDefault="00301ACA" w:rsidP="004303A7">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b/>
          <w:spacing w:val="-2"/>
          <w:w w:val="103"/>
          <w:kern w:val="14"/>
          <w:sz w:val="32"/>
          <w:lang w:val="en-GB"/>
        </w:rPr>
      </w:pPr>
      <w:r w:rsidRPr="00BD3436">
        <w:rPr>
          <w:b/>
          <w:spacing w:val="-2"/>
          <w:w w:val="103"/>
          <w:kern w:val="14"/>
          <w:sz w:val="32"/>
          <w:lang w:val="en-GB"/>
        </w:rPr>
        <w:t>Draft country programme document for Serbia (2016-2020)</w:t>
      </w:r>
    </w:p>
    <w:p w14:paraId="39D8D3A1" w14:textId="77777777" w:rsidR="00301ACA" w:rsidRPr="00BD3436" w:rsidRDefault="00301ACA" w:rsidP="00301ACA">
      <w:pPr>
        <w:rPr>
          <w:lang w:val="en-GB"/>
        </w:rPr>
      </w:pPr>
    </w:p>
    <w:p w14:paraId="4E3B88E6" w14:textId="77777777" w:rsidR="00301ACA" w:rsidRPr="00BD3436" w:rsidRDefault="00301ACA" w:rsidP="00301ACA">
      <w:pPr>
        <w:rPr>
          <w:lang w:val="en-GB"/>
        </w:rPr>
      </w:pPr>
    </w:p>
    <w:p w14:paraId="5CFFCF59" w14:textId="77777777" w:rsidR="00301ACA" w:rsidRPr="00BD3436" w:rsidRDefault="00301ACA" w:rsidP="00301AC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BD3436">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01ACA" w:rsidRPr="00BD3436" w14:paraId="5DE8CC45" w14:textId="77777777" w:rsidTr="00717C47">
        <w:tc>
          <w:tcPr>
            <w:tcW w:w="1060" w:type="dxa"/>
            <w:shd w:val="clear" w:color="auto" w:fill="auto"/>
          </w:tcPr>
          <w:p w14:paraId="5CC26378" w14:textId="77777777" w:rsidR="00301ACA" w:rsidRPr="00BD3436" w:rsidRDefault="00301ACA" w:rsidP="00301ACA">
            <w:pPr>
              <w:suppressAutoHyphens/>
              <w:spacing w:after="120"/>
              <w:jc w:val="right"/>
              <w:rPr>
                <w:i/>
                <w:spacing w:val="4"/>
                <w:w w:val="103"/>
                <w:kern w:val="14"/>
                <w:sz w:val="14"/>
                <w:lang w:val="en-GB"/>
              </w:rPr>
            </w:pPr>
          </w:p>
        </w:tc>
        <w:tc>
          <w:tcPr>
            <w:tcW w:w="7315" w:type="dxa"/>
            <w:shd w:val="clear" w:color="auto" w:fill="auto"/>
          </w:tcPr>
          <w:p w14:paraId="286EE024" w14:textId="77777777" w:rsidR="00301ACA" w:rsidRPr="00BD3436" w:rsidRDefault="00301ACA" w:rsidP="00301ACA">
            <w:pPr>
              <w:suppressAutoHyphens/>
              <w:spacing w:after="120"/>
              <w:rPr>
                <w:i/>
                <w:spacing w:val="4"/>
                <w:w w:val="103"/>
                <w:kern w:val="14"/>
                <w:sz w:val="14"/>
                <w:lang w:val="en-GB"/>
              </w:rPr>
            </w:pPr>
          </w:p>
        </w:tc>
        <w:tc>
          <w:tcPr>
            <w:tcW w:w="1527" w:type="dxa"/>
            <w:gridSpan w:val="2"/>
            <w:shd w:val="clear" w:color="auto" w:fill="auto"/>
          </w:tcPr>
          <w:p w14:paraId="40998DFC" w14:textId="77777777" w:rsidR="00301ACA" w:rsidRPr="00BD3436" w:rsidRDefault="00301ACA" w:rsidP="00301ACA">
            <w:pPr>
              <w:suppressAutoHyphens/>
              <w:spacing w:after="120"/>
              <w:jc w:val="right"/>
              <w:rPr>
                <w:i/>
                <w:spacing w:val="4"/>
                <w:w w:val="103"/>
                <w:kern w:val="14"/>
                <w:sz w:val="14"/>
                <w:lang w:val="en-GB"/>
              </w:rPr>
            </w:pPr>
            <w:r w:rsidRPr="00BD3436">
              <w:rPr>
                <w:i/>
                <w:spacing w:val="4"/>
                <w:w w:val="103"/>
                <w:kern w:val="14"/>
                <w:sz w:val="14"/>
                <w:lang w:val="en-GB"/>
              </w:rPr>
              <w:t>Page</w:t>
            </w:r>
          </w:p>
        </w:tc>
      </w:tr>
      <w:tr w:rsidR="00301ACA" w:rsidRPr="00BD3436" w14:paraId="40BB97B5" w14:textId="77777777" w:rsidTr="00717C47">
        <w:tc>
          <w:tcPr>
            <w:tcW w:w="8375" w:type="dxa"/>
            <w:gridSpan w:val="2"/>
            <w:shd w:val="clear" w:color="auto" w:fill="auto"/>
          </w:tcPr>
          <w:p w14:paraId="46F15718" w14:textId="77777777" w:rsidR="00301ACA" w:rsidRPr="00BD3436" w:rsidRDefault="00301ACA" w:rsidP="00301ACA">
            <w:pPr>
              <w:numPr>
                <w:ilvl w:val="0"/>
                <w:numId w:val="43"/>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BD3436">
              <w:rPr>
                <w:spacing w:val="4"/>
                <w:w w:val="103"/>
                <w:kern w:val="14"/>
                <w:lang w:val="en-GB"/>
              </w:rPr>
              <w:tab/>
              <w:t>Programme rationale</w:t>
            </w:r>
            <w:r w:rsidRPr="00BD3436">
              <w:rPr>
                <w:spacing w:val="60"/>
                <w:w w:val="103"/>
                <w:kern w:val="14"/>
                <w:sz w:val="17"/>
                <w:lang w:val="en-GB"/>
              </w:rPr>
              <w:tab/>
            </w:r>
          </w:p>
        </w:tc>
        <w:tc>
          <w:tcPr>
            <w:tcW w:w="1527" w:type="dxa"/>
            <w:gridSpan w:val="2"/>
            <w:vMerge w:val="restart"/>
            <w:shd w:val="clear" w:color="auto" w:fill="auto"/>
            <w:vAlign w:val="bottom"/>
          </w:tcPr>
          <w:p w14:paraId="33A7205E" w14:textId="77777777" w:rsidR="00301ACA" w:rsidRPr="00BD3436" w:rsidRDefault="00301ACA" w:rsidP="00301ACA">
            <w:pPr>
              <w:suppressAutoHyphens/>
              <w:spacing w:after="120" w:line="240" w:lineRule="exact"/>
              <w:jc w:val="right"/>
              <w:rPr>
                <w:spacing w:val="4"/>
                <w:w w:val="103"/>
                <w:kern w:val="14"/>
                <w:lang w:val="en-GB"/>
              </w:rPr>
            </w:pPr>
            <w:r w:rsidRPr="00BD3436">
              <w:rPr>
                <w:spacing w:val="4"/>
                <w:w w:val="103"/>
                <w:kern w:val="14"/>
                <w:lang w:val="en-GB"/>
              </w:rPr>
              <w:t>2</w:t>
            </w:r>
          </w:p>
          <w:p w14:paraId="2D917829" w14:textId="080CE8EB" w:rsidR="00301ACA" w:rsidRPr="00BD3436" w:rsidRDefault="00212612" w:rsidP="00301ACA">
            <w:pPr>
              <w:suppressAutoHyphens/>
              <w:spacing w:after="120" w:line="240" w:lineRule="exact"/>
              <w:jc w:val="right"/>
              <w:rPr>
                <w:spacing w:val="4"/>
                <w:w w:val="103"/>
                <w:kern w:val="14"/>
                <w:lang w:val="en-GB"/>
              </w:rPr>
            </w:pPr>
            <w:r>
              <w:rPr>
                <w:spacing w:val="4"/>
                <w:w w:val="103"/>
                <w:kern w:val="14"/>
                <w:lang w:val="en-GB"/>
              </w:rPr>
              <w:t>4</w:t>
            </w:r>
          </w:p>
        </w:tc>
      </w:tr>
      <w:tr w:rsidR="00301ACA" w:rsidRPr="00BD3436" w14:paraId="5F6E200E" w14:textId="77777777" w:rsidTr="00717C47">
        <w:tc>
          <w:tcPr>
            <w:tcW w:w="8375" w:type="dxa"/>
            <w:gridSpan w:val="2"/>
            <w:shd w:val="clear" w:color="auto" w:fill="auto"/>
          </w:tcPr>
          <w:p w14:paraId="77B7DA49" w14:textId="77777777" w:rsidR="00301ACA" w:rsidRPr="00BD3436" w:rsidRDefault="00301ACA" w:rsidP="00301ACA">
            <w:pPr>
              <w:numPr>
                <w:ilvl w:val="0"/>
                <w:numId w:val="43"/>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BD3436">
              <w:rPr>
                <w:spacing w:val="4"/>
                <w:w w:val="103"/>
                <w:kern w:val="14"/>
                <w:lang w:val="en-GB"/>
              </w:rPr>
              <w:tab/>
              <w:t>Programme priorities and partnerships</w:t>
            </w:r>
            <w:r w:rsidRPr="00BD3436">
              <w:rPr>
                <w:spacing w:val="60"/>
                <w:w w:val="103"/>
                <w:kern w:val="14"/>
                <w:sz w:val="17"/>
                <w:lang w:val="en-GB"/>
              </w:rPr>
              <w:tab/>
            </w:r>
          </w:p>
        </w:tc>
        <w:tc>
          <w:tcPr>
            <w:tcW w:w="1527" w:type="dxa"/>
            <w:gridSpan w:val="2"/>
            <w:vMerge/>
            <w:shd w:val="clear" w:color="auto" w:fill="auto"/>
            <w:vAlign w:val="bottom"/>
          </w:tcPr>
          <w:p w14:paraId="633E130F" w14:textId="77777777" w:rsidR="00301ACA" w:rsidRPr="00BD3436" w:rsidRDefault="00301ACA" w:rsidP="00301ACA">
            <w:pPr>
              <w:suppressAutoHyphens/>
              <w:spacing w:after="120" w:line="240" w:lineRule="exact"/>
              <w:jc w:val="right"/>
              <w:rPr>
                <w:spacing w:val="4"/>
                <w:w w:val="103"/>
                <w:kern w:val="14"/>
                <w:lang w:val="en-GB"/>
              </w:rPr>
            </w:pPr>
          </w:p>
        </w:tc>
      </w:tr>
      <w:tr w:rsidR="00301ACA" w:rsidRPr="00BD3436" w14:paraId="63E50590" w14:textId="77777777" w:rsidTr="00717C47">
        <w:tc>
          <w:tcPr>
            <w:tcW w:w="8375" w:type="dxa"/>
            <w:gridSpan w:val="2"/>
            <w:shd w:val="clear" w:color="auto" w:fill="auto"/>
          </w:tcPr>
          <w:p w14:paraId="1ED0B1B9" w14:textId="77777777" w:rsidR="00301ACA" w:rsidRPr="00BD3436" w:rsidRDefault="00301ACA" w:rsidP="00301ACA">
            <w:pPr>
              <w:numPr>
                <w:ilvl w:val="0"/>
                <w:numId w:val="43"/>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BD3436">
              <w:rPr>
                <w:spacing w:val="4"/>
                <w:w w:val="103"/>
                <w:kern w:val="14"/>
                <w:lang w:val="en-GB"/>
              </w:rPr>
              <w:tab/>
              <w:t>Programme and risk management</w:t>
            </w:r>
            <w:r w:rsidRPr="00BD3436">
              <w:rPr>
                <w:spacing w:val="60"/>
                <w:w w:val="103"/>
                <w:kern w:val="14"/>
                <w:sz w:val="17"/>
                <w:lang w:val="en-GB"/>
              </w:rPr>
              <w:tab/>
            </w:r>
          </w:p>
        </w:tc>
        <w:tc>
          <w:tcPr>
            <w:tcW w:w="1527" w:type="dxa"/>
            <w:gridSpan w:val="2"/>
            <w:vMerge w:val="restart"/>
            <w:shd w:val="clear" w:color="auto" w:fill="auto"/>
            <w:vAlign w:val="bottom"/>
          </w:tcPr>
          <w:p w14:paraId="473ECA9E" w14:textId="07517C50" w:rsidR="00301ACA" w:rsidRPr="00BD3436" w:rsidRDefault="00212612" w:rsidP="00301ACA">
            <w:pPr>
              <w:suppressAutoHyphens/>
              <w:spacing w:after="120" w:line="240" w:lineRule="exact"/>
              <w:jc w:val="right"/>
              <w:rPr>
                <w:spacing w:val="4"/>
                <w:w w:val="103"/>
                <w:kern w:val="14"/>
                <w:lang w:val="en-GB"/>
              </w:rPr>
            </w:pPr>
            <w:r>
              <w:rPr>
                <w:spacing w:val="4"/>
                <w:w w:val="103"/>
                <w:kern w:val="14"/>
                <w:lang w:val="en-GB"/>
              </w:rPr>
              <w:t>5</w:t>
            </w:r>
          </w:p>
          <w:p w14:paraId="4EEFE305" w14:textId="093E461E" w:rsidR="00301ACA" w:rsidRPr="00BD3436" w:rsidRDefault="00212612" w:rsidP="00301ACA">
            <w:pPr>
              <w:suppressAutoHyphens/>
              <w:spacing w:after="120" w:line="240" w:lineRule="exact"/>
              <w:jc w:val="right"/>
              <w:rPr>
                <w:spacing w:val="4"/>
                <w:w w:val="103"/>
                <w:kern w:val="14"/>
                <w:lang w:val="en-GB"/>
              </w:rPr>
            </w:pPr>
            <w:r>
              <w:rPr>
                <w:spacing w:val="4"/>
                <w:w w:val="103"/>
                <w:kern w:val="14"/>
                <w:lang w:val="en-GB"/>
              </w:rPr>
              <w:t>6</w:t>
            </w:r>
          </w:p>
        </w:tc>
      </w:tr>
      <w:tr w:rsidR="00301ACA" w:rsidRPr="00BD3436" w14:paraId="710370DF" w14:textId="77777777" w:rsidTr="00717C47">
        <w:tc>
          <w:tcPr>
            <w:tcW w:w="8375" w:type="dxa"/>
            <w:gridSpan w:val="2"/>
            <w:shd w:val="clear" w:color="auto" w:fill="auto"/>
          </w:tcPr>
          <w:p w14:paraId="641361D7" w14:textId="77777777" w:rsidR="00301ACA" w:rsidRPr="00BD3436" w:rsidRDefault="00301ACA" w:rsidP="00301ACA">
            <w:pPr>
              <w:numPr>
                <w:ilvl w:val="0"/>
                <w:numId w:val="43"/>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BD3436">
              <w:rPr>
                <w:spacing w:val="4"/>
                <w:w w:val="103"/>
                <w:kern w:val="14"/>
                <w:lang w:val="en-GB"/>
              </w:rPr>
              <w:tab/>
              <w:t>Monitoring and evaluation</w:t>
            </w:r>
            <w:r w:rsidRPr="00BD3436">
              <w:rPr>
                <w:spacing w:val="60"/>
                <w:w w:val="103"/>
                <w:kern w:val="14"/>
                <w:sz w:val="17"/>
                <w:lang w:val="en-GB"/>
              </w:rPr>
              <w:tab/>
            </w:r>
          </w:p>
        </w:tc>
        <w:tc>
          <w:tcPr>
            <w:tcW w:w="1527" w:type="dxa"/>
            <w:gridSpan w:val="2"/>
            <w:vMerge/>
            <w:shd w:val="clear" w:color="auto" w:fill="auto"/>
            <w:vAlign w:val="bottom"/>
          </w:tcPr>
          <w:p w14:paraId="569D70F6" w14:textId="77777777" w:rsidR="00301ACA" w:rsidRPr="00BD3436" w:rsidRDefault="00301ACA" w:rsidP="00301ACA">
            <w:pPr>
              <w:suppressAutoHyphens/>
              <w:spacing w:after="120" w:line="240" w:lineRule="exact"/>
              <w:jc w:val="right"/>
              <w:rPr>
                <w:spacing w:val="4"/>
                <w:w w:val="103"/>
                <w:kern w:val="14"/>
                <w:lang w:val="en-GB"/>
              </w:rPr>
            </w:pPr>
          </w:p>
        </w:tc>
      </w:tr>
      <w:tr w:rsidR="00301ACA" w:rsidRPr="00BD3436" w14:paraId="6A05F1A9" w14:textId="77777777" w:rsidTr="00717C47">
        <w:tc>
          <w:tcPr>
            <w:tcW w:w="9369" w:type="dxa"/>
            <w:gridSpan w:val="3"/>
            <w:shd w:val="clear" w:color="auto" w:fill="auto"/>
          </w:tcPr>
          <w:p w14:paraId="2C0DFD3F" w14:textId="77777777" w:rsidR="00301ACA" w:rsidRPr="00BD3436" w:rsidRDefault="00301ACA" w:rsidP="00301ACA">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BD3436">
              <w:rPr>
                <w:spacing w:val="4"/>
                <w:w w:val="103"/>
                <w:kern w:val="14"/>
                <w:lang w:val="en-GB"/>
              </w:rPr>
              <w:t>Annex</w:t>
            </w:r>
          </w:p>
        </w:tc>
        <w:tc>
          <w:tcPr>
            <w:tcW w:w="533" w:type="dxa"/>
            <w:shd w:val="clear" w:color="auto" w:fill="auto"/>
            <w:vAlign w:val="bottom"/>
          </w:tcPr>
          <w:p w14:paraId="2FB91275" w14:textId="77777777" w:rsidR="00301ACA" w:rsidRPr="00BD3436" w:rsidRDefault="00301ACA" w:rsidP="00301ACA">
            <w:pPr>
              <w:suppressAutoHyphens/>
              <w:spacing w:after="120" w:line="240" w:lineRule="exact"/>
              <w:jc w:val="right"/>
              <w:rPr>
                <w:spacing w:val="4"/>
                <w:w w:val="103"/>
                <w:kern w:val="14"/>
                <w:lang w:val="en-GB"/>
              </w:rPr>
            </w:pPr>
          </w:p>
        </w:tc>
      </w:tr>
      <w:tr w:rsidR="00301ACA" w:rsidRPr="00BD3436" w14:paraId="5FA1D7B7" w14:textId="77777777" w:rsidTr="00717C47">
        <w:tc>
          <w:tcPr>
            <w:tcW w:w="9369" w:type="dxa"/>
            <w:gridSpan w:val="3"/>
            <w:shd w:val="clear" w:color="auto" w:fill="auto"/>
          </w:tcPr>
          <w:p w14:paraId="0114D476" w14:textId="77777777" w:rsidR="00301ACA" w:rsidRPr="00BD3436" w:rsidRDefault="00301ACA" w:rsidP="00301ACA">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BD3436">
              <w:rPr>
                <w:spacing w:val="4"/>
                <w:w w:val="103"/>
                <w:kern w:val="14"/>
                <w:lang w:val="en-GB"/>
              </w:rPr>
              <w:t>Results and resources framework for Serbia (2016-2020)</w:t>
            </w:r>
          </w:p>
        </w:tc>
        <w:tc>
          <w:tcPr>
            <w:tcW w:w="533" w:type="dxa"/>
            <w:shd w:val="clear" w:color="auto" w:fill="auto"/>
            <w:vAlign w:val="bottom"/>
          </w:tcPr>
          <w:p w14:paraId="17277435" w14:textId="74DA8337" w:rsidR="00301ACA" w:rsidRPr="00BD3436" w:rsidRDefault="00212612" w:rsidP="00301ACA">
            <w:pPr>
              <w:suppressAutoHyphens/>
              <w:spacing w:after="120" w:line="240" w:lineRule="exact"/>
              <w:jc w:val="right"/>
              <w:rPr>
                <w:spacing w:val="4"/>
                <w:w w:val="103"/>
                <w:kern w:val="14"/>
                <w:lang w:val="en-GB"/>
              </w:rPr>
            </w:pPr>
            <w:r>
              <w:rPr>
                <w:spacing w:val="4"/>
                <w:w w:val="103"/>
                <w:kern w:val="14"/>
                <w:lang w:val="en-GB"/>
              </w:rPr>
              <w:t>7</w:t>
            </w:r>
            <w:bookmarkStart w:id="0" w:name="_GoBack"/>
            <w:bookmarkEnd w:id="0"/>
          </w:p>
        </w:tc>
      </w:tr>
    </w:tbl>
    <w:p w14:paraId="5EDD713D" w14:textId="77777777" w:rsidR="001A1AC1" w:rsidRPr="00BD3436" w:rsidRDefault="00301ACA" w:rsidP="00301AC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3436">
        <w:rPr>
          <w:b w:val="0"/>
          <w:spacing w:val="0"/>
          <w:w w:val="100"/>
          <w:kern w:val="0"/>
          <w:sz w:val="20"/>
        </w:rPr>
        <w:br w:type="page"/>
      </w:r>
    </w:p>
    <w:p w14:paraId="704E2CF0" w14:textId="77777777" w:rsidR="00F806A0" w:rsidRPr="00BD3436" w:rsidRDefault="00F806A0" w:rsidP="00717C47">
      <w:pPr>
        <w:pStyle w:val="Heading2"/>
        <w:spacing w:after="120"/>
        <w:ind w:left="1440" w:right="1160" w:hanging="270"/>
        <w:jc w:val="both"/>
        <w:rPr>
          <w:rFonts w:ascii="Times New Roman" w:hAnsi="Times New Roman"/>
          <w:bCs/>
          <w:sz w:val="24"/>
          <w:szCs w:val="24"/>
          <w:lang w:val="en-GB"/>
        </w:rPr>
      </w:pPr>
      <w:r w:rsidRPr="00BD3436">
        <w:rPr>
          <w:rFonts w:ascii="Times New Roman" w:hAnsi="Times New Roman"/>
          <w:bCs/>
          <w:sz w:val="24"/>
          <w:szCs w:val="24"/>
          <w:lang w:val="en-GB"/>
        </w:rPr>
        <w:lastRenderedPageBreak/>
        <w:t xml:space="preserve">I. </w:t>
      </w:r>
      <w:r w:rsidR="00717C47" w:rsidRPr="00BD3436">
        <w:rPr>
          <w:rFonts w:ascii="Times New Roman" w:hAnsi="Times New Roman"/>
          <w:bCs/>
          <w:sz w:val="24"/>
          <w:szCs w:val="24"/>
          <w:lang w:val="en-GB"/>
        </w:rPr>
        <w:tab/>
      </w:r>
      <w:r w:rsidRPr="00BD3436">
        <w:rPr>
          <w:rFonts w:ascii="Times New Roman" w:hAnsi="Times New Roman"/>
          <w:bCs/>
          <w:sz w:val="24"/>
          <w:szCs w:val="24"/>
          <w:lang w:val="en-GB"/>
        </w:rPr>
        <w:t xml:space="preserve">Programme </w:t>
      </w:r>
      <w:r w:rsidR="00301ACA" w:rsidRPr="00BD3436">
        <w:rPr>
          <w:rFonts w:ascii="Times New Roman" w:hAnsi="Times New Roman"/>
          <w:bCs/>
          <w:sz w:val="24"/>
          <w:szCs w:val="24"/>
          <w:lang w:val="en-GB"/>
        </w:rPr>
        <w:t>r</w:t>
      </w:r>
      <w:r w:rsidRPr="00BD3436">
        <w:rPr>
          <w:rFonts w:ascii="Times New Roman" w:hAnsi="Times New Roman"/>
          <w:bCs/>
          <w:sz w:val="24"/>
          <w:szCs w:val="24"/>
          <w:lang w:val="en-GB"/>
        </w:rPr>
        <w:t xml:space="preserve">ationale </w:t>
      </w:r>
    </w:p>
    <w:p w14:paraId="021EF617" w14:textId="7FEA3D34" w:rsidR="00717C47" w:rsidRPr="00BD3436" w:rsidRDefault="00C03608" w:rsidP="004303A7">
      <w:pPr>
        <w:numPr>
          <w:ilvl w:val="0"/>
          <w:numId w:val="44"/>
        </w:numPr>
        <w:tabs>
          <w:tab w:val="left" w:pos="450"/>
          <w:tab w:val="left" w:pos="810"/>
          <w:tab w:val="left" w:pos="1800"/>
          <w:tab w:val="left" w:pos="8370"/>
        </w:tabs>
        <w:spacing w:after="120"/>
        <w:ind w:left="1440" w:right="720" w:firstLine="0"/>
        <w:jc w:val="both"/>
        <w:rPr>
          <w:sz w:val="24"/>
          <w:lang w:val="en-GB"/>
        </w:rPr>
      </w:pPr>
      <w:r w:rsidRPr="00BD3436">
        <w:rPr>
          <w:lang w:val="en-GB"/>
        </w:rPr>
        <w:t>Following the conflict and sharp economic decline in the 1990s, associated with the breakup of the Socialist Federal Republic of Yugoslavia, the Republic of Serbia</w:t>
      </w:r>
      <w:r w:rsidR="0061619D" w:rsidRPr="00BD3436">
        <w:rPr>
          <w:lang w:val="en-GB"/>
        </w:rPr>
        <w:t>,</w:t>
      </w:r>
      <w:r w:rsidRPr="00BD3436">
        <w:rPr>
          <w:lang w:val="en-GB"/>
        </w:rPr>
        <w:t xml:space="preserve"> </w:t>
      </w:r>
      <w:r w:rsidR="0061619D" w:rsidRPr="00BD3436">
        <w:rPr>
          <w:lang w:val="en-GB"/>
        </w:rPr>
        <w:t>supported by a favo</w:t>
      </w:r>
      <w:r w:rsidR="005E4042" w:rsidRPr="00BD3436">
        <w:rPr>
          <w:lang w:val="en-GB"/>
        </w:rPr>
        <w:t>u</w:t>
      </w:r>
      <w:r w:rsidR="0061619D" w:rsidRPr="00BD3436">
        <w:rPr>
          <w:lang w:val="en-GB"/>
        </w:rPr>
        <w:t xml:space="preserve">rable global economy and sustained implementation of reforms, </w:t>
      </w:r>
      <w:r w:rsidRPr="00BD3436">
        <w:rPr>
          <w:lang w:val="en-GB"/>
        </w:rPr>
        <w:t xml:space="preserve">enjoyed average annual </w:t>
      </w:r>
      <w:r w:rsidR="005E4042" w:rsidRPr="00BD3436">
        <w:rPr>
          <w:lang w:val="en-GB"/>
        </w:rPr>
        <w:t>gross domestic product (</w:t>
      </w:r>
      <w:r w:rsidRPr="00BD3436">
        <w:rPr>
          <w:lang w:val="en-GB"/>
        </w:rPr>
        <w:t>GDP</w:t>
      </w:r>
      <w:r w:rsidR="005E4042" w:rsidRPr="00BD3436">
        <w:rPr>
          <w:lang w:val="en-GB"/>
        </w:rPr>
        <w:t>)</w:t>
      </w:r>
      <w:r w:rsidRPr="00BD3436">
        <w:rPr>
          <w:lang w:val="en-GB"/>
        </w:rPr>
        <w:t xml:space="preserve"> growth of 5</w:t>
      </w:r>
      <w:r w:rsidR="005E4042" w:rsidRPr="00BD3436">
        <w:rPr>
          <w:lang w:val="en-GB"/>
        </w:rPr>
        <w:t xml:space="preserve"> per cent</w:t>
      </w:r>
      <w:r w:rsidRPr="00BD3436">
        <w:rPr>
          <w:lang w:val="en-GB"/>
        </w:rPr>
        <w:t xml:space="preserve"> between 2001 and 2008 and a decline in poverty headcount f</w:t>
      </w:r>
      <w:r w:rsidR="0061619D" w:rsidRPr="00BD3436">
        <w:rPr>
          <w:lang w:val="en-GB"/>
        </w:rPr>
        <w:t>rom 14</w:t>
      </w:r>
      <w:r w:rsidR="005E4042" w:rsidRPr="00BD3436">
        <w:rPr>
          <w:lang w:val="en-GB"/>
        </w:rPr>
        <w:t xml:space="preserve"> per cent</w:t>
      </w:r>
      <w:r w:rsidR="0061619D" w:rsidRPr="00BD3436">
        <w:rPr>
          <w:lang w:val="en-GB"/>
        </w:rPr>
        <w:t xml:space="preserve"> in 2002 to 6.6</w:t>
      </w:r>
      <w:r w:rsidR="005E4042" w:rsidRPr="00BD3436">
        <w:rPr>
          <w:lang w:val="en-GB"/>
        </w:rPr>
        <w:t xml:space="preserve"> per cent</w:t>
      </w:r>
      <w:r w:rsidR="0061619D" w:rsidRPr="00BD3436">
        <w:rPr>
          <w:lang w:val="en-GB"/>
        </w:rPr>
        <w:t xml:space="preserve"> in 2007</w:t>
      </w:r>
      <w:r w:rsidRPr="00BD3436">
        <w:rPr>
          <w:lang w:val="en-GB"/>
        </w:rPr>
        <w:t xml:space="preserve">. </w:t>
      </w:r>
      <w:r w:rsidR="00656C6F" w:rsidRPr="00BD3436">
        <w:rPr>
          <w:rFonts w:eastAsiaTheme="minorHAnsi"/>
          <w:lang w:val="en-GB"/>
        </w:rPr>
        <w:t xml:space="preserve">However, </w:t>
      </w:r>
      <w:r w:rsidR="00656C6F" w:rsidRPr="00BD3436">
        <w:rPr>
          <w:rFonts w:eastAsiaTheme="minorHAnsi"/>
          <w:bCs/>
          <w:lang w:val="en-GB"/>
        </w:rPr>
        <w:t>s</w:t>
      </w:r>
      <w:r w:rsidR="00972FEF" w:rsidRPr="00BD3436">
        <w:rPr>
          <w:rFonts w:eastAsiaTheme="minorHAnsi"/>
          <w:bCs/>
          <w:lang w:val="en-GB"/>
        </w:rPr>
        <w:t>ince 2008 economic growth has stalled and progress on poverty reduction reversed</w:t>
      </w:r>
      <w:r w:rsidRPr="00BD3436">
        <w:rPr>
          <w:rFonts w:eastAsiaTheme="minorHAnsi"/>
          <w:bCs/>
          <w:lang w:val="en-GB"/>
        </w:rPr>
        <w:t xml:space="preserve"> to 8.6</w:t>
      </w:r>
      <w:r w:rsidR="005E4042" w:rsidRPr="00BD3436">
        <w:rPr>
          <w:rFonts w:eastAsiaTheme="minorHAnsi"/>
          <w:bCs/>
          <w:lang w:val="en-GB"/>
        </w:rPr>
        <w:t xml:space="preserve"> per cent</w:t>
      </w:r>
      <w:r w:rsidRPr="00BD3436">
        <w:rPr>
          <w:rFonts w:eastAsiaTheme="minorHAnsi"/>
          <w:bCs/>
          <w:lang w:val="en-GB"/>
        </w:rPr>
        <w:t xml:space="preserve"> in 2013</w:t>
      </w:r>
      <w:r w:rsidR="00972FEF" w:rsidRPr="00BD3436">
        <w:rPr>
          <w:rFonts w:eastAsiaTheme="minorHAnsi"/>
          <w:bCs/>
          <w:lang w:val="en-GB"/>
        </w:rPr>
        <w:t xml:space="preserve">. </w:t>
      </w:r>
      <w:r w:rsidR="00972FEF" w:rsidRPr="00BD3436">
        <w:rPr>
          <w:rFonts w:eastAsiaTheme="minorHAnsi"/>
          <w:lang w:val="en-GB"/>
        </w:rPr>
        <w:t>Average annual real GDP growth dropped to almost zero, with economic contractions in 2009, 2012 and 2014</w:t>
      </w:r>
      <w:r w:rsidR="005E4042" w:rsidRPr="00BD3436">
        <w:rPr>
          <w:rFonts w:eastAsiaTheme="minorHAnsi"/>
          <w:lang w:val="en-GB"/>
        </w:rPr>
        <w:t>, as the World Bank noted in its Serbia Systematic Country Diagnostic 2015</w:t>
      </w:r>
      <w:r w:rsidR="00972FEF" w:rsidRPr="00BD3436">
        <w:rPr>
          <w:rFonts w:eastAsiaTheme="minorHAnsi"/>
          <w:lang w:val="en-GB"/>
        </w:rPr>
        <w:t>.</w:t>
      </w:r>
      <w:r w:rsidR="00087586" w:rsidRPr="00BD3436">
        <w:rPr>
          <w:rFonts w:eastAsiaTheme="minorHAnsi"/>
          <w:lang w:val="en-GB"/>
        </w:rPr>
        <w:t xml:space="preserve"> </w:t>
      </w:r>
      <w:r w:rsidR="00070305" w:rsidRPr="00BD3436">
        <w:rPr>
          <w:rFonts w:eastAsiaTheme="minorHAnsi"/>
          <w:lang w:val="en-GB"/>
        </w:rPr>
        <w:t xml:space="preserve">Considering the human development </w:t>
      </w:r>
      <w:r w:rsidR="009F1A62" w:rsidRPr="00BD3436">
        <w:rPr>
          <w:rFonts w:eastAsiaTheme="minorHAnsi"/>
          <w:lang w:val="en-GB"/>
        </w:rPr>
        <w:t>trends</w:t>
      </w:r>
      <w:r w:rsidR="00070305" w:rsidRPr="00BD3436">
        <w:rPr>
          <w:rFonts w:eastAsiaTheme="minorHAnsi"/>
          <w:lang w:val="en-GB"/>
        </w:rPr>
        <w:t xml:space="preserve"> b</w:t>
      </w:r>
      <w:r w:rsidR="00070305" w:rsidRPr="00BD3436">
        <w:rPr>
          <w:lang w:val="en-GB"/>
        </w:rPr>
        <w:t xml:space="preserve">etween 1990 and 2014, </w:t>
      </w:r>
      <w:r w:rsidR="005E4042" w:rsidRPr="00BD3436">
        <w:rPr>
          <w:lang w:val="en-GB"/>
        </w:rPr>
        <w:t>the country</w:t>
      </w:r>
      <w:r w:rsidR="00515AFC" w:rsidRPr="00BD3436">
        <w:rPr>
          <w:lang w:val="en-GB"/>
        </w:rPr>
        <w:t>’s</w:t>
      </w:r>
      <w:r w:rsidR="005E4042" w:rsidRPr="00BD3436">
        <w:rPr>
          <w:lang w:val="en-GB"/>
        </w:rPr>
        <w:t xml:space="preserve"> human development index (</w:t>
      </w:r>
      <w:r w:rsidR="00070305" w:rsidRPr="00BD3436">
        <w:rPr>
          <w:lang w:val="en-GB"/>
        </w:rPr>
        <w:t>HD</w:t>
      </w:r>
      <w:r w:rsidR="009F1A62" w:rsidRPr="00BD3436">
        <w:rPr>
          <w:lang w:val="en-GB"/>
        </w:rPr>
        <w:t>I</w:t>
      </w:r>
      <w:r w:rsidR="005E4042" w:rsidRPr="00BD3436">
        <w:rPr>
          <w:lang w:val="en-GB"/>
        </w:rPr>
        <w:t>)</w:t>
      </w:r>
      <w:r w:rsidR="009F1A62" w:rsidRPr="00BD3436">
        <w:rPr>
          <w:lang w:val="en-GB"/>
        </w:rPr>
        <w:t xml:space="preserve"> increased from 0.726 to 0.745, mainly due to </w:t>
      </w:r>
      <w:r w:rsidR="00070305" w:rsidRPr="00BD3436">
        <w:rPr>
          <w:lang w:val="en-GB"/>
        </w:rPr>
        <w:t>increases in life expectancy at birth (4.2 years) and mean years of schooling</w:t>
      </w:r>
      <w:r w:rsidR="0039255E" w:rsidRPr="00BD3436">
        <w:rPr>
          <w:lang w:val="en-GB"/>
        </w:rPr>
        <w:t xml:space="preserve"> </w:t>
      </w:r>
      <w:r w:rsidR="00070305" w:rsidRPr="00BD3436">
        <w:rPr>
          <w:lang w:val="en-GB"/>
        </w:rPr>
        <w:t>(2.1 years)</w:t>
      </w:r>
      <w:r w:rsidR="00515AFC" w:rsidRPr="00BD3436">
        <w:rPr>
          <w:lang w:val="en-GB"/>
        </w:rPr>
        <w:t xml:space="preserve">, according to the </w:t>
      </w:r>
      <w:r w:rsidR="00515AFC" w:rsidRPr="00BD3436">
        <w:rPr>
          <w:i/>
          <w:lang w:val="en-GB"/>
        </w:rPr>
        <w:t>Human Development Report 2014</w:t>
      </w:r>
      <w:r w:rsidR="00070305" w:rsidRPr="00BD3436">
        <w:rPr>
          <w:lang w:val="en-GB"/>
        </w:rPr>
        <w:t xml:space="preserve">. </w:t>
      </w:r>
      <w:r w:rsidR="00515AFC" w:rsidRPr="00BD3436">
        <w:rPr>
          <w:lang w:val="en-GB"/>
        </w:rPr>
        <w:t>Gross national income (</w:t>
      </w:r>
      <w:r w:rsidR="00070305" w:rsidRPr="00BD3436">
        <w:rPr>
          <w:lang w:val="en-GB"/>
        </w:rPr>
        <w:t>GNI</w:t>
      </w:r>
      <w:r w:rsidR="00515AFC" w:rsidRPr="00BD3436">
        <w:rPr>
          <w:lang w:val="en-GB"/>
        </w:rPr>
        <w:t>)</w:t>
      </w:r>
      <w:r w:rsidR="00070305" w:rsidRPr="00BD3436">
        <w:rPr>
          <w:lang w:val="en-GB"/>
        </w:rPr>
        <w:t xml:space="preserve"> per capita, however, decreased by about 20.8 </w:t>
      </w:r>
      <w:r w:rsidR="00515AFC" w:rsidRPr="00BD3436">
        <w:rPr>
          <w:lang w:val="en-GB"/>
        </w:rPr>
        <w:t>per cent</w:t>
      </w:r>
      <w:r w:rsidR="00A51CF6" w:rsidRPr="00BD3436">
        <w:rPr>
          <w:lang w:val="en-GB"/>
        </w:rPr>
        <w:t xml:space="preserve"> </w:t>
      </w:r>
      <w:r w:rsidR="00070305" w:rsidRPr="00BD3436">
        <w:rPr>
          <w:lang w:val="en-GB"/>
        </w:rPr>
        <w:t xml:space="preserve">in the same period. When the value is discounted for </w:t>
      </w:r>
      <w:r w:rsidR="00070305" w:rsidRPr="00BD3436">
        <w:rPr>
          <w:i/>
          <w:lang w:val="en-GB"/>
        </w:rPr>
        <w:t>inequality</w:t>
      </w:r>
      <w:r w:rsidR="00070305" w:rsidRPr="00BD3436">
        <w:rPr>
          <w:lang w:val="en-GB"/>
        </w:rPr>
        <w:t xml:space="preserve">, HDI falls to 0.663, a loss of 10.9 </w:t>
      </w:r>
      <w:r w:rsidR="00515AFC" w:rsidRPr="00BD3436">
        <w:rPr>
          <w:lang w:val="en-GB"/>
        </w:rPr>
        <w:t>per cent</w:t>
      </w:r>
      <w:r w:rsidR="00070305" w:rsidRPr="00BD3436">
        <w:rPr>
          <w:lang w:val="en-GB"/>
        </w:rPr>
        <w:t xml:space="preserve">. </w:t>
      </w:r>
      <w:r w:rsidR="00FA5F2A" w:rsidRPr="00BD3436">
        <w:rPr>
          <w:lang w:val="en-GB"/>
        </w:rPr>
        <w:t xml:space="preserve">In order </w:t>
      </w:r>
      <w:r w:rsidR="00FA5F2A" w:rsidRPr="00BD3436">
        <w:rPr>
          <w:rFonts w:eastAsiaTheme="minorHAnsi"/>
          <w:lang w:val="en-GB"/>
        </w:rPr>
        <w:t>t</w:t>
      </w:r>
      <w:r w:rsidR="00087586" w:rsidRPr="00BD3436">
        <w:rPr>
          <w:rFonts w:eastAsiaTheme="minorHAnsi"/>
          <w:lang w:val="en-GB"/>
        </w:rPr>
        <w:t>o overcome this period of shocks</w:t>
      </w:r>
      <w:r w:rsidR="00515AFC" w:rsidRPr="00BD3436">
        <w:rPr>
          <w:rFonts w:eastAsiaTheme="minorHAnsi"/>
          <w:lang w:val="en-GB"/>
        </w:rPr>
        <w:t>,</w:t>
      </w:r>
      <w:r w:rsidR="00087586" w:rsidRPr="00BD3436">
        <w:rPr>
          <w:rFonts w:eastAsiaTheme="minorHAnsi"/>
          <w:lang w:val="en-GB"/>
        </w:rPr>
        <w:t xml:space="preserve"> </w:t>
      </w:r>
      <w:r w:rsidR="00FA5F2A" w:rsidRPr="00BD3436">
        <w:rPr>
          <w:rFonts w:eastAsiaTheme="minorHAnsi"/>
          <w:lang w:val="en-GB"/>
        </w:rPr>
        <w:t>t</w:t>
      </w:r>
      <w:r w:rsidR="002C0F94" w:rsidRPr="00BD3436">
        <w:rPr>
          <w:rFonts w:eastAsiaTheme="minorHAnsi"/>
          <w:lang w:val="en-GB"/>
        </w:rPr>
        <w:t xml:space="preserve">he </w:t>
      </w:r>
      <w:r w:rsidR="00082F76" w:rsidRPr="00BD3436">
        <w:rPr>
          <w:lang w:val="en-GB"/>
        </w:rPr>
        <w:t>development agenda</w:t>
      </w:r>
      <w:r w:rsidR="00087586" w:rsidRPr="00BD3436">
        <w:rPr>
          <w:lang w:val="en-GB"/>
        </w:rPr>
        <w:t xml:space="preserve"> </w:t>
      </w:r>
      <w:r w:rsidR="00515AFC" w:rsidRPr="00BD3436">
        <w:rPr>
          <w:lang w:val="en-GB"/>
        </w:rPr>
        <w:t xml:space="preserve">of the Government </w:t>
      </w:r>
      <w:r w:rsidR="002C0F94" w:rsidRPr="00BD3436">
        <w:rPr>
          <w:lang w:val="en-GB"/>
        </w:rPr>
        <w:t>in the years ahead</w:t>
      </w:r>
      <w:r w:rsidR="00087586" w:rsidRPr="00BD3436">
        <w:rPr>
          <w:lang w:val="en-GB"/>
        </w:rPr>
        <w:t xml:space="preserve"> </w:t>
      </w:r>
      <w:r w:rsidR="004C430E" w:rsidRPr="00BD3436">
        <w:rPr>
          <w:lang w:val="en-GB"/>
        </w:rPr>
        <w:t xml:space="preserve">will </w:t>
      </w:r>
      <w:r w:rsidR="00F806A0" w:rsidRPr="00BD3436">
        <w:rPr>
          <w:lang w:val="en-GB"/>
        </w:rPr>
        <w:t xml:space="preserve">centre </w:t>
      </w:r>
      <w:r w:rsidR="004C430E" w:rsidRPr="00BD3436">
        <w:rPr>
          <w:lang w:val="en-GB"/>
        </w:rPr>
        <w:t>on governance and socioeconomic reforms</w:t>
      </w:r>
      <w:r w:rsidR="00515AFC" w:rsidRPr="00BD3436">
        <w:rPr>
          <w:lang w:val="en-GB"/>
        </w:rPr>
        <w:t>,</w:t>
      </w:r>
      <w:r w:rsidR="004C430E" w:rsidRPr="00BD3436">
        <w:rPr>
          <w:lang w:val="en-GB"/>
        </w:rPr>
        <w:t xml:space="preserve"> with modernization and E</w:t>
      </w:r>
      <w:r w:rsidR="00515AFC" w:rsidRPr="00BD3436">
        <w:rPr>
          <w:lang w:val="en-GB"/>
        </w:rPr>
        <w:t xml:space="preserve">uropean </w:t>
      </w:r>
      <w:r w:rsidR="004C430E" w:rsidRPr="00BD3436">
        <w:rPr>
          <w:lang w:val="en-GB"/>
        </w:rPr>
        <w:t>U</w:t>
      </w:r>
      <w:r w:rsidR="00515AFC" w:rsidRPr="00BD3436">
        <w:rPr>
          <w:lang w:val="en-GB"/>
        </w:rPr>
        <w:t>nion</w:t>
      </w:r>
      <w:r w:rsidR="004C430E" w:rsidRPr="00BD3436">
        <w:rPr>
          <w:lang w:val="en-GB"/>
        </w:rPr>
        <w:t xml:space="preserve"> accession as overall objectives. </w:t>
      </w:r>
    </w:p>
    <w:p w14:paraId="67583E53" w14:textId="6A812222"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sz w:val="24"/>
          <w:lang w:val="en-GB"/>
        </w:rPr>
      </w:pPr>
      <w:r w:rsidRPr="00BD3436">
        <w:rPr>
          <w:lang w:val="en-GB"/>
        </w:rPr>
        <w:t xml:space="preserve">The </w:t>
      </w:r>
      <w:r w:rsidRPr="00BD3436">
        <w:rPr>
          <w:i/>
          <w:lang w:val="en-GB"/>
        </w:rPr>
        <w:t>governance challenges</w:t>
      </w:r>
      <w:r w:rsidRPr="00BD3436">
        <w:rPr>
          <w:lang w:val="en-GB"/>
        </w:rPr>
        <w:t xml:space="preserve"> that Serbia face</w:t>
      </w:r>
      <w:r w:rsidR="008D4BAC" w:rsidRPr="00BD3436">
        <w:rPr>
          <w:lang w:val="en-GB"/>
        </w:rPr>
        <w:t>s</w:t>
      </w:r>
      <w:r w:rsidR="00610166" w:rsidRPr="00BD3436">
        <w:rPr>
          <w:lang w:val="en-GB"/>
        </w:rPr>
        <w:t xml:space="preserve">, as reported in the European Commission </w:t>
      </w:r>
      <w:r w:rsidR="00610166" w:rsidRPr="00BD3436">
        <w:rPr>
          <w:i/>
          <w:lang w:val="en-GB"/>
        </w:rPr>
        <w:t>Serbia Progress Report 2014</w:t>
      </w:r>
      <w:r w:rsidR="00610166" w:rsidRPr="00BD3436">
        <w:rPr>
          <w:lang w:val="en-GB"/>
        </w:rPr>
        <w:t xml:space="preserve">, </w:t>
      </w:r>
      <w:r w:rsidRPr="00BD3436">
        <w:rPr>
          <w:lang w:val="en-GB"/>
        </w:rPr>
        <w:t>a</w:t>
      </w:r>
      <w:r w:rsidR="007B32A2" w:rsidRPr="00BD3436">
        <w:rPr>
          <w:lang w:val="en-GB"/>
        </w:rPr>
        <w:t>re three-fold: (</w:t>
      </w:r>
      <w:r w:rsidR="000548F1" w:rsidRPr="00BD3436">
        <w:rPr>
          <w:lang w:val="en-GB"/>
        </w:rPr>
        <w:t>a</w:t>
      </w:r>
      <w:r w:rsidRPr="00BD3436">
        <w:rPr>
          <w:lang w:val="en-GB"/>
        </w:rPr>
        <w:t>) ensuring tight management of the government austerity, economic recovery and growth agenda, at central and particularl</w:t>
      </w:r>
      <w:r w:rsidR="007B32A2" w:rsidRPr="00BD3436">
        <w:rPr>
          <w:lang w:val="en-GB"/>
        </w:rPr>
        <w:t>y at local levels, along with (</w:t>
      </w:r>
      <w:r w:rsidR="000548F1" w:rsidRPr="00BD3436">
        <w:rPr>
          <w:lang w:val="en-GB"/>
        </w:rPr>
        <w:t>b</w:t>
      </w:r>
      <w:r w:rsidRPr="00BD3436">
        <w:rPr>
          <w:lang w:val="en-GB"/>
        </w:rPr>
        <w:t xml:space="preserve">) adjustments in institutional architecture and investments in capacities required </w:t>
      </w:r>
      <w:r w:rsidR="002422AE" w:rsidRPr="00BD3436">
        <w:rPr>
          <w:lang w:val="en-GB"/>
        </w:rPr>
        <w:t>for</w:t>
      </w:r>
      <w:r w:rsidRPr="00BD3436">
        <w:rPr>
          <w:lang w:val="en-GB"/>
        </w:rPr>
        <w:t xml:space="preserve"> European integration, and (</w:t>
      </w:r>
      <w:r w:rsidR="000548F1" w:rsidRPr="00BD3436">
        <w:rPr>
          <w:lang w:val="en-GB"/>
        </w:rPr>
        <w:t>c</w:t>
      </w:r>
      <w:r w:rsidRPr="00BD3436">
        <w:rPr>
          <w:lang w:val="en-GB"/>
        </w:rPr>
        <w:t>) implementation of the 2013 Belgrade-Pristina agreement on normalization of relations.</w:t>
      </w:r>
      <w:r w:rsidR="00C54F88" w:rsidRPr="00BD3436">
        <w:rPr>
          <w:lang w:val="en-GB"/>
        </w:rPr>
        <w:t xml:space="preserve"> </w:t>
      </w:r>
      <w:r w:rsidR="00266266" w:rsidRPr="00BD3436">
        <w:rPr>
          <w:lang w:val="en-GB"/>
        </w:rPr>
        <w:t>An important</w:t>
      </w:r>
      <w:r w:rsidRPr="00BD3436">
        <w:rPr>
          <w:lang w:val="en-GB"/>
        </w:rPr>
        <w:t xml:space="preserve"> factor is corruption</w:t>
      </w:r>
      <w:r w:rsidR="000548F1" w:rsidRPr="00BD3436">
        <w:rPr>
          <w:lang w:val="en-GB"/>
        </w:rPr>
        <w:t>,</w:t>
      </w:r>
      <w:r w:rsidRPr="00BD3436">
        <w:rPr>
          <w:rStyle w:val="FootnoteReference"/>
          <w:lang w:val="en-GB"/>
        </w:rPr>
        <w:footnoteReference w:id="2"/>
      </w:r>
      <w:r w:rsidRPr="00BD3436">
        <w:rPr>
          <w:lang w:val="en-GB"/>
        </w:rPr>
        <w:t xml:space="preserve"> </w:t>
      </w:r>
      <w:r w:rsidR="000548F1" w:rsidRPr="00BD3436">
        <w:rPr>
          <w:lang w:val="en-GB"/>
        </w:rPr>
        <w:t xml:space="preserve">which </w:t>
      </w:r>
      <w:r w:rsidRPr="00BD3436">
        <w:rPr>
          <w:lang w:val="en-GB"/>
        </w:rPr>
        <w:t>is perceived to be affecting economic development</w:t>
      </w:r>
      <w:r w:rsidR="000548F1" w:rsidRPr="00BD3436">
        <w:rPr>
          <w:lang w:val="en-GB"/>
        </w:rPr>
        <w:t>.</w:t>
      </w:r>
      <w:r w:rsidRPr="00BD3436">
        <w:rPr>
          <w:rStyle w:val="FootnoteReference"/>
          <w:lang w:val="en-GB"/>
        </w:rPr>
        <w:footnoteReference w:id="3"/>
      </w:r>
      <w:r w:rsidRPr="00BD3436">
        <w:rPr>
          <w:lang w:val="en-GB"/>
        </w:rPr>
        <w:t xml:space="preserve"> The judiciary is perceived as ineffective</w:t>
      </w:r>
      <w:r w:rsidR="001C07C5" w:rsidRPr="00BD3436">
        <w:rPr>
          <w:lang w:val="en-GB"/>
        </w:rPr>
        <w:t>. T</w:t>
      </w:r>
      <w:r w:rsidR="00DF734D" w:rsidRPr="00BD3436">
        <w:rPr>
          <w:lang w:val="en-GB"/>
        </w:rPr>
        <w:t xml:space="preserve">he demand </w:t>
      </w:r>
      <w:r w:rsidR="00FD5EEC" w:rsidRPr="00BD3436">
        <w:rPr>
          <w:lang w:val="en-GB"/>
        </w:rPr>
        <w:t xml:space="preserve">rate </w:t>
      </w:r>
      <w:r w:rsidR="00DF734D" w:rsidRPr="00BD3436">
        <w:rPr>
          <w:lang w:val="en-GB"/>
        </w:rPr>
        <w:t xml:space="preserve">for court services in Serbia is </w:t>
      </w:r>
      <w:r w:rsidR="00227F02" w:rsidRPr="00BD3436">
        <w:rPr>
          <w:lang w:val="en-GB"/>
        </w:rPr>
        <w:t>below</w:t>
      </w:r>
      <w:r w:rsidR="00DF734D" w:rsidRPr="00BD3436">
        <w:rPr>
          <w:lang w:val="en-GB"/>
        </w:rPr>
        <w:t xml:space="preserve"> </w:t>
      </w:r>
      <w:r w:rsidR="00FD5EEC" w:rsidRPr="00BD3436">
        <w:rPr>
          <w:lang w:val="en-GB"/>
        </w:rPr>
        <w:t xml:space="preserve">the </w:t>
      </w:r>
      <w:r w:rsidR="00DF734D" w:rsidRPr="00BD3436">
        <w:rPr>
          <w:lang w:val="en-GB"/>
        </w:rPr>
        <w:t>E</w:t>
      </w:r>
      <w:r w:rsidR="000548F1" w:rsidRPr="00BD3436">
        <w:rPr>
          <w:lang w:val="en-GB"/>
        </w:rPr>
        <w:t xml:space="preserve">uropean </w:t>
      </w:r>
      <w:r w:rsidR="00DF734D" w:rsidRPr="00BD3436">
        <w:rPr>
          <w:lang w:val="en-GB"/>
        </w:rPr>
        <w:t>U</w:t>
      </w:r>
      <w:r w:rsidR="000548F1" w:rsidRPr="00BD3436">
        <w:rPr>
          <w:lang w:val="en-GB"/>
        </w:rPr>
        <w:t>nion</w:t>
      </w:r>
      <w:r w:rsidR="00DF734D" w:rsidRPr="00BD3436">
        <w:rPr>
          <w:lang w:val="en-GB"/>
        </w:rPr>
        <w:t xml:space="preserve"> average</w:t>
      </w:r>
      <w:r w:rsidR="007B32AC" w:rsidRPr="00BD3436">
        <w:rPr>
          <w:lang w:val="en-GB"/>
        </w:rPr>
        <w:t>, yet Serbia has</w:t>
      </w:r>
      <w:r w:rsidR="00DF734D" w:rsidRPr="00BD3436">
        <w:rPr>
          <w:lang w:val="en-GB"/>
        </w:rPr>
        <w:t xml:space="preserve"> nearly double the </w:t>
      </w:r>
      <w:r w:rsidR="007B32AC" w:rsidRPr="00BD3436">
        <w:rPr>
          <w:lang w:val="en-GB"/>
        </w:rPr>
        <w:t>E</w:t>
      </w:r>
      <w:r w:rsidR="000548F1" w:rsidRPr="00BD3436">
        <w:rPr>
          <w:lang w:val="en-GB"/>
        </w:rPr>
        <w:t xml:space="preserve">uropean </w:t>
      </w:r>
      <w:r w:rsidR="007B32AC" w:rsidRPr="00BD3436">
        <w:rPr>
          <w:lang w:val="en-GB"/>
        </w:rPr>
        <w:t>U</w:t>
      </w:r>
      <w:r w:rsidR="000548F1" w:rsidRPr="00BD3436">
        <w:rPr>
          <w:lang w:val="en-GB"/>
        </w:rPr>
        <w:t>nion</w:t>
      </w:r>
      <w:r w:rsidR="007B32AC" w:rsidRPr="00BD3436">
        <w:rPr>
          <w:lang w:val="en-GB"/>
        </w:rPr>
        <w:t xml:space="preserve"> average </w:t>
      </w:r>
      <w:r w:rsidR="00DF734D" w:rsidRPr="00BD3436">
        <w:rPr>
          <w:lang w:val="en-GB"/>
        </w:rPr>
        <w:t>rate of judges to population. Gaps, overlaps and contradictions in laws cause inconsistency of practice, and judges do not have guidance</w:t>
      </w:r>
      <w:r w:rsidR="004C430E" w:rsidRPr="00BD3436">
        <w:rPr>
          <w:lang w:val="en-GB"/>
        </w:rPr>
        <w:t xml:space="preserve"> on how to address these </w:t>
      </w:r>
      <w:r w:rsidR="00724273" w:rsidRPr="00BD3436">
        <w:rPr>
          <w:lang w:val="en-GB"/>
        </w:rPr>
        <w:t>issues</w:t>
      </w:r>
      <w:r w:rsidR="00DF734D" w:rsidRPr="00BD3436">
        <w:rPr>
          <w:lang w:val="en-GB"/>
        </w:rPr>
        <w:t>. There is an acute need for capacity building across the Serbian judiciary.</w:t>
      </w:r>
      <w:r w:rsidR="00EC61C8" w:rsidRPr="00BD3436">
        <w:rPr>
          <w:lang w:val="en-GB"/>
        </w:rPr>
        <w:t xml:space="preserve"> The security sector is in </w:t>
      </w:r>
      <w:r w:rsidR="000548F1" w:rsidRPr="00BD3436">
        <w:rPr>
          <w:lang w:val="en-GB"/>
        </w:rPr>
        <w:t xml:space="preserve">the </w:t>
      </w:r>
      <w:r w:rsidR="00EC61C8" w:rsidRPr="00BD3436">
        <w:rPr>
          <w:lang w:val="en-GB"/>
        </w:rPr>
        <w:t>process of reform, but horizontal coordination and cooperation among various institutions</w:t>
      </w:r>
      <w:r w:rsidR="007A1279" w:rsidRPr="00BD3436">
        <w:rPr>
          <w:lang w:val="en-GB"/>
        </w:rPr>
        <w:t xml:space="preserve"> remains weak</w:t>
      </w:r>
      <w:r w:rsidR="00EC61C8" w:rsidRPr="00BD3436">
        <w:rPr>
          <w:lang w:val="en-GB"/>
        </w:rPr>
        <w:t xml:space="preserve">, </w:t>
      </w:r>
      <w:r w:rsidR="000548F1" w:rsidRPr="00BD3436">
        <w:rPr>
          <w:lang w:val="en-GB"/>
        </w:rPr>
        <w:t xml:space="preserve">both </w:t>
      </w:r>
      <w:r w:rsidR="00EC61C8" w:rsidRPr="00BD3436">
        <w:rPr>
          <w:lang w:val="en-GB"/>
        </w:rPr>
        <w:t xml:space="preserve">at </w:t>
      </w:r>
      <w:r w:rsidR="000548F1" w:rsidRPr="00BD3436">
        <w:rPr>
          <w:lang w:val="en-GB"/>
        </w:rPr>
        <w:t xml:space="preserve">the </w:t>
      </w:r>
      <w:r w:rsidR="00EC61C8" w:rsidRPr="00BD3436">
        <w:rPr>
          <w:lang w:val="en-GB"/>
        </w:rPr>
        <w:t xml:space="preserve">central </w:t>
      </w:r>
      <w:r w:rsidR="000548F1" w:rsidRPr="00BD3436">
        <w:rPr>
          <w:lang w:val="en-GB"/>
        </w:rPr>
        <w:t xml:space="preserve">and </w:t>
      </w:r>
      <w:r w:rsidR="00EC61C8" w:rsidRPr="00BD3436">
        <w:rPr>
          <w:lang w:val="en-GB"/>
        </w:rPr>
        <w:t>local level</w:t>
      </w:r>
      <w:r w:rsidR="000548F1" w:rsidRPr="00BD3436">
        <w:rPr>
          <w:lang w:val="en-GB"/>
        </w:rPr>
        <w:t>s</w:t>
      </w:r>
      <w:r w:rsidR="00724273" w:rsidRPr="00BD3436">
        <w:rPr>
          <w:lang w:val="en-GB"/>
        </w:rPr>
        <w:t>.</w:t>
      </w:r>
      <w:r w:rsidR="00EC61C8" w:rsidRPr="00BD3436">
        <w:rPr>
          <w:lang w:val="en-GB"/>
        </w:rPr>
        <w:t xml:space="preserve"> </w:t>
      </w:r>
    </w:p>
    <w:p w14:paraId="42725EE8" w14:textId="5DD9E6C5"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w:t>
      </w:r>
      <w:r w:rsidRPr="00BD3436">
        <w:rPr>
          <w:i/>
          <w:lang w:val="en-GB"/>
        </w:rPr>
        <w:t>socioeconomic challenges</w:t>
      </w:r>
      <w:r w:rsidRPr="00BD3436">
        <w:rPr>
          <w:lang w:val="en-GB"/>
        </w:rPr>
        <w:t xml:space="preserve"> </w:t>
      </w:r>
      <w:r w:rsidR="00993309" w:rsidRPr="00BD3436">
        <w:rPr>
          <w:lang w:val="en-GB"/>
        </w:rPr>
        <w:t>stem from</w:t>
      </w:r>
      <w:r w:rsidRPr="00BD3436">
        <w:rPr>
          <w:lang w:val="en-GB"/>
        </w:rPr>
        <w:t xml:space="preserve"> the fragile growth pattern</w:t>
      </w:r>
      <w:r w:rsidR="0012242A" w:rsidRPr="00BD3436">
        <w:rPr>
          <w:lang w:val="en-GB"/>
        </w:rPr>
        <w:t xml:space="preserve"> </w:t>
      </w:r>
      <w:r w:rsidRPr="00BD3436">
        <w:rPr>
          <w:lang w:val="en-GB"/>
        </w:rPr>
        <w:t xml:space="preserve">and the </w:t>
      </w:r>
      <w:r w:rsidR="009301F5" w:rsidRPr="00BD3436">
        <w:rPr>
          <w:lang w:val="en-GB"/>
        </w:rPr>
        <w:t xml:space="preserve">frequent occurrence </w:t>
      </w:r>
      <w:r w:rsidRPr="00BD3436">
        <w:rPr>
          <w:lang w:val="en-GB"/>
        </w:rPr>
        <w:t>of disasters</w:t>
      </w:r>
      <w:r w:rsidR="000548F1" w:rsidRPr="00BD3436">
        <w:rPr>
          <w:lang w:val="en-GB"/>
        </w:rPr>
        <w:t>,</w:t>
      </w:r>
      <w:r w:rsidRPr="00BD3436">
        <w:rPr>
          <w:lang w:val="en-GB"/>
        </w:rPr>
        <w:t xml:space="preserve"> </w:t>
      </w:r>
      <w:r w:rsidR="0005213F" w:rsidRPr="00BD3436">
        <w:rPr>
          <w:lang w:val="en-GB"/>
        </w:rPr>
        <w:t>as evidenced by the</w:t>
      </w:r>
      <w:r w:rsidRPr="00BD3436">
        <w:rPr>
          <w:lang w:val="en-GB"/>
        </w:rPr>
        <w:t xml:space="preserve"> May 2014 floods</w:t>
      </w:r>
      <w:r w:rsidR="006D1525" w:rsidRPr="00BD3436">
        <w:rPr>
          <w:lang w:val="en-GB"/>
        </w:rPr>
        <w:t>,</w:t>
      </w:r>
      <w:r w:rsidRPr="00BD3436">
        <w:rPr>
          <w:lang w:val="en-GB"/>
        </w:rPr>
        <w:t xml:space="preserve"> </w:t>
      </w:r>
      <w:r w:rsidR="0005213F" w:rsidRPr="00BD3436">
        <w:rPr>
          <w:lang w:val="en-GB"/>
        </w:rPr>
        <w:t xml:space="preserve">which </w:t>
      </w:r>
      <w:r w:rsidRPr="00BD3436">
        <w:rPr>
          <w:lang w:val="en-GB"/>
        </w:rPr>
        <w:t>caused an estimated loss of 5</w:t>
      </w:r>
      <w:r w:rsidR="000548F1" w:rsidRPr="00BD3436">
        <w:rPr>
          <w:lang w:val="en-GB"/>
        </w:rPr>
        <w:t xml:space="preserve"> per cent of</w:t>
      </w:r>
      <w:r w:rsidRPr="00BD3436">
        <w:rPr>
          <w:lang w:val="en-GB"/>
        </w:rPr>
        <w:t xml:space="preserve"> GDP to the economy</w:t>
      </w:r>
      <w:r w:rsidR="000548F1" w:rsidRPr="00BD3436">
        <w:rPr>
          <w:lang w:val="en-GB"/>
        </w:rPr>
        <w:t>,</w:t>
      </w:r>
      <w:r w:rsidRPr="00BD3436">
        <w:rPr>
          <w:rStyle w:val="FootnoteReference"/>
          <w:lang w:val="en-GB"/>
        </w:rPr>
        <w:footnoteReference w:id="4"/>
      </w:r>
      <w:r w:rsidRPr="00BD3436">
        <w:rPr>
          <w:lang w:val="en-GB"/>
        </w:rPr>
        <w:t xml:space="preserve"> and set back the yearly growth </w:t>
      </w:r>
      <w:r w:rsidR="001D5E98" w:rsidRPr="00BD3436">
        <w:rPr>
          <w:lang w:val="en-GB"/>
        </w:rPr>
        <w:t xml:space="preserve">to </w:t>
      </w:r>
      <w:r w:rsidR="000548F1" w:rsidRPr="00BD3436">
        <w:rPr>
          <w:lang w:val="en-GB"/>
        </w:rPr>
        <w:t xml:space="preserve">the </w:t>
      </w:r>
      <w:r w:rsidR="001D5E98" w:rsidRPr="00BD3436">
        <w:rPr>
          <w:lang w:val="en-GB"/>
        </w:rPr>
        <w:t xml:space="preserve">negative </w:t>
      </w:r>
      <w:r w:rsidRPr="00BD3436">
        <w:rPr>
          <w:lang w:val="en-GB"/>
        </w:rPr>
        <w:t xml:space="preserve">rate </w:t>
      </w:r>
      <w:r w:rsidR="001D5E98" w:rsidRPr="00BD3436">
        <w:rPr>
          <w:lang w:val="en-GB"/>
        </w:rPr>
        <w:t xml:space="preserve">of </w:t>
      </w:r>
      <w:r w:rsidR="00D86100" w:rsidRPr="00BD3436">
        <w:rPr>
          <w:lang w:val="en-GB"/>
        </w:rPr>
        <w:t xml:space="preserve">minus </w:t>
      </w:r>
      <w:r w:rsidR="001D5E98" w:rsidRPr="00BD3436">
        <w:rPr>
          <w:lang w:val="en-GB"/>
        </w:rPr>
        <w:t>2</w:t>
      </w:r>
      <w:r w:rsidR="000548F1" w:rsidRPr="00BD3436">
        <w:rPr>
          <w:lang w:val="en-GB"/>
        </w:rPr>
        <w:t xml:space="preserve"> per cent</w:t>
      </w:r>
      <w:r w:rsidR="000E4DBF" w:rsidRPr="00BD3436">
        <w:rPr>
          <w:lang w:val="en-GB"/>
        </w:rPr>
        <w:t>, according to the National Bank of Serbia</w:t>
      </w:r>
      <w:r w:rsidR="00A51CF6" w:rsidRPr="00BD3436">
        <w:rPr>
          <w:lang w:val="en-GB"/>
        </w:rPr>
        <w:t>.</w:t>
      </w:r>
      <w:r w:rsidRPr="00BD3436">
        <w:rPr>
          <w:lang w:val="en-GB"/>
        </w:rPr>
        <w:t xml:space="preserve"> The prospects of economic recovery </w:t>
      </w:r>
      <w:r w:rsidR="0031025A" w:rsidRPr="00BD3436">
        <w:rPr>
          <w:lang w:val="en-GB"/>
        </w:rPr>
        <w:t xml:space="preserve">for 2015 </w:t>
      </w:r>
      <w:r w:rsidRPr="00BD3436">
        <w:rPr>
          <w:lang w:val="en-GB"/>
        </w:rPr>
        <w:t>are modest at 0.5</w:t>
      </w:r>
      <w:r w:rsidR="000548F1" w:rsidRPr="00BD3436">
        <w:rPr>
          <w:lang w:val="en-GB"/>
        </w:rPr>
        <w:t xml:space="preserve"> per cent</w:t>
      </w:r>
      <w:r w:rsidRPr="00BD3436">
        <w:rPr>
          <w:lang w:val="en-GB"/>
        </w:rPr>
        <w:t xml:space="preserve"> </w:t>
      </w:r>
      <w:r w:rsidR="000548F1" w:rsidRPr="00BD3436">
        <w:rPr>
          <w:lang w:val="en-GB"/>
        </w:rPr>
        <w:t xml:space="preserve">of </w:t>
      </w:r>
      <w:r w:rsidRPr="00BD3436">
        <w:rPr>
          <w:lang w:val="en-GB"/>
        </w:rPr>
        <w:t>GDP</w:t>
      </w:r>
      <w:r w:rsidR="0031025A" w:rsidRPr="00BD3436">
        <w:rPr>
          <w:lang w:val="en-GB"/>
        </w:rPr>
        <w:t xml:space="preserve">, with 2016 projections at </w:t>
      </w:r>
      <w:r w:rsidRPr="00BD3436">
        <w:rPr>
          <w:lang w:val="en-GB"/>
        </w:rPr>
        <w:t>1.5</w:t>
      </w:r>
      <w:r w:rsidR="0031025A" w:rsidRPr="00BD3436">
        <w:rPr>
          <w:lang w:val="en-GB"/>
        </w:rPr>
        <w:t xml:space="preserve"> per cent,</w:t>
      </w:r>
      <w:r w:rsidRPr="00BD3436">
        <w:rPr>
          <w:lang w:val="en-GB"/>
        </w:rPr>
        <w:t xml:space="preserve"> and require efficient fiscal consolidation</w:t>
      </w:r>
      <w:r w:rsidR="000F5B2E" w:rsidRPr="00BD3436">
        <w:rPr>
          <w:lang w:val="en-GB"/>
        </w:rPr>
        <w:t>, reform of state</w:t>
      </w:r>
      <w:r w:rsidR="0031025A" w:rsidRPr="00BD3436">
        <w:rPr>
          <w:lang w:val="en-GB"/>
        </w:rPr>
        <w:t>-</w:t>
      </w:r>
      <w:r w:rsidR="000F5B2E" w:rsidRPr="00BD3436">
        <w:rPr>
          <w:lang w:val="en-GB"/>
        </w:rPr>
        <w:t>owned enterprises, improvement of the business environment and support to businesses</w:t>
      </w:r>
      <w:r w:rsidRPr="00BD3436">
        <w:rPr>
          <w:lang w:val="en-GB"/>
        </w:rPr>
        <w:t xml:space="preserve">. </w:t>
      </w:r>
      <w:r w:rsidR="00D434DD" w:rsidRPr="00BD3436">
        <w:rPr>
          <w:lang w:val="en-GB"/>
        </w:rPr>
        <w:t>Serbia is facing</w:t>
      </w:r>
      <w:r w:rsidRPr="00BD3436">
        <w:rPr>
          <w:lang w:val="en-GB"/>
        </w:rPr>
        <w:t xml:space="preserve"> sharp increases in poverty and unemployment rates. A total of 42.1</w:t>
      </w:r>
      <w:r w:rsidR="0031025A" w:rsidRPr="00BD3436">
        <w:rPr>
          <w:lang w:val="en-GB"/>
        </w:rPr>
        <w:t xml:space="preserve"> per cent</w:t>
      </w:r>
      <w:r w:rsidRPr="00BD3436">
        <w:rPr>
          <w:lang w:val="en-GB"/>
        </w:rPr>
        <w:t xml:space="preserve"> of the population (three million people) is at risk of poverty or social exclusion</w:t>
      </w:r>
      <w:r w:rsidR="000E4DBF" w:rsidRPr="00BD3436">
        <w:rPr>
          <w:lang w:val="en-GB"/>
        </w:rPr>
        <w:t xml:space="preserve">, according to the </w:t>
      </w:r>
      <w:r w:rsidR="00AC1E31" w:rsidRPr="00BD3436">
        <w:rPr>
          <w:lang w:val="en-GB"/>
        </w:rPr>
        <w:t>“Second national report on social inclusion</w:t>
      </w:r>
      <w:r w:rsidR="00B05426" w:rsidRPr="00BD3436">
        <w:rPr>
          <w:lang w:val="en-GB"/>
        </w:rPr>
        <w:t xml:space="preserve"> and poverty reduction, 2011-2014”</w:t>
      </w:r>
      <w:r w:rsidRPr="00BD3436">
        <w:rPr>
          <w:lang w:val="en-GB"/>
        </w:rPr>
        <w:t xml:space="preserve">. The </w:t>
      </w:r>
      <w:r w:rsidRPr="00BD3436">
        <w:rPr>
          <w:lang w:val="en-GB"/>
        </w:rPr>
        <w:lastRenderedPageBreak/>
        <w:t>unemployment rate was at a record high of 24</w:t>
      </w:r>
      <w:r w:rsidR="0031025A" w:rsidRPr="00BD3436">
        <w:rPr>
          <w:lang w:val="en-GB"/>
        </w:rPr>
        <w:t xml:space="preserve"> per cent</w:t>
      </w:r>
      <w:r w:rsidRPr="00BD3436">
        <w:rPr>
          <w:lang w:val="en-GB"/>
        </w:rPr>
        <w:t xml:space="preserve"> in October 2011 and ebbed to around 20</w:t>
      </w:r>
      <w:r w:rsidR="0031025A" w:rsidRPr="00BD3436">
        <w:rPr>
          <w:lang w:val="en-GB"/>
        </w:rPr>
        <w:t xml:space="preserve"> per cent </w:t>
      </w:r>
      <w:r w:rsidRPr="00BD3436">
        <w:rPr>
          <w:lang w:val="en-GB"/>
        </w:rPr>
        <w:t>in mid-2014</w:t>
      </w:r>
      <w:r w:rsidR="00E91472" w:rsidRPr="00BD3436">
        <w:rPr>
          <w:lang w:val="en-GB"/>
        </w:rPr>
        <w:t>.</w:t>
      </w:r>
      <w:r w:rsidR="00070305" w:rsidRPr="00BD3436">
        <w:rPr>
          <w:lang w:val="en-GB"/>
        </w:rPr>
        <w:t xml:space="preserve"> The unemployment rates </w:t>
      </w:r>
      <w:r w:rsidR="00266266" w:rsidRPr="00BD3436">
        <w:rPr>
          <w:lang w:val="en-GB"/>
        </w:rPr>
        <w:t>among</w:t>
      </w:r>
      <w:r w:rsidR="00070305" w:rsidRPr="00BD3436">
        <w:rPr>
          <w:lang w:val="en-GB"/>
        </w:rPr>
        <w:t xml:space="preserve"> women and youth have been persistently high, </w:t>
      </w:r>
      <w:r w:rsidR="00535839" w:rsidRPr="00BD3436">
        <w:rPr>
          <w:lang w:val="en-GB"/>
        </w:rPr>
        <w:t>19.6</w:t>
      </w:r>
      <w:r w:rsidR="0031025A" w:rsidRPr="00BD3436">
        <w:rPr>
          <w:lang w:val="en-GB"/>
        </w:rPr>
        <w:t xml:space="preserve"> per cent</w:t>
      </w:r>
      <w:r w:rsidR="009F1A62" w:rsidRPr="00BD3436">
        <w:rPr>
          <w:lang w:val="en-GB"/>
        </w:rPr>
        <w:t xml:space="preserve"> </w:t>
      </w:r>
      <w:r w:rsidR="00535839" w:rsidRPr="00BD3436">
        <w:rPr>
          <w:lang w:val="en-GB"/>
        </w:rPr>
        <w:t xml:space="preserve">and </w:t>
      </w:r>
      <w:r w:rsidR="00E91472" w:rsidRPr="00BD3436">
        <w:rPr>
          <w:lang w:val="en-GB"/>
        </w:rPr>
        <w:t>47.1</w:t>
      </w:r>
      <w:r w:rsidR="0031025A" w:rsidRPr="00BD3436">
        <w:rPr>
          <w:lang w:val="en-GB"/>
        </w:rPr>
        <w:t xml:space="preserve"> per cent, </w:t>
      </w:r>
      <w:r w:rsidR="00535839" w:rsidRPr="00BD3436">
        <w:rPr>
          <w:lang w:val="en-GB"/>
        </w:rPr>
        <w:t>respectively</w:t>
      </w:r>
      <w:r w:rsidR="0000091C" w:rsidRPr="00BD3436">
        <w:rPr>
          <w:lang w:val="en-GB"/>
        </w:rPr>
        <w:t xml:space="preserve"> according to the Statistical Office</w:t>
      </w:r>
      <w:r w:rsidR="00535839" w:rsidRPr="00BD3436">
        <w:rPr>
          <w:lang w:val="en-GB"/>
        </w:rPr>
        <w:t xml:space="preserve">. </w:t>
      </w:r>
      <w:r w:rsidR="005D53F4" w:rsidRPr="00BD3436">
        <w:rPr>
          <w:lang w:val="en-GB"/>
        </w:rPr>
        <w:t xml:space="preserve">The </w:t>
      </w:r>
      <w:r w:rsidR="00070305" w:rsidRPr="00BD3436">
        <w:rPr>
          <w:lang w:val="en-GB"/>
        </w:rPr>
        <w:t xml:space="preserve">restructuring of 166 state-owned enterprises and </w:t>
      </w:r>
      <w:r w:rsidR="00F05E6B" w:rsidRPr="00BD3436">
        <w:rPr>
          <w:lang w:val="en-GB"/>
        </w:rPr>
        <w:t xml:space="preserve">the </w:t>
      </w:r>
      <w:r w:rsidR="00070305" w:rsidRPr="00BD3436">
        <w:rPr>
          <w:lang w:val="en-GB"/>
        </w:rPr>
        <w:t>announced la</w:t>
      </w:r>
      <w:r w:rsidR="00F05E6B" w:rsidRPr="00BD3436">
        <w:rPr>
          <w:lang w:val="en-GB"/>
        </w:rPr>
        <w:t>y</w:t>
      </w:r>
      <w:r w:rsidR="00070305" w:rsidRPr="00BD3436">
        <w:rPr>
          <w:lang w:val="en-GB"/>
        </w:rPr>
        <w:t xml:space="preserve">off of </w:t>
      </w:r>
      <w:r w:rsidR="00F05E6B" w:rsidRPr="00BD3436">
        <w:rPr>
          <w:lang w:val="en-GB"/>
        </w:rPr>
        <w:t xml:space="preserve">around 16,000 </w:t>
      </w:r>
      <w:r w:rsidR="00070305" w:rsidRPr="00BD3436">
        <w:rPr>
          <w:lang w:val="en-GB"/>
        </w:rPr>
        <w:t>redundant workers from public administration</w:t>
      </w:r>
      <w:r w:rsidR="00BD3436">
        <w:rPr>
          <w:lang w:val="en-GB"/>
        </w:rPr>
        <w:t xml:space="preserve"> </w:t>
      </w:r>
      <w:r w:rsidR="00DC25F2" w:rsidRPr="00BD3436">
        <w:rPr>
          <w:lang w:val="en-GB"/>
        </w:rPr>
        <w:t xml:space="preserve">will exacerbate the situation. </w:t>
      </w:r>
      <w:r w:rsidR="004B5803" w:rsidRPr="00BD3436">
        <w:rPr>
          <w:lang w:val="en-GB"/>
        </w:rPr>
        <w:t xml:space="preserve"> </w:t>
      </w:r>
    </w:p>
    <w:p w14:paraId="6DCAB324" w14:textId="2C4EA2BB" w:rsidR="00717C47" w:rsidRPr="00BD3436" w:rsidRDefault="0078589B"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Gender inequality is pervasive despite a legal framework that protects women’s rights. </w:t>
      </w:r>
      <w:r w:rsidR="00E51716" w:rsidRPr="00BD3436">
        <w:rPr>
          <w:lang w:val="en-GB"/>
        </w:rPr>
        <w:t>Violence against women and girls is widespread. Women’s participation in economic activities and decision</w:t>
      </w:r>
      <w:r w:rsidR="0031025A" w:rsidRPr="00BD3436">
        <w:rPr>
          <w:lang w:val="en-GB"/>
        </w:rPr>
        <w:t>-</w:t>
      </w:r>
      <w:r w:rsidR="00E51716" w:rsidRPr="00BD3436">
        <w:rPr>
          <w:lang w:val="en-GB"/>
        </w:rPr>
        <w:t xml:space="preserve">making is low. </w:t>
      </w:r>
      <w:r w:rsidR="00DC25F2" w:rsidRPr="00BD3436">
        <w:rPr>
          <w:bCs/>
          <w:lang w:val="en-GB"/>
        </w:rPr>
        <w:t>W</w:t>
      </w:r>
      <w:r w:rsidR="004B5803" w:rsidRPr="00BD3436">
        <w:rPr>
          <w:bCs/>
          <w:lang w:val="en-GB"/>
        </w:rPr>
        <w:t xml:space="preserve">omen and girls in rural areas, Roma, the </w:t>
      </w:r>
      <w:r w:rsidR="00AD3934" w:rsidRPr="00BD3436">
        <w:rPr>
          <w:bCs/>
          <w:lang w:val="en-GB"/>
        </w:rPr>
        <w:t xml:space="preserve">long-term </w:t>
      </w:r>
      <w:r w:rsidR="004B5803" w:rsidRPr="00BD3436">
        <w:rPr>
          <w:bCs/>
          <w:lang w:val="en-GB"/>
        </w:rPr>
        <w:t>unemployed</w:t>
      </w:r>
      <w:r w:rsidR="00AD3934" w:rsidRPr="00BD3436">
        <w:rPr>
          <w:bCs/>
          <w:lang w:val="en-GB"/>
        </w:rPr>
        <w:t xml:space="preserve"> and</w:t>
      </w:r>
      <w:r w:rsidR="004B5803" w:rsidRPr="00BD3436">
        <w:rPr>
          <w:bCs/>
          <w:lang w:val="en-GB"/>
        </w:rPr>
        <w:t xml:space="preserve"> pe</w:t>
      </w:r>
      <w:r w:rsidR="0031025A" w:rsidRPr="00BD3436">
        <w:rPr>
          <w:bCs/>
          <w:lang w:val="en-GB"/>
        </w:rPr>
        <w:t>rsons</w:t>
      </w:r>
      <w:r w:rsidR="004B5803" w:rsidRPr="00BD3436">
        <w:rPr>
          <w:bCs/>
          <w:lang w:val="en-GB"/>
        </w:rPr>
        <w:t xml:space="preserve"> with disabilit</w:t>
      </w:r>
      <w:r w:rsidR="0031025A" w:rsidRPr="00BD3436">
        <w:rPr>
          <w:bCs/>
          <w:lang w:val="en-GB"/>
        </w:rPr>
        <w:t>ies</w:t>
      </w:r>
      <w:r w:rsidR="00DC25F2" w:rsidRPr="00BD3436">
        <w:rPr>
          <w:bCs/>
          <w:lang w:val="en-GB"/>
        </w:rPr>
        <w:t xml:space="preserve"> </w:t>
      </w:r>
      <w:r w:rsidR="00675791" w:rsidRPr="00BD3436">
        <w:rPr>
          <w:bCs/>
          <w:lang w:val="en-GB"/>
        </w:rPr>
        <w:t>are particularly</w:t>
      </w:r>
      <w:r w:rsidR="00DC25F2" w:rsidRPr="00BD3436">
        <w:rPr>
          <w:bCs/>
          <w:lang w:val="en-GB"/>
        </w:rPr>
        <w:t xml:space="preserve"> </w:t>
      </w:r>
      <w:r w:rsidR="00675791" w:rsidRPr="00BD3436">
        <w:rPr>
          <w:bCs/>
          <w:lang w:val="en-GB"/>
        </w:rPr>
        <w:t>vulnerable</w:t>
      </w:r>
      <w:r w:rsidR="004B5803" w:rsidRPr="00BD3436">
        <w:rPr>
          <w:bCs/>
          <w:lang w:val="en-GB"/>
        </w:rPr>
        <w:t>.</w:t>
      </w:r>
      <w:r w:rsidR="004B5803" w:rsidRPr="00BD3436">
        <w:rPr>
          <w:lang w:val="en-GB"/>
        </w:rPr>
        <w:t xml:space="preserve"> Roma and p</w:t>
      </w:r>
      <w:r w:rsidR="004B5803" w:rsidRPr="00BD3436">
        <w:rPr>
          <w:bCs/>
          <w:lang w:val="en-GB"/>
        </w:rPr>
        <w:t>ersons with disabilities often f</w:t>
      </w:r>
      <w:r w:rsidR="004B5803" w:rsidRPr="00BD3436">
        <w:rPr>
          <w:lang w:val="en-GB"/>
        </w:rPr>
        <w:t>ace stigma and discrimination and suffer from negative perceptions</w:t>
      </w:r>
      <w:r w:rsidR="00111874" w:rsidRPr="00BD3436">
        <w:rPr>
          <w:lang w:val="en-GB"/>
        </w:rPr>
        <w:t xml:space="preserve"> and</w:t>
      </w:r>
      <w:r w:rsidR="004B5803" w:rsidRPr="00BD3436">
        <w:rPr>
          <w:lang w:val="en-GB"/>
        </w:rPr>
        <w:t xml:space="preserve"> lack of legal and appropriate social protection. </w:t>
      </w:r>
      <w:r w:rsidR="004B5803" w:rsidRPr="00BD3436">
        <w:rPr>
          <w:bCs/>
          <w:lang w:val="en-GB"/>
        </w:rPr>
        <w:t xml:space="preserve">Young people </w:t>
      </w:r>
      <w:r w:rsidR="004B5803" w:rsidRPr="00BD3436">
        <w:rPr>
          <w:lang w:val="en-GB"/>
        </w:rPr>
        <w:t xml:space="preserve">often </w:t>
      </w:r>
      <w:r w:rsidR="0031025A" w:rsidRPr="00BD3436">
        <w:rPr>
          <w:lang w:val="en-GB"/>
        </w:rPr>
        <w:t xml:space="preserve">have no voice </w:t>
      </w:r>
      <w:r w:rsidR="004B5803" w:rsidRPr="00BD3436">
        <w:rPr>
          <w:lang w:val="en-GB"/>
        </w:rPr>
        <w:t>in decision-making.</w:t>
      </w:r>
    </w:p>
    <w:p w14:paraId="44794ED5" w14:textId="63C6FD64" w:rsidR="00717C47" w:rsidRPr="00BD3436" w:rsidRDefault="0031025A"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i/>
          <w:lang w:val="en-GB"/>
        </w:rPr>
        <w:t>R</w:t>
      </w:r>
      <w:r w:rsidR="00333D04" w:rsidRPr="00BD3436">
        <w:rPr>
          <w:i/>
          <w:lang w:val="en-GB"/>
        </w:rPr>
        <w:t xml:space="preserve">egional </w:t>
      </w:r>
      <w:r w:rsidR="00F806A0" w:rsidRPr="00BD3436">
        <w:rPr>
          <w:i/>
          <w:lang w:val="en-GB"/>
        </w:rPr>
        <w:t>disparities</w:t>
      </w:r>
      <w:r w:rsidR="00F806A0" w:rsidRPr="00BD3436">
        <w:rPr>
          <w:lang w:val="en-GB"/>
        </w:rPr>
        <w:t xml:space="preserve"> are among the highest in Europe</w:t>
      </w:r>
      <w:r w:rsidRPr="00BD3436">
        <w:rPr>
          <w:lang w:val="en-GB"/>
        </w:rPr>
        <w:t xml:space="preserve">; there is a </w:t>
      </w:r>
      <w:r w:rsidR="00E00186" w:rsidRPr="00BD3436">
        <w:rPr>
          <w:lang w:val="en-GB"/>
        </w:rPr>
        <w:t xml:space="preserve">1:7 </w:t>
      </w:r>
      <w:r w:rsidRPr="00BD3436">
        <w:rPr>
          <w:lang w:val="en-GB"/>
        </w:rPr>
        <w:t xml:space="preserve">ratio </w:t>
      </w:r>
      <w:r w:rsidR="00E00186" w:rsidRPr="00BD3436">
        <w:rPr>
          <w:lang w:val="en-GB"/>
        </w:rPr>
        <w:t>between the most developed and most undeveloped districts and 1:15 between municipalities</w:t>
      </w:r>
      <w:r w:rsidR="0000091C" w:rsidRPr="00BD3436">
        <w:rPr>
          <w:lang w:val="en-GB"/>
        </w:rPr>
        <w:t>, according to the national strategy for regional development, 2007-2012</w:t>
      </w:r>
      <w:r w:rsidR="00E00186" w:rsidRPr="00BD3436">
        <w:rPr>
          <w:lang w:val="en-GB"/>
        </w:rPr>
        <w:t xml:space="preserve">. </w:t>
      </w:r>
      <w:r w:rsidR="00F806A0" w:rsidRPr="00BD3436">
        <w:rPr>
          <w:lang w:val="en-GB"/>
        </w:rPr>
        <w:t>Out of 145 municipalities and cities, 46 are extremely underdeveloped</w:t>
      </w:r>
      <w:r w:rsidRPr="00BD3436">
        <w:rPr>
          <w:lang w:val="en-GB"/>
        </w:rPr>
        <w:t>,</w:t>
      </w:r>
      <w:r w:rsidR="00393B05" w:rsidRPr="00BD3436">
        <w:rPr>
          <w:lang w:val="en-GB"/>
        </w:rPr>
        <w:t xml:space="preserve"> </w:t>
      </w:r>
      <w:r w:rsidRPr="00BD3436">
        <w:rPr>
          <w:lang w:val="en-GB"/>
        </w:rPr>
        <w:t xml:space="preserve">with </w:t>
      </w:r>
      <w:r w:rsidR="00393B05" w:rsidRPr="00BD3436">
        <w:rPr>
          <w:lang w:val="en-GB"/>
        </w:rPr>
        <w:t xml:space="preserve">GDP </w:t>
      </w:r>
      <w:r w:rsidRPr="00BD3436">
        <w:rPr>
          <w:lang w:val="en-GB"/>
        </w:rPr>
        <w:t xml:space="preserve">at </w:t>
      </w:r>
      <w:r w:rsidR="00393B05" w:rsidRPr="00BD3436">
        <w:rPr>
          <w:lang w:val="en-GB"/>
        </w:rPr>
        <w:t>less than 50</w:t>
      </w:r>
      <w:r w:rsidRPr="00BD3436">
        <w:rPr>
          <w:lang w:val="en-GB"/>
        </w:rPr>
        <w:t xml:space="preserve"> per cent</w:t>
      </w:r>
      <w:r w:rsidR="00393B05" w:rsidRPr="00BD3436">
        <w:rPr>
          <w:lang w:val="en-GB"/>
        </w:rPr>
        <w:t xml:space="preserve"> the national average </w:t>
      </w:r>
      <w:r w:rsidR="008C2FD9" w:rsidRPr="00BD3436">
        <w:rPr>
          <w:lang w:val="en-GB"/>
        </w:rPr>
        <w:t>or</w:t>
      </w:r>
      <w:r w:rsidR="00393B05" w:rsidRPr="00BD3436">
        <w:rPr>
          <w:lang w:val="en-GB"/>
        </w:rPr>
        <w:t xml:space="preserve"> </w:t>
      </w:r>
      <w:r w:rsidRPr="00BD3436">
        <w:rPr>
          <w:lang w:val="en-GB"/>
        </w:rPr>
        <w:t xml:space="preserve">with </w:t>
      </w:r>
      <w:r w:rsidR="00393B05" w:rsidRPr="00BD3436">
        <w:rPr>
          <w:lang w:val="en-GB"/>
        </w:rPr>
        <w:t xml:space="preserve">severe demographic </w:t>
      </w:r>
      <w:r w:rsidR="008C2FD9" w:rsidRPr="00BD3436">
        <w:rPr>
          <w:lang w:val="en-GB"/>
        </w:rPr>
        <w:t>constrains</w:t>
      </w:r>
      <w:r w:rsidR="002A7036" w:rsidRPr="00BD3436">
        <w:rPr>
          <w:lang w:val="en-GB"/>
        </w:rPr>
        <w:t>, as reported in the “S</w:t>
      </w:r>
      <w:r w:rsidR="0000091C" w:rsidRPr="00BD3436">
        <w:rPr>
          <w:lang w:val="en-GB"/>
        </w:rPr>
        <w:t xml:space="preserve">econd </w:t>
      </w:r>
      <w:r w:rsidR="002A7036" w:rsidRPr="00BD3436">
        <w:rPr>
          <w:lang w:val="en-GB"/>
        </w:rPr>
        <w:t>n</w:t>
      </w:r>
      <w:r w:rsidR="0000091C" w:rsidRPr="00BD3436">
        <w:rPr>
          <w:lang w:val="en-GB"/>
        </w:rPr>
        <w:t>ational</w:t>
      </w:r>
      <w:r w:rsidR="002A7036" w:rsidRPr="00BD3436">
        <w:rPr>
          <w:lang w:val="en-GB"/>
        </w:rPr>
        <w:t xml:space="preserve"> report on social i</w:t>
      </w:r>
      <w:r w:rsidR="0000091C" w:rsidRPr="00BD3436">
        <w:rPr>
          <w:lang w:val="en-GB"/>
        </w:rPr>
        <w:t>nclusion and poverty reduction, 2011-2014</w:t>
      </w:r>
      <w:r w:rsidR="002A7036" w:rsidRPr="00BD3436">
        <w:rPr>
          <w:lang w:val="en-GB"/>
        </w:rPr>
        <w:t>”</w:t>
      </w:r>
      <w:r w:rsidR="00F806A0" w:rsidRPr="00BD3436">
        <w:rPr>
          <w:lang w:val="en-GB"/>
        </w:rPr>
        <w:t>. The main problems of regional development include unemployment</w:t>
      </w:r>
      <w:r w:rsidR="00B05426" w:rsidRPr="00BD3436">
        <w:rPr>
          <w:lang w:val="en-GB"/>
        </w:rPr>
        <w:t xml:space="preserve">, </w:t>
      </w:r>
      <w:r w:rsidR="00F806A0" w:rsidRPr="00BD3436">
        <w:rPr>
          <w:lang w:val="en-GB"/>
        </w:rPr>
        <w:t xml:space="preserve">social exclusion, </w:t>
      </w:r>
      <w:r w:rsidR="00B05426" w:rsidRPr="00BD3436">
        <w:rPr>
          <w:lang w:val="en-GB"/>
        </w:rPr>
        <w:t>declining rural population</w:t>
      </w:r>
      <w:r w:rsidR="00F806A0" w:rsidRPr="00BD3436">
        <w:rPr>
          <w:lang w:val="en-GB"/>
        </w:rPr>
        <w:t xml:space="preserve">, insufficient economic competitiveness and infrastructure, </w:t>
      </w:r>
      <w:r w:rsidRPr="00BD3436">
        <w:rPr>
          <w:lang w:val="en-GB"/>
        </w:rPr>
        <w:t xml:space="preserve">and </w:t>
      </w:r>
      <w:r w:rsidR="00B05426" w:rsidRPr="00BD3436">
        <w:rPr>
          <w:lang w:val="en-GB"/>
        </w:rPr>
        <w:t xml:space="preserve">weak </w:t>
      </w:r>
      <w:r w:rsidR="00F806A0" w:rsidRPr="00BD3436">
        <w:rPr>
          <w:lang w:val="en-GB"/>
        </w:rPr>
        <w:t>administrative capacity for programme and project implementation. In addition, there is no stable or predictable fiscal relation between the national level and local governments.</w:t>
      </w:r>
    </w:p>
    <w:p w14:paraId="7C900F60" w14:textId="26930F85" w:rsidR="00664056" w:rsidRPr="00BD3436" w:rsidRDefault="00827C91"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While t</w:t>
      </w:r>
      <w:r w:rsidR="00070305" w:rsidRPr="00BD3436">
        <w:rPr>
          <w:lang w:val="en-GB"/>
        </w:rPr>
        <w:t xml:space="preserve">he strategic policy </w:t>
      </w:r>
      <w:r w:rsidR="00E054C9" w:rsidRPr="00BD3436">
        <w:rPr>
          <w:lang w:val="en-GB"/>
        </w:rPr>
        <w:t xml:space="preserve">framework </w:t>
      </w:r>
      <w:r w:rsidR="00070305" w:rsidRPr="00BD3436">
        <w:rPr>
          <w:lang w:val="en-GB"/>
        </w:rPr>
        <w:t xml:space="preserve">to </w:t>
      </w:r>
      <w:r w:rsidR="00E054C9" w:rsidRPr="00BD3436">
        <w:rPr>
          <w:lang w:val="en-GB"/>
        </w:rPr>
        <w:t>reform the</w:t>
      </w:r>
      <w:r w:rsidR="00F711A7" w:rsidRPr="00BD3436">
        <w:rPr>
          <w:lang w:val="en-GB"/>
        </w:rPr>
        <w:t xml:space="preserve"> </w:t>
      </w:r>
      <w:r w:rsidR="00070305" w:rsidRPr="00BD3436">
        <w:rPr>
          <w:i/>
          <w:lang w:val="en-GB"/>
        </w:rPr>
        <w:t>environmental sector</w:t>
      </w:r>
      <w:r w:rsidR="00070305" w:rsidRPr="00BD3436">
        <w:rPr>
          <w:lang w:val="en-GB"/>
        </w:rPr>
        <w:t xml:space="preserve"> in Serbia is largely in place, the shift from planning to action </w:t>
      </w:r>
      <w:r w:rsidRPr="00BD3436">
        <w:rPr>
          <w:lang w:val="en-GB"/>
        </w:rPr>
        <w:t xml:space="preserve">is yet to </w:t>
      </w:r>
      <w:r w:rsidR="00070305" w:rsidRPr="00BD3436">
        <w:rPr>
          <w:lang w:val="en-GB"/>
        </w:rPr>
        <w:t xml:space="preserve">be demonstrated. Inadequate and sectoral management of natural resources result in increasing pressures and overuse of resources, inappropriate agricultural and industrial practices, and the spread of invasive species. </w:t>
      </w:r>
      <w:r w:rsidR="00BC4E26" w:rsidRPr="00BD3436">
        <w:rPr>
          <w:lang w:val="en-GB"/>
        </w:rPr>
        <w:t>T</w:t>
      </w:r>
      <w:r w:rsidR="00B24FAC" w:rsidRPr="00BD3436">
        <w:rPr>
          <w:lang w:val="en-GB"/>
        </w:rPr>
        <w:t>he</w:t>
      </w:r>
      <w:r w:rsidR="00DF734D" w:rsidRPr="00BD3436">
        <w:rPr>
          <w:lang w:val="en-GB"/>
        </w:rPr>
        <w:t xml:space="preserve"> National Renewable Energy Action Plan </w:t>
      </w:r>
      <w:r w:rsidR="00B24FAC" w:rsidRPr="00BD3436">
        <w:rPr>
          <w:lang w:val="en-GB"/>
        </w:rPr>
        <w:t xml:space="preserve">aims </w:t>
      </w:r>
      <w:r w:rsidR="00DF734D" w:rsidRPr="00BD3436">
        <w:rPr>
          <w:lang w:val="en-GB"/>
        </w:rPr>
        <w:t xml:space="preserve">to increase the </w:t>
      </w:r>
      <w:r w:rsidR="00F711A7" w:rsidRPr="00BD3436">
        <w:rPr>
          <w:lang w:val="en-GB"/>
        </w:rPr>
        <w:t xml:space="preserve">share of </w:t>
      </w:r>
      <w:r w:rsidR="00DF734D" w:rsidRPr="00BD3436">
        <w:rPr>
          <w:lang w:val="en-GB"/>
        </w:rPr>
        <w:t>energy from renewables to 27</w:t>
      </w:r>
      <w:r w:rsidR="0031025A" w:rsidRPr="00BD3436">
        <w:rPr>
          <w:lang w:val="en-GB"/>
        </w:rPr>
        <w:t xml:space="preserve"> per cent</w:t>
      </w:r>
      <w:r w:rsidR="00DF734D" w:rsidRPr="00BD3436">
        <w:rPr>
          <w:lang w:val="en-GB"/>
        </w:rPr>
        <w:t xml:space="preserve"> by 2020</w:t>
      </w:r>
      <w:r w:rsidR="008910DA" w:rsidRPr="00BD3436">
        <w:rPr>
          <w:lang w:val="en-GB"/>
        </w:rPr>
        <w:t xml:space="preserve"> (t</w:t>
      </w:r>
      <w:r w:rsidR="00DF734D" w:rsidRPr="00BD3436">
        <w:rPr>
          <w:lang w:val="en-GB"/>
        </w:rPr>
        <w:t>he current share of renewable</w:t>
      </w:r>
      <w:r w:rsidR="008E1954" w:rsidRPr="00BD3436">
        <w:rPr>
          <w:lang w:val="en-GB"/>
        </w:rPr>
        <w:t xml:space="preserve"> energy</w:t>
      </w:r>
      <w:r w:rsidR="00DF734D" w:rsidRPr="00BD3436">
        <w:rPr>
          <w:lang w:val="en-GB"/>
        </w:rPr>
        <w:t xml:space="preserve"> is 19.1</w:t>
      </w:r>
      <w:r w:rsidR="0031025A" w:rsidRPr="00BD3436">
        <w:rPr>
          <w:lang w:val="en-GB"/>
        </w:rPr>
        <w:t xml:space="preserve"> per cent</w:t>
      </w:r>
      <w:r w:rsidR="00DF734D" w:rsidRPr="00BD3436">
        <w:rPr>
          <w:lang w:val="en-GB"/>
        </w:rPr>
        <w:t xml:space="preserve">, </w:t>
      </w:r>
      <w:r w:rsidR="00F711A7" w:rsidRPr="00BD3436">
        <w:rPr>
          <w:lang w:val="en-GB"/>
        </w:rPr>
        <w:t>without notable change since the a</w:t>
      </w:r>
      <w:r w:rsidR="00DF734D" w:rsidRPr="00BD3436">
        <w:rPr>
          <w:lang w:val="en-GB"/>
        </w:rPr>
        <w:t xml:space="preserve">doption of the </w:t>
      </w:r>
      <w:r w:rsidR="002A7036" w:rsidRPr="00BD3436">
        <w:rPr>
          <w:lang w:val="en-GB"/>
        </w:rPr>
        <w:t>e</w:t>
      </w:r>
      <w:r w:rsidR="00DF734D" w:rsidRPr="00BD3436">
        <w:rPr>
          <w:lang w:val="en-GB"/>
        </w:rPr>
        <w:t xml:space="preserve">nergy </w:t>
      </w:r>
      <w:r w:rsidR="002A7036" w:rsidRPr="00BD3436">
        <w:rPr>
          <w:lang w:val="en-GB"/>
        </w:rPr>
        <w:t>s</w:t>
      </w:r>
      <w:r w:rsidR="00DF734D" w:rsidRPr="00BD3436">
        <w:rPr>
          <w:lang w:val="en-GB"/>
        </w:rPr>
        <w:t>trategy in 2005</w:t>
      </w:r>
      <w:r w:rsidR="001C583C" w:rsidRPr="00BD3436">
        <w:rPr>
          <w:lang w:val="en-GB"/>
        </w:rPr>
        <w:t>)</w:t>
      </w:r>
      <w:r w:rsidR="002A7036" w:rsidRPr="00BD3436">
        <w:rPr>
          <w:lang w:val="en-GB"/>
        </w:rPr>
        <w:t>, as indicated in the “Progress report on implementation of the National Renewable Energy Action Plan” of December 2014</w:t>
      </w:r>
      <w:r w:rsidR="00DF734D" w:rsidRPr="00BD3436">
        <w:rPr>
          <w:lang w:val="en-GB"/>
        </w:rPr>
        <w:t>. To reach the 27</w:t>
      </w:r>
      <w:r w:rsidR="00CF34EC" w:rsidRPr="00BD3436">
        <w:rPr>
          <w:lang w:val="en-GB"/>
        </w:rPr>
        <w:t xml:space="preserve"> per cent</w:t>
      </w:r>
      <w:r w:rsidR="00DF734D" w:rsidRPr="00BD3436">
        <w:rPr>
          <w:lang w:val="en-GB"/>
        </w:rPr>
        <w:t xml:space="preserve"> target, Serbia will have to take action in </w:t>
      </w:r>
      <w:r w:rsidR="008C2FD9" w:rsidRPr="00BD3436">
        <w:rPr>
          <w:lang w:val="en-GB"/>
        </w:rPr>
        <w:t>removing</w:t>
      </w:r>
      <w:r w:rsidR="003210B5" w:rsidRPr="00BD3436">
        <w:rPr>
          <w:lang w:val="en-GB"/>
        </w:rPr>
        <w:t xml:space="preserve"> regulatory and non-regulatory barriers to the development of renewable energy</w:t>
      </w:r>
      <w:r w:rsidR="00DF734D" w:rsidRPr="00BD3436">
        <w:rPr>
          <w:lang w:val="en-GB"/>
        </w:rPr>
        <w:t xml:space="preserve">. </w:t>
      </w:r>
      <w:r w:rsidR="00070305" w:rsidRPr="00BD3436">
        <w:rPr>
          <w:lang w:val="en-GB"/>
        </w:rPr>
        <w:t>The country does not have a comprehensive strategy to combat climate change, and has not yet put forward a commitment for mitigation by 2020</w:t>
      </w:r>
      <w:r w:rsidR="0000091C" w:rsidRPr="00BD3436">
        <w:rPr>
          <w:lang w:val="en-GB"/>
        </w:rPr>
        <w:t xml:space="preserve">, as reported in the European Commission </w:t>
      </w:r>
      <w:r w:rsidR="0000091C" w:rsidRPr="00BD3436">
        <w:rPr>
          <w:i/>
          <w:lang w:val="en-GB"/>
        </w:rPr>
        <w:t>Serbia Progress Report 2014</w:t>
      </w:r>
      <w:r w:rsidR="00070305" w:rsidRPr="00BD3436">
        <w:rPr>
          <w:lang w:val="en-GB"/>
        </w:rPr>
        <w:t xml:space="preserve">. </w:t>
      </w:r>
      <w:r w:rsidR="00F806A0" w:rsidRPr="00BD3436">
        <w:rPr>
          <w:lang w:val="en-GB"/>
        </w:rPr>
        <w:t>Significant additional efforts are needed to further align with E</w:t>
      </w:r>
      <w:r w:rsidR="00CF34EC" w:rsidRPr="00BD3436">
        <w:rPr>
          <w:lang w:val="en-GB"/>
        </w:rPr>
        <w:t xml:space="preserve">uropean </w:t>
      </w:r>
      <w:r w:rsidR="00F806A0" w:rsidRPr="00BD3436">
        <w:rPr>
          <w:lang w:val="en-GB"/>
        </w:rPr>
        <w:t>U</w:t>
      </w:r>
      <w:r w:rsidR="00CF34EC" w:rsidRPr="00BD3436">
        <w:rPr>
          <w:lang w:val="en-GB"/>
        </w:rPr>
        <w:t>nion</w:t>
      </w:r>
      <w:r w:rsidR="00F806A0" w:rsidRPr="00BD3436">
        <w:rPr>
          <w:lang w:val="en-GB"/>
        </w:rPr>
        <w:t xml:space="preserve"> policies in areas such as water, waste management, air quality and nature protection. The sector </w:t>
      </w:r>
      <w:r w:rsidR="000F6831" w:rsidRPr="00BD3436">
        <w:rPr>
          <w:lang w:val="en-GB"/>
        </w:rPr>
        <w:t xml:space="preserve">needs </w:t>
      </w:r>
      <w:r w:rsidR="004A696C" w:rsidRPr="00BD3436">
        <w:rPr>
          <w:lang w:val="en-GB"/>
        </w:rPr>
        <w:t xml:space="preserve">clearer </w:t>
      </w:r>
      <w:r w:rsidR="00F806A0" w:rsidRPr="00BD3436">
        <w:rPr>
          <w:lang w:val="en-GB"/>
        </w:rPr>
        <w:t>delineation of competences between local and national levels a</w:t>
      </w:r>
      <w:r w:rsidR="000F6831" w:rsidRPr="00BD3436">
        <w:rPr>
          <w:lang w:val="en-GB"/>
        </w:rPr>
        <w:t>nd</w:t>
      </w:r>
      <w:r w:rsidR="004A696C" w:rsidRPr="00BD3436">
        <w:rPr>
          <w:lang w:val="en-GB"/>
        </w:rPr>
        <w:t xml:space="preserve"> an</w:t>
      </w:r>
      <w:r w:rsidR="000F6831" w:rsidRPr="00BD3436">
        <w:rPr>
          <w:lang w:val="en-GB"/>
        </w:rPr>
        <w:t xml:space="preserve"> </w:t>
      </w:r>
      <w:r w:rsidR="00F806A0" w:rsidRPr="00BD3436">
        <w:rPr>
          <w:lang w:val="en-GB"/>
        </w:rPr>
        <w:t>increas</w:t>
      </w:r>
      <w:r w:rsidR="000F6831" w:rsidRPr="00BD3436">
        <w:rPr>
          <w:lang w:val="en-GB"/>
        </w:rPr>
        <w:t xml:space="preserve">e in </w:t>
      </w:r>
      <w:r w:rsidR="00F806A0" w:rsidRPr="00BD3436">
        <w:rPr>
          <w:lang w:val="en-GB"/>
        </w:rPr>
        <w:t xml:space="preserve">local government resources. </w:t>
      </w:r>
    </w:p>
    <w:p w14:paraId="59B34526" w14:textId="0B95371D" w:rsidR="00717C47" w:rsidRPr="00BD3436" w:rsidRDefault="004B5803"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UNDP </w:t>
      </w:r>
      <w:r w:rsidR="00AF040F" w:rsidRPr="00BD3436">
        <w:rPr>
          <w:lang w:val="en-GB"/>
        </w:rPr>
        <w:t xml:space="preserve">has </w:t>
      </w:r>
      <w:r w:rsidRPr="00BD3436">
        <w:rPr>
          <w:lang w:val="en-GB"/>
        </w:rPr>
        <w:t xml:space="preserve">made a significant contribution towards </w:t>
      </w:r>
      <w:r w:rsidR="00CF34EC" w:rsidRPr="00BD3436">
        <w:rPr>
          <w:lang w:val="en-GB"/>
        </w:rPr>
        <w:t xml:space="preserve">the country’s </w:t>
      </w:r>
      <w:r w:rsidR="00D321DF" w:rsidRPr="00BD3436">
        <w:rPr>
          <w:lang w:val="en-GB"/>
        </w:rPr>
        <w:t>d</w:t>
      </w:r>
      <w:r w:rsidR="00945371" w:rsidRPr="00BD3436">
        <w:rPr>
          <w:lang w:val="en-GB"/>
        </w:rPr>
        <w:t xml:space="preserve">evelopment priorities by </w:t>
      </w:r>
      <w:r w:rsidR="00F806A0" w:rsidRPr="00BD3436">
        <w:rPr>
          <w:lang w:val="en-GB"/>
        </w:rPr>
        <w:t>support</w:t>
      </w:r>
      <w:r w:rsidR="00945371" w:rsidRPr="00BD3436">
        <w:rPr>
          <w:lang w:val="en-GB"/>
        </w:rPr>
        <w:t>ing</w:t>
      </w:r>
      <w:r w:rsidR="00F806A0" w:rsidRPr="00BD3436">
        <w:rPr>
          <w:lang w:val="en-GB"/>
        </w:rPr>
        <w:t xml:space="preserve"> increased social accountability in governance</w:t>
      </w:r>
      <w:r w:rsidR="00CF34EC" w:rsidRPr="00BD3436">
        <w:rPr>
          <w:lang w:val="en-GB"/>
        </w:rPr>
        <w:t>,</w:t>
      </w:r>
      <w:r w:rsidR="00F806A0" w:rsidRPr="00BD3436">
        <w:rPr>
          <w:lang w:val="en-GB"/>
        </w:rPr>
        <w:t xml:space="preserve"> including accountability of office holders to their electorate and in public finances. The National Assembly became more accountable through increased collaboration with independent oversight bodies, regular use of public hearings and mobile committee sessions, </w:t>
      </w:r>
      <w:r w:rsidR="00754CC6" w:rsidRPr="00BD3436">
        <w:rPr>
          <w:lang w:val="en-GB"/>
        </w:rPr>
        <w:t xml:space="preserve">and </w:t>
      </w:r>
      <w:r w:rsidR="00CF34EC" w:rsidRPr="00BD3436">
        <w:rPr>
          <w:lang w:val="en-GB"/>
        </w:rPr>
        <w:t xml:space="preserve">the </w:t>
      </w:r>
      <w:r w:rsidR="00F806A0" w:rsidRPr="00BD3436">
        <w:rPr>
          <w:lang w:val="en-GB"/>
        </w:rPr>
        <w:t xml:space="preserve">piloting </w:t>
      </w:r>
      <w:r w:rsidR="00CF34EC" w:rsidRPr="00BD3436">
        <w:rPr>
          <w:lang w:val="en-GB"/>
        </w:rPr>
        <w:t xml:space="preserve">of </w:t>
      </w:r>
      <w:r w:rsidR="00F806A0" w:rsidRPr="00BD3436">
        <w:rPr>
          <w:lang w:val="en-GB"/>
        </w:rPr>
        <w:t>web-based dialogue with citizens</w:t>
      </w:r>
      <w:r w:rsidR="00CF34EC" w:rsidRPr="00BD3436">
        <w:rPr>
          <w:lang w:val="en-GB"/>
        </w:rPr>
        <w:t>.</w:t>
      </w:r>
      <w:r w:rsidRPr="00BD3436">
        <w:rPr>
          <w:rStyle w:val="FootnoteReference"/>
          <w:lang w:val="en-GB"/>
        </w:rPr>
        <w:footnoteReference w:id="5"/>
      </w:r>
      <w:r w:rsidR="00266266" w:rsidRPr="00BD3436">
        <w:rPr>
          <w:lang w:val="en-GB"/>
        </w:rPr>
        <w:t xml:space="preserve"> </w:t>
      </w:r>
      <w:r w:rsidR="00CF34EC" w:rsidRPr="00BD3436">
        <w:rPr>
          <w:lang w:val="en-GB"/>
        </w:rPr>
        <w:t>Serbia has made s</w:t>
      </w:r>
      <w:r w:rsidR="00F806A0" w:rsidRPr="00BD3436">
        <w:rPr>
          <w:lang w:val="en-GB"/>
        </w:rPr>
        <w:t>ignificant progress in public procurement: over 2</w:t>
      </w:r>
      <w:r w:rsidR="00CF34EC" w:rsidRPr="00BD3436">
        <w:rPr>
          <w:lang w:val="en-GB"/>
        </w:rPr>
        <w:t>,</w:t>
      </w:r>
      <w:r w:rsidR="00F806A0" w:rsidRPr="00BD3436">
        <w:rPr>
          <w:lang w:val="en-GB"/>
        </w:rPr>
        <w:t xml:space="preserve">000 public procurement officers have been certified country-wide, the State Audit Institution has 60 certified auditors and all municipalities are trained in implementing audit findings. Competitive procurement processes constituted </w:t>
      </w:r>
      <w:r w:rsidR="00F806A0" w:rsidRPr="00BD3436">
        <w:rPr>
          <w:lang w:val="en-GB"/>
        </w:rPr>
        <w:lastRenderedPageBreak/>
        <w:t>86</w:t>
      </w:r>
      <w:r w:rsidR="00CF34EC" w:rsidRPr="00BD3436">
        <w:rPr>
          <w:lang w:val="en-GB"/>
        </w:rPr>
        <w:t xml:space="preserve"> per cent</w:t>
      </w:r>
      <w:r w:rsidR="00F806A0" w:rsidRPr="00BD3436">
        <w:rPr>
          <w:lang w:val="en-GB"/>
        </w:rPr>
        <w:t xml:space="preserve"> </w:t>
      </w:r>
      <w:r w:rsidR="00E264CE" w:rsidRPr="00BD3436">
        <w:t>of all public procurement undertakings</w:t>
      </w:r>
      <w:r w:rsidR="00E264CE" w:rsidRPr="00BD3436" w:rsidDel="00CF34EC">
        <w:rPr>
          <w:rStyle w:val="FootnoteReference"/>
          <w:lang w:val="en-GB"/>
        </w:rPr>
        <w:t xml:space="preserve"> </w:t>
      </w:r>
      <w:r w:rsidR="00E264CE" w:rsidRPr="00BD3436" w:rsidDel="00E264CE">
        <w:rPr>
          <w:rStyle w:val="CommentReference"/>
        </w:rPr>
        <w:t xml:space="preserve"> </w:t>
      </w:r>
      <w:r w:rsidR="00F806A0" w:rsidRPr="00BD3436">
        <w:rPr>
          <w:lang w:val="en-GB"/>
        </w:rPr>
        <w:t>in 2014</w:t>
      </w:r>
      <w:r w:rsidR="00CF34EC" w:rsidRPr="00BD3436">
        <w:rPr>
          <w:lang w:val="en-GB"/>
        </w:rPr>
        <w:t xml:space="preserve">, as </w:t>
      </w:r>
      <w:r w:rsidR="00F806A0" w:rsidRPr="00BD3436">
        <w:rPr>
          <w:lang w:val="en-GB"/>
        </w:rPr>
        <w:t>compared to 54</w:t>
      </w:r>
      <w:r w:rsidR="00CF34EC" w:rsidRPr="00BD3436">
        <w:rPr>
          <w:lang w:val="en-GB"/>
        </w:rPr>
        <w:t xml:space="preserve"> per cent</w:t>
      </w:r>
      <w:r w:rsidR="00F806A0" w:rsidRPr="00BD3436">
        <w:rPr>
          <w:lang w:val="en-GB"/>
        </w:rPr>
        <w:t xml:space="preserve"> in 2013</w:t>
      </w:r>
      <w:r w:rsidR="002A7036" w:rsidRPr="00BD3436">
        <w:rPr>
          <w:lang w:val="en-GB"/>
        </w:rPr>
        <w:t>, according to the annual report 2014 of the Public Procurement Office</w:t>
      </w:r>
      <w:r w:rsidR="00F806A0" w:rsidRPr="00BD3436">
        <w:rPr>
          <w:lang w:val="en-GB"/>
        </w:rPr>
        <w:t>. UNDP support to fighting violence against women in Serbia led to a national policy framework and the introduction of integrated service delivery to women survivors. The number of femicide cases in family and intimate partner relationships decreased (from 46 cases in 2013 to 27 in 2014</w:t>
      </w:r>
      <w:r w:rsidR="00CF34EC" w:rsidRPr="00BD3436">
        <w:rPr>
          <w:lang w:val="en-GB"/>
        </w:rPr>
        <w:t>, according to media reports</w:t>
      </w:r>
      <w:r w:rsidR="00F806A0" w:rsidRPr="00BD3436">
        <w:rPr>
          <w:lang w:val="en-GB"/>
        </w:rPr>
        <w:t>) and the number of criminal charges against perpetrators</w:t>
      </w:r>
      <w:r w:rsidR="00CF34EC" w:rsidRPr="00BD3436">
        <w:rPr>
          <w:lang w:val="en-GB"/>
        </w:rPr>
        <w:t>,</w:t>
      </w:r>
      <w:r w:rsidR="00F806A0" w:rsidRPr="00BD3436">
        <w:rPr>
          <w:lang w:val="en-GB"/>
        </w:rPr>
        <w:t xml:space="preserve"> initiated by centr</w:t>
      </w:r>
      <w:r w:rsidR="00CF34EC" w:rsidRPr="00BD3436">
        <w:rPr>
          <w:lang w:val="en-GB"/>
        </w:rPr>
        <w:t>e</w:t>
      </w:r>
      <w:r w:rsidR="00F806A0" w:rsidRPr="00BD3436">
        <w:rPr>
          <w:lang w:val="en-GB"/>
        </w:rPr>
        <w:t>s for social work</w:t>
      </w:r>
      <w:r w:rsidR="00CF34EC" w:rsidRPr="00BD3436">
        <w:rPr>
          <w:lang w:val="en-GB"/>
        </w:rPr>
        <w:t>,</w:t>
      </w:r>
      <w:r w:rsidR="00F806A0" w:rsidRPr="00BD3436">
        <w:rPr>
          <w:lang w:val="en-GB"/>
        </w:rPr>
        <w:t xml:space="preserve"> towards the public prosecutor</w:t>
      </w:r>
      <w:r w:rsidR="00CF34EC" w:rsidRPr="00BD3436">
        <w:rPr>
          <w:lang w:val="en-GB"/>
        </w:rPr>
        <w:t>’s</w:t>
      </w:r>
      <w:r w:rsidR="00F806A0" w:rsidRPr="00BD3436">
        <w:rPr>
          <w:lang w:val="en-GB"/>
        </w:rPr>
        <w:t xml:space="preserve"> office doubled</w:t>
      </w:r>
      <w:r w:rsidR="00226D59" w:rsidRPr="00BD3436">
        <w:rPr>
          <w:lang w:val="en-GB"/>
        </w:rPr>
        <w:t>, as indicated in the annual report 2014 of the Centre for Social Work</w:t>
      </w:r>
      <w:r w:rsidR="008A466A" w:rsidRPr="00BD3436">
        <w:rPr>
          <w:lang w:val="en-GB"/>
        </w:rPr>
        <w:t>.</w:t>
      </w:r>
      <w:r w:rsidRPr="00BD3436">
        <w:rPr>
          <w:lang w:val="en-GB"/>
        </w:rPr>
        <w:t xml:space="preserve"> </w:t>
      </w:r>
      <w:r w:rsidR="00F806A0" w:rsidRPr="00BD3436">
        <w:rPr>
          <w:lang w:val="en-GB"/>
        </w:rPr>
        <w:t>Through the Youth Employment Fund</w:t>
      </w:r>
      <w:r w:rsidR="00505011" w:rsidRPr="00BD3436">
        <w:rPr>
          <w:lang w:val="en-GB"/>
        </w:rPr>
        <w:t xml:space="preserve">, created jointly by the National Employment Service, </w:t>
      </w:r>
      <w:r w:rsidR="00CF34EC" w:rsidRPr="00BD3436">
        <w:rPr>
          <w:lang w:val="en-GB"/>
        </w:rPr>
        <w:t>the International Labour Organization (</w:t>
      </w:r>
      <w:r w:rsidR="00505011" w:rsidRPr="00BD3436">
        <w:rPr>
          <w:lang w:val="en-GB"/>
        </w:rPr>
        <w:t>ILO</w:t>
      </w:r>
      <w:r w:rsidR="00CF34EC" w:rsidRPr="00BD3436">
        <w:rPr>
          <w:lang w:val="en-GB"/>
        </w:rPr>
        <w:t>)</w:t>
      </w:r>
      <w:r w:rsidR="00505011" w:rsidRPr="00BD3436">
        <w:rPr>
          <w:lang w:val="en-GB"/>
        </w:rPr>
        <w:t xml:space="preserve"> and</w:t>
      </w:r>
      <w:r w:rsidR="00F806A0" w:rsidRPr="00BD3436">
        <w:rPr>
          <w:lang w:val="en-GB"/>
        </w:rPr>
        <w:t xml:space="preserve"> UNDP, 2</w:t>
      </w:r>
      <w:r w:rsidR="00276852" w:rsidRPr="00BD3436">
        <w:rPr>
          <w:lang w:val="en-GB"/>
        </w:rPr>
        <w:t>,</w:t>
      </w:r>
      <w:r w:rsidR="00F806A0" w:rsidRPr="00BD3436">
        <w:rPr>
          <w:lang w:val="en-GB"/>
        </w:rPr>
        <w:t xml:space="preserve">800 disadvantaged young people </w:t>
      </w:r>
      <w:r w:rsidR="00433522" w:rsidRPr="00BD3436">
        <w:rPr>
          <w:lang w:val="en-GB"/>
        </w:rPr>
        <w:t xml:space="preserve">found </w:t>
      </w:r>
      <w:r w:rsidR="00F806A0" w:rsidRPr="00BD3436">
        <w:rPr>
          <w:lang w:val="en-GB"/>
        </w:rPr>
        <w:t>employ</w:t>
      </w:r>
      <w:r w:rsidR="000C6D2F" w:rsidRPr="00BD3436">
        <w:rPr>
          <w:lang w:val="en-GB"/>
        </w:rPr>
        <w:t>ment</w:t>
      </w:r>
      <w:r w:rsidR="00F806A0" w:rsidRPr="00BD3436">
        <w:rPr>
          <w:lang w:val="en-GB"/>
        </w:rPr>
        <w:t xml:space="preserve">, </w:t>
      </w:r>
      <w:r w:rsidR="00433522" w:rsidRPr="00BD3436">
        <w:rPr>
          <w:lang w:val="en-GB"/>
        </w:rPr>
        <w:t xml:space="preserve">were </w:t>
      </w:r>
      <w:r w:rsidR="00F806A0" w:rsidRPr="00BD3436">
        <w:rPr>
          <w:lang w:val="en-GB"/>
        </w:rPr>
        <w:t xml:space="preserve">trained or received self-employment grants. </w:t>
      </w:r>
      <w:r w:rsidR="00C22309" w:rsidRPr="00BD3436">
        <w:rPr>
          <w:lang w:val="en-GB"/>
        </w:rPr>
        <w:t>T</w:t>
      </w:r>
      <w:r w:rsidR="00F806A0" w:rsidRPr="00BD3436">
        <w:rPr>
          <w:lang w:val="en-GB"/>
        </w:rPr>
        <w:t xml:space="preserve">he </w:t>
      </w:r>
      <w:r w:rsidR="006E6A49" w:rsidRPr="00BD3436">
        <w:rPr>
          <w:lang w:val="en-GB"/>
        </w:rPr>
        <w:t xml:space="preserve">May 2012 summative </w:t>
      </w:r>
      <w:r w:rsidR="00F806A0" w:rsidRPr="00BD3436">
        <w:rPr>
          <w:lang w:val="en-GB"/>
        </w:rPr>
        <w:t xml:space="preserve">evaluation </w:t>
      </w:r>
      <w:r w:rsidR="006E6A49" w:rsidRPr="00BD3436">
        <w:rPr>
          <w:lang w:val="en-GB"/>
        </w:rPr>
        <w:t xml:space="preserve">of the joint programme – Support to national efforts for the promotion of youth employment and management of migration – </w:t>
      </w:r>
      <w:r w:rsidR="00F806A0" w:rsidRPr="00BD3436">
        <w:rPr>
          <w:lang w:val="en-GB"/>
        </w:rPr>
        <w:t>showed that 25</w:t>
      </w:r>
      <w:r w:rsidR="00433522" w:rsidRPr="00BD3436">
        <w:rPr>
          <w:lang w:val="en-GB"/>
        </w:rPr>
        <w:t xml:space="preserve"> per cent</w:t>
      </w:r>
      <w:r w:rsidR="00F806A0" w:rsidRPr="00BD3436">
        <w:rPr>
          <w:lang w:val="en-GB"/>
        </w:rPr>
        <w:t xml:space="preserve"> of </w:t>
      </w:r>
      <w:r w:rsidR="00433522" w:rsidRPr="00BD3436">
        <w:rPr>
          <w:lang w:val="en-GB"/>
        </w:rPr>
        <w:t xml:space="preserve">persons trained </w:t>
      </w:r>
      <w:r w:rsidR="00F806A0" w:rsidRPr="00BD3436">
        <w:rPr>
          <w:lang w:val="en-GB"/>
        </w:rPr>
        <w:t xml:space="preserve">on-the-job </w:t>
      </w:r>
      <w:r w:rsidR="00C22309" w:rsidRPr="00BD3436">
        <w:rPr>
          <w:lang w:val="en-GB"/>
        </w:rPr>
        <w:t xml:space="preserve">found </w:t>
      </w:r>
      <w:r w:rsidR="00F806A0" w:rsidRPr="00BD3436">
        <w:rPr>
          <w:lang w:val="en-GB"/>
        </w:rPr>
        <w:t>employ</w:t>
      </w:r>
      <w:r w:rsidR="00C22309" w:rsidRPr="00BD3436">
        <w:rPr>
          <w:lang w:val="en-GB"/>
        </w:rPr>
        <w:t>ment</w:t>
      </w:r>
      <w:r w:rsidR="00F806A0" w:rsidRPr="00BD3436">
        <w:rPr>
          <w:lang w:val="en-GB"/>
        </w:rPr>
        <w:t xml:space="preserve"> and 74</w:t>
      </w:r>
      <w:r w:rsidR="00433522" w:rsidRPr="00BD3436">
        <w:rPr>
          <w:lang w:val="en-GB"/>
        </w:rPr>
        <w:t xml:space="preserve"> per cent</w:t>
      </w:r>
      <w:r w:rsidR="00F806A0" w:rsidRPr="00BD3436">
        <w:rPr>
          <w:lang w:val="en-GB"/>
        </w:rPr>
        <w:t xml:space="preserve"> sustain</w:t>
      </w:r>
      <w:r w:rsidR="00136060" w:rsidRPr="00BD3436">
        <w:rPr>
          <w:lang w:val="en-GB"/>
        </w:rPr>
        <w:t>ed</w:t>
      </w:r>
      <w:r w:rsidR="00F806A0" w:rsidRPr="00BD3436">
        <w:rPr>
          <w:lang w:val="en-GB"/>
        </w:rPr>
        <w:t xml:space="preserve"> </w:t>
      </w:r>
      <w:r w:rsidR="00276852" w:rsidRPr="00BD3436">
        <w:rPr>
          <w:lang w:val="en-GB"/>
        </w:rPr>
        <w:t xml:space="preserve">their </w:t>
      </w:r>
      <w:r w:rsidR="00F806A0" w:rsidRPr="00BD3436">
        <w:rPr>
          <w:lang w:val="en-GB"/>
        </w:rPr>
        <w:t>own businesses</w:t>
      </w:r>
      <w:r w:rsidR="00BD36AC" w:rsidRPr="00BD3436">
        <w:rPr>
          <w:lang w:val="en-GB"/>
        </w:rPr>
        <w:t>.</w:t>
      </w:r>
    </w:p>
    <w:p w14:paraId="78D68254" w14:textId="07F5A91B"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UNDP provided </w:t>
      </w:r>
      <w:r w:rsidR="00AA2114" w:rsidRPr="00BD3436">
        <w:rPr>
          <w:lang w:val="en-GB"/>
        </w:rPr>
        <w:t>tangible</w:t>
      </w:r>
      <w:r w:rsidRPr="00BD3436">
        <w:rPr>
          <w:lang w:val="en-GB"/>
        </w:rPr>
        <w:t xml:space="preserve"> support after the May 2014 floods, helping the </w:t>
      </w:r>
      <w:r w:rsidR="00433522" w:rsidRPr="00BD3436">
        <w:rPr>
          <w:lang w:val="en-GB"/>
        </w:rPr>
        <w:t>G</w:t>
      </w:r>
      <w:r w:rsidRPr="00BD3436">
        <w:rPr>
          <w:lang w:val="en-GB"/>
        </w:rPr>
        <w:t xml:space="preserve">overnment and local communities to recover and build back better. The immediate response was followed by an expanding package of expert, communication and coordination support at </w:t>
      </w:r>
      <w:r w:rsidR="00433522" w:rsidRPr="00BD3436">
        <w:rPr>
          <w:lang w:val="en-GB"/>
        </w:rPr>
        <w:t xml:space="preserve">the </w:t>
      </w:r>
      <w:r w:rsidRPr="00BD3436">
        <w:rPr>
          <w:lang w:val="en-GB"/>
        </w:rPr>
        <w:t xml:space="preserve">central level and by housing and infrastructure projects in over 38 municipalities. The ability to mobilize and respond fast, produce high quality results, and the continuous engagement with all partners have given UNDP a prominent role in </w:t>
      </w:r>
      <w:r w:rsidR="008A41D6" w:rsidRPr="00BD3436">
        <w:rPr>
          <w:lang w:val="en-GB"/>
        </w:rPr>
        <w:t xml:space="preserve">the disaster risk reduction (DRR) </w:t>
      </w:r>
      <w:r w:rsidR="00BD36AC" w:rsidRPr="00BD3436">
        <w:rPr>
          <w:lang w:val="en-GB"/>
        </w:rPr>
        <w:t>and resilience area</w:t>
      </w:r>
      <w:r w:rsidR="00A27E7C" w:rsidRPr="00BD3436">
        <w:rPr>
          <w:lang w:val="en-GB"/>
        </w:rPr>
        <w:t xml:space="preserve">, </w:t>
      </w:r>
      <w:r w:rsidR="008A41D6" w:rsidRPr="00BD3436">
        <w:rPr>
          <w:lang w:val="en-GB"/>
        </w:rPr>
        <w:t xml:space="preserve">In its work, </w:t>
      </w:r>
      <w:r w:rsidR="00D050C7" w:rsidRPr="00BD3436">
        <w:rPr>
          <w:lang w:val="en-GB"/>
        </w:rPr>
        <w:t xml:space="preserve">UNDP aims to be recognized as </w:t>
      </w:r>
      <w:r w:rsidR="00433522" w:rsidRPr="00BD3436">
        <w:rPr>
          <w:lang w:val="en-GB"/>
        </w:rPr>
        <w:t xml:space="preserve">an agenda-setter in </w:t>
      </w:r>
      <w:r w:rsidR="00D050C7" w:rsidRPr="00BD3436">
        <w:rPr>
          <w:lang w:val="en-GB"/>
        </w:rPr>
        <w:t xml:space="preserve">resilience and sustainable development, thus reaffirming its comparative advantage as the </w:t>
      </w:r>
      <w:r w:rsidR="008A41D6" w:rsidRPr="00BD3436">
        <w:rPr>
          <w:lang w:val="en-GB"/>
        </w:rPr>
        <w:t>main development partner</w:t>
      </w:r>
      <w:r w:rsidR="00E559EE" w:rsidRPr="00BD3436">
        <w:rPr>
          <w:lang w:val="en-GB"/>
        </w:rPr>
        <w:t xml:space="preserve"> in Serbia</w:t>
      </w:r>
      <w:r w:rsidR="004F74B1" w:rsidRPr="00BD3436">
        <w:rPr>
          <w:lang w:val="en-GB"/>
        </w:rPr>
        <w:t xml:space="preserve">. </w:t>
      </w:r>
      <w:r w:rsidR="00E559EE" w:rsidRPr="00BD3436">
        <w:rPr>
          <w:lang w:val="en-GB"/>
        </w:rPr>
        <w:t>UNDP</w:t>
      </w:r>
      <w:r w:rsidR="00776596" w:rsidRPr="00BD3436">
        <w:rPr>
          <w:lang w:val="en-GB"/>
        </w:rPr>
        <w:t xml:space="preserve"> </w:t>
      </w:r>
      <w:r w:rsidR="00E559EE" w:rsidRPr="00BD3436">
        <w:rPr>
          <w:lang w:val="en-GB"/>
        </w:rPr>
        <w:t xml:space="preserve">facilitates exposure </w:t>
      </w:r>
      <w:r w:rsidR="00895ED1" w:rsidRPr="00BD3436">
        <w:rPr>
          <w:lang w:val="en-GB"/>
        </w:rPr>
        <w:t>to new global priorities and provides</w:t>
      </w:r>
      <w:r w:rsidR="00D050C7" w:rsidRPr="00BD3436">
        <w:rPr>
          <w:lang w:val="en-GB"/>
        </w:rPr>
        <w:t xml:space="preserve"> the necessary tools </w:t>
      </w:r>
      <w:r w:rsidR="00433522" w:rsidRPr="00BD3436">
        <w:rPr>
          <w:lang w:val="en-GB"/>
        </w:rPr>
        <w:t xml:space="preserve">to </w:t>
      </w:r>
      <w:r w:rsidR="00D050C7" w:rsidRPr="00BD3436">
        <w:rPr>
          <w:lang w:val="en-GB"/>
        </w:rPr>
        <w:t>translat</w:t>
      </w:r>
      <w:r w:rsidR="00433522" w:rsidRPr="00BD3436">
        <w:rPr>
          <w:lang w:val="en-GB"/>
        </w:rPr>
        <w:t>e</w:t>
      </w:r>
      <w:r w:rsidR="00D050C7" w:rsidRPr="00BD3436">
        <w:rPr>
          <w:lang w:val="en-GB"/>
        </w:rPr>
        <w:t xml:space="preserve"> policies and strategies into practice</w:t>
      </w:r>
      <w:r w:rsidR="00717C47" w:rsidRPr="00BD3436">
        <w:rPr>
          <w:lang w:val="en-GB"/>
        </w:rPr>
        <w:t>.</w:t>
      </w:r>
    </w:p>
    <w:p w14:paraId="5852C660" w14:textId="77777777" w:rsidR="00717C47" w:rsidRPr="00BD3436" w:rsidRDefault="00717C47" w:rsidP="004303A7">
      <w:pPr>
        <w:pStyle w:val="Heading2"/>
        <w:spacing w:after="120"/>
        <w:ind w:left="1440" w:right="720" w:hanging="450"/>
        <w:jc w:val="both"/>
        <w:rPr>
          <w:rFonts w:ascii="Times New Roman" w:hAnsi="Times New Roman"/>
          <w:bCs/>
          <w:sz w:val="24"/>
          <w:szCs w:val="24"/>
          <w:lang w:val="en-GB"/>
        </w:rPr>
      </w:pPr>
      <w:r w:rsidRPr="00BD3436">
        <w:rPr>
          <w:rFonts w:ascii="Times New Roman" w:hAnsi="Times New Roman"/>
          <w:bCs/>
          <w:sz w:val="24"/>
          <w:szCs w:val="24"/>
          <w:lang w:val="en-GB"/>
        </w:rPr>
        <w:t xml:space="preserve">II. </w:t>
      </w:r>
      <w:r w:rsidRPr="00BD3436">
        <w:rPr>
          <w:rFonts w:ascii="Times New Roman" w:hAnsi="Times New Roman"/>
          <w:bCs/>
          <w:sz w:val="24"/>
          <w:szCs w:val="24"/>
          <w:lang w:val="en-GB"/>
        </w:rPr>
        <w:tab/>
        <w:t xml:space="preserve">Programme priorities and partnerships </w:t>
      </w:r>
    </w:p>
    <w:p w14:paraId="144D97CF" w14:textId="42A8241F"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UNDP work </w:t>
      </w:r>
      <w:r w:rsidR="007F7131" w:rsidRPr="00BD3436">
        <w:rPr>
          <w:lang w:val="en-GB"/>
        </w:rPr>
        <w:t>in 2016-2020 is guided by the National Priorities for International Assistance</w:t>
      </w:r>
      <w:r w:rsidR="00583B48" w:rsidRPr="00BD3436">
        <w:rPr>
          <w:lang w:val="en-GB"/>
        </w:rPr>
        <w:t>,</w:t>
      </w:r>
      <w:r w:rsidR="000C6D2F" w:rsidRPr="00BD3436">
        <w:rPr>
          <w:lang w:val="en-GB"/>
        </w:rPr>
        <w:t xml:space="preserve"> in</w:t>
      </w:r>
      <w:r w:rsidR="007F7131" w:rsidRPr="00BD3436">
        <w:rPr>
          <w:lang w:val="en-GB"/>
        </w:rPr>
        <w:t xml:space="preserve"> 2014-2017 (NAD) and build</w:t>
      </w:r>
      <w:r w:rsidR="00583B48" w:rsidRPr="00BD3436">
        <w:rPr>
          <w:lang w:val="en-GB"/>
        </w:rPr>
        <w:t>s</w:t>
      </w:r>
      <w:r w:rsidR="007F7131" w:rsidRPr="00BD3436">
        <w:rPr>
          <w:lang w:val="en-GB"/>
        </w:rPr>
        <w:t xml:space="preserve"> on </w:t>
      </w:r>
      <w:r w:rsidRPr="00BD3436">
        <w:rPr>
          <w:lang w:val="en-GB"/>
        </w:rPr>
        <w:t>resu</w:t>
      </w:r>
      <w:r w:rsidR="007F7131" w:rsidRPr="00BD3436">
        <w:rPr>
          <w:lang w:val="en-GB"/>
        </w:rPr>
        <w:t xml:space="preserve">lts </w:t>
      </w:r>
      <w:r w:rsidR="00896F19" w:rsidRPr="00BD3436">
        <w:rPr>
          <w:lang w:val="en-GB"/>
        </w:rPr>
        <w:t xml:space="preserve">achieved </w:t>
      </w:r>
      <w:r w:rsidR="007F7131" w:rsidRPr="00BD3436">
        <w:rPr>
          <w:lang w:val="en-GB"/>
        </w:rPr>
        <w:t>to date.</w:t>
      </w:r>
      <w:r w:rsidRPr="00BD3436">
        <w:rPr>
          <w:lang w:val="en-GB"/>
        </w:rPr>
        <w:t xml:space="preserve"> The focus of the new programme is on: (a) accountable and representative governance institutions serving people; (b) equal participation for women and lives free of violence; (c) inclusive and sustainable growth</w:t>
      </w:r>
      <w:r w:rsidR="00583B48" w:rsidRPr="00BD3436">
        <w:rPr>
          <w:lang w:val="en-GB"/>
        </w:rPr>
        <w:t>;</w:t>
      </w:r>
      <w:r w:rsidRPr="00BD3436">
        <w:rPr>
          <w:lang w:val="en-GB"/>
        </w:rPr>
        <w:t xml:space="preserve"> and (d) low-carbon and climate-resilient development. The overarching theory of change is that by 2020 people in Serbia will have better opportunities for political, economic, cultural and social participation and will live in communities that are more resilient to economic, environmental or other </w:t>
      </w:r>
      <w:r w:rsidR="00583B48" w:rsidRPr="00BD3436">
        <w:rPr>
          <w:lang w:val="en-GB"/>
        </w:rPr>
        <w:t>sources of stress</w:t>
      </w:r>
      <w:r w:rsidRPr="00BD3436">
        <w:rPr>
          <w:lang w:val="en-GB"/>
        </w:rPr>
        <w:t xml:space="preserve">. The programme will contribute directly to </w:t>
      </w:r>
      <w:r w:rsidR="00583B48" w:rsidRPr="00BD3436">
        <w:rPr>
          <w:lang w:val="en-GB"/>
        </w:rPr>
        <w:t>UNDP s</w:t>
      </w:r>
      <w:r w:rsidRPr="00BD3436">
        <w:rPr>
          <w:lang w:val="en-GB"/>
        </w:rPr>
        <w:t xml:space="preserve">trategic </w:t>
      </w:r>
      <w:r w:rsidR="00583B48" w:rsidRPr="00BD3436">
        <w:rPr>
          <w:lang w:val="en-GB"/>
        </w:rPr>
        <w:t>p</w:t>
      </w:r>
      <w:r w:rsidRPr="00BD3436">
        <w:rPr>
          <w:lang w:val="en-GB"/>
        </w:rPr>
        <w:t>lan</w:t>
      </w:r>
      <w:r w:rsidR="00583B48" w:rsidRPr="00BD3436">
        <w:rPr>
          <w:lang w:val="en-GB"/>
        </w:rPr>
        <w:t>, 2014-2017,</w:t>
      </w:r>
      <w:r w:rsidRPr="00BD3436">
        <w:rPr>
          <w:lang w:val="en-GB"/>
        </w:rPr>
        <w:t xml:space="preserve"> outcomes 1, 2, 4, and 5, and indirectly to outcomes 3 and 7.</w:t>
      </w:r>
    </w:p>
    <w:p w14:paraId="7FC59D43" w14:textId="1554A5B0"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UNDP will remain a strong supporter of accountability and transparency in governance institutions, in fulfilment of government</w:t>
      </w:r>
      <w:r w:rsidR="007F7131" w:rsidRPr="00BD3436">
        <w:rPr>
          <w:lang w:val="en-GB"/>
        </w:rPr>
        <w:t xml:space="preserve"> austerity measures and </w:t>
      </w:r>
      <w:r w:rsidRPr="00BD3436">
        <w:rPr>
          <w:lang w:val="en-GB"/>
        </w:rPr>
        <w:t xml:space="preserve">capacity requirements </w:t>
      </w:r>
      <w:r w:rsidR="004D5A0A" w:rsidRPr="00BD3436">
        <w:rPr>
          <w:lang w:val="en-GB"/>
        </w:rPr>
        <w:t xml:space="preserve">for </w:t>
      </w:r>
      <w:r w:rsidRPr="00BD3436">
        <w:rPr>
          <w:lang w:val="en-GB"/>
        </w:rPr>
        <w:t>E</w:t>
      </w:r>
      <w:r w:rsidR="004D5A0A" w:rsidRPr="00BD3436">
        <w:rPr>
          <w:lang w:val="en-GB"/>
        </w:rPr>
        <w:t xml:space="preserve">uropean </w:t>
      </w:r>
      <w:r w:rsidRPr="00BD3436">
        <w:rPr>
          <w:lang w:val="en-GB"/>
        </w:rPr>
        <w:t>U</w:t>
      </w:r>
      <w:r w:rsidR="004D5A0A" w:rsidRPr="00BD3436">
        <w:rPr>
          <w:lang w:val="en-GB"/>
        </w:rPr>
        <w:t>nion</w:t>
      </w:r>
      <w:r w:rsidRPr="00BD3436">
        <w:rPr>
          <w:lang w:val="en-GB"/>
        </w:rPr>
        <w:t xml:space="preserve"> accession</w:t>
      </w:r>
      <w:r w:rsidR="007F7131" w:rsidRPr="00BD3436">
        <w:rPr>
          <w:lang w:val="en-GB"/>
        </w:rPr>
        <w:t>.</w:t>
      </w:r>
      <w:r w:rsidRPr="00BD3436">
        <w:rPr>
          <w:lang w:val="en-GB"/>
        </w:rPr>
        <w:t xml:space="preserve"> </w:t>
      </w:r>
      <w:r w:rsidR="007F7131" w:rsidRPr="00BD3436">
        <w:rPr>
          <w:lang w:val="en-GB"/>
        </w:rPr>
        <w:t>Tailored development solutions will include</w:t>
      </w:r>
      <w:r w:rsidR="00EC61C8" w:rsidRPr="00BD3436">
        <w:rPr>
          <w:lang w:val="en-GB"/>
        </w:rPr>
        <w:t xml:space="preserve"> </w:t>
      </w:r>
      <w:r w:rsidR="007F7131" w:rsidRPr="00BD3436">
        <w:rPr>
          <w:lang w:val="en-GB"/>
        </w:rPr>
        <w:t>e</w:t>
      </w:r>
      <w:r w:rsidR="00EC61C8" w:rsidRPr="00BD3436">
        <w:rPr>
          <w:lang w:val="en-GB"/>
        </w:rPr>
        <w:t>xpe</w:t>
      </w:r>
      <w:r w:rsidR="00066591" w:rsidRPr="00BD3436">
        <w:rPr>
          <w:lang w:val="en-GB"/>
        </w:rPr>
        <w:t>r</w:t>
      </w:r>
      <w:r w:rsidR="00EC61C8" w:rsidRPr="00BD3436">
        <w:rPr>
          <w:lang w:val="en-GB"/>
        </w:rPr>
        <w:t>t support and transfer of knowledge and tools</w:t>
      </w:r>
      <w:r w:rsidR="004D5A0A" w:rsidRPr="00BD3436">
        <w:rPr>
          <w:lang w:val="en-GB"/>
        </w:rPr>
        <w:t>,</w:t>
      </w:r>
      <w:r w:rsidR="00EC61C8" w:rsidRPr="00BD3436">
        <w:rPr>
          <w:lang w:val="en-GB"/>
        </w:rPr>
        <w:t xml:space="preserve"> from neighbo</w:t>
      </w:r>
      <w:r w:rsidR="004D5A0A" w:rsidRPr="00BD3436">
        <w:rPr>
          <w:lang w:val="en-GB"/>
        </w:rPr>
        <w:t>u</w:t>
      </w:r>
      <w:r w:rsidR="00EC61C8" w:rsidRPr="00BD3436">
        <w:rPr>
          <w:lang w:val="en-GB"/>
        </w:rPr>
        <w:t>ring countries and/or E</w:t>
      </w:r>
      <w:r w:rsidR="004D5A0A" w:rsidRPr="00BD3436">
        <w:rPr>
          <w:lang w:val="en-GB"/>
        </w:rPr>
        <w:t xml:space="preserve">uropean </w:t>
      </w:r>
      <w:r w:rsidR="00EC61C8" w:rsidRPr="00BD3436">
        <w:rPr>
          <w:lang w:val="en-GB"/>
        </w:rPr>
        <w:t>U</w:t>
      </w:r>
      <w:r w:rsidR="004D5A0A" w:rsidRPr="00BD3436">
        <w:rPr>
          <w:lang w:val="en-GB"/>
        </w:rPr>
        <w:t>nion</w:t>
      </w:r>
      <w:r w:rsidR="00EC61C8" w:rsidRPr="00BD3436">
        <w:rPr>
          <w:lang w:val="en-GB"/>
        </w:rPr>
        <w:t xml:space="preserve"> member states</w:t>
      </w:r>
      <w:r w:rsidR="007F7131" w:rsidRPr="00BD3436">
        <w:rPr>
          <w:lang w:val="en-GB"/>
        </w:rPr>
        <w:t>,</w:t>
      </w:r>
      <w:r w:rsidR="00EC61C8" w:rsidRPr="00BD3436">
        <w:rPr>
          <w:lang w:val="en-GB"/>
        </w:rPr>
        <w:t xml:space="preserve"> planned for the </w:t>
      </w:r>
      <w:r w:rsidR="007C68D8" w:rsidRPr="00BD3436">
        <w:t>Ministry of Public Administration and Local Self</w:t>
      </w:r>
      <w:r w:rsidR="00C27087" w:rsidRPr="00BD3436">
        <w:t>-</w:t>
      </w:r>
      <w:r w:rsidR="007C68D8" w:rsidRPr="00BD3436">
        <w:t>Government</w:t>
      </w:r>
      <w:r w:rsidR="00EC61C8" w:rsidRPr="00BD3436">
        <w:rPr>
          <w:lang w:val="en-GB"/>
        </w:rPr>
        <w:t>, r</w:t>
      </w:r>
      <w:r w:rsidRPr="00BD3436">
        <w:rPr>
          <w:lang w:val="en-GB"/>
        </w:rPr>
        <w:t xml:space="preserve">elated secretariats, </w:t>
      </w:r>
      <w:r w:rsidR="00EC61C8" w:rsidRPr="00BD3436">
        <w:rPr>
          <w:lang w:val="en-GB"/>
        </w:rPr>
        <w:t>and other central and local institutions. T</w:t>
      </w:r>
      <w:r w:rsidRPr="00BD3436">
        <w:rPr>
          <w:lang w:val="en-GB"/>
        </w:rPr>
        <w:t xml:space="preserve">he office of the Prime </w:t>
      </w:r>
      <w:r w:rsidR="007F7131" w:rsidRPr="00BD3436">
        <w:rPr>
          <w:lang w:val="en-GB"/>
        </w:rPr>
        <w:t xml:space="preserve">Minister and </w:t>
      </w:r>
      <w:r w:rsidR="00EF3C46" w:rsidRPr="00BD3436">
        <w:rPr>
          <w:lang w:val="en-GB"/>
        </w:rPr>
        <w:t>the Serbia European Integration Office (</w:t>
      </w:r>
      <w:r w:rsidR="007F7131" w:rsidRPr="00BD3436">
        <w:rPr>
          <w:lang w:val="en-GB"/>
        </w:rPr>
        <w:t>SEIO</w:t>
      </w:r>
      <w:r w:rsidR="00EF3C46" w:rsidRPr="00BD3436">
        <w:rPr>
          <w:lang w:val="en-GB"/>
        </w:rPr>
        <w:t>)</w:t>
      </w:r>
      <w:r w:rsidR="007F7131" w:rsidRPr="00BD3436">
        <w:rPr>
          <w:lang w:val="en-GB"/>
        </w:rPr>
        <w:t xml:space="preserve"> will be important</w:t>
      </w:r>
      <w:r w:rsidRPr="00BD3436">
        <w:rPr>
          <w:lang w:val="en-GB"/>
        </w:rPr>
        <w:t xml:space="preserve"> partners in this area. UNDP will support the Ministry of Finance and other central and local institutions to further improve management of public funds</w:t>
      </w:r>
      <w:r w:rsidR="00EC61C8" w:rsidRPr="00BD3436">
        <w:rPr>
          <w:lang w:val="en-GB"/>
        </w:rPr>
        <w:t>, through capacity development for use of training platforms and new tools</w:t>
      </w:r>
      <w:r w:rsidRPr="00BD3436">
        <w:rPr>
          <w:lang w:val="en-GB"/>
        </w:rPr>
        <w:t>. The National Assembly and municipal legislatures are key partners in advancing social accountability and enhanced representation of elected officials</w:t>
      </w:r>
      <w:r w:rsidR="00EC61C8" w:rsidRPr="00BD3436">
        <w:rPr>
          <w:lang w:val="en-GB"/>
        </w:rPr>
        <w:t>; innovation and social media too</w:t>
      </w:r>
      <w:r w:rsidR="007F7131" w:rsidRPr="00BD3436">
        <w:rPr>
          <w:lang w:val="en-GB"/>
        </w:rPr>
        <w:t xml:space="preserve">ls and platforms will be applied </w:t>
      </w:r>
      <w:r w:rsidR="00EC61C8" w:rsidRPr="00BD3436">
        <w:rPr>
          <w:lang w:val="en-GB"/>
        </w:rPr>
        <w:t>to enhance transparency of institutions and dialogue with citizens</w:t>
      </w:r>
      <w:r w:rsidR="008A6517" w:rsidRPr="00BD3436">
        <w:rPr>
          <w:lang w:val="en-GB"/>
        </w:rPr>
        <w:t xml:space="preserve">. </w:t>
      </w:r>
      <w:r w:rsidR="001D4CEB" w:rsidRPr="00BD3436">
        <w:rPr>
          <w:lang w:val="en-GB"/>
        </w:rPr>
        <w:t>Fighting</w:t>
      </w:r>
      <w:r w:rsidRPr="00BD3436">
        <w:rPr>
          <w:lang w:val="en-GB"/>
        </w:rPr>
        <w:t xml:space="preserve"> gender</w:t>
      </w:r>
      <w:r w:rsidR="00602F19" w:rsidRPr="00BD3436">
        <w:rPr>
          <w:lang w:val="en-GB"/>
        </w:rPr>
        <w:t>-</w:t>
      </w:r>
      <w:r w:rsidRPr="00BD3436">
        <w:rPr>
          <w:lang w:val="en-GB"/>
        </w:rPr>
        <w:t xml:space="preserve">based violence and reducing gender equality disparities brings together a large number of institutions at </w:t>
      </w:r>
      <w:r w:rsidR="00602F19" w:rsidRPr="00BD3436">
        <w:rPr>
          <w:lang w:val="en-GB"/>
        </w:rPr>
        <w:t xml:space="preserve">the </w:t>
      </w:r>
      <w:r w:rsidRPr="00BD3436">
        <w:rPr>
          <w:lang w:val="en-GB"/>
        </w:rPr>
        <w:t>central and local level</w:t>
      </w:r>
      <w:r w:rsidR="00602F19" w:rsidRPr="00BD3436">
        <w:rPr>
          <w:lang w:val="en-GB"/>
        </w:rPr>
        <w:t>s</w:t>
      </w:r>
      <w:r w:rsidRPr="00BD3436">
        <w:rPr>
          <w:lang w:val="en-GB"/>
        </w:rPr>
        <w:t xml:space="preserve"> and other U</w:t>
      </w:r>
      <w:r w:rsidR="00602F19" w:rsidRPr="00BD3436">
        <w:rPr>
          <w:lang w:val="en-GB"/>
        </w:rPr>
        <w:t xml:space="preserve">nited </w:t>
      </w:r>
      <w:r w:rsidRPr="00BD3436">
        <w:rPr>
          <w:lang w:val="en-GB"/>
        </w:rPr>
        <w:t>N</w:t>
      </w:r>
      <w:r w:rsidR="00602F19" w:rsidRPr="00BD3436">
        <w:rPr>
          <w:lang w:val="en-GB"/>
        </w:rPr>
        <w:t>ations</w:t>
      </w:r>
      <w:r w:rsidRPr="00BD3436">
        <w:rPr>
          <w:lang w:val="en-GB"/>
        </w:rPr>
        <w:t xml:space="preserve"> </w:t>
      </w:r>
      <w:r w:rsidR="00602F19" w:rsidRPr="00BD3436">
        <w:rPr>
          <w:lang w:val="en-GB"/>
        </w:rPr>
        <w:t xml:space="preserve">organizations </w:t>
      </w:r>
      <w:r w:rsidRPr="00BD3436">
        <w:rPr>
          <w:lang w:val="en-GB"/>
        </w:rPr>
        <w:t>under a joint programme umbrella.</w:t>
      </w:r>
    </w:p>
    <w:p w14:paraId="2024FCF3" w14:textId="1EA7B4E5" w:rsidR="00717C47" w:rsidRPr="00BD3436" w:rsidRDefault="007F7131"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lastRenderedPageBreak/>
        <w:t>Targeting</w:t>
      </w:r>
      <w:r w:rsidR="00F806A0" w:rsidRPr="00BD3436">
        <w:rPr>
          <w:lang w:val="en-GB"/>
        </w:rPr>
        <w:t xml:space="preserve"> developmental disparities among municipalities, UNDP will strengthen </w:t>
      </w:r>
      <w:r w:rsidR="00E146E5" w:rsidRPr="00BD3436">
        <w:rPr>
          <w:lang w:val="en-GB"/>
        </w:rPr>
        <w:t xml:space="preserve">municipal </w:t>
      </w:r>
      <w:r w:rsidR="00F806A0" w:rsidRPr="00BD3436">
        <w:rPr>
          <w:lang w:val="en-GB"/>
        </w:rPr>
        <w:t>capacities for local planning, implementation and monitoring</w:t>
      </w:r>
      <w:r w:rsidR="008F4F00" w:rsidRPr="00BD3436">
        <w:rPr>
          <w:lang w:val="en-GB"/>
        </w:rPr>
        <w:t xml:space="preserve">. Working in coordination with the </w:t>
      </w:r>
      <w:r w:rsidR="00E146E5" w:rsidRPr="00BD3436">
        <w:rPr>
          <w:lang w:val="en-GB"/>
        </w:rPr>
        <w:t>G</w:t>
      </w:r>
      <w:r w:rsidR="008F4F00" w:rsidRPr="00BD3436">
        <w:rPr>
          <w:lang w:val="en-GB"/>
        </w:rPr>
        <w:t>overnment, the E</w:t>
      </w:r>
      <w:r w:rsidR="00E146E5" w:rsidRPr="00BD3436">
        <w:rPr>
          <w:lang w:val="en-GB"/>
        </w:rPr>
        <w:t xml:space="preserve">uropean </w:t>
      </w:r>
      <w:r w:rsidR="008F4F00" w:rsidRPr="00BD3436">
        <w:rPr>
          <w:lang w:val="en-GB"/>
        </w:rPr>
        <w:t>U</w:t>
      </w:r>
      <w:r w:rsidR="00E146E5" w:rsidRPr="00BD3436">
        <w:rPr>
          <w:lang w:val="en-GB"/>
        </w:rPr>
        <w:t>nion</w:t>
      </w:r>
      <w:r w:rsidR="008F4F00" w:rsidRPr="00BD3436">
        <w:rPr>
          <w:lang w:val="en-GB"/>
        </w:rPr>
        <w:t xml:space="preserve"> office and other U</w:t>
      </w:r>
      <w:r w:rsidR="00E146E5" w:rsidRPr="00BD3436">
        <w:rPr>
          <w:lang w:val="en-GB"/>
        </w:rPr>
        <w:t xml:space="preserve">nited </w:t>
      </w:r>
      <w:r w:rsidR="008F4F00" w:rsidRPr="00BD3436">
        <w:rPr>
          <w:lang w:val="en-GB"/>
        </w:rPr>
        <w:t>N</w:t>
      </w:r>
      <w:r w:rsidR="00E146E5" w:rsidRPr="00BD3436">
        <w:rPr>
          <w:lang w:val="en-GB"/>
        </w:rPr>
        <w:t>ations</w:t>
      </w:r>
      <w:r w:rsidR="008F4F00" w:rsidRPr="00BD3436">
        <w:rPr>
          <w:lang w:val="en-GB"/>
        </w:rPr>
        <w:t xml:space="preserve"> </w:t>
      </w:r>
      <w:r w:rsidR="00E146E5" w:rsidRPr="00BD3436">
        <w:rPr>
          <w:lang w:val="en-GB"/>
        </w:rPr>
        <w:t>organizations</w:t>
      </w:r>
      <w:r w:rsidR="008F4F00" w:rsidRPr="00BD3436">
        <w:rPr>
          <w:lang w:val="en-GB"/>
        </w:rPr>
        <w:t xml:space="preserve">, </w:t>
      </w:r>
      <w:r w:rsidR="00E146E5" w:rsidRPr="00BD3436">
        <w:rPr>
          <w:lang w:val="en-GB"/>
        </w:rPr>
        <w:t xml:space="preserve">UNDP </w:t>
      </w:r>
      <w:r w:rsidR="008A6517" w:rsidRPr="00BD3436">
        <w:rPr>
          <w:lang w:val="en-GB"/>
        </w:rPr>
        <w:t xml:space="preserve">will </w:t>
      </w:r>
      <w:r w:rsidR="00F806A0" w:rsidRPr="00BD3436">
        <w:rPr>
          <w:lang w:val="en-GB"/>
        </w:rPr>
        <w:t xml:space="preserve">focus on </w:t>
      </w:r>
      <w:r w:rsidR="002A083F" w:rsidRPr="00BD3436">
        <w:rPr>
          <w:lang w:val="en-GB"/>
        </w:rPr>
        <w:t xml:space="preserve">resilience and </w:t>
      </w:r>
      <w:r w:rsidR="00F806A0" w:rsidRPr="00BD3436">
        <w:rPr>
          <w:lang w:val="en-GB"/>
        </w:rPr>
        <w:t>on innovative and green solutions for employment and income generation, specifically targeting socially excluded and vulnerable groups (people living below the poverty line, persons with disabilities, and the unemployed)</w:t>
      </w:r>
      <w:r w:rsidR="008F4F00" w:rsidRPr="00BD3436">
        <w:rPr>
          <w:lang w:val="en-GB"/>
        </w:rPr>
        <w:t xml:space="preserve"> in selected areas of Serbia.</w:t>
      </w:r>
      <w:r w:rsidR="00EC61C8" w:rsidRPr="00BD3436">
        <w:rPr>
          <w:lang w:val="en-GB"/>
        </w:rPr>
        <w:t xml:space="preserve"> </w:t>
      </w:r>
      <w:r w:rsidR="00F806A0" w:rsidRPr="00BD3436">
        <w:rPr>
          <w:lang w:val="en-GB"/>
        </w:rPr>
        <w:t xml:space="preserve">The key partners are the </w:t>
      </w:r>
      <w:r w:rsidR="007C68D8" w:rsidRPr="00BD3436">
        <w:t>Ministry of Public Administration and Local Self</w:t>
      </w:r>
      <w:r w:rsidR="00C27087" w:rsidRPr="00BD3436">
        <w:t>-</w:t>
      </w:r>
      <w:r w:rsidR="007C68D8" w:rsidRPr="00BD3436">
        <w:t>Government</w:t>
      </w:r>
      <w:r w:rsidR="00F806A0" w:rsidRPr="00BD3436">
        <w:rPr>
          <w:lang w:val="en-GB"/>
        </w:rPr>
        <w:t xml:space="preserve">, </w:t>
      </w:r>
      <w:r w:rsidR="007C68D8" w:rsidRPr="00BD3436">
        <w:rPr>
          <w:lang w:val="en-GB"/>
        </w:rPr>
        <w:t>Ministry of L</w:t>
      </w:r>
      <w:r w:rsidR="00F806A0" w:rsidRPr="00BD3436">
        <w:rPr>
          <w:lang w:val="en-GB"/>
        </w:rPr>
        <w:t xml:space="preserve">abour and </w:t>
      </w:r>
      <w:r w:rsidR="007C68D8" w:rsidRPr="00BD3436">
        <w:rPr>
          <w:lang w:val="en-GB"/>
        </w:rPr>
        <w:t>Employment, Veteran and Social Affairs</w:t>
      </w:r>
      <w:r w:rsidR="00F806A0" w:rsidRPr="00BD3436">
        <w:rPr>
          <w:lang w:val="en-GB"/>
        </w:rPr>
        <w:t xml:space="preserve">, related public institutions, municipal administrations, the Standing Conference of Towns and Municipalities, </w:t>
      </w:r>
      <w:r w:rsidR="00241F16" w:rsidRPr="00BD3436">
        <w:rPr>
          <w:lang w:val="en-GB"/>
        </w:rPr>
        <w:t xml:space="preserve">private sector, </w:t>
      </w:r>
      <w:r w:rsidR="00F806A0" w:rsidRPr="00BD3436">
        <w:rPr>
          <w:lang w:val="en-GB"/>
        </w:rPr>
        <w:t xml:space="preserve">think tanks and </w:t>
      </w:r>
      <w:r w:rsidR="0033071C" w:rsidRPr="00BD3436">
        <w:rPr>
          <w:lang w:val="en-GB"/>
        </w:rPr>
        <w:t>non-governmental organizations (</w:t>
      </w:r>
      <w:r w:rsidR="00F806A0" w:rsidRPr="00BD3436">
        <w:rPr>
          <w:lang w:val="en-GB"/>
        </w:rPr>
        <w:t>NGO</w:t>
      </w:r>
      <w:r w:rsidR="005A19DF" w:rsidRPr="00BD3436">
        <w:rPr>
          <w:lang w:val="en-GB"/>
        </w:rPr>
        <w:t>s</w:t>
      </w:r>
      <w:r w:rsidR="0033071C" w:rsidRPr="00BD3436">
        <w:rPr>
          <w:lang w:val="en-GB"/>
        </w:rPr>
        <w:t>)</w:t>
      </w:r>
      <w:r w:rsidR="00F806A0" w:rsidRPr="00BD3436">
        <w:rPr>
          <w:lang w:val="en-GB"/>
        </w:rPr>
        <w:t>.</w:t>
      </w:r>
    </w:p>
    <w:p w14:paraId="4608CC98" w14:textId="3741F24E" w:rsidR="00717C47"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UNDP will </w:t>
      </w:r>
      <w:r w:rsidR="007F7131" w:rsidRPr="00BD3436">
        <w:rPr>
          <w:lang w:val="en-GB"/>
        </w:rPr>
        <w:t>continue to strengthen</w:t>
      </w:r>
      <w:r w:rsidRPr="00BD3436">
        <w:rPr>
          <w:lang w:val="en-GB"/>
        </w:rPr>
        <w:t xml:space="preserve"> the capacity of </w:t>
      </w:r>
      <w:r w:rsidR="009932AC" w:rsidRPr="00BD3436">
        <w:rPr>
          <w:lang w:val="en-GB"/>
        </w:rPr>
        <w:t>Ministry of Agriculture and Environmental Protection</w:t>
      </w:r>
      <w:r w:rsidR="00EC61C8" w:rsidRPr="00BD3436">
        <w:rPr>
          <w:lang w:val="en-GB"/>
        </w:rPr>
        <w:t xml:space="preserve"> </w:t>
      </w:r>
      <w:r w:rsidRPr="00BD3436">
        <w:rPr>
          <w:lang w:val="en-GB"/>
        </w:rPr>
        <w:t xml:space="preserve">and other government structures to formulate </w:t>
      </w:r>
      <w:r w:rsidR="005A19DF" w:rsidRPr="00BD3436">
        <w:rPr>
          <w:lang w:val="en-GB"/>
        </w:rPr>
        <w:t xml:space="preserve">and implement </w:t>
      </w:r>
      <w:r w:rsidRPr="00BD3436">
        <w:rPr>
          <w:lang w:val="en-GB"/>
        </w:rPr>
        <w:t>climate change mitigation and adaptation policies and measures</w:t>
      </w:r>
      <w:r w:rsidR="005A19DF" w:rsidRPr="00BD3436">
        <w:rPr>
          <w:lang w:val="en-GB"/>
        </w:rPr>
        <w:t xml:space="preserve"> and</w:t>
      </w:r>
      <w:r w:rsidRPr="00BD3436">
        <w:rPr>
          <w:lang w:val="en-GB"/>
        </w:rPr>
        <w:t xml:space="preserve"> </w:t>
      </w:r>
      <w:r w:rsidR="00F712E4" w:rsidRPr="00BD3436">
        <w:rPr>
          <w:lang w:val="en-GB"/>
        </w:rPr>
        <w:t xml:space="preserve">to </w:t>
      </w:r>
      <w:r w:rsidRPr="00BD3436">
        <w:rPr>
          <w:lang w:val="en-GB"/>
        </w:rPr>
        <w:t xml:space="preserve">monitor and report under international treaties. </w:t>
      </w:r>
      <w:r w:rsidR="002A083F" w:rsidRPr="00BD3436">
        <w:rPr>
          <w:lang w:val="en-GB"/>
        </w:rPr>
        <w:t xml:space="preserve">This will be closely </w:t>
      </w:r>
      <w:r w:rsidR="00DB3925" w:rsidRPr="00BD3436">
        <w:rPr>
          <w:lang w:val="en-GB"/>
        </w:rPr>
        <w:t xml:space="preserve">coordinated </w:t>
      </w:r>
      <w:r w:rsidR="002A083F" w:rsidRPr="00BD3436">
        <w:rPr>
          <w:lang w:val="en-GB"/>
        </w:rPr>
        <w:t>with the work</w:t>
      </w:r>
      <w:r w:rsidR="00642B20" w:rsidRPr="00BD3436">
        <w:rPr>
          <w:lang w:val="en-GB"/>
        </w:rPr>
        <w:t xml:space="preserve"> to </w:t>
      </w:r>
      <w:r w:rsidR="002A083F" w:rsidRPr="00BD3436">
        <w:rPr>
          <w:lang w:val="en-GB"/>
        </w:rPr>
        <w:t>advanc</w:t>
      </w:r>
      <w:r w:rsidR="00642B20" w:rsidRPr="00BD3436">
        <w:rPr>
          <w:lang w:val="en-GB"/>
        </w:rPr>
        <w:t>e</w:t>
      </w:r>
      <w:r w:rsidR="002A083F" w:rsidRPr="00BD3436">
        <w:rPr>
          <w:lang w:val="en-GB"/>
        </w:rPr>
        <w:t xml:space="preserve"> disaster risk identification</w:t>
      </w:r>
      <w:r w:rsidR="00642B20" w:rsidRPr="00BD3436">
        <w:rPr>
          <w:lang w:val="en-GB"/>
        </w:rPr>
        <w:t xml:space="preserve">, </w:t>
      </w:r>
      <w:r w:rsidR="00DB3925" w:rsidRPr="00BD3436">
        <w:rPr>
          <w:lang w:val="en-GB"/>
        </w:rPr>
        <w:t xml:space="preserve">mitigation and preparedness. </w:t>
      </w:r>
      <w:r w:rsidR="009D73BF" w:rsidRPr="00BD3436">
        <w:rPr>
          <w:lang w:val="en-GB"/>
        </w:rPr>
        <w:t xml:space="preserve">With regard to </w:t>
      </w:r>
      <w:r w:rsidR="00F712E4" w:rsidRPr="00BD3436">
        <w:rPr>
          <w:lang w:val="en-GB"/>
        </w:rPr>
        <w:t>disaster risk reduction</w:t>
      </w:r>
      <w:r w:rsidR="009D73BF" w:rsidRPr="00BD3436">
        <w:rPr>
          <w:lang w:val="en-GB"/>
        </w:rPr>
        <w:t xml:space="preserve">, </w:t>
      </w:r>
      <w:r w:rsidRPr="00BD3436">
        <w:rPr>
          <w:lang w:val="en-GB"/>
        </w:rPr>
        <w:t xml:space="preserve">UNDP will build on its </w:t>
      </w:r>
      <w:r w:rsidR="00C65C01" w:rsidRPr="00BD3436">
        <w:rPr>
          <w:lang w:val="en-GB"/>
        </w:rPr>
        <w:t xml:space="preserve">successful </w:t>
      </w:r>
      <w:r w:rsidRPr="00BD3436">
        <w:rPr>
          <w:lang w:val="en-GB"/>
        </w:rPr>
        <w:t xml:space="preserve">disaster recovery support in 2014 and 2015, supporting the </w:t>
      </w:r>
      <w:r w:rsidR="00F712E4" w:rsidRPr="00BD3436">
        <w:rPr>
          <w:lang w:val="en-GB"/>
        </w:rPr>
        <w:t>G</w:t>
      </w:r>
      <w:r w:rsidRPr="00BD3436">
        <w:rPr>
          <w:lang w:val="en-GB"/>
        </w:rPr>
        <w:t xml:space="preserve">overnment to implement a comprehensive national disaster risk management programme, </w:t>
      </w:r>
      <w:r w:rsidR="009D73BF" w:rsidRPr="00BD3436">
        <w:rPr>
          <w:lang w:val="en-GB"/>
        </w:rPr>
        <w:t xml:space="preserve">particularly </w:t>
      </w:r>
      <w:r w:rsidRPr="00BD3436">
        <w:rPr>
          <w:lang w:val="en-GB"/>
        </w:rPr>
        <w:t xml:space="preserve">at </w:t>
      </w:r>
      <w:r w:rsidR="009D73BF" w:rsidRPr="00BD3436">
        <w:rPr>
          <w:lang w:val="en-GB"/>
        </w:rPr>
        <w:t xml:space="preserve">the </w:t>
      </w:r>
      <w:r w:rsidRPr="00BD3436">
        <w:rPr>
          <w:lang w:val="en-GB"/>
        </w:rPr>
        <w:t>local level.</w:t>
      </w:r>
    </w:p>
    <w:p w14:paraId="71DAA991" w14:textId="023CF9A5" w:rsidR="005E4042" w:rsidRPr="00BD3436" w:rsidRDefault="00EC61C8"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For better programme results</w:t>
      </w:r>
      <w:r w:rsidR="00F712E4" w:rsidRPr="00BD3436">
        <w:rPr>
          <w:lang w:val="en-GB"/>
        </w:rPr>
        <w:t>,</w:t>
      </w:r>
      <w:r w:rsidRPr="00BD3436">
        <w:rPr>
          <w:lang w:val="en-GB"/>
        </w:rPr>
        <w:t xml:space="preserve"> </w:t>
      </w:r>
      <w:r w:rsidR="00F712E4" w:rsidRPr="00BD3436">
        <w:rPr>
          <w:lang w:val="en-GB"/>
        </w:rPr>
        <w:t xml:space="preserve">the country office </w:t>
      </w:r>
      <w:r w:rsidRPr="00BD3436">
        <w:rPr>
          <w:lang w:val="en-GB"/>
        </w:rPr>
        <w:t xml:space="preserve">will use the </w:t>
      </w:r>
      <w:r w:rsidR="00F712E4" w:rsidRPr="00BD3436">
        <w:rPr>
          <w:lang w:val="en-GB"/>
        </w:rPr>
        <w:t>UNDP s</w:t>
      </w:r>
      <w:r w:rsidRPr="00BD3436">
        <w:rPr>
          <w:lang w:val="en-GB"/>
        </w:rPr>
        <w:t xml:space="preserve">trategic </w:t>
      </w:r>
      <w:r w:rsidR="00F712E4" w:rsidRPr="00BD3436">
        <w:rPr>
          <w:lang w:val="en-GB"/>
        </w:rPr>
        <w:t>p</w:t>
      </w:r>
      <w:r w:rsidRPr="00BD3436">
        <w:rPr>
          <w:lang w:val="en-GB"/>
        </w:rPr>
        <w:t>lan</w:t>
      </w:r>
      <w:r w:rsidR="00F712E4" w:rsidRPr="00BD3436">
        <w:rPr>
          <w:lang w:val="en-GB"/>
        </w:rPr>
        <w:t>, 2014-2017,</w:t>
      </w:r>
      <w:r w:rsidRPr="00BD3436">
        <w:rPr>
          <w:lang w:val="en-GB"/>
        </w:rPr>
        <w:t xml:space="preserve"> d</w:t>
      </w:r>
      <w:r w:rsidR="009D73BF" w:rsidRPr="00BD3436">
        <w:rPr>
          <w:lang w:val="en-GB"/>
        </w:rPr>
        <w:t xml:space="preserve">esign parameters, </w:t>
      </w:r>
      <w:r w:rsidRPr="00BD3436">
        <w:rPr>
          <w:lang w:val="en-GB"/>
        </w:rPr>
        <w:t xml:space="preserve">engaging </w:t>
      </w:r>
      <w:r w:rsidR="007F7131" w:rsidRPr="00BD3436">
        <w:rPr>
          <w:lang w:val="en-GB"/>
        </w:rPr>
        <w:t xml:space="preserve">closely with </w:t>
      </w:r>
      <w:r w:rsidRPr="00BD3436">
        <w:rPr>
          <w:lang w:val="en-GB"/>
        </w:rPr>
        <w:t>b</w:t>
      </w:r>
      <w:r w:rsidR="007F7131" w:rsidRPr="00BD3436">
        <w:rPr>
          <w:lang w:val="en-GB"/>
        </w:rPr>
        <w:t>eneficiaries</w:t>
      </w:r>
      <w:r w:rsidRPr="00BD3436">
        <w:rPr>
          <w:lang w:val="en-GB"/>
        </w:rPr>
        <w:t xml:space="preserve">, and focusing on scalability and sustainability of results. </w:t>
      </w:r>
      <w:r w:rsidR="00F712E4" w:rsidRPr="00BD3436">
        <w:rPr>
          <w:lang w:val="en-GB"/>
        </w:rPr>
        <w:t>It will engage i</w:t>
      </w:r>
      <w:r w:rsidRPr="00BD3436">
        <w:rPr>
          <w:lang w:val="en-GB"/>
        </w:rPr>
        <w:t xml:space="preserve">nnovators and social entrepreneurs to co-create new development solutions and </w:t>
      </w:r>
      <w:r w:rsidR="00F712E4" w:rsidRPr="00BD3436">
        <w:rPr>
          <w:lang w:val="en-GB"/>
        </w:rPr>
        <w:t xml:space="preserve">to </w:t>
      </w:r>
      <w:r w:rsidRPr="00BD3436">
        <w:rPr>
          <w:lang w:val="en-GB"/>
        </w:rPr>
        <w:t>drive new</w:t>
      </w:r>
      <w:r w:rsidR="00F712E4" w:rsidRPr="00BD3436">
        <w:rPr>
          <w:lang w:val="en-GB"/>
        </w:rPr>
        <w:t xml:space="preserve">, </w:t>
      </w:r>
      <w:r w:rsidRPr="00BD3436">
        <w:rPr>
          <w:lang w:val="en-GB"/>
        </w:rPr>
        <w:t>innovative approaches. Partnerships with U</w:t>
      </w:r>
      <w:r w:rsidR="00F712E4" w:rsidRPr="00BD3436">
        <w:rPr>
          <w:lang w:val="en-GB"/>
        </w:rPr>
        <w:t xml:space="preserve">nited </w:t>
      </w:r>
      <w:r w:rsidRPr="00BD3436">
        <w:rPr>
          <w:lang w:val="en-GB"/>
        </w:rPr>
        <w:t>N</w:t>
      </w:r>
      <w:r w:rsidR="00F712E4" w:rsidRPr="00BD3436">
        <w:rPr>
          <w:lang w:val="en-GB"/>
        </w:rPr>
        <w:t>ations</w:t>
      </w:r>
      <w:r w:rsidRPr="00BD3436">
        <w:rPr>
          <w:lang w:val="en-GB"/>
        </w:rPr>
        <w:t xml:space="preserve"> organizations, international organizations, private sector, academia and civil society, including diaspora organi</w:t>
      </w:r>
      <w:r w:rsidR="00F712E4" w:rsidRPr="00BD3436">
        <w:rPr>
          <w:lang w:val="en-GB"/>
        </w:rPr>
        <w:t>z</w:t>
      </w:r>
      <w:r w:rsidRPr="00BD3436">
        <w:rPr>
          <w:lang w:val="en-GB"/>
        </w:rPr>
        <w:t>ations, are essential vehicle</w:t>
      </w:r>
      <w:r w:rsidR="00846C9C" w:rsidRPr="00BD3436">
        <w:rPr>
          <w:lang w:val="en-GB"/>
        </w:rPr>
        <w:t>s</w:t>
      </w:r>
      <w:r w:rsidRPr="00BD3436">
        <w:rPr>
          <w:lang w:val="en-GB"/>
        </w:rPr>
        <w:t xml:space="preserve"> for delivering results in all programme areas. </w:t>
      </w:r>
      <w:r w:rsidR="00BF4738" w:rsidRPr="00BD3436">
        <w:rPr>
          <w:lang w:val="en-GB"/>
        </w:rPr>
        <w:t xml:space="preserve">Contributing to East-East cooperation, </w:t>
      </w:r>
      <w:r w:rsidRPr="00BD3436">
        <w:rPr>
          <w:lang w:val="en-GB"/>
        </w:rPr>
        <w:t xml:space="preserve">UNDP will assist in sharing </w:t>
      </w:r>
      <w:r w:rsidR="00BF4738" w:rsidRPr="00BD3436">
        <w:rPr>
          <w:lang w:val="en-GB"/>
        </w:rPr>
        <w:t>the</w:t>
      </w:r>
      <w:r w:rsidR="007F7131" w:rsidRPr="00BD3436">
        <w:rPr>
          <w:lang w:val="en-GB"/>
        </w:rPr>
        <w:t xml:space="preserve"> </w:t>
      </w:r>
      <w:r w:rsidR="00BF4738" w:rsidRPr="00BD3436">
        <w:rPr>
          <w:lang w:val="en-GB"/>
        </w:rPr>
        <w:t xml:space="preserve">development </w:t>
      </w:r>
      <w:r w:rsidR="007F7131" w:rsidRPr="00BD3436">
        <w:rPr>
          <w:lang w:val="en-GB"/>
        </w:rPr>
        <w:t>experience</w:t>
      </w:r>
      <w:r w:rsidR="00BF4738" w:rsidRPr="00BD3436">
        <w:rPr>
          <w:lang w:val="en-GB"/>
        </w:rPr>
        <w:t xml:space="preserve"> of Serbia</w:t>
      </w:r>
      <w:r w:rsidR="007F7131" w:rsidRPr="00BD3436">
        <w:rPr>
          <w:lang w:val="en-GB"/>
        </w:rPr>
        <w:t xml:space="preserve"> </w:t>
      </w:r>
      <w:r w:rsidR="00BF4738" w:rsidRPr="00BD3436">
        <w:rPr>
          <w:lang w:val="en-GB"/>
        </w:rPr>
        <w:t xml:space="preserve">on </w:t>
      </w:r>
      <w:r w:rsidRPr="00BD3436">
        <w:rPr>
          <w:lang w:val="en-GB"/>
        </w:rPr>
        <w:t xml:space="preserve">disaster risk reduction, parliamentary development, </w:t>
      </w:r>
      <w:r w:rsidR="00F712E4" w:rsidRPr="00BD3436">
        <w:rPr>
          <w:lang w:val="en-GB"/>
        </w:rPr>
        <w:t xml:space="preserve">and </w:t>
      </w:r>
      <w:r w:rsidRPr="00BD3436">
        <w:rPr>
          <w:lang w:val="en-GB"/>
        </w:rPr>
        <w:t>fighting gender-based violence and discrimination</w:t>
      </w:r>
      <w:r w:rsidR="002A083F" w:rsidRPr="00BD3436">
        <w:rPr>
          <w:lang w:val="en-GB"/>
        </w:rPr>
        <w:t xml:space="preserve"> with countries in the Western Balkans region</w:t>
      </w:r>
      <w:r w:rsidRPr="00BD3436">
        <w:rPr>
          <w:lang w:val="en-GB"/>
        </w:rPr>
        <w:t xml:space="preserve"> and will </w:t>
      </w:r>
      <w:r w:rsidR="00BF4738" w:rsidRPr="00BD3436">
        <w:rPr>
          <w:lang w:val="en-GB"/>
        </w:rPr>
        <w:t xml:space="preserve">also seek to </w:t>
      </w:r>
      <w:r w:rsidRPr="00BD3436">
        <w:rPr>
          <w:lang w:val="en-GB"/>
        </w:rPr>
        <w:t>attract expertise</w:t>
      </w:r>
      <w:r w:rsidR="00BF4738" w:rsidRPr="00BD3436">
        <w:rPr>
          <w:lang w:val="en-GB"/>
        </w:rPr>
        <w:t xml:space="preserve"> and knowledge</w:t>
      </w:r>
      <w:r w:rsidRPr="00BD3436">
        <w:rPr>
          <w:lang w:val="en-GB"/>
        </w:rPr>
        <w:t xml:space="preserve"> from other countries.</w:t>
      </w:r>
      <w:r w:rsidR="00241F16" w:rsidRPr="00BD3436">
        <w:rPr>
          <w:lang w:val="en-GB"/>
        </w:rPr>
        <w:t xml:space="preserve"> </w:t>
      </w:r>
      <w:r w:rsidR="00BF4738" w:rsidRPr="00BD3436">
        <w:rPr>
          <w:lang w:val="en-GB"/>
        </w:rPr>
        <w:t xml:space="preserve">Where possible, </w:t>
      </w:r>
      <w:r w:rsidR="00F712E4" w:rsidRPr="00BD3436">
        <w:rPr>
          <w:lang w:val="en-GB"/>
        </w:rPr>
        <w:t xml:space="preserve">UNDP will thoroughly exploit </w:t>
      </w:r>
      <w:r w:rsidR="00BF4738" w:rsidRPr="00BD3436">
        <w:rPr>
          <w:lang w:val="en-GB"/>
        </w:rPr>
        <w:t>o</w:t>
      </w:r>
      <w:r w:rsidR="00A10EDC" w:rsidRPr="00BD3436">
        <w:rPr>
          <w:lang w:val="en-GB"/>
        </w:rPr>
        <w:t xml:space="preserve">pportunities for </w:t>
      </w:r>
      <w:r w:rsidR="00241F16" w:rsidRPr="00BD3436">
        <w:rPr>
          <w:lang w:val="en-GB"/>
        </w:rPr>
        <w:t xml:space="preserve">joint programming </w:t>
      </w:r>
      <w:r w:rsidR="0075378D" w:rsidRPr="00BD3436">
        <w:rPr>
          <w:lang w:val="en-GB"/>
        </w:rPr>
        <w:t>among</w:t>
      </w:r>
      <w:r w:rsidR="00241F16" w:rsidRPr="00BD3436">
        <w:rPr>
          <w:lang w:val="en-GB"/>
        </w:rPr>
        <w:t xml:space="preserve"> Western Balkans countries</w:t>
      </w:r>
      <w:r w:rsidR="00A10EDC" w:rsidRPr="00BD3436">
        <w:rPr>
          <w:lang w:val="en-GB"/>
        </w:rPr>
        <w:t>.</w:t>
      </w:r>
    </w:p>
    <w:p w14:paraId="6CA802A7" w14:textId="77777777" w:rsidR="005E4042" w:rsidRPr="00BD3436" w:rsidRDefault="005E4042" w:rsidP="004303A7">
      <w:pPr>
        <w:pStyle w:val="Heading1"/>
        <w:tabs>
          <w:tab w:val="left" w:pos="1800"/>
        </w:tabs>
        <w:spacing w:after="120"/>
        <w:ind w:left="1440" w:right="720" w:hanging="540"/>
        <w:jc w:val="both"/>
        <w:rPr>
          <w:rFonts w:ascii="Times New Roman" w:hAnsi="Times New Roman"/>
          <w:sz w:val="20"/>
          <w:lang w:val="en-GB"/>
        </w:rPr>
      </w:pPr>
      <w:r w:rsidRPr="00BD3436">
        <w:rPr>
          <w:rFonts w:ascii="Times New Roman" w:hAnsi="Times New Roman"/>
          <w:sz w:val="24"/>
          <w:szCs w:val="24"/>
          <w:lang w:val="en-GB"/>
        </w:rPr>
        <w:t xml:space="preserve">III. </w:t>
      </w:r>
      <w:r w:rsidRPr="00BD3436">
        <w:rPr>
          <w:rFonts w:ascii="Times New Roman" w:hAnsi="Times New Roman"/>
          <w:sz w:val="24"/>
          <w:szCs w:val="24"/>
          <w:lang w:val="en-GB"/>
        </w:rPr>
        <w:tab/>
        <w:t>Programme and risk management</w:t>
      </w:r>
    </w:p>
    <w:p w14:paraId="57947C93" w14:textId="6A2329B9" w:rsidR="005E4042"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w:t>
      </w:r>
      <w:r w:rsidR="008870D3" w:rsidRPr="00BD3436">
        <w:rPr>
          <w:lang w:val="en-GB"/>
        </w:rPr>
        <w:t xml:space="preserve">country programme </w:t>
      </w:r>
      <w:r w:rsidRPr="00BD3436">
        <w:rPr>
          <w:iCs/>
          <w:lang w:val="en-GB"/>
        </w:rPr>
        <w:t xml:space="preserve">will be nationally executed, the </w:t>
      </w:r>
      <w:r w:rsidR="008870D3" w:rsidRPr="00BD3436">
        <w:rPr>
          <w:iCs/>
          <w:lang w:val="en-GB"/>
        </w:rPr>
        <w:t>g</w:t>
      </w:r>
      <w:r w:rsidRPr="00BD3436">
        <w:rPr>
          <w:iCs/>
          <w:lang w:val="en-GB"/>
        </w:rPr>
        <w:t xml:space="preserve">overnment </w:t>
      </w:r>
      <w:r w:rsidR="008870D3" w:rsidRPr="00BD3436">
        <w:rPr>
          <w:iCs/>
          <w:lang w:val="en-GB"/>
        </w:rPr>
        <w:t>c</w:t>
      </w:r>
      <w:r w:rsidRPr="00BD3436">
        <w:rPr>
          <w:iCs/>
          <w:lang w:val="en-GB"/>
        </w:rPr>
        <w:t xml:space="preserve">oordinating </w:t>
      </w:r>
      <w:r w:rsidR="008870D3" w:rsidRPr="00BD3436">
        <w:rPr>
          <w:iCs/>
          <w:lang w:val="en-GB"/>
        </w:rPr>
        <w:t>a</w:t>
      </w:r>
      <w:r w:rsidRPr="00BD3436">
        <w:rPr>
          <w:iCs/>
          <w:lang w:val="en-GB"/>
        </w:rPr>
        <w:t xml:space="preserve">gency will be the Ministry of Foreign Affairs, and other national and subnational authorities will be implementing </w:t>
      </w:r>
      <w:r w:rsidR="00595F27" w:rsidRPr="00BD3436">
        <w:rPr>
          <w:iCs/>
          <w:lang w:val="en-GB"/>
        </w:rPr>
        <w:t xml:space="preserve">partners, as defined in the </w:t>
      </w:r>
      <w:r w:rsidR="008870D3" w:rsidRPr="00BD3436">
        <w:rPr>
          <w:iCs/>
          <w:lang w:val="en-GB"/>
        </w:rPr>
        <w:t xml:space="preserve">United Nations Development </w:t>
      </w:r>
      <w:r w:rsidR="000C6D2F" w:rsidRPr="00BD3436">
        <w:rPr>
          <w:iCs/>
          <w:lang w:val="en-GB"/>
        </w:rPr>
        <w:t xml:space="preserve">Partnership </w:t>
      </w:r>
      <w:r w:rsidR="008870D3" w:rsidRPr="00BD3436">
        <w:rPr>
          <w:iCs/>
          <w:lang w:val="en-GB"/>
        </w:rPr>
        <w:t>Framework (</w:t>
      </w:r>
      <w:r w:rsidR="00595F27" w:rsidRPr="00BD3436">
        <w:rPr>
          <w:iCs/>
          <w:lang w:val="en-GB"/>
        </w:rPr>
        <w:t>UND</w:t>
      </w:r>
      <w:r w:rsidR="000C6D2F" w:rsidRPr="00BD3436">
        <w:rPr>
          <w:iCs/>
          <w:lang w:val="en-GB"/>
        </w:rPr>
        <w:t>P</w:t>
      </w:r>
      <w:r w:rsidRPr="00BD3436">
        <w:rPr>
          <w:iCs/>
          <w:lang w:val="en-GB"/>
        </w:rPr>
        <w:t>F</w:t>
      </w:r>
      <w:r w:rsidR="008870D3" w:rsidRPr="00BD3436">
        <w:rPr>
          <w:iCs/>
          <w:lang w:val="en-GB"/>
        </w:rPr>
        <w:t>)</w:t>
      </w:r>
      <w:r w:rsidRPr="00BD3436">
        <w:rPr>
          <w:iCs/>
          <w:lang w:val="en-GB"/>
        </w:rPr>
        <w:t xml:space="preserve">. The key principles of programme management will </w:t>
      </w:r>
      <w:r w:rsidR="008870D3" w:rsidRPr="00BD3436">
        <w:rPr>
          <w:iCs/>
          <w:lang w:val="en-GB"/>
        </w:rPr>
        <w:t xml:space="preserve">include: </w:t>
      </w:r>
      <w:r w:rsidRPr="00BD3436">
        <w:rPr>
          <w:iCs/>
          <w:lang w:val="en-GB"/>
        </w:rPr>
        <w:t xml:space="preserve">joint formulation, implementation, monitoring, and cost-sharing of projects. </w:t>
      </w:r>
      <w:r w:rsidR="00AE2BBD" w:rsidRPr="00BD3436">
        <w:rPr>
          <w:lang w:val="en-GB"/>
        </w:rPr>
        <w:t>Direct implementation</w:t>
      </w:r>
      <w:r w:rsidRPr="00BD3436">
        <w:rPr>
          <w:lang w:val="en-GB"/>
        </w:rPr>
        <w:t xml:space="preserve"> will be used for projects res</w:t>
      </w:r>
      <w:r w:rsidR="00595F27" w:rsidRPr="00BD3436">
        <w:rPr>
          <w:lang w:val="en-GB"/>
        </w:rPr>
        <w:t>ponding to emergency situations and</w:t>
      </w:r>
      <w:r w:rsidRPr="00BD3436">
        <w:rPr>
          <w:lang w:val="en-GB"/>
        </w:rPr>
        <w:t xml:space="preserve"> needs for developmental research, communication and partnerships. UNDP will continue to provide implementation support services at the request of the Government.</w:t>
      </w:r>
    </w:p>
    <w:p w14:paraId="08AACCFE" w14:textId="6FD4A7F9" w:rsidR="005E4042"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w:t>
      </w:r>
      <w:r w:rsidR="00595F27" w:rsidRPr="00BD3436">
        <w:rPr>
          <w:lang w:val="en-GB"/>
        </w:rPr>
        <w:t>UND</w:t>
      </w:r>
      <w:r w:rsidR="000C6D2F" w:rsidRPr="00BD3436">
        <w:rPr>
          <w:lang w:val="en-GB"/>
        </w:rPr>
        <w:t>P</w:t>
      </w:r>
      <w:r w:rsidR="00595F27" w:rsidRPr="00BD3436">
        <w:rPr>
          <w:lang w:val="en-GB"/>
        </w:rPr>
        <w:t>F</w:t>
      </w:r>
      <w:r w:rsidRPr="00BD3436">
        <w:rPr>
          <w:lang w:val="en-GB"/>
        </w:rPr>
        <w:t xml:space="preserve"> </w:t>
      </w:r>
      <w:r w:rsidR="008870D3" w:rsidRPr="00BD3436">
        <w:rPr>
          <w:lang w:val="en-GB"/>
        </w:rPr>
        <w:t>s</w:t>
      </w:r>
      <w:r w:rsidRPr="00BD3436">
        <w:rPr>
          <w:lang w:val="en-GB"/>
        </w:rPr>
        <w:t xml:space="preserve">teering </w:t>
      </w:r>
      <w:r w:rsidR="008870D3" w:rsidRPr="00BD3436">
        <w:rPr>
          <w:lang w:val="en-GB"/>
        </w:rPr>
        <w:t>c</w:t>
      </w:r>
      <w:r w:rsidRPr="00BD3436">
        <w:rPr>
          <w:lang w:val="en-GB"/>
        </w:rPr>
        <w:t xml:space="preserve">ommittee will oversee overall progress, </w:t>
      </w:r>
      <w:r w:rsidR="008870D3" w:rsidRPr="00BD3436">
        <w:rPr>
          <w:lang w:val="en-GB"/>
        </w:rPr>
        <w:t xml:space="preserve">as </w:t>
      </w:r>
      <w:r w:rsidRPr="00BD3436">
        <w:rPr>
          <w:lang w:val="en-GB"/>
        </w:rPr>
        <w:t xml:space="preserve">informed by the results groups </w:t>
      </w:r>
      <w:r w:rsidR="008870D3" w:rsidRPr="00BD3436">
        <w:rPr>
          <w:lang w:val="en-GB"/>
        </w:rPr>
        <w:t xml:space="preserve">composed </w:t>
      </w:r>
      <w:r w:rsidRPr="00BD3436">
        <w:rPr>
          <w:lang w:val="en-GB"/>
        </w:rPr>
        <w:t>of national counterparts and U</w:t>
      </w:r>
      <w:r w:rsidR="008870D3" w:rsidRPr="00BD3436">
        <w:rPr>
          <w:lang w:val="en-GB"/>
        </w:rPr>
        <w:t xml:space="preserve">nited </w:t>
      </w:r>
      <w:r w:rsidRPr="00BD3436">
        <w:rPr>
          <w:lang w:val="en-GB"/>
        </w:rPr>
        <w:t>N</w:t>
      </w:r>
      <w:r w:rsidR="008870D3" w:rsidRPr="00BD3436">
        <w:rPr>
          <w:lang w:val="en-GB"/>
        </w:rPr>
        <w:t>ations</w:t>
      </w:r>
      <w:r w:rsidRPr="00BD3436">
        <w:rPr>
          <w:lang w:val="en-GB"/>
        </w:rPr>
        <w:t xml:space="preserve"> </w:t>
      </w:r>
      <w:r w:rsidR="008870D3" w:rsidRPr="00BD3436">
        <w:rPr>
          <w:lang w:val="en-GB"/>
        </w:rPr>
        <w:t>organizations</w:t>
      </w:r>
      <w:r w:rsidRPr="00BD3436">
        <w:rPr>
          <w:lang w:val="en-GB"/>
        </w:rPr>
        <w:t xml:space="preserve">. UNDP will participate under the respective outcome groups as described in the results frameworks. Project boards will be established for each project. UNDP will take on board social and environmental sustainability issues when designing and </w:t>
      </w:r>
      <w:r w:rsidR="002A7DD0" w:rsidRPr="00BD3436">
        <w:rPr>
          <w:lang w:val="en-GB"/>
        </w:rPr>
        <w:t xml:space="preserve">implementing </w:t>
      </w:r>
      <w:r w:rsidRPr="00BD3436">
        <w:rPr>
          <w:lang w:val="en-GB"/>
        </w:rPr>
        <w:t>projects. In relation to international partners, UNDP, as part of the U</w:t>
      </w:r>
      <w:r w:rsidR="008870D3" w:rsidRPr="00BD3436">
        <w:rPr>
          <w:lang w:val="en-GB"/>
        </w:rPr>
        <w:t xml:space="preserve">nited </w:t>
      </w:r>
      <w:r w:rsidRPr="00BD3436">
        <w:rPr>
          <w:lang w:val="en-GB"/>
        </w:rPr>
        <w:t>N</w:t>
      </w:r>
      <w:r w:rsidR="008870D3" w:rsidRPr="00BD3436">
        <w:rPr>
          <w:lang w:val="en-GB"/>
        </w:rPr>
        <w:t>ations</w:t>
      </w:r>
      <w:r w:rsidRPr="00BD3436">
        <w:rPr>
          <w:lang w:val="en-GB"/>
        </w:rPr>
        <w:t xml:space="preserve"> system, will </w:t>
      </w:r>
      <w:r w:rsidR="00F215C1" w:rsidRPr="00BD3436">
        <w:rPr>
          <w:lang w:val="en-GB"/>
        </w:rPr>
        <w:t>participate</w:t>
      </w:r>
      <w:r w:rsidRPr="00BD3436">
        <w:rPr>
          <w:lang w:val="en-GB"/>
        </w:rPr>
        <w:t xml:space="preserve"> in the country-level development partners’ coordination mechan</w:t>
      </w:r>
      <w:r w:rsidR="00595F27" w:rsidRPr="00BD3436">
        <w:rPr>
          <w:lang w:val="en-GB"/>
        </w:rPr>
        <w:t>ism, le</w:t>
      </w:r>
      <w:r w:rsidRPr="00BD3436">
        <w:rPr>
          <w:lang w:val="en-GB"/>
        </w:rPr>
        <w:t>d by the Serbian European Integration Office.</w:t>
      </w:r>
    </w:p>
    <w:p w14:paraId="4FBE5B34" w14:textId="1F5F8062" w:rsidR="005E4042"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approach to partnerships and resource mobilization will be designed to meet the </w:t>
      </w:r>
      <w:r w:rsidR="00D11E70" w:rsidRPr="00BD3436">
        <w:rPr>
          <w:lang w:val="en-GB"/>
        </w:rPr>
        <w:t xml:space="preserve">country programme </w:t>
      </w:r>
      <w:r w:rsidRPr="00BD3436">
        <w:rPr>
          <w:lang w:val="en-GB"/>
        </w:rPr>
        <w:t>resource estimates</w:t>
      </w:r>
      <w:r w:rsidR="00D11E70" w:rsidRPr="00BD3436">
        <w:rPr>
          <w:lang w:val="en-GB"/>
        </w:rPr>
        <w:t>,</w:t>
      </w:r>
      <w:r w:rsidRPr="00BD3436">
        <w:rPr>
          <w:lang w:val="en-GB"/>
        </w:rPr>
        <w:t xml:space="preserve"> and will be tailored to the country’s higher middle</w:t>
      </w:r>
      <w:r w:rsidR="00D11E70" w:rsidRPr="00BD3436">
        <w:rPr>
          <w:lang w:val="en-GB"/>
        </w:rPr>
        <w:t>-</w:t>
      </w:r>
      <w:r w:rsidRPr="00BD3436">
        <w:rPr>
          <w:lang w:val="en-GB"/>
        </w:rPr>
        <w:t>income status</w:t>
      </w:r>
      <w:r w:rsidR="002A083F" w:rsidRPr="00BD3436">
        <w:rPr>
          <w:lang w:val="en-GB"/>
        </w:rPr>
        <w:t xml:space="preserve">, as well </w:t>
      </w:r>
      <w:r w:rsidR="00626FC3" w:rsidRPr="00BD3436">
        <w:rPr>
          <w:lang w:val="en-GB"/>
        </w:rPr>
        <w:t>as to its E</w:t>
      </w:r>
      <w:r w:rsidR="00D11E70" w:rsidRPr="00BD3436">
        <w:rPr>
          <w:lang w:val="en-GB"/>
        </w:rPr>
        <w:t xml:space="preserve">uropean </w:t>
      </w:r>
      <w:r w:rsidR="00626FC3" w:rsidRPr="00BD3436">
        <w:rPr>
          <w:lang w:val="en-GB"/>
        </w:rPr>
        <w:t>U</w:t>
      </w:r>
      <w:r w:rsidR="00D11E70" w:rsidRPr="00BD3436">
        <w:rPr>
          <w:lang w:val="en-GB"/>
        </w:rPr>
        <w:t>nion</w:t>
      </w:r>
      <w:r w:rsidR="00626FC3" w:rsidRPr="00BD3436">
        <w:rPr>
          <w:lang w:val="en-GB"/>
        </w:rPr>
        <w:t xml:space="preserve"> integration agenda. T</w:t>
      </w:r>
      <w:r w:rsidR="002A083F" w:rsidRPr="00BD3436">
        <w:rPr>
          <w:lang w:val="en-GB"/>
        </w:rPr>
        <w:t>he</w:t>
      </w:r>
      <w:r w:rsidRPr="00BD3436">
        <w:rPr>
          <w:lang w:val="en-GB"/>
        </w:rPr>
        <w:t xml:space="preserve"> </w:t>
      </w:r>
      <w:r w:rsidR="002A083F" w:rsidRPr="00BD3436">
        <w:rPr>
          <w:lang w:val="en-GB"/>
        </w:rPr>
        <w:t xml:space="preserve">success in partnerships and resource mobilization is essential for the implementation of the </w:t>
      </w:r>
      <w:r w:rsidR="002A083F" w:rsidRPr="00BD3436">
        <w:rPr>
          <w:lang w:val="en-GB"/>
        </w:rPr>
        <w:lastRenderedPageBreak/>
        <w:t>programme in the medium and long</w:t>
      </w:r>
      <w:r w:rsidR="00D11E70" w:rsidRPr="00BD3436">
        <w:rPr>
          <w:lang w:val="en-GB"/>
        </w:rPr>
        <w:t xml:space="preserve"> </w:t>
      </w:r>
      <w:r w:rsidR="002A083F" w:rsidRPr="00BD3436">
        <w:rPr>
          <w:lang w:val="en-GB"/>
        </w:rPr>
        <w:t>term.</w:t>
      </w:r>
      <w:r w:rsidRPr="00BD3436">
        <w:rPr>
          <w:lang w:val="en-GB"/>
        </w:rPr>
        <w:t xml:space="preserve"> Resources entrusted to UNDP by the </w:t>
      </w:r>
      <w:r w:rsidR="00D11E70" w:rsidRPr="00BD3436">
        <w:rPr>
          <w:lang w:val="en-GB"/>
        </w:rPr>
        <w:t>G</w:t>
      </w:r>
      <w:r w:rsidRPr="00BD3436">
        <w:rPr>
          <w:lang w:val="en-GB"/>
        </w:rPr>
        <w:t xml:space="preserve">overnment for project and programme implementation are expected to constitute an important part of the </w:t>
      </w:r>
      <w:r w:rsidR="00D11E70" w:rsidRPr="00BD3436">
        <w:rPr>
          <w:lang w:val="en-GB"/>
        </w:rPr>
        <w:t xml:space="preserve">country programme </w:t>
      </w:r>
      <w:r w:rsidRPr="00BD3436">
        <w:rPr>
          <w:lang w:val="en-GB"/>
        </w:rPr>
        <w:t xml:space="preserve">resource envelope. The country office will set out management strategies for </w:t>
      </w:r>
      <w:r w:rsidR="00DF7346" w:rsidRPr="00BD3436">
        <w:rPr>
          <w:lang w:val="en-GB"/>
        </w:rPr>
        <w:t xml:space="preserve">mitigating </w:t>
      </w:r>
      <w:r w:rsidRPr="00BD3436">
        <w:rPr>
          <w:lang w:val="en-GB"/>
        </w:rPr>
        <w:t xml:space="preserve">important risks. One of them is the slow progress </w:t>
      </w:r>
      <w:r w:rsidR="00D11E70" w:rsidRPr="00BD3436">
        <w:rPr>
          <w:lang w:val="en-GB"/>
        </w:rPr>
        <w:t xml:space="preserve">of the Government </w:t>
      </w:r>
      <w:r w:rsidRPr="00BD3436">
        <w:rPr>
          <w:lang w:val="en-GB"/>
        </w:rPr>
        <w:t xml:space="preserve">in implementing its agenda </w:t>
      </w:r>
      <w:r w:rsidR="00D11E70" w:rsidRPr="00BD3436">
        <w:rPr>
          <w:lang w:val="en-GB"/>
        </w:rPr>
        <w:t xml:space="preserve">to </w:t>
      </w:r>
      <w:r w:rsidRPr="00BD3436">
        <w:rPr>
          <w:lang w:val="en-GB"/>
        </w:rPr>
        <w:t xml:space="preserve">redress the economy; this risk carries a significant negative long-term impact on the </w:t>
      </w:r>
      <w:r w:rsidR="00D11E70" w:rsidRPr="00BD3436">
        <w:rPr>
          <w:lang w:val="en-GB"/>
        </w:rPr>
        <w:t xml:space="preserve">country’s </w:t>
      </w:r>
      <w:r w:rsidRPr="00BD3436">
        <w:rPr>
          <w:lang w:val="en-GB"/>
        </w:rPr>
        <w:t xml:space="preserve">growth </w:t>
      </w:r>
      <w:r w:rsidR="002A083F" w:rsidRPr="00BD3436">
        <w:rPr>
          <w:lang w:val="en-GB"/>
        </w:rPr>
        <w:t xml:space="preserve">and on the pace and scope of </w:t>
      </w:r>
      <w:r w:rsidR="00D11E70" w:rsidRPr="00BD3436">
        <w:rPr>
          <w:lang w:val="en-GB"/>
        </w:rPr>
        <w:t xml:space="preserve">country programme </w:t>
      </w:r>
      <w:r w:rsidR="002A083F" w:rsidRPr="00BD3436">
        <w:rPr>
          <w:lang w:val="en-GB"/>
        </w:rPr>
        <w:t>implementation.</w:t>
      </w:r>
      <w:r w:rsidRPr="00BD3436">
        <w:rPr>
          <w:lang w:val="en-GB"/>
        </w:rPr>
        <w:t xml:space="preserve"> Another risk is that public administration reform would not result in sufficient capacity to advance the E</w:t>
      </w:r>
      <w:r w:rsidR="00D11E70" w:rsidRPr="00BD3436">
        <w:rPr>
          <w:lang w:val="en-GB"/>
        </w:rPr>
        <w:t xml:space="preserve">uropean </w:t>
      </w:r>
      <w:r w:rsidRPr="00BD3436">
        <w:rPr>
          <w:lang w:val="en-GB"/>
        </w:rPr>
        <w:t>U</w:t>
      </w:r>
      <w:r w:rsidR="00D11E70" w:rsidRPr="00BD3436">
        <w:rPr>
          <w:lang w:val="en-GB"/>
        </w:rPr>
        <w:t>nion</w:t>
      </w:r>
      <w:r w:rsidRPr="00BD3436">
        <w:rPr>
          <w:lang w:val="en-GB"/>
        </w:rPr>
        <w:t xml:space="preserve"> accession process at the pace desired by the </w:t>
      </w:r>
      <w:r w:rsidR="00D11E70" w:rsidRPr="00BD3436">
        <w:rPr>
          <w:lang w:val="en-GB"/>
        </w:rPr>
        <w:t>G</w:t>
      </w:r>
      <w:r w:rsidRPr="00BD3436">
        <w:rPr>
          <w:lang w:val="en-GB"/>
        </w:rPr>
        <w:t>overnment</w:t>
      </w:r>
      <w:r w:rsidR="00EC61C8" w:rsidRPr="00BD3436">
        <w:rPr>
          <w:lang w:val="en-GB"/>
        </w:rPr>
        <w:t xml:space="preserve">, </w:t>
      </w:r>
      <w:r w:rsidR="00DF7346" w:rsidRPr="00BD3436">
        <w:rPr>
          <w:lang w:val="en-GB"/>
        </w:rPr>
        <w:t xml:space="preserve">which will </w:t>
      </w:r>
      <w:r w:rsidR="00EC61C8" w:rsidRPr="00BD3436">
        <w:rPr>
          <w:lang w:val="en-GB"/>
        </w:rPr>
        <w:t>affect implementation of projects and programmes</w:t>
      </w:r>
      <w:r w:rsidRPr="00BD3436">
        <w:rPr>
          <w:lang w:val="en-GB"/>
        </w:rPr>
        <w:t xml:space="preserve">. UNDP will seek to inform decision-making through research and analysis. Finally, there is a persistent risk of natural hazards, </w:t>
      </w:r>
      <w:r w:rsidR="00D11E70" w:rsidRPr="00BD3436">
        <w:rPr>
          <w:lang w:val="en-GB"/>
        </w:rPr>
        <w:t xml:space="preserve">owing </w:t>
      </w:r>
      <w:r w:rsidRPr="00BD3436">
        <w:rPr>
          <w:lang w:val="en-GB"/>
        </w:rPr>
        <w:t xml:space="preserve">to changing weather patterns that will require authorities to increasingly act preventively. </w:t>
      </w:r>
      <w:r w:rsidR="002A083F" w:rsidRPr="00BD3436">
        <w:rPr>
          <w:lang w:val="en-GB"/>
        </w:rPr>
        <w:t>Disaster risk-informed</w:t>
      </w:r>
      <w:r w:rsidRPr="00BD3436">
        <w:rPr>
          <w:lang w:val="en-GB"/>
        </w:rPr>
        <w:t xml:space="preserve"> programming </w:t>
      </w:r>
      <w:r w:rsidR="00DF7346" w:rsidRPr="00BD3436">
        <w:rPr>
          <w:lang w:val="en-GB"/>
        </w:rPr>
        <w:t>will be</w:t>
      </w:r>
      <w:r w:rsidRPr="00BD3436">
        <w:rPr>
          <w:lang w:val="en-GB"/>
        </w:rPr>
        <w:t xml:space="preserve"> a priority </w:t>
      </w:r>
      <w:r w:rsidR="002A083F" w:rsidRPr="00BD3436">
        <w:rPr>
          <w:lang w:val="en-GB"/>
        </w:rPr>
        <w:t>in all programme areas</w:t>
      </w:r>
      <w:r w:rsidRPr="00BD3436">
        <w:rPr>
          <w:lang w:val="en-GB"/>
        </w:rPr>
        <w:t xml:space="preserve">. </w:t>
      </w:r>
    </w:p>
    <w:p w14:paraId="0BA22A40" w14:textId="2DCD0505" w:rsidR="005E4042" w:rsidRPr="00BD3436" w:rsidRDefault="00AE2BBD"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D11E70" w:rsidRPr="00BD3436">
        <w:rPr>
          <w:lang w:val="en-GB"/>
        </w:rPr>
        <w:t>s</w:t>
      </w:r>
      <w:r w:rsidRPr="00BD3436">
        <w:rPr>
          <w:lang w:val="en-GB"/>
        </w:rPr>
        <w:t xml:space="preserve"> levels</w:t>
      </w:r>
      <w:r w:rsidR="00D11E70" w:rsidRPr="00BD3436">
        <w:rPr>
          <w:lang w:val="en-GB"/>
        </w:rPr>
        <w:t>,</w:t>
      </w:r>
      <w:r w:rsidRPr="00BD3436">
        <w:rPr>
          <w:lang w:val="en-GB"/>
        </w:rPr>
        <w:t xml:space="preserve"> with respect to country programmes</w:t>
      </w:r>
      <w:r w:rsidR="00D11E70" w:rsidRPr="00BD3436">
        <w:rPr>
          <w:lang w:val="en-GB"/>
        </w:rPr>
        <w:t>,</w:t>
      </w:r>
      <w:r w:rsidRPr="00BD3436">
        <w:rPr>
          <w:lang w:val="en-GB"/>
        </w:rPr>
        <w:t xml:space="preserve"> is prescribed in the organization’s </w:t>
      </w:r>
      <w:hyperlink r:id="rId8" w:history="1">
        <w:r w:rsidRPr="00BD3436">
          <w:rPr>
            <w:rStyle w:val="Hyperlink"/>
            <w:color w:val="auto"/>
            <w:lang w:val="en-GB"/>
          </w:rPr>
          <w:t>programme and operations policies and procedures</w:t>
        </w:r>
      </w:hyperlink>
      <w:r w:rsidRPr="00BD3436">
        <w:rPr>
          <w:lang w:val="en-GB"/>
        </w:rPr>
        <w:t xml:space="preserve"> and the </w:t>
      </w:r>
      <w:hyperlink r:id="rId9" w:history="1">
        <w:r w:rsidRPr="00BD3436">
          <w:rPr>
            <w:rStyle w:val="Hyperlink"/>
            <w:color w:val="auto"/>
            <w:lang w:val="en-GB"/>
          </w:rPr>
          <w:t>internal controls framework</w:t>
        </w:r>
      </w:hyperlink>
      <w:r w:rsidRPr="00BD3436">
        <w:rPr>
          <w:lang w:val="en-GB"/>
        </w:rPr>
        <w:t>.</w:t>
      </w:r>
    </w:p>
    <w:p w14:paraId="673B7F89" w14:textId="77777777" w:rsidR="005E4042" w:rsidRPr="00BD3436" w:rsidRDefault="005E4042" w:rsidP="004303A7">
      <w:pPr>
        <w:pStyle w:val="Heading1"/>
        <w:tabs>
          <w:tab w:val="left" w:pos="1800"/>
        </w:tabs>
        <w:ind w:left="1440" w:right="720" w:hanging="450"/>
        <w:jc w:val="both"/>
        <w:rPr>
          <w:rFonts w:ascii="Times New Roman" w:hAnsi="Times New Roman"/>
          <w:sz w:val="24"/>
          <w:szCs w:val="24"/>
          <w:lang w:val="en-GB"/>
        </w:rPr>
      </w:pPr>
      <w:r w:rsidRPr="00BD3436">
        <w:rPr>
          <w:rFonts w:ascii="Times New Roman" w:hAnsi="Times New Roman"/>
          <w:sz w:val="24"/>
          <w:szCs w:val="24"/>
          <w:lang w:val="en-GB"/>
        </w:rPr>
        <w:t>IV.  Monitoring and evaluation</w:t>
      </w:r>
    </w:p>
    <w:p w14:paraId="7098A400" w14:textId="77777777" w:rsidR="005E4042" w:rsidRPr="00212612" w:rsidRDefault="005E4042" w:rsidP="004303A7">
      <w:pPr>
        <w:tabs>
          <w:tab w:val="left" w:pos="450"/>
          <w:tab w:val="left" w:pos="810"/>
          <w:tab w:val="left" w:pos="1800"/>
          <w:tab w:val="left" w:pos="8370"/>
        </w:tabs>
        <w:ind w:left="1440" w:right="720"/>
        <w:jc w:val="both"/>
        <w:rPr>
          <w:sz w:val="16"/>
          <w:szCs w:val="16"/>
          <w:lang w:val="en-GB"/>
        </w:rPr>
      </w:pPr>
    </w:p>
    <w:p w14:paraId="451A1391" w14:textId="43595A24" w:rsidR="005E4042"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monitoring and evaluation of the country programme is an important element of the programme management process. Based on past experience in measuring UNDAF and </w:t>
      </w:r>
      <w:r w:rsidR="00F00DC5" w:rsidRPr="00BD3436">
        <w:rPr>
          <w:lang w:val="en-GB"/>
        </w:rPr>
        <w:t xml:space="preserve">country programme action plan </w:t>
      </w:r>
      <w:r w:rsidRPr="00BD3436">
        <w:rPr>
          <w:lang w:val="en-GB"/>
        </w:rPr>
        <w:t>progress, a more focused approach is proposed, using a combination of national data, international sources and U</w:t>
      </w:r>
      <w:r w:rsidR="00F00DC5" w:rsidRPr="00BD3436">
        <w:rPr>
          <w:lang w:val="en-GB"/>
        </w:rPr>
        <w:t xml:space="preserve">nited </w:t>
      </w:r>
      <w:r w:rsidRPr="00BD3436">
        <w:rPr>
          <w:lang w:val="en-GB"/>
        </w:rPr>
        <w:t>N</w:t>
      </w:r>
      <w:r w:rsidR="00F00DC5" w:rsidRPr="00BD3436">
        <w:rPr>
          <w:lang w:val="en-GB"/>
        </w:rPr>
        <w:t>ations</w:t>
      </w:r>
      <w:r w:rsidRPr="00BD3436">
        <w:rPr>
          <w:lang w:val="en-GB"/>
        </w:rPr>
        <w:t xml:space="preserve"> </w:t>
      </w:r>
      <w:r w:rsidR="00F00DC5" w:rsidRPr="00BD3436">
        <w:rPr>
          <w:lang w:val="en-GB"/>
        </w:rPr>
        <w:t xml:space="preserve">organizations’ </w:t>
      </w:r>
      <w:r w:rsidRPr="00BD3436">
        <w:rPr>
          <w:lang w:val="en-GB"/>
        </w:rPr>
        <w:t xml:space="preserve">analytical/research products. The </w:t>
      </w:r>
      <w:r w:rsidR="00F00DC5" w:rsidRPr="00BD3436">
        <w:rPr>
          <w:lang w:val="en-GB"/>
        </w:rPr>
        <w:t xml:space="preserve">results and resources framework </w:t>
      </w:r>
      <w:r w:rsidRPr="00BD3436">
        <w:rPr>
          <w:lang w:val="en-GB"/>
        </w:rPr>
        <w:t>indicators are based on available data</w:t>
      </w:r>
      <w:r w:rsidR="00F00DC5" w:rsidRPr="00BD3436">
        <w:rPr>
          <w:lang w:val="en-GB"/>
        </w:rPr>
        <w:t>;</w:t>
      </w:r>
      <w:r w:rsidRPr="00BD3436">
        <w:rPr>
          <w:lang w:val="en-GB"/>
        </w:rPr>
        <w:t xml:space="preserve"> missing baseline data will be determined by early 2016. UNDP will commission additional research (including biannual national human development reports) where necessary.</w:t>
      </w:r>
    </w:p>
    <w:p w14:paraId="16D70CF8" w14:textId="681A48FB" w:rsidR="005E4042"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The </w:t>
      </w:r>
      <w:r w:rsidR="00F00DC5" w:rsidRPr="00BD3436">
        <w:rPr>
          <w:lang w:val="en-GB"/>
        </w:rPr>
        <w:t xml:space="preserve">country programme </w:t>
      </w:r>
      <w:r w:rsidRPr="00BD3436">
        <w:rPr>
          <w:lang w:val="en-GB"/>
        </w:rPr>
        <w:t xml:space="preserve">focus on open data is expected to assist partners </w:t>
      </w:r>
      <w:r w:rsidR="000025C6" w:rsidRPr="00BD3436">
        <w:rPr>
          <w:lang w:val="en-GB"/>
        </w:rPr>
        <w:t xml:space="preserve">in </w:t>
      </w:r>
      <w:r w:rsidRPr="00BD3436">
        <w:rPr>
          <w:lang w:val="en-GB"/>
        </w:rPr>
        <w:t>institut</w:t>
      </w:r>
      <w:r w:rsidR="000025C6" w:rsidRPr="00BD3436">
        <w:rPr>
          <w:lang w:val="en-GB"/>
        </w:rPr>
        <w:t>ing</w:t>
      </w:r>
      <w:r w:rsidRPr="00BD3436">
        <w:rPr>
          <w:lang w:val="en-GB"/>
        </w:rPr>
        <w:t xml:space="preserve"> systems </w:t>
      </w:r>
      <w:r w:rsidR="000025C6" w:rsidRPr="00BD3436">
        <w:rPr>
          <w:lang w:val="en-GB"/>
        </w:rPr>
        <w:t xml:space="preserve">to </w:t>
      </w:r>
      <w:r w:rsidRPr="00BD3436">
        <w:rPr>
          <w:lang w:val="en-GB"/>
        </w:rPr>
        <w:t>measu</w:t>
      </w:r>
      <w:r w:rsidR="000025C6" w:rsidRPr="00BD3436">
        <w:rPr>
          <w:lang w:val="en-GB"/>
        </w:rPr>
        <w:t>re</w:t>
      </w:r>
      <w:r w:rsidRPr="00BD3436">
        <w:rPr>
          <w:lang w:val="en-GB"/>
        </w:rPr>
        <w:t xml:space="preserve"> developmental changes in key sectors towards meeting national development priorities, E</w:t>
      </w:r>
      <w:r w:rsidR="00F00DC5" w:rsidRPr="00BD3436">
        <w:rPr>
          <w:lang w:val="en-GB"/>
        </w:rPr>
        <w:t xml:space="preserve">uropean </w:t>
      </w:r>
      <w:r w:rsidRPr="00BD3436">
        <w:rPr>
          <w:lang w:val="en-GB"/>
        </w:rPr>
        <w:t>U</w:t>
      </w:r>
      <w:r w:rsidR="00F00DC5" w:rsidRPr="00BD3436">
        <w:rPr>
          <w:lang w:val="en-GB"/>
        </w:rPr>
        <w:t>nion</w:t>
      </w:r>
      <w:r w:rsidRPr="00BD3436">
        <w:rPr>
          <w:lang w:val="en-GB"/>
        </w:rPr>
        <w:t xml:space="preserve"> accession commitments, </w:t>
      </w:r>
      <w:r w:rsidR="000025C6" w:rsidRPr="00BD3436">
        <w:rPr>
          <w:lang w:val="en-GB"/>
        </w:rPr>
        <w:t xml:space="preserve">and the </w:t>
      </w:r>
      <w:r w:rsidR="00F00DC5" w:rsidRPr="00BD3436">
        <w:rPr>
          <w:lang w:val="en-GB"/>
        </w:rPr>
        <w:t>sustainable development goals</w:t>
      </w:r>
      <w:r w:rsidR="000025C6" w:rsidRPr="00BD3436">
        <w:rPr>
          <w:lang w:val="en-GB"/>
        </w:rPr>
        <w:t xml:space="preserve">; </w:t>
      </w:r>
      <w:r w:rsidRPr="00BD3436">
        <w:rPr>
          <w:lang w:val="en-GB"/>
        </w:rPr>
        <w:t>promoting evidence-based policy decisions</w:t>
      </w:r>
      <w:r w:rsidR="000025C6" w:rsidRPr="00BD3436">
        <w:rPr>
          <w:lang w:val="en-GB"/>
        </w:rPr>
        <w:t>;</w:t>
      </w:r>
      <w:r w:rsidRPr="00BD3436">
        <w:rPr>
          <w:lang w:val="en-GB"/>
        </w:rPr>
        <w:t xml:space="preserve"> as well as effectively monitor</w:t>
      </w:r>
      <w:r w:rsidR="000025C6" w:rsidRPr="00BD3436">
        <w:rPr>
          <w:lang w:val="en-GB"/>
        </w:rPr>
        <w:t>ing</w:t>
      </w:r>
      <w:r w:rsidRPr="00BD3436">
        <w:rPr>
          <w:lang w:val="en-GB"/>
        </w:rPr>
        <w:t xml:space="preserve"> the new </w:t>
      </w:r>
      <w:r w:rsidR="000025C6" w:rsidRPr="00BD3436">
        <w:rPr>
          <w:lang w:val="en-GB"/>
        </w:rPr>
        <w:t xml:space="preserve">country programme </w:t>
      </w:r>
      <w:r w:rsidRPr="00BD3436">
        <w:rPr>
          <w:lang w:val="en-GB"/>
        </w:rPr>
        <w:t xml:space="preserve">cycle (applying the </w:t>
      </w:r>
      <w:r w:rsidR="000025C6" w:rsidRPr="00BD3436">
        <w:rPr>
          <w:lang w:val="en-GB"/>
        </w:rPr>
        <w:t xml:space="preserve">results and resources framework </w:t>
      </w:r>
      <w:r w:rsidRPr="00BD3436">
        <w:rPr>
          <w:lang w:val="en-GB"/>
        </w:rPr>
        <w:t xml:space="preserve">and the evaluation plan). UNDP will work closely with the </w:t>
      </w:r>
      <w:r w:rsidR="000E4DBF" w:rsidRPr="00BD3436">
        <w:rPr>
          <w:lang w:val="en-GB"/>
        </w:rPr>
        <w:t>Statistical Office</w:t>
      </w:r>
      <w:r w:rsidRPr="00BD3436">
        <w:rPr>
          <w:lang w:val="en-GB"/>
        </w:rPr>
        <w:t>, including support</w:t>
      </w:r>
      <w:r w:rsidR="000025C6" w:rsidRPr="00BD3436">
        <w:rPr>
          <w:lang w:val="en-GB"/>
        </w:rPr>
        <w:t>ing</w:t>
      </w:r>
      <w:r w:rsidRPr="00BD3436">
        <w:rPr>
          <w:lang w:val="en-GB"/>
        </w:rPr>
        <w:t xml:space="preserve"> better use of DevInfo. As in the previous cycle, UNDP will consistently use evaluations to inform programming decisions. A special feature of evaluations during the new cycle will be greater emphasis on national ownership and capacity development in evaluations, through closer involvement of government counterparts in the process. </w:t>
      </w:r>
      <w:r w:rsidR="000025C6" w:rsidRPr="00BD3436">
        <w:rPr>
          <w:lang w:val="en-GB"/>
        </w:rPr>
        <w:t>UNDP will bring in e</w:t>
      </w:r>
      <w:r w:rsidRPr="00BD3436">
        <w:rPr>
          <w:lang w:val="en-GB"/>
        </w:rPr>
        <w:t xml:space="preserve">xperiences from other countries </w:t>
      </w:r>
      <w:r w:rsidR="000025C6" w:rsidRPr="00BD3436">
        <w:rPr>
          <w:lang w:val="en-GB"/>
        </w:rPr>
        <w:t xml:space="preserve">to </w:t>
      </w:r>
      <w:r w:rsidRPr="00BD3436">
        <w:rPr>
          <w:lang w:val="en-GB"/>
        </w:rPr>
        <w:t xml:space="preserve">support Serbian research institutions to deploy innovative tools </w:t>
      </w:r>
      <w:r w:rsidR="000025C6" w:rsidRPr="00BD3436">
        <w:rPr>
          <w:lang w:val="en-GB"/>
        </w:rPr>
        <w:t xml:space="preserve">in </w:t>
      </w:r>
      <w:r w:rsidRPr="00BD3436">
        <w:rPr>
          <w:lang w:val="en-GB"/>
        </w:rPr>
        <w:t>us</w:t>
      </w:r>
      <w:r w:rsidR="000025C6" w:rsidRPr="00BD3436">
        <w:rPr>
          <w:lang w:val="en-GB"/>
        </w:rPr>
        <w:t>ing</w:t>
      </w:r>
      <w:r w:rsidRPr="00BD3436">
        <w:rPr>
          <w:lang w:val="en-GB"/>
        </w:rPr>
        <w:t xml:space="preserve"> open data, data collection, monitoring and reporting. </w:t>
      </w:r>
    </w:p>
    <w:p w14:paraId="0E0C7650" w14:textId="46675A9E" w:rsidR="00F806A0" w:rsidRPr="00BD3436" w:rsidRDefault="00F806A0" w:rsidP="004303A7">
      <w:pPr>
        <w:numPr>
          <w:ilvl w:val="0"/>
          <w:numId w:val="44"/>
        </w:numPr>
        <w:tabs>
          <w:tab w:val="left" w:pos="450"/>
          <w:tab w:val="left" w:pos="810"/>
          <w:tab w:val="left" w:pos="1800"/>
          <w:tab w:val="left" w:pos="8370"/>
        </w:tabs>
        <w:spacing w:after="120"/>
        <w:ind w:left="1440" w:right="720" w:firstLine="0"/>
        <w:jc w:val="both"/>
        <w:rPr>
          <w:lang w:val="en-GB"/>
        </w:rPr>
      </w:pPr>
      <w:r w:rsidRPr="00BD3436">
        <w:rPr>
          <w:lang w:val="en-GB"/>
        </w:rPr>
        <w:t xml:space="preserve">UNDP will work to strengthen its internal results-based management capacities, building on existing customized monitoring tools. The </w:t>
      </w:r>
      <w:r w:rsidR="000D10FC" w:rsidRPr="00BD3436">
        <w:rPr>
          <w:lang w:val="en-GB"/>
        </w:rPr>
        <w:t xml:space="preserve">country office </w:t>
      </w:r>
      <w:r w:rsidRPr="00BD3436">
        <w:rPr>
          <w:lang w:val="en-GB"/>
        </w:rPr>
        <w:t xml:space="preserve">will invest in </w:t>
      </w:r>
      <w:r w:rsidR="000D10FC" w:rsidRPr="00BD3436">
        <w:rPr>
          <w:lang w:val="en-GB"/>
        </w:rPr>
        <w:t xml:space="preserve">staff </w:t>
      </w:r>
      <w:r w:rsidRPr="00BD3436">
        <w:rPr>
          <w:lang w:val="en-GB"/>
        </w:rPr>
        <w:t xml:space="preserve">capacity to continuously monitor and promote positive developmental change. UNDP will also contribute to </w:t>
      </w:r>
      <w:r w:rsidR="000D10FC" w:rsidRPr="00BD3436">
        <w:rPr>
          <w:lang w:val="en-GB"/>
        </w:rPr>
        <w:t>country team m</w:t>
      </w:r>
      <w:r w:rsidRPr="00BD3436">
        <w:rPr>
          <w:lang w:val="en-GB"/>
        </w:rPr>
        <w:t xml:space="preserve">onitoring and </w:t>
      </w:r>
      <w:r w:rsidR="000D10FC" w:rsidRPr="00BD3436">
        <w:rPr>
          <w:lang w:val="en-GB"/>
        </w:rPr>
        <w:t>e</w:t>
      </w:r>
      <w:r w:rsidRPr="00BD3436">
        <w:rPr>
          <w:lang w:val="en-GB"/>
        </w:rPr>
        <w:t>valuation work.</w:t>
      </w:r>
    </w:p>
    <w:p w14:paraId="05DC1005" w14:textId="77777777" w:rsidR="00CF49D9" w:rsidRPr="00BD3436" w:rsidRDefault="00CF49D9" w:rsidP="00F806A0">
      <w:pPr>
        <w:spacing w:after="200"/>
        <w:ind w:left="426" w:right="1160"/>
        <w:contextualSpacing/>
        <w:jc w:val="both"/>
        <w:rPr>
          <w:lang w:val="en-GB"/>
        </w:rPr>
      </w:pPr>
    </w:p>
    <w:p w14:paraId="665F3E92" w14:textId="77777777" w:rsidR="00CF49D9" w:rsidRPr="00BD3436" w:rsidRDefault="00CF49D9" w:rsidP="00F806A0">
      <w:pPr>
        <w:spacing w:after="200"/>
        <w:ind w:left="426" w:right="1160"/>
        <w:contextualSpacing/>
        <w:jc w:val="both"/>
        <w:rPr>
          <w:lang w:val="en-GB"/>
        </w:rPr>
      </w:pPr>
    </w:p>
    <w:p w14:paraId="6EF04E10" w14:textId="77777777" w:rsidR="00CF49D9" w:rsidRPr="00BD3436" w:rsidRDefault="00CF49D9" w:rsidP="00F806A0">
      <w:pPr>
        <w:spacing w:after="200"/>
        <w:ind w:left="426" w:right="1160"/>
        <w:contextualSpacing/>
        <w:jc w:val="both"/>
        <w:rPr>
          <w:lang w:val="en-GB"/>
        </w:rPr>
      </w:pPr>
    </w:p>
    <w:p w14:paraId="13EFB2A7" w14:textId="77777777" w:rsidR="00143505" w:rsidRPr="00BD3436" w:rsidRDefault="00143505" w:rsidP="00F806A0">
      <w:pPr>
        <w:pStyle w:val="Heading4"/>
        <w:spacing w:after="120"/>
        <w:rPr>
          <w:rFonts w:ascii="Times New Roman" w:hAnsi="Times New Roman"/>
          <w:bCs/>
          <w:sz w:val="20"/>
          <w:lang w:val="en-GB"/>
        </w:rPr>
        <w:sectPr w:rsidR="00143505" w:rsidRPr="00BD3436" w:rsidSect="00212612">
          <w:headerReference w:type="even" r:id="rId10"/>
          <w:headerReference w:type="default" r:id="rId11"/>
          <w:footerReference w:type="even" r:id="rId12"/>
          <w:footerReference w:type="default" r:id="rId13"/>
          <w:headerReference w:type="first" r:id="rId14"/>
          <w:pgSz w:w="12240" w:h="15840"/>
          <w:pgMar w:top="1440" w:right="1440" w:bottom="1170" w:left="1440" w:header="708" w:footer="708" w:gutter="0"/>
          <w:cols w:space="708"/>
          <w:titlePg/>
          <w:docGrid w:linePitch="360"/>
        </w:sectPr>
      </w:pPr>
    </w:p>
    <w:p w14:paraId="6DA56770" w14:textId="77777777" w:rsidR="00F806A0" w:rsidRPr="00BD3436" w:rsidRDefault="00301ACA" w:rsidP="00F806A0">
      <w:pPr>
        <w:pStyle w:val="Heading4"/>
        <w:spacing w:after="120"/>
        <w:rPr>
          <w:rFonts w:ascii="Times New Roman" w:hAnsi="Times New Roman"/>
          <w:sz w:val="20"/>
          <w:lang w:val="en-GB"/>
        </w:rPr>
      </w:pPr>
      <w:r w:rsidRPr="00BD3436">
        <w:rPr>
          <w:rFonts w:ascii="Times New Roman" w:hAnsi="Times New Roman"/>
          <w:bCs/>
          <w:sz w:val="24"/>
          <w:szCs w:val="24"/>
          <w:lang w:val="en-GB"/>
        </w:rPr>
        <w:lastRenderedPageBreak/>
        <w:t xml:space="preserve">Annex. </w:t>
      </w:r>
      <w:r w:rsidRPr="00BD3436">
        <w:rPr>
          <w:rFonts w:ascii="Times New Roman" w:hAnsi="Times New Roman"/>
          <w:spacing w:val="4"/>
          <w:w w:val="103"/>
          <w:kern w:val="14"/>
          <w:sz w:val="24"/>
          <w:szCs w:val="24"/>
          <w:lang w:val="en-GB"/>
        </w:rPr>
        <w:t>Results and resources framework for Serbia (2016-2020)</w:t>
      </w:r>
    </w:p>
    <w:tbl>
      <w:tblPr>
        <w:tblW w:w="5048" w:type="pct"/>
        <w:tblLayout w:type="fixed"/>
        <w:tblCellMar>
          <w:left w:w="29" w:type="dxa"/>
          <w:right w:w="29" w:type="dxa"/>
        </w:tblCellMar>
        <w:tblLook w:val="00A0" w:firstRow="1" w:lastRow="0" w:firstColumn="1" w:lastColumn="0" w:noHBand="0" w:noVBand="0"/>
      </w:tblPr>
      <w:tblGrid>
        <w:gridCol w:w="2212"/>
        <w:gridCol w:w="1669"/>
        <w:gridCol w:w="6391"/>
        <w:gridCol w:w="1803"/>
        <w:gridCol w:w="1300"/>
      </w:tblGrid>
      <w:tr w:rsidR="00F806A0" w:rsidRPr="00BD3436" w14:paraId="6C54B243" w14:textId="77777777" w:rsidTr="004303A7">
        <w:trPr>
          <w:trHeight w:val="25"/>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D7E2B6B" w14:textId="060C2E9A" w:rsidR="00F806A0" w:rsidRPr="00BD3436" w:rsidRDefault="00F806A0" w:rsidP="0024407C">
            <w:pPr>
              <w:rPr>
                <w:b/>
                <w:bCs/>
                <w:sz w:val="16"/>
                <w:szCs w:val="16"/>
                <w:lang w:val="en-GB"/>
              </w:rPr>
            </w:pPr>
            <w:r w:rsidRPr="00BD3436">
              <w:rPr>
                <w:b/>
                <w:bCs/>
                <w:sz w:val="16"/>
                <w:szCs w:val="16"/>
                <w:lang w:val="en-GB"/>
              </w:rPr>
              <w:t xml:space="preserve">NATIONAL PRIORITY OR GOAL: </w:t>
            </w:r>
            <w:r w:rsidRPr="00BD3436">
              <w:rPr>
                <w:b/>
                <w:bCs/>
                <w:iCs/>
                <w:sz w:val="16"/>
                <w:szCs w:val="16"/>
                <w:lang w:val="en-GB"/>
              </w:rPr>
              <w:t>N</w:t>
            </w:r>
            <w:r w:rsidR="0024407C" w:rsidRPr="00BD3436">
              <w:rPr>
                <w:b/>
                <w:bCs/>
                <w:iCs/>
                <w:sz w:val="16"/>
                <w:szCs w:val="16"/>
                <w:lang w:val="en-GB"/>
              </w:rPr>
              <w:t>ational Priorities for International Assistance (N</w:t>
            </w:r>
            <w:r w:rsidRPr="00BD3436">
              <w:rPr>
                <w:b/>
                <w:bCs/>
                <w:iCs/>
                <w:sz w:val="16"/>
                <w:szCs w:val="16"/>
                <w:lang w:val="en-GB"/>
              </w:rPr>
              <w:t>AD</w:t>
            </w:r>
            <w:r w:rsidR="0024407C" w:rsidRPr="00BD3436">
              <w:rPr>
                <w:b/>
                <w:bCs/>
                <w:iCs/>
                <w:sz w:val="16"/>
                <w:szCs w:val="16"/>
                <w:lang w:val="en-GB"/>
              </w:rPr>
              <w:t>)</w:t>
            </w:r>
            <w:r w:rsidRPr="00BD3436">
              <w:rPr>
                <w:b/>
                <w:bCs/>
                <w:iCs/>
                <w:sz w:val="16"/>
                <w:szCs w:val="16"/>
                <w:lang w:val="en-GB"/>
              </w:rPr>
              <w:t>:</w:t>
            </w:r>
            <w:r w:rsidRPr="00BD3436">
              <w:rPr>
                <w:bCs/>
                <w:iCs/>
                <w:sz w:val="16"/>
                <w:szCs w:val="16"/>
                <w:lang w:val="en-GB"/>
              </w:rPr>
              <w:t xml:space="preserve"> Improving </w:t>
            </w:r>
            <w:r w:rsidR="0024407C" w:rsidRPr="00BD3436">
              <w:rPr>
                <w:bCs/>
                <w:iCs/>
                <w:sz w:val="16"/>
                <w:szCs w:val="16"/>
                <w:lang w:val="en-GB"/>
              </w:rPr>
              <w:t xml:space="preserve">the </w:t>
            </w:r>
            <w:r w:rsidRPr="00BD3436">
              <w:rPr>
                <w:bCs/>
                <w:iCs/>
                <w:sz w:val="16"/>
                <w:szCs w:val="16"/>
                <w:lang w:val="en-GB"/>
              </w:rPr>
              <w:t xml:space="preserve">judicial system, legal certainty and </w:t>
            </w:r>
            <w:r w:rsidR="0024407C" w:rsidRPr="00BD3436">
              <w:rPr>
                <w:bCs/>
                <w:iCs/>
                <w:sz w:val="16"/>
                <w:szCs w:val="16"/>
                <w:lang w:val="en-GB"/>
              </w:rPr>
              <w:t xml:space="preserve">the </w:t>
            </w:r>
            <w:r w:rsidRPr="00BD3436">
              <w:rPr>
                <w:bCs/>
                <w:iCs/>
                <w:sz w:val="16"/>
                <w:szCs w:val="16"/>
                <w:lang w:val="en-GB"/>
              </w:rPr>
              <w:t xml:space="preserve">fight against corruption; improving the protection and promotion of human and minority rights; improving overall security and </w:t>
            </w:r>
            <w:r w:rsidR="0024407C" w:rsidRPr="00BD3436">
              <w:rPr>
                <w:bCs/>
                <w:iCs/>
                <w:sz w:val="16"/>
                <w:szCs w:val="16"/>
                <w:lang w:val="en-GB"/>
              </w:rPr>
              <w:t xml:space="preserve">the </w:t>
            </w:r>
            <w:r w:rsidRPr="00BD3436">
              <w:rPr>
                <w:bCs/>
                <w:iCs/>
                <w:sz w:val="16"/>
                <w:szCs w:val="16"/>
                <w:lang w:val="en-GB"/>
              </w:rPr>
              <w:t>fight against crime; increasing the effectiveness, efficiency and transparency of public administration; strengthening strategic planning and coordination of public policies; improving transparency, efficiency and accountability in public finance management.</w:t>
            </w:r>
          </w:p>
        </w:tc>
      </w:tr>
      <w:tr w:rsidR="00F806A0" w:rsidRPr="00BD3436" w14:paraId="6BF64F7C" w14:textId="77777777" w:rsidTr="004303A7">
        <w:trPr>
          <w:trHeight w:val="124"/>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847A111" w14:textId="77777777" w:rsidR="00F806A0" w:rsidRPr="00BD3436" w:rsidRDefault="00F806A0" w:rsidP="000D4FFB">
            <w:pPr>
              <w:rPr>
                <w:b/>
                <w:sz w:val="16"/>
                <w:szCs w:val="16"/>
                <w:lang w:val="en-GB"/>
              </w:rPr>
            </w:pPr>
            <w:r w:rsidRPr="00BD3436">
              <w:rPr>
                <w:b/>
                <w:bCs/>
                <w:sz w:val="16"/>
                <w:szCs w:val="16"/>
                <w:lang w:val="en-GB"/>
              </w:rPr>
              <w:t>UNDAF OUTCOME INVOLVING UNDP:</w:t>
            </w:r>
            <w:r w:rsidRPr="00BD3436">
              <w:rPr>
                <w:sz w:val="16"/>
                <w:szCs w:val="16"/>
                <w:lang w:val="en-GB"/>
              </w:rPr>
              <w:t xml:space="preserve"> By 2020, governance institutions at all levels have enhanced accountability and representation to provide better quality services to people and the economy</w:t>
            </w:r>
            <w:r w:rsidR="0024407C" w:rsidRPr="00BD3436">
              <w:rPr>
                <w:sz w:val="16"/>
                <w:szCs w:val="16"/>
                <w:lang w:val="en-GB"/>
              </w:rPr>
              <w:t>.</w:t>
            </w:r>
          </w:p>
          <w:p w14:paraId="3EFAABDE" w14:textId="5623CA4B" w:rsidR="00F806A0" w:rsidRPr="00BD3436" w:rsidRDefault="00F806A0" w:rsidP="000D4FFB">
            <w:pPr>
              <w:rPr>
                <w:sz w:val="16"/>
                <w:szCs w:val="16"/>
                <w:lang w:val="en-GB"/>
              </w:rPr>
            </w:pPr>
            <w:r w:rsidRPr="00BD3436">
              <w:rPr>
                <w:b/>
                <w:bCs/>
                <w:sz w:val="16"/>
                <w:szCs w:val="16"/>
                <w:lang w:val="en-GB"/>
              </w:rPr>
              <w:t xml:space="preserve">Related </w:t>
            </w:r>
            <w:r w:rsidR="0024407C" w:rsidRPr="00BD3436">
              <w:rPr>
                <w:b/>
                <w:bCs/>
                <w:sz w:val="16"/>
                <w:szCs w:val="16"/>
                <w:lang w:val="en-GB"/>
              </w:rPr>
              <w:t>s</w:t>
            </w:r>
            <w:r w:rsidRPr="00BD3436">
              <w:rPr>
                <w:b/>
                <w:bCs/>
                <w:sz w:val="16"/>
                <w:szCs w:val="16"/>
                <w:lang w:val="en-GB"/>
              </w:rPr>
              <w:t xml:space="preserve">trategic </w:t>
            </w:r>
            <w:r w:rsidR="0024407C" w:rsidRPr="00BD3436">
              <w:rPr>
                <w:b/>
                <w:bCs/>
                <w:sz w:val="16"/>
                <w:szCs w:val="16"/>
                <w:lang w:val="en-GB"/>
              </w:rPr>
              <w:t>p</w:t>
            </w:r>
            <w:r w:rsidRPr="00BD3436">
              <w:rPr>
                <w:b/>
                <w:bCs/>
                <w:sz w:val="16"/>
                <w:szCs w:val="16"/>
                <w:lang w:val="en-GB"/>
              </w:rPr>
              <w:t xml:space="preserve">lan outcome: </w:t>
            </w:r>
            <w:r w:rsidRPr="00BD3436">
              <w:rPr>
                <w:iCs/>
                <w:sz w:val="16"/>
                <w:szCs w:val="16"/>
                <w:lang w:val="en-GB"/>
              </w:rPr>
              <w:t>Citizen expectations for voice, development, the rule of law and accountability are met by stronger systems of democratic governance (2)</w:t>
            </w:r>
            <w:r w:rsidR="0024407C" w:rsidRPr="00BD3436">
              <w:rPr>
                <w:iCs/>
                <w:sz w:val="16"/>
                <w:szCs w:val="16"/>
                <w:lang w:val="en-GB"/>
              </w:rPr>
              <w:t>.</w:t>
            </w:r>
          </w:p>
          <w:p w14:paraId="31A0414F" w14:textId="4C3F1E1A" w:rsidR="00F806A0" w:rsidRPr="00BD3436" w:rsidRDefault="00F806A0" w:rsidP="000D4FFB">
            <w:pPr>
              <w:rPr>
                <w:i/>
                <w:iCs/>
                <w:sz w:val="16"/>
                <w:szCs w:val="16"/>
                <w:lang w:val="en-GB"/>
              </w:rPr>
            </w:pPr>
            <w:r w:rsidRPr="00BD3436">
              <w:rPr>
                <w:b/>
                <w:sz w:val="16"/>
                <w:szCs w:val="16"/>
                <w:lang w:val="en-GB"/>
              </w:rPr>
              <w:t xml:space="preserve">Related </w:t>
            </w:r>
            <w:r w:rsidR="0024407C" w:rsidRPr="00BD3436">
              <w:rPr>
                <w:b/>
                <w:sz w:val="16"/>
                <w:szCs w:val="16"/>
                <w:lang w:val="en-GB"/>
              </w:rPr>
              <w:t>s</w:t>
            </w:r>
            <w:r w:rsidRPr="00BD3436">
              <w:rPr>
                <w:b/>
                <w:sz w:val="16"/>
                <w:szCs w:val="16"/>
                <w:lang w:val="en-GB"/>
              </w:rPr>
              <w:t xml:space="preserve">trategic </w:t>
            </w:r>
            <w:r w:rsidR="0024407C" w:rsidRPr="00BD3436">
              <w:rPr>
                <w:b/>
                <w:sz w:val="16"/>
                <w:szCs w:val="16"/>
                <w:lang w:val="en-GB"/>
              </w:rPr>
              <w:t>p</w:t>
            </w:r>
            <w:r w:rsidRPr="00BD3436">
              <w:rPr>
                <w:b/>
                <w:sz w:val="16"/>
                <w:szCs w:val="16"/>
                <w:lang w:val="en-GB"/>
              </w:rPr>
              <w:t>lan outcome indicator:</w:t>
            </w:r>
            <w:r w:rsidRPr="00BD3436">
              <w:rPr>
                <w:sz w:val="16"/>
                <w:szCs w:val="16"/>
                <w:lang w:val="en-GB"/>
              </w:rPr>
              <w:t xml:space="preserve"> </w:t>
            </w:r>
            <w:r w:rsidRPr="00BD3436">
              <w:rPr>
                <w:iCs/>
                <w:sz w:val="16"/>
                <w:szCs w:val="16"/>
                <w:lang w:val="en-GB"/>
              </w:rPr>
              <w:t>Number of countries with open access to data on government budgets, expenditures and public procurement (1)</w:t>
            </w:r>
            <w:r w:rsidR="0024407C" w:rsidRPr="00BD3436">
              <w:rPr>
                <w:iCs/>
                <w:sz w:val="16"/>
                <w:szCs w:val="16"/>
                <w:lang w:val="en-GB"/>
              </w:rPr>
              <w:t>.</w:t>
            </w:r>
          </w:p>
        </w:tc>
      </w:tr>
      <w:tr w:rsidR="00F806A0" w:rsidRPr="00BD3436" w14:paraId="35A9AFBA" w14:textId="77777777" w:rsidTr="004303A7">
        <w:trPr>
          <w:trHeight w:val="668"/>
        </w:trPr>
        <w:tc>
          <w:tcPr>
            <w:tcW w:w="827" w:type="pct"/>
            <w:tcBorders>
              <w:top w:val="single" w:sz="8" w:space="0" w:color="000000"/>
              <w:left w:val="single" w:sz="8" w:space="0" w:color="000000"/>
              <w:bottom w:val="single" w:sz="4" w:space="0" w:color="auto"/>
              <w:right w:val="single" w:sz="4" w:space="0" w:color="auto"/>
            </w:tcBorders>
            <w:tcMar>
              <w:top w:w="72" w:type="dxa"/>
              <w:left w:w="144" w:type="dxa"/>
              <w:bottom w:w="72" w:type="dxa"/>
              <w:right w:w="144" w:type="dxa"/>
            </w:tcMar>
            <w:vAlign w:val="center"/>
          </w:tcPr>
          <w:p w14:paraId="63543571" w14:textId="77777777" w:rsidR="00F806A0" w:rsidRPr="00BD3436" w:rsidRDefault="00F806A0" w:rsidP="000D4FFB">
            <w:pPr>
              <w:jc w:val="center"/>
              <w:rPr>
                <w:b/>
                <w:bCs/>
                <w:sz w:val="16"/>
                <w:szCs w:val="16"/>
                <w:lang w:val="en-GB"/>
              </w:rPr>
            </w:pPr>
            <w:r w:rsidRPr="00BD3436">
              <w:rPr>
                <w:b/>
                <w:bCs/>
                <w:sz w:val="16"/>
                <w:szCs w:val="16"/>
                <w:lang w:val="en-GB"/>
              </w:rPr>
              <w:t xml:space="preserve">UNDAF OUTCOME INDICATOR(S), BASELINES, TARGET(S) </w:t>
            </w:r>
          </w:p>
        </w:tc>
        <w:tc>
          <w:tcPr>
            <w:tcW w:w="624" w:type="pct"/>
            <w:tcBorders>
              <w:top w:val="single" w:sz="8" w:space="0" w:color="000000"/>
              <w:left w:val="single" w:sz="4" w:space="0" w:color="auto"/>
              <w:bottom w:val="single" w:sz="4" w:space="0" w:color="auto"/>
              <w:right w:val="single" w:sz="8" w:space="0" w:color="000000"/>
            </w:tcBorders>
            <w:vAlign w:val="center"/>
          </w:tcPr>
          <w:p w14:paraId="30931162" w14:textId="77777777" w:rsidR="00F806A0" w:rsidRPr="00BD3436" w:rsidRDefault="00F806A0" w:rsidP="000D4FFB">
            <w:pPr>
              <w:jc w:val="center"/>
              <w:rPr>
                <w:b/>
                <w:sz w:val="16"/>
                <w:szCs w:val="16"/>
                <w:lang w:val="en-GB"/>
              </w:rPr>
            </w:pPr>
            <w:r w:rsidRPr="00BD3436">
              <w:rPr>
                <w:b/>
                <w:sz w:val="16"/>
                <w:szCs w:val="16"/>
                <w:lang w:val="en-GB"/>
              </w:rPr>
              <w:t>DATA SOURCE AND FREQUENCY OF DATA COLLECTION, AND RESPONSIBILITIES</w:t>
            </w:r>
          </w:p>
        </w:tc>
        <w:tc>
          <w:tcPr>
            <w:tcW w:w="2389"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150EB492" w14:textId="192B9104" w:rsidR="00F806A0" w:rsidRPr="00BD3436" w:rsidRDefault="00F806A0" w:rsidP="000D4FFB">
            <w:pPr>
              <w:tabs>
                <w:tab w:val="left" w:pos="3280"/>
              </w:tabs>
              <w:jc w:val="center"/>
              <w:rPr>
                <w:sz w:val="16"/>
                <w:szCs w:val="16"/>
                <w:lang w:val="en-GB"/>
              </w:rPr>
            </w:pPr>
            <w:r w:rsidRPr="00BD3436">
              <w:rPr>
                <w:b/>
                <w:bCs/>
                <w:sz w:val="16"/>
                <w:szCs w:val="16"/>
                <w:lang w:val="en-GB"/>
              </w:rPr>
              <w:t>INDICATIVE COUNTRY PROGRAMME OUTPUTS (including</w:t>
            </w:r>
            <w:r w:rsidR="00212612">
              <w:rPr>
                <w:b/>
                <w:bCs/>
                <w:sz w:val="16"/>
                <w:szCs w:val="16"/>
                <w:lang w:val="en-GB"/>
              </w:rPr>
              <w:t xml:space="preserve"> indicators, baselines targets)</w:t>
            </w:r>
          </w:p>
        </w:tc>
        <w:tc>
          <w:tcPr>
            <w:tcW w:w="674" w:type="pct"/>
            <w:tcBorders>
              <w:top w:val="single" w:sz="8" w:space="0" w:color="000000"/>
              <w:left w:val="single" w:sz="8" w:space="0" w:color="000000"/>
              <w:bottom w:val="single" w:sz="4" w:space="0" w:color="auto"/>
              <w:right w:val="single" w:sz="8" w:space="0" w:color="000000"/>
            </w:tcBorders>
          </w:tcPr>
          <w:p w14:paraId="703201F4" w14:textId="77777777" w:rsidR="00F806A0" w:rsidRPr="00BD3436" w:rsidRDefault="00F806A0" w:rsidP="000D4FFB">
            <w:pPr>
              <w:jc w:val="center"/>
              <w:rPr>
                <w:b/>
                <w:bCs/>
                <w:sz w:val="16"/>
                <w:szCs w:val="16"/>
                <w:lang w:val="en-GB"/>
              </w:rPr>
            </w:pPr>
            <w:r w:rsidRPr="00BD3436">
              <w:rPr>
                <w:b/>
                <w:bCs/>
                <w:sz w:val="16"/>
                <w:szCs w:val="16"/>
                <w:lang w:val="en-GB"/>
              </w:rPr>
              <w:t>MAJOR PARTNERS/PARTNERSHIPS</w:t>
            </w:r>
          </w:p>
          <w:p w14:paraId="4981E154" w14:textId="77777777" w:rsidR="00F806A0" w:rsidRPr="00BD3436" w:rsidRDefault="00F806A0" w:rsidP="000D4FFB">
            <w:pPr>
              <w:jc w:val="center"/>
              <w:rPr>
                <w:b/>
                <w:bCs/>
                <w:sz w:val="16"/>
                <w:szCs w:val="16"/>
                <w:lang w:val="en-GB"/>
              </w:rPr>
            </w:pPr>
            <w:r w:rsidRPr="00BD3436">
              <w:rPr>
                <w:b/>
                <w:bCs/>
                <w:sz w:val="16"/>
                <w:szCs w:val="16"/>
                <w:lang w:val="en-GB"/>
              </w:rPr>
              <w:t>FRAMEWORKS</w:t>
            </w:r>
          </w:p>
        </w:tc>
        <w:tc>
          <w:tcPr>
            <w:tcW w:w="486"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16AE3EBE" w14:textId="2C72A1C4" w:rsidR="00F806A0" w:rsidRPr="00BD3436" w:rsidRDefault="00F806A0" w:rsidP="00D343C4">
            <w:pPr>
              <w:jc w:val="center"/>
              <w:rPr>
                <w:b/>
                <w:bCs/>
                <w:sz w:val="16"/>
                <w:szCs w:val="16"/>
                <w:lang w:val="en-GB"/>
              </w:rPr>
            </w:pPr>
            <w:r w:rsidRPr="00BD3436">
              <w:rPr>
                <w:b/>
                <w:bCs/>
                <w:sz w:val="16"/>
                <w:szCs w:val="16"/>
                <w:lang w:val="en-GB"/>
              </w:rPr>
              <w:t xml:space="preserve">INDICATIVE RESOURCES BY OUTCOME </w:t>
            </w:r>
            <w:r w:rsidRPr="00BD3436">
              <w:rPr>
                <w:bCs/>
                <w:i/>
                <w:sz w:val="16"/>
                <w:szCs w:val="16"/>
                <w:lang w:val="en-GB"/>
              </w:rPr>
              <w:t>(U</w:t>
            </w:r>
            <w:r w:rsidR="00D343C4" w:rsidRPr="00BD3436">
              <w:rPr>
                <w:bCs/>
                <w:i/>
                <w:sz w:val="16"/>
                <w:szCs w:val="16"/>
                <w:lang w:val="en-GB"/>
              </w:rPr>
              <w:t xml:space="preserve">nited </w:t>
            </w:r>
            <w:r w:rsidRPr="00BD3436">
              <w:rPr>
                <w:bCs/>
                <w:i/>
                <w:sz w:val="16"/>
                <w:szCs w:val="16"/>
                <w:lang w:val="en-GB"/>
              </w:rPr>
              <w:t>S</w:t>
            </w:r>
            <w:r w:rsidR="00D343C4" w:rsidRPr="00BD3436">
              <w:rPr>
                <w:bCs/>
                <w:i/>
                <w:sz w:val="16"/>
                <w:szCs w:val="16"/>
                <w:lang w:val="en-GB"/>
              </w:rPr>
              <w:t>tates dollars)</w:t>
            </w:r>
          </w:p>
        </w:tc>
      </w:tr>
      <w:tr w:rsidR="00F806A0" w:rsidRPr="00BD3436" w14:paraId="20200123" w14:textId="77777777" w:rsidTr="004303A7">
        <w:trPr>
          <w:trHeight w:val="133"/>
        </w:trPr>
        <w:tc>
          <w:tcPr>
            <w:tcW w:w="827" w:type="pct"/>
            <w:vMerge w:val="restart"/>
            <w:tcBorders>
              <w:top w:val="single" w:sz="4" w:space="0" w:color="auto"/>
              <w:left w:val="single" w:sz="8" w:space="0" w:color="000000"/>
              <w:right w:val="single" w:sz="4" w:space="0" w:color="auto"/>
            </w:tcBorders>
            <w:tcMar>
              <w:top w:w="72" w:type="dxa"/>
              <w:left w:w="144" w:type="dxa"/>
              <w:bottom w:w="72" w:type="dxa"/>
              <w:right w:w="144" w:type="dxa"/>
            </w:tcMar>
          </w:tcPr>
          <w:p w14:paraId="49C74EF5" w14:textId="5F68C754" w:rsidR="00F806A0" w:rsidRPr="00BD3436" w:rsidRDefault="00F806A0" w:rsidP="000D4FFB">
            <w:pPr>
              <w:rPr>
                <w:bCs/>
                <w:sz w:val="16"/>
                <w:szCs w:val="16"/>
                <w:lang w:val="en-GB"/>
              </w:rPr>
            </w:pPr>
            <w:r w:rsidRPr="00BD3436">
              <w:rPr>
                <w:iCs/>
                <w:sz w:val="16"/>
                <w:szCs w:val="16"/>
                <w:lang w:val="en-GB"/>
              </w:rPr>
              <w:t>Indicator</w:t>
            </w:r>
            <w:r w:rsidRPr="00BD3436">
              <w:rPr>
                <w:bCs/>
                <w:sz w:val="16"/>
                <w:szCs w:val="16"/>
                <w:lang w:val="en-GB"/>
              </w:rPr>
              <w:t xml:space="preserve">: Governance </w:t>
            </w:r>
            <w:r w:rsidR="0024407C" w:rsidRPr="00BD3436">
              <w:rPr>
                <w:bCs/>
                <w:sz w:val="16"/>
                <w:szCs w:val="16"/>
                <w:lang w:val="en-GB"/>
              </w:rPr>
              <w:t>e</w:t>
            </w:r>
            <w:r w:rsidRPr="00BD3436">
              <w:rPr>
                <w:bCs/>
                <w:sz w:val="16"/>
                <w:szCs w:val="16"/>
                <w:lang w:val="en-GB"/>
              </w:rPr>
              <w:t xml:space="preserve">ffectiveness </w:t>
            </w:r>
            <w:r w:rsidR="0024407C" w:rsidRPr="00BD3436">
              <w:rPr>
                <w:bCs/>
                <w:sz w:val="16"/>
                <w:szCs w:val="16"/>
                <w:lang w:val="en-GB"/>
              </w:rPr>
              <w:t>i</w:t>
            </w:r>
            <w:r w:rsidRPr="00BD3436">
              <w:rPr>
                <w:bCs/>
                <w:sz w:val="16"/>
                <w:szCs w:val="16"/>
                <w:lang w:val="en-GB"/>
              </w:rPr>
              <w:t>ndex</w:t>
            </w:r>
          </w:p>
          <w:p w14:paraId="7E2CE56A" w14:textId="77777777" w:rsidR="00F806A0" w:rsidRPr="00BD3436" w:rsidRDefault="00F806A0" w:rsidP="000D4FFB">
            <w:pPr>
              <w:rPr>
                <w:bCs/>
                <w:sz w:val="16"/>
                <w:szCs w:val="16"/>
                <w:lang w:val="en-GB"/>
              </w:rPr>
            </w:pPr>
            <w:r w:rsidRPr="00BD3436">
              <w:rPr>
                <w:bCs/>
                <w:sz w:val="16"/>
                <w:szCs w:val="16"/>
                <w:lang w:val="en-GB"/>
              </w:rPr>
              <w:t xml:space="preserve">Baseline </w:t>
            </w:r>
            <w:r w:rsidR="00C53863" w:rsidRPr="00BD3436">
              <w:rPr>
                <w:bCs/>
                <w:sz w:val="16"/>
                <w:szCs w:val="16"/>
                <w:lang w:val="en-GB"/>
              </w:rPr>
              <w:t>(</w:t>
            </w:r>
            <w:r w:rsidRPr="00BD3436">
              <w:rPr>
                <w:bCs/>
                <w:sz w:val="16"/>
                <w:szCs w:val="16"/>
                <w:lang w:val="en-GB"/>
              </w:rPr>
              <w:t>2013</w:t>
            </w:r>
            <w:r w:rsidR="00C53863" w:rsidRPr="00BD3436">
              <w:rPr>
                <w:bCs/>
                <w:sz w:val="16"/>
                <w:szCs w:val="16"/>
                <w:lang w:val="en-GB"/>
              </w:rPr>
              <w:t>)</w:t>
            </w:r>
            <w:r w:rsidRPr="00BD3436">
              <w:rPr>
                <w:bCs/>
                <w:sz w:val="16"/>
                <w:szCs w:val="16"/>
                <w:lang w:val="en-GB"/>
              </w:rPr>
              <w:t xml:space="preserve">: -0.10  </w:t>
            </w:r>
          </w:p>
          <w:p w14:paraId="1B6A209A" w14:textId="77777777" w:rsidR="00F806A0" w:rsidRPr="00BD3436" w:rsidRDefault="00F806A0" w:rsidP="000D4FFB">
            <w:pPr>
              <w:rPr>
                <w:bCs/>
                <w:sz w:val="16"/>
                <w:szCs w:val="16"/>
                <w:lang w:val="en-GB"/>
              </w:rPr>
            </w:pPr>
            <w:r w:rsidRPr="00BD3436">
              <w:rPr>
                <w:bCs/>
                <w:sz w:val="16"/>
                <w:szCs w:val="16"/>
                <w:lang w:val="en-GB"/>
              </w:rPr>
              <w:t>Target: 0.1 by 2020</w:t>
            </w:r>
          </w:p>
          <w:p w14:paraId="5171689F" w14:textId="77777777" w:rsidR="00F806A0" w:rsidRPr="00BD3436" w:rsidRDefault="00F806A0" w:rsidP="000D4FFB">
            <w:pPr>
              <w:rPr>
                <w:iCs/>
                <w:sz w:val="16"/>
                <w:szCs w:val="16"/>
                <w:lang w:val="en-GB"/>
              </w:rPr>
            </w:pPr>
          </w:p>
          <w:p w14:paraId="06C769D7" w14:textId="788613F3" w:rsidR="00F806A0" w:rsidRPr="00BD3436" w:rsidRDefault="00F806A0" w:rsidP="000D4FFB">
            <w:pPr>
              <w:rPr>
                <w:bCs/>
                <w:sz w:val="16"/>
                <w:szCs w:val="16"/>
                <w:lang w:val="en-GB"/>
              </w:rPr>
            </w:pPr>
            <w:r w:rsidRPr="00BD3436">
              <w:rPr>
                <w:iCs/>
                <w:sz w:val="16"/>
                <w:szCs w:val="16"/>
                <w:lang w:val="en-GB"/>
              </w:rPr>
              <w:t>Indicator:</w:t>
            </w:r>
            <w:r w:rsidRPr="00BD3436">
              <w:rPr>
                <w:bCs/>
                <w:sz w:val="16"/>
                <w:szCs w:val="16"/>
                <w:lang w:val="en-GB"/>
              </w:rPr>
              <w:t xml:space="preserve"> Regulatory </w:t>
            </w:r>
            <w:r w:rsidR="0024407C" w:rsidRPr="00BD3436">
              <w:rPr>
                <w:bCs/>
                <w:sz w:val="16"/>
                <w:szCs w:val="16"/>
                <w:lang w:val="en-GB"/>
              </w:rPr>
              <w:t>e</w:t>
            </w:r>
            <w:r w:rsidRPr="00BD3436">
              <w:rPr>
                <w:bCs/>
                <w:sz w:val="16"/>
                <w:szCs w:val="16"/>
                <w:lang w:val="en-GB"/>
              </w:rPr>
              <w:t xml:space="preserve">ffectiveness </w:t>
            </w:r>
            <w:r w:rsidR="0024407C" w:rsidRPr="00BD3436">
              <w:rPr>
                <w:bCs/>
                <w:sz w:val="16"/>
                <w:szCs w:val="16"/>
                <w:lang w:val="en-GB"/>
              </w:rPr>
              <w:t>i</w:t>
            </w:r>
            <w:r w:rsidRPr="00BD3436">
              <w:rPr>
                <w:bCs/>
                <w:sz w:val="16"/>
                <w:szCs w:val="16"/>
                <w:lang w:val="en-GB"/>
              </w:rPr>
              <w:t>ndex</w:t>
            </w:r>
          </w:p>
          <w:p w14:paraId="2B341AEC" w14:textId="77777777" w:rsidR="00F806A0" w:rsidRPr="00BD3436" w:rsidRDefault="00F806A0" w:rsidP="000D4FFB">
            <w:pPr>
              <w:rPr>
                <w:bCs/>
                <w:sz w:val="16"/>
                <w:szCs w:val="16"/>
                <w:lang w:val="en-GB"/>
              </w:rPr>
            </w:pPr>
            <w:r w:rsidRPr="00BD3436">
              <w:rPr>
                <w:bCs/>
                <w:sz w:val="16"/>
                <w:szCs w:val="16"/>
                <w:lang w:val="en-GB"/>
              </w:rPr>
              <w:t xml:space="preserve">Baseline </w:t>
            </w:r>
            <w:r w:rsidR="00C53863" w:rsidRPr="00BD3436">
              <w:rPr>
                <w:bCs/>
                <w:sz w:val="16"/>
                <w:szCs w:val="16"/>
                <w:lang w:val="en-GB"/>
              </w:rPr>
              <w:t>(</w:t>
            </w:r>
            <w:r w:rsidRPr="00BD3436">
              <w:rPr>
                <w:bCs/>
                <w:sz w:val="16"/>
                <w:szCs w:val="16"/>
                <w:lang w:val="en-GB"/>
              </w:rPr>
              <w:t>2013</w:t>
            </w:r>
            <w:r w:rsidR="00C53863" w:rsidRPr="00BD3436">
              <w:rPr>
                <w:bCs/>
                <w:sz w:val="16"/>
                <w:szCs w:val="16"/>
                <w:lang w:val="en-GB"/>
              </w:rPr>
              <w:t>)</w:t>
            </w:r>
            <w:r w:rsidRPr="00BD3436">
              <w:rPr>
                <w:bCs/>
                <w:sz w:val="16"/>
                <w:szCs w:val="16"/>
                <w:lang w:val="en-GB"/>
              </w:rPr>
              <w:t xml:space="preserve">: 0.15 </w:t>
            </w:r>
          </w:p>
          <w:p w14:paraId="08F9A3F5" w14:textId="77777777" w:rsidR="00F806A0" w:rsidRPr="00BD3436" w:rsidRDefault="00F806A0" w:rsidP="000D4FFB">
            <w:pPr>
              <w:rPr>
                <w:bCs/>
                <w:sz w:val="16"/>
                <w:szCs w:val="16"/>
                <w:lang w:val="en-GB"/>
              </w:rPr>
            </w:pPr>
            <w:r w:rsidRPr="00BD3436">
              <w:rPr>
                <w:bCs/>
                <w:sz w:val="16"/>
                <w:szCs w:val="16"/>
                <w:lang w:val="en-GB"/>
              </w:rPr>
              <w:t>Target: 0.44 by 2020</w:t>
            </w:r>
          </w:p>
          <w:p w14:paraId="6C13A7C5" w14:textId="77777777" w:rsidR="00F806A0" w:rsidRPr="00BD3436" w:rsidRDefault="00F806A0" w:rsidP="000D4FFB">
            <w:pPr>
              <w:rPr>
                <w:bCs/>
                <w:i/>
                <w:sz w:val="16"/>
                <w:szCs w:val="16"/>
                <w:lang w:val="en-GB"/>
              </w:rPr>
            </w:pPr>
          </w:p>
        </w:tc>
        <w:tc>
          <w:tcPr>
            <w:tcW w:w="624" w:type="pct"/>
            <w:vMerge w:val="restart"/>
            <w:tcBorders>
              <w:top w:val="single" w:sz="4" w:space="0" w:color="auto"/>
              <w:left w:val="single" w:sz="4" w:space="0" w:color="auto"/>
              <w:right w:val="single" w:sz="8" w:space="0" w:color="000000"/>
            </w:tcBorders>
          </w:tcPr>
          <w:p w14:paraId="4918327E" w14:textId="6DFB63E0" w:rsidR="00F806A0" w:rsidRPr="00BD3436" w:rsidRDefault="00F806A0" w:rsidP="00595F27">
            <w:pPr>
              <w:spacing w:after="120"/>
              <w:rPr>
                <w:iCs/>
                <w:sz w:val="16"/>
                <w:szCs w:val="16"/>
                <w:lang w:val="en-GB"/>
              </w:rPr>
            </w:pPr>
            <w:r w:rsidRPr="00BD3436">
              <w:rPr>
                <w:iCs/>
                <w:sz w:val="16"/>
                <w:szCs w:val="16"/>
                <w:lang w:val="en-GB"/>
              </w:rPr>
              <w:t xml:space="preserve">World Bank </w:t>
            </w:r>
            <w:r w:rsidR="0024407C" w:rsidRPr="00BD3436">
              <w:rPr>
                <w:iCs/>
                <w:sz w:val="16"/>
                <w:szCs w:val="16"/>
                <w:lang w:val="en-GB"/>
              </w:rPr>
              <w:t>w</w:t>
            </w:r>
            <w:r w:rsidRPr="00BD3436">
              <w:rPr>
                <w:iCs/>
                <w:sz w:val="16"/>
                <w:szCs w:val="16"/>
                <w:lang w:val="en-GB"/>
              </w:rPr>
              <w:t xml:space="preserve">orldwide </w:t>
            </w:r>
            <w:r w:rsidR="0024407C" w:rsidRPr="00BD3436">
              <w:rPr>
                <w:iCs/>
                <w:sz w:val="16"/>
                <w:szCs w:val="16"/>
                <w:lang w:val="en-GB"/>
              </w:rPr>
              <w:t>g</w:t>
            </w:r>
            <w:r w:rsidRPr="00BD3436">
              <w:rPr>
                <w:iCs/>
                <w:sz w:val="16"/>
                <w:szCs w:val="16"/>
                <w:lang w:val="en-GB"/>
              </w:rPr>
              <w:t xml:space="preserve">overnance </w:t>
            </w:r>
            <w:r w:rsidR="0024407C" w:rsidRPr="00BD3436">
              <w:rPr>
                <w:iCs/>
                <w:sz w:val="16"/>
                <w:szCs w:val="16"/>
                <w:lang w:val="en-GB"/>
              </w:rPr>
              <w:t>i</w:t>
            </w:r>
            <w:r w:rsidRPr="00BD3436">
              <w:rPr>
                <w:iCs/>
                <w:sz w:val="16"/>
                <w:szCs w:val="16"/>
                <w:lang w:val="en-GB"/>
              </w:rPr>
              <w:t>ndicators</w:t>
            </w:r>
          </w:p>
          <w:p w14:paraId="4055E46A" w14:textId="77777777" w:rsidR="00F806A0" w:rsidRPr="00BD3436" w:rsidRDefault="00F806A0" w:rsidP="000D4FFB">
            <w:pPr>
              <w:spacing w:after="120"/>
              <w:rPr>
                <w:iCs/>
                <w:sz w:val="16"/>
                <w:szCs w:val="16"/>
                <w:lang w:val="en-GB"/>
              </w:rPr>
            </w:pPr>
          </w:p>
          <w:p w14:paraId="3A288BC7" w14:textId="111BC0BB" w:rsidR="00F806A0" w:rsidRPr="00BD3436" w:rsidRDefault="00F806A0" w:rsidP="00595F27">
            <w:pPr>
              <w:spacing w:after="120"/>
              <w:rPr>
                <w:iCs/>
                <w:sz w:val="16"/>
                <w:szCs w:val="16"/>
                <w:lang w:val="en-GB"/>
              </w:rPr>
            </w:pPr>
            <w:r w:rsidRPr="00BD3436">
              <w:rPr>
                <w:iCs/>
                <w:sz w:val="16"/>
                <w:szCs w:val="16"/>
                <w:lang w:val="en-GB"/>
              </w:rPr>
              <w:t xml:space="preserve">World Bank </w:t>
            </w:r>
            <w:r w:rsidR="0024407C" w:rsidRPr="00BD3436">
              <w:rPr>
                <w:iCs/>
                <w:sz w:val="16"/>
                <w:szCs w:val="16"/>
                <w:lang w:val="en-GB"/>
              </w:rPr>
              <w:t>w</w:t>
            </w:r>
            <w:r w:rsidRPr="00BD3436">
              <w:rPr>
                <w:iCs/>
                <w:sz w:val="16"/>
                <w:szCs w:val="16"/>
                <w:lang w:val="en-GB"/>
              </w:rPr>
              <w:t xml:space="preserve">orldwide </w:t>
            </w:r>
            <w:r w:rsidR="0024407C" w:rsidRPr="00BD3436">
              <w:rPr>
                <w:iCs/>
                <w:sz w:val="16"/>
                <w:szCs w:val="16"/>
                <w:lang w:val="en-GB"/>
              </w:rPr>
              <w:t>g</w:t>
            </w:r>
            <w:r w:rsidRPr="00BD3436">
              <w:rPr>
                <w:iCs/>
                <w:sz w:val="16"/>
                <w:szCs w:val="16"/>
                <w:lang w:val="en-GB"/>
              </w:rPr>
              <w:t xml:space="preserve">overnance </w:t>
            </w:r>
            <w:r w:rsidR="0024407C" w:rsidRPr="00BD3436">
              <w:rPr>
                <w:iCs/>
                <w:sz w:val="16"/>
                <w:szCs w:val="16"/>
                <w:lang w:val="en-GB"/>
              </w:rPr>
              <w:t>i</w:t>
            </w:r>
            <w:r w:rsidRPr="00BD3436">
              <w:rPr>
                <w:iCs/>
                <w:sz w:val="16"/>
                <w:szCs w:val="16"/>
                <w:lang w:val="en-GB"/>
              </w:rPr>
              <w:t>ndicators</w:t>
            </w:r>
          </w:p>
          <w:p w14:paraId="40871FE5" w14:textId="77777777" w:rsidR="00F806A0" w:rsidRPr="00BD3436" w:rsidRDefault="00F806A0" w:rsidP="000D4FFB">
            <w:pPr>
              <w:spacing w:after="120"/>
              <w:rPr>
                <w:iCs/>
                <w:sz w:val="16"/>
                <w:szCs w:val="16"/>
                <w:lang w:val="en-GB"/>
              </w:rPr>
            </w:pPr>
            <w:r w:rsidRPr="00BD3436">
              <w:rPr>
                <w:iCs/>
                <w:sz w:val="16"/>
                <w:szCs w:val="16"/>
                <w:lang w:val="en-GB"/>
              </w:rPr>
              <w:t xml:space="preserve"> </w:t>
            </w:r>
          </w:p>
          <w:p w14:paraId="1ADF5C6D" w14:textId="77777777" w:rsidR="00F806A0" w:rsidRPr="00BD3436" w:rsidRDefault="00F806A0" w:rsidP="000D4FFB">
            <w:pPr>
              <w:spacing w:after="120"/>
              <w:rPr>
                <w:b/>
                <w:bCs/>
                <w:i/>
                <w:sz w:val="16"/>
                <w:szCs w:val="16"/>
                <w:lang w:val="en-GB"/>
              </w:rPr>
            </w:pPr>
          </w:p>
        </w:tc>
        <w:tc>
          <w:tcPr>
            <w:tcW w:w="2389"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05E978F9" w14:textId="77777777" w:rsidR="00F806A0" w:rsidRPr="00BD3436" w:rsidRDefault="00F806A0" w:rsidP="000D4FFB">
            <w:pPr>
              <w:rPr>
                <w:iCs/>
                <w:sz w:val="16"/>
                <w:szCs w:val="16"/>
                <w:lang w:val="en-GB"/>
              </w:rPr>
            </w:pPr>
            <w:r w:rsidRPr="00BD3436">
              <w:rPr>
                <w:b/>
                <w:iCs/>
                <w:sz w:val="16"/>
                <w:szCs w:val="16"/>
                <w:lang w:val="en-GB"/>
              </w:rPr>
              <w:t>Output 1: Governance institutions operate in a more open and effective manner</w:t>
            </w:r>
          </w:p>
          <w:p w14:paraId="68D2A4D9" w14:textId="134D21A9" w:rsidR="00F806A0" w:rsidRPr="00BD3436" w:rsidRDefault="00F806A0" w:rsidP="000D4FFB">
            <w:pPr>
              <w:rPr>
                <w:iCs/>
                <w:sz w:val="16"/>
                <w:szCs w:val="16"/>
                <w:lang w:val="en-GB"/>
              </w:rPr>
            </w:pPr>
            <w:r w:rsidRPr="00BD3436">
              <w:rPr>
                <w:iCs/>
                <w:sz w:val="16"/>
                <w:szCs w:val="16"/>
                <w:lang w:val="en-GB"/>
              </w:rPr>
              <w:t>Indicator:</w:t>
            </w:r>
            <w:r w:rsidRPr="00BD3436">
              <w:rPr>
                <w:lang w:val="en-GB"/>
              </w:rPr>
              <w:t xml:space="preserve"> </w:t>
            </w:r>
            <w:r w:rsidRPr="00BD3436">
              <w:rPr>
                <w:iCs/>
                <w:sz w:val="16"/>
                <w:szCs w:val="16"/>
                <w:lang w:val="en-GB"/>
              </w:rPr>
              <w:t xml:space="preserve">Public </w:t>
            </w:r>
            <w:r w:rsidR="004B3190" w:rsidRPr="00BD3436">
              <w:rPr>
                <w:iCs/>
                <w:sz w:val="16"/>
                <w:szCs w:val="16"/>
                <w:lang w:val="en-GB"/>
              </w:rPr>
              <w:t>a</w:t>
            </w:r>
            <w:r w:rsidRPr="00BD3436">
              <w:rPr>
                <w:iCs/>
                <w:sz w:val="16"/>
                <w:szCs w:val="16"/>
                <w:lang w:val="en-GB"/>
              </w:rPr>
              <w:t xml:space="preserve">dministration </w:t>
            </w:r>
            <w:r w:rsidR="004B3190" w:rsidRPr="00BD3436">
              <w:rPr>
                <w:iCs/>
                <w:sz w:val="16"/>
                <w:szCs w:val="16"/>
                <w:lang w:val="en-GB"/>
              </w:rPr>
              <w:t>r</w:t>
            </w:r>
            <w:r w:rsidRPr="00BD3436">
              <w:rPr>
                <w:iCs/>
                <w:sz w:val="16"/>
                <w:szCs w:val="16"/>
                <w:lang w:val="en-GB"/>
              </w:rPr>
              <w:t xml:space="preserve">eform </w:t>
            </w:r>
            <w:r w:rsidR="004B3190" w:rsidRPr="00BD3436">
              <w:rPr>
                <w:iCs/>
                <w:sz w:val="16"/>
                <w:szCs w:val="16"/>
                <w:lang w:val="en-GB"/>
              </w:rPr>
              <w:t>a</w:t>
            </w:r>
            <w:r w:rsidRPr="00BD3436">
              <w:rPr>
                <w:iCs/>
                <w:sz w:val="16"/>
                <w:szCs w:val="16"/>
                <w:lang w:val="en-GB"/>
              </w:rPr>
              <w:t xml:space="preserve">ction </w:t>
            </w:r>
            <w:r w:rsidR="004B3190" w:rsidRPr="00BD3436">
              <w:rPr>
                <w:iCs/>
                <w:sz w:val="16"/>
                <w:szCs w:val="16"/>
                <w:lang w:val="en-GB"/>
              </w:rPr>
              <w:t>p</w:t>
            </w:r>
            <w:r w:rsidRPr="00BD3436">
              <w:rPr>
                <w:iCs/>
                <w:sz w:val="16"/>
                <w:szCs w:val="16"/>
                <w:lang w:val="en-GB"/>
              </w:rPr>
              <w:t>lan implemented (Y/N)</w:t>
            </w:r>
          </w:p>
          <w:p w14:paraId="740B021A" w14:textId="2359CFD8" w:rsidR="00F806A0" w:rsidRPr="00BD3436" w:rsidRDefault="00F806A0" w:rsidP="000D4FFB">
            <w:pPr>
              <w:rPr>
                <w:iCs/>
                <w:sz w:val="16"/>
                <w:szCs w:val="16"/>
                <w:lang w:val="en-GB"/>
              </w:rPr>
            </w:pPr>
            <w:r w:rsidRPr="00BD3436">
              <w:rPr>
                <w:sz w:val="16"/>
                <w:lang w:val="en-GB"/>
              </w:rPr>
              <w:t>Baseline:</w:t>
            </w:r>
            <w:r w:rsidR="005A19DF" w:rsidRPr="00BD3436">
              <w:rPr>
                <w:sz w:val="16"/>
                <w:lang w:val="en-GB"/>
              </w:rPr>
              <w:t xml:space="preserve"> No (</w:t>
            </w:r>
            <w:r w:rsidR="004B3190" w:rsidRPr="00BD3436">
              <w:rPr>
                <w:iCs/>
                <w:sz w:val="16"/>
                <w:szCs w:val="16"/>
                <w:lang w:val="en-GB"/>
              </w:rPr>
              <w:t>Public administration reform s</w:t>
            </w:r>
            <w:r w:rsidRPr="00BD3436">
              <w:rPr>
                <w:iCs/>
                <w:sz w:val="16"/>
                <w:szCs w:val="16"/>
                <w:lang w:val="en-GB"/>
              </w:rPr>
              <w:t xml:space="preserve">trategy adopted, </w:t>
            </w:r>
            <w:r w:rsidR="004B3190" w:rsidRPr="00BD3436">
              <w:rPr>
                <w:iCs/>
                <w:sz w:val="16"/>
                <w:szCs w:val="16"/>
                <w:lang w:val="en-GB"/>
              </w:rPr>
              <w:t>a</w:t>
            </w:r>
            <w:r w:rsidRPr="00BD3436">
              <w:rPr>
                <w:iCs/>
                <w:sz w:val="16"/>
                <w:szCs w:val="16"/>
                <w:lang w:val="en-GB"/>
              </w:rPr>
              <w:t xml:space="preserve">ction </w:t>
            </w:r>
            <w:r w:rsidR="004B3190" w:rsidRPr="00BD3436">
              <w:rPr>
                <w:iCs/>
                <w:sz w:val="16"/>
                <w:szCs w:val="16"/>
                <w:lang w:val="en-GB"/>
              </w:rPr>
              <w:t>p</w:t>
            </w:r>
            <w:r w:rsidRPr="00BD3436">
              <w:rPr>
                <w:iCs/>
                <w:sz w:val="16"/>
                <w:szCs w:val="16"/>
                <w:lang w:val="en-GB"/>
              </w:rPr>
              <w:t>lan to be adopted in 2015</w:t>
            </w:r>
            <w:r w:rsidR="005A19DF" w:rsidRPr="00BD3436">
              <w:rPr>
                <w:iCs/>
                <w:sz w:val="16"/>
                <w:szCs w:val="16"/>
                <w:lang w:val="en-GB"/>
              </w:rPr>
              <w:t>)</w:t>
            </w:r>
          </w:p>
          <w:p w14:paraId="655CA783" w14:textId="77777777" w:rsidR="005A19DF" w:rsidRPr="00BD3436" w:rsidRDefault="005A19DF" w:rsidP="000D4FFB">
            <w:pPr>
              <w:rPr>
                <w:iCs/>
                <w:sz w:val="16"/>
                <w:szCs w:val="16"/>
                <w:lang w:val="en-GB"/>
              </w:rPr>
            </w:pPr>
            <w:r w:rsidRPr="00BD3436">
              <w:rPr>
                <w:iCs/>
                <w:sz w:val="16"/>
                <w:szCs w:val="16"/>
                <w:lang w:val="en-GB"/>
              </w:rPr>
              <w:t>Target: Yes</w:t>
            </w:r>
          </w:p>
          <w:p w14:paraId="2E934766" w14:textId="6DCBDB32" w:rsidR="00F806A0" w:rsidRPr="00BD3436" w:rsidRDefault="00F806A0" w:rsidP="000D4FFB">
            <w:pPr>
              <w:rPr>
                <w:iCs/>
                <w:sz w:val="16"/>
                <w:szCs w:val="16"/>
                <w:lang w:val="en-GB"/>
              </w:rPr>
            </w:pPr>
            <w:r w:rsidRPr="00BD3436">
              <w:rPr>
                <w:iCs/>
                <w:sz w:val="16"/>
                <w:szCs w:val="16"/>
                <w:lang w:val="en-GB"/>
              </w:rPr>
              <w:t xml:space="preserve">Data source, frequency: </w:t>
            </w:r>
            <w:r w:rsidR="009932AC" w:rsidRPr="00BD3436">
              <w:rPr>
                <w:iCs/>
                <w:sz w:val="16"/>
                <w:szCs w:val="16"/>
                <w:lang w:val="en-GB"/>
              </w:rPr>
              <w:t>Ministry of Public Administration and Local Self</w:t>
            </w:r>
            <w:r w:rsidR="00C27087" w:rsidRPr="00BD3436">
              <w:rPr>
                <w:iCs/>
                <w:sz w:val="16"/>
                <w:szCs w:val="16"/>
                <w:lang w:val="en-GB"/>
              </w:rPr>
              <w:t>-</w:t>
            </w:r>
            <w:r w:rsidR="009932AC" w:rsidRPr="00BD3436">
              <w:rPr>
                <w:iCs/>
                <w:sz w:val="16"/>
                <w:szCs w:val="16"/>
                <w:lang w:val="en-GB"/>
              </w:rPr>
              <w:t xml:space="preserve">Government </w:t>
            </w:r>
            <w:r w:rsidRPr="00BD3436">
              <w:rPr>
                <w:iCs/>
                <w:sz w:val="16"/>
                <w:szCs w:val="16"/>
                <w:lang w:val="en-GB"/>
              </w:rPr>
              <w:t>(annual)</w:t>
            </w:r>
          </w:p>
          <w:p w14:paraId="6326E2BA" w14:textId="77777777" w:rsidR="00F806A0" w:rsidRPr="00BD3436" w:rsidRDefault="00F806A0" w:rsidP="000D4FFB">
            <w:pPr>
              <w:rPr>
                <w:iCs/>
                <w:sz w:val="16"/>
                <w:szCs w:val="16"/>
                <w:lang w:val="en-GB"/>
              </w:rPr>
            </w:pPr>
          </w:p>
          <w:p w14:paraId="65D4EF21" w14:textId="126CB576" w:rsidR="00F806A0" w:rsidRPr="00BD3436" w:rsidRDefault="00F806A0" w:rsidP="000D4FFB">
            <w:pPr>
              <w:rPr>
                <w:iCs/>
                <w:sz w:val="16"/>
                <w:szCs w:val="16"/>
                <w:lang w:val="en-GB"/>
              </w:rPr>
            </w:pPr>
            <w:r w:rsidRPr="00BD3436">
              <w:rPr>
                <w:iCs/>
                <w:sz w:val="16"/>
                <w:szCs w:val="16"/>
                <w:lang w:val="en-GB"/>
              </w:rPr>
              <w:t xml:space="preserve">Indicator: </w:t>
            </w:r>
            <w:r w:rsidR="004B3190" w:rsidRPr="00BD3436">
              <w:rPr>
                <w:iCs/>
                <w:sz w:val="16"/>
                <w:szCs w:val="16"/>
                <w:lang w:val="en-GB"/>
              </w:rPr>
              <w:t>Percentage</w:t>
            </w:r>
            <w:r w:rsidR="00204A6C" w:rsidRPr="00BD3436">
              <w:rPr>
                <w:iCs/>
                <w:sz w:val="16"/>
                <w:szCs w:val="16"/>
                <w:lang w:val="en-GB"/>
              </w:rPr>
              <w:t xml:space="preserve"> of </w:t>
            </w:r>
            <w:r w:rsidR="00204A6C" w:rsidRPr="00BD3436">
              <w:rPr>
                <w:bCs/>
                <w:sz w:val="16"/>
                <w:szCs w:val="16"/>
                <w:lang w:val="en-GB"/>
              </w:rPr>
              <w:t>implemented e</w:t>
            </w:r>
            <w:r w:rsidRPr="00BD3436">
              <w:rPr>
                <w:bCs/>
                <w:sz w:val="16"/>
                <w:szCs w:val="16"/>
                <w:lang w:val="en-GB"/>
              </w:rPr>
              <w:t xml:space="preserve">-governance </w:t>
            </w:r>
            <w:r w:rsidR="004B3190" w:rsidRPr="00BD3436">
              <w:rPr>
                <w:bCs/>
                <w:sz w:val="16"/>
                <w:szCs w:val="16"/>
                <w:lang w:val="en-GB"/>
              </w:rPr>
              <w:t>s</w:t>
            </w:r>
            <w:r w:rsidRPr="00BD3436">
              <w:rPr>
                <w:bCs/>
                <w:sz w:val="16"/>
                <w:szCs w:val="16"/>
                <w:lang w:val="en-GB"/>
              </w:rPr>
              <w:t xml:space="preserve">trategy </w:t>
            </w:r>
          </w:p>
          <w:p w14:paraId="34E6C4F8" w14:textId="707EA355" w:rsidR="00F806A0" w:rsidRPr="00BD3436" w:rsidRDefault="00F806A0" w:rsidP="000D4FFB">
            <w:pPr>
              <w:rPr>
                <w:bCs/>
                <w:sz w:val="16"/>
                <w:szCs w:val="16"/>
                <w:lang w:val="en-GB"/>
              </w:rPr>
            </w:pPr>
            <w:r w:rsidRPr="00BD3436">
              <w:rPr>
                <w:bCs/>
                <w:sz w:val="16"/>
                <w:szCs w:val="16"/>
                <w:lang w:val="en-GB"/>
              </w:rPr>
              <w:t xml:space="preserve">Baseline: Strategy for </w:t>
            </w:r>
            <w:r w:rsidR="004B3190" w:rsidRPr="00BD3436">
              <w:rPr>
                <w:bCs/>
                <w:sz w:val="16"/>
                <w:szCs w:val="16"/>
                <w:lang w:val="en-GB"/>
              </w:rPr>
              <w:t>d</w:t>
            </w:r>
            <w:r w:rsidRPr="00BD3436">
              <w:rPr>
                <w:bCs/>
                <w:sz w:val="16"/>
                <w:szCs w:val="16"/>
                <w:lang w:val="en-GB"/>
              </w:rPr>
              <w:t xml:space="preserve">evelopment of </w:t>
            </w:r>
            <w:r w:rsidR="004B3190" w:rsidRPr="00BD3436">
              <w:rPr>
                <w:bCs/>
                <w:sz w:val="16"/>
                <w:szCs w:val="16"/>
                <w:lang w:val="en-GB"/>
              </w:rPr>
              <w:t>e</w:t>
            </w:r>
            <w:r w:rsidRPr="00BD3436">
              <w:rPr>
                <w:bCs/>
                <w:sz w:val="16"/>
                <w:szCs w:val="16"/>
                <w:lang w:val="en-GB"/>
              </w:rPr>
              <w:t>-</w:t>
            </w:r>
            <w:r w:rsidR="004B3190" w:rsidRPr="00BD3436">
              <w:rPr>
                <w:bCs/>
                <w:sz w:val="16"/>
                <w:szCs w:val="16"/>
                <w:lang w:val="en-GB"/>
              </w:rPr>
              <w:t>g</w:t>
            </w:r>
            <w:r w:rsidRPr="00BD3436">
              <w:rPr>
                <w:bCs/>
                <w:sz w:val="16"/>
                <w:szCs w:val="16"/>
                <w:lang w:val="en-GB"/>
              </w:rPr>
              <w:t>overnance drafted, pending adoption in 2015</w:t>
            </w:r>
          </w:p>
          <w:p w14:paraId="141F1ADD" w14:textId="77777777" w:rsidR="00972FFF" w:rsidRPr="00BD3436" w:rsidRDefault="00972FFF" w:rsidP="000D4FFB">
            <w:pPr>
              <w:rPr>
                <w:iCs/>
                <w:sz w:val="16"/>
                <w:szCs w:val="16"/>
                <w:lang w:val="en-GB"/>
              </w:rPr>
            </w:pPr>
            <w:r w:rsidRPr="00BD3436">
              <w:rPr>
                <w:iCs/>
                <w:sz w:val="16"/>
                <w:szCs w:val="16"/>
                <w:lang w:val="en-GB"/>
              </w:rPr>
              <w:t>Target: At least 25% of the strategy measures implemented by end 2017; 75% implemented by 2019</w:t>
            </w:r>
          </w:p>
          <w:p w14:paraId="08564FAE" w14:textId="30ECA174" w:rsidR="00F806A0" w:rsidRPr="00BD3436" w:rsidRDefault="00F806A0" w:rsidP="000D4FFB">
            <w:pPr>
              <w:rPr>
                <w:iCs/>
                <w:sz w:val="16"/>
                <w:szCs w:val="16"/>
                <w:lang w:val="en-GB"/>
              </w:rPr>
            </w:pPr>
            <w:r w:rsidRPr="00BD3436">
              <w:rPr>
                <w:iCs/>
                <w:sz w:val="16"/>
                <w:szCs w:val="16"/>
                <w:lang w:val="en-GB"/>
              </w:rPr>
              <w:t>Data source, frequency: Ministry of Public Administration and Local Self</w:t>
            </w:r>
            <w:r w:rsidR="004B3190" w:rsidRPr="00BD3436">
              <w:rPr>
                <w:iCs/>
                <w:sz w:val="16"/>
                <w:szCs w:val="16"/>
                <w:lang w:val="en-GB"/>
              </w:rPr>
              <w:t>-</w:t>
            </w:r>
            <w:r w:rsidRPr="00BD3436">
              <w:rPr>
                <w:iCs/>
                <w:sz w:val="16"/>
                <w:szCs w:val="16"/>
                <w:lang w:val="en-GB"/>
              </w:rPr>
              <w:t xml:space="preserve">Government, Directorate for </w:t>
            </w:r>
            <w:r w:rsidR="005810F0" w:rsidRPr="00BD3436">
              <w:rPr>
                <w:iCs/>
                <w:sz w:val="16"/>
                <w:szCs w:val="16"/>
                <w:lang w:val="en-GB"/>
              </w:rPr>
              <w:t>eGovernment</w:t>
            </w:r>
            <w:r w:rsidRPr="00BD3436">
              <w:rPr>
                <w:iCs/>
                <w:sz w:val="16"/>
                <w:szCs w:val="16"/>
                <w:lang w:val="en-GB"/>
              </w:rPr>
              <w:t xml:space="preserve"> (annual)</w:t>
            </w:r>
          </w:p>
          <w:p w14:paraId="723B6CF2" w14:textId="77777777" w:rsidR="00F806A0" w:rsidRPr="00BD3436" w:rsidRDefault="00F806A0" w:rsidP="000D4FFB">
            <w:pPr>
              <w:rPr>
                <w:b/>
                <w:iCs/>
                <w:sz w:val="16"/>
                <w:szCs w:val="16"/>
                <w:lang w:val="en-GB"/>
              </w:rPr>
            </w:pPr>
          </w:p>
          <w:p w14:paraId="6CCF7C98" w14:textId="77777777" w:rsidR="00F806A0" w:rsidRPr="00BD3436" w:rsidRDefault="00F806A0" w:rsidP="000D4FFB">
            <w:pPr>
              <w:rPr>
                <w:iCs/>
                <w:sz w:val="16"/>
                <w:szCs w:val="16"/>
                <w:lang w:val="en-GB"/>
              </w:rPr>
            </w:pPr>
            <w:r w:rsidRPr="00BD3436">
              <w:rPr>
                <w:b/>
                <w:iCs/>
                <w:sz w:val="16"/>
                <w:szCs w:val="16"/>
                <w:lang w:val="en-GB"/>
              </w:rPr>
              <w:t xml:space="preserve">Output 2: </w:t>
            </w:r>
            <w:r w:rsidRPr="00BD3436">
              <w:rPr>
                <w:b/>
                <w:sz w:val="16"/>
                <w:lang w:val="en-GB"/>
              </w:rPr>
              <w:t xml:space="preserve">Management of public funds </w:t>
            </w:r>
            <w:r w:rsidRPr="00BD3436">
              <w:rPr>
                <w:b/>
                <w:iCs/>
                <w:sz w:val="16"/>
                <w:szCs w:val="16"/>
                <w:lang w:val="en-GB"/>
              </w:rPr>
              <w:t xml:space="preserve">is </w:t>
            </w:r>
            <w:r w:rsidRPr="00BD3436">
              <w:rPr>
                <w:b/>
                <w:sz w:val="16"/>
                <w:lang w:val="en-GB"/>
              </w:rPr>
              <w:t>improved</w:t>
            </w:r>
            <w:r w:rsidRPr="00BD3436">
              <w:rPr>
                <w:b/>
                <w:iCs/>
                <w:sz w:val="16"/>
                <w:szCs w:val="16"/>
                <w:lang w:val="en-GB"/>
              </w:rPr>
              <w:t xml:space="preserve"> at all levels</w:t>
            </w:r>
          </w:p>
          <w:p w14:paraId="6EEBB6A5" w14:textId="2BBCFC32" w:rsidR="00F806A0" w:rsidRPr="00BD3436" w:rsidRDefault="00F806A0" w:rsidP="000D4FFB">
            <w:pPr>
              <w:rPr>
                <w:iCs/>
                <w:sz w:val="16"/>
                <w:szCs w:val="16"/>
                <w:lang w:val="en-GB"/>
              </w:rPr>
            </w:pPr>
            <w:r w:rsidRPr="00BD3436">
              <w:rPr>
                <w:iCs/>
                <w:sz w:val="16"/>
                <w:szCs w:val="16"/>
                <w:lang w:val="en-GB"/>
              </w:rPr>
              <w:t xml:space="preserve">Indicator: Open </w:t>
            </w:r>
            <w:r w:rsidR="004B3190" w:rsidRPr="00BD3436">
              <w:rPr>
                <w:iCs/>
                <w:sz w:val="16"/>
                <w:szCs w:val="16"/>
                <w:lang w:val="en-GB"/>
              </w:rPr>
              <w:t>b</w:t>
            </w:r>
            <w:r w:rsidRPr="00BD3436">
              <w:rPr>
                <w:iCs/>
                <w:sz w:val="16"/>
                <w:szCs w:val="16"/>
                <w:lang w:val="en-GB"/>
              </w:rPr>
              <w:t xml:space="preserve">udget </w:t>
            </w:r>
            <w:r w:rsidR="004B3190" w:rsidRPr="00BD3436">
              <w:rPr>
                <w:iCs/>
                <w:sz w:val="16"/>
                <w:szCs w:val="16"/>
                <w:lang w:val="en-GB"/>
              </w:rPr>
              <w:t>i</w:t>
            </w:r>
            <w:r w:rsidRPr="00BD3436">
              <w:rPr>
                <w:iCs/>
                <w:sz w:val="16"/>
                <w:szCs w:val="16"/>
                <w:lang w:val="en-GB"/>
              </w:rPr>
              <w:t>ndex</w:t>
            </w:r>
          </w:p>
          <w:p w14:paraId="63CAD9A4" w14:textId="77777777" w:rsidR="00F806A0" w:rsidRPr="00BD3436" w:rsidRDefault="00F806A0" w:rsidP="000D4FFB">
            <w:pPr>
              <w:rPr>
                <w:iCs/>
                <w:sz w:val="16"/>
                <w:szCs w:val="16"/>
                <w:lang w:val="en-GB"/>
              </w:rPr>
            </w:pPr>
            <w:r w:rsidRPr="00BD3436">
              <w:rPr>
                <w:iCs/>
                <w:sz w:val="16"/>
                <w:szCs w:val="16"/>
                <w:lang w:val="en-GB"/>
              </w:rPr>
              <w:t>Baseline: 39 (2012); Target</w:t>
            </w:r>
            <w:r w:rsidR="00204A6C" w:rsidRPr="00BD3436">
              <w:rPr>
                <w:iCs/>
                <w:sz w:val="16"/>
                <w:szCs w:val="16"/>
                <w:lang w:val="en-GB"/>
              </w:rPr>
              <w:t>:</w:t>
            </w:r>
            <w:r w:rsidRPr="00BD3436">
              <w:rPr>
                <w:iCs/>
                <w:sz w:val="16"/>
                <w:szCs w:val="16"/>
                <w:lang w:val="en-GB"/>
              </w:rPr>
              <w:t xml:space="preserve"> 55</w:t>
            </w:r>
            <w:r w:rsidR="00204A6C" w:rsidRPr="00BD3436">
              <w:rPr>
                <w:iCs/>
                <w:sz w:val="16"/>
                <w:szCs w:val="16"/>
                <w:lang w:val="en-GB"/>
              </w:rPr>
              <w:t xml:space="preserve"> (2020)</w:t>
            </w:r>
          </w:p>
          <w:p w14:paraId="780C5299" w14:textId="77777777" w:rsidR="00F806A0" w:rsidRPr="00BD3436" w:rsidRDefault="00F806A0" w:rsidP="000D4FFB">
            <w:pPr>
              <w:rPr>
                <w:iCs/>
                <w:sz w:val="16"/>
                <w:szCs w:val="16"/>
                <w:lang w:val="en-GB"/>
              </w:rPr>
            </w:pPr>
            <w:r w:rsidRPr="00BD3436">
              <w:rPr>
                <w:iCs/>
                <w:sz w:val="16"/>
                <w:szCs w:val="16"/>
                <w:lang w:val="en-GB"/>
              </w:rPr>
              <w:t>Data source, frequency: International Budget Partnership (every two years)</w:t>
            </w:r>
          </w:p>
          <w:p w14:paraId="0BC9B89D" w14:textId="77777777" w:rsidR="00204A6C" w:rsidRPr="00BD3436" w:rsidRDefault="00204A6C" w:rsidP="000D4FFB">
            <w:pPr>
              <w:rPr>
                <w:iCs/>
                <w:sz w:val="16"/>
                <w:szCs w:val="16"/>
                <w:lang w:val="en-GB"/>
              </w:rPr>
            </w:pPr>
          </w:p>
          <w:p w14:paraId="54BC0A6B" w14:textId="77777777" w:rsidR="00F806A0" w:rsidRPr="00BD3436" w:rsidRDefault="00F806A0" w:rsidP="000D4FFB">
            <w:pPr>
              <w:rPr>
                <w:iCs/>
                <w:sz w:val="16"/>
                <w:szCs w:val="16"/>
                <w:lang w:val="en-GB"/>
              </w:rPr>
            </w:pPr>
            <w:r w:rsidRPr="00BD3436">
              <w:rPr>
                <w:iCs/>
                <w:sz w:val="16"/>
                <w:szCs w:val="16"/>
                <w:lang w:val="en-GB"/>
              </w:rPr>
              <w:t>Indicator:</w:t>
            </w:r>
            <w:r w:rsidR="00BD1003" w:rsidRPr="00BD3436">
              <w:rPr>
                <w:lang w:val="en-GB"/>
              </w:rPr>
              <w:t xml:space="preserve"> </w:t>
            </w:r>
            <w:r w:rsidR="00BD1003" w:rsidRPr="00BD3436">
              <w:rPr>
                <w:iCs/>
                <w:sz w:val="16"/>
                <w:szCs w:val="16"/>
                <w:lang w:val="en-GB"/>
              </w:rPr>
              <w:t>Public Expenditure and Financial Accountability</w:t>
            </w:r>
            <w:r w:rsidRPr="00BD3436">
              <w:rPr>
                <w:iCs/>
                <w:sz w:val="16"/>
                <w:szCs w:val="16"/>
                <w:lang w:val="en-GB"/>
              </w:rPr>
              <w:t xml:space="preserve"> </w:t>
            </w:r>
            <w:r w:rsidR="00BD1003" w:rsidRPr="00BD3436">
              <w:rPr>
                <w:iCs/>
                <w:sz w:val="16"/>
                <w:szCs w:val="16"/>
                <w:lang w:val="en-GB"/>
              </w:rPr>
              <w:t>(</w:t>
            </w:r>
            <w:r w:rsidRPr="00BD3436">
              <w:rPr>
                <w:iCs/>
                <w:sz w:val="16"/>
                <w:szCs w:val="16"/>
                <w:lang w:val="en-GB"/>
              </w:rPr>
              <w:t>PEFA</w:t>
            </w:r>
            <w:r w:rsidR="00BD1003" w:rsidRPr="00BD3436">
              <w:rPr>
                <w:iCs/>
                <w:sz w:val="16"/>
                <w:szCs w:val="16"/>
                <w:lang w:val="en-GB"/>
              </w:rPr>
              <w:t>)</w:t>
            </w:r>
            <w:r w:rsidRPr="00BD3436">
              <w:rPr>
                <w:iCs/>
                <w:sz w:val="16"/>
                <w:szCs w:val="16"/>
                <w:lang w:val="en-GB"/>
              </w:rPr>
              <w:t xml:space="preserve"> </w:t>
            </w:r>
            <w:r w:rsidR="00F761B8" w:rsidRPr="00BD3436">
              <w:rPr>
                <w:iCs/>
                <w:sz w:val="16"/>
                <w:szCs w:val="16"/>
                <w:lang w:val="en-GB"/>
              </w:rPr>
              <w:t>score</w:t>
            </w:r>
          </w:p>
          <w:p w14:paraId="4CE88B3A" w14:textId="77777777" w:rsidR="00F806A0" w:rsidRPr="00BD3436" w:rsidRDefault="00F806A0" w:rsidP="000D4FFB">
            <w:pPr>
              <w:rPr>
                <w:iCs/>
                <w:sz w:val="16"/>
                <w:szCs w:val="16"/>
                <w:lang w:val="en-GB"/>
              </w:rPr>
            </w:pPr>
            <w:r w:rsidRPr="00BD3436">
              <w:rPr>
                <w:iCs/>
                <w:sz w:val="16"/>
                <w:szCs w:val="16"/>
                <w:lang w:val="en-GB"/>
              </w:rPr>
              <w:t xml:space="preserve">Baseline: PEFA </w:t>
            </w:r>
            <w:r w:rsidR="00456A15" w:rsidRPr="00BD3436">
              <w:rPr>
                <w:iCs/>
                <w:sz w:val="16"/>
                <w:szCs w:val="16"/>
                <w:lang w:val="en-GB"/>
              </w:rPr>
              <w:t>score</w:t>
            </w:r>
            <w:r w:rsidRPr="00BD3436">
              <w:rPr>
                <w:iCs/>
                <w:sz w:val="16"/>
                <w:szCs w:val="16"/>
                <w:lang w:val="en-GB"/>
              </w:rPr>
              <w:t xml:space="preserve"> published in 2015</w:t>
            </w:r>
          </w:p>
          <w:p w14:paraId="1032208A" w14:textId="0C23D8FE" w:rsidR="00F806A0" w:rsidRPr="00BD3436" w:rsidRDefault="00F806A0" w:rsidP="000D4FFB">
            <w:pPr>
              <w:rPr>
                <w:iCs/>
                <w:sz w:val="16"/>
                <w:szCs w:val="16"/>
                <w:lang w:val="en-GB"/>
              </w:rPr>
            </w:pPr>
            <w:r w:rsidRPr="00BD3436">
              <w:rPr>
                <w:iCs/>
                <w:sz w:val="16"/>
                <w:szCs w:val="16"/>
                <w:lang w:val="en-GB"/>
              </w:rPr>
              <w:t xml:space="preserve">Target: </w:t>
            </w:r>
            <w:r w:rsidR="004B3190" w:rsidRPr="00BD3436">
              <w:rPr>
                <w:iCs/>
                <w:sz w:val="16"/>
                <w:szCs w:val="16"/>
                <w:lang w:val="en-GB"/>
              </w:rPr>
              <w:t>I</w:t>
            </w:r>
            <w:r w:rsidRPr="00BD3436">
              <w:rPr>
                <w:iCs/>
                <w:sz w:val="16"/>
                <w:szCs w:val="16"/>
                <w:lang w:val="en-GB"/>
              </w:rPr>
              <w:t>mproved PEFA scor</w:t>
            </w:r>
            <w:r w:rsidR="00F761B8" w:rsidRPr="00BD3436">
              <w:rPr>
                <w:iCs/>
                <w:sz w:val="16"/>
                <w:szCs w:val="16"/>
                <w:lang w:val="en-GB"/>
              </w:rPr>
              <w:t>e</w:t>
            </w:r>
            <w:r w:rsidRPr="00BD3436">
              <w:rPr>
                <w:iCs/>
                <w:sz w:val="16"/>
                <w:szCs w:val="16"/>
                <w:lang w:val="en-GB"/>
              </w:rPr>
              <w:t xml:space="preserve"> by 2020 </w:t>
            </w:r>
          </w:p>
          <w:p w14:paraId="6E171A42" w14:textId="77777777" w:rsidR="00F806A0" w:rsidRPr="00BD3436" w:rsidRDefault="00F806A0" w:rsidP="000D4FFB">
            <w:pPr>
              <w:rPr>
                <w:iCs/>
                <w:sz w:val="16"/>
                <w:szCs w:val="16"/>
                <w:lang w:val="en-GB"/>
              </w:rPr>
            </w:pPr>
            <w:r w:rsidRPr="00BD3436">
              <w:rPr>
                <w:iCs/>
                <w:sz w:val="16"/>
                <w:szCs w:val="16"/>
                <w:lang w:val="en-GB"/>
              </w:rPr>
              <w:t xml:space="preserve">Data source, frequency: World Bank (periodically) </w:t>
            </w:r>
          </w:p>
          <w:p w14:paraId="075744CD" w14:textId="77777777" w:rsidR="00F806A0" w:rsidRPr="00BD3436" w:rsidRDefault="00F806A0" w:rsidP="000D4FFB">
            <w:pPr>
              <w:rPr>
                <w:b/>
                <w:iCs/>
                <w:sz w:val="16"/>
                <w:szCs w:val="16"/>
                <w:lang w:val="en-GB"/>
              </w:rPr>
            </w:pPr>
          </w:p>
          <w:p w14:paraId="39F71276" w14:textId="77777777" w:rsidR="00F806A0" w:rsidRPr="00BD3436" w:rsidRDefault="00F806A0" w:rsidP="000D4FFB">
            <w:pPr>
              <w:rPr>
                <w:sz w:val="16"/>
                <w:lang w:val="en-GB"/>
              </w:rPr>
            </w:pPr>
            <w:r w:rsidRPr="00BD3436">
              <w:rPr>
                <w:b/>
                <w:sz w:val="16"/>
                <w:lang w:val="en-GB"/>
              </w:rPr>
              <w:t>Output 3: Representation and accountability at all levels strengthened</w:t>
            </w:r>
          </w:p>
          <w:p w14:paraId="568C163A" w14:textId="2E60BCE2" w:rsidR="00F806A0" w:rsidRPr="00BD3436" w:rsidRDefault="00F806A0" w:rsidP="000D4FFB">
            <w:pPr>
              <w:rPr>
                <w:sz w:val="16"/>
                <w:lang w:val="en-GB"/>
              </w:rPr>
            </w:pPr>
            <w:r w:rsidRPr="00BD3436">
              <w:rPr>
                <w:sz w:val="16"/>
                <w:lang w:val="en-GB"/>
              </w:rPr>
              <w:t>Indicator:</w:t>
            </w:r>
            <w:r w:rsidRPr="00BD3436">
              <w:rPr>
                <w:iCs/>
                <w:sz w:val="16"/>
                <w:szCs w:val="16"/>
                <w:lang w:val="en-GB"/>
              </w:rPr>
              <w:t xml:space="preserve"> </w:t>
            </w:r>
            <w:r w:rsidR="004B3190" w:rsidRPr="00BD3436">
              <w:rPr>
                <w:iCs/>
                <w:sz w:val="16"/>
                <w:szCs w:val="16"/>
                <w:lang w:val="en-GB"/>
              </w:rPr>
              <w:t>Percentage</w:t>
            </w:r>
            <w:r w:rsidR="00204A6C" w:rsidRPr="00BD3436">
              <w:rPr>
                <w:iCs/>
                <w:sz w:val="16"/>
                <w:szCs w:val="16"/>
                <w:lang w:val="en-GB"/>
              </w:rPr>
              <w:t xml:space="preserve"> </w:t>
            </w:r>
            <w:r w:rsidR="00F761B8" w:rsidRPr="00BD3436">
              <w:rPr>
                <w:iCs/>
                <w:sz w:val="16"/>
                <w:szCs w:val="16"/>
                <w:lang w:val="en-GB"/>
              </w:rPr>
              <w:t xml:space="preserve">of citizens declaring </w:t>
            </w:r>
            <w:r w:rsidRPr="00BD3436">
              <w:rPr>
                <w:iCs/>
                <w:sz w:val="16"/>
                <w:szCs w:val="16"/>
                <w:lang w:val="en-GB"/>
              </w:rPr>
              <w:t>trust in Parliament</w:t>
            </w:r>
          </w:p>
          <w:p w14:paraId="573D9559" w14:textId="77777777" w:rsidR="00F806A0" w:rsidRPr="00BD3436" w:rsidRDefault="00F806A0" w:rsidP="000D4FFB">
            <w:pPr>
              <w:rPr>
                <w:sz w:val="16"/>
                <w:lang w:val="en-GB"/>
              </w:rPr>
            </w:pPr>
            <w:r w:rsidRPr="00BD3436">
              <w:rPr>
                <w:iCs/>
                <w:sz w:val="16"/>
                <w:szCs w:val="16"/>
                <w:lang w:val="en-GB"/>
              </w:rPr>
              <w:t>Baseline (2013): 24</w:t>
            </w:r>
            <w:r w:rsidR="00972FFF" w:rsidRPr="00BD3436">
              <w:rPr>
                <w:iCs/>
                <w:sz w:val="16"/>
                <w:szCs w:val="16"/>
                <w:lang w:val="en-GB"/>
              </w:rPr>
              <w:t xml:space="preserve">%; </w:t>
            </w:r>
            <w:r w:rsidRPr="00BD3436">
              <w:rPr>
                <w:sz w:val="16"/>
                <w:lang w:val="en-GB"/>
              </w:rPr>
              <w:t>Target (2020):</w:t>
            </w:r>
            <w:r w:rsidRPr="00BD3436">
              <w:rPr>
                <w:iCs/>
                <w:sz w:val="16"/>
                <w:szCs w:val="16"/>
                <w:lang w:val="en-GB"/>
              </w:rPr>
              <w:t xml:space="preserve"> 45% </w:t>
            </w:r>
          </w:p>
          <w:p w14:paraId="70974ED8" w14:textId="7EE2D675" w:rsidR="00F806A0" w:rsidRPr="00BD3436" w:rsidRDefault="00F806A0" w:rsidP="000D4FFB">
            <w:pPr>
              <w:rPr>
                <w:iCs/>
                <w:sz w:val="16"/>
                <w:szCs w:val="16"/>
                <w:lang w:val="en-GB"/>
              </w:rPr>
            </w:pPr>
            <w:r w:rsidRPr="00BD3436">
              <w:rPr>
                <w:sz w:val="16"/>
                <w:lang w:val="en-GB"/>
              </w:rPr>
              <w:t>Data source, frequency</w:t>
            </w:r>
            <w:r w:rsidRPr="00BD3436">
              <w:rPr>
                <w:iCs/>
                <w:sz w:val="16"/>
                <w:szCs w:val="16"/>
                <w:lang w:val="en-GB"/>
              </w:rPr>
              <w:t xml:space="preserve">: UNDP </w:t>
            </w:r>
            <w:r w:rsidR="004B3190" w:rsidRPr="00BD3436">
              <w:rPr>
                <w:iCs/>
                <w:sz w:val="16"/>
                <w:szCs w:val="16"/>
                <w:lang w:val="en-GB"/>
              </w:rPr>
              <w:t>p</w:t>
            </w:r>
            <w:r w:rsidRPr="00BD3436">
              <w:rPr>
                <w:iCs/>
                <w:sz w:val="16"/>
                <w:szCs w:val="16"/>
                <w:lang w:val="en-GB"/>
              </w:rPr>
              <w:t xml:space="preserve">ublic opinion poll </w:t>
            </w:r>
            <w:r w:rsidR="004B3190" w:rsidRPr="00BD3436">
              <w:rPr>
                <w:iCs/>
                <w:sz w:val="16"/>
                <w:szCs w:val="16"/>
                <w:lang w:val="en-GB"/>
              </w:rPr>
              <w:t>(</w:t>
            </w:r>
            <w:r w:rsidRPr="00BD3436">
              <w:rPr>
                <w:iCs/>
                <w:sz w:val="16"/>
                <w:szCs w:val="16"/>
                <w:lang w:val="en-GB"/>
              </w:rPr>
              <w:t>every two years</w:t>
            </w:r>
            <w:r w:rsidR="004B3190" w:rsidRPr="00BD3436">
              <w:rPr>
                <w:iCs/>
                <w:sz w:val="16"/>
                <w:szCs w:val="16"/>
                <w:lang w:val="en-GB"/>
              </w:rPr>
              <w:t>)</w:t>
            </w:r>
          </w:p>
          <w:p w14:paraId="77B8BAAA" w14:textId="77777777" w:rsidR="00F806A0" w:rsidRPr="00BD3436" w:rsidRDefault="00F806A0" w:rsidP="000D4FFB">
            <w:pPr>
              <w:rPr>
                <w:iCs/>
                <w:sz w:val="16"/>
                <w:szCs w:val="16"/>
                <w:lang w:val="en-GB"/>
              </w:rPr>
            </w:pPr>
          </w:p>
          <w:p w14:paraId="04DDF1E4" w14:textId="3FDABBAD" w:rsidR="00F806A0" w:rsidRPr="00BD3436" w:rsidRDefault="00F806A0" w:rsidP="000D4FFB">
            <w:pPr>
              <w:rPr>
                <w:iCs/>
                <w:sz w:val="16"/>
                <w:szCs w:val="16"/>
                <w:lang w:val="en-GB"/>
              </w:rPr>
            </w:pPr>
            <w:r w:rsidRPr="00BD3436">
              <w:rPr>
                <w:iCs/>
                <w:sz w:val="16"/>
                <w:szCs w:val="16"/>
                <w:lang w:val="en-GB"/>
              </w:rPr>
              <w:t xml:space="preserve">Indicator: Corruption </w:t>
            </w:r>
            <w:r w:rsidR="004B3190" w:rsidRPr="00BD3436">
              <w:rPr>
                <w:iCs/>
                <w:sz w:val="16"/>
                <w:szCs w:val="16"/>
                <w:lang w:val="en-GB"/>
              </w:rPr>
              <w:t>p</w:t>
            </w:r>
            <w:r w:rsidRPr="00BD3436">
              <w:rPr>
                <w:iCs/>
                <w:sz w:val="16"/>
                <w:szCs w:val="16"/>
                <w:lang w:val="en-GB"/>
              </w:rPr>
              <w:t xml:space="preserve">erception </w:t>
            </w:r>
            <w:r w:rsidR="004B3190" w:rsidRPr="00BD3436">
              <w:rPr>
                <w:iCs/>
                <w:sz w:val="16"/>
                <w:szCs w:val="16"/>
                <w:lang w:val="en-GB"/>
              </w:rPr>
              <w:t>i</w:t>
            </w:r>
            <w:r w:rsidRPr="00BD3436">
              <w:rPr>
                <w:iCs/>
                <w:sz w:val="16"/>
                <w:szCs w:val="16"/>
                <w:lang w:val="en-GB"/>
              </w:rPr>
              <w:t>ndex</w:t>
            </w:r>
          </w:p>
          <w:p w14:paraId="51955B1E" w14:textId="455EB0D1" w:rsidR="00F806A0" w:rsidRPr="00BD3436" w:rsidRDefault="00F806A0" w:rsidP="000D4FFB">
            <w:pPr>
              <w:rPr>
                <w:iCs/>
                <w:sz w:val="16"/>
                <w:szCs w:val="16"/>
                <w:lang w:val="en-GB"/>
              </w:rPr>
            </w:pPr>
            <w:r w:rsidRPr="00BD3436">
              <w:rPr>
                <w:iCs/>
                <w:sz w:val="16"/>
                <w:szCs w:val="16"/>
                <w:lang w:val="en-GB"/>
              </w:rPr>
              <w:lastRenderedPageBreak/>
              <w:t xml:space="preserve">Baseline: 41; Target: </w:t>
            </w:r>
            <w:r w:rsidR="00F761B8" w:rsidRPr="00BD3436">
              <w:rPr>
                <w:iCs/>
                <w:sz w:val="16"/>
                <w:szCs w:val="16"/>
                <w:lang w:val="en-GB"/>
              </w:rPr>
              <w:t>50</w:t>
            </w:r>
          </w:p>
          <w:p w14:paraId="69D57CF1" w14:textId="5CB21B04" w:rsidR="00F806A0" w:rsidRPr="00BD3436" w:rsidRDefault="00F806A0" w:rsidP="000D4FFB">
            <w:pPr>
              <w:rPr>
                <w:iCs/>
                <w:sz w:val="16"/>
                <w:szCs w:val="16"/>
                <w:lang w:val="en-GB"/>
              </w:rPr>
            </w:pPr>
            <w:r w:rsidRPr="00BD3436">
              <w:rPr>
                <w:iCs/>
                <w:sz w:val="16"/>
                <w:szCs w:val="16"/>
                <w:lang w:val="en-GB"/>
              </w:rPr>
              <w:t>Data source, frequency: Transparency International</w:t>
            </w:r>
            <w:r w:rsidR="004B3190" w:rsidRPr="00BD3436">
              <w:rPr>
                <w:iCs/>
                <w:sz w:val="16"/>
                <w:szCs w:val="16"/>
                <w:lang w:val="en-GB"/>
              </w:rPr>
              <w:t xml:space="preserve"> (</w:t>
            </w:r>
            <w:r w:rsidRPr="00BD3436">
              <w:rPr>
                <w:iCs/>
                <w:sz w:val="16"/>
                <w:szCs w:val="16"/>
                <w:lang w:val="en-GB"/>
              </w:rPr>
              <w:t>annual</w:t>
            </w:r>
            <w:r w:rsidR="004B3190" w:rsidRPr="00BD3436">
              <w:rPr>
                <w:iCs/>
                <w:sz w:val="16"/>
                <w:szCs w:val="16"/>
                <w:lang w:val="en-GB"/>
              </w:rPr>
              <w:t>)</w:t>
            </w:r>
          </w:p>
          <w:p w14:paraId="3E270ABC" w14:textId="77777777" w:rsidR="00F806A0" w:rsidRPr="00BD3436" w:rsidRDefault="00F806A0" w:rsidP="000D4FFB">
            <w:pPr>
              <w:rPr>
                <w:iCs/>
                <w:sz w:val="16"/>
                <w:szCs w:val="16"/>
                <w:lang w:val="en-GB"/>
              </w:rPr>
            </w:pPr>
          </w:p>
          <w:p w14:paraId="7AD39853" w14:textId="37C3412B" w:rsidR="00F806A0" w:rsidRPr="00BD3436" w:rsidRDefault="00F806A0" w:rsidP="000D4FFB">
            <w:pPr>
              <w:rPr>
                <w:b/>
                <w:iCs/>
                <w:sz w:val="16"/>
                <w:szCs w:val="16"/>
                <w:lang w:val="en-GB"/>
              </w:rPr>
            </w:pPr>
            <w:r w:rsidRPr="00BD3436">
              <w:rPr>
                <w:b/>
                <w:iCs/>
                <w:sz w:val="16"/>
                <w:szCs w:val="16"/>
                <w:lang w:val="en-GB"/>
              </w:rPr>
              <w:t>Output 4: Actions taken to improve the enjoyment of human rights and strengthen rule of law, following recommendations stemming from the U</w:t>
            </w:r>
            <w:r w:rsidR="00227595" w:rsidRPr="00BD3436">
              <w:rPr>
                <w:b/>
                <w:iCs/>
                <w:sz w:val="16"/>
                <w:szCs w:val="16"/>
                <w:lang w:val="en-GB"/>
              </w:rPr>
              <w:t>niversal Periodic Review</w:t>
            </w:r>
            <w:r w:rsidRPr="00BD3436">
              <w:rPr>
                <w:b/>
                <w:iCs/>
                <w:sz w:val="16"/>
                <w:szCs w:val="16"/>
                <w:lang w:val="en-GB"/>
              </w:rPr>
              <w:t xml:space="preserve"> </w:t>
            </w:r>
          </w:p>
          <w:p w14:paraId="228793AD" w14:textId="3CE9C467" w:rsidR="00F806A0" w:rsidRPr="00BD3436" w:rsidRDefault="00F806A0" w:rsidP="000D4FFB">
            <w:pPr>
              <w:rPr>
                <w:iCs/>
                <w:sz w:val="16"/>
                <w:szCs w:val="16"/>
                <w:lang w:val="en-GB"/>
              </w:rPr>
            </w:pPr>
            <w:r w:rsidRPr="00BD3436">
              <w:rPr>
                <w:iCs/>
                <w:sz w:val="16"/>
                <w:szCs w:val="16"/>
                <w:lang w:val="en-GB"/>
              </w:rPr>
              <w:t xml:space="preserve">Indicator: </w:t>
            </w:r>
            <w:r w:rsidR="00227595" w:rsidRPr="00BD3436">
              <w:rPr>
                <w:iCs/>
                <w:sz w:val="16"/>
                <w:szCs w:val="16"/>
                <w:lang w:val="en-GB"/>
              </w:rPr>
              <w:t>Percentage</w:t>
            </w:r>
            <w:r w:rsidR="00204A6C" w:rsidRPr="00BD3436">
              <w:rPr>
                <w:iCs/>
                <w:sz w:val="16"/>
                <w:szCs w:val="16"/>
                <w:lang w:val="en-GB"/>
              </w:rPr>
              <w:t xml:space="preserve"> of i</w:t>
            </w:r>
            <w:r w:rsidRPr="00BD3436">
              <w:rPr>
                <w:iCs/>
                <w:sz w:val="16"/>
                <w:szCs w:val="16"/>
                <w:lang w:val="en-GB"/>
              </w:rPr>
              <w:t xml:space="preserve">mplementation of </w:t>
            </w:r>
            <w:r w:rsidR="00227595" w:rsidRPr="00BD3436">
              <w:rPr>
                <w:iCs/>
                <w:sz w:val="16"/>
                <w:szCs w:val="16"/>
                <w:lang w:val="en-GB"/>
              </w:rPr>
              <w:t>Universal Periodic Review</w:t>
            </w:r>
            <w:r w:rsidRPr="00BD3436">
              <w:rPr>
                <w:iCs/>
                <w:sz w:val="16"/>
                <w:szCs w:val="16"/>
                <w:lang w:val="en-GB"/>
              </w:rPr>
              <w:t xml:space="preserve"> recommendations </w:t>
            </w:r>
          </w:p>
          <w:p w14:paraId="46392080" w14:textId="6F206C05" w:rsidR="00F806A0" w:rsidRPr="00BD3436" w:rsidRDefault="00F806A0" w:rsidP="000D4FFB">
            <w:pPr>
              <w:rPr>
                <w:iCs/>
                <w:sz w:val="16"/>
                <w:szCs w:val="16"/>
                <w:lang w:val="en-GB"/>
              </w:rPr>
            </w:pPr>
            <w:r w:rsidRPr="00BD3436">
              <w:rPr>
                <w:iCs/>
                <w:sz w:val="16"/>
                <w:szCs w:val="16"/>
                <w:lang w:val="en-GB"/>
              </w:rPr>
              <w:t xml:space="preserve">Baseline: </w:t>
            </w:r>
            <w:r w:rsidR="00227595" w:rsidRPr="00BD3436">
              <w:rPr>
                <w:iCs/>
                <w:sz w:val="16"/>
                <w:szCs w:val="16"/>
                <w:lang w:val="en-GB"/>
              </w:rPr>
              <w:t>Universal Periodic Review</w:t>
            </w:r>
            <w:r w:rsidRPr="00BD3436">
              <w:rPr>
                <w:iCs/>
                <w:sz w:val="16"/>
                <w:szCs w:val="16"/>
                <w:lang w:val="en-GB"/>
              </w:rPr>
              <w:t xml:space="preserve"> outcome report for Serbia from 2013 stipulates 144 recommendations of which Ser</w:t>
            </w:r>
            <w:r w:rsidR="00EC61C8" w:rsidRPr="00BD3436">
              <w:rPr>
                <w:iCs/>
                <w:sz w:val="16"/>
                <w:szCs w:val="16"/>
                <w:lang w:val="en-GB"/>
              </w:rPr>
              <w:t>bia accepted 136</w:t>
            </w:r>
          </w:p>
          <w:p w14:paraId="18A0A160" w14:textId="77777777" w:rsidR="00972FFF" w:rsidRPr="00BD3436" w:rsidRDefault="00972FFF" w:rsidP="000D4FFB">
            <w:pPr>
              <w:rPr>
                <w:iCs/>
                <w:sz w:val="16"/>
                <w:szCs w:val="16"/>
                <w:lang w:val="en-GB"/>
              </w:rPr>
            </w:pPr>
            <w:r w:rsidRPr="00BD3436">
              <w:rPr>
                <w:iCs/>
                <w:sz w:val="16"/>
                <w:szCs w:val="16"/>
                <w:lang w:val="en-GB"/>
              </w:rPr>
              <w:t>Target: 80% of recommendations implemented</w:t>
            </w:r>
          </w:p>
          <w:p w14:paraId="655B8F4D" w14:textId="49DCFC65" w:rsidR="00F806A0" w:rsidRPr="00BD3436" w:rsidRDefault="00F806A0" w:rsidP="000D4FFB">
            <w:pPr>
              <w:rPr>
                <w:iCs/>
                <w:sz w:val="16"/>
                <w:szCs w:val="16"/>
                <w:lang w:val="en-GB"/>
              </w:rPr>
            </w:pPr>
            <w:r w:rsidRPr="00BD3436">
              <w:rPr>
                <w:iCs/>
                <w:sz w:val="16"/>
                <w:szCs w:val="16"/>
                <w:lang w:val="en-GB"/>
              </w:rPr>
              <w:t xml:space="preserve">Data source, frequency: </w:t>
            </w:r>
            <w:r w:rsidR="00227595" w:rsidRPr="00BD3436">
              <w:rPr>
                <w:iCs/>
                <w:sz w:val="16"/>
                <w:szCs w:val="16"/>
                <w:lang w:val="en-GB"/>
              </w:rPr>
              <w:t>Universal Periodic Review</w:t>
            </w:r>
            <w:r w:rsidRPr="00BD3436">
              <w:rPr>
                <w:iCs/>
                <w:sz w:val="16"/>
                <w:szCs w:val="16"/>
                <w:lang w:val="en-GB"/>
              </w:rPr>
              <w:t xml:space="preserve"> outcome reports for Serbia (approximately every five years)</w:t>
            </w:r>
          </w:p>
          <w:p w14:paraId="04957C5B" w14:textId="77777777" w:rsidR="00F806A0" w:rsidRPr="00BD3436" w:rsidRDefault="00F806A0" w:rsidP="000D4FFB">
            <w:pPr>
              <w:rPr>
                <w:iCs/>
                <w:sz w:val="16"/>
                <w:szCs w:val="16"/>
                <w:lang w:val="en-GB"/>
              </w:rPr>
            </w:pPr>
          </w:p>
          <w:p w14:paraId="75D05A70" w14:textId="77777777" w:rsidR="00F806A0" w:rsidRPr="00BD3436" w:rsidRDefault="00F806A0" w:rsidP="000D4FFB">
            <w:pPr>
              <w:rPr>
                <w:b/>
                <w:iCs/>
                <w:sz w:val="16"/>
                <w:szCs w:val="16"/>
                <w:lang w:val="en-GB"/>
              </w:rPr>
            </w:pPr>
            <w:r w:rsidRPr="00BD3436">
              <w:rPr>
                <w:b/>
                <w:iCs/>
                <w:sz w:val="16"/>
                <w:szCs w:val="16"/>
                <w:lang w:val="en-GB"/>
              </w:rPr>
              <w:t>Output 5: Governance institutions address people’s safety and security concerns effectively</w:t>
            </w:r>
          </w:p>
          <w:p w14:paraId="552A8168" w14:textId="3DCB7CD8" w:rsidR="00F806A0" w:rsidRPr="00BD3436" w:rsidRDefault="006A0F2C" w:rsidP="00E825DC">
            <w:pPr>
              <w:rPr>
                <w:sz w:val="16"/>
                <w:szCs w:val="16"/>
                <w:lang w:val="en-GB"/>
              </w:rPr>
            </w:pPr>
            <w:r w:rsidRPr="00BD3436">
              <w:rPr>
                <w:sz w:val="16"/>
                <w:szCs w:val="16"/>
                <w:lang w:val="en-GB"/>
              </w:rPr>
              <w:t>Indicator</w:t>
            </w:r>
            <w:r w:rsidR="00F806A0" w:rsidRPr="00BD3436">
              <w:rPr>
                <w:sz w:val="16"/>
                <w:szCs w:val="16"/>
                <w:lang w:val="en-GB"/>
              </w:rPr>
              <w:t xml:space="preserve">: </w:t>
            </w:r>
            <w:r w:rsidR="00227595" w:rsidRPr="00BD3436">
              <w:rPr>
                <w:sz w:val="16"/>
                <w:szCs w:val="16"/>
                <w:lang w:val="en-GB"/>
              </w:rPr>
              <w:t>Percentage</w:t>
            </w:r>
            <w:r w:rsidR="00204A6C" w:rsidRPr="00BD3436">
              <w:rPr>
                <w:sz w:val="16"/>
                <w:szCs w:val="16"/>
                <w:lang w:val="en-GB"/>
              </w:rPr>
              <w:t xml:space="preserve"> of decrease </w:t>
            </w:r>
            <w:r w:rsidR="00F806A0" w:rsidRPr="00BD3436">
              <w:rPr>
                <w:sz w:val="16"/>
                <w:szCs w:val="16"/>
                <w:lang w:val="en-GB"/>
              </w:rPr>
              <w:t>of firearms related incidents</w:t>
            </w:r>
          </w:p>
          <w:p w14:paraId="5AB36366" w14:textId="77777777" w:rsidR="006A0F2C" w:rsidRPr="00BD3436" w:rsidRDefault="00F806A0" w:rsidP="006A0F2C">
            <w:pPr>
              <w:rPr>
                <w:sz w:val="16"/>
                <w:szCs w:val="16"/>
                <w:lang w:val="en-GB"/>
              </w:rPr>
            </w:pPr>
            <w:r w:rsidRPr="00BD3436">
              <w:rPr>
                <w:sz w:val="16"/>
                <w:szCs w:val="16"/>
                <w:lang w:val="en-GB"/>
              </w:rPr>
              <w:t>Baseline: Over 300 incidents of armed violence per year</w:t>
            </w:r>
          </w:p>
          <w:p w14:paraId="2EF91A1F" w14:textId="77777777" w:rsidR="006A0F2C" w:rsidRPr="00BD3436" w:rsidRDefault="006A0F2C" w:rsidP="006A0F2C">
            <w:pPr>
              <w:rPr>
                <w:sz w:val="16"/>
                <w:szCs w:val="16"/>
                <w:lang w:val="en-GB"/>
              </w:rPr>
            </w:pPr>
            <w:r w:rsidRPr="00BD3436">
              <w:rPr>
                <w:sz w:val="16"/>
                <w:szCs w:val="16"/>
                <w:lang w:val="en-GB"/>
              </w:rPr>
              <w:t>Target: Reduction of armed violence incidents by 20%</w:t>
            </w:r>
          </w:p>
          <w:p w14:paraId="256BD77A" w14:textId="77777777" w:rsidR="006A0F2C" w:rsidRPr="00BD3436" w:rsidRDefault="006A0F2C" w:rsidP="006A0F2C">
            <w:pPr>
              <w:rPr>
                <w:sz w:val="16"/>
                <w:szCs w:val="16"/>
                <w:lang w:val="en-GB"/>
              </w:rPr>
            </w:pPr>
            <w:r w:rsidRPr="00BD3436">
              <w:rPr>
                <w:sz w:val="16"/>
                <w:szCs w:val="16"/>
                <w:lang w:val="en-GB"/>
              </w:rPr>
              <w:t>Data source: Reports of the Ministry of Interior</w:t>
            </w:r>
          </w:p>
          <w:p w14:paraId="35363059" w14:textId="77777777" w:rsidR="006A0F2C" w:rsidRPr="00BD3436" w:rsidRDefault="006A0F2C" w:rsidP="006A0F2C">
            <w:pPr>
              <w:rPr>
                <w:sz w:val="16"/>
                <w:szCs w:val="16"/>
                <w:lang w:val="en-GB"/>
              </w:rPr>
            </w:pPr>
          </w:p>
          <w:p w14:paraId="7AE995AE" w14:textId="42812F41" w:rsidR="00F806A0" w:rsidRPr="00BD3436" w:rsidRDefault="006A0F2C" w:rsidP="006A0F2C">
            <w:pPr>
              <w:rPr>
                <w:sz w:val="16"/>
                <w:szCs w:val="16"/>
                <w:lang w:val="en-GB"/>
              </w:rPr>
            </w:pPr>
            <w:r w:rsidRPr="00BD3436">
              <w:rPr>
                <w:sz w:val="16"/>
                <w:szCs w:val="16"/>
                <w:lang w:val="en-GB"/>
              </w:rPr>
              <w:t>Indicator: Transparency of arms reporting</w:t>
            </w:r>
          </w:p>
          <w:p w14:paraId="6E201BC2" w14:textId="77777777" w:rsidR="00F806A0" w:rsidRPr="00BD3436" w:rsidRDefault="006A0F2C" w:rsidP="00E825DC">
            <w:pPr>
              <w:rPr>
                <w:sz w:val="16"/>
                <w:szCs w:val="16"/>
                <w:lang w:val="en-GB"/>
              </w:rPr>
            </w:pPr>
            <w:r w:rsidRPr="00BD3436">
              <w:rPr>
                <w:sz w:val="16"/>
                <w:szCs w:val="16"/>
                <w:lang w:val="en-GB"/>
              </w:rPr>
              <w:t>Baseline: A</w:t>
            </w:r>
            <w:r w:rsidR="00F806A0" w:rsidRPr="00BD3436">
              <w:rPr>
                <w:sz w:val="16"/>
                <w:szCs w:val="16"/>
                <w:lang w:val="en-GB"/>
              </w:rPr>
              <w:t>rms transfer reports among the 10 most transparent</w:t>
            </w:r>
          </w:p>
          <w:p w14:paraId="60D5E2E0" w14:textId="026A402B" w:rsidR="00F806A0" w:rsidRPr="00BD3436" w:rsidRDefault="006A0F2C" w:rsidP="000D4FFB">
            <w:pPr>
              <w:rPr>
                <w:sz w:val="16"/>
                <w:lang w:val="en-GB"/>
              </w:rPr>
            </w:pPr>
            <w:r w:rsidRPr="00BD3436">
              <w:rPr>
                <w:sz w:val="16"/>
                <w:szCs w:val="16"/>
                <w:lang w:val="en-GB"/>
              </w:rPr>
              <w:t>Target:</w:t>
            </w:r>
            <w:r w:rsidR="00F806A0" w:rsidRPr="00BD3436">
              <w:rPr>
                <w:sz w:val="16"/>
                <w:szCs w:val="16"/>
                <w:lang w:val="en-GB"/>
              </w:rPr>
              <w:t xml:space="preserve"> Arms </w:t>
            </w:r>
            <w:r w:rsidR="00227595" w:rsidRPr="00BD3436">
              <w:rPr>
                <w:sz w:val="16"/>
                <w:szCs w:val="16"/>
                <w:lang w:val="en-GB"/>
              </w:rPr>
              <w:t>t</w:t>
            </w:r>
            <w:r w:rsidR="00F806A0" w:rsidRPr="00BD3436">
              <w:rPr>
                <w:sz w:val="16"/>
                <w:szCs w:val="16"/>
                <w:lang w:val="en-GB"/>
              </w:rPr>
              <w:t xml:space="preserve">rade </w:t>
            </w:r>
            <w:r w:rsidR="00227595" w:rsidRPr="00BD3436">
              <w:rPr>
                <w:sz w:val="16"/>
                <w:szCs w:val="16"/>
                <w:lang w:val="en-GB"/>
              </w:rPr>
              <w:t>t</w:t>
            </w:r>
            <w:r w:rsidR="00F806A0" w:rsidRPr="00BD3436">
              <w:rPr>
                <w:sz w:val="16"/>
                <w:szCs w:val="16"/>
                <w:lang w:val="en-GB"/>
              </w:rPr>
              <w:t xml:space="preserve">reaty reports among the </w:t>
            </w:r>
            <w:r w:rsidR="00227595" w:rsidRPr="00BD3436">
              <w:rPr>
                <w:sz w:val="16"/>
                <w:szCs w:val="16"/>
                <w:lang w:val="en-GB"/>
              </w:rPr>
              <w:t>five</w:t>
            </w:r>
            <w:r w:rsidR="00F806A0" w:rsidRPr="00BD3436">
              <w:rPr>
                <w:sz w:val="16"/>
                <w:szCs w:val="16"/>
                <w:lang w:val="en-GB"/>
              </w:rPr>
              <w:t xml:space="preserve"> most transparent</w:t>
            </w:r>
          </w:p>
        </w:tc>
        <w:tc>
          <w:tcPr>
            <w:tcW w:w="674" w:type="pct"/>
            <w:tcBorders>
              <w:top w:val="single" w:sz="4" w:space="0" w:color="auto"/>
              <w:left w:val="single" w:sz="8" w:space="0" w:color="000000"/>
              <w:right w:val="single" w:sz="8" w:space="0" w:color="000000"/>
            </w:tcBorders>
          </w:tcPr>
          <w:p w14:paraId="086D9FE4" w14:textId="77777777" w:rsidR="00F806A0" w:rsidRPr="00BD3436" w:rsidRDefault="00F806A0" w:rsidP="000D4FFB">
            <w:pPr>
              <w:rPr>
                <w:iCs/>
                <w:sz w:val="16"/>
                <w:szCs w:val="16"/>
                <w:lang w:val="en-GB"/>
              </w:rPr>
            </w:pPr>
          </w:p>
        </w:tc>
        <w:tc>
          <w:tcPr>
            <w:tcW w:w="486"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709BB29C" w14:textId="77777777" w:rsidR="00F806A0" w:rsidRPr="00BD3436" w:rsidRDefault="00F806A0" w:rsidP="000D4FFB">
            <w:pPr>
              <w:rPr>
                <w:b/>
                <w:sz w:val="16"/>
                <w:szCs w:val="16"/>
                <w:lang w:val="en-GB"/>
              </w:rPr>
            </w:pPr>
            <w:r w:rsidRPr="00BD3436">
              <w:rPr>
                <w:b/>
                <w:sz w:val="16"/>
                <w:szCs w:val="16"/>
                <w:lang w:val="en-GB"/>
              </w:rPr>
              <w:t>Regular: 484,250.00</w:t>
            </w:r>
          </w:p>
        </w:tc>
      </w:tr>
      <w:tr w:rsidR="00F806A0" w:rsidRPr="00BD3436" w14:paraId="5538F4A6" w14:textId="77777777" w:rsidTr="004303A7">
        <w:trPr>
          <w:trHeight w:val="461"/>
        </w:trPr>
        <w:tc>
          <w:tcPr>
            <w:tcW w:w="827" w:type="pct"/>
            <w:vMerge/>
            <w:tcBorders>
              <w:left w:val="single" w:sz="8" w:space="0" w:color="000000"/>
              <w:bottom w:val="single" w:sz="4" w:space="0" w:color="auto"/>
              <w:right w:val="single" w:sz="4" w:space="0" w:color="auto"/>
            </w:tcBorders>
            <w:tcMar>
              <w:top w:w="72" w:type="dxa"/>
              <w:left w:w="144" w:type="dxa"/>
              <w:bottom w:w="72" w:type="dxa"/>
              <w:right w:w="144" w:type="dxa"/>
            </w:tcMar>
          </w:tcPr>
          <w:p w14:paraId="06D855F0" w14:textId="77777777" w:rsidR="00F806A0" w:rsidRPr="00BD3436" w:rsidRDefault="00F806A0" w:rsidP="000D4FFB">
            <w:pPr>
              <w:rPr>
                <w:i/>
                <w:iCs/>
                <w:sz w:val="16"/>
                <w:szCs w:val="16"/>
                <w:lang w:val="en-GB"/>
              </w:rPr>
            </w:pPr>
          </w:p>
        </w:tc>
        <w:tc>
          <w:tcPr>
            <w:tcW w:w="624" w:type="pct"/>
            <w:vMerge/>
            <w:tcBorders>
              <w:left w:val="single" w:sz="4" w:space="0" w:color="auto"/>
              <w:bottom w:val="single" w:sz="4" w:space="0" w:color="auto"/>
              <w:right w:val="single" w:sz="8" w:space="0" w:color="000000"/>
            </w:tcBorders>
          </w:tcPr>
          <w:p w14:paraId="346590D6" w14:textId="77777777" w:rsidR="00F806A0" w:rsidRPr="00BD3436" w:rsidRDefault="00F806A0" w:rsidP="000D4FFB">
            <w:pPr>
              <w:rPr>
                <w:i/>
                <w:iCs/>
                <w:sz w:val="16"/>
                <w:szCs w:val="16"/>
                <w:lang w:val="en-GB"/>
              </w:rPr>
            </w:pPr>
          </w:p>
        </w:tc>
        <w:tc>
          <w:tcPr>
            <w:tcW w:w="2389"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37722182" w14:textId="77777777" w:rsidR="00F806A0" w:rsidRPr="00BD3436" w:rsidRDefault="00F806A0" w:rsidP="000D4FFB">
            <w:pPr>
              <w:rPr>
                <w:i/>
                <w:iCs/>
                <w:sz w:val="16"/>
                <w:szCs w:val="16"/>
                <w:lang w:val="en-GB"/>
              </w:rPr>
            </w:pPr>
          </w:p>
        </w:tc>
        <w:tc>
          <w:tcPr>
            <w:tcW w:w="674" w:type="pct"/>
            <w:tcBorders>
              <w:left w:val="single" w:sz="8" w:space="0" w:color="000000"/>
              <w:bottom w:val="single" w:sz="4" w:space="0" w:color="auto"/>
              <w:right w:val="single" w:sz="8" w:space="0" w:color="000000"/>
            </w:tcBorders>
          </w:tcPr>
          <w:p w14:paraId="307C41CF" w14:textId="77777777" w:rsidR="00F806A0" w:rsidRPr="00BD3436" w:rsidRDefault="00F806A0" w:rsidP="000D4FFB">
            <w:pPr>
              <w:rPr>
                <w:iCs/>
                <w:sz w:val="16"/>
                <w:szCs w:val="16"/>
                <w:lang w:val="en-GB"/>
              </w:rPr>
            </w:pPr>
            <w:r w:rsidRPr="00BD3436">
              <w:rPr>
                <w:iCs/>
                <w:sz w:val="16"/>
                <w:szCs w:val="16"/>
                <w:lang w:val="en-GB"/>
              </w:rPr>
              <w:t>National Assembly,</w:t>
            </w:r>
          </w:p>
          <w:p w14:paraId="29F563EA" w14:textId="412C7595" w:rsidR="00F806A0" w:rsidRPr="00BD3436" w:rsidRDefault="00F806A0" w:rsidP="000D4FFB">
            <w:pPr>
              <w:rPr>
                <w:iCs/>
                <w:sz w:val="16"/>
                <w:szCs w:val="16"/>
                <w:lang w:val="en-GB"/>
              </w:rPr>
            </w:pPr>
            <w:r w:rsidRPr="00BD3436">
              <w:rPr>
                <w:iCs/>
                <w:sz w:val="16"/>
                <w:szCs w:val="16"/>
                <w:lang w:val="en-GB"/>
              </w:rPr>
              <w:t>Ministry of Public Administration and Local Self</w:t>
            </w:r>
            <w:r w:rsidR="00227595" w:rsidRPr="00BD3436">
              <w:rPr>
                <w:iCs/>
                <w:sz w:val="16"/>
                <w:szCs w:val="16"/>
                <w:lang w:val="en-GB"/>
              </w:rPr>
              <w:t>-</w:t>
            </w:r>
            <w:r w:rsidRPr="00BD3436">
              <w:rPr>
                <w:iCs/>
                <w:sz w:val="16"/>
                <w:szCs w:val="16"/>
                <w:lang w:val="en-GB"/>
              </w:rPr>
              <w:t>Government,</w:t>
            </w:r>
          </w:p>
          <w:p w14:paraId="4606C6F3" w14:textId="77777777" w:rsidR="00F806A0" w:rsidRPr="00BD3436" w:rsidRDefault="00F806A0" w:rsidP="000D4FFB">
            <w:pPr>
              <w:rPr>
                <w:iCs/>
                <w:sz w:val="16"/>
                <w:szCs w:val="16"/>
                <w:lang w:val="en-GB"/>
              </w:rPr>
            </w:pPr>
            <w:r w:rsidRPr="00BD3436">
              <w:rPr>
                <w:iCs/>
                <w:sz w:val="16"/>
                <w:szCs w:val="16"/>
                <w:lang w:val="en-GB"/>
              </w:rPr>
              <w:t>Ministry of Finance,</w:t>
            </w:r>
          </w:p>
          <w:p w14:paraId="0D0B21EF" w14:textId="77777777" w:rsidR="00F806A0" w:rsidRPr="00BD3436" w:rsidRDefault="00F806A0" w:rsidP="000D4FFB">
            <w:pPr>
              <w:rPr>
                <w:iCs/>
                <w:sz w:val="16"/>
                <w:szCs w:val="16"/>
                <w:lang w:val="en-GB"/>
              </w:rPr>
            </w:pPr>
            <w:r w:rsidRPr="00BD3436">
              <w:rPr>
                <w:iCs/>
                <w:sz w:val="16"/>
                <w:szCs w:val="16"/>
                <w:lang w:val="en-GB"/>
              </w:rPr>
              <w:t>Transparency Serbia,</w:t>
            </w:r>
          </w:p>
          <w:p w14:paraId="7F219680" w14:textId="77777777" w:rsidR="00F806A0" w:rsidRPr="00BD3436" w:rsidRDefault="00F806A0" w:rsidP="000D4FFB">
            <w:pPr>
              <w:rPr>
                <w:iCs/>
                <w:sz w:val="16"/>
                <w:szCs w:val="16"/>
                <w:lang w:val="en-GB"/>
              </w:rPr>
            </w:pPr>
            <w:r w:rsidRPr="00BD3436">
              <w:rPr>
                <w:iCs/>
                <w:sz w:val="16"/>
                <w:szCs w:val="16"/>
                <w:lang w:val="en-GB"/>
              </w:rPr>
              <w:t>Public Procurement Office,</w:t>
            </w:r>
          </w:p>
          <w:p w14:paraId="4697B40C" w14:textId="77777777" w:rsidR="00F806A0" w:rsidRPr="00BD3436" w:rsidRDefault="00F806A0" w:rsidP="000D4FFB">
            <w:pPr>
              <w:rPr>
                <w:iCs/>
                <w:sz w:val="16"/>
                <w:szCs w:val="16"/>
                <w:lang w:val="en-GB"/>
              </w:rPr>
            </w:pPr>
            <w:r w:rsidRPr="00BD3436">
              <w:rPr>
                <w:iCs/>
                <w:sz w:val="16"/>
                <w:szCs w:val="16"/>
                <w:lang w:val="en-GB"/>
              </w:rPr>
              <w:t>State Audit Institution</w:t>
            </w:r>
          </w:p>
          <w:p w14:paraId="44E2FA77" w14:textId="77777777" w:rsidR="00F806A0" w:rsidRPr="00BD3436" w:rsidRDefault="00F806A0" w:rsidP="000D4FFB">
            <w:pPr>
              <w:rPr>
                <w:iCs/>
                <w:sz w:val="16"/>
                <w:szCs w:val="16"/>
                <w:highlight w:val="yellow"/>
                <w:lang w:val="en-GB"/>
              </w:rPr>
            </w:pPr>
          </w:p>
          <w:p w14:paraId="52AF735B" w14:textId="77777777" w:rsidR="00F806A0" w:rsidRPr="00BD3436" w:rsidRDefault="00F806A0" w:rsidP="000D4FFB">
            <w:pPr>
              <w:rPr>
                <w:iCs/>
                <w:sz w:val="16"/>
                <w:szCs w:val="16"/>
                <w:lang w:val="en-GB"/>
              </w:rPr>
            </w:pPr>
          </w:p>
        </w:tc>
        <w:tc>
          <w:tcPr>
            <w:tcW w:w="486"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2FE958E1" w14:textId="77777777" w:rsidR="00F806A0" w:rsidRPr="00BD3436" w:rsidRDefault="00F806A0" w:rsidP="000D4FFB">
            <w:pPr>
              <w:rPr>
                <w:b/>
                <w:sz w:val="16"/>
                <w:szCs w:val="16"/>
                <w:lang w:val="en-GB"/>
              </w:rPr>
            </w:pPr>
            <w:r w:rsidRPr="00BD3436">
              <w:rPr>
                <w:b/>
                <w:sz w:val="16"/>
                <w:szCs w:val="16"/>
                <w:lang w:val="en-GB"/>
              </w:rPr>
              <w:t>Other: 11,</w:t>
            </w:r>
            <w:r w:rsidR="003A74BF" w:rsidRPr="00BD3436">
              <w:rPr>
                <w:b/>
                <w:sz w:val="16"/>
                <w:szCs w:val="16"/>
                <w:lang w:val="en-GB"/>
              </w:rPr>
              <w:t>4</w:t>
            </w:r>
            <w:r w:rsidRPr="00BD3436">
              <w:rPr>
                <w:b/>
                <w:sz w:val="16"/>
                <w:szCs w:val="16"/>
                <w:lang w:val="en-GB"/>
              </w:rPr>
              <w:t>30,000.00</w:t>
            </w:r>
          </w:p>
          <w:p w14:paraId="26037C04" w14:textId="77777777" w:rsidR="00F806A0" w:rsidRPr="00BD3436" w:rsidRDefault="00F806A0" w:rsidP="000D4FFB">
            <w:pPr>
              <w:rPr>
                <w:b/>
                <w:sz w:val="16"/>
                <w:szCs w:val="16"/>
                <w:lang w:val="en-GB"/>
              </w:rPr>
            </w:pPr>
          </w:p>
          <w:p w14:paraId="6EB97BD8" w14:textId="77777777" w:rsidR="00F806A0" w:rsidRPr="00BD3436" w:rsidRDefault="00F806A0" w:rsidP="000D4FFB">
            <w:pPr>
              <w:rPr>
                <w:b/>
                <w:sz w:val="16"/>
                <w:szCs w:val="16"/>
                <w:lang w:val="en-GB"/>
              </w:rPr>
            </w:pPr>
          </w:p>
          <w:p w14:paraId="5CD0F7DE" w14:textId="77777777" w:rsidR="00F806A0" w:rsidRPr="00BD3436" w:rsidRDefault="00F806A0" w:rsidP="000D4FFB">
            <w:pPr>
              <w:rPr>
                <w:b/>
                <w:sz w:val="16"/>
                <w:szCs w:val="16"/>
                <w:lang w:val="en-GB"/>
              </w:rPr>
            </w:pPr>
          </w:p>
          <w:p w14:paraId="57C1D6CA" w14:textId="77777777" w:rsidR="00F806A0" w:rsidRPr="00BD3436" w:rsidRDefault="00F806A0" w:rsidP="000D4FFB">
            <w:pPr>
              <w:rPr>
                <w:b/>
                <w:sz w:val="16"/>
                <w:szCs w:val="16"/>
                <w:lang w:val="en-GB"/>
              </w:rPr>
            </w:pPr>
          </w:p>
          <w:p w14:paraId="4259E6BD" w14:textId="77777777" w:rsidR="00F806A0" w:rsidRPr="00BD3436" w:rsidRDefault="00F806A0" w:rsidP="000D4FFB">
            <w:pPr>
              <w:rPr>
                <w:b/>
                <w:sz w:val="16"/>
                <w:szCs w:val="16"/>
                <w:lang w:val="en-GB"/>
              </w:rPr>
            </w:pPr>
          </w:p>
          <w:p w14:paraId="0DF5B4F5" w14:textId="77777777" w:rsidR="00F806A0" w:rsidRPr="00BD3436" w:rsidRDefault="00F806A0" w:rsidP="000D4FFB">
            <w:pPr>
              <w:rPr>
                <w:b/>
                <w:sz w:val="16"/>
                <w:szCs w:val="16"/>
                <w:lang w:val="en-GB"/>
              </w:rPr>
            </w:pPr>
          </w:p>
          <w:p w14:paraId="262BDBBE" w14:textId="77777777" w:rsidR="00F806A0" w:rsidRPr="00BD3436" w:rsidRDefault="00F806A0" w:rsidP="000D4FFB">
            <w:pPr>
              <w:rPr>
                <w:b/>
                <w:sz w:val="16"/>
                <w:szCs w:val="16"/>
                <w:lang w:val="en-GB"/>
              </w:rPr>
            </w:pPr>
          </w:p>
          <w:p w14:paraId="7B99DF76" w14:textId="77777777" w:rsidR="00F806A0" w:rsidRPr="00BD3436" w:rsidRDefault="00F806A0" w:rsidP="000D4FFB">
            <w:pPr>
              <w:rPr>
                <w:b/>
                <w:sz w:val="16"/>
                <w:szCs w:val="16"/>
                <w:lang w:val="en-GB"/>
              </w:rPr>
            </w:pPr>
          </w:p>
          <w:p w14:paraId="591EB118" w14:textId="77777777" w:rsidR="00F806A0" w:rsidRPr="00BD3436" w:rsidRDefault="00F806A0" w:rsidP="000D4FFB">
            <w:pPr>
              <w:rPr>
                <w:b/>
                <w:sz w:val="16"/>
                <w:szCs w:val="16"/>
                <w:lang w:val="en-GB"/>
              </w:rPr>
            </w:pPr>
          </w:p>
          <w:p w14:paraId="097CD00C" w14:textId="77777777" w:rsidR="00F806A0" w:rsidRPr="00BD3436" w:rsidRDefault="00F806A0" w:rsidP="000D4FFB">
            <w:pPr>
              <w:rPr>
                <w:b/>
                <w:sz w:val="16"/>
                <w:szCs w:val="16"/>
                <w:lang w:val="en-GB"/>
              </w:rPr>
            </w:pPr>
          </w:p>
          <w:p w14:paraId="1446062C" w14:textId="77777777" w:rsidR="00F806A0" w:rsidRPr="00BD3436" w:rsidRDefault="00F806A0" w:rsidP="000D4FFB">
            <w:pPr>
              <w:rPr>
                <w:b/>
                <w:sz w:val="16"/>
                <w:szCs w:val="16"/>
                <w:lang w:val="en-GB"/>
              </w:rPr>
            </w:pPr>
          </w:p>
          <w:p w14:paraId="5D678718" w14:textId="77777777" w:rsidR="00F806A0" w:rsidRPr="00BD3436" w:rsidRDefault="00F806A0" w:rsidP="000D4FFB">
            <w:pPr>
              <w:rPr>
                <w:b/>
                <w:sz w:val="16"/>
                <w:szCs w:val="16"/>
                <w:lang w:val="en-GB"/>
              </w:rPr>
            </w:pPr>
          </w:p>
          <w:p w14:paraId="67B69E00" w14:textId="77777777" w:rsidR="00F806A0" w:rsidRPr="00BD3436" w:rsidRDefault="00F806A0" w:rsidP="000D4FFB">
            <w:pPr>
              <w:rPr>
                <w:b/>
                <w:sz w:val="16"/>
                <w:szCs w:val="16"/>
                <w:lang w:val="en-GB"/>
              </w:rPr>
            </w:pPr>
          </w:p>
          <w:p w14:paraId="63D8509F" w14:textId="77777777" w:rsidR="00F806A0" w:rsidRPr="00BD3436" w:rsidRDefault="00F806A0" w:rsidP="000D4FFB">
            <w:pPr>
              <w:rPr>
                <w:b/>
                <w:sz w:val="16"/>
                <w:szCs w:val="16"/>
                <w:lang w:val="en-GB"/>
              </w:rPr>
            </w:pPr>
          </w:p>
          <w:p w14:paraId="7C99CFCE" w14:textId="77777777" w:rsidR="00F806A0" w:rsidRPr="00BD3436" w:rsidRDefault="00F806A0" w:rsidP="000D4FFB">
            <w:pPr>
              <w:rPr>
                <w:b/>
                <w:sz w:val="16"/>
                <w:szCs w:val="16"/>
                <w:lang w:val="en-GB"/>
              </w:rPr>
            </w:pPr>
          </w:p>
          <w:p w14:paraId="33C60F31" w14:textId="77777777" w:rsidR="00F806A0" w:rsidRPr="00BD3436" w:rsidRDefault="00F806A0" w:rsidP="000D4FFB">
            <w:pPr>
              <w:rPr>
                <w:b/>
                <w:sz w:val="16"/>
                <w:szCs w:val="16"/>
                <w:lang w:val="en-GB"/>
              </w:rPr>
            </w:pPr>
          </w:p>
          <w:p w14:paraId="5041A04B" w14:textId="77777777" w:rsidR="00F806A0" w:rsidRPr="00BD3436" w:rsidRDefault="00F806A0" w:rsidP="000D4FFB">
            <w:pPr>
              <w:rPr>
                <w:b/>
                <w:sz w:val="16"/>
                <w:szCs w:val="16"/>
                <w:lang w:val="en-GB"/>
              </w:rPr>
            </w:pPr>
          </w:p>
          <w:p w14:paraId="00AF40C1" w14:textId="77777777" w:rsidR="00F806A0" w:rsidRPr="00BD3436" w:rsidRDefault="00F806A0" w:rsidP="000D4FFB">
            <w:pPr>
              <w:rPr>
                <w:b/>
                <w:sz w:val="16"/>
                <w:szCs w:val="16"/>
                <w:lang w:val="en-GB"/>
              </w:rPr>
            </w:pPr>
          </w:p>
          <w:p w14:paraId="5E53E7FB" w14:textId="77777777" w:rsidR="00F806A0" w:rsidRPr="00BD3436" w:rsidRDefault="00F806A0" w:rsidP="000D4FFB">
            <w:pPr>
              <w:rPr>
                <w:b/>
                <w:sz w:val="16"/>
                <w:szCs w:val="16"/>
                <w:lang w:val="en-GB"/>
              </w:rPr>
            </w:pPr>
          </w:p>
          <w:p w14:paraId="53F7670B" w14:textId="77777777" w:rsidR="00F806A0" w:rsidRPr="00BD3436" w:rsidRDefault="00F806A0" w:rsidP="000D4FFB">
            <w:pPr>
              <w:rPr>
                <w:b/>
                <w:sz w:val="16"/>
                <w:szCs w:val="16"/>
                <w:lang w:val="en-GB"/>
              </w:rPr>
            </w:pPr>
          </w:p>
        </w:tc>
      </w:tr>
      <w:tr w:rsidR="00F806A0" w:rsidRPr="00BD3436" w14:paraId="16971C94" w14:textId="77777777" w:rsidTr="004303A7">
        <w:trPr>
          <w:trHeight w:val="23"/>
        </w:trPr>
        <w:tc>
          <w:tcPr>
            <w:tcW w:w="5000" w:type="pct"/>
            <w:gridSpan w:val="5"/>
            <w:tcBorders>
              <w:left w:val="single" w:sz="8" w:space="0" w:color="000000"/>
              <w:bottom w:val="single" w:sz="4" w:space="0" w:color="auto"/>
              <w:right w:val="single" w:sz="8" w:space="0" w:color="000000"/>
            </w:tcBorders>
            <w:tcMar>
              <w:top w:w="72" w:type="dxa"/>
              <w:left w:w="144" w:type="dxa"/>
              <w:bottom w:w="72" w:type="dxa"/>
              <w:right w:w="144" w:type="dxa"/>
            </w:tcMar>
          </w:tcPr>
          <w:p w14:paraId="050E747A" w14:textId="61A7A54E" w:rsidR="00F806A0" w:rsidRPr="00BD3436" w:rsidRDefault="00F806A0" w:rsidP="000D4FFB">
            <w:pPr>
              <w:rPr>
                <w:bCs/>
                <w:sz w:val="16"/>
                <w:szCs w:val="16"/>
                <w:lang w:val="en-GB"/>
              </w:rPr>
            </w:pPr>
            <w:r w:rsidRPr="00BD3436">
              <w:rPr>
                <w:b/>
                <w:bCs/>
                <w:sz w:val="16"/>
                <w:szCs w:val="16"/>
                <w:lang w:val="en-GB"/>
              </w:rPr>
              <w:lastRenderedPageBreak/>
              <w:t>NATIONAL PRIORITY OR GOAL</w:t>
            </w:r>
            <w:r w:rsidR="00EE7C01" w:rsidRPr="00BD3436">
              <w:rPr>
                <w:b/>
                <w:bCs/>
                <w:sz w:val="16"/>
                <w:szCs w:val="16"/>
                <w:lang w:val="en-GB"/>
              </w:rPr>
              <w:t xml:space="preserve"> </w:t>
            </w:r>
            <w:r w:rsidR="00EE7C01" w:rsidRPr="00BD3436">
              <w:rPr>
                <w:b/>
                <w:bCs/>
                <w:iCs/>
                <w:sz w:val="16"/>
                <w:szCs w:val="16"/>
                <w:lang w:val="en-GB"/>
              </w:rPr>
              <w:t>National Priorities for International Assistance (NAD)</w:t>
            </w:r>
            <w:r w:rsidRPr="00BD3436">
              <w:rPr>
                <w:b/>
                <w:bCs/>
                <w:sz w:val="16"/>
                <w:szCs w:val="16"/>
                <w:lang w:val="en-GB"/>
              </w:rPr>
              <w:t xml:space="preserve">: </w:t>
            </w:r>
            <w:r w:rsidRPr="00BD3436">
              <w:rPr>
                <w:bCs/>
                <w:sz w:val="16"/>
                <w:szCs w:val="16"/>
                <w:lang w:val="en-GB"/>
              </w:rPr>
              <w:t xml:space="preserve">Gender equality is one of three cross-cutting issues in the NAD and is addressed through different priorities. Within the </w:t>
            </w:r>
            <w:r w:rsidR="00EE7C01" w:rsidRPr="00BD3436">
              <w:rPr>
                <w:bCs/>
                <w:sz w:val="16"/>
                <w:szCs w:val="16"/>
                <w:lang w:val="en-GB"/>
              </w:rPr>
              <w:t>j</w:t>
            </w:r>
            <w:r w:rsidRPr="00BD3436">
              <w:rPr>
                <w:bCs/>
                <w:sz w:val="16"/>
                <w:szCs w:val="16"/>
                <w:lang w:val="en-GB"/>
              </w:rPr>
              <w:t>ustice sector</w:t>
            </w:r>
            <w:r w:rsidR="00EE7C01" w:rsidRPr="00BD3436">
              <w:rPr>
                <w:bCs/>
                <w:sz w:val="16"/>
                <w:szCs w:val="16"/>
                <w:lang w:val="en-GB"/>
              </w:rPr>
              <w:t>,</w:t>
            </w:r>
            <w:r w:rsidRPr="00BD3436">
              <w:rPr>
                <w:bCs/>
                <w:sz w:val="16"/>
                <w:szCs w:val="16"/>
                <w:lang w:val="en-GB"/>
              </w:rPr>
              <w:t xml:space="preserve"> violence against women is addressed as a human rights violation.</w:t>
            </w:r>
          </w:p>
        </w:tc>
      </w:tr>
      <w:tr w:rsidR="00F806A0" w:rsidRPr="00BD3436" w14:paraId="0218F7E4" w14:textId="77777777" w:rsidTr="004303A7">
        <w:trPr>
          <w:trHeight w:val="461"/>
        </w:trPr>
        <w:tc>
          <w:tcPr>
            <w:tcW w:w="5000" w:type="pct"/>
            <w:gridSpan w:val="5"/>
            <w:tcBorders>
              <w:left w:val="single" w:sz="8" w:space="0" w:color="000000"/>
              <w:bottom w:val="single" w:sz="4" w:space="0" w:color="auto"/>
              <w:right w:val="single" w:sz="8" w:space="0" w:color="000000"/>
            </w:tcBorders>
            <w:tcMar>
              <w:top w:w="72" w:type="dxa"/>
              <w:left w:w="144" w:type="dxa"/>
              <w:bottom w:w="72" w:type="dxa"/>
              <w:right w:w="144" w:type="dxa"/>
            </w:tcMar>
          </w:tcPr>
          <w:p w14:paraId="3E300C58" w14:textId="77777777" w:rsidR="00F806A0" w:rsidRPr="00BD3436" w:rsidRDefault="00F806A0" w:rsidP="000D4FFB">
            <w:pPr>
              <w:rPr>
                <w:b/>
                <w:sz w:val="18"/>
                <w:szCs w:val="18"/>
                <w:lang w:val="en-GB"/>
              </w:rPr>
            </w:pPr>
            <w:r w:rsidRPr="00BD3436">
              <w:rPr>
                <w:b/>
                <w:bCs/>
                <w:sz w:val="16"/>
                <w:szCs w:val="16"/>
                <w:lang w:val="en-GB"/>
              </w:rPr>
              <w:t>UNDAF OUTCOME INVOLVING UNDP:</w:t>
            </w:r>
            <w:r w:rsidRPr="00BD3436">
              <w:rPr>
                <w:sz w:val="16"/>
                <w:szCs w:val="16"/>
                <w:lang w:val="en-GB"/>
              </w:rPr>
              <w:t xml:space="preserve"> By 2020, state institutions and other relevant actors enhance gender equality and enable women and girls, especially those from vulnerable groups, to live lives free from discrimination and violence</w:t>
            </w:r>
            <w:r w:rsidR="00EE7C01" w:rsidRPr="00BD3436">
              <w:rPr>
                <w:sz w:val="16"/>
                <w:szCs w:val="16"/>
                <w:lang w:val="en-GB"/>
              </w:rPr>
              <w:t>.</w:t>
            </w:r>
          </w:p>
          <w:p w14:paraId="545656BF" w14:textId="23A921FF" w:rsidR="00F806A0" w:rsidRPr="00BD3436" w:rsidRDefault="00F806A0" w:rsidP="000D4FFB">
            <w:pPr>
              <w:rPr>
                <w:sz w:val="16"/>
                <w:szCs w:val="16"/>
                <w:lang w:val="en-GB"/>
              </w:rPr>
            </w:pPr>
            <w:r w:rsidRPr="00BD3436">
              <w:rPr>
                <w:b/>
                <w:bCs/>
                <w:sz w:val="16"/>
                <w:szCs w:val="16"/>
                <w:lang w:val="en-GB"/>
              </w:rPr>
              <w:t xml:space="preserve">Related </w:t>
            </w:r>
            <w:r w:rsidR="00EE7C01" w:rsidRPr="00BD3436">
              <w:rPr>
                <w:b/>
                <w:bCs/>
                <w:sz w:val="16"/>
                <w:szCs w:val="16"/>
                <w:lang w:val="en-GB"/>
              </w:rPr>
              <w:t>s</w:t>
            </w:r>
            <w:r w:rsidRPr="00BD3436">
              <w:rPr>
                <w:b/>
                <w:bCs/>
                <w:sz w:val="16"/>
                <w:szCs w:val="16"/>
                <w:lang w:val="en-GB"/>
              </w:rPr>
              <w:t xml:space="preserve">trategic </w:t>
            </w:r>
            <w:r w:rsidR="00EE7C01" w:rsidRPr="00BD3436">
              <w:rPr>
                <w:b/>
                <w:bCs/>
                <w:sz w:val="16"/>
                <w:szCs w:val="16"/>
                <w:lang w:val="en-GB"/>
              </w:rPr>
              <w:t>p</w:t>
            </w:r>
            <w:r w:rsidRPr="00BD3436">
              <w:rPr>
                <w:b/>
                <w:bCs/>
                <w:sz w:val="16"/>
                <w:szCs w:val="16"/>
                <w:lang w:val="en-GB"/>
              </w:rPr>
              <w:t xml:space="preserve">lan outcome: </w:t>
            </w:r>
            <w:r w:rsidRPr="00BD3436">
              <w:rPr>
                <w:iCs/>
                <w:sz w:val="16"/>
                <w:szCs w:val="16"/>
                <w:lang w:val="en-GB"/>
              </w:rPr>
              <w:t>Faster progress is achieved in reducing gender inequality and promoting women’s empowerment (4)</w:t>
            </w:r>
            <w:r w:rsidR="00EE7C01" w:rsidRPr="00BD3436">
              <w:rPr>
                <w:iCs/>
                <w:sz w:val="16"/>
                <w:szCs w:val="16"/>
                <w:lang w:val="en-GB"/>
              </w:rPr>
              <w:t>.</w:t>
            </w:r>
          </w:p>
          <w:p w14:paraId="0F4AC1DE" w14:textId="0A1A76B1" w:rsidR="00F806A0" w:rsidRPr="00BD3436" w:rsidRDefault="00F806A0" w:rsidP="000D4FFB">
            <w:pPr>
              <w:rPr>
                <w:iCs/>
                <w:sz w:val="16"/>
                <w:szCs w:val="16"/>
                <w:lang w:val="en-GB"/>
              </w:rPr>
            </w:pPr>
            <w:r w:rsidRPr="00BD3436">
              <w:rPr>
                <w:b/>
                <w:sz w:val="16"/>
                <w:szCs w:val="16"/>
                <w:lang w:val="en-GB"/>
              </w:rPr>
              <w:t xml:space="preserve">Related </w:t>
            </w:r>
            <w:r w:rsidR="00EE7C01" w:rsidRPr="00BD3436">
              <w:rPr>
                <w:b/>
                <w:sz w:val="16"/>
                <w:szCs w:val="16"/>
                <w:lang w:val="en-GB"/>
              </w:rPr>
              <w:t>s</w:t>
            </w:r>
            <w:r w:rsidRPr="00BD3436">
              <w:rPr>
                <w:b/>
                <w:sz w:val="16"/>
                <w:szCs w:val="16"/>
                <w:lang w:val="en-GB"/>
              </w:rPr>
              <w:t xml:space="preserve">trategic </w:t>
            </w:r>
            <w:r w:rsidR="00EE7C01" w:rsidRPr="00BD3436">
              <w:rPr>
                <w:b/>
                <w:sz w:val="16"/>
                <w:szCs w:val="16"/>
                <w:lang w:val="en-GB"/>
              </w:rPr>
              <w:t>p</w:t>
            </w:r>
            <w:r w:rsidRPr="00BD3436">
              <w:rPr>
                <w:b/>
                <w:sz w:val="16"/>
                <w:szCs w:val="16"/>
                <w:lang w:val="en-GB"/>
              </w:rPr>
              <w:t>lan outcome indicator</w:t>
            </w:r>
            <w:r w:rsidRPr="00BD3436">
              <w:rPr>
                <w:i/>
                <w:iCs/>
                <w:sz w:val="16"/>
                <w:szCs w:val="16"/>
                <w:lang w:val="en-GB"/>
              </w:rPr>
              <w:t xml:space="preserve">: </w:t>
            </w:r>
            <w:r w:rsidR="00EE7C01" w:rsidRPr="00BD3436">
              <w:rPr>
                <w:iCs/>
                <w:sz w:val="16"/>
                <w:szCs w:val="16"/>
                <w:lang w:val="en-GB"/>
              </w:rPr>
              <w:t>(</w:t>
            </w:r>
            <w:r w:rsidRPr="00BD3436">
              <w:rPr>
                <w:iCs/>
                <w:sz w:val="16"/>
                <w:szCs w:val="16"/>
                <w:lang w:val="en-GB"/>
              </w:rPr>
              <w:t>a) Percentage of countries where there is evidence that national prevalence of physical and/or sexual violence experienced by women has decreased</w:t>
            </w:r>
            <w:r w:rsidR="00EE7C01" w:rsidRPr="00BD3436">
              <w:rPr>
                <w:iCs/>
                <w:sz w:val="16"/>
                <w:szCs w:val="16"/>
                <w:lang w:val="en-GB"/>
              </w:rPr>
              <w:t>;</w:t>
            </w:r>
          </w:p>
          <w:p w14:paraId="41FC2B61" w14:textId="344809D7" w:rsidR="00F806A0" w:rsidRPr="00BD3436" w:rsidRDefault="00EE7C01" w:rsidP="000D4FFB">
            <w:pPr>
              <w:rPr>
                <w:sz w:val="16"/>
                <w:szCs w:val="16"/>
                <w:lang w:val="en-GB"/>
              </w:rPr>
            </w:pPr>
            <w:r w:rsidRPr="00BD3436">
              <w:rPr>
                <w:iCs/>
                <w:sz w:val="16"/>
                <w:szCs w:val="16"/>
                <w:lang w:val="en-GB"/>
              </w:rPr>
              <w:t>(</w:t>
            </w:r>
            <w:r w:rsidR="00F806A0" w:rsidRPr="00BD3436">
              <w:rPr>
                <w:iCs/>
                <w:sz w:val="16"/>
                <w:szCs w:val="16"/>
                <w:lang w:val="en-GB"/>
              </w:rPr>
              <w:t>b) Proportion of decision</w:t>
            </w:r>
            <w:r w:rsidRPr="00BD3436">
              <w:rPr>
                <w:iCs/>
                <w:sz w:val="16"/>
                <w:szCs w:val="16"/>
                <w:lang w:val="en-GB"/>
              </w:rPr>
              <w:t>-</w:t>
            </w:r>
            <w:r w:rsidR="00F806A0" w:rsidRPr="00BD3436">
              <w:rPr>
                <w:iCs/>
                <w:sz w:val="16"/>
                <w:szCs w:val="16"/>
                <w:lang w:val="en-GB"/>
              </w:rPr>
              <w:t>making positions (executive, legislative and judicial) occupied by women at national level</w:t>
            </w:r>
            <w:r w:rsidRPr="00BD3436">
              <w:rPr>
                <w:iCs/>
                <w:sz w:val="16"/>
                <w:szCs w:val="16"/>
                <w:lang w:val="en-GB"/>
              </w:rPr>
              <w:t>.</w:t>
            </w:r>
          </w:p>
        </w:tc>
      </w:tr>
      <w:tr w:rsidR="00F806A0" w:rsidRPr="00BD3436" w14:paraId="3F927539" w14:textId="77777777" w:rsidTr="004303A7">
        <w:trPr>
          <w:trHeight w:val="461"/>
        </w:trPr>
        <w:tc>
          <w:tcPr>
            <w:tcW w:w="827" w:type="pct"/>
            <w:tcBorders>
              <w:left w:val="single" w:sz="8" w:space="0" w:color="000000"/>
              <w:bottom w:val="single" w:sz="4" w:space="0" w:color="auto"/>
              <w:right w:val="single" w:sz="4" w:space="0" w:color="auto"/>
            </w:tcBorders>
            <w:tcMar>
              <w:top w:w="72" w:type="dxa"/>
              <w:left w:w="144" w:type="dxa"/>
              <w:bottom w:w="72" w:type="dxa"/>
              <w:right w:w="144" w:type="dxa"/>
            </w:tcMar>
          </w:tcPr>
          <w:p w14:paraId="12EA9C87" w14:textId="77777777" w:rsidR="00F806A0" w:rsidRPr="00BD3436" w:rsidRDefault="00F806A0" w:rsidP="000D4FFB">
            <w:pPr>
              <w:rPr>
                <w:iCs/>
                <w:sz w:val="16"/>
                <w:szCs w:val="16"/>
                <w:lang w:val="en-GB"/>
              </w:rPr>
            </w:pPr>
            <w:r w:rsidRPr="00BD3436">
              <w:rPr>
                <w:iCs/>
                <w:sz w:val="16"/>
                <w:szCs w:val="16"/>
                <w:lang w:val="en-GB"/>
              </w:rPr>
              <w:t>Indicator: Number of convictions for criminal acts</w:t>
            </w:r>
            <w:r w:rsidR="00C53863" w:rsidRPr="00BD3436">
              <w:rPr>
                <w:iCs/>
                <w:sz w:val="16"/>
                <w:szCs w:val="16"/>
                <w:lang w:val="en-GB"/>
              </w:rPr>
              <w:t>,</w:t>
            </w:r>
            <w:r w:rsidRPr="00BD3436">
              <w:rPr>
                <w:iCs/>
                <w:sz w:val="16"/>
                <w:szCs w:val="16"/>
                <w:lang w:val="en-GB"/>
              </w:rPr>
              <w:t xml:space="preserve"> domestic violence and rape</w:t>
            </w:r>
          </w:p>
          <w:p w14:paraId="4D83B173" w14:textId="77777777" w:rsidR="00F806A0" w:rsidRPr="00BD3436" w:rsidRDefault="00F806A0" w:rsidP="000D4FFB">
            <w:pPr>
              <w:rPr>
                <w:iCs/>
                <w:sz w:val="16"/>
                <w:szCs w:val="16"/>
                <w:lang w:val="en-GB"/>
              </w:rPr>
            </w:pPr>
            <w:r w:rsidRPr="00BD3436">
              <w:rPr>
                <w:iCs/>
                <w:sz w:val="16"/>
                <w:szCs w:val="16"/>
                <w:lang w:val="en-GB"/>
              </w:rPr>
              <w:t>Baseline (2013): 1</w:t>
            </w:r>
            <w:r w:rsidR="00C53863" w:rsidRPr="00BD3436">
              <w:rPr>
                <w:iCs/>
                <w:sz w:val="16"/>
                <w:szCs w:val="16"/>
                <w:lang w:val="en-GB"/>
              </w:rPr>
              <w:t>,</w:t>
            </w:r>
            <w:r w:rsidRPr="00BD3436">
              <w:rPr>
                <w:iCs/>
                <w:sz w:val="16"/>
                <w:szCs w:val="16"/>
                <w:lang w:val="en-GB"/>
              </w:rPr>
              <w:t>451 convictions for domestic violence; 60 convictions for rape</w:t>
            </w:r>
          </w:p>
          <w:p w14:paraId="503B616B" w14:textId="77777777" w:rsidR="006A0F2C" w:rsidRPr="00BD3436" w:rsidRDefault="00F806A0" w:rsidP="000D4FFB">
            <w:pPr>
              <w:rPr>
                <w:iCs/>
                <w:sz w:val="16"/>
                <w:szCs w:val="16"/>
                <w:lang w:val="en-GB"/>
              </w:rPr>
            </w:pPr>
            <w:r w:rsidRPr="00BD3436">
              <w:rPr>
                <w:iCs/>
                <w:sz w:val="16"/>
                <w:szCs w:val="16"/>
                <w:lang w:val="en-GB"/>
              </w:rPr>
              <w:t>Target:</w:t>
            </w:r>
            <w:r w:rsidR="00C53863" w:rsidRPr="00BD3436">
              <w:rPr>
                <w:iCs/>
                <w:sz w:val="16"/>
                <w:szCs w:val="16"/>
                <w:lang w:val="en-GB"/>
              </w:rPr>
              <w:t xml:space="preserve"> </w:t>
            </w:r>
            <w:r w:rsidR="006A0F2C" w:rsidRPr="00BD3436">
              <w:rPr>
                <w:iCs/>
                <w:sz w:val="16"/>
                <w:szCs w:val="16"/>
                <w:lang w:val="en-GB"/>
              </w:rPr>
              <w:t>2</w:t>
            </w:r>
            <w:r w:rsidR="00C53863" w:rsidRPr="00BD3436">
              <w:rPr>
                <w:iCs/>
                <w:sz w:val="16"/>
                <w:szCs w:val="16"/>
                <w:lang w:val="en-GB"/>
              </w:rPr>
              <w:t>,</w:t>
            </w:r>
            <w:r w:rsidR="006A0F2C" w:rsidRPr="00BD3436">
              <w:rPr>
                <w:iCs/>
                <w:sz w:val="16"/>
                <w:szCs w:val="16"/>
                <w:lang w:val="en-GB"/>
              </w:rPr>
              <w:t>000; 100</w:t>
            </w:r>
          </w:p>
          <w:p w14:paraId="11151B25" w14:textId="77777777" w:rsidR="00F806A0" w:rsidRPr="00BD3436" w:rsidRDefault="00F806A0" w:rsidP="000D4FFB">
            <w:pPr>
              <w:rPr>
                <w:i/>
                <w:iCs/>
                <w:sz w:val="16"/>
                <w:szCs w:val="16"/>
                <w:lang w:val="en-GB"/>
              </w:rPr>
            </w:pPr>
          </w:p>
          <w:p w14:paraId="71BF02AD" w14:textId="35BBE4C6" w:rsidR="00F806A0" w:rsidRPr="00BD3436" w:rsidRDefault="00F806A0" w:rsidP="000D4FFB">
            <w:pPr>
              <w:rPr>
                <w:iCs/>
                <w:sz w:val="16"/>
                <w:szCs w:val="16"/>
                <w:lang w:val="en-GB"/>
              </w:rPr>
            </w:pPr>
            <w:r w:rsidRPr="00BD3436">
              <w:rPr>
                <w:iCs/>
                <w:sz w:val="16"/>
                <w:szCs w:val="16"/>
                <w:lang w:val="en-GB"/>
              </w:rPr>
              <w:t xml:space="preserve">Indicator: Gender </w:t>
            </w:r>
            <w:r w:rsidR="00C53863" w:rsidRPr="00BD3436">
              <w:rPr>
                <w:iCs/>
                <w:sz w:val="16"/>
                <w:szCs w:val="16"/>
                <w:lang w:val="en-GB"/>
              </w:rPr>
              <w:t>e</w:t>
            </w:r>
            <w:r w:rsidRPr="00BD3436">
              <w:rPr>
                <w:iCs/>
                <w:sz w:val="16"/>
                <w:szCs w:val="16"/>
                <w:lang w:val="en-GB"/>
              </w:rPr>
              <w:t xml:space="preserve">quality </w:t>
            </w:r>
            <w:r w:rsidR="00C53863" w:rsidRPr="00BD3436">
              <w:rPr>
                <w:iCs/>
                <w:sz w:val="16"/>
                <w:szCs w:val="16"/>
                <w:lang w:val="en-GB"/>
              </w:rPr>
              <w:t>i</w:t>
            </w:r>
            <w:r w:rsidRPr="00BD3436">
              <w:rPr>
                <w:iCs/>
                <w:sz w:val="16"/>
                <w:szCs w:val="16"/>
                <w:lang w:val="en-GB"/>
              </w:rPr>
              <w:t>ndex</w:t>
            </w:r>
            <w:r w:rsidR="00C53863" w:rsidRPr="00BD3436">
              <w:rPr>
                <w:iCs/>
                <w:sz w:val="16"/>
                <w:szCs w:val="16"/>
                <w:lang w:val="en-GB"/>
              </w:rPr>
              <w:t xml:space="preserve"> –</w:t>
            </w:r>
            <w:r w:rsidRPr="00BD3436">
              <w:rPr>
                <w:iCs/>
                <w:sz w:val="16"/>
                <w:szCs w:val="16"/>
                <w:lang w:val="en-GB"/>
              </w:rPr>
              <w:t xml:space="preserve"> power domain</w:t>
            </w:r>
          </w:p>
          <w:p w14:paraId="47D69571" w14:textId="5B7E6DF3" w:rsidR="00F806A0" w:rsidRPr="00BD3436" w:rsidRDefault="00F806A0" w:rsidP="000D4FFB">
            <w:pPr>
              <w:rPr>
                <w:iCs/>
                <w:sz w:val="16"/>
                <w:szCs w:val="16"/>
                <w:lang w:val="en-GB"/>
              </w:rPr>
            </w:pPr>
            <w:r w:rsidRPr="00BD3436">
              <w:rPr>
                <w:iCs/>
                <w:sz w:val="16"/>
                <w:szCs w:val="16"/>
                <w:lang w:val="en-GB"/>
              </w:rPr>
              <w:t>Baseline: G</w:t>
            </w:r>
            <w:r w:rsidR="00C53863" w:rsidRPr="00BD3436">
              <w:rPr>
                <w:iCs/>
                <w:sz w:val="16"/>
                <w:szCs w:val="16"/>
                <w:lang w:val="en-GB"/>
              </w:rPr>
              <w:t>ender equality</w:t>
            </w:r>
            <w:r w:rsidRPr="00BD3436">
              <w:rPr>
                <w:iCs/>
                <w:sz w:val="16"/>
                <w:szCs w:val="16"/>
                <w:lang w:val="en-GB"/>
              </w:rPr>
              <w:t xml:space="preserve"> </w:t>
            </w:r>
            <w:r w:rsidR="00C53863" w:rsidRPr="00BD3436">
              <w:rPr>
                <w:iCs/>
                <w:sz w:val="16"/>
                <w:szCs w:val="16"/>
                <w:lang w:val="en-GB"/>
              </w:rPr>
              <w:t>i</w:t>
            </w:r>
            <w:r w:rsidRPr="00BD3436">
              <w:rPr>
                <w:iCs/>
                <w:sz w:val="16"/>
                <w:szCs w:val="16"/>
                <w:lang w:val="en-GB"/>
              </w:rPr>
              <w:t>ndex developed by E</w:t>
            </w:r>
            <w:r w:rsidR="00C53863" w:rsidRPr="00BD3436">
              <w:rPr>
                <w:iCs/>
                <w:sz w:val="16"/>
                <w:szCs w:val="16"/>
                <w:lang w:val="en-GB"/>
              </w:rPr>
              <w:t xml:space="preserve">uropean </w:t>
            </w:r>
            <w:r w:rsidRPr="00BD3436">
              <w:rPr>
                <w:iCs/>
                <w:sz w:val="16"/>
                <w:szCs w:val="16"/>
                <w:lang w:val="en-GB"/>
              </w:rPr>
              <w:t>I</w:t>
            </w:r>
            <w:r w:rsidR="00C53863" w:rsidRPr="00BD3436">
              <w:rPr>
                <w:iCs/>
                <w:sz w:val="16"/>
                <w:szCs w:val="16"/>
                <w:lang w:val="en-GB"/>
              </w:rPr>
              <w:t xml:space="preserve">nstitute for </w:t>
            </w:r>
            <w:r w:rsidRPr="00BD3436">
              <w:rPr>
                <w:iCs/>
                <w:sz w:val="16"/>
                <w:szCs w:val="16"/>
                <w:lang w:val="en-GB"/>
              </w:rPr>
              <w:t>G</w:t>
            </w:r>
            <w:r w:rsidR="00C53863" w:rsidRPr="00BD3436">
              <w:rPr>
                <w:iCs/>
                <w:sz w:val="16"/>
                <w:szCs w:val="16"/>
                <w:lang w:val="en-GB"/>
              </w:rPr>
              <w:t xml:space="preserve">ender </w:t>
            </w:r>
            <w:r w:rsidRPr="00BD3436">
              <w:rPr>
                <w:iCs/>
                <w:sz w:val="16"/>
                <w:szCs w:val="16"/>
                <w:lang w:val="en-GB"/>
              </w:rPr>
              <w:t>E</w:t>
            </w:r>
            <w:r w:rsidR="00C53863" w:rsidRPr="00BD3436">
              <w:rPr>
                <w:iCs/>
                <w:sz w:val="16"/>
                <w:szCs w:val="16"/>
                <w:lang w:val="en-GB"/>
              </w:rPr>
              <w:t>quality</w:t>
            </w:r>
            <w:r w:rsidRPr="00BD3436">
              <w:rPr>
                <w:iCs/>
                <w:sz w:val="16"/>
                <w:szCs w:val="16"/>
                <w:lang w:val="en-GB"/>
              </w:rPr>
              <w:t xml:space="preserve"> covers </w:t>
            </w:r>
            <w:r w:rsidR="00C53863" w:rsidRPr="00BD3436">
              <w:rPr>
                <w:iCs/>
                <w:sz w:val="16"/>
                <w:szCs w:val="16"/>
                <w:lang w:val="en-GB"/>
              </w:rPr>
              <w:t>six</w:t>
            </w:r>
            <w:r w:rsidRPr="00BD3436">
              <w:rPr>
                <w:iCs/>
                <w:sz w:val="16"/>
                <w:szCs w:val="16"/>
                <w:lang w:val="en-GB"/>
              </w:rPr>
              <w:t xml:space="preserve"> domains. It is being introduced in the work </w:t>
            </w:r>
            <w:r w:rsidRPr="00BD3436">
              <w:rPr>
                <w:iCs/>
                <w:sz w:val="16"/>
                <w:szCs w:val="16"/>
                <w:lang w:val="en-GB"/>
              </w:rPr>
              <w:lastRenderedPageBreak/>
              <w:t>of Institute for Statistics of the Republic of Serbia in 2015</w:t>
            </w:r>
          </w:p>
          <w:p w14:paraId="0E2FEDCA" w14:textId="77777777" w:rsidR="00F806A0" w:rsidRPr="00BD3436" w:rsidRDefault="00F806A0" w:rsidP="000D4FFB">
            <w:pPr>
              <w:rPr>
                <w:iCs/>
                <w:sz w:val="16"/>
                <w:szCs w:val="16"/>
                <w:lang w:val="en-GB"/>
              </w:rPr>
            </w:pPr>
            <w:r w:rsidRPr="00BD3436">
              <w:rPr>
                <w:iCs/>
                <w:sz w:val="16"/>
                <w:szCs w:val="16"/>
                <w:lang w:val="en-GB"/>
              </w:rPr>
              <w:t xml:space="preserve">Target: Will be defined upon definition of the baseline in 2015 </w:t>
            </w:r>
          </w:p>
        </w:tc>
        <w:tc>
          <w:tcPr>
            <w:tcW w:w="624" w:type="pct"/>
            <w:tcBorders>
              <w:left w:val="single" w:sz="4" w:space="0" w:color="auto"/>
              <w:bottom w:val="single" w:sz="4" w:space="0" w:color="auto"/>
              <w:right w:val="single" w:sz="8" w:space="0" w:color="000000"/>
            </w:tcBorders>
          </w:tcPr>
          <w:p w14:paraId="5FC21AC6" w14:textId="3F90031A" w:rsidR="00F806A0" w:rsidRPr="00BD3436" w:rsidRDefault="00832864" w:rsidP="000D4FFB">
            <w:pPr>
              <w:rPr>
                <w:iCs/>
                <w:sz w:val="16"/>
                <w:szCs w:val="16"/>
                <w:lang w:val="en-GB"/>
              </w:rPr>
            </w:pPr>
            <w:r w:rsidRPr="00BD3436">
              <w:rPr>
                <w:iCs/>
                <w:sz w:val="16"/>
                <w:szCs w:val="16"/>
                <w:lang w:val="en-GB"/>
              </w:rPr>
              <w:lastRenderedPageBreak/>
              <w:t>Convention on the Elimination of All Forms of Discrimination Against Women (</w:t>
            </w:r>
            <w:r w:rsidR="00F806A0" w:rsidRPr="00BD3436">
              <w:rPr>
                <w:iCs/>
                <w:sz w:val="16"/>
                <w:szCs w:val="16"/>
                <w:lang w:val="en-GB"/>
              </w:rPr>
              <w:t>CEDAW</w:t>
            </w:r>
            <w:r w:rsidRPr="00BD3436">
              <w:rPr>
                <w:iCs/>
                <w:sz w:val="16"/>
                <w:szCs w:val="16"/>
                <w:lang w:val="en-GB"/>
              </w:rPr>
              <w:t>) c</w:t>
            </w:r>
            <w:r w:rsidR="00F806A0" w:rsidRPr="00BD3436">
              <w:rPr>
                <w:iCs/>
                <w:sz w:val="16"/>
                <w:szCs w:val="16"/>
                <w:lang w:val="en-GB"/>
              </w:rPr>
              <w:t xml:space="preserve">oncluding </w:t>
            </w:r>
            <w:r w:rsidRPr="00BD3436">
              <w:rPr>
                <w:iCs/>
                <w:sz w:val="16"/>
                <w:szCs w:val="16"/>
                <w:lang w:val="en-GB"/>
              </w:rPr>
              <w:t>o</w:t>
            </w:r>
            <w:r w:rsidR="00F806A0" w:rsidRPr="00BD3436">
              <w:rPr>
                <w:iCs/>
                <w:sz w:val="16"/>
                <w:szCs w:val="16"/>
                <w:lang w:val="en-GB"/>
              </w:rPr>
              <w:t xml:space="preserve">bservations, </w:t>
            </w:r>
            <w:r w:rsidRPr="00BD3436">
              <w:rPr>
                <w:iCs/>
                <w:sz w:val="16"/>
                <w:szCs w:val="16"/>
                <w:lang w:val="en-GB"/>
              </w:rPr>
              <w:t>s</w:t>
            </w:r>
            <w:r w:rsidR="00F806A0" w:rsidRPr="00BD3436">
              <w:rPr>
                <w:iCs/>
                <w:sz w:val="16"/>
                <w:szCs w:val="16"/>
                <w:lang w:val="en-GB"/>
              </w:rPr>
              <w:t xml:space="preserve">tate reports to CEDAW, </w:t>
            </w:r>
            <w:r w:rsidRPr="00BD3436">
              <w:rPr>
                <w:iCs/>
                <w:sz w:val="16"/>
                <w:szCs w:val="16"/>
                <w:lang w:val="en-GB"/>
              </w:rPr>
              <w:t>s</w:t>
            </w:r>
            <w:r w:rsidR="00F806A0" w:rsidRPr="00BD3436">
              <w:rPr>
                <w:iCs/>
                <w:sz w:val="16"/>
                <w:szCs w:val="16"/>
                <w:lang w:val="en-GB"/>
              </w:rPr>
              <w:t>hadow reports to CEDAW</w:t>
            </w:r>
          </w:p>
          <w:p w14:paraId="348A0734" w14:textId="77777777" w:rsidR="00F806A0" w:rsidRPr="00BD3436" w:rsidRDefault="00F806A0" w:rsidP="000D4FFB">
            <w:pPr>
              <w:rPr>
                <w:iCs/>
                <w:sz w:val="16"/>
                <w:szCs w:val="16"/>
                <w:lang w:val="en-GB"/>
              </w:rPr>
            </w:pPr>
          </w:p>
          <w:p w14:paraId="2E433799" w14:textId="77777777" w:rsidR="00F806A0" w:rsidRPr="00BD3436" w:rsidRDefault="00F806A0" w:rsidP="000D4FFB">
            <w:pPr>
              <w:rPr>
                <w:iCs/>
                <w:sz w:val="16"/>
                <w:szCs w:val="16"/>
                <w:lang w:val="en-GB"/>
              </w:rPr>
            </w:pPr>
          </w:p>
          <w:p w14:paraId="63B8BD06" w14:textId="77777777" w:rsidR="00F806A0" w:rsidRPr="00BD3436" w:rsidRDefault="00F806A0" w:rsidP="000D4FFB">
            <w:pPr>
              <w:rPr>
                <w:iCs/>
                <w:sz w:val="16"/>
                <w:szCs w:val="16"/>
                <w:lang w:val="en-GB"/>
              </w:rPr>
            </w:pPr>
          </w:p>
          <w:p w14:paraId="41388438" w14:textId="77777777" w:rsidR="00F806A0" w:rsidRPr="00BD3436" w:rsidRDefault="00F806A0" w:rsidP="000D4FFB">
            <w:pPr>
              <w:rPr>
                <w:iCs/>
                <w:sz w:val="16"/>
                <w:szCs w:val="16"/>
                <w:lang w:val="en-GB"/>
              </w:rPr>
            </w:pPr>
            <w:r w:rsidRPr="00BD3436">
              <w:rPr>
                <w:iCs/>
                <w:sz w:val="16"/>
                <w:szCs w:val="16"/>
                <w:lang w:val="en-GB"/>
              </w:rPr>
              <w:t>Annual reports of the Institute for Social Protection</w:t>
            </w:r>
            <w:r w:rsidR="00832864" w:rsidRPr="00BD3436">
              <w:rPr>
                <w:iCs/>
                <w:sz w:val="16"/>
                <w:szCs w:val="16"/>
                <w:lang w:val="en-GB"/>
              </w:rPr>
              <w:t>,</w:t>
            </w:r>
          </w:p>
          <w:p w14:paraId="3035278B" w14:textId="77777777" w:rsidR="00583150" w:rsidRPr="00BD3436" w:rsidRDefault="00F806A0" w:rsidP="000D4FFB">
            <w:pPr>
              <w:rPr>
                <w:iCs/>
                <w:sz w:val="16"/>
                <w:szCs w:val="16"/>
                <w:lang w:val="en-GB"/>
              </w:rPr>
            </w:pPr>
            <w:r w:rsidRPr="00BD3436">
              <w:rPr>
                <w:iCs/>
                <w:sz w:val="16"/>
                <w:szCs w:val="16"/>
                <w:lang w:val="en-GB"/>
              </w:rPr>
              <w:t xml:space="preserve">Annual reports of the </w:t>
            </w:r>
            <w:r w:rsidRPr="00BD3436">
              <w:rPr>
                <w:iCs/>
                <w:sz w:val="16"/>
                <w:szCs w:val="16"/>
                <w:lang w:val="en-GB"/>
              </w:rPr>
              <w:lastRenderedPageBreak/>
              <w:t>Institute for Statistics</w:t>
            </w:r>
            <w:r w:rsidR="00583150" w:rsidRPr="00BD3436">
              <w:rPr>
                <w:iCs/>
                <w:sz w:val="16"/>
                <w:szCs w:val="16"/>
                <w:lang w:val="en-GB"/>
              </w:rPr>
              <w:t xml:space="preserve"> </w:t>
            </w:r>
          </w:p>
          <w:p w14:paraId="023AD91D" w14:textId="77777777" w:rsidR="00583150" w:rsidRPr="00BD3436" w:rsidRDefault="00583150" w:rsidP="00583150">
            <w:pPr>
              <w:rPr>
                <w:iCs/>
                <w:sz w:val="16"/>
                <w:szCs w:val="16"/>
                <w:lang w:val="en-GB"/>
              </w:rPr>
            </w:pPr>
            <w:r w:rsidRPr="00BD3436">
              <w:rPr>
                <w:iCs/>
                <w:sz w:val="16"/>
                <w:szCs w:val="16"/>
                <w:lang w:val="en-GB"/>
              </w:rPr>
              <w:t>Women and Men in Serbia 2014 (data from the judiciary)</w:t>
            </w:r>
          </w:p>
          <w:p w14:paraId="26A7EA4E" w14:textId="77777777" w:rsidR="00F806A0" w:rsidRPr="00BD3436" w:rsidRDefault="00F806A0" w:rsidP="000D4FFB">
            <w:pPr>
              <w:rPr>
                <w:iCs/>
                <w:sz w:val="16"/>
                <w:szCs w:val="16"/>
                <w:lang w:val="en-GB"/>
              </w:rPr>
            </w:pPr>
            <w:r w:rsidRPr="00BD3436">
              <w:rPr>
                <w:iCs/>
                <w:sz w:val="16"/>
                <w:szCs w:val="16"/>
                <w:lang w:val="en-GB"/>
              </w:rPr>
              <w:t xml:space="preserve"> </w:t>
            </w:r>
          </w:p>
          <w:p w14:paraId="12D471BB" w14:textId="12D3CBA6" w:rsidR="00F806A0" w:rsidRPr="00BD3436" w:rsidRDefault="00F806A0" w:rsidP="000D4FFB">
            <w:pPr>
              <w:rPr>
                <w:iCs/>
                <w:sz w:val="16"/>
                <w:szCs w:val="16"/>
                <w:lang w:val="en-GB"/>
              </w:rPr>
            </w:pPr>
            <w:r w:rsidRPr="00BD3436">
              <w:rPr>
                <w:iCs/>
                <w:sz w:val="16"/>
                <w:szCs w:val="16"/>
                <w:lang w:val="en-GB"/>
              </w:rPr>
              <w:t>Annual reports of the Government</w:t>
            </w:r>
          </w:p>
          <w:p w14:paraId="7B1BD0AC" w14:textId="77777777" w:rsidR="00F806A0" w:rsidRPr="00BD3436" w:rsidRDefault="00F806A0" w:rsidP="000D4FFB">
            <w:pPr>
              <w:rPr>
                <w:i/>
                <w:iCs/>
                <w:sz w:val="16"/>
                <w:szCs w:val="16"/>
                <w:lang w:val="en-GB"/>
              </w:rPr>
            </w:pPr>
          </w:p>
          <w:p w14:paraId="75214A19" w14:textId="698FF63B" w:rsidR="00F806A0" w:rsidRPr="00BD3436" w:rsidRDefault="00F806A0" w:rsidP="000D4FFB">
            <w:pPr>
              <w:rPr>
                <w:i/>
                <w:iCs/>
                <w:sz w:val="16"/>
                <w:szCs w:val="16"/>
                <w:lang w:val="en-GB"/>
              </w:rPr>
            </w:pPr>
            <w:r w:rsidRPr="00BD3436">
              <w:rPr>
                <w:iCs/>
                <w:sz w:val="16"/>
                <w:szCs w:val="16"/>
                <w:lang w:val="en-GB"/>
              </w:rPr>
              <w:t>G</w:t>
            </w:r>
            <w:r w:rsidR="00832864" w:rsidRPr="00BD3436">
              <w:rPr>
                <w:iCs/>
                <w:sz w:val="16"/>
                <w:szCs w:val="16"/>
                <w:lang w:val="en-GB"/>
              </w:rPr>
              <w:t>ender equality</w:t>
            </w:r>
            <w:r w:rsidRPr="00BD3436">
              <w:rPr>
                <w:iCs/>
                <w:sz w:val="16"/>
                <w:szCs w:val="16"/>
                <w:lang w:val="en-GB"/>
              </w:rPr>
              <w:t xml:space="preserve"> </w:t>
            </w:r>
            <w:r w:rsidR="00832864" w:rsidRPr="00BD3436">
              <w:rPr>
                <w:iCs/>
                <w:sz w:val="16"/>
                <w:szCs w:val="16"/>
                <w:lang w:val="en-GB"/>
              </w:rPr>
              <w:t>i</w:t>
            </w:r>
            <w:r w:rsidRPr="00BD3436">
              <w:rPr>
                <w:iCs/>
                <w:sz w:val="16"/>
                <w:szCs w:val="16"/>
                <w:lang w:val="en-GB"/>
              </w:rPr>
              <w:t>ndex reports on power domain (S</w:t>
            </w:r>
            <w:r w:rsidR="00832864" w:rsidRPr="00BD3436">
              <w:rPr>
                <w:iCs/>
                <w:sz w:val="16"/>
                <w:szCs w:val="16"/>
                <w:lang w:val="en-GB"/>
              </w:rPr>
              <w:t>tatistical Office</w:t>
            </w:r>
            <w:r w:rsidRPr="00BD3436">
              <w:rPr>
                <w:iCs/>
                <w:sz w:val="16"/>
                <w:szCs w:val="16"/>
                <w:lang w:val="en-GB"/>
              </w:rPr>
              <w:t xml:space="preserve">) </w:t>
            </w:r>
          </w:p>
        </w:tc>
        <w:tc>
          <w:tcPr>
            <w:tcW w:w="2389" w:type="pct"/>
            <w:tcBorders>
              <w:left w:val="single" w:sz="8" w:space="0" w:color="000000"/>
              <w:bottom w:val="single" w:sz="4" w:space="0" w:color="auto"/>
              <w:right w:val="single" w:sz="8" w:space="0" w:color="000000"/>
            </w:tcBorders>
            <w:tcMar>
              <w:top w:w="72" w:type="dxa"/>
              <w:left w:w="144" w:type="dxa"/>
              <w:bottom w:w="72" w:type="dxa"/>
              <w:right w:w="144" w:type="dxa"/>
            </w:tcMar>
          </w:tcPr>
          <w:p w14:paraId="1924856A" w14:textId="52E628E6" w:rsidR="00F806A0" w:rsidRPr="00BD3436" w:rsidRDefault="00F806A0" w:rsidP="000D4FFB">
            <w:pPr>
              <w:rPr>
                <w:b/>
                <w:iCs/>
                <w:sz w:val="16"/>
                <w:szCs w:val="16"/>
                <w:lang w:val="en-GB"/>
              </w:rPr>
            </w:pPr>
            <w:r w:rsidRPr="00BD3436">
              <w:rPr>
                <w:b/>
                <w:iCs/>
                <w:sz w:val="16"/>
                <w:szCs w:val="16"/>
                <w:lang w:val="en-GB"/>
              </w:rPr>
              <w:lastRenderedPageBreak/>
              <w:t xml:space="preserve">Output 1: Improved national and community-level capacities to implement the Istanbul convention’s provisions to respond to violence against women </w:t>
            </w:r>
          </w:p>
          <w:p w14:paraId="291EEF61" w14:textId="62BBD5DF" w:rsidR="00F806A0" w:rsidRPr="00BD3436" w:rsidRDefault="00F806A0" w:rsidP="000D4FFB">
            <w:pPr>
              <w:rPr>
                <w:iCs/>
                <w:sz w:val="16"/>
                <w:szCs w:val="16"/>
                <w:lang w:val="en-GB"/>
              </w:rPr>
            </w:pPr>
            <w:r w:rsidRPr="00BD3436">
              <w:rPr>
                <w:iCs/>
                <w:sz w:val="16"/>
                <w:szCs w:val="16"/>
                <w:lang w:val="en-GB"/>
              </w:rPr>
              <w:t xml:space="preserve">Indicator: Number of Istanbul Convention </w:t>
            </w:r>
            <w:r w:rsidR="006A0F2C" w:rsidRPr="00BD3436">
              <w:rPr>
                <w:iCs/>
                <w:sz w:val="16"/>
                <w:szCs w:val="16"/>
                <w:lang w:val="en-GB"/>
              </w:rPr>
              <w:t>articles</w:t>
            </w:r>
            <w:r w:rsidRPr="00BD3436">
              <w:rPr>
                <w:iCs/>
                <w:sz w:val="16"/>
                <w:szCs w:val="16"/>
                <w:lang w:val="en-GB"/>
              </w:rPr>
              <w:t xml:space="preserve"> </w:t>
            </w:r>
            <w:r w:rsidR="006A0F2C" w:rsidRPr="00BD3436">
              <w:rPr>
                <w:iCs/>
                <w:sz w:val="16"/>
                <w:szCs w:val="16"/>
                <w:lang w:val="en-GB"/>
              </w:rPr>
              <w:t>to which compliance is reported</w:t>
            </w:r>
            <w:r w:rsidRPr="00BD3436">
              <w:rPr>
                <w:iCs/>
                <w:sz w:val="16"/>
                <w:szCs w:val="16"/>
                <w:lang w:val="en-GB"/>
              </w:rPr>
              <w:t xml:space="preserve"> </w:t>
            </w:r>
          </w:p>
          <w:p w14:paraId="22D214BC" w14:textId="77777777" w:rsidR="00F806A0" w:rsidRPr="00BD3436" w:rsidRDefault="006A0F2C" w:rsidP="000D4FFB">
            <w:pPr>
              <w:rPr>
                <w:iCs/>
                <w:sz w:val="16"/>
                <w:szCs w:val="16"/>
                <w:lang w:val="en-GB"/>
              </w:rPr>
            </w:pPr>
            <w:r w:rsidRPr="00BD3436">
              <w:rPr>
                <w:iCs/>
                <w:sz w:val="16"/>
                <w:szCs w:val="16"/>
                <w:lang w:val="en-GB"/>
              </w:rPr>
              <w:t>B</w:t>
            </w:r>
            <w:r w:rsidR="00F806A0" w:rsidRPr="00BD3436">
              <w:rPr>
                <w:iCs/>
                <w:sz w:val="16"/>
                <w:szCs w:val="16"/>
                <w:lang w:val="en-GB"/>
              </w:rPr>
              <w:t xml:space="preserve">aseline: </w:t>
            </w:r>
            <w:r w:rsidR="003A55EB" w:rsidRPr="00BD3436">
              <w:rPr>
                <w:iCs/>
                <w:sz w:val="16"/>
                <w:szCs w:val="16"/>
                <w:lang w:val="en-GB"/>
              </w:rPr>
              <w:t>0</w:t>
            </w:r>
            <w:r w:rsidRPr="00BD3436">
              <w:rPr>
                <w:iCs/>
                <w:sz w:val="16"/>
                <w:szCs w:val="16"/>
                <w:lang w:val="en-GB"/>
              </w:rPr>
              <w:t xml:space="preserve">; </w:t>
            </w:r>
            <w:r w:rsidR="00F806A0" w:rsidRPr="00BD3436">
              <w:rPr>
                <w:iCs/>
                <w:sz w:val="16"/>
                <w:szCs w:val="16"/>
                <w:lang w:val="en-GB"/>
              </w:rPr>
              <w:t xml:space="preserve">Target: </w:t>
            </w:r>
            <w:r w:rsidR="003A55EB" w:rsidRPr="00BD3436">
              <w:rPr>
                <w:iCs/>
                <w:sz w:val="16"/>
                <w:szCs w:val="16"/>
                <w:lang w:val="en-GB"/>
              </w:rPr>
              <w:t>10</w:t>
            </w:r>
          </w:p>
          <w:p w14:paraId="7072487C" w14:textId="5B08AF71" w:rsidR="00F806A0" w:rsidRPr="00BD3436" w:rsidRDefault="00F806A0" w:rsidP="000D4FFB">
            <w:pPr>
              <w:rPr>
                <w:iCs/>
                <w:sz w:val="16"/>
                <w:szCs w:val="16"/>
                <w:lang w:val="en-GB"/>
              </w:rPr>
            </w:pPr>
            <w:r w:rsidRPr="00BD3436">
              <w:rPr>
                <w:iCs/>
                <w:sz w:val="16"/>
                <w:szCs w:val="16"/>
                <w:lang w:val="en-GB"/>
              </w:rPr>
              <w:t xml:space="preserve">Data source, frequency: Independent analysis commissioned by UNDP, </w:t>
            </w:r>
            <w:r w:rsidR="00B76AE3" w:rsidRPr="00BD3436">
              <w:rPr>
                <w:iCs/>
                <w:sz w:val="16"/>
                <w:szCs w:val="16"/>
                <w:lang w:val="en-GB"/>
              </w:rPr>
              <w:t>s</w:t>
            </w:r>
            <w:r w:rsidRPr="00BD3436">
              <w:rPr>
                <w:iCs/>
                <w:sz w:val="16"/>
                <w:szCs w:val="16"/>
                <w:lang w:val="en-GB"/>
              </w:rPr>
              <w:t xml:space="preserve">tate’s report and shadow reports to </w:t>
            </w:r>
            <w:r w:rsidR="00B76AE3" w:rsidRPr="00BD3436">
              <w:rPr>
                <w:iCs/>
                <w:sz w:val="16"/>
                <w:szCs w:val="16"/>
                <w:lang w:val="en-GB"/>
              </w:rPr>
              <w:t>the Group of Experts (</w:t>
            </w:r>
            <w:r w:rsidRPr="00BD3436">
              <w:rPr>
                <w:iCs/>
                <w:sz w:val="16"/>
                <w:szCs w:val="16"/>
                <w:lang w:val="en-GB"/>
              </w:rPr>
              <w:t>GREVIO</w:t>
            </w:r>
            <w:r w:rsidR="00B76AE3" w:rsidRPr="00BD3436">
              <w:rPr>
                <w:iCs/>
                <w:sz w:val="16"/>
                <w:szCs w:val="16"/>
                <w:lang w:val="en-GB"/>
              </w:rPr>
              <w:t>)</w:t>
            </w:r>
            <w:r w:rsidRPr="00BD3436">
              <w:rPr>
                <w:iCs/>
                <w:sz w:val="16"/>
                <w:szCs w:val="16"/>
                <w:lang w:val="en-GB"/>
              </w:rPr>
              <w:t xml:space="preserve"> Committee</w:t>
            </w:r>
          </w:p>
          <w:p w14:paraId="6B53B53B" w14:textId="77777777" w:rsidR="00F806A0" w:rsidRPr="00BD3436" w:rsidRDefault="00F806A0" w:rsidP="000D4FFB">
            <w:pPr>
              <w:rPr>
                <w:b/>
                <w:sz w:val="16"/>
                <w:lang w:val="en-GB"/>
              </w:rPr>
            </w:pPr>
          </w:p>
          <w:p w14:paraId="055C7FC3" w14:textId="77777777" w:rsidR="00F806A0" w:rsidRPr="00BD3436" w:rsidRDefault="00F806A0" w:rsidP="000D4FFB">
            <w:pPr>
              <w:rPr>
                <w:b/>
                <w:iCs/>
                <w:sz w:val="16"/>
                <w:szCs w:val="16"/>
                <w:lang w:val="en-GB"/>
              </w:rPr>
            </w:pPr>
            <w:r w:rsidRPr="00BD3436">
              <w:rPr>
                <w:b/>
                <w:iCs/>
                <w:sz w:val="16"/>
                <w:szCs w:val="16"/>
                <w:lang w:val="en-GB"/>
              </w:rPr>
              <w:t>Output 2: Increased participation of women in decision-making</w:t>
            </w:r>
          </w:p>
          <w:p w14:paraId="489E21E6" w14:textId="773F5D4F" w:rsidR="00F806A0" w:rsidRPr="00BD3436" w:rsidRDefault="00204A6C" w:rsidP="000D4FFB">
            <w:pPr>
              <w:rPr>
                <w:iCs/>
                <w:sz w:val="16"/>
                <w:szCs w:val="16"/>
                <w:lang w:val="en-GB"/>
              </w:rPr>
            </w:pPr>
            <w:r w:rsidRPr="00BD3436">
              <w:rPr>
                <w:iCs/>
                <w:sz w:val="16"/>
                <w:szCs w:val="16"/>
                <w:lang w:val="en-GB"/>
              </w:rPr>
              <w:t>Indicator</w:t>
            </w:r>
            <w:r w:rsidR="00F806A0" w:rsidRPr="00BD3436">
              <w:rPr>
                <w:iCs/>
                <w:sz w:val="16"/>
                <w:szCs w:val="16"/>
                <w:lang w:val="en-GB"/>
              </w:rPr>
              <w:t xml:space="preserve">: </w:t>
            </w:r>
            <w:r w:rsidR="00B76AE3" w:rsidRPr="00BD3436">
              <w:rPr>
                <w:iCs/>
                <w:sz w:val="16"/>
                <w:szCs w:val="16"/>
                <w:lang w:val="en-GB"/>
              </w:rPr>
              <w:t xml:space="preserve">Percentage </w:t>
            </w:r>
            <w:r w:rsidR="00F806A0" w:rsidRPr="00BD3436">
              <w:rPr>
                <w:iCs/>
                <w:sz w:val="16"/>
                <w:szCs w:val="16"/>
                <w:lang w:val="en-GB"/>
              </w:rPr>
              <w:t xml:space="preserve">of </w:t>
            </w:r>
            <w:r w:rsidR="00ED21D3" w:rsidRPr="00BD3436">
              <w:rPr>
                <w:iCs/>
                <w:sz w:val="16"/>
                <w:szCs w:val="16"/>
                <w:lang w:val="en-GB"/>
              </w:rPr>
              <w:t>women</w:t>
            </w:r>
            <w:r w:rsidR="00F806A0" w:rsidRPr="00BD3436">
              <w:rPr>
                <w:iCs/>
                <w:sz w:val="16"/>
                <w:szCs w:val="16"/>
                <w:lang w:val="en-GB"/>
              </w:rPr>
              <w:t xml:space="preserve"> actively participating in political and economic decision-making positions at national and local level</w:t>
            </w:r>
          </w:p>
          <w:p w14:paraId="75874806" w14:textId="54EBA90B" w:rsidR="00F806A0" w:rsidRPr="00BD3436" w:rsidRDefault="00F806A0" w:rsidP="000D4FFB">
            <w:pPr>
              <w:rPr>
                <w:iCs/>
                <w:sz w:val="16"/>
                <w:szCs w:val="16"/>
                <w:lang w:val="en-GB"/>
              </w:rPr>
            </w:pPr>
            <w:r w:rsidRPr="00BD3436">
              <w:rPr>
                <w:iCs/>
                <w:sz w:val="16"/>
                <w:szCs w:val="16"/>
                <w:lang w:val="en-GB"/>
              </w:rPr>
              <w:t xml:space="preserve">Baseline: </w:t>
            </w:r>
            <w:r w:rsidR="00B76AE3" w:rsidRPr="00BD3436">
              <w:rPr>
                <w:iCs/>
                <w:sz w:val="16"/>
                <w:szCs w:val="16"/>
                <w:lang w:val="en-GB"/>
              </w:rPr>
              <w:t>W</w:t>
            </w:r>
            <w:r w:rsidRPr="00BD3436">
              <w:rPr>
                <w:iCs/>
                <w:sz w:val="16"/>
                <w:szCs w:val="16"/>
                <w:lang w:val="en-GB"/>
              </w:rPr>
              <w:t>omen constitute 14% of ministers in the Government; 5% of all mayors/municipality presidents; 29% of representatives in municipal assemblies</w:t>
            </w:r>
          </w:p>
          <w:p w14:paraId="61E2F55B" w14:textId="77777777" w:rsidR="00F806A0" w:rsidRPr="00BD3436" w:rsidRDefault="00F806A0" w:rsidP="000D4FFB">
            <w:pPr>
              <w:rPr>
                <w:iCs/>
                <w:sz w:val="16"/>
                <w:szCs w:val="16"/>
                <w:lang w:val="en-GB"/>
              </w:rPr>
            </w:pPr>
            <w:r w:rsidRPr="00BD3436">
              <w:rPr>
                <w:iCs/>
                <w:sz w:val="16"/>
                <w:szCs w:val="16"/>
                <w:lang w:val="en-GB"/>
              </w:rPr>
              <w:t>Target: women constitute 30% of ministers, 10% of mayors/municipality presidents and at least 30% of local assembly representatives</w:t>
            </w:r>
          </w:p>
          <w:p w14:paraId="5AEB828B" w14:textId="55CCFAC7" w:rsidR="00F806A0" w:rsidRPr="00BD3436" w:rsidRDefault="00F806A0" w:rsidP="000D4FFB">
            <w:pPr>
              <w:rPr>
                <w:iCs/>
                <w:sz w:val="16"/>
                <w:szCs w:val="16"/>
                <w:lang w:val="en-GB"/>
              </w:rPr>
            </w:pPr>
            <w:r w:rsidRPr="00BD3436">
              <w:rPr>
                <w:iCs/>
                <w:sz w:val="16"/>
                <w:szCs w:val="16"/>
                <w:lang w:val="en-GB"/>
              </w:rPr>
              <w:t xml:space="preserve">Data source, frequency: Women and </w:t>
            </w:r>
            <w:r w:rsidR="00B76AE3" w:rsidRPr="00BD3436">
              <w:rPr>
                <w:iCs/>
                <w:sz w:val="16"/>
                <w:szCs w:val="16"/>
                <w:lang w:val="en-GB"/>
              </w:rPr>
              <w:t>m</w:t>
            </w:r>
            <w:r w:rsidRPr="00BD3436">
              <w:rPr>
                <w:iCs/>
                <w:sz w:val="16"/>
                <w:szCs w:val="16"/>
                <w:lang w:val="en-GB"/>
              </w:rPr>
              <w:t>en in Serbia (</w:t>
            </w:r>
            <w:r w:rsidR="00B76AE3" w:rsidRPr="00BD3436">
              <w:rPr>
                <w:iCs/>
                <w:sz w:val="16"/>
                <w:szCs w:val="16"/>
                <w:lang w:val="en-GB"/>
              </w:rPr>
              <w:t>Statistical Office</w:t>
            </w:r>
            <w:r w:rsidRPr="00BD3436">
              <w:rPr>
                <w:iCs/>
                <w:sz w:val="16"/>
                <w:szCs w:val="16"/>
                <w:lang w:val="en-GB"/>
              </w:rPr>
              <w:t>), 2017 and 2020.</w:t>
            </w:r>
          </w:p>
          <w:p w14:paraId="17FBEA36" w14:textId="77777777" w:rsidR="00F806A0" w:rsidRPr="00BD3436" w:rsidRDefault="003C3A59" w:rsidP="000D4FFB">
            <w:pPr>
              <w:rPr>
                <w:iCs/>
                <w:sz w:val="16"/>
                <w:szCs w:val="16"/>
                <w:lang w:val="en-GB"/>
              </w:rPr>
            </w:pPr>
            <w:r w:rsidRPr="00BD3436">
              <w:rPr>
                <w:iCs/>
                <w:sz w:val="16"/>
                <w:szCs w:val="16"/>
                <w:lang w:val="en-GB"/>
              </w:rPr>
              <w:t xml:space="preserve"> </w:t>
            </w:r>
          </w:p>
          <w:p w14:paraId="3654D9AF" w14:textId="33BD75BE" w:rsidR="00F806A0" w:rsidRPr="00BD3436" w:rsidRDefault="00F806A0" w:rsidP="000D4FFB">
            <w:pPr>
              <w:rPr>
                <w:iCs/>
                <w:sz w:val="16"/>
                <w:szCs w:val="16"/>
                <w:lang w:val="en-GB"/>
              </w:rPr>
            </w:pPr>
            <w:r w:rsidRPr="00BD3436">
              <w:rPr>
                <w:iCs/>
                <w:sz w:val="16"/>
                <w:szCs w:val="16"/>
                <w:lang w:val="en-GB"/>
              </w:rPr>
              <w:lastRenderedPageBreak/>
              <w:t xml:space="preserve">Indicator: Number of </w:t>
            </w:r>
            <w:r w:rsidR="00705699" w:rsidRPr="00BD3436">
              <w:rPr>
                <w:iCs/>
                <w:sz w:val="16"/>
                <w:szCs w:val="16"/>
                <w:lang w:val="en-GB"/>
              </w:rPr>
              <w:t xml:space="preserve">additional </w:t>
            </w:r>
            <w:r w:rsidRPr="00BD3436">
              <w:rPr>
                <w:iCs/>
                <w:sz w:val="16"/>
                <w:szCs w:val="16"/>
                <w:lang w:val="en-GB"/>
              </w:rPr>
              <w:t>activities and initiatives for legislative changes advancing gender equality taken up by Parliament</w:t>
            </w:r>
          </w:p>
          <w:p w14:paraId="702FCDA9" w14:textId="77777777" w:rsidR="00F806A0" w:rsidRPr="00BD3436" w:rsidRDefault="00F806A0" w:rsidP="000D4FFB">
            <w:pPr>
              <w:rPr>
                <w:iCs/>
                <w:sz w:val="16"/>
                <w:szCs w:val="16"/>
                <w:lang w:val="en-GB"/>
              </w:rPr>
            </w:pPr>
            <w:r w:rsidRPr="00BD3436">
              <w:rPr>
                <w:iCs/>
                <w:sz w:val="16"/>
                <w:szCs w:val="16"/>
                <w:lang w:val="en-GB"/>
              </w:rPr>
              <w:t xml:space="preserve">Baseline: </w:t>
            </w:r>
            <w:r w:rsidR="00705699" w:rsidRPr="00BD3436">
              <w:rPr>
                <w:iCs/>
                <w:sz w:val="16"/>
                <w:szCs w:val="16"/>
                <w:lang w:val="en-GB"/>
              </w:rPr>
              <w:t>0</w:t>
            </w:r>
            <w:r w:rsidR="00EB3494" w:rsidRPr="00BD3436">
              <w:rPr>
                <w:iCs/>
                <w:sz w:val="16"/>
                <w:szCs w:val="16"/>
                <w:lang w:val="en-GB"/>
              </w:rPr>
              <w:t xml:space="preserve">; </w:t>
            </w:r>
            <w:r w:rsidRPr="00BD3436">
              <w:rPr>
                <w:iCs/>
                <w:sz w:val="16"/>
                <w:szCs w:val="16"/>
                <w:lang w:val="en-GB"/>
              </w:rPr>
              <w:t xml:space="preserve">Target: </w:t>
            </w:r>
            <w:r w:rsidR="00EB3494" w:rsidRPr="00BD3436">
              <w:rPr>
                <w:iCs/>
                <w:sz w:val="16"/>
                <w:szCs w:val="16"/>
                <w:lang w:val="en-GB"/>
              </w:rPr>
              <w:t>10</w:t>
            </w:r>
          </w:p>
        </w:tc>
        <w:tc>
          <w:tcPr>
            <w:tcW w:w="674" w:type="pct"/>
            <w:tcBorders>
              <w:left w:val="single" w:sz="8" w:space="0" w:color="000000"/>
              <w:bottom w:val="single" w:sz="4" w:space="0" w:color="auto"/>
              <w:right w:val="single" w:sz="8" w:space="0" w:color="000000"/>
            </w:tcBorders>
          </w:tcPr>
          <w:p w14:paraId="74F1CA59" w14:textId="77777777" w:rsidR="00F806A0" w:rsidRPr="00BD3436" w:rsidRDefault="00F806A0" w:rsidP="000D4FFB">
            <w:pPr>
              <w:rPr>
                <w:iCs/>
                <w:sz w:val="16"/>
                <w:szCs w:val="16"/>
                <w:lang w:val="en-GB"/>
              </w:rPr>
            </w:pPr>
            <w:r w:rsidRPr="00BD3436">
              <w:rPr>
                <w:iCs/>
                <w:sz w:val="16"/>
                <w:szCs w:val="16"/>
                <w:lang w:val="en-GB"/>
              </w:rPr>
              <w:lastRenderedPageBreak/>
              <w:t xml:space="preserve">National Coordinating Body for Gender Equality, </w:t>
            </w:r>
          </w:p>
          <w:p w14:paraId="7AEC9F35" w14:textId="77777777" w:rsidR="00F806A0" w:rsidRPr="00BD3436" w:rsidRDefault="00F806A0" w:rsidP="000D4FFB">
            <w:pPr>
              <w:rPr>
                <w:iCs/>
                <w:sz w:val="16"/>
                <w:szCs w:val="16"/>
                <w:lang w:val="en-GB"/>
              </w:rPr>
            </w:pPr>
            <w:r w:rsidRPr="00BD3436">
              <w:rPr>
                <w:iCs/>
                <w:sz w:val="16"/>
                <w:szCs w:val="16"/>
                <w:lang w:val="en-GB"/>
              </w:rPr>
              <w:t>Ministry of Labour, Employment and Social Policy,</w:t>
            </w:r>
          </w:p>
          <w:p w14:paraId="62A49D3A" w14:textId="77777777" w:rsidR="00F806A0" w:rsidRPr="00BD3436" w:rsidRDefault="00F806A0" w:rsidP="000D4FFB">
            <w:pPr>
              <w:rPr>
                <w:iCs/>
                <w:sz w:val="16"/>
                <w:szCs w:val="16"/>
                <w:lang w:val="en-GB"/>
              </w:rPr>
            </w:pPr>
            <w:r w:rsidRPr="00BD3436">
              <w:rPr>
                <w:iCs/>
                <w:sz w:val="16"/>
                <w:szCs w:val="16"/>
                <w:lang w:val="en-GB"/>
              </w:rPr>
              <w:t>Ministry of Interior,</w:t>
            </w:r>
          </w:p>
          <w:p w14:paraId="6030A657" w14:textId="624B5BD0" w:rsidR="00F806A0" w:rsidRPr="00BD3436" w:rsidRDefault="00F806A0" w:rsidP="000D4FFB">
            <w:pPr>
              <w:rPr>
                <w:iCs/>
                <w:sz w:val="16"/>
                <w:szCs w:val="16"/>
                <w:lang w:val="en-GB"/>
              </w:rPr>
            </w:pPr>
            <w:r w:rsidRPr="00BD3436">
              <w:rPr>
                <w:iCs/>
                <w:sz w:val="16"/>
                <w:szCs w:val="16"/>
                <w:lang w:val="en-GB"/>
              </w:rPr>
              <w:t xml:space="preserve">Network of </w:t>
            </w:r>
            <w:r w:rsidR="00C84E39" w:rsidRPr="00BD3436">
              <w:rPr>
                <w:iCs/>
                <w:sz w:val="16"/>
                <w:szCs w:val="16"/>
                <w:lang w:val="en-GB"/>
              </w:rPr>
              <w:t>W</w:t>
            </w:r>
            <w:r w:rsidRPr="00BD3436">
              <w:rPr>
                <w:iCs/>
                <w:sz w:val="16"/>
                <w:szCs w:val="16"/>
                <w:lang w:val="en-GB"/>
              </w:rPr>
              <w:t>omen M</w:t>
            </w:r>
            <w:r w:rsidR="00C84E39" w:rsidRPr="00BD3436">
              <w:rPr>
                <w:iCs/>
                <w:sz w:val="16"/>
                <w:szCs w:val="16"/>
                <w:lang w:val="en-GB"/>
              </w:rPr>
              <w:t xml:space="preserve">embers of </w:t>
            </w:r>
            <w:r w:rsidRPr="00BD3436">
              <w:rPr>
                <w:iCs/>
                <w:sz w:val="16"/>
                <w:szCs w:val="16"/>
                <w:lang w:val="en-GB"/>
              </w:rPr>
              <w:t>P</w:t>
            </w:r>
            <w:r w:rsidR="00C84E39" w:rsidRPr="00BD3436">
              <w:rPr>
                <w:iCs/>
                <w:sz w:val="16"/>
                <w:szCs w:val="16"/>
                <w:lang w:val="en-GB"/>
              </w:rPr>
              <w:t>arliament</w:t>
            </w:r>
            <w:r w:rsidRPr="00BD3436">
              <w:rPr>
                <w:iCs/>
                <w:sz w:val="16"/>
                <w:szCs w:val="16"/>
                <w:lang w:val="en-GB"/>
              </w:rPr>
              <w:t>,</w:t>
            </w:r>
          </w:p>
          <w:p w14:paraId="456A4381" w14:textId="77777777" w:rsidR="00F806A0" w:rsidRPr="00BD3436" w:rsidRDefault="00F806A0" w:rsidP="000D4FFB">
            <w:pPr>
              <w:rPr>
                <w:iCs/>
                <w:sz w:val="16"/>
                <w:szCs w:val="16"/>
                <w:lang w:val="en-GB"/>
              </w:rPr>
            </w:pPr>
            <w:r w:rsidRPr="00BD3436">
              <w:rPr>
                <w:iCs/>
                <w:sz w:val="16"/>
                <w:szCs w:val="16"/>
                <w:lang w:val="en-GB"/>
              </w:rPr>
              <w:t>Provincial Secretariat for Gender Equality,</w:t>
            </w:r>
          </w:p>
          <w:p w14:paraId="18AC74EC" w14:textId="77777777" w:rsidR="00F806A0" w:rsidRPr="00BD3436" w:rsidRDefault="00F806A0" w:rsidP="000D4FFB">
            <w:pPr>
              <w:rPr>
                <w:iCs/>
                <w:sz w:val="16"/>
                <w:szCs w:val="16"/>
                <w:lang w:val="en-GB"/>
              </w:rPr>
            </w:pPr>
            <w:r w:rsidRPr="00BD3436">
              <w:rPr>
                <w:iCs/>
                <w:sz w:val="16"/>
                <w:szCs w:val="16"/>
                <w:lang w:val="en-GB"/>
              </w:rPr>
              <w:t>Local level bodies for gender equality</w:t>
            </w:r>
          </w:p>
          <w:p w14:paraId="2B0E3908" w14:textId="77777777" w:rsidR="00F806A0" w:rsidRPr="00BD3436" w:rsidRDefault="00F806A0" w:rsidP="000D4FFB">
            <w:pPr>
              <w:rPr>
                <w:iCs/>
                <w:sz w:val="16"/>
                <w:szCs w:val="16"/>
                <w:lang w:val="en-GB"/>
              </w:rPr>
            </w:pPr>
            <w:r w:rsidRPr="00BD3436">
              <w:rPr>
                <w:iCs/>
                <w:sz w:val="16"/>
                <w:szCs w:val="16"/>
                <w:lang w:val="en-GB"/>
              </w:rPr>
              <w:t>Women NGOs</w:t>
            </w:r>
          </w:p>
          <w:p w14:paraId="5BAEC3B1" w14:textId="77777777" w:rsidR="00F806A0" w:rsidRPr="00BD3436" w:rsidRDefault="00F806A0" w:rsidP="000D4FFB">
            <w:pPr>
              <w:rPr>
                <w:iCs/>
                <w:sz w:val="16"/>
                <w:szCs w:val="16"/>
                <w:lang w:val="en-GB"/>
              </w:rPr>
            </w:pPr>
          </w:p>
          <w:p w14:paraId="5A964AB2" w14:textId="77777777" w:rsidR="00F806A0" w:rsidRPr="00BD3436" w:rsidRDefault="00F806A0" w:rsidP="000D4FFB">
            <w:pPr>
              <w:rPr>
                <w:iCs/>
                <w:sz w:val="16"/>
                <w:szCs w:val="16"/>
                <w:lang w:val="en-GB"/>
              </w:rPr>
            </w:pPr>
          </w:p>
          <w:p w14:paraId="52BC6FFF" w14:textId="77777777" w:rsidR="00F806A0" w:rsidRPr="00BD3436" w:rsidRDefault="00F806A0" w:rsidP="000D4FFB">
            <w:pPr>
              <w:rPr>
                <w:i/>
                <w:iCs/>
                <w:sz w:val="16"/>
                <w:szCs w:val="16"/>
                <w:lang w:val="en-GB"/>
              </w:rPr>
            </w:pPr>
          </w:p>
          <w:p w14:paraId="2221619B" w14:textId="77777777" w:rsidR="00F806A0" w:rsidRPr="00BD3436" w:rsidRDefault="00F806A0" w:rsidP="000D4FFB">
            <w:pPr>
              <w:rPr>
                <w:i/>
                <w:iCs/>
                <w:sz w:val="16"/>
                <w:szCs w:val="16"/>
                <w:lang w:val="en-GB"/>
              </w:rPr>
            </w:pPr>
          </w:p>
        </w:tc>
        <w:tc>
          <w:tcPr>
            <w:tcW w:w="486"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75AA3439" w14:textId="77777777" w:rsidR="00F806A0" w:rsidRPr="00BD3436" w:rsidRDefault="00F806A0" w:rsidP="000D4FFB">
            <w:pPr>
              <w:rPr>
                <w:b/>
                <w:sz w:val="16"/>
                <w:szCs w:val="16"/>
                <w:lang w:val="en-GB"/>
              </w:rPr>
            </w:pPr>
          </w:p>
          <w:p w14:paraId="1DA26266" w14:textId="77777777" w:rsidR="00F806A0" w:rsidRPr="00BD3436" w:rsidRDefault="00F806A0" w:rsidP="000D4FFB">
            <w:pPr>
              <w:rPr>
                <w:b/>
                <w:sz w:val="16"/>
                <w:szCs w:val="16"/>
                <w:lang w:val="en-GB"/>
              </w:rPr>
            </w:pPr>
            <w:r w:rsidRPr="00BD3436">
              <w:rPr>
                <w:b/>
                <w:sz w:val="16"/>
                <w:szCs w:val="16"/>
                <w:lang w:val="en-GB"/>
              </w:rPr>
              <w:t>Other: 1,400,000.00</w:t>
            </w:r>
          </w:p>
          <w:p w14:paraId="79A5A7E9" w14:textId="77777777" w:rsidR="00F806A0" w:rsidRPr="00BD3436" w:rsidRDefault="00F806A0" w:rsidP="000D4FFB">
            <w:pPr>
              <w:rPr>
                <w:b/>
                <w:sz w:val="16"/>
                <w:szCs w:val="16"/>
                <w:lang w:val="en-GB"/>
              </w:rPr>
            </w:pPr>
          </w:p>
          <w:p w14:paraId="63279313" w14:textId="77777777" w:rsidR="00F806A0" w:rsidRPr="00BD3436" w:rsidRDefault="00F806A0" w:rsidP="000D4FFB">
            <w:pPr>
              <w:rPr>
                <w:b/>
                <w:sz w:val="16"/>
                <w:szCs w:val="16"/>
                <w:lang w:val="en-GB"/>
              </w:rPr>
            </w:pPr>
          </w:p>
          <w:p w14:paraId="00421C71" w14:textId="77777777" w:rsidR="00F806A0" w:rsidRPr="00BD3436" w:rsidRDefault="00F806A0" w:rsidP="000D4FFB">
            <w:pPr>
              <w:rPr>
                <w:b/>
                <w:sz w:val="16"/>
                <w:szCs w:val="16"/>
                <w:lang w:val="en-GB"/>
              </w:rPr>
            </w:pPr>
          </w:p>
          <w:p w14:paraId="0349DB0B" w14:textId="77777777" w:rsidR="00F806A0" w:rsidRPr="00BD3436" w:rsidRDefault="00F806A0" w:rsidP="000D4FFB">
            <w:pPr>
              <w:rPr>
                <w:b/>
                <w:sz w:val="16"/>
                <w:szCs w:val="16"/>
                <w:lang w:val="en-GB"/>
              </w:rPr>
            </w:pPr>
          </w:p>
          <w:p w14:paraId="4364ED1E" w14:textId="77777777" w:rsidR="00F806A0" w:rsidRPr="00BD3436" w:rsidRDefault="00F806A0" w:rsidP="000D4FFB">
            <w:pPr>
              <w:rPr>
                <w:b/>
                <w:sz w:val="16"/>
                <w:szCs w:val="16"/>
                <w:lang w:val="en-GB"/>
              </w:rPr>
            </w:pPr>
          </w:p>
          <w:p w14:paraId="11E981FD" w14:textId="77777777" w:rsidR="00F806A0" w:rsidRPr="00BD3436" w:rsidRDefault="00F806A0" w:rsidP="000D4FFB">
            <w:pPr>
              <w:rPr>
                <w:b/>
                <w:sz w:val="16"/>
                <w:szCs w:val="16"/>
                <w:lang w:val="en-GB"/>
              </w:rPr>
            </w:pPr>
          </w:p>
          <w:p w14:paraId="462C8241" w14:textId="77777777" w:rsidR="00F806A0" w:rsidRPr="00BD3436" w:rsidRDefault="00F806A0" w:rsidP="000D4FFB">
            <w:pPr>
              <w:rPr>
                <w:b/>
                <w:sz w:val="16"/>
                <w:szCs w:val="16"/>
                <w:lang w:val="en-GB"/>
              </w:rPr>
            </w:pPr>
          </w:p>
          <w:p w14:paraId="348DCC0F" w14:textId="77777777" w:rsidR="00F806A0" w:rsidRPr="00BD3436" w:rsidRDefault="00F806A0" w:rsidP="000D4FFB">
            <w:pPr>
              <w:rPr>
                <w:b/>
                <w:sz w:val="16"/>
                <w:szCs w:val="16"/>
                <w:lang w:val="en-GB"/>
              </w:rPr>
            </w:pPr>
          </w:p>
          <w:p w14:paraId="3EDA2A20" w14:textId="77777777" w:rsidR="00F806A0" w:rsidRPr="00BD3436" w:rsidRDefault="00F806A0" w:rsidP="000D4FFB">
            <w:pPr>
              <w:rPr>
                <w:b/>
                <w:sz w:val="16"/>
                <w:szCs w:val="16"/>
                <w:lang w:val="en-GB"/>
              </w:rPr>
            </w:pPr>
          </w:p>
          <w:p w14:paraId="528EDCD3" w14:textId="77777777" w:rsidR="00F806A0" w:rsidRPr="00BD3436" w:rsidRDefault="00F806A0" w:rsidP="000D4FFB">
            <w:pPr>
              <w:rPr>
                <w:b/>
                <w:sz w:val="16"/>
                <w:szCs w:val="16"/>
                <w:lang w:val="en-GB"/>
              </w:rPr>
            </w:pPr>
          </w:p>
          <w:p w14:paraId="4DBA6444" w14:textId="77777777" w:rsidR="00F806A0" w:rsidRPr="00BD3436" w:rsidRDefault="00F806A0" w:rsidP="000D4FFB">
            <w:pPr>
              <w:rPr>
                <w:b/>
                <w:sz w:val="16"/>
                <w:szCs w:val="16"/>
                <w:lang w:val="en-GB"/>
              </w:rPr>
            </w:pPr>
          </w:p>
          <w:p w14:paraId="02A567D6" w14:textId="77777777" w:rsidR="00F806A0" w:rsidRPr="00BD3436" w:rsidRDefault="00F806A0" w:rsidP="000D4FFB">
            <w:pPr>
              <w:rPr>
                <w:b/>
                <w:sz w:val="16"/>
                <w:szCs w:val="16"/>
                <w:lang w:val="en-GB"/>
              </w:rPr>
            </w:pPr>
          </w:p>
          <w:p w14:paraId="1E8D3C22" w14:textId="77777777" w:rsidR="00F806A0" w:rsidRPr="00BD3436" w:rsidRDefault="00F806A0" w:rsidP="000D4FFB">
            <w:pPr>
              <w:rPr>
                <w:b/>
                <w:sz w:val="16"/>
                <w:szCs w:val="16"/>
                <w:lang w:val="en-GB"/>
              </w:rPr>
            </w:pPr>
          </w:p>
          <w:p w14:paraId="2B48B175" w14:textId="77777777" w:rsidR="00F806A0" w:rsidRPr="00BD3436" w:rsidRDefault="00F806A0" w:rsidP="000D4FFB">
            <w:pPr>
              <w:rPr>
                <w:b/>
                <w:sz w:val="16"/>
                <w:szCs w:val="16"/>
                <w:lang w:val="en-GB"/>
              </w:rPr>
            </w:pPr>
          </w:p>
          <w:p w14:paraId="1ECC9C77" w14:textId="77777777" w:rsidR="00F806A0" w:rsidRPr="00BD3436" w:rsidRDefault="00F806A0" w:rsidP="000D4FFB">
            <w:pPr>
              <w:rPr>
                <w:b/>
                <w:sz w:val="16"/>
                <w:szCs w:val="16"/>
                <w:lang w:val="en-GB"/>
              </w:rPr>
            </w:pPr>
          </w:p>
          <w:p w14:paraId="2A9B353B" w14:textId="77777777" w:rsidR="00F806A0" w:rsidRPr="00BD3436" w:rsidRDefault="00F806A0" w:rsidP="000D4FFB">
            <w:pPr>
              <w:rPr>
                <w:b/>
                <w:sz w:val="16"/>
                <w:szCs w:val="16"/>
                <w:lang w:val="en-GB"/>
              </w:rPr>
            </w:pPr>
          </w:p>
          <w:p w14:paraId="1F55F486" w14:textId="77777777" w:rsidR="00F806A0" w:rsidRPr="00BD3436" w:rsidRDefault="00F806A0" w:rsidP="000D4FFB">
            <w:pPr>
              <w:rPr>
                <w:b/>
                <w:sz w:val="16"/>
                <w:szCs w:val="16"/>
                <w:lang w:val="en-GB"/>
              </w:rPr>
            </w:pPr>
          </w:p>
        </w:tc>
      </w:tr>
      <w:tr w:rsidR="00F806A0" w:rsidRPr="00BD3436" w14:paraId="72C50D0C" w14:textId="77777777" w:rsidTr="004303A7">
        <w:trPr>
          <w:trHeight w:val="124"/>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0A7DC8D" w14:textId="1CC96CF7" w:rsidR="00F806A0" w:rsidRPr="00BD3436" w:rsidRDefault="00F806A0" w:rsidP="000D4FFB">
            <w:pPr>
              <w:rPr>
                <w:b/>
                <w:bCs/>
                <w:sz w:val="16"/>
                <w:szCs w:val="16"/>
                <w:lang w:val="en-GB"/>
              </w:rPr>
            </w:pPr>
            <w:r w:rsidRPr="00BD3436">
              <w:rPr>
                <w:b/>
                <w:bCs/>
                <w:sz w:val="16"/>
                <w:szCs w:val="16"/>
                <w:lang w:val="en-GB"/>
              </w:rPr>
              <w:lastRenderedPageBreak/>
              <w:t xml:space="preserve">NATIONAL PRIORITY OR GOAL: </w:t>
            </w:r>
            <w:r w:rsidR="00C84E39" w:rsidRPr="00BD3436">
              <w:rPr>
                <w:b/>
                <w:bCs/>
                <w:iCs/>
                <w:sz w:val="16"/>
                <w:szCs w:val="16"/>
                <w:lang w:val="en-GB"/>
              </w:rPr>
              <w:t>National Priorities for International Assistance (NAD)</w:t>
            </w:r>
            <w:r w:rsidRPr="00BD3436">
              <w:rPr>
                <w:b/>
                <w:bCs/>
                <w:iCs/>
                <w:sz w:val="16"/>
                <w:szCs w:val="16"/>
                <w:lang w:val="en-GB"/>
              </w:rPr>
              <w:t>:</w:t>
            </w:r>
            <w:r w:rsidRPr="00BD3436">
              <w:rPr>
                <w:bCs/>
                <w:iCs/>
                <w:sz w:val="16"/>
                <w:szCs w:val="16"/>
                <w:lang w:val="en-GB"/>
              </w:rPr>
              <w:t xml:space="preserve"> Strengthening the establishment of an efficient, stable and sustainable growth trend in employment; building a knowledge-based society through enhancement of formal and non-formal education; increasing effectiveness and equity of social welfare; improving operating environment for doing business through evidence-based policies and regulatory simplification; improving the quality of life of the rural population and attractiveness of rural areas.</w:t>
            </w:r>
          </w:p>
        </w:tc>
      </w:tr>
      <w:tr w:rsidR="00F806A0" w:rsidRPr="00BD3436" w14:paraId="0B75F54A" w14:textId="77777777" w:rsidTr="004303A7">
        <w:trPr>
          <w:trHeight w:val="124"/>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C928112" w14:textId="77777777" w:rsidR="00F806A0" w:rsidRPr="00BD3436" w:rsidRDefault="00F806A0" w:rsidP="000D4FFB">
            <w:pPr>
              <w:rPr>
                <w:b/>
                <w:sz w:val="18"/>
                <w:szCs w:val="18"/>
                <w:lang w:val="en-GB"/>
              </w:rPr>
            </w:pPr>
            <w:r w:rsidRPr="00BD3436">
              <w:rPr>
                <w:b/>
                <w:bCs/>
                <w:sz w:val="16"/>
                <w:szCs w:val="16"/>
                <w:lang w:val="en-GB"/>
              </w:rPr>
              <w:t>UNDAF OUTCOME INVOLVING UNDP</w:t>
            </w:r>
            <w:r w:rsidRPr="00BD3436">
              <w:rPr>
                <w:bCs/>
                <w:sz w:val="16"/>
                <w:szCs w:val="16"/>
                <w:lang w:val="en-GB"/>
              </w:rPr>
              <w:t>:</w:t>
            </w:r>
            <w:r w:rsidRPr="00BD3436">
              <w:rPr>
                <w:sz w:val="16"/>
                <w:szCs w:val="16"/>
                <w:lang w:val="en-GB"/>
              </w:rPr>
              <w:t xml:space="preserve"> By 2020, there is an effective enabling environment that promotes sustainable economic development, focused on an inclusive labour market and decent job creation</w:t>
            </w:r>
            <w:r w:rsidR="0020025F" w:rsidRPr="00BD3436">
              <w:rPr>
                <w:sz w:val="16"/>
                <w:szCs w:val="16"/>
                <w:lang w:val="en-GB"/>
              </w:rPr>
              <w:t>.</w:t>
            </w:r>
          </w:p>
          <w:p w14:paraId="6B6E3ED1" w14:textId="40978545" w:rsidR="00F806A0" w:rsidRPr="00BD3436" w:rsidRDefault="00F806A0" w:rsidP="000D4FFB">
            <w:pPr>
              <w:rPr>
                <w:bCs/>
                <w:iCs/>
                <w:sz w:val="16"/>
                <w:szCs w:val="16"/>
                <w:lang w:val="en-GB"/>
              </w:rPr>
            </w:pPr>
            <w:r w:rsidRPr="00BD3436">
              <w:rPr>
                <w:b/>
                <w:bCs/>
                <w:sz w:val="16"/>
                <w:szCs w:val="16"/>
                <w:lang w:val="en-GB"/>
              </w:rPr>
              <w:t xml:space="preserve">Related </w:t>
            </w:r>
            <w:r w:rsidR="0020025F" w:rsidRPr="00BD3436">
              <w:rPr>
                <w:b/>
                <w:bCs/>
                <w:sz w:val="16"/>
                <w:szCs w:val="16"/>
                <w:lang w:val="en-GB"/>
              </w:rPr>
              <w:t>s</w:t>
            </w:r>
            <w:r w:rsidRPr="00BD3436">
              <w:rPr>
                <w:b/>
                <w:bCs/>
                <w:sz w:val="16"/>
                <w:szCs w:val="16"/>
                <w:lang w:val="en-GB"/>
              </w:rPr>
              <w:t xml:space="preserve">trategic </w:t>
            </w:r>
            <w:r w:rsidR="0020025F" w:rsidRPr="00BD3436">
              <w:rPr>
                <w:b/>
                <w:bCs/>
                <w:sz w:val="16"/>
                <w:szCs w:val="16"/>
                <w:lang w:val="en-GB"/>
              </w:rPr>
              <w:t>p</w:t>
            </w:r>
            <w:r w:rsidRPr="00BD3436">
              <w:rPr>
                <w:b/>
                <w:bCs/>
                <w:sz w:val="16"/>
                <w:szCs w:val="16"/>
                <w:lang w:val="en-GB"/>
              </w:rPr>
              <w:t xml:space="preserve">lan outcome: </w:t>
            </w:r>
            <w:r w:rsidRPr="00BD3436">
              <w:rPr>
                <w:bCs/>
                <w:iCs/>
                <w:sz w:val="16"/>
                <w:szCs w:val="16"/>
                <w:lang w:val="en-GB"/>
              </w:rPr>
              <w:t>Growth and development are inclusive and sustainable, incorporating productive capacities that create employment and livelihoods for the poor and excluded (1)</w:t>
            </w:r>
            <w:r w:rsidR="0020025F" w:rsidRPr="00BD3436">
              <w:rPr>
                <w:bCs/>
                <w:iCs/>
                <w:sz w:val="16"/>
                <w:szCs w:val="16"/>
                <w:lang w:val="en-GB"/>
              </w:rPr>
              <w:t>.</w:t>
            </w:r>
          </w:p>
          <w:p w14:paraId="7F6CC95D" w14:textId="339C6AAD" w:rsidR="00F806A0" w:rsidRPr="00BD3436" w:rsidRDefault="00F806A0" w:rsidP="000D4FFB">
            <w:pPr>
              <w:rPr>
                <w:i/>
                <w:iCs/>
                <w:sz w:val="16"/>
                <w:szCs w:val="16"/>
                <w:lang w:val="en-GB"/>
              </w:rPr>
            </w:pPr>
            <w:r w:rsidRPr="00BD3436">
              <w:rPr>
                <w:b/>
                <w:sz w:val="16"/>
                <w:szCs w:val="16"/>
                <w:lang w:val="en-GB"/>
              </w:rPr>
              <w:t xml:space="preserve">Related </w:t>
            </w:r>
            <w:r w:rsidR="0020025F" w:rsidRPr="00BD3436">
              <w:rPr>
                <w:b/>
                <w:sz w:val="16"/>
                <w:szCs w:val="16"/>
                <w:lang w:val="en-GB"/>
              </w:rPr>
              <w:t>s</w:t>
            </w:r>
            <w:r w:rsidRPr="00BD3436">
              <w:rPr>
                <w:b/>
                <w:sz w:val="16"/>
                <w:szCs w:val="16"/>
                <w:lang w:val="en-GB"/>
              </w:rPr>
              <w:t xml:space="preserve">trategic </w:t>
            </w:r>
            <w:r w:rsidR="0020025F" w:rsidRPr="00BD3436">
              <w:rPr>
                <w:b/>
                <w:sz w:val="16"/>
                <w:szCs w:val="16"/>
                <w:lang w:val="en-GB"/>
              </w:rPr>
              <w:t>p</w:t>
            </w:r>
            <w:r w:rsidRPr="00BD3436">
              <w:rPr>
                <w:b/>
                <w:sz w:val="16"/>
                <w:szCs w:val="16"/>
                <w:lang w:val="en-GB"/>
              </w:rPr>
              <w:t>lan outcome indicator:</w:t>
            </w:r>
            <w:r w:rsidRPr="00BD3436">
              <w:rPr>
                <w:sz w:val="16"/>
                <w:szCs w:val="16"/>
                <w:lang w:val="en-GB"/>
              </w:rPr>
              <w:t xml:space="preserve"> </w:t>
            </w:r>
            <w:r w:rsidRPr="00BD3436">
              <w:rPr>
                <w:bCs/>
                <w:iCs/>
                <w:sz w:val="16"/>
                <w:szCs w:val="16"/>
                <w:lang w:val="en-GB"/>
              </w:rPr>
              <w:t>Employment rate (disaggregated by sex)</w:t>
            </w:r>
            <w:r w:rsidR="0020025F" w:rsidRPr="00BD3436">
              <w:rPr>
                <w:bCs/>
                <w:iCs/>
                <w:sz w:val="16"/>
                <w:szCs w:val="16"/>
                <w:lang w:val="en-GB"/>
              </w:rPr>
              <w:t>.</w:t>
            </w:r>
          </w:p>
        </w:tc>
      </w:tr>
      <w:tr w:rsidR="00F806A0" w:rsidRPr="00BD3436" w14:paraId="509CE985" w14:textId="77777777" w:rsidTr="004303A7">
        <w:trPr>
          <w:trHeight w:val="133"/>
        </w:trPr>
        <w:tc>
          <w:tcPr>
            <w:tcW w:w="827" w:type="pct"/>
            <w:vMerge w:val="restart"/>
            <w:tcBorders>
              <w:top w:val="single" w:sz="4" w:space="0" w:color="auto"/>
              <w:left w:val="single" w:sz="8" w:space="0" w:color="000000"/>
              <w:right w:val="single" w:sz="4" w:space="0" w:color="auto"/>
            </w:tcBorders>
            <w:tcMar>
              <w:top w:w="72" w:type="dxa"/>
              <w:left w:w="144" w:type="dxa"/>
              <w:bottom w:w="72" w:type="dxa"/>
              <w:right w:w="144" w:type="dxa"/>
            </w:tcMar>
          </w:tcPr>
          <w:p w14:paraId="474FDF24" w14:textId="12B54D09" w:rsidR="00EB3494" w:rsidRPr="00BD3436" w:rsidRDefault="00EB3494" w:rsidP="00EB3494">
            <w:pPr>
              <w:rPr>
                <w:iCs/>
                <w:sz w:val="16"/>
                <w:szCs w:val="16"/>
                <w:lang w:val="en-GB"/>
              </w:rPr>
            </w:pPr>
            <w:r w:rsidRPr="00BD3436">
              <w:rPr>
                <w:iCs/>
                <w:sz w:val="16"/>
                <w:szCs w:val="16"/>
                <w:lang w:val="en-GB"/>
              </w:rPr>
              <w:t xml:space="preserve">Indicator: </w:t>
            </w:r>
            <w:r w:rsidR="0020025F" w:rsidRPr="00BD3436">
              <w:rPr>
                <w:iCs/>
                <w:sz w:val="16"/>
                <w:szCs w:val="16"/>
                <w:lang w:val="en-GB"/>
              </w:rPr>
              <w:t>N</w:t>
            </w:r>
            <w:r w:rsidRPr="00BD3436">
              <w:rPr>
                <w:iCs/>
                <w:sz w:val="16"/>
                <w:szCs w:val="16"/>
                <w:lang w:val="en-GB"/>
              </w:rPr>
              <w:t>umber of municipalities in the extremely underdeveloped group</w:t>
            </w:r>
          </w:p>
          <w:p w14:paraId="5E3037F3" w14:textId="77777777" w:rsidR="00EB3494" w:rsidRPr="00BD3436" w:rsidRDefault="00EB3494" w:rsidP="00EB3494">
            <w:pPr>
              <w:rPr>
                <w:iCs/>
                <w:sz w:val="16"/>
                <w:szCs w:val="16"/>
                <w:lang w:val="en-GB"/>
              </w:rPr>
            </w:pPr>
            <w:r w:rsidRPr="00BD3436">
              <w:rPr>
                <w:iCs/>
                <w:sz w:val="16"/>
                <w:szCs w:val="16"/>
                <w:lang w:val="en-GB"/>
              </w:rPr>
              <w:t>Baseline (2013): 46; Target (2020) 36</w:t>
            </w:r>
          </w:p>
          <w:p w14:paraId="7ADF573D" w14:textId="5059121C" w:rsidR="00EB3494" w:rsidRPr="00BD3436" w:rsidRDefault="00EB3494" w:rsidP="00EB3494">
            <w:pPr>
              <w:rPr>
                <w:iCs/>
                <w:sz w:val="16"/>
                <w:szCs w:val="16"/>
                <w:lang w:val="en-GB"/>
              </w:rPr>
            </w:pPr>
            <w:r w:rsidRPr="00BD3436">
              <w:rPr>
                <w:iCs/>
                <w:sz w:val="16"/>
                <w:szCs w:val="16"/>
                <w:lang w:val="en-GB"/>
              </w:rPr>
              <w:t xml:space="preserve">Data source, frequency:, </w:t>
            </w:r>
            <w:r w:rsidR="0020025F" w:rsidRPr="00BD3436">
              <w:rPr>
                <w:iCs/>
                <w:sz w:val="16"/>
                <w:szCs w:val="16"/>
                <w:lang w:val="en-GB"/>
              </w:rPr>
              <w:t xml:space="preserve">Statistical Office </w:t>
            </w:r>
            <w:r w:rsidRPr="00BD3436">
              <w:rPr>
                <w:iCs/>
                <w:sz w:val="16"/>
                <w:szCs w:val="16"/>
                <w:lang w:val="en-GB"/>
              </w:rPr>
              <w:t>reports</w:t>
            </w:r>
          </w:p>
          <w:p w14:paraId="6522C9ED" w14:textId="77777777" w:rsidR="00EB3494" w:rsidRPr="00BD3436" w:rsidRDefault="00EB3494" w:rsidP="000D4FFB">
            <w:pPr>
              <w:rPr>
                <w:iCs/>
                <w:sz w:val="16"/>
                <w:szCs w:val="16"/>
                <w:lang w:val="en-GB"/>
              </w:rPr>
            </w:pPr>
          </w:p>
          <w:p w14:paraId="02A9723A" w14:textId="04188CB9" w:rsidR="00F806A0" w:rsidRPr="00BD3436" w:rsidRDefault="00F806A0" w:rsidP="000D4FFB">
            <w:pPr>
              <w:rPr>
                <w:iCs/>
                <w:sz w:val="16"/>
                <w:szCs w:val="16"/>
                <w:lang w:val="en-GB"/>
              </w:rPr>
            </w:pPr>
            <w:r w:rsidRPr="00BD3436">
              <w:rPr>
                <w:iCs/>
                <w:sz w:val="16"/>
                <w:szCs w:val="16"/>
                <w:lang w:val="en-GB"/>
              </w:rPr>
              <w:t>Indicator: Ease of Doing Business ranking</w:t>
            </w:r>
          </w:p>
          <w:p w14:paraId="398FC87A" w14:textId="77777777" w:rsidR="00F806A0" w:rsidRPr="00BD3436" w:rsidRDefault="00F806A0" w:rsidP="000D4FFB">
            <w:pPr>
              <w:rPr>
                <w:iCs/>
                <w:sz w:val="16"/>
                <w:szCs w:val="16"/>
                <w:lang w:val="en-GB"/>
              </w:rPr>
            </w:pPr>
            <w:r w:rsidRPr="00BD3436">
              <w:rPr>
                <w:iCs/>
                <w:sz w:val="16"/>
                <w:szCs w:val="16"/>
                <w:lang w:val="en-GB"/>
              </w:rPr>
              <w:t>Baseline (2014): 93; Target (2020): 80</w:t>
            </w:r>
          </w:p>
          <w:p w14:paraId="5C0ACD02" w14:textId="77777777" w:rsidR="00F806A0" w:rsidRPr="00BD3436" w:rsidRDefault="00F806A0" w:rsidP="000D4FFB">
            <w:pPr>
              <w:rPr>
                <w:iCs/>
                <w:sz w:val="16"/>
                <w:szCs w:val="16"/>
                <w:lang w:val="en-GB"/>
              </w:rPr>
            </w:pPr>
          </w:p>
          <w:p w14:paraId="2567AAA8" w14:textId="77777777" w:rsidR="00F806A0" w:rsidRPr="00BD3436" w:rsidRDefault="00F806A0" w:rsidP="000D4FFB">
            <w:pPr>
              <w:rPr>
                <w:iCs/>
                <w:sz w:val="16"/>
                <w:szCs w:val="16"/>
                <w:lang w:val="en-GB"/>
              </w:rPr>
            </w:pPr>
            <w:r w:rsidRPr="00BD3436">
              <w:rPr>
                <w:iCs/>
                <w:sz w:val="16"/>
                <w:szCs w:val="16"/>
                <w:lang w:val="en-GB"/>
              </w:rPr>
              <w:t>Indicator: Employment rate</w:t>
            </w:r>
            <w:r w:rsidR="00F761B8" w:rsidRPr="00BD3436">
              <w:rPr>
                <w:iCs/>
                <w:sz w:val="16"/>
                <w:szCs w:val="16"/>
                <w:lang w:val="en-GB"/>
              </w:rPr>
              <w:t>, disaggregated by sex</w:t>
            </w:r>
            <w:r w:rsidRPr="00BD3436">
              <w:rPr>
                <w:iCs/>
                <w:sz w:val="16"/>
                <w:szCs w:val="16"/>
                <w:lang w:val="en-GB"/>
              </w:rPr>
              <w:t xml:space="preserve"> </w:t>
            </w:r>
          </w:p>
          <w:p w14:paraId="150ABC36" w14:textId="77777777" w:rsidR="00F806A0" w:rsidRPr="00BD3436" w:rsidRDefault="00F806A0" w:rsidP="000D4FFB">
            <w:pPr>
              <w:rPr>
                <w:iCs/>
                <w:sz w:val="16"/>
                <w:szCs w:val="16"/>
                <w:lang w:val="en-GB"/>
              </w:rPr>
            </w:pPr>
            <w:r w:rsidRPr="00BD3436">
              <w:rPr>
                <w:iCs/>
                <w:sz w:val="16"/>
                <w:szCs w:val="16"/>
                <w:lang w:val="en-GB"/>
              </w:rPr>
              <w:t xml:space="preserve">Baseline (2013): 54.9% male, 40.1% female; </w:t>
            </w:r>
            <w:r w:rsidRPr="00BD3436">
              <w:rPr>
                <w:iCs/>
                <w:sz w:val="16"/>
                <w:szCs w:val="16"/>
                <w:lang w:val="en-GB"/>
              </w:rPr>
              <w:tab/>
            </w:r>
          </w:p>
          <w:p w14:paraId="57E31A8A" w14:textId="77777777" w:rsidR="00F806A0" w:rsidRPr="00BD3436" w:rsidRDefault="00F806A0" w:rsidP="000D4FFB">
            <w:pPr>
              <w:rPr>
                <w:iCs/>
                <w:sz w:val="16"/>
                <w:szCs w:val="16"/>
                <w:lang w:val="en-GB"/>
              </w:rPr>
            </w:pPr>
            <w:r w:rsidRPr="00BD3436">
              <w:rPr>
                <w:iCs/>
                <w:sz w:val="16"/>
                <w:szCs w:val="16"/>
                <w:lang w:val="en-GB"/>
              </w:rPr>
              <w:t>Target (2019): 60% male. 45% female</w:t>
            </w:r>
          </w:p>
          <w:p w14:paraId="3E7DFF71" w14:textId="77777777" w:rsidR="00F806A0" w:rsidRPr="00BD3436" w:rsidRDefault="00F806A0" w:rsidP="000D4FFB">
            <w:pPr>
              <w:rPr>
                <w:iCs/>
                <w:sz w:val="16"/>
                <w:szCs w:val="16"/>
                <w:lang w:val="en-GB"/>
              </w:rPr>
            </w:pPr>
          </w:p>
          <w:p w14:paraId="02BD6DB1" w14:textId="77777777" w:rsidR="00F806A0" w:rsidRPr="00BD3436" w:rsidRDefault="00F806A0" w:rsidP="000D4FFB">
            <w:pPr>
              <w:spacing w:after="120"/>
              <w:rPr>
                <w:i/>
                <w:iCs/>
                <w:sz w:val="16"/>
                <w:szCs w:val="16"/>
                <w:lang w:val="en-GB"/>
              </w:rPr>
            </w:pPr>
          </w:p>
          <w:p w14:paraId="3825D866" w14:textId="77777777" w:rsidR="00F806A0" w:rsidRPr="00BD3436" w:rsidRDefault="00F806A0" w:rsidP="000D4FFB">
            <w:pPr>
              <w:spacing w:after="120"/>
              <w:rPr>
                <w:i/>
                <w:iCs/>
                <w:sz w:val="16"/>
                <w:szCs w:val="16"/>
                <w:lang w:val="en-GB"/>
              </w:rPr>
            </w:pPr>
            <w:r w:rsidRPr="00BD3436">
              <w:rPr>
                <w:i/>
                <w:iCs/>
                <w:sz w:val="16"/>
                <w:szCs w:val="16"/>
                <w:lang w:val="en-GB"/>
              </w:rPr>
              <w:lastRenderedPageBreak/>
              <w:tab/>
            </w:r>
          </w:p>
        </w:tc>
        <w:tc>
          <w:tcPr>
            <w:tcW w:w="624" w:type="pct"/>
            <w:vMerge w:val="restart"/>
            <w:tcBorders>
              <w:top w:val="single" w:sz="4" w:space="0" w:color="auto"/>
              <w:left w:val="single" w:sz="4" w:space="0" w:color="auto"/>
              <w:right w:val="single" w:sz="8" w:space="0" w:color="000000"/>
            </w:tcBorders>
          </w:tcPr>
          <w:p w14:paraId="1EEB8445" w14:textId="6727A62F" w:rsidR="00583150" w:rsidRPr="00BD3436" w:rsidRDefault="00583150" w:rsidP="000D4FFB">
            <w:pPr>
              <w:spacing w:after="120"/>
              <w:rPr>
                <w:bCs/>
                <w:sz w:val="16"/>
                <w:szCs w:val="16"/>
                <w:lang w:val="en-GB"/>
              </w:rPr>
            </w:pPr>
            <w:r w:rsidRPr="00BD3436">
              <w:rPr>
                <w:iCs/>
                <w:sz w:val="16"/>
                <w:szCs w:val="16"/>
                <w:lang w:val="en-GB"/>
              </w:rPr>
              <w:lastRenderedPageBreak/>
              <w:t xml:space="preserve">Single </w:t>
            </w:r>
            <w:r w:rsidR="0020025F" w:rsidRPr="00BD3436">
              <w:rPr>
                <w:iCs/>
                <w:sz w:val="16"/>
                <w:szCs w:val="16"/>
                <w:lang w:val="en-GB"/>
              </w:rPr>
              <w:t>l</w:t>
            </w:r>
            <w:r w:rsidRPr="00BD3436">
              <w:rPr>
                <w:iCs/>
                <w:sz w:val="16"/>
                <w:szCs w:val="16"/>
                <w:lang w:val="en-GB"/>
              </w:rPr>
              <w:t xml:space="preserve">ist of </w:t>
            </w:r>
            <w:r w:rsidR="0020025F" w:rsidRPr="00BD3436">
              <w:rPr>
                <w:iCs/>
                <w:sz w:val="16"/>
                <w:szCs w:val="16"/>
                <w:lang w:val="en-GB"/>
              </w:rPr>
              <w:t>d</w:t>
            </w:r>
            <w:r w:rsidRPr="00BD3436">
              <w:rPr>
                <w:iCs/>
                <w:sz w:val="16"/>
                <w:szCs w:val="16"/>
                <w:lang w:val="en-GB"/>
              </w:rPr>
              <w:t xml:space="preserve">evelopment of </w:t>
            </w:r>
            <w:r w:rsidR="0020025F" w:rsidRPr="00BD3436">
              <w:rPr>
                <w:iCs/>
                <w:sz w:val="16"/>
                <w:szCs w:val="16"/>
                <w:lang w:val="en-GB"/>
              </w:rPr>
              <w:t>r</w:t>
            </w:r>
            <w:r w:rsidRPr="00BD3436">
              <w:rPr>
                <w:iCs/>
                <w:sz w:val="16"/>
                <w:szCs w:val="16"/>
                <w:lang w:val="en-GB"/>
              </w:rPr>
              <w:t xml:space="preserve">egions and </w:t>
            </w:r>
            <w:r w:rsidR="0020025F" w:rsidRPr="00BD3436">
              <w:rPr>
                <w:iCs/>
                <w:sz w:val="16"/>
                <w:szCs w:val="16"/>
                <w:lang w:val="en-GB"/>
              </w:rPr>
              <w:t>l</w:t>
            </w:r>
            <w:r w:rsidRPr="00BD3436">
              <w:rPr>
                <w:iCs/>
                <w:sz w:val="16"/>
                <w:szCs w:val="16"/>
                <w:lang w:val="en-GB"/>
              </w:rPr>
              <w:t xml:space="preserve">ocal </w:t>
            </w:r>
            <w:r w:rsidR="0020025F" w:rsidRPr="00BD3436">
              <w:rPr>
                <w:iCs/>
                <w:sz w:val="16"/>
                <w:szCs w:val="16"/>
                <w:lang w:val="en-GB"/>
              </w:rPr>
              <w:t>s</w:t>
            </w:r>
            <w:r w:rsidRPr="00BD3436">
              <w:rPr>
                <w:iCs/>
                <w:sz w:val="16"/>
                <w:szCs w:val="16"/>
                <w:lang w:val="en-GB"/>
              </w:rPr>
              <w:t>elf</w:t>
            </w:r>
            <w:r w:rsidR="0020025F" w:rsidRPr="00BD3436">
              <w:rPr>
                <w:iCs/>
                <w:sz w:val="16"/>
                <w:szCs w:val="16"/>
                <w:lang w:val="en-GB"/>
              </w:rPr>
              <w:t xml:space="preserve"> g</w:t>
            </w:r>
            <w:r w:rsidRPr="00BD3436">
              <w:rPr>
                <w:iCs/>
                <w:sz w:val="16"/>
                <w:szCs w:val="16"/>
                <w:lang w:val="en-GB"/>
              </w:rPr>
              <w:t>overnments</w:t>
            </w:r>
          </w:p>
          <w:p w14:paraId="4C3E12EC" w14:textId="77777777" w:rsidR="00583150" w:rsidRPr="00BD3436" w:rsidRDefault="00583150" w:rsidP="000D4FFB">
            <w:pPr>
              <w:spacing w:after="120"/>
              <w:rPr>
                <w:bCs/>
                <w:sz w:val="16"/>
                <w:szCs w:val="16"/>
                <w:lang w:val="en-GB"/>
              </w:rPr>
            </w:pPr>
          </w:p>
          <w:p w14:paraId="0468C8FF" w14:textId="77777777" w:rsidR="00583150" w:rsidRPr="00BD3436" w:rsidRDefault="00583150" w:rsidP="00583150">
            <w:pPr>
              <w:spacing w:after="120"/>
              <w:rPr>
                <w:iCs/>
                <w:sz w:val="16"/>
                <w:szCs w:val="16"/>
                <w:lang w:val="en-GB"/>
              </w:rPr>
            </w:pPr>
          </w:p>
          <w:p w14:paraId="42F38945" w14:textId="77777777" w:rsidR="00583150" w:rsidRPr="00BD3436" w:rsidRDefault="00583150" w:rsidP="00583150">
            <w:pPr>
              <w:spacing w:after="120"/>
              <w:rPr>
                <w:iCs/>
                <w:sz w:val="16"/>
                <w:szCs w:val="16"/>
                <w:lang w:val="en-GB"/>
              </w:rPr>
            </w:pPr>
          </w:p>
          <w:p w14:paraId="13E60378" w14:textId="77777777" w:rsidR="00583150" w:rsidRPr="00BD3436" w:rsidRDefault="00583150" w:rsidP="00583150">
            <w:pPr>
              <w:spacing w:after="120"/>
              <w:rPr>
                <w:iCs/>
                <w:sz w:val="16"/>
                <w:szCs w:val="16"/>
                <w:lang w:val="en-GB"/>
              </w:rPr>
            </w:pPr>
          </w:p>
          <w:p w14:paraId="7A1FDF8B" w14:textId="77777777" w:rsidR="00583150" w:rsidRPr="00BD3436" w:rsidRDefault="00583150" w:rsidP="00583150">
            <w:pPr>
              <w:spacing w:after="120"/>
              <w:rPr>
                <w:b/>
                <w:bCs/>
                <w:sz w:val="16"/>
                <w:szCs w:val="16"/>
                <w:lang w:val="en-GB"/>
              </w:rPr>
            </w:pPr>
            <w:r w:rsidRPr="00BD3436">
              <w:rPr>
                <w:iCs/>
                <w:sz w:val="16"/>
                <w:szCs w:val="16"/>
                <w:lang w:val="en-GB"/>
              </w:rPr>
              <w:t xml:space="preserve">World Bank </w:t>
            </w:r>
          </w:p>
          <w:p w14:paraId="33CFC63E" w14:textId="77777777" w:rsidR="00583150" w:rsidRPr="00BD3436" w:rsidRDefault="00583150" w:rsidP="000D4FFB">
            <w:pPr>
              <w:spacing w:after="120"/>
              <w:rPr>
                <w:bCs/>
                <w:sz w:val="16"/>
                <w:szCs w:val="16"/>
                <w:lang w:val="en-GB"/>
              </w:rPr>
            </w:pPr>
          </w:p>
          <w:p w14:paraId="44F4FDFB" w14:textId="77777777" w:rsidR="00583150" w:rsidRPr="00BD3436" w:rsidRDefault="00583150" w:rsidP="00583150">
            <w:pPr>
              <w:spacing w:after="120"/>
              <w:rPr>
                <w:bCs/>
                <w:sz w:val="16"/>
                <w:szCs w:val="16"/>
                <w:lang w:val="en-GB"/>
              </w:rPr>
            </w:pPr>
          </w:p>
          <w:p w14:paraId="05C06EA3" w14:textId="77777777" w:rsidR="00583150" w:rsidRPr="00BD3436" w:rsidRDefault="00583150" w:rsidP="00583150">
            <w:pPr>
              <w:spacing w:after="120"/>
              <w:rPr>
                <w:bCs/>
                <w:sz w:val="16"/>
                <w:szCs w:val="16"/>
                <w:lang w:val="en-GB"/>
              </w:rPr>
            </w:pPr>
          </w:p>
          <w:p w14:paraId="42611EA2" w14:textId="77777777" w:rsidR="00583150" w:rsidRPr="00BD3436" w:rsidRDefault="00583150" w:rsidP="00583150">
            <w:pPr>
              <w:spacing w:after="120"/>
              <w:rPr>
                <w:bCs/>
                <w:sz w:val="16"/>
                <w:szCs w:val="16"/>
                <w:lang w:val="en-GB"/>
              </w:rPr>
            </w:pPr>
            <w:r w:rsidRPr="00BD3436">
              <w:rPr>
                <w:bCs/>
                <w:sz w:val="16"/>
                <w:szCs w:val="16"/>
                <w:lang w:val="en-GB"/>
              </w:rPr>
              <w:t>National Employment Service</w:t>
            </w:r>
          </w:p>
          <w:p w14:paraId="22E10844" w14:textId="77777777" w:rsidR="00583150" w:rsidRPr="00BD3436" w:rsidRDefault="00583150" w:rsidP="000D4FFB">
            <w:pPr>
              <w:spacing w:after="120"/>
              <w:rPr>
                <w:bCs/>
                <w:i/>
                <w:sz w:val="16"/>
                <w:szCs w:val="16"/>
                <w:lang w:val="en-GB"/>
              </w:rPr>
            </w:pPr>
          </w:p>
        </w:tc>
        <w:tc>
          <w:tcPr>
            <w:tcW w:w="2389" w:type="pct"/>
            <w:vMerge w:val="restart"/>
            <w:tcBorders>
              <w:top w:val="single" w:sz="4" w:space="0" w:color="auto"/>
              <w:left w:val="single" w:sz="8" w:space="0" w:color="000000"/>
              <w:right w:val="single" w:sz="8" w:space="0" w:color="000000"/>
            </w:tcBorders>
            <w:tcMar>
              <w:top w:w="72" w:type="dxa"/>
              <w:left w:w="144" w:type="dxa"/>
              <w:bottom w:w="72" w:type="dxa"/>
              <w:right w:w="144" w:type="dxa"/>
            </w:tcMar>
          </w:tcPr>
          <w:p w14:paraId="2E06E342" w14:textId="771F5561" w:rsidR="00F806A0" w:rsidRPr="00BD3436" w:rsidRDefault="00F806A0" w:rsidP="000D4FFB">
            <w:pPr>
              <w:rPr>
                <w:b/>
                <w:iCs/>
                <w:sz w:val="16"/>
                <w:szCs w:val="16"/>
                <w:lang w:val="en-GB"/>
              </w:rPr>
            </w:pPr>
            <w:r w:rsidRPr="00BD3436">
              <w:rPr>
                <w:b/>
                <w:iCs/>
                <w:sz w:val="16"/>
                <w:szCs w:val="16"/>
                <w:lang w:val="en-GB"/>
              </w:rPr>
              <w:t xml:space="preserve">Output 1: </w:t>
            </w:r>
            <w:r w:rsidR="00B31F2F" w:rsidRPr="00BD3436">
              <w:rPr>
                <w:b/>
                <w:iCs/>
                <w:sz w:val="16"/>
                <w:szCs w:val="16"/>
                <w:lang w:val="en-GB"/>
              </w:rPr>
              <w:t>I</w:t>
            </w:r>
            <w:r w:rsidRPr="00BD3436">
              <w:rPr>
                <w:b/>
                <w:iCs/>
                <w:sz w:val="16"/>
                <w:szCs w:val="16"/>
                <w:lang w:val="en-GB"/>
              </w:rPr>
              <w:t>mproved implementation of local development plans and applied sustainable solutions</w:t>
            </w:r>
          </w:p>
          <w:p w14:paraId="59492A8D" w14:textId="77777777" w:rsidR="00F806A0" w:rsidRPr="00BD3436" w:rsidRDefault="00F806A0" w:rsidP="000D4FFB">
            <w:pPr>
              <w:rPr>
                <w:iCs/>
                <w:sz w:val="16"/>
                <w:szCs w:val="16"/>
                <w:lang w:val="en-GB"/>
              </w:rPr>
            </w:pPr>
            <w:r w:rsidRPr="00BD3436">
              <w:rPr>
                <w:iCs/>
                <w:sz w:val="16"/>
                <w:szCs w:val="16"/>
                <w:lang w:val="en-GB"/>
              </w:rPr>
              <w:t xml:space="preserve">Indicator: </w:t>
            </w:r>
            <w:r w:rsidR="00272012" w:rsidRPr="00BD3436">
              <w:rPr>
                <w:iCs/>
                <w:sz w:val="16"/>
                <w:szCs w:val="16"/>
                <w:lang w:val="en-GB"/>
              </w:rPr>
              <w:t>Number</w:t>
            </w:r>
            <w:r w:rsidRPr="00BD3436">
              <w:rPr>
                <w:iCs/>
                <w:sz w:val="16"/>
                <w:szCs w:val="16"/>
                <w:lang w:val="en-GB"/>
              </w:rPr>
              <w:t xml:space="preserve"> of municipalities </w:t>
            </w:r>
            <w:r w:rsidR="00272012" w:rsidRPr="00BD3436">
              <w:rPr>
                <w:iCs/>
                <w:sz w:val="16"/>
                <w:szCs w:val="16"/>
                <w:lang w:val="en-GB"/>
              </w:rPr>
              <w:t>supported to implement economic priorities from local development plans</w:t>
            </w:r>
          </w:p>
          <w:p w14:paraId="66F23950" w14:textId="77777777" w:rsidR="00F806A0" w:rsidRPr="00BD3436" w:rsidRDefault="00F806A0" w:rsidP="000D4FFB">
            <w:pPr>
              <w:rPr>
                <w:iCs/>
                <w:sz w:val="16"/>
                <w:szCs w:val="16"/>
                <w:lang w:val="en-GB"/>
              </w:rPr>
            </w:pPr>
            <w:r w:rsidRPr="00BD3436">
              <w:rPr>
                <w:iCs/>
                <w:sz w:val="16"/>
                <w:szCs w:val="16"/>
                <w:lang w:val="en-GB"/>
              </w:rPr>
              <w:t>Baseline</w:t>
            </w:r>
            <w:r w:rsidR="00272012" w:rsidRPr="00BD3436">
              <w:rPr>
                <w:iCs/>
                <w:sz w:val="16"/>
                <w:szCs w:val="16"/>
                <w:lang w:val="en-GB"/>
              </w:rPr>
              <w:t>: 6</w:t>
            </w:r>
            <w:r w:rsidRPr="00BD3436">
              <w:rPr>
                <w:iCs/>
                <w:sz w:val="16"/>
                <w:szCs w:val="16"/>
                <w:lang w:val="en-GB"/>
              </w:rPr>
              <w:t>; Target</w:t>
            </w:r>
            <w:r w:rsidR="00272012" w:rsidRPr="00BD3436">
              <w:rPr>
                <w:iCs/>
                <w:sz w:val="16"/>
                <w:szCs w:val="16"/>
                <w:lang w:val="en-GB"/>
              </w:rPr>
              <w:t>:</w:t>
            </w:r>
            <w:r w:rsidR="0020025F" w:rsidRPr="00BD3436">
              <w:rPr>
                <w:iCs/>
                <w:sz w:val="16"/>
                <w:szCs w:val="16"/>
                <w:lang w:val="en-GB"/>
              </w:rPr>
              <w:t xml:space="preserve"> </w:t>
            </w:r>
            <w:r w:rsidR="00272012" w:rsidRPr="00BD3436">
              <w:rPr>
                <w:iCs/>
                <w:sz w:val="16"/>
                <w:szCs w:val="16"/>
                <w:lang w:val="en-GB"/>
              </w:rPr>
              <w:t>12</w:t>
            </w:r>
          </w:p>
          <w:p w14:paraId="758DA6F3" w14:textId="77777777" w:rsidR="00F806A0" w:rsidRPr="00BD3436" w:rsidRDefault="00F806A0" w:rsidP="000D4FFB">
            <w:pPr>
              <w:rPr>
                <w:iCs/>
                <w:sz w:val="16"/>
                <w:szCs w:val="16"/>
                <w:lang w:val="en-GB"/>
              </w:rPr>
            </w:pPr>
            <w:r w:rsidRPr="00BD3436">
              <w:rPr>
                <w:iCs/>
                <w:sz w:val="16"/>
                <w:szCs w:val="16"/>
                <w:lang w:val="en-GB"/>
              </w:rPr>
              <w:t>Data source</w:t>
            </w:r>
            <w:r w:rsidR="00272012" w:rsidRPr="00BD3436">
              <w:rPr>
                <w:iCs/>
                <w:sz w:val="16"/>
                <w:szCs w:val="16"/>
                <w:lang w:val="en-GB"/>
              </w:rPr>
              <w:t>: UNDP</w:t>
            </w:r>
            <w:r w:rsidRPr="00BD3436">
              <w:rPr>
                <w:iCs/>
                <w:sz w:val="16"/>
                <w:szCs w:val="16"/>
                <w:lang w:val="en-GB"/>
              </w:rPr>
              <w:t xml:space="preserve"> reports</w:t>
            </w:r>
            <w:r w:rsidR="00272012" w:rsidRPr="00BD3436">
              <w:rPr>
                <w:iCs/>
                <w:sz w:val="16"/>
                <w:szCs w:val="16"/>
                <w:lang w:val="en-GB"/>
              </w:rPr>
              <w:t xml:space="preserve"> </w:t>
            </w:r>
          </w:p>
          <w:p w14:paraId="564A9FE7" w14:textId="77777777" w:rsidR="00F806A0" w:rsidRPr="00BD3436" w:rsidRDefault="00F806A0" w:rsidP="000D4FFB">
            <w:pPr>
              <w:rPr>
                <w:sz w:val="16"/>
                <w:lang w:val="en-GB"/>
              </w:rPr>
            </w:pPr>
          </w:p>
          <w:p w14:paraId="07E542DA" w14:textId="77777777" w:rsidR="00F806A0" w:rsidRPr="00BD3436" w:rsidRDefault="00F806A0" w:rsidP="000D4FFB">
            <w:pPr>
              <w:rPr>
                <w:iCs/>
                <w:sz w:val="16"/>
                <w:szCs w:val="16"/>
                <w:lang w:val="en-GB"/>
              </w:rPr>
            </w:pPr>
            <w:r w:rsidRPr="00BD3436">
              <w:rPr>
                <w:iCs/>
                <w:sz w:val="16"/>
                <w:szCs w:val="16"/>
                <w:lang w:val="en-GB"/>
              </w:rPr>
              <w:t>Indicator:</w:t>
            </w:r>
            <w:r w:rsidRPr="00BD3436">
              <w:rPr>
                <w:lang w:val="en-GB"/>
              </w:rPr>
              <w:t xml:space="preserve"> </w:t>
            </w:r>
            <w:r w:rsidR="00204A6C" w:rsidRPr="00BD3436">
              <w:rPr>
                <w:iCs/>
                <w:sz w:val="16"/>
                <w:szCs w:val="16"/>
                <w:lang w:val="en-GB"/>
              </w:rPr>
              <w:t xml:space="preserve">Number </w:t>
            </w:r>
            <w:r w:rsidRPr="00BD3436">
              <w:rPr>
                <w:iCs/>
                <w:sz w:val="16"/>
                <w:szCs w:val="16"/>
                <w:lang w:val="en-GB"/>
              </w:rPr>
              <w:t>of sectors that integrate biodiversity and ecosystem service values into development policies</w:t>
            </w:r>
          </w:p>
          <w:p w14:paraId="0142682F" w14:textId="77777777" w:rsidR="00F806A0" w:rsidRPr="00BD3436" w:rsidRDefault="00F806A0" w:rsidP="000D4FFB">
            <w:pPr>
              <w:rPr>
                <w:iCs/>
                <w:sz w:val="16"/>
                <w:szCs w:val="16"/>
                <w:lang w:val="en-GB"/>
              </w:rPr>
            </w:pPr>
            <w:r w:rsidRPr="00BD3436">
              <w:rPr>
                <w:iCs/>
                <w:sz w:val="16"/>
                <w:szCs w:val="16"/>
                <w:lang w:val="en-GB"/>
              </w:rPr>
              <w:t>Baseline:</w:t>
            </w:r>
            <w:r w:rsidR="0020025F" w:rsidRPr="00BD3436">
              <w:rPr>
                <w:iCs/>
                <w:sz w:val="16"/>
                <w:szCs w:val="16"/>
                <w:lang w:val="en-GB"/>
              </w:rPr>
              <w:t xml:space="preserve"> </w:t>
            </w:r>
            <w:r w:rsidRPr="00BD3436">
              <w:rPr>
                <w:iCs/>
                <w:sz w:val="16"/>
                <w:szCs w:val="16"/>
                <w:lang w:val="en-GB"/>
              </w:rPr>
              <w:t xml:space="preserve">0; Target: 2 </w:t>
            </w:r>
          </w:p>
          <w:p w14:paraId="6BA39562" w14:textId="77777777" w:rsidR="00F806A0" w:rsidRPr="00BD3436" w:rsidRDefault="00F806A0" w:rsidP="000D4FFB">
            <w:pPr>
              <w:rPr>
                <w:iCs/>
                <w:sz w:val="16"/>
                <w:szCs w:val="16"/>
                <w:lang w:val="en-GB"/>
              </w:rPr>
            </w:pPr>
            <w:r w:rsidRPr="00BD3436">
              <w:rPr>
                <w:iCs/>
                <w:sz w:val="16"/>
                <w:szCs w:val="16"/>
                <w:lang w:val="en-GB"/>
              </w:rPr>
              <w:t>Data source, frequency: Sectoral and development policies and documents (annual), National reports to the U</w:t>
            </w:r>
            <w:r w:rsidR="0020025F" w:rsidRPr="00BD3436">
              <w:rPr>
                <w:iCs/>
                <w:sz w:val="16"/>
                <w:szCs w:val="16"/>
                <w:lang w:val="en-GB"/>
              </w:rPr>
              <w:t xml:space="preserve">nited </w:t>
            </w:r>
            <w:r w:rsidRPr="00BD3436">
              <w:rPr>
                <w:iCs/>
                <w:sz w:val="16"/>
                <w:szCs w:val="16"/>
                <w:lang w:val="en-GB"/>
              </w:rPr>
              <w:t>N</w:t>
            </w:r>
            <w:r w:rsidR="0020025F" w:rsidRPr="00BD3436">
              <w:rPr>
                <w:iCs/>
                <w:sz w:val="16"/>
                <w:szCs w:val="16"/>
                <w:lang w:val="en-GB"/>
              </w:rPr>
              <w:t xml:space="preserve">ations </w:t>
            </w:r>
            <w:r w:rsidRPr="00BD3436">
              <w:rPr>
                <w:iCs/>
                <w:sz w:val="16"/>
                <w:szCs w:val="16"/>
                <w:lang w:val="en-GB"/>
              </w:rPr>
              <w:t>C</w:t>
            </w:r>
            <w:r w:rsidR="0020025F" w:rsidRPr="00BD3436">
              <w:rPr>
                <w:iCs/>
                <w:sz w:val="16"/>
                <w:szCs w:val="16"/>
                <w:lang w:val="en-GB"/>
              </w:rPr>
              <w:t xml:space="preserve">onvention on </w:t>
            </w:r>
            <w:r w:rsidRPr="00BD3436">
              <w:rPr>
                <w:iCs/>
                <w:sz w:val="16"/>
                <w:szCs w:val="16"/>
                <w:lang w:val="en-GB"/>
              </w:rPr>
              <w:t>B</w:t>
            </w:r>
            <w:r w:rsidR="0020025F" w:rsidRPr="00BD3436">
              <w:rPr>
                <w:iCs/>
                <w:sz w:val="16"/>
                <w:szCs w:val="16"/>
                <w:lang w:val="en-GB"/>
              </w:rPr>
              <w:t xml:space="preserve">iological </w:t>
            </w:r>
            <w:r w:rsidRPr="00BD3436">
              <w:rPr>
                <w:iCs/>
                <w:sz w:val="16"/>
                <w:szCs w:val="16"/>
                <w:lang w:val="en-GB"/>
              </w:rPr>
              <w:t>D</w:t>
            </w:r>
            <w:r w:rsidR="0020025F" w:rsidRPr="00BD3436">
              <w:rPr>
                <w:iCs/>
                <w:sz w:val="16"/>
                <w:szCs w:val="16"/>
                <w:lang w:val="en-GB"/>
              </w:rPr>
              <w:t>iversity</w:t>
            </w:r>
            <w:r w:rsidRPr="00BD3436">
              <w:rPr>
                <w:iCs/>
                <w:sz w:val="16"/>
                <w:szCs w:val="16"/>
                <w:lang w:val="en-GB"/>
              </w:rPr>
              <w:t xml:space="preserve"> (biannual)</w:t>
            </w:r>
          </w:p>
          <w:p w14:paraId="7DA6C749" w14:textId="77777777" w:rsidR="00F806A0" w:rsidRPr="00BD3436" w:rsidRDefault="00F806A0" w:rsidP="000D4FFB">
            <w:pPr>
              <w:rPr>
                <w:b/>
                <w:iCs/>
                <w:sz w:val="16"/>
                <w:szCs w:val="16"/>
                <w:lang w:val="en-GB"/>
              </w:rPr>
            </w:pPr>
          </w:p>
          <w:p w14:paraId="02383C7A" w14:textId="77777777" w:rsidR="00F806A0" w:rsidRPr="00BD3436" w:rsidRDefault="00F806A0" w:rsidP="000D4FFB">
            <w:pPr>
              <w:rPr>
                <w:b/>
                <w:iCs/>
                <w:sz w:val="16"/>
                <w:szCs w:val="16"/>
                <w:lang w:val="en-GB"/>
              </w:rPr>
            </w:pPr>
            <w:r w:rsidRPr="00BD3436">
              <w:rPr>
                <w:b/>
                <w:iCs/>
                <w:sz w:val="16"/>
                <w:szCs w:val="16"/>
                <w:lang w:val="en-GB"/>
              </w:rPr>
              <w:t>Output 2:</w:t>
            </w:r>
            <w:r w:rsidRPr="00BD3436">
              <w:rPr>
                <w:iCs/>
                <w:sz w:val="16"/>
                <w:szCs w:val="16"/>
                <w:lang w:val="en-GB"/>
              </w:rPr>
              <w:t xml:space="preserve"> W</w:t>
            </w:r>
            <w:r w:rsidRPr="00BD3436">
              <w:rPr>
                <w:b/>
                <w:iCs/>
                <w:sz w:val="16"/>
                <w:szCs w:val="16"/>
                <w:lang w:val="en-GB"/>
              </w:rPr>
              <w:t>omen and men</w:t>
            </w:r>
            <w:r w:rsidRPr="00BD3436">
              <w:rPr>
                <w:rStyle w:val="FootnoteReference"/>
                <w:b/>
                <w:iCs/>
                <w:sz w:val="16"/>
                <w:szCs w:val="16"/>
                <w:lang w:val="en-GB"/>
              </w:rPr>
              <w:footnoteReference w:id="6"/>
            </w:r>
            <w:r w:rsidRPr="00BD3436">
              <w:rPr>
                <w:b/>
                <w:iCs/>
                <w:sz w:val="16"/>
                <w:szCs w:val="16"/>
                <w:lang w:val="en-GB"/>
              </w:rPr>
              <w:t xml:space="preserve"> in vulnerable situations have greater access to services, training and innovative employment opportunities (including green jobs)</w:t>
            </w:r>
          </w:p>
          <w:p w14:paraId="4274B8A9" w14:textId="081B5132" w:rsidR="00F806A0" w:rsidRPr="00BD3436" w:rsidRDefault="00F806A0" w:rsidP="000D4FFB">
            <w:pPr>
              <w:rPr>
                <w:iCs/>
                <w:sz w:val="16"/>
                <w:szCs w:val="16"/>
                <w:lang w:val="en-GB"/>
              </w:rPr>
            </w:pPr>
            <w:r w:rsidRPr="00BD3436">
              <w:rPr>
                <w:iCs/>
                <w:sz w:val="16"/>
                <w:szCs w:val="16"/>
                <w:lang w:val="en-GB"/>
              </w:rPr>
              <w:t xml:space="preserve">Indicator: </w:t>
            </w:r>
            <w:r w:rsidR="0020025F" w:rsidRPr="00BD3436">
              <w:rPr>
                <w:iCs/>
                <w:sz w:val="16"/>
                <w:szCs w:val="16"/>
                <w:lang w:val="en-GB"/>
              </w:rPr>
              <w:t>Percentage</w:t>
            </w:r>
            <w:r w:rsidRPr="00BD3436">
              <w:rPr>
                <w:iCs/>
                <w:sz w:val="16"/>
                <w:szCs w:val="16"/>
                <w:lang w:val="en-GB"/>
              </w:rPr>
              <w:t xml:space="preserve"> of young people who are not employed and not in education or training </w:t>
            </w:r>
          </w:p>
          <w:p w14:paraId="12DD08E9" w14:textId="77777777" w:rsidR="00F806A0" w:rsidRPr="00BD3436" w:rsidRDefault="00F806A0" w:rsidP="000D4FFB">
            <w:pPr>
              <w:rPr>
                <w:iCs/>
                <w:sz w:val="16"/>
                <w:szCs w:val="16"/>
                <w:lang w:val="en-GB"/>
              </w:rPr>
            </w:pPr>
            <w:r w:rsidRPr="00BD3436">
              <w:rPr>
                <w:iCs/>
                <w:sz w:val="16"/>
                <w:szCs w:val="16"/>
                <w:lang w:val="en-GB"/>
              </w:rPr>
              <w:t>Baseline: 27% (June 2014); Target: 15% (2020)</w:t>
            </w:r>
          </w:p>
          <w:p w14:paraId="44AB9123" w14:textId="7618D741" w:rsidR="00F806A0" w:rsidRPr="00BD3436" w:rsidRDefault="00F806A0" w:rsidP="000D4FFB">
            <w:pPr>
              <w:rPr>
                <w:iCs/>
                <w:sz w:val="16"/>
                <w:szCs w:val="16"/>
                <w:lang w:val="en-GB"/>
              </w:rPr>
            </w:pPr>
            <w:r w:rsidRPr="00BD3436">
              <w:rPr>
                <w:iCs/>
                <w:sz w:val="16"/>
                <w:szCs w:val="16"/>
                <w:lang w:val="en-GB"/>
              </w:rPr>
              <w:t xml:space="preserve">Data source, frequency: Labour </w:t>
            </w:r>
            <w:r w:rsidR="0020025F" w:rsidRPr="00BD3436">
              <w:rPr>
                <w:iCs/>
                <w:sz w:val="16"/>
                <w:szCs w:val="16"/>
                <w:lang w:val="en-GB"/>
              </w:rPr>
              <w:t>f</w:t>
            </w:r>
            <w:r w:rsidRPr="00BD3436">
              <w:rPr>
                <w:iCs/>
                <w:sz w:val="16"/>
                <w:szCs w:val="16"/>
                <w:lang w:val="en-GB"/>
              </w:rPr>
              <w:t xml:space="preserve">orce </w:t>
            </w:r>
            <w:r w:rsidR="0020025F" w:rsidRPr="00BD3436">
              <w:rPr>
                <w:iCs/>
                <w:sz w:val="16"/>
                <w:szCs w:val="16"/>
                <w:lang w:val="en-GB"/>
              </w:rPr>
              <w:t>s</w:t>
            </w:r>
            <w:r w:rsidRPr="00BD3436">
              <w:rPr>
                <w:iCs/>
                <w:sz w:val="16"/>
                <w:szCs w:val="16"/>
                <w:lang w:val="en-GB"/>
              </w:rPr>
              <w:t xml:space="preserve">urvey, </w:t>
            </w:r>
            <w:r w:rsidR="0020025F" w:rsidRPr="00BD3436">
              <w:rPr>
                <w:iCs/>
                <w:sz w:val="16"/>
                <w:szCs w:val="16"/>
                <w:lang w:val="en-GB"/>
              </w:rPr>
              <w:t xml:space="preserve">Statistical Office </w:t>
            </w:r>
            <w:r w:rsidRPr="00BD3436">
              <w:rPr>
                <w:iCs/>
                <w:sz w:val="16"/>
                <w:szCs w:val="16"/>
                <w:lang w:val="en-GB"/>
              </w:rPr>
              <w:t>(semi-annual)</w:t>
            </w:r>
          </w:p>
          <w:p w14:paraId="04EBB1ED" w14:textId="77777777" w:rsidR="00F806A0" w:rsidRPr="00BD3436" w:rsidRDefault="00F806A0" w:rsidP="000D4FFB">
            <w:pPr>
              <w:rPr>
                <w:b/>
                <w:iCs/>
                <w:sz w:val="16"/>
                <w:szCs w:val="16"/>
                <w:lang w:val="en-GB"/>
              </w:rPr>
            </w:pPr>
          </w:p>
          <w:p w14:paraId="61158C24" w14:textId="77777777" w:rsidR="00F806A0" w:rsidRPr="00BD3436" w:rsidRDefault="00F806A0" w:rsidP="000D4FFB">
            <w:pPr>
              <w:rPr>
                <w:b/>
                <w:iCs/>
                <w:sz w:val="16"/>
                <w:szCs w:val="16"/>
                <w:lang w:val="en-GB"/>
              </w:rPr>
            </w:pPr>
            <w:r w:rsidRPr="00BD3436">
              <w:rPr>
                <w:b/>
                <w:iCs/>
                <w:sz w:val="16"/>
                <w:szCs w:val="16"/>
                <w:lang w:val="en-GB"/>
              </w:rPr>
              <w:t>Output 3: Voice and participation of the most vulnerable in policy processes ensured</w:t>
            </w:r>
          </w:p>
          <w:p w14:paraId="12AE2004" w14:textId="77777777" w:rsidR="00F806A0" w:rsidRPr="00BD3436" w:rsidRDefault="00F806A0" w:rsidP="000D4FFB">
            <w:pPr>
              <w:rPr>
                <w:iCs/>
                <w:sz w:val="16"/>
                <w:szCs w:val="16"/>
                <w:lang w:val="en-GB"/>
              </w:rPr>
            </w:pPr>
            <w:r w:rsidRPr="00BD3436">
              <w:rPr>
                <w:iCs/>
                <w:sz w:val="16"/>
                <w:szCs w:val="16"/>
                <w:lang w:val="en-GB"/>
              </w:rPr>
              <w:t xml:space="preserve">Indicator: </w:t>
            </w:r>
            <w:r w:rsidR="00B31F2F" w:rsidRPr="00BD3436">
              <w:rPr>
                <w:iCs/>
                <w:sz w:val="16"/>
                <w:szCs w:val="16"/>
                <w:lang w:val="en-GB"/>
              </w:rPr>
              <w:t xml:space="preserve">Level of participation (Rating scale: 1-no, 2-to some extent, 3-to great extent, 4-yes) </w:t>
            </w:r>
          </w:p>
          <w:p w14:paraId="3D0EF240" w14:textId="77777777" w:rsidR="00F806A0" w:rsidRPr="00BD3436" w:rsidRDefault="00F806A0" w:rsidP="000D4FFB">
            <w:pPr>
              <w:rPr>
                <w:iCs/>
                <w:sz w:val="16"/>
                <w:szCs w:val="16"/>
                <w:lang w:val="en-GB"/>
              </w:rPr>
            </w:pPr>
            <w:r w:rsidRPr="00BD3436">
              <w:rPr>
                <w:iCs/>
                <w:sz w:val="16"/>
                <w:szCs w:val="16"/>
                <w:lang w:val="en-GB"/>
              </w:rPr>
              <w:t xml:space="preserve">Baseline: </w:t>
            </w:r>
            <w:r w:rsidR="00B31F2F" w:rsidRPr="00BD3436">
              <w:rPr>
                <w:iCs/>
                <w:sz w:val="16"/>
                <w:szCs w:val="16"/>
                <w:lang w:val="en-GB"/>
              </w:rPr>
              <w:t>2</w:t>
            </w:r>
          </w:p>
          <w:p w14:paraId="01704EF4" w14:textId="77777777" w:rsidR="00B31F2F" w:rsidRPr="00BD3436" w:rsidRDefault="00B31F2F" w:rsidP="000D4FFB">
            <w:pPr>
              <w:rPr>
                <w:iCs/>
                <w:sz w:val="16"/>
                <w:szCs w:val="16"/>
                <w:lang w:val="en-GB"/>
              </w:rPr>
            </w:pPr>
            <w:r w:rsidRPr="00BD3436">
              <w:rPr>
                <w:iCs/>
                <w:sz w:val="16"/>
                <w:szCs w:val="16"/>
                <w:lang w:val="en-GB"/>
              </w:rPr>
              <w:t>Target: 4</w:t>
            </w:r>
          </w:p>
          <w:p w14:paraId="4C91A7FA" w14:textId="77777777" w:rsidR="00F806A0" w:rsidRPr="00BD3436" w:rsidRDefault="00F806A0" w:rsidP="000D4FFB">
            <w:pPr>
              <w:rPr>
                <w:iCs/>
                <w:sz w:val="16"/>
                <w:szCs w:val="16"/>
                <w:lang w:val="en-GB"/>
              </w:rPr>
            </w:pPr>
            <w:r w:rsidRPr="00BD3436">
              <w:rPr>
                <w:iCs/>
                <w:sz w:val="16"/>
                <w:szCs w:val="16"/>
                <w:lang w:val="en-GB"/>
              </w:rPr>
              <w:lastRenderedPageBreak/>
              <w:t>Data source, frequency: government reports, E</w:t>
            </w:r>
            <w:r w:rsidR="0020025F" w:rsidRPr="00BD3436">
              <w:rPr>
                <w:iCs/>
                <w:sz w:val="16"/>
                <w:szCs w:val="16"/>
                <w:lang w:val="en-GB"/>
              </w:rPr>
              <w:t xml:space="preserve">uropean </w:t>
            </w:r>
            <w:r w:rsidRPr="00BD3436">
              <w:rPr>
                <w:iCs/>
                <w:sz w:val="16"/>
                <w:szCs w:val="16"/>
                <w:lang w:val="en-GB"/>
              </w:rPr>
              <w:t>U</w:t>
            </w:r>
            <w:r w:rsidR="0020025F" w:rsidRPr="00BD3436">
              <w:rPr>
                <w:iCs/>
                <w:sz w:val="16"/>
                <w:szCs w:val="16"/>
                <w:lang w:val="en-GB"/>
              </w:rPr>
              <w:t>nion</w:t>
            </w:r>
            <w:r w:rsidRPr="00BD3436">
              <w:rPr>
                <w:iCs/>
                <w:sz w:val="16"/>
                <w:szCs w:val="16"/>
                <w:lang w:val="en-GB"/>
              </w:rPr>
              <w:t xml:space="preserve"> progress reports</w:t>
            </w:r>
          </w:p>
          <w:p w14:paraId="0AE60AA6" w14:textId="77777777" w:rsidR="00F806A0" w:rsidRPr="00BD3436" w:rsidRDefault="00F806A0" w:rsidP="000D4FFB">
            <w:pPr>
              <w:rPr>
                <w:iCs/>
                <w:sz w:val="16"/>
                <w:szCs w:val="16"/>
                <w:lang w:val="en-GB"/>
              </w:rPr>
            </w:pPr>
          </w:p>
          <w:p w14:paraId="363345AB" w14:textId="77777777" w:rsidR="00F806A0" w:rsidRPr="00BD3436" w:rsidRDefault="00F806A0" w:rsidP="000D4FFB">
            <w:pPr>
              <w:rPr>
                <w:iCs/>
                <w:sz w:val="16"/>
                <w:szCs w:val="16"/>
                <w:lang w:val="en-GB"/>
              </w:rPr>
            </w:pPr>
            <w:r w:rsidRPr="00BD3436">
              <w:rPr>
                <w:iCs/>
                <w:sz w:val="16"/>
                <w:szCs w:val="16"/>
                <w:lang w:val="en-GB"/>
              </w:rPr>
              <w:t>Indicator:</w:t>
            </w:r>
            <w:r w:rsidRPr="00BD3436">
              <w:rPr>
                <w:lang w:val="en-GB"/>
              </w:rPr>
              <w:t xml:space="preserve"> </w:t>
            </w:r>
            <w:r w:rsidR="00867D59" w:rsidRPr="00BD3436">
              <w:rPr>
                <w:iCs/>
                <w:sz w:val="16"/>
                <w:szCs w:val="16"/>
                <w:lang w:val="en-GB"/>
              </w:rPr>
              <w:t xml:space="preserve">Inclusion of </w:t>
            </w:r>
            <w:r w:rsidRPr="00BD3436">
              <w:rPr>
                <w:iCs/>
                <w:sz w:val="16"/>
                <w:szCs w:val="16"/>
                <w:lang w:val="en-GB"/>
              </w:rPr>
              <w:t xml:space="preserve">Roma </w:t>
            </w:r>
            <w:r w:rsidR="00867D59" w:rsidRPr="00BD3436">
              <w:rPr>
                <w:iCs/>
                <w:sz w:val="16"/>
                <w:szCs w:val="16"/>
                <w:lang w:val="en-GB"/>
              </w:rPr>
              <w:t xml:space="preserve">issues in social </w:t>
            </w:r>
            <w:r w:rsidRPr="00BD3436">
              <w:rPr>
                <w:iCs/>
                <w:sz w:val="16"/>
                <w:szCs w:val="16"/>
                <w:lang w:val="en-GB"/>
              </w:rPr>
              <w:t xml:space="preserve">inclusion policies </w:t>
            </w:r>
            <w:r w:rsidR="00B31F2F" w:rsidRPr="00BD3436">
              <w:rPr>
                <w:iCs/>
                <w:sz w:val="16"/>
                <w:szCs w:val="16"/>
                <w:lang w:val="en-GB"/>
              </w:rPr>
              <w:t>(Rating scale: 1-no, 2-to some extent, 3-to great extent, 4-yes)</w:t>
            </w:r>
          </w:p>
          <w:p w14:paraId="68046FE9" w14:textId="77777777" w:rsidR="00F806A0" w:rsidRPr="00BD3436" w:rsidRDefault="00704318" w:rsidP="000D4FFB">
            <w:pPr>
              <w:rPr>
                <w:iCs/>
                <w:sz w:val="16"/>
                <w:szCs w:val="16"/>
                <w:lang w:val="en-GB"/>
              </w:rPr>
            </w:pPr>
            <w:r w:rsidRPr="00BD3436">
              <w:rPr>
                <w:iCs/>
                <w:sz w:val="16"/>
                <w:szCs w:val="16"/>
                <w:lang w:val="en-GB"/>
              </w:rPr>
              <w:t xml:space="preserve">Baseline: </w:t>
            </w:r>
            <w:r w:rsidR="00B31F2F" w:rsidRPr="00BD3436">
              <w:rPr>
                <w:iCs/>
                <w:sz w:val="16"/>
                <w:szCs w:val="16"/>
                <w:lang w:val="en-GB"/>
              </w:rPr>
              <w:t>1</w:t>
            </w:r>
            <w:r w:rsidR="00F806A0" w:rsidRPr="00BD3436">
              <w:rPr>
                <w:iCs/>
                <w:sz w:val="16"/>
                <w:szCs w:val="16"/>
                <w:lang w:val="en-GB"/>
              </w:rPr>
              <w:t xml:space="preserve"> </w:t>
            </w:r>
          </w:p>
          <w:p w14:paraId="0D461FBB" w14:textId="77777777" w:rsidR="00F806A0" w:rsidRPr="00BD3436" w:rsidRDefault="00704318" w:rsidP="000D4FFB">
            <w:pPr>
              <w:rPr>
                <w:sz w:val="16"/>
                <w:lang w:val="en-GB"/>
              </w:rPr>
            </w:pPr>
            <w:r w:rsidRPr="00BD3436">
              <w:rPr>
                <w:iCs/>
                <w:sz w:val="16"/>
                <w:szCs w:val="16"/>
                <w:lang w:val="en-GB"/>
              </w:rPr>
              <w:t>Target:</w:t>
            </w:r>
            <w:r w:rsidR="00867D59" w:rsidRPr="00BD3436">
              <w:rPr>
                <w:iCs/>
                <w:sz w:val="16"/>
                <w:szCs w:val="16"/>
                <w:lang w:val="en-GB"/>
              </w:rPr>
              <w:t xml:space="preserve"> </w:t>
            </w:r>
            <w:r w:rsidR="00B31F2F" w:rsidRPr="00BD3436">
              <w:rPr>
                <w:iCs/>
                <w:sz w:val="16"/>
                <w:szCs w:val="16"/>
                <w:lang w:val="en-GB"/>
              </w:rPr>
              <w:t>3</w:t>
            </w:r>
          </w:p>
          <w:p w14:paraId="563BF37E" w14:textId="77777777" w:rsidR="00F806A0" w:rsidRPr="00BD3436" w:rsidRDefault="00F806A0" w:rsidP="000D4FFB">
            <w:pPr>
              <w:rPr>
                <w:iCs/>
                <w:sz w:val="16"/>
                <w:szCs w:val="16"/>
                <w:lang w:val="en-GB"/>
              </w:rPr>
            </w:pPr>
            <w:r w:rsidRPr="00BD3436">
              <w:rPr>
                <w:iCs/>
                <w:sz w:val="16"/>
                <w:szCs w:val="16"/>
                <w:lang w:val="en-GB"/>
              </w:rPr>
              <w:t>Data source, frequency: UNDP reports (annual)</w:t>
            </w:r>
          </w:p>
        </w:tc>
        <w:tc>
          <w:tcPr>
            <w:tcW w:w="674" w:type="pct"/>
            <w:tcBorders>
              <w:top w:val="single" w:sz="4" w:space="0" w:color="auto"/>
              <w:left w:val="single" w:sz="8" w:space="0" w:color="000000"/>
              <w:right w:val="single" w:sz="8" w:space="0" w:color="000000"/>
            </w:tcBorders>
          </w:tcPr>
          <w:p w14:paraId="54F90935" w14:textId="77777777" w:rsidR="00F806A0" w:rsidRPr="00BD3436" w:rsidRDefault="00F806A0" w:rsidP="000D4FFB">
            <w:pPr>
              <w:rPr>
                <w:iCs/>
                <w:sz w:val="16"/>
                <w:szCs w:val="16"/>
                <w:lang w:val="en-GB"/>
              </w:rPr>
            </w:pPr>
          </w:p>
        </w:tc>
        <w:tc>
          <w:tcPr>
            <w:tcW w:w="486"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70E30753" w14:textId="77777777" w:rsidR="00F806A0" w:rsidRPr="00BD3436" w:rsidRDefault="00F806A0" w:rsidP="000D4FFB">
            <w:pPr>
              <w:rPr>
                <w:b/>
                <w:sz w:val="16"/>
                <w:szCs w:val="16"/>
                <w:lang w:val="en-GB"/>
              </w:rPr>
            </w:pPr>
            <w:r w:rsidRPr="00BD3436">
              <w:rPr>
                <w:b/>
                <w:sz w:val="16"/>
                <w:szCs w:val="16"/>
                <w:lang w:val="en-GB"/>
              </w:rPr>
              <w:t>Regular: 700,000.00</w:t>
            </w:r>
          </w:p>
        </w:tc>
      </w:tr>
      <w:tr w:rsidR="00F806A0" w:rsidRPr="00BD3436" w14:paraId="48713180" w14:textId="77777777" w:rsidTr="004303A7">
        <w:trPr>
          <w:trHeight w:val="461"/>
        </w:trPr>
        <w:tc>
          <w:tcPr>
            <w:tcW w:w="827" w:type="pct"/>
            <w:vMerge/>
            <w:tcBorders>
              <w:left w:val="single" w:sz="8" w:space="0" w:color="000000"/>
              <w:bottom w:val="single" w:sz="4" w:space="0" w:color="auto"/>
              <w:right w:val="single" w:sz="4" w:space="0" w:color="auto"/>
            </w:tcBorders>
            <w:tcMar>
              <w:top w:w="72" w:type="dxa"/>
              <w:left w:w="144" w:type="dxa"/>
              <w:bottom w:w="72" w:type="dxa"/>
              <w:right w:w="144" w:type="dxa"/>
            </w:tcMar>
          </w:tcPr>
          <w:p w14:paraId="2EB78296" w14:textId="77777777" w:rsidR="00F806A0" w:rsidRPr="00BD3436" w:rsidRDefault="00F806A0" w:rsidP="000D4FFB">
            <w:pPr>
              <w:rPr>
                <w:i/>
                <w:iCs/>
                <w:sz w:val="16"/>
                <w:szCs w:val="16"/>
                <w:lang w:val="en-GB"/>
              </w:rPr>
            </w:pPr>
          </w:p>
        </w:tc>
        <w:tc>
          <w:tcPr>
            <w:tcW w:w="624" w:type="pct"/>
            <w:vMerge/>
            <w:tcBorders>
              <w:left w:val="single" w:sz="4" w:space="0" w:color="auto"/>
              <w:bottom w:val="single" w:sz="4" w:space="0" w:color="auto"/>
              <w:right w:val="single" w:sz="8" w:space="0" w:color="000000"/>
            </w:tcBorders>
          </w:tcPr>
          <w:p w14:paraId="51198437" w14:textId="77777777" w:rsidR="00F806A0" w:rsidRPr="00BD3436" w:rsidRDefault="00F806A0" w:rsidP="000D4FFB">
            <w:pPr>
              <w:rPr>
                <w:i/>
                <w:iCs/>
                <w:sz w:val="16"/>
                <w:szCs w:val="16"/>
                <w:lang w:val="en-GB"/>
              </w:rPr>
            </w:pPr>
          </w:p>
        </w:tc>
        <w:tc>
          <w:tcPr>
            <w:tcW w:w="2389" w:type="pct"/>
            <w:vMerge/>
            <w:tcBorders>
              <w:left w:val="single" w:sz="8" w:space="0" w:color="000000"/>
              <w:bottom w:val="single" w:sz="4" w:space="0" w:color="auto"/>
              <w:right w:val="single" w:sz="8" w:space="0" w:color="000000"/>
            </w:tcBorders>
            <w:tcMar>
              <w:top w:w="72" w:type="dxa"/>
              <w:left w:w="144" w:type="dxa"/>
              <w:bottom w:w="72" w:type="dxa"/>
              <w:right w:w="144" w:type="dxa"/>
            </w:tcMar>
          </w:tcPr>
          <w:p w14:paraId="5AF21602" w14:textId="77777777" w:rsidR="00F806A0" w:rsidRPr="00BD3436" w:rsidRDefault="00F806A0" w:rsidP="000D4FFB">
            <w:pPr>
              <w:rPr>
                <w:i/>
                <w:iCs/>
                <w:sz w:val="16"/>
                <w:szCs w:val="16"/>
                <w:lang w:val="en-GB"/>
              </w:rPr>
            </w:pPr>
          </w:p>
        </w:tc>
        <w:tc>
          <w:tcPr>
            <w:tcW w:w="674" w:type="pct"/>
            <w:tcBorders>
              <w:left w:val="single" w:sz="8" w:space="0" w:color="000000"/>
              <w:bottom w:val="single" w:sz="4" w:space="0" w:color="auto"/>
              <w:right w:val="single" w:sz="8" w:space="0" w:color="000000"/>
            </w:tcBorders>
          </w:tcPr>
          <w:p w14:paraId="14433760" w14:textId="77777777" w:rsidR="00F806A0" w:rsidRPr="00BD3436" w:rsidRDefault="00F806A0" w:rsidP="000D4FFB">
            <w:pPr>
              <w:rPr>
                <w:iCs/>
                <w:sz w:val="16"/>
                <w:szCs w:val="16"/>
                <w:lang w:val="en-GB"/>
              </w:rPr>
            </w:pPr>
            <w:r w:rsidRPr="00BD3436">
              <w:rPr>
                <w:iCs/>
                <w:sz w:val="16"/>
                <w:szCs w:val="16"/>
                <w:lang w:val="en-GB"/>
              </w:rPr>
              <w:t>Ministry of Labour, Employment, Veteran and Social Affairs</w:t>
            </w:r>
          </w:p>
          <w:p w14:paraId="71B01FE2" w14:textId="77777777" w:rsidR="00F806A0" w:rsidRPr="00BD3436" w:rsidRDefault="00F806A0" w:rsidP="000D4FFB">
            <w:pPr>
              <w:rPr>
                <w:iCs/>
                <w:sz w:val="16"/>
                <w:szCs w:val="16"/>
                <w:lang w:val="en-GB"/>
              </w:rPr>
            </w:pPr>
          </w:p>
          <w:p w14:paraId="0CC42248" w14:textId="77777777" w:rsidR="00F806A0" w:rsidRPr="00BD3436" w:rsidRDefault="00F806A0" w:rsidP="000D4FFB">
            <w:pPr>
              <w:rPr>
                <w:iCs/>
                <w:sz w:val="16"/>
                <w:szCs w:val="16"/>
                <w:lang w:val="en-GB"/>
              </w:rPr>
            </w:pPr>
            <w:r w:rsidRPr="00BD3436">
              <w:rPr>
                <w:iCs/>
                <w:sz w:val="16"/>
                <w:szCs w:val="16"/>
                <w:lang w:val="en-GB"/>
              </w:rPr>
              <w:t>National Employment Service</w:t>
            </w:r>
          </w:p>
          <w:p w14:paraId="5B63DD53" w14:textId="77777777" w:rsidR="00F806A0" w:rsidRPr="00BD3436" w:rsidRDefault="00F806A0" w:rsidP="000D4FFB">
            <w:pPr>
              <w:rPr>
                <w:iCs/>
                <w:sz w:val="16"/>
                <w:szCs w:val="16"/>
                <w:lang w:val="en-GB"/>
              </w:rPr>
            </w:pPr>
          </w:p>
          <w:p w14:paraId="212EA9B2" w14:textId="77777777" w:rsidR="00F806A0" w:rsidRPr="00BD3436" w:rsidRDefault="00F806A0" w:rsidP="000D4FFB">
            <w:pPr>
              <w:rPr>
                <w:iCs/>
                <w:sz w:val="16"/>
                <w:szCs w:val="16"/>
                <w:lang w:val="en-GB"/>
              </w:rPr>
            </w:pPr>
            <w:r w:rsidRPr="00BD3436">
              <w:rPr>
                <w:iCs/>
                <w:sz w:val="16"/>
                <w:szCs w:val="16"/>
                <w:lang w:val="en-GB"/>
              </w:rPr>
              <w:t>Office for Human and Minority Rights, ILO</w:t>
            </w:r>
          </w:p>
          <w:p w14:paraId="1630E4C3" w14:textId="77777777" w:rsidR="00F806A0" w:rsidRPr="00BD3436" w:rsidRDefault="00F806A0" w:rsidP="000D4FFB">
            <w:pPr>
              <w:rPr>
                <w:iCs/>
                <w:sz w:val="16"/>
                <w:szCs w:val="16"/>
                <w:lang w:val="en-GB"/>
              </w:rPr>
            </w:pPr>
          </w:p>
          <w:p w14:paraId="6CC4D12C" w14:textId="3206C902" w:rsidR="00F806A0" w:rsidRPr="00BD3436" w:rsidRDefault="00F806A0" w:rsidP="000D4FFB">
            <w:pPr>
              <w:rPr>
                <w:iCs/>
                <w:sz w:val="16"/>
                <w:szCs w:val="16"/>
                <w:lang w:val="en-GB"/>
              </w:rPr>
            </w:pPr>
            <w:r w:rsidRPr="00BD3436">
              <w:rPr>
                <w:iCs/>
                <w:sz w:val="16"/>
                <w:szCs w:val="16"/>
                <w:lang w:val="en-GB"/>
              </w:rPr>
              <w:t>S</w:t>
            </w:r>
            <w:r w:rsidR="0020025F" w:rsidRPr="00BD3436">
              <w:rPr>
                <w:iCs/>
                <w:sz w:val="16"/>
                <w:szCs w:val="16"/>
                <w:lang w:val="en-GB"/>
              </w:rPr>
              <w:t>ocial Inclusion and Poverty Reduction Unit</w:t>
            </w:r>
          </w:p>
          <w:p w14:paraId="55997800" w14:textId="77777777" w:rsidR="00F806A0" w:rsidRPr="00BD3436" w:rsidRDefault="00F806A0" w:rsidP="000D4FFB">
            <w:pPr>
              <w:rPr>
                <w:iCs/>
                <w:sz w:val="16"/>
                <w:szCs w:val="16"/>
                <w:lang w:val="en-GB"/>
              </w:rPr>
            </w:pPr>
          </w:p>
          <w:p w14:paraId="7B9D6AF1" w14:textId="77777777" w:rsidR="00F806A0" w:rsidRPr="00BD3436" w:rsidRDefault="00F806A0" w:rsidP="000D4FFB">
            <w:pPr>
              <w:rPr>
                <w:iCs/>
                <w:sz w:val="16"/>
                <w:szCs w:val="16"/>
                <w:lang w:val="en-GB"/>
              </w:rPr>
            </w:pPr>
            <w:r w:rsidRPr="00BD3436">
              <w:rPr>
                <w:iCs/>
                <w:sz w:val="16"/>
                <w:szCs w:val="16"/>
                <w:lang w:val="en-GB"/>
              </w:rPr>
              <w:t>Local self-governments</w:t>
            </w:r>
          </w:p>
          <w:p w14:paraId="611CA2AC" w14:textId="77777777" w:rsidR="00F806A0" w:rsidRPr="00BD3436" w:rsidRDefault="00F806A0" w:rsidP="000D4FFB">
            <w:pPr>
              <w:rPr>
                <w:iCs/>
                <w:sz w:val="16"/>
                <w:szCs w:val="16"/>
                <w:lang w:val="en-GB"/>
              </w:rPr>
            </w:pPr>
          </w:p>
          <w:p w14:paraId="22999BE5" w14:textId="77777777" w:rsidR="00F806A0" w:rsidRPr="00BD3436" w:rsidRDefault="00F806A0" w:rsidP="000D4FFB">
            <w:pPr>
              <w:rPr>
                <w:iCs/>
                <w:sz w:val="16"/>
                <w:szCs w:val="16"/>
                <w:lang w:val="en-GB"/>
              </w:rPr>
            </w:pPr>
            <w:r w:rsidRPr="00BD3436">
              <w:rPr>
                <w:iCs/>
                <w:sz w:val="16"/>
                <w:szCs w:val="16"/>
                <w:lang w:val="en-GB"/>
              </w:rPr>
              <w:t>CSOs</w:t>
            </w:r>
          </w:p>
          <w:p w14:paraId="79FE59E2" w14:textId="495A16E3" w:rsidR="00F806A0" w:rsidRPr="00BD3436" w:rsidRDefault="00F806A0" w:rsidP="000D4FFB">
            <w:pPr>
              <w:rPr>
                <w:iCs/>
                <w:sz w:val="16"/>
                <w:szCs w:val="16"/>
                <w:lang w:val="en-GB"/>
              </w:rPr>
            </w:pPr>
            <w:r w:rsidRPr="00BD3436">
              <w:rPr>
                <w:iCs/>
                <w:sz w:val="16"/>
                <w:szCs w:val="16"/>
                <w:lang w:val="en-GB"/>
              </w:rPr>
              <w:t>I</w:t>
            </w:r>
            <w:r w:rsidR="0020025F" w:rsidRPr="00BD3436">
              <w:rPr>
                <w:iCs/>
                <w:sz w:val="16"/>
                <w:szCs w:val="16"/>
                <w:lang w:val="en-GB"/>
              </w:rPr>
              <w:t>nternational Organization for Migration</w:t>
            </w:r>
          </w:p>
        </w:tc>
        <w:tc>
          <w:tcPr>
            <w:tcW w:w="486" w:type="pct"/>
            <w:tcBorders>
              <w:top w:val="single" w:sz="4" w:space="0" w:color="auto"/>
              <w:left w:val="single" w:sz="8" w:space="0" w:color="000000"/>
              <w:bottom w:val="single" w:sz="4" w:space="0" w:color="auto"/>
              <w:right w:val="single" w:sz="8" w:space="0" w:color="000000"/>
            </w:tcBorders>
            <w:tcMar>
              <w:top w:w="15" w:type="dxa"/>
              <w:left w:w="108" w:type="dxa"/>
              <w:bottom w:w="0" w:type="dxa"/>
              <w:right w:w="108" w:type="dxa"/>
            </w:tcMar>
          </w:tcPr>
          <w:p w14:paraId="2DCB2E0F" w14:textId="77777777" w:rsidR="00F806A0" w:rsidRPr="00BD3436" w:rsidRDefault="00F806A0" w:rsidP="000D4FFB">
            <w:pPr>
              <w:rPr>
                <w:b/>
                <w:sz w:val="16"/>
                <w:szCs w:val="16"/>
                <w:lang w:val="en-GB"/>
              </w:rPr>
            </w:pPr>
            <w:r w:rsidRPr="00BD3436">
              <w:rPr>
                <w:b/>
                <w:sz w:val="16"/>
                <w:szCs w:val="16"/>
                <w:lang w:val="en-GB"/>
              </w:rPr>
              <w:t>Other: 25,885,000.00</w:t>
            </w:r>
          </w:p>
          <w:p w14:paraId="66B2D222" w14:textId="77777777" w:rsidR="00F806A0" w:rsidRPr="00BD3436" w:rsidRDefault="00F806A0" w:rsidP="000D4FFB">
            <w:pPr>
              <w:rPr>
                <w:b/>
                <w:sz w:val="16"/>
                <w:szCs w:val="16"/>
                <w:lang w:val="en-GB"/>
              </w:rPr>
            </w:pPr>
          </w:p>
          <w:p w14:paraId="753456A3" w14:textId="77777777" w:rsidR="00F806A0" w:rsidRPr="00BD3436" w:rsidRDefault="00F806A0" w:rsidP="000D4FFB">
            <w:pPr>
              <w:rPr>
                <w:b/>
                <w:sz w:val="16"/>
                <w:szCs w:val="16"/>
                <w:lang w:val="en-GB"/>
              </w:rPr>
            </w:pPr>
          </w:p>
          <w:p w14:paraId="73ECA7D1" w14:textId="77777777" w:rsidR="00F806A0" w:rsidRPr="00BD3436" w:rsidRDefault="00F806A0" w:rsidP="000D4FFB">
            <w:pPr>
              <w:rPr>
                <w:b/>
                <w:sz w:val="16"/>
                <w:szCs w:val="16"/>
                <w:lang w:val="en-GB"/>
              </w:rPr>
            </w:pPr>
          </w:p>
          <w:p w14:paraId="58EEFFD3" w14:textId="77777777" w:rsidR="00F806A0" w:rsidRPr="00BD3436" w:rsidRDefault="00F806A0" w:rsidP="000D4FFB">
            <w:pPr>
              <w:rPr>
                <w:b/>
                <w:sz w:val="16"/>
                <w:szCs w:val="16"/>
                <w:lang w:val="en-GB"/>
              </w:rPr>
            </w:pPr>
          </w:p>
          <w:p w14:paraId="63D92814" w14:textId="77777777" w:rsidR="00F806A0" w:rsidRPr="00BD3436" w:rsidRDefault="00F806A0" w:rsidP="000D4FFB">
            <w:pPr>
              <w:rPr>
                <w:b/>
                <w:sz w:val="16"/>
                <w:szCs w:val="16"/>
                <w:lang w:val="en-GB"/>
              </w:rPr>
            </w:pPr>
          </w:p>
          <w:p w14:paraId="1CE36CB9" w14:textId="77777777" w:rsidR="00F806A0" w:rsidRPr="00BD3436" w:rsidRDefault="00F806A0" w:rsidP="000D4FFB">
            <w:pPr>
              <w:rPr>
                <w:b/>
                <w:sz w:val="16"/>
                <w:szCs w:val="16"/>
                <w:lang w:val="en-GB"/>
              </w:rPr>
            </w:pPr>
          </w:p>
          <w:p w14:paraId="5BCEA66F" w14:textId="77777777" w:rsidR="00F806A0" w:rsidRPr="00BD3436" w:rsidRDefault="00F806A0" w:rsidP="000D4FFB">
            <w:pPr>
              <w:rPr>
                <w:b/>
                <w:sz w:val="16"/>
                <w:szCs w:val="16"/>
                <w:lang w:val="en-GB"/>
              </w:rPr>
            </w:pPr>
          </w:p>
          <w:p w14:paraId="21D3D721" w14:textId="77777777" w:rsidR="00F806A0" w:rsidRPr="00BD3436" w:rsidRDefault="00F806A0" w:rsidP="000D4FFB">
            <w:pPr>
              <w:rPr>
                <w:b/>
                <w:sz w:val="16"/>
                <w:szCs w:val="16"/>
                <w:lang w:val="en-GB"/>
              </w:rPr>
            </w:pPr>
          </w:p>
          <w:p w14:paraId="56F0C88E" w14:textId="77777777" w:rsidR="00F806A0" w:rsidRPr="00BD3436" w:rsidRDefault="00F806A0" w:rsidP="000D4FFB">
            <w:pPr>
              <w:rPr>
                <w:b/>
                <w:sz w:val="16"/>
                <w:szCs w:val="16"/>
                <w:lang w:val="en-GB"/>
              </w:rPr>
            </w:pPr>
          </w:p>
          <w:p w14:paraId="6E4AD8EF" w14:textId="77777777" w:rsidR="00F806A0" w:rsidRPr="00BD3436" w:rsidRDefault="00F806A0" w:rsidP="000D4FFB">
            <w:pPr>
              <w:rPr>
                <w:b/>
                <w:sz w:val="16"/>
                <w:szCs w:val="16"/>
                <w:lang w:val="en-GB"/>
              </w:rPr>
            </w:pPr>
          </w:p>
        </w:tc>
      </w:tr>
      <w:tr w:rsidR="00F806A0" w:rsidRPr="00BD3436" w14:paraId="368F0C93" w14:textId="77777777" w:rsidTr="004303A7">
        <w:trPr>
          <w:trHeight w:val="124"/>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984CBE6" w14:textId="5D22A410" w:rsidR="00F806A0" w:rsidRPr="00BD3436" w:rsidRDefault="00F806A0" w:rsidP="000D4FFB">
            <w:pPr>
              <w:rPr>
                <w:b/>
                <w:bCs/>
                <w:sz w:val="16"/>
                <w:szCs w:val="16"/>
                <w:lang w:val="en-GB"/>
              </w:rPr>
            </w:pPr>
            <w:r w:rsidRPr="00BD3436">
              <w:rPr>
                <w:b/>
                <w:bCs/>
                <w:sz w:val="16"/>
                <w:szCs w:val="16"/>
                <w:lang w:val="en-GB"/>
              </w:rPr>
              <w:lastRenderedPageBreak/>
              <w:t xml:space="preserve">NATIONAL PRIORITY OR GOAL: </w:t>
            </w:r>
            <w:r w:rsidR="0020025F" w:rsidRPr="00BD3436">
              <w:rPr>
                <w:b/>
                <w:bCs/>
                <w:iCs/>
                <w:sz w:val="16"/>
                <w:szCs w:val="16"/>
                <w:lang w:val="en-GB"/>
              </w:rPr>
              <w:t>National Priorities for International Assistance (NAD)</w:t>
            </w:r>
            <w:r w:rsidRPr="00BD3436">
              <w:rPr>
                <w:bCs/>
                <w:iCs/>
                <w:sz w:val="16"/>
                <w:szCs w:val="16"/>
                <w:lang w:val="en-GB"/>
              </w:rPr>
              <w:t xml:space="preserve">: Create and strengthen policy, regulatory, financing and monitoring mechanisms for ensuring sustainable development, including awareness raising in regard to environmental issues; </w:t>
            </w:r>
            <w:r w:rsidR="0020025F" w:rsidRPr="00BD3436">
              <w:rPr>
                <w:bCs/>
                <w:iCs/>
                <w:sz w:val="16"/>
                <w:szCs w:val="16"/>
                <w:lang w:val="en-GB"/>
              </w:rPr>
              <w:t>s</w:t>
            </w:r>
            <w:r w:rsidRPr="00BD3436">
              <w:rPr>
                <w:bCs/>
                <w:iCs/>
                <w:sz w:val="16"/>
                <w:szCs w:val="16"/>
                <w:lang w:val="en-GB"/>
              </w:rPr>
              <w:t xml:space="preserve">upport climate change adaptation, mitigation and risk prevention; </w:t>
            </w:r>
            <w:r w:rsidR="0020025F" w:rsidRPr="00BD3436">
              <w:rPr>
                <w:bCs/>
                <w:iCs/>
                <w:sz w:val="16"/>
                <w:szCs w:val="16"/>
                <w:lang w:val="en-GB"/>
              </w:rPr>
              <w:t>e</w:t>
            </w:r>
            <w:r w:rsidRPr="00BD3436">
              <w:rPr>
                <w:bCs/>
                <w:iCs/>
                <w:sz w:val="16"/>
                <w:szCs w:val="16"/>
                <w:lang w:val="en-GB"/>
              </w:rPr>
              <w:t>nsur</w:t>
            </w:r>
            <w:r w:rsidR="0020025F" w:rsidRPr="00BD3436">
              <w:rPr>
                <w:bCs/>
                <w:iCs/>
                <w:sz w:val="16"/>
                <w:szCs w:val="16"/>
                <w:lang w:val="en-GB"/>
              </w:rPr>
              <w:t>e</w:t>
            </w:r>
            <w:r w:rsidRPr="00BD3436">
              <w:rPr>
                <w:bCs/>
                <w:iCs/>
                <w:sz w:val="16"/>
                <w:szCs w:val="16"/>
                <w:lang w:val="en-GB"/>
              </w:rPr>
              <w:t xml:space="preserve"> environmental sustainability through sound management of natural resources and reduction of pollution</w:t>
            </w:r>
            <w:r w:rsidR="0020025F" w:rsidRPr="00BD3436">
              <w:rPr>
                <w:bCs/>
                <w:iCs/>
                <w:sz w:val="16"/>
                <w:szCs w:val="16"/>
                <w:lang w:val="en-GB"/>
              </w:rPr>
              <w:t>.</w:t>
            </w:r>
          </w:p>
        </w:tc>
      </w:tr>
      <w:tr w:rsidR="00F806A0" w:rsidRPr="00BD3436" w14:paraId="1FCE6C57" w14:textId="77777777" w:rsidTr="004303A7">
        <w:trPr>
          <w:trHeight w:val="124"/>
        </w:trPr>
        <w:tc>
          <w:tcPr>
            <w:tcW w:w="5000" w:type="pct"/>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8E22AF6" w14:textId="71509632" w:rsidR="00F806A0" w:rsidRPr="00BD3436" w:rsidRDefault="00F806A0" w:rsidP="000D4FFB">
            <w:pPr>
              <w:rPr>
                <w:b/>
                <w:sz w:val="18"/>
                <w:szCs w:val="18"/>
                <w:lang w:val="en-GB"/>
              </w:rPr>
            </w:pPr>
            <w:r w:rsidRPr="00BD3436">
              <w:rPr>
                <w:b/>
                <w:bCs/>
                <w:sz w:val="16"/>
                <w:szCs w:val="16"/>
                <w:lang w:val="en-GB"/>
              </w:rPr>
              <w:t>UNDAF OUTCOME INVOLVING UNDP:</w:t>
            </w:r>
            <w:r w:rsidRPr="00BD3436">
              <w:rPr>
                <w:sz w:val="16"/>
                <w:szCs w:val="16"/>
                <w:lang w:val="en-GB"/>
              </w:rPr>
              <w:t xml:space="preserve"> </w:t>
            </w:r>
            <w:r w:rsidRPr="00BD3436">
              <w:rPr>
                <w:bCs/>
                <w:sz w:val="16"/>
                <w:szCs w:val="16"/>
                <w:lang w:val="en-GB"/>
              </w:rPr>
              <w:t>By 2020, there are improved capacities to combat climate change and manage natural resources</w:t>
            </w:r>
            <w:r w:rsidR="0020025F" w:rsidRPr="00BD3436">
              <w:rPr>
                <w:bCs/>
                <w:sz w:val="16"/>
                <w:szCs w:val="16"/>
                <w:lang w:val="en-GB"/>
              </w:rPr>
              <w:t>,</w:t>
            </w:r>
            <w:r w:rsidRPr="00BD3436">
              <w:rPr>
                <w:bCs/>
                <w:sz w:val="16"/>
                <w:szCs w:val="16"/>
                <w:lang w:val="en-GB"/>
              </w:rPr>
              <w:t xml:space="preserve"> and communities are more resilient to the effects natural and</w:t>
            </w:r>
            <w:r w:rsidR="0020025F" w:rsidRPr="00BD3436">
              <w:rPr>
                <w:bCs/>
                <w:sz w:val="16"/>
                <w:szCs w:val="16"/>
                <w:lang w:val="en-GB"/>
              </w:rPr>
              <w:t xml:space="preserve"> human</w:t>
            </w:r>
            <w:r w:rsidRPr="00BD3436">
              <w:rPr>
                <w:bCs/>
                <w:sz w:val="16"/>
                <w:szCs w:val="16"/>
                <w:lang w:val="en-GB"/>
              </w:rPr>
              <w:t>-</w:t>
            </w:r>
            <w:r w:rsidR="0020025F" w:rsidRPr="00BD3436">
              <w:rPr>
                <w:bCs/>
                <w:sz w:val="16"/>
                <w:szCs w:val="16"/>
                <w:lang w:val="en-GB"/>
              </w:rPr>
              <w:t xml:space="preserve">induced </w:t>
            </w:r>
            <w:r w:rsidRPr="00BD3436">
              <w:rPr>
                <w:bCs/>
                <w:sz w:val="16"/>
                <w:szCs w:val="16"/>
                <w:lang w:val="en-GB"/>
              </w:rPr>
              <w:t>disasters</w:t>
            </w:r>
            <w:r w:rsidR="0020025F" w:rsidRPr="00BD3436">
              <w:rPr>
                <w:bCs/>
                <w:sz w:val="16"/>
                <w:szCs w:val="16"/>
                <w:lang w:val="en-GB"/>
              </w:rPr>
              <w:t>.</w:t>
            </w:r>
          </w:p>
          <w:p w14:paraId="0796E4C1" w14:textId="58F7855A" w:rsidR="00F806A0" w:rsidRPr="00BD3436" w:rsidRDefault="00F806A0" w:rsidP="000D4FFB">
            <w:pPr>
              <w:rPr>
                <w:sz w:val="16"/>
                <w:szCs w:val="16"/>
                <w:lang w:val="en-GB"/>
              </w:rPr>
            </w:pPr>
            <w:r w:rsidRPr="00BD3436">
              <w:rPr>
                <w:b/>
                <w:bCs/>
                <w:sz w:val="16"/>
                <w:szCs w:val="16"/>
                <w:lang w:val="en-GB"/>
              </w:rPr>
              <w:t xml:space="preserve">Related </w:t>
            </w:r>
            <w:r w:rsidR="0020025F" w:rsidRPr="00BD3436">
              <w:rPr>
                <w:b/>
                <w:bCs/>
                <w:sz w:val="16"/>
                <w:szCs w:val="16"/>
                <w:lang w:val="en-GB"/>
              </w:rPr>
              <w:t>s</w:t>
            </w:r>
            <w:r w:rsidRPr="00BD3436">
              <w:rPr>
                <w:b/>
                <w:bCs/>
                <w:sz w:val="16"/>
                <w:szCs w:val="16"/>
                <w:lang w:val="en-GB"/>
              </w:rPr>
              <w:t xml:space="preserve">trategic </w:t>
            </w:r>
            <w:r w:rsidR="0020025F" w:rsidRPr="00BD3436">
              <w:rPr>
                <w:b/>
                <w:bCs/>
                <w:sz w:val="16"/>
                <w:szCs w:val="16"/>
                <w:lang w:val="en-GB"/>
              </w:rPr>
              <w:t>p</w:t>
            </w:r>
            <w:r w:rsidRPr="00BD3436">
              <w:rPr>
                <w:b/>
                <w:bCs/>
                <w:sz w:val="16"/>
                <w:szCs w:val="16"/>
                <w:lang w:val="en-GB"/>
              </w:rPr>
              <w:t xml:space="preserve">lan outcome: </w:t>
            </w:r>
            <w:r w:rsidRPr="00BD3436">
              <w:rPr>
                <w:iCs/>
                <w:sz w:val="16"/>
                <w:szCs w:val="16"/>
                <w:lang w:val="en-GB"/>
              </w:rPr>
              <w:t>Countries are able to reduce the likelihood of conflict and lower the risk of natural disasters, including from climate change (5)</w:t>
            </w:r>
            <w:r w:rsidR="0020025F" w:rsidRPr="00BD3436">
              <w:rPr>
                <w:iCs/>
                <w:sz w:val="16"/>
                <w:szCs w:val="16"/>
                <w:lang w:val="en-GB"/>
              </w:rPr>
              <w:t>.</w:t>
            </w:r>
          </w:p>
          <w:p w14:paraId="42D27B3B" w14:textId="64C7F31D" w:rsidR="00F806A0" w:rsidRPr="00BD3436" w:rsidRDefault="00F806A0" w:rsidP="000D4FFB">
            <w:pPr>
              <w:rPr>
                <w:sz w:val="16"/>
                <w:szCs w:val="16"/>
                <w:lang w:val="en-GB"/>
              </w:rPr>
            </w:pPr>
            <w:r w:rsidRPr="00BD3436">
              <w:rPr>
                <w:b/>
                <w:sz w:val="16"/>
                <w:szCs w:val="16"/>
                <w:lang w:val="en-GB"/>
              </w:rPr>
              <w:t xml:space="preserve">Related </w:t>
            </w:r>
            <w:r w:rsidR="0020025F" w:rsidRPr="00BD3436">
              <w:rPr>
                <w:b/>
                <w:sz w:val="16"/>
                <w:szCs w:val="16"/>
                <w:lang w:val="en-GB"/>
              </w:rPr>
              <w:t>s</w:t>
            </w:r>
            <w:r w:rsidRPr="00BD3436">
              <w:rPr>
                <w:b/>
                <w:sz w:val="16"/>
                <w:szCs w:val="16"/>
                <w:lang w:val="en-GB"/>
              </w:rPr>
              <w:t xml:space="preserve">trategic </w:t>
            </w:r>
            <w:r w:rsidR="0020025F" w:rsidRPr="00BD3436">
              <w:rPr>
                <w:b/>
                <w:sz w:val="16"/>
                <w:szCs w:val="16"/>
                <w:lang w:val="en-GB"/>
              </w:rPr>
              <w:t>p</w:t>
            </w:r>
            <w:r w:rsidRPr="00BD3436">
              <w:rPr>
                <w:b/>
                <w:sz w:val="16"/>
                <w:szCs w:val="16"/>
                <w:lang w:val="en-GB"/>
              </w:rPr>
              <w:t>lan outcome indicator:</w:t>
            </w:r>
            <w:r w:rsidRPr="00BD3436">
              <w:rPr>
                <w:sz w:val="16"/>
                <w:szCs w:val="16"/>
                <w:lang w:val="en-GB"/>
              </w:rPr>
              <w:t xml:space="preserve"> </w:t>
            </w:r>
            <w:r w:rsidRPr="00BD3436">
              <w:rPr>
                <w:iCs/>
                <w:sz w:val="16"/>
                <w:szCs w:val="16"/>
                <w:lang w:val="en-GB"/>
              </w:rPr>
              <w:t>Economic loss from natural hazards (geo-physical and climate-induced hazards) as a proportion of GDP</w:t>
            </w:r>
            <w:r w:rsidR="00641A1E" w:rsidRPr="00BD3436">
              <w:rPr>
                <w:iCs/>
                <w:sz w:val="16"/>
                <w:szCs w:val="16"/>
                <w:lang w:val="en-GB"/>
              </w:rPr>
              <w:t>.</w:t>
            </w:r>
          </w:p>
        </w:tc>
      </w:tr>
      <w:tr w:rsidR="00F806A0" w:rsidRPr="00BD3436" w14:paraId="35210490" w14:textId="77777777" w:rsidTr="004303A7">
        <w:trPr>
          <w:trHeight w:val="133"/>
        </w:trPr>
        <w:tc>
          <w:tcPr>
            <w:tcW w:w="82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D1EFA48" w14:textId="65C686DC" w:rsidR="00F806A0" w:rsidRPr="00BD3436" w:rsidRDefault="00F806A0" w:rsidP="000D4FFB">
            <w:pPr>
              <w:rPr>
                <w:iCs/>
                <w:sz w:val="16"/>
                <w:szCs w:val="16"/>
                <w:lang w:val="en-GB"/>
              </w:rPr>
            </w:pPr>
            <w:r w:rsidRPr="00BD3436">
              <w:rPr>
                <w:b/>
                <w:iCs/>
                <w:sz w:val="16"/>
                <w:szCs w:val="16"/>
                <w:lang w:val="en-GB"/>
              </w:rPr>
              <w:t>Indicator:</w:t>
            </w:r>
            <w:r w:rsidRPr="00BD3436">
              <w:rPr>
                <w:iCs/>
                <w:sz w:val="16"/>
                <w:szCs w:val="16"/>
                <w:lang w:val="en-GB"/>
              </w:rPr>
              <w:t xml:space="preserve"> N</w:t>
            </w:r>
            <w:r w:rsidR="00204A6C" w:rsidRPr="00BD3436">
              <w:rPr>
                <w:iCs/>
                <w:sz w:val="16"/>
                <w:szCs w:val="16"/>
                <w:lang w:val="en-GB"/>
              </w:rPr>
              <w:t>umber</w:t>
            </w:r>
            <w:r w:rsidRPr="00BD3436">
              <w:rPr>
                <w:iCs/>
                <w:sz w:val="16"/>
                <w:szCs w:val="16"/>
                <w:lang w:val="en-GB"/>
              </w:rPr>
              <w:t xml:space="preserve"> of sector and subsector policies, strategies, regulations that incorporate climate change mitigation and adaptation measures </w:t>
            </w:r>
          </w:p>
          <w:p w14:paraId="38746A3B" w14:textId="77777777" w:rsidR="00F806A0" w:rsidRPr="00BD3436" w:rsidRDefault="00F806A0" w:rsidP="000D4FFB">
            <w:pPr>
              <w:rPr>
                <w:iCs/>
                <w:sz w:val="16"/>
                <w:szCs w:val="16"/>
                <w:lang w:val="en-GB"/>
              </w:rPr>
            </w:pPr>
            <w:r w:rsidRPr="00BD3436">
              <w:rPr>
                <w:iCs/>
                <w:sz w:val="16"/>
                <w:szCs w:val="16"/>
                <w:lang w:val="en-GB"/>
              </w:rPr>
              <w:t>Baseline: 0; Target: 5</w:t>
            </w:r>
          </w:p>
          <w:p w14:paraId="651C3D9C" w14:textId="77777777" w:rsidR="00F806A0" w:rsidRPr="00BD3436" w:rsidRDefault="00F806A0" w:rsidP="000D4FFB">
            <w:pPr>
              <w:rPr>
                <w:iCs/>
                <w:sz w:val="16"/>
                <w:szCs w:val="16"/>
                <w:lang w:val="en-GB"/>
              </w:rPr>
            </w:pPr>
          </w:p>
          <w:p w14:paraId="1C0291C0" w14:textId="7849FE6B" w:rsidR="00641A1E" w:rsidRPr="00BD3436" w:rsidRDefault="00F806A0" w:rsidP="000D4FFB">
            <w:pPr>
              <w:rPr>
                <w:iCs/>
                <w:sz w:val="16"/>
                <w:szCs w:val="16"/>
                <w:lang w:val="en-GB"/>
              </w:rPr>
            </w:pPr>
            <w:r w:rsidRPr="00BD3436">
              <w:rPr>
                <w:b/>
                <w:iCs/>
                <w:sz w:val="16"/>
                <w:szCs w:val="16"/>
                <w:lang w:val="en-GB"/>
              </w:rPr>
              <w:t xml:space="preserve">Indicator: </w:t>
            </w:r>
            <w:r w:rsidRPr="00BD3436">
              <w:rPr>
                <w:iCs/>
                <w:sz w:val="16"/>
                <w:szCs w:val="16"/>
                <w:lang w:val="en-GB"/>
              </w:rPr>
              <w:t xml:space="preserve">Share of renewable energy in </w:t>
            </w:r>
            <w:r w:rsidR="00641A1E" w:rsidRPr="00BD3436">
              <w:rPr>
                <w:iCs/>
                <w:sz w:val="16"/>
                <w:szCs w:val="16"/>
                <w:lang w:val="en-GB"/>
              </w:rPr>
              <w:t>g</w:t>
            </w:r>
            <w:r w:rsidRPr="00BD3436">
              <w:rPr>
                <w:iCs/>
                <w:sz w:val="16"/>
                <w:szCs w:val="16"/>
                <w:lang w:val="en-GB"/>
              </w:rPr>
              <w:t xml:space="preserve">ross </w:t>
            </w:r>
            <w:r w:rsidR="00641A1E" w:rsidRPr="00BD3436">
              <w:rPr>
                <w:iCs/>
                <w:sz w:val="16"/>
                <w:szCs w:val="16"/>
                <w:lang w:val="en-GB"/>
              </w:rPr>
              <w:t>f</w:t>
            </w:r>
            <w:r w:rsidRPr="00BD3436">
              <w:rPr>
                <w:iCs/>
                <w:sz w:val="16"/>
                <w:szCs w:val="16"/>
                <w:lang w:val="en-GB"/>
              </w:rPr>
              <w:t xml:space="preserve">inal </w:t>
            </w:r>
            <w:r w:rsidR="00641A1E" w:rsidRPr="00BD3436">
              <w:rPr>
                <w:iCs/>
                <w:sz w:val="16"/>
                <w:szCs w:val="16"/>
                <w:lang w:val="en-GB"/>
              </w:rPr>
              <w:t>e</w:t>
            </w:r>
            <w:r w:rsidRPr="00BD3436">
              <w:rPr>
                <w:iCs/>
                <w:sz w:val="16"/>
                <w:szCs w:val="16"/>
                <w:lang w:val="en-GB"/>
              </w:rPr>
              <w:t xml:space="preserve">nergy </w:t>
            </w:r>
            <w:r w:rsidR="00641A1E" w:rsidRPr="00BD3436">
              <w:rPr>
                <w:iCs/>
                <w:sz w:val="16"/>
                <w:szCs w:val="16"/>
                <w:lang w:val="en-GB"/>
              </w:rPr>
              <w:t>c</w:t>
            </w:r>
            <w:r w:rsidRPr="00BD3436">
              <w:rPr>
                <w:iCs/>
                <w:sz w:val="16"/>
                <w:szCs w:val="16"/>
                <w:lang w:val="en-GB"/>
              </w:rPr>
              <w:t>onsumption</w:t>
            </w:r>
          </w:p>
          <w:p w14:paraId="299E27F3" w14:textId="77777777" w:rsidR="00F806A0" w:rsidRPr="00BD3436" w:rsidRDefault="00F806A0" w:rsidP="000D4FFB">
            <w:pPr>
              <w:rPr>
                <w:iCs/>
                <w:sz w:val="16"/>
                <w:szCs w:val="16"/>
                <w:lang w:val="en-GB"/>
              </w:rPr>
            </w:pPr>
            <w:r w:rsidRPr="00BD3436">
              <w:rPr>
                <w:iCs/>
                <w:sz w:val="16"/>
                <w:szCs w:val="16"/>
                <w:lang w:val="en-GB"/>
              </w:rPr>
              <w:t>Baseline: 21.2%; Target: 27%</w:t>
            </w:r>
          </w:p>
          <w:p w14:paraId="336F6DC5" w14:textId="77777777" w:rsidR="00F806A0" w:rsidRPr="00BD3436" w:rsidRDefault="00F806A0" w:rsidP="000D4FFB">
            <w:pPr>
              <w:rPr>
                <w:iCs/>
                <w:sz w:val="16"/>
                <w:szCs w:val="16"/>
                <w:lang w:val="en-GB"/>
              </w:rPr>
            </w:pPr>
          </w:p>
          <w:p w14:paraId="54D2E5E6" w14:textId="77777777" w:rsidR="00F806A0" w:rsidRPr="00BD3436" w:rsidRDefault="00F806A0" w:rsidP="000D4FFB">
            <w:pPr>
              <w:rPr>
                <w:bCs/>
                <w:sz w:val="16"/>
                <w:szCs w:val="16"/>
                <w:lang w:val="en-GB"/>
              </w:rPr>
            </w:pPr>
            <w:r w:rsidRPr="00BD3436">
              <w:rPr>
                <w:b/>
                <w:bCs/>
                <w:sz w:val="16"/>
                <w:szCs w:val="16"/>
                <w:lang w:val="en-GB"/>
              </w:rPr>
              <w:t>Indicator</w:t>
            </w:r>
            <w:r w:rsidRPr="00BD3436">
              <w:rPr>
                <w:bCs/>
                <w:sz w:val="16"/>
                <w:szCs w:val="16"/>
                <w:lang w:val="en-GB"/>
              </w:rPr>
              <w:t xml:space="preserve">: </w:t>
            </w:r>
            <w:r w:rsidRPr="00BD3436">
              <w:rPr>
                <w:sz w:val="16"/>
                <w:szCs w:val="16"/>
                <w:lang w:val="en-GB"/>
              </w:rPr>
              <w:t>Savings in final inland energy consumption</w:t>
            </w:r>
          </w:p>
          <w:p w14:paraId="39CA7F66" w14:textId="77777777" w:rsidR="00F806A0" w:rsidRPr="00BD3436" w:rsidRDefault="00F806A0" w:rsidP="000D4FFB">
            <w:pPr>
              <w:rPr>
                <w:iCs/>
                <w:sz w:val="16"/>
                <w:szCs w:val="16"/>
                <w:lang w:val="en-GB"/>
              </w:rPr>
            </w:pPr>
            <w:r w:rsidRPr="00BD3436">
              <w:rPr>
                <w:iCs/>
                <w:sz w:val="16"/>
                <w:szCs w:val="16"/>
                <w:lang w:val="en-GB"/>
              </w:rPr>
              <w:t>Baseline: 0</w:t>
            </w:r>
            <w:r w:rsidR="00F761B8" w:rsidRPr="00BD3436">
              <w:rPr>
                <w:iCs/>
                <w:sz w:val="16"/>
                <w:szCs w:val="16"/>
                <w:lang w:val="en-GB"/>
              </w:rPr>
              <w:t>%</w:t>
            </w:r>
            <w:r w:rsidRPr="00BD3436">
              <w:rPr>
                <w:iCs/>
                <w:sz w:val="16"/>
                <w:szCs w:val="16"/>
                <w:lang w:val="en-GB"/>
              </w:rPr>
              <w:t xml:space="preserve"> in 2008</w:t>
            </w:r>
          </w:p>
          <w:p w14:paraId="2886338A" w14:textId="77777777" w:rsidR="00F806A0" w:rsidRPr="00BD3436" w:rsidRDefault="00F806A0" w:rsidP="000D4FFB">
            <w:pPr>
              <w:rPr>
                <w:iCs/>
                <w:sz w:val="16"/>
                <w:szCs w:val="16"/>
                <w:lang w:val="en-GB"/>
              </w:rPr>
            </w:pPr>
            <w:r w:rsidRPr="00BD3436">
              <w:rPr>
                <w:iCs/>
                <w:sz w:val="16"/>
                <w:szCs w:val="16"/>
                <w:lang w:val="en-GB"/>
              </w:rPr>
              <w:t>Target: 9% in 2018</w:t>
            </w:r>
          </w:p>
          <w:p w14:paraId="3F73F38C" w14:textId="77777777" w:rsidR="00F806A0" w:rsidRPr="00BD3436" w:rsidRDefault="00F806A0" w:rsidP="000D4FFB">
            <w:pPr>
              <w:rPr>
                <w:iCs/>
                <w:sz w:val="16"/>
                <w:szCs w:val="16"/>
                <w:lang w:val="en-GB"/>
              </w:rPr>
            </w:pPr>
          </w:p>
          <w:p w14:paraId="5E532776" w14:textId="77777777" w:rsidR="00F806A0" w:rsidRPr="00BD3436" w:rsidRDefault="00F806A0" w:rsidP="000D4FFB">
            <w:pPr>
              <w:spacing w:after="120"/>
              <w:rPr>
                <w:i/>
                <w:iCs/>
                <w:sz w:val="16"/>
                <w:szCs w:val="16"/>
                <w:lang w:val="en-GB"/>
              </w:rPr>
            </w:pPr>
          </w:p>
          <w:p w14:paraId="371DBF65" w14:textId="77777777" w:rsidR="00F806A0" w:rsidRPr="00BD3436" w:rsidRDefault="00F806A0" w:rsidP="000D4FFB">
            <w:pPr>
              <w:spacing w:after="120"/>
              <w:rPr>
                <w:i/>
                <w:iCs/>
                <w:sz w:val="16"/>
                <w:szCs w:val="16"/>
                <w:lang w:val="en-GB"/>
              </w:rPr>
            </w:pPr>
            <w:r w:rsidRPr="00BD3436">
              <w:rPr>
                <w:i/>
                <w:iCs/>
                <w:sz w:val="16"/>
                <w:szCs w:val="16"/>
                <w:lang w:val="en-GB"/>
              </w:rPr>
              <w:tab/>
            </w:r>
            <w:r w:rsidRPr="00BD3436">
              <w:rPr>
                <w:i/>
                <w:iCs/>
                <w:sz w:val="16"/>
                <w:szCs w:val="16"/>
                <w:lang w:val="en-GB"/>
              </w:rPr>
              <w:tab/>
            </w:r>
          </w:p>
          <w:p w14:paraId="0B446441" w14:textId="77777777" w:rsidR="00F806A0" w:rsidRPr="00BD3436" w:rsidRDefault="00F806A0" w:rsidP="000D4FFB">
            <w:pPr>
              <w:spacing w:after="120"/>
              <w:rPr>
                <w:i/>
                <w:iCs/>
                <w:sz w:val="16"/>
                <w:szCs w:val="16"/>
                <w:lang w:val="en-GB"/>
              </w:rPr>
            </w:pPr>
          </w:p>
          <w:p w14:paraId="59C6CDEE" w14:textId="77777777" w:rsidR="00F806A0" w:rsidRPr="00BD3436" w:rsidRDefault="00F806A0" w:rsidP="000D4FFB">
            <w:pPr>
              <w:spacing w:after="120"/>
              <w:rPr>
                <w:bCs/>
                <w:i/>
                <w:sz w:val="16"/>
                <w:szCs w:val="16"/>
                <w:lang w:val="en-GB"/>
              </w:rPr>
            </w:pPr>
          </w:p>
        </w:tc>
        <w:tc>
          <w:tcPr>
            <w:tcW w:w="624" w:type="pct"/>
            <w:vMerge w:val="restart"/>
            <w:tcBorders>
              <w:top w:val="single" w:sz="4" w:space="0" w:color="auto"/>
              <w:left w:val="single" w:sz="4" w:space="0" w:color="auto"/>
              <w:bottom w:val="single" w:sz="4" w:space="0" w:color="auto"/>
              <w:right w:val="single" w:sz="4" w:space="0" w:color="auto"/>
            </w:tcBorders>
          </w:tcPr>
          <w:p w14:paraId="3AD705C4" w14:textId="59F7AD68" w:rsidR="00F806A0" w:rsidRPr="00BD3436" w:rsidRDefault="00F806A0" w:rsidP="000D4FFB">
            <w:pPr>
              <w:spacing w:after="120"/>
              <w:rPr>
                <w:b/>
                <w:bCs/>
                <w:sz w:val="16"/>
                <w:szCs w:val="16"/>
                <w:lang w:val="en-GB"/>
              </w:rPr>
            </w:pPr>
            <w:r w:rsidRPr="00BD3436">
              <w:rPr>
                <w:iCs/>
                <w:sz w:val="16"/>
                <w:szCs w:val="16"/>
                <w:lang w:val="en-GB"/>
              </w:rPr>
              <w:t xml:space="preserve">Ministry of Mining and Energy reports to </w:t>
            </w:r>
            <w:r w:rsidR="00641A1E" w:rsidRPr="00BD3436">
              <w:rPr>
                <w:iCs/>
                <w:sz w:val="16"/>
                <w:szCs w:val="16"/>
                <w:lang w:val="en-GB"/>
              </w:rPr>
              <w:t>e</w:t>
            </w:r>
            <w:r w:rsidRPr="00BD3436">
              <w:rPr>
                <w:iCs/>
                <w:sz w:val="16"/>
                <w:szCs w:val="16"/>
                <w:lang w:val="en-GB"/>
              </w:rPr>
              <w:t xml:space="preserve">nergy </w:t>
            </w:r>
            <w:r w:rsidR="00641A1E" w:rsidRPr="00BD3436">
              <w:rPr>
                <w:iCs/>
                <w:sz w:val="16"/>
                <w:szCs w:val="16"/>
                <w:lang w:val="en-GB"/>
              </w:rPr>
              <w:t>c</w:t>
            </w:r>
            <w:r w:rsidRPr="00BD3436">
              <w:rPr>
                <w:iCs/>
                <w:sz w:val="16"/>
                <w:szCs w:val="16"/>
                <w:lang w:val="en-GB"/>
              </w:rPr>
              <w:t>ommunity</w:t>
            </w:r>
          </w:p>
          <w:p w14:paraId="66051607" w14:textId="0EF81BB1" w:rsidR="00F806A0" w:rsidRPr="00BD3436" w:rsidRDefault="00F806A0" w:rsidP="000D4FFB">
            <w:pPr>
              <w:spacing w:after="120"/>
              <w:rPr>
                <w:b/>
                <w:bCs/>
                <w:sz w:val="16"/>
                <w:szCs w:val="16"/>
                <w:lang w:val="en-GB"/>
              </w:rPr>
            </w:pPr>
            <w:r w:rsidRPr="00BD3436">
              <w:rPr>
                <w:iCs/>
                <w:sz w:val="16"/>
                <w:szCs w:val="16"/>
                <w:lang w:val="en-GB"/>
              </w:rPr>
              <w:t xml:space="preserve">Ministry of Agriculture and Environmental Protection </w:t>
            </w:r>
            <w:r w:rsidR="00641A1E" w:rsidRPr="00BD3436">
              <w:rPr>
                <w:iCs/>
                <w:sz w:val="16"/>
                <w:szCs w:val="16"/>
                <w:lang w:val="en-GB"/>
              </w:rPr>
              <w:t>r</w:t>
            </w:r>
            <w:r w:rsidRPr="00BD3436">
              <w:rPr>
                <w:iCs/>
                <w:sz w:val="16"/>
                <w:szCs w:val="16"/>
                <w:lang w:val="en-GB"/>
              </w:rPr>
              <w:t xml:space="preserve">eports; Environmental Protection Agency </w:t>
            </w:r>
            <w:r w:rsidR="00641A1E" w:rsidRPr="00BD3436">
              <w:rPr>
                <w:iCs/>
                <w:sz w:val="16"/>
                <w:szCs w:val="16"/>
                <w:lang w:val="en-GB"/>
              </w:rPr>
              <w:t>s</w:t>
            </w:r>
            <w:r w:rsidRPr="00BD3436">
              <w:rPr>
                <w:iCs/>
                <w:sz w:val="16"/>
                <w:szCs w:val="16"/>
                <w:lang w:val="en-GB"/>
              </w:rPr>
              <w:t xml:space="preserve">tate of </w:t>
            </w:r>
            <w:r w:rsidR="00641A1E" w:rsidRPr="00BD3436">
              <w:rPr>
                <w:iCs/>
                <w:sz w:val="16"/>
                <w:szCs w:val="16"/>
                <w:lang w:val="en-GB"/>
              </w:rPr>
              <w:t>e</w:t>
            </w:r>
            <w:r w:rsidRPr="00BD3436">
              <w:rPr>
                <w:iCs/>
                <w:sz w:val="16"/>
                <w:szCs w:val="16"/>
                <w:lang w:val="en-GB"/>
              </w:rPr>
              <w:t xml:space="preserve">nvironment report and </w:t>
            </w:r>
            <w:r w:rsidR="00641A1E" w:rsidRPr="00BD3436">
              <w:rPr>
                <w:iCs/>
                <w:sz w:val="16"/>
                <w:szCs w:val="16"/>
                <w:lang w:val="en-GB"/>
              </w:rPr>
              <w:t>greenhouse gas i</w:t>
            </w:r>
            <w:r w:rsidRPr="00BD3436">
              <w:rPr>
                <w:iCs/>
                <w:sz w:val="16"/>
                <w:szCs w:val="16"/>
                <w:lang w:val="en-GB"/>
              </w:rPr>
              <w:t>nventory</w:t>
            </w:r>
            <w:r w:rsidR="00641A1E" w:rsidRPr="00BD3436">
              <w:rPr>
                <w:iCs/>
                <w:sz w:val="16"/>
                <w:szCs w:val="16"/>
                <w:lang w:val="en-GB"/>
              </w:rPr>
              <w:t>; n</w:t>
            </w:r>
            <w:r w:rsidRPr="00BD3436">
              <w:rPr>
                <w:iCs/>
                <w:sz w:val="16"/>
                <w:szCs w:val="16"/>
                <w:lang w:val="en-GB"/>
              </w:rPr>
              <w:t xml:space="preserve">ational </w:t>
            </w:r>
            <w:r w:rsidR="00641A1E" w:rsidRPr="00BD3436">
              <w:rPr>
                <w:iCs/>
                <w:sz w:val="16"/>
                <w:szCs w:val="16"/>
                <w:lang w:val="en-GB"/>
              </w:rPr>
              <w:t>r</w:t>
            </w:r>
            <w:r w:rsidRPr="00BD3436">
              <w:rPr>
                <w:iCs/>
                <w:sz w:val="16"/>
                <w:szCs w:val="16"/>
                <w:lang w:val="en-GB"/>
              </w:rPr>
              <w:t xml:space="preserve">eports to the European Environment Agency; </w:t>
            </w:r>
            <w:r w:rsidR="00641A1E" w:rsidRPr="00BD3436">
              <w:rPr>
                <w:iCs/>
                <w:sz w:val="16"/>
                <w:szCs w:val="16"/>
                <w:lang w:val="en-GB"/>
              </w:rPr>
              <w:t>r</w:t>
            </w:r>
            <w:r w:rsidRPr="00BD3436">
              <w:rPr>
                <w:iCs/>
                <w:sz w:val="16"/>
                <w:szCs w:val="16"/>
                <w:lang w:val="en-GB"/>
              </w:rPr>
              <w:t>eports of the Republic of Serbia to relevant international agreements (U</w:t>
            </w:r>
            <w:r w:rsidR="00641A1E" w:rsidRPr="00BD3436">
              <w:rPr>
                <w:iCs/>
                <w:sz w:val="16"/>
                <w:szCs w:val="16"/>
                <w:lang w:val="en-GB"/>
              </w:rPr>
              <w:t xml:space="preserve">nited </w:t>
            </w:r>
            <w:r w:rsidRPr="00BD3436">
              <w:rPr>
                <w:iCs/>
                <w:sz w:val="16"/>
                <w:szCs w:val="16"/>
                <w:lang w:val="en-GB"/>
              </w:rPr>
              <w:t>N</w:t>
            </w:r>
            <w:r w:rsidR="00641A1E" w:rsidRPr="00BD3436">
              <w:rPr>
                <w:iCs/>
                <w:sz w:val="16"/>
                <w:szCs w:val="16"/>
                <w:lang w:val="en-GB"/>
              </w:rPr>
              <w:t xml:space="preserve">ations </w:t>
            </w:r>
            <w:r w:rsidRPr="00BD3436">
              <w:rPr>
                <w:iCs/>
                <w:sz w:val="16"/>
                <w:szCs w:val="16"/>
                <w:lang w:val="en-GB"/>
              </w:rPr>
              <w:t>F</w:t>
            </w:r>
            <w:r w:rsidR="00641A1E" w:rsidRPr="00BD3436">
              <w:rPr>
                <w:iCs/>
                <w:sz w:val="16"/>
                <w:szCs w:val="16"/>
                <w:lang w:val="en-GB"/>
              </w:rPr>
              <w:t xml:space="preserve">ramework </w:t>
            </w:r>
            <w:r w:rsidRPr="00BD3436">
              <w:rPr>
                <w:iCs/>
                <w:sz w:val="16"/>
                <w:szCs w:val="16"/>
                <w:lang w:val="en-GB"/>
              </w:rPr>
              <w:t>C</w:t>
            </w:r>
            <w:r w:rsidR="00641A1E" w:rsidRPr="00BD3436">
              <w:rPr>
                <w:iCs/>
                <w:sz w:val="16"/>
                <w:szCs w:val="16"/>
                <w:lang w:val="en-GB"/>
              </w:rPr>
              <w:t xml:space="preserve">onvention on </w:t>
            </w:r>
            <w:r w:rsidRPr="00BD3436">
              <w:rPr>
                <w:iCs/>
                <w:sz w:val="16"/>
                <w:szCs w:val="16"/>
                <w:lang w:val="en-GB"/>
              </w:rPr>
              <w:t>C</w:t>
            </w:r>
            <w:r w:rsidR="00641A1E" w:rsidRPr="00BD3436">
              <w:rPr>
                <w:iCs/>
                <w:sz w:val="16"/>
                <w:szCs w:val="16"/>
                <w:lang w:val="en-GB"/>
              </w:rPr>
              <w:t xml:space="preserve">limate </w:t>
            </w:r>
            <w:r w:rsidRPr="00BD3436">
              <w:rPr>
                <w:iCs/>
                <w:sz w:val="16"/>
                <w:szCs w:val="16"/>
                <w:lang w:val="en-GB"/>
              </w:rPr>
              <w:t>C</w:t>
            </w:r>
            <w:r w:rsidR="00641A1E" w:rsidRPr="00BD3436">
              <w:rPr>
                <w:iCs/>
                <w:sz w:val="16"/>
                <w:szCs w:val="16"/>
                <w:lang w:val="en-GB"/>
              </w:rPr>
              <w:t>hange (UNFCCC)</w:t>
            </w:r>
            <w:r w:rsidRPr="00BD3436">
              <w:rPr>
                <w:iCs/>
                <w:sz w:val="16"/>
                <w:szCs w:val="16"/>
                <w:lang w:val="en-GB"/>
              </w:rPr>
              <w:t xml:space="preserve">, </w:t>
            </w:r>
            <w:r w:rsidR="00641A1E" w:rsidRPr="00BD3436">
              <w:rPr>
                <w:iCs/>
                <w:sz w:val="16"/>
                <w:szCs w:val="16"/>
                <w:lang w:val="en-GB"/>
              </w:rPr>
              <w:t>United Nations Convention on Biological Diversity</w:t>
            </w:r>
            <w:r w:rsidRPr="00BD3436">
              <w:rPr>
                <w:iCs/>
                <w:sz w:val="16"/>
                <w:szCs w:val="16"/>
                <w:lang w:val="en-GB"/>
              </w:rPr>
              <w:t xml:space="preserve">, </w:t>
            </w:r>
            <w:r w:rsidR="00641A1E" w:rsidRPr="00BD3436">
              <w:rPr>
                <w:iCs/>
                <w:sz w:val="16"/>
                <w:szCs w:val="16"/>
                <w:lang w:val="en-GB"/>
              </w:rPr>
              <w:t xml:space="preserve">United Nations Convention to Combat Desertification </w:t>
            </w:r>
            <w:r w:rsidRPr="00BD3436">
              <w:rPr>
                <w:iCs/>
                <w:sz w:val="16"/>
                <w:szCs w:val="16"/>
                <w:lang w:val="en-GB"/>
              </w:rPr>
              <w:t xml:space="preserve">and other </w:t>
            </w:r>
            <w:r w:rsidR="00641A1E" w:rsidRPr="00BD3436">
              <w:rPr>
                <w:iCs/>
                <w:sz w:val="16"/>
                <w:szCs w:val="16"/>
                <w:lang w:val="en-GB"/>
              </w:rPr>
              <w:t>multilateral environmental agreements</w:t>
            </w:r>
            <w:r w:rsidRPr="00BD3436">
              <w:rPr>
                <w:iCs/>
                <w:sz w:val="16"/>
                <w:szCs w:val="16"/>
                <w:lang w:val="en-GB"/>
              </w:rPr>
              <w:t>);</w:t>
            </w:r>
          </w:p>
          <w:p w14:paraId="6C2B04F9" w14:textId="633E18A5" w:rsidR="00F806A0" w:rsidRPr="00BD3436" w:rsidRDefault="00F806A0" w:rsidP="000D4FFB">
            <w:pPr>
              <w:spacing w:after="120"/>
              <w:rPr>
                <w:iCs/>
                <w:sz w:val="16"/>
                <w:szCs w:val="16"/>
                <w:lang w:val="en-GB"/>
              </w:rPr>
            </w:pPr>
            <w:r w:rsidRPr="00BD3436">
              <w:rPr>
                <w:iCs/>
                <w:sz w:val="16"/>
                <w:szCs w:val="16"/>
                <w:lang w:val="en-GB"/>
              </w:rPr>
              <w:t xml:space="preserve">Government bodies’ </w:t>
            </w:r>
            <w:r w:rsidRPr="00BD3436">
              <w:rPr>
                <w:iCs/>
                <w:sz w:val="16"/>
                <w:szCs w:val="16"/>
                <w:lang w:val="en-GB"/>
              </w:rPr>
              <w:lastRenderedPageBreak/>
              <w:t>reports on the disaster management system and on the implementation of the strategic documents to reduce the risk of disasters</w:t>
            </w:r>
          </w:p>
          <w:p w14:paraId="496ABD04" w14:textId="1F5ED689" w:rsidR="00F806A0" w:rsidRPr="00BD3436" w:rsidRDefault="00F806A0" w:rsidP="000D4FFB">
            <w:pPr>
              <w:spacing w:after="120"/>
              <w:rPr>
                <w:iCs/>
                <w:sz w:val="16"/>
                <w:szCs w:val="16"/>
                <w:lang w:val="en-GB"/>
              </w:rPr>
            </w:pPr>
            <w:r w:rsidRPr="00BD3436">
              <w:rPr>
                <w:iCs/>
                <w:sz w:val="16"/>
                <w:szCs w:val="16"/>
                <w:lang w:val="en-GB"/>
              </w:rPr>
              <w:t xml:space="preserve">Hyogo </w:t>
            </w:r>
            <w:r w:rsidR="00641A1E" w:rsidRPr="00BD3436">
              <w:rPr>
                <w:iCs/>
                <w:sz w:val="16"/>
                <w:szCs w:val="16"/>
                <w:lang w:val="en-GB"/>
              </w:rPr>
              <w:t>F</w:t>
            </w:r>
            <w:r w:rsidRPr="00BD3436">
              <w:rPr>
                <w:iCs/>
                <w:sz w:val="16"/>
                <w:szCs w:val="16"/>
                <w:lang w:val="en-GB"/>
              </w:rPr>
              <w:t xml:space="preserve">ramework for </w:t>
            </w:r>
            <w:r w:rsidR="00641A1E" w:rsidRPr="00BD3436">
              <w:rPr>
                <w:iCs/>
                <w:sz w:val="16"/>
                <w:szCs w:val="16"/>
                <w:lang w:val="en-GB"/>
              </w:rPr>
              <w:t>A</w:t>
            </w:r>
            <w:r w:rsidRPr="00BD3436">
              <w:rPr>
                <w:iCs/>
                <w:sz w:val="16"/>
                <w:szCs w:val="16"/>
                <w:lang w:val="en-GB"/>
              </w:rPr>
              <w:t>ction reports and its follow up</w:t>
            </w:r>
          </w:p>
          <w:p w14:paraId="1EE22656" w14:textId="145907A2" w:rsidR="00F806A0" w:rsidRPr="00BD3436" w:rsidRDefault="00F806A0" w:rsidP="000D4FFB">
            <w:pPr>
              <w:rPr>
                <w:iCs/>
                <w:sz w:val="16"/>
                <w:szCs w:val="16"/>
                <w:lang w:val="en-GB"/>
              </w:rPr>
            </w:pPr>
            <w:r w:rsidRPr="00BD3436">
              <w:rPr>
                <w:iCs/>
                <w:sz w:val="16"/>
                <w:szCs w:val="16"/>
                <w:lang w:val="en-GB"/>
              </w:rPr>
              <w:t xml:space="preserve">Sectoral and development policies and documents (annual), </w:t>
            </w:r>
            <w:r w:rsidR="00641A1E" w:rsidRPr="00BD3436">
              <w:rPr>
                <w:iCs/>
                <w:sz w:val="16"/>
                <w:szCs w:val="16"/>
                <w:lang w:val="en-GB"/>
              </w:rPr>
              <w:t>n</w:t>
            </w:r>
            <w:r w:rsidRPr="00BD3436">
              <w:rPr>
                <w:iCs/>
                <w:sz w:val="16"/>
                <w:szCs w:val="16"/>
                <w:lang w:val="en-GB"/>
              </w:rPr>
              <w:t>ational reports to the UNFCCC</w:t>
            </w:r>
          </w:p>
        </w:tc>
        <w:tc>
          <w:tcPr>
            <w:tcW w:w="2389"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4E56996" w14:textId="36869EBB" w:rsidR="00F806A0" w:rsidRPr="00BD3436" w:rsidRDefault="00F806A0" w:rsidP="000D4FFB">
            <w:pPr>
              <w:rPr>
                <w:b/>
                <w:iCs/>
                <w:sz w:val="16"/>
                <w:szCs w:val="16"/>
                <w:lang w:val="en-GB"/>
              </w:rPr>
            </w:pPr>
            <w:r w:rsidRPr="00BD3436">
              <w:rPr>
                <w:b/>
                <w:iCs/>
                <w:sz w:val="16"/>
                <w:szCs w:val="16"/>
                <w:lang w:val="en-GB"/>
              </w:rPr>
              <w:lastRenderedPageBreak/>
              <w:t>Output 1: Capacities for policy</w:t>
            </w:r>
            <w:r w:rsidR="00641A1E" w:rsidRPr="00BD3436">
              <w:rPr>
                <w:b/>
                <w:iCs/>
                <w:sz w:val="16"/>
                <w:szCs w:val="16"/>
                <w:lang w:val="en-GB"/>
              </w:rPr>
              <w:t>-</w:t>
            </w:r>
            <w:r w:rsidRPr="00BD3436">
              <w:rPr>
                <w:b/>
                <w:iCs/>
                <w:sz w:val="16"/>
                <w:szCs w:val="16"/>
                <w:lang w:val="en-GB"/>
              </w:rPr>
              <w:t>making and implementation of international agreements improved</w:t>
            </w:r>
          </w:p>
          <w:p w14:paraId="5010901C" w14:textId="65842D58" w:rsidR="00F806A0" w:rsidRPr="00BD3436" w:rsidRDefault="00F806A0" w:rsidP="000D4FFB">
            <w:pPr>
              <w:rPr>
                <w:iCs/>
                <w:sz w:val="16"/>
                <w:szCs w:val="16"/>
                <w:lang w:val="en-GB"/>
              </w:rPr>
            </w:pPr>
            <w:r w:rsidRPr="00BD3436">
              <w:rPr>
                <w:iCs/>
                <w:sz w:val="16"/>
                <w:szCs w:val="16"/>
                <w:lang w:val="en-GB"/>
              </w:rPr>
              <w:t>Indicator:</w:t>
            </w:r>
            <w:r w:rsidR="00583150" w:rsidRPr="00BD3436">
              <w:rPr>
                <w:iCs/>
                <w:sz w:val="16"/>
                <w:szCs w:val="16"/>
                <w:lang w:val="en-GB"/>
              </w:rPr>
              <w:t xml:space="preserve"> Number</w:t>
            </w:r>
            <w:r w:rsidRPr="00BD3436">
              <w:rPr>
                <w:iCs/>
                <w:sz w:val="16"/>
                <w:szCs w:val="16"/>
                <w:lang w:val="en-GB"/>
              </w:rPr>
              <w:t xml:space="preserve"> of laws, plans or policies aligned to convention implementation requirements </w:t>
            </w:r>
          </w:p>
          <w:p w14:paraId="26755C3D" w14:textId="77777777" w:rsidR="00F806A0" w:rsidRPr="00BD3436" w:rsidRDefault="00F806A0" w:rsidP="000D4FFB">
            <w:pPr>
              <w:rPr>
                <w:iCs/>
                <w:sz w:val="16"/>
                <w:szCs w:val="16"/>
                <w:lang w:val="en-GB"/>
              </w:rPr>
            </w:pPr>
            <w:r w:rsidRPr="00BD3436">
              <w:rPr>
                <w:iCs/>
                <w:sz w:val="16"/>
                <w:szCs w:val="16"/>
                <w:lang w:val="en-GB"/>
              </w:rPr>
              <w:t>Baseline: 0; Target:</w:t>
            </w:r>
            <w:r w:rsidR="00204A6C" w:rsidRPr="00BD3436">
              <w:rPr>
                <w:iCs/>
                <w:sz w:val="16"/>
                <w:szCs w:val="16"/>
                <w:lang w:val="en-GB"/>
              </w:rPr>
              <w:t xml:space="preserve"> </w:t>
            </w:r>
            <w:r w:rsidRPr="00BD3436">
              <w:rPr>
                <w:iCs/>
                <w:sz w:val="16"/>
                <w:szCs w:val="16"/>
                <w:lang w:val="en-GB"/>
              </w:rPr>
              <w:t xml:space="preserve">3 (biodiversity) + 2 (climate change) + 2 (disaster risk reduction) </w:t>
            </w:r>
          </w:p>
          <w:p w14:paraId="7F60505F" w14:textId="7C68C1CE" w:rsidR="00F806A0" w:rsidRPr="00BD3436" w:rsidRDefault="00F806A0" w:rsidP="000D4FFB">
            <w:pPr>
              <w:rPr>
                <w:iCs/>
                <w:sz w:val="16"/>
                <w:szCs w:val="16"/>
                <w:lang w:val="en-GB"/>
              </w:rPr>
            </w:pPr>
            <w:r w:rsidRPr="00BD3436">
              <w:rPr>
                <w:iCs/>
                <w:sz w:val="16"/>
                <w:szCs w:val="16"/>
                <w:lang w:val="en-GB"/>
              </w:rPr>
              <w:t>Data source, frequency: government reports (annual), National Programme for Adoption of E</w:t>
            </w:r>
            <w:r w:rsidR="00436AA8" w:rsidRPr="00BD3436">
              <w:rPr>
                <w:iCs/>
                <w:sz w:val="16"/>
                <w:szCs w:val="16"/>
                <w:lang w:val="en-GB"/>
              </w:rPr>
              <w:t xml:space="preserve">uropean </w:t>
            </w:r>
            <w:r w:rsidRPr="00BD3436">
              <w:rPr>
                <w:iCs/>
                <w:sz w:val="16"/>
                <w:szCs w:val="16"/>
                <w:lang w:val="en-GB"/>
              </w:rPr>
              <w:t>U</w:t>
            </w:r>
            <w:r w:rsidR="00436AA8" w:rsidRPr="00BD3436">
              <w:rPr>
                <w:iCs/>
                <w:sz w:val="16"/>
                <w:szCs w:val="16"/>
                <w:lang w:val="en-GB"/>
              </w:rPr>
              <w:t>nion</w:t>
            </w:r>
            <w:r w:rsidRPr="00BD3436">
              <w:rPr>
                <w:iCs/>
                <w:sz w:val="16"/>
                <w:szCs w:val="16"/>
                <w:lang w:val="en-GB"/>
              </w:rPr>
              <w:t xml:space="preserve"> Acquis; E</w:t>
            </w:r>
            <w:r w:rsidR="00436AA8" w:rsidRPr="00BD3436">
              <w:rPr>
                <w:iCs/>
                <w:sz w:val="16"/>
                <w:szCs w:val="16"/>
                <w:lang w:val="en-GB"/>
              </w:rPr>
              <w:t xml:space="preserve">uropean </w:t>
            </w:r>
            <w:r w:rsidRPr="00BD3436">
              <w:rPr>
                <w:iCs/>
                <w:sz w:val="16"/>
                <w:szCs w:val="16"/>
                <w:lang w:val="en-GB"/>
              </w:rPr>
              <w:t>U</w:t>
            </w:r>
            <w:r w:rsidR="00436AA8" w:rsidRPr="00BD3436">
              <w:rPr>
                <w:iCs/>
                <w:sz w:val="16"/>
                <w:szCs w:val="16"/>
                <w:lang w:val="en-GB"/>
              </w:rPr>
              <w:t>nion</w:t>
            </w:r>
            <w:r w:rsidRPr="00BD3436">
              <w:rPr>
                <w:iCs/>
                <w:sz w:val="16"/>
                <w:szCs w:val="16"/>
                <w:lang w:val="en-GB"/>
              </w:rPr>
              <w:t xml:space="preserve"> </w:t>
            </w:r>
            <w:r w:rsidR="00436AA8" w:rsidRPr="00BD3436">
              <w:rPr>
                <w:iCs/>
                <w:sz w:val="16"/>
                <w:szCs w:val="16"/>
                <w:lang w:val="en-GB"/>
              </w:rPr>
              <w:t>a</w:t>
            </w:r>
            <w:r w:rsidRPr="00BD3436">
              <w:rPr>
                <w:iCs/>
                <w:sz w:val="16"/>
                <w:szCs w:val="16"/>
                <w:lang w:val="en-GB"/>
              </w:rPr>
              <w:t xml:space="preserve">ccession </w:t>
            </w:r>
            <w:r w:rsidR="00436AA8" w:rsidRPr="00BD3436">
              <w:rPr>
                <w:iCs/>
                <w:sz w:val="16"/>
                <w:szCs w:val="16"/>
                <w:lang w:val="en-GB"/>
              </w:rPr>
              <w:t>p</w:t>
            </w:r>
            <w:r w:rsidRPr="00BD3436">
              <w:rPr>
                <w:iCs/>
                <w:sz w:val="16"/>
                <w:szCs w:val="16"/>
                <w:lang w:val="en-GB"/>
              </w:rPr>
              <w:t xml:space="preserve">rogress </w:t>
            </w:r>
            <w:r w:rsidR="00436AA8" w:rsidRPr="00BD3436">
              <w:rPr>
                <w:iCs/>
                <w:sz w:val="16"/>
                <w:szCs w:val="16"/>
                <w:lang w:val="en-GB"/>
              </w:rPr>
              <w:t>r</w:t>
            </w:r>
            <w:r w:rsidRPr="00BD3436">
              <w:rPr>
                <w:iCs/>
                <w:sz w:val="16"/>
                <w:szCs w:val="16"/>
                <w:lang w:val="en-GB"/>
              </w:rPr>
              <w:t xml:space="preserve">eports, </w:t>
            </w:r>
            <w:r w:rsidR="00436AA8" w:rsidRPr="00BD3436">
              <w:rPr>
                <w:iCs/>
                <w:sz w:val="16"/>
                <w:szCs w:val="16"/>
                <w:lang w:val="en-GB"/>
              </w:rPr>
              <w:t>r</w:t>
            </w:r>
            <w:r w:rsidRPr="00BD3436">
              <w:rPr>
                <w:iCs/>
                <w:sz w:val="16"/>
                <w:szCs w:val="16"/>
                <w:lang w:val="en-GB"/>
              </w:rPr>
              <w:t xml:space="preserve">eports to relevant </w:t>
            </w:r>
            <w:r w:rsidR="00436AA8" w:rsidRPr="00BD3436">
              <w:rPr>
                <w:iCs/>
                <w:sz w:val="16"/>
                <w:szCs w:val="16"/>
                <w:lang w:val="en-GB"/>
              </w:rPr>
              <w:t>multilateral environmental agreements</w:t>
            </w:r>
            <w:r w:rsidRPr="00BD3436">
              <w:rPr>
                <w:iCs/>
                <w:sz w:val="16"/>
                <w:szCs w:val="16"/>
                <w:lang w:val="en-GB"/>
              </w:rPr>
              <w:t xml:space="preserve">, Official Gazette </w:t>
            </w:r>
          </w:p>
          <w:p w14:paraId="2CF83FE7" w14:textId="77777777" w:rsidR="00F806A0" w:rsidRPr="00BD3436" w:rsidRDefault="00F806A0" w:rsidP="000D4FFB">
            <w:pPr>
              <w:rPr>
                <w:b/>
                <w:iCs/>
                <w:sz w:val="16"/>
                <w:szCs w:val="16"/>
                <w:lang w:val="en-GB"/>
              </w:rPr>
            </w:pPr>
          </w:p>
          <w:p w14:paraId="4AB85044" w14:textId="59E0063A" w:rsidR="00F806A0" w:rsidRPr="00BD3436" w:rsidRDefault="00F806A0" w:rsidP="000D4FFB">
            <w:pPr>
              <w:rPr>
                <w:b/>
                <w:iCs/>
                <w:sz w:val="16"/>
                <w:szCs w:val="16"/>
                <w:lang w:val="en-GB"/>
              </w:rPr>
            </w:pPr>
            <w:r w:rsidRPr="00BD3436">
              <w:rPr>
                <w:b/>
                <w:iCs/>
                <w:sz w:val="16"/>
                <w:szCs w:val="16"/>
                <w:lang w:val="en-GB"/>
              </w:rPr>
              <w:t xml:space="preserve">Output 2: Climate </w:t>
            </w:r>
            <w:r w:rsidR="00436AA8" w:rsidRPr="00BD3436">
              <w:rPr>
                <w:b/>
                <w:iCs/>
                <w:sz w:val="16"/>
                <w:szCs w:val="16"/>
                <w:lang w:val="en-GB"/>
              </w:rPr>
              <w:t>c</w:t>
            </w:r>
            <w:r w:rsidRPr="00BD3436">
              <w:rPr>
                <w:b/>
                <w:iCs/>
                <w:sz w:val="16"/>
                <w:szCs w:val="16"/>
                <w:lang w:val="en-GB"/>
              </w:rPr>
              <w:t>hange mitigation and adaptation measures implemented in key sectors, at national and local level</w:t>
            </w:r>
          </w:p>
          <w:p w14:paraId="1BEC2842" w14:textId="77777777" w:rsidR="00F806A0" w:rsidRPr="00BD3436" w:rsidRDefault="00F806A0" w:rsidP="000D4FFB">
            <w:pPr>
              <w:rPr>
                <w:iCs/>
                <w:sz w:val="16"/>
                <w:szCs w:val="16"/>
                <w:lang w:val="en-GB"/>
              </w:rPr>
            </w:pPr>
            <w:r w:rsidRPr="00BD3436">
              <w:rPr>
                <w:iCs/>
                <w:sz w:val="16"/>
                <w:szCs w:val="16"/>
                <w:lang w:val="en-GB"/>
              </w:rPr>
              <w:t xml:space="preserve">Indicator 1: </w:t>
            </w:r>
            <w:r w:rsidR="00583150" w:rsidRPr="00BD3436">
              <w:rPr>
                <w:iCs/>
                <w:sz w:val="16"/>
                <w:szCs w:val="16"/>
                <w:lang w:val="en-GB"/>
              </w:rPr>
              <w:t xml:space="preserve">Number </w:t>
            </w:r>
            <w:r w:rsidRPr="00BD3436">
              <w:rPr>
                <w:iCs/>
                <w:sz w:val="16"/>
                <w:szCs w:val="16"/>
                <w:lang w:val="en-GB"/>
              </w:rPr>
              <w:t xml:space="preserve">of priority adaptation and mitigation measures started and under implementation </w:t>
            </w:r>
          </w:p>
          <w:p w14:paraId="4DD12080" w14:textId="77777777" w:rsidR="00F806A0" w:rsidRPr="00BD3436" w:rsidRDefault="00F806A0" w:rsidP="000D4FFB">
            <w:pPr>
              <w:rPr>
                <w:iCs/>
                <w:sz w:val="16"/>
                <w:szCs w:val="16"/>
                <w:lang w:val="en-GB"/>
              </w:rPr>
            </w:pPr>
            <w:r w:rsidRPr="00BD3436">
              <w:rPr>
                <w:iCs/>
                <w:sz w:val="16"/>
                <w:szCs w:val="16"/>
                <w:lang w:val="en-GB"/>
              </w:rPr>
              <w:t xml:space="preserve">Baseline: 0; Target: 6 </w:t>
            </w:r>
          </w:p>
          <w:p w14:paraId="6AD8B500" w14:textId="7B1AF0A5" w:rsidR="00F806A0" w:rsidRPr="00BD3436" w:rsidRDefault="00F806A0" w:rsidP="000D4FFB">
            <w:pPr>
              <w:rPr>
                <w:iCs/>
                <w:sz w:val="16"/>
                <w:szCs w:val="16"/>
                <w:lang w:val="en-GB"/>
              </w:rPr>
            </w:pPr>
            <w:r w:rsidRPr="00BD3436">
              <w:rPr>
                <w:iCs/>
                <w:sz w:val="16"/>
                <w:szCs w:val="16"/>
                <w:lang w:val="en-GB"/>
              </w:rPr>
              <w:t>Data source, frequency: National Programme for Adoption of E</w:t>
            </w:r>
            <w:r w:rsidR="00436AA8" w:rsidRPr="00BD3436">
              <w:rPr>
                <w:iCs/>
                <w:sz w:val="16"/>
                <w:szCs w:val="16"/>
                <w:lang w:val="en-GB"/>
              </w:rPr>
              <w:t xml:space="preserve">uropean </w:t>
            </w:r>
            <w:r w:rsidRPr="00BD3436">
              <w:rPr>
                <w:iCs/>
                <w:sz w:val="16"/>
                <w:szCs w:val="16"/>
                <w:lang w:val="en-GB"/>
              </w:rPr>
              <w:t>U</w:t>
            </w:r>
            <w:r w:rsidR="00436AA8" w:rsidRPr="00BD3436">
              <w:rPr>
                <w:iCs/>
                <w:sz w:val="16"/>
                <w:szCs w:val="16"/>
                <w:lang w:val="en-GB"/>
              </w:rPr>
              <w:t>nion</w:t>
            </w:r>
            <w:r w:rsidRPr="00BD3436">
              <w:rPr>
                <w:iCs/>
                <w:sz w:val="16"/>
                <w:szCs w:val="16"/>
                <w:lang w:val="en-GB"/>
              </w:rPr>
              <w:t xml:space="preserve"> Acquis; </w:t>
            </w:r>
            <w:r w:rsidR="00436AA8" w:rsidRPr="00BD3436">
              <w:rPr>
                <w:iCs/>
                <w:sz w:val="16"/>
                <w:szCs w:val="16"/>
                <w:lang w:val="en-GB"/>
              </w:rPr>
              <w:t>European Union</w:t>
            </w:r>
            <w:r w:rsidR="00436AA8" w:rsidRPr="00BD3436" w:rsidDel="00436AA8">
              <w:rPr>
                <w:iCs/>
                <w:sz w:val="16"/>
                <w:szCs w:val="16"/>
                <w:lang w:val="en-GB"/>
              </w:rPr>
              <w:t xml:space="preserve"> </w:t>
            </w:r>
            <w:r w:rsidR="00436AA8" w:rsidRPr="00BD3436">
              <w:rPr>
                <w:iCs/>
                <w:sz w:val="16"/>
                <w:szCs w:val="16"/>
                <w:lang w:val="en-GB"/>
              </w:rPr>
              <w:t>a</w:t>
            </w:r>
            <w:r w:rsidRPr="00BD3436">
              <w:rPr>
                <w:iCs/>
                <w:sz w:val="16"/>
                <w:szCs w:val="16"/>
                <w:lang w:val="en-GB"/>
              </w:rPr>
              <w:t xml:space="preserve">ccession </w:t>
            </w:r>
            <w:r w:rsidR="00436AA8" w:rsidRPr="00BD3436">
              <w:rPr>
                <w:iCs/>
                <w:sz w:val="16"/>
                <w:szCs w:val="16"/>
                <w:lang w:val="en-GB"/>
              </w:rPr>
              <w:t>p</w:t>
            </w:r>
            <w:r w:rsidRPr="00BD3436">
              <w:rPr>
                <w:iCs/>
                <w:sz w:val="16"/>
                <w:szCs w:val="16"/>
                <w:lang w:val="en-GB"/>
              </w:rPr>
              <w:t xml:space="preserve">rogress </w:t>
            </w:r>
            <w:r w:rsidR="00436AA8" w:rsidRPr="00BD3436">
              <w:rPr>
                <w:iCs/>
                <w:sz w:val="16"/>
                <w:szCs w:val="16"/>
                <w:lang w:val="en-GB"/>
              </w:rPr>
              <w:t>r</w:t>
            </w:r>
            <w:r w:rsidRPr="00BD3436">
              <w:rPr>
                <w:iCs/>
                <w:sz w:val="16"/>
                <w:szCs w:val="16"/>
                <w:lang w:val="en-GB"/>
              </w:rPr>
              <w:t>eports</w:t>
            </w:r>
            <w:r w:rsidR="00436AA8" w:rsidRPr="00BD3436">
              <w:rPr>
                <w:iCs/>
                <w:sz w:val="16"/>
                <w:szCs w:val="16"/>
                <w:lang w:val="en-GB"/>
              </w:rPr>
              <w:t>;</w:t>
            </w:r>
            <w:r w:rsidRPr="00BD3436">
              <w:rPr>
                <w:iCs/>
                <w:sz w:val="16"/>
                <w:szCs w:val="16"/>
                <w:lang w:val="en-GB"/>
              </w:rPr>
              <w:t xml:space="preserve"> </w:t>
            </w:r>
            <w:r w:rsidR="00436AA8" w:rsidRPr="00BD3436">
              <w:rPr>
                <w:iCs/>
                <w:sz w:val="16"/>
                <w:szCs w:val="16"/>
                <w:lang w:val="en-GB"/>
              </w:rPr>
              <w:t>s</w:t>
            </w:r>
            <w:r w:rsidRPr="00BD3436">
              <w:rPr>
                <w:iCs/>
                <w:sz w:val="16"/>
                <w:szCs w:val="16"/>
                <w:lang w:val="en-GB"/>
              </w:rPr>
              <w:t>ectoral and development policies and documents</w:t>
            </w:r>
            <w:r w:rsidR="00436AA8" w:rsidRPr="00BD3436">
              <w:rPr>
                <w:iCs/>
                <w:sz w:val="16"/>
                <w:szCs w:val="16"/>
                <w:lang w:val="en-GB"/>
              </w:rPr>
              <w:t>;</w:t>
            </w:r>
            <w:r w:rsidRPr="00BD3436">
              <w:rPr>
                <w:iCs/>
                <w:sz w:val="16"/>
                <w:szCs w:val="16"/>
                <w:lang w:val="en-GB"/>
              </w:rPr>
              <w:t xml:space="preserve"> </w:t>
            </w:r>
            <w:r w:rsidR="00436AA8" w:rsidRPr="00BD3436">
              <w:rPr>
                <w:iCs/>
                <w:sz w:val="16"/>
                <w:szCs w:val="16"/>
                <w:lang w:val="en-GB"/>
              </w:rPr>
              <w:t>r</w:t>
            </w:r>
            <w:r w:rsidRPr="00BD3436">
              <w:rPr>
                <w:iCs/>
                <w:sz w:val="16"/>
                <w:szCs w:val="16"/>
                <w:lang w:val="en-GB"/>
              </w:rPr>
              <w:t xml:space="preserve">eports to relevant </w:t>
            </w:r>
            <w:r w:rsidR="00436AA8" w:rsidRPr="00BD3436">
              <w:rPr>
                <w:iCs/>
                <w:sz w:val="16"/>
                <w:szCs w:val="16"/>
                <w:lang w:val="en-GB"/>
              </w:rPr>
              <w:t>multilateral environmental agreements</w:t>
            </w:r>
            <w:r w:rsidRPr="00BD3436">
              <w:rPr>
                <w:iCs/>
                <w:sz w:val="16"/>
                <w:szCs w:val="16"/>
                <w:lang w:val="en-GB"/>
              </w:rPr>
              <w:t>; local development and environmental protection planning documents and reports</w:t>
            </w:r>
          </w:p>
          <w:p w14:paraId="16A4AD6D" w14:textId="77777777" w:rsidR="00F806A0" w:rsidRPr="00BD3436" w:rsidRDefault="00F806A0" w:rsidP="000D4FFB">
            <w:pPr>
              <w:rPr>
                <w:iCs/>
                <w:sz w:val="16"/>
                <w:szCs w:val="16"/>
                <w:lang w:val="en-GB"/>
              </w:rPr>
            </w:pPr>
          </w:p>
          <w:p w14:paraId="469DDBC8" w14:textId="77777777" w:rsidR="00F806A0" w:rsidRPr="00BD3436" w:rsidRDefault="00F806A0" w:rsidP="000D4FFB">
            <w:pPr>
              <w:jc w:val="both"/>
              <w:rPr>
                <w:b/>
                <w:iCs/>
                <w:sz w:val="16"/>
                <w:szCs w:val="16"/>
                <w:lang w:val="en-GB"/>
              </w:rPr>
            </w:pPr>
            <w:r w:rsidRPr="00BD3436">
              <w:rPr>
                <w:b/>
                <w:iCs/>
                <w:sz w:val="16"/>
                <w:szCs w:val="16"/>
                <w:lang w:val="en-GB"/>
              </w:rPr>
              <w:t xml:space="preserve">Output 3: Improved capacity for energy management in sectors of final energy consumption </w:t>
            </w:r>
          </w:p>
          <w:p w14:paraId="31054F70" w14:textId="77777777" w:rsidR="00F806A0" w:rsidRPr="00BD3436" w:rsidRDefault="00F806A0" w:rsidP="000D4FFB">
            <w:pPr>
              <w:rPr>
                <w:iCs/>
                <w:sz w:val="16"/>
                <w:szCs w:val="16"/>
                <w:lang w:val="en-GB"/>
              </w:rPr>
            </w:pPr>
            <w:r w:rsidRPr="00BD3436">
              <w:rPr>
                <w:iCs/>
                <w:sz w:val="16"/>
                <w:szCs w:val="16"/>
                <w:lang w:val="en-GB"/>
              </w:rPr>
              <w:t xml:space="preserve">Indicator: </w:t>
            </w:r>
            <w:r w:rsidR="00583150" w:rsidRPr="00BD3436">
              <w:rPr>
                <w:iCs/>
                <w:sz w:val="16"/>
                <w:szCs w:val="16"/>
                <w:lang w:val="en-GB"/>
              </w:rPr>
              <w:t xml:space="preserve">Number </w:t>
            </w:r>
            <w:r w:rsidRPr="00BD3436">
              <w:rPr>
                <w:iCs/>
                <w:sz w:val="16"/>
                <w:szCs w:val="16"/>
                <w:lang w:val="en-GB"/>
              </w:rPr>
              <w:t xml:space="preserve">of </w:t>
            </w:r>
            <w:r w:rsidR="00867D59" w:rsidRPr="00BD3436">
              <w:rPr>
                <w:iCs/>
                <w:sz w:val="16"/>
                <w:szCs w:val="16"/>
                <w:lang w:val="en-GB"/>
              </w:rPr>
              <w:t>municipalities that use</w:t>
            </w:r>
            <w:r w:rsidRPr="00BD3436">
              <w:rPr>
                <w:iCs/>
                <w:sz w:val="16"/>
                <w:szCs w:val="16"/>
                <w:lang w:val="en-GB"/>
              </w:rPr>
              <w:t xml:space="preserve"> energy managers </w:t>
            </w:r>
            <w:r w:rsidR="00867D59" w:rsidRPr="00BD3436">
              <w:rPr>
                <w:iCs/>
                <w:sz w:val="16"/>
                <w:szCs w:val="16"/>
                <w:lang w:val="en-GB"/>
              </w:rPr>
              <w:t>systems</w:t>
            </w:r>
          </w:p>
          <w:p w14:paraId="33C555FA" w14:textId="77777777" w:rsidR="00F806A0" w:rsidRPr="00BD3436" w:rsidRDefault="00F806A0" w:rsidP="000D4FFB">
            <w:pPr>
              <w:rPr>
                <w:iCs/>
                <w:sz w:val="16"/>
                <w:szCs w:val="16"/>
                <w:lang w:val="en-GB"/>
              </w:rPr>
            </w:pPr>
            <w:r w:rsidRPr="00BD3436">
              <w:rPr>
                <w:iCs/>
                <w:sz w:val="16"/>
                <w:szCs w:val="16"/>
                <w:lang w:val="en-GB"/>
              </w:rPr>
              <w:t>Baseline: 0; Target:</w:t>
            </w:r>
            <w:r w:rsidR="00436AA8" w:rsidRPr="00BD3436">
              <w:rPr>
                <w:iCs/>
                <w:sz w:val="16"/>
                <w:szCs w:val="16"/>
                <w:lang w:val="en-GB"/>
              </w:rPr>
              <w:t xml:space="preserve"> </w:t>
            </w:r>
            <w:r w:rsidR="00867D59" w:rsidRPr="00BD3436">
              <w:rPr>
                <w:iCs/>
                <w:sz w:val="16"/>
                <w:szCs w:val="16"/>
                <w:lang w:val="en-GB"/>
              </w:rPr>
              <w:t>30</w:t>
            </w:r>
          </w:p>
          <w:p w14:paraId="34802CF1" w14:textId="77777777" w:rsidR="00F806A0" w:rsidRPr="00BD3436" w:rsidRDefault="00F806A0" w:rsidP="000D4FFB">
            <w:pPr>
              <w:rPr>
                <w:iCs/>
                <w:sz w:val="16"/>
                <w:szCs w:val="16"/>
                <w:lang w:val="en-GB"/>
              </w:rPr>
            </w:pPr>
            <w:r w:rsidRPr="00BD3436">
              <w:rPr>
                <w:iCs/>
                <w:sz w:val="16"/>
                <w:szCs w:val="16"/>
                <w:lang w:val="en-GB"/>
              </w:rPr>
              <w:t xml:space="preserve">Data source, frequency: </w:t>
            </w:r>
            <w:r w:rsidR="00867D59" w:rsidRPr="00BD3436">
              <w:rPr>
                <w:iCs/>
                <w:sz w:val="16"/>
                <w:szCs w:val="16"/>
                <w:lang w:val="en-GB"/>
              </w:rPr>
              <w:t>Reports</w:t>
            </w:r>
            <w:r w:rsidRPr="00BD3436">
              <w:rPr>
                <w:iCs/>
                <w:sz w:val="16"/>
                <w:szCs w:val="16"/>
                <w:lang w:val="en-GB"/>
              </w:rPr>
              <w:t xml:space="preserve"> of the Ministry of Mining and Energy</w:t>
            </w:r>
          </w:p>
          <w:p w14:paraId="3448DA37" w14:textId="77777777" w:rsidR="00F806A0" w:rsidRPr="00BD3436" w:rsidRDefault="00F806A0" w:rsidP="000D4FFB">
            <w:pPr>
              <w:jc w:val="both"/>
              <w:rPr>
                <w:iCs/>
                <w:sz w:val="16"/>
                <w:szCs w:val="16"/>
                <w:lang w:val="en-GB"/>
              </w:rPr>
            </w:pPr>
          </w:p>
          <w:p w14:paraId="69E84074" w14:textId="538EEA5E" w:rsidR="00F806A0" w:rsidRPr="00BD3436" w:rsidRDefault="00F806A0" w:rsidP="000D4FFB">
            <w:pPr>
              <w:jc w:val="both"/>
              <w:rPr>
                <w:b/>
                <w:iCs/>
                <w:sz w:val="16"/>
                <w:szCs w:val="16"/>
                <w:lang w:val="en-GB"/>
              </w:rPr>
            </w:pPr>
            <w:r w:rsidRPr="00BD3436">
              <w:rPr>
                <w:b/>
                <w:iCs/>
                <w:sz w:val="16"/>
                <w:szCs w:val="16"/>
                <w:lang w:val="en-GB"/>
              </w:rPr>
              <w:t>Output 4: Renewable energy market developed, applying the principles of competition, transparency and non-discrimination</w:t>
            </w:r>
          </w:p>
          <w:p w14:paraId="0DFD7F21" w14:textId="41D1806B" w:rsidR="00F806A0" w:rsidRPr="00BD3436" w:rsidRDefault="00F806A0" w:rsidP="000D4FFB">
            <w:pPr>
              <w:rPr>
                <w:iCs/>
                <w:sz w:val="16"/>
                <w:szCs w:val="16"/>
                <w:lang w:val="en-GB"/>
              </w:rPr>
            </w:pPr>
            <w:r w:rsidRPr="00BD3436">
              <w:rPr>
                <w:iCs/>
                <w:sz w:val="16"/>
                <w:szCs w:val="16"/>
                <w:lang w:val="en-GB"/>
              </w:rPr>
              <w:t xml:space="preserve">Indicator: </w:t>
            </w:r>
            <w:r w:rsidR="00583150" w:rsidRPr="00BD3436">
              <w:rPr>
                <w:iCs/>
                <w:sz w:val="16"/>
                <w:szCs w:val="16"/>
                <w:lang w:val="en-GB"/>
              </w:rPr>
              <w:t xml:space="preserve">Number </w:t>
            </w:r>
            <w:r w:rsidRPr="00BD3436">
              <w:rPr>
                <w:iCs/>
                <w:sz w:val="16"/>
                <w:szCs w:val="16"/>
                <w:lang w:val="en-GB"/>
              </w:rPr>
              <w:t xml:space="preserve">of </w:t>
            </w:r>
            <w:r w:rsidR="00436AA8" w:rsidRPr="00BD3436">
              <w:rPr>
                <w:iCs/>
                <w:sz w:val="16"/>
                <w:szCs w:val="16"/>
                <w:lang w:val="en-GB"/>
              </w:rPr>
              <w:t>p</w:t>
            </w:r>
            <w:r w:rsidRPr="00BD3436">
              <w:rPr>
                <w:iCs/>
                <w:sz w:val="16"/>
                <w:szCs w:val="16"/>
                <w:lang w:val="en-GB"/>
              </w:rPr>
              <w:t xml:space="preserve">rivileged </w:t>
            </w:r>
            <w:r w:rsidR="00436AA8" w:rsidRPr="00BD3436">
              <w:rPr>
                <w:iCs/>
                <w:sz w:val="16"/>
                <w:szCs w:val="16"/>
                <w:lang w:val="en-GB"/>
              </w:rPr>
              <w:t>p</w:t>
            </w:r>
            <w:r w:rsidRPr="00BD3436">
              <w:rPr>
                <w:iCs/>
                <w:sz w:val="16"/>
                <w:szCs w:val="16"/>
                <w:lang w:val="en-GB"/>
              </w:rPr>
              <w:t xml:space="preserve">ower </w:t>
            </w:r>
            <w:r w:rsidR="00436AA8" w:rsidRPr="00BD3436">
              <w:rPr>
                <w:iCs/>
                <w:sz w:val="16"/>
                <w:szCs w:val="16"/>
                <w:lang w:val="en-GB"/>
              </w:rPr>
              <w:t>p</w:t>
            </w:r>
            <w:r w:rsidRPr="00BD3436">
              <w:rPr>
                <w:iCs/>
                <w:sz w:val="16"/>
                <w:szCs w:val="16"/>
                <w:lang w:val="en-GB"/>
              </w:rPr>
              <w:t xml:space="preserve">roducers (power producers from renewable energy that obtained the right to feed-in tariff) </w:t>
            </w:r>
          </w:p>
          <w:p w14:paraId="5102D86C" w14:textId="77777777" w:rsidR="00F806A0" w:rsidRPr="00BD3436" w:rsidRDefault="00F806A0" w:rsidP="000D4FFB">
            <w:pPr>
              <w:rPr>
                <w:iCs/>
                <w:sz w:val="16"/>
                <w:szCs w:val="16"/>
                <w:lang w:val="en-GB"/>
              </w:rPr>
            </w:pPr>
            <w:r w:rsidRPr="00BD3436">
              <w:rPr>
                <w:iCs/>
                <w:sz w:val="16"/>
                <w:szCs w:val="16"/>
                <w:lang w:val="en-GB"/>
              </w:rPr>
              <w:t>Baseline: 246; Target: 300</w:t>
            </w:r>
          </w:p>
          <w:p w14:paraId="7535935A" w14:textId="25C35485" w:rsidR="00F806A0" w:rsidRPr="00BD3436" w:rsidRDefault="00F806A0" w:rsidP="000D4FFB">
            <w:pPr>
              <w:rPr>
                <w:iCs/>
                <w:sz w:val="16"/>
                <w:szCs w:val="16"/>
                <w:lang w:val="en-GB"/>
              </w:rPr>
            </w:pPr>
            <w:r w:rsidRPr="00BD3436">
              <w:rPr>
                <w:iCs/>
                <w:sz w:val="16"/>
                <w:szCs w:val="16"/>
                <w:lang w:val="en-GB"/>
              </w:rPr>
              <w:t xml:space="preserve">Data source, frequency: Register of the </w:t>
            </w:r>
            <w:r w:rsidR="00436AA8" w:rsidRPr="00BD3436">
              <w:rPr>
                <w:iCs/>
                <w:sz w:val="16"/>
                <w:szCs w:val="16"/>
                <w:lang w:val="en-GB"/>
              </w:rPr>
              <w:t>p</w:t>
            </w:r>
            <w:r w:rsidRPr="00BD3436">
              <w:rPr>
                <w:iCs/>
                <w:sz w:val="16"/>
                <w:szCs w:val="16"/>
                <w:lang w:val="en-GB"/>
              </w:rPr>
              <w:t xml:space="preserve">rivileged </w:t>
            </w:r>
            <w:r w:rsidR="00436AA8" w:rsidRPr="00BD3436">
              <w:rPr>
                <w:iCs/>
                <w:sz w:val="16"/>
                <w:szCs w:val="16"/>
                <w:lang w:val="en-GB"/>
              </w:rPr>
              <w:t>p</w:t>
            </w:r>
            <w:r w:rsidRPr="00BD3436">
              <w:rPr>
                <w:iCs/>
                <w:sz w:val="16"/>
                <w:szCs w:val="16"/>
                <w:lang w:val="en-GB"/>
              </w:rPr>
              <w:t xml:space="preserve">ower </w:t>
            </w:r>
            <w:r w:rsidR="00436AA8" w:rsidRPr="00BD3436">
              <w:rPr>
                <w:iCs/>
                <w:sz w:val="16"/>
                <w:szCs w:val="16"/>
                <w:lang w:val="en-GB"/>
              </w:rPr>
              <w:t>p</w:t>
            </w:r>
            <w:r w:rsidRPr="00BD3436">
              <w:rPr>
                <w:iCs/>
                <w:sz w:val="16"/>
                <w:szCs w:val="16"/>
                <w:lang w:val="en-GB"/>
              </w:rPr>
              <w:t xml:space="preserve">roducers of the Ministry of Mining </w:t>
            </w:r>
            <w:r w:rsidRPr="00BD3436">
              <w:rPr>
                <w:iCs/>
                <w:sz w:val="16"/>
                <w:szCs w:val="16"/>
                <w:lang w:val="en-GB"/>
              </w:rPr>
              <w:lastRenderedPageBreak/>
              <w:t>and Energy</w:t>
            </w:r>
          </w:p>
          <w:p w14:paraId="2362E805" w14:textId="77777777" w:rsidR="00C16290" w:rsidRPr="00BD3436" w:rsidRDefault="00C16290" w:rsidP="000D4FFB">
            <w:pPr>
              <w:spacing w:after="120"/>
              <w:rPr>
                <w:b/>
                <w:iCs/>
                <w:sz w:val="16"/>
                <w:szCs w:val="16"/>
                <w:lang w:val="en-GB"/>
              </w:rPr>
            </w:pPr>
          </w:p>
          <w:p w14:paraId="246BD944" w14:textId="77777777" w:rsidR="00F806A0" w:rsidRPr="00BD3436" w:rsidRDefault="00F806A0" w:rsidP="000D4FFB">
            <w:pPr>
              <w:spacing w:after="120"/>
              <w:rPr>
                <w:b/>
                <w:iCs/>
                <w:sz w:val="16"/>
                <w:szCs w:val="16"/>
                <w:lang w:val="en-GB"/>
              </w:rPr>
            </w:pPr>
            <w:r w:rsidRPr="00BD3436">
              <w:rPr>
                <w:b/>
                <w:iCs/>
                <w:sz w:val="16"/>
                <w:szCs w:val="16"/>
                <w:lang w:val="en-GB"/>
              </w:rPr>
              <w:t xml:space="preserve">Output 5: The National Disaster Risk Management System is implemented at central and local levels </w:t>
            </w:r>
          </w:p>
          <w:p w14:paraId="587ACA30" w14:textId="5A90D1C3" w:rsidR="00F806A0" w:rsidRPr="00BD3436" w:rsidRDefault="00F806A0" w:rsidP="000D4FFB">
            <w:pPr>
              <w:pStyle w:val="Table"/>
              <w:rPr>
                <w:rFonts w:ascii="Times New Roman" w:hAnsi="Times New Roman" w:cs="Times New Roman"/>
                <w:sz w:val="16"/>
                <w:szCs w:val="16"/>
                <w:lang w:val="en-GB"/>
              </w:rPr>
            </w:pPr>
            <w:r w:rsidRPr="00BD3436">
              <w:rPr>
                <w:rFonts w:ascii="Times New Roman" w:hAnsi="Times New Roman" w:cs="Times New Roman"/>
                <w:iCs/>
                <w:sz w:val="16"/>
                <w:szCs w:val="16"/>
                <w:lang w:val="en-GB"/>
              </w:rPr>
              <w:t xml:space="preserve">Indicator: National </w:t>
            </w:r>
            <w:r w:rsidR="00FA04F9" w:rsidRPr="00BD3436">
              <w:rPr>
                <w:rFonts w:ascii="Times New Roman" w:hAnsi="Times New Roman" w:cs="Times New Roman"/>
                <w:sz w:val="16"/>
                <w:szCs w:val="16"/>
                <w:lang w:val="en-GB"/>
              </w:rPr>
              <w:t>legislation</w:t>
            </w:r>
            <w:r w:rsidRPr="00BD3436">
              <w:rPr>
                <w:rFonts w:ascii="Times New Roman" w:hAnsi="Times New Roman" w:cs="Times New Roman"/>
                <w:sz w:val="16"/>
                <w:szCs w:val="16"/>
                <w:lang w:val="en-GB"/>
              </w:rPr>
              <w:t xml:space="preserve"> and policies aligned with 2015 successor document to the Hyogo Framework for Action and mainstream </w:t>
            </w:r>
            <w:r w:rsidR="00436AA8" w:rsidRPr="00BD3436">
              <w:rPr>
                <w:rFonts w:ascii="Times New Roman" w:hAnsi="Times New Roman" w:cs="Times New Roman"/>
                <w:sz w:val="16"/>
                <w:szCs w:val="16"/>
                <w:lang w:val="en-GB"/>
              </w:rPr>
              <w:t xml:space="preserve">disaster risk reduction </w:t>
            </w:r>
            <w:r w:rsidRPr="00BD3436">
              <w:rPr>
                <w:rFonts w:ascii="Times New Roman" w:hAnsi="Times New Roman" w:cs="Times New Roman"/>
                <w:sz w:val="16"/>
                <w:szCs w:val="16"/>
                <w:lang w:val="en-GB"/>
              </w:rPr>
              <w:t>(</w:t>
            </w:r>
            <w:r w:rsidR="0034301A" w:rsidRPr="00BD3436">
              <w:rPr>
                <w:rFonts w:ascii="Times New Roman" w:hAnsi="Times New Roman" w:cs="Times New Roman"/>
                <w:sz w:val="16"/>
                <w:szCs w:val="16"/>
                <w:lang w:val="en-GB"/>
              </w:rPr>
              <w:t>Rating scale: 1-no, 2-to some extent, 3-to great extent, 4-yes)</w:t>
            </w:r>
          </w:p>
          <w:p w14:paraId="79AB6E06" w14:textId="77777777" w:rsidR="00F806A0" w:rsidRPr="00BD3436" w:rsidRDefault="00F806A0" w:rsidP="000D4FFB">
            <w:pPr>
              <w:pStyle w:val="Table"/>
              <w:rPr>
                <w:rFonts w:ascii="Times New Roman" w:hAnsi="Times New Roman" w:cs="Times New Roman"/>
                <w:sz w:val="16"/>
                <w:szCs w:val="16"/>
                <w:lang w:val="en-GB"/>
              </w:rPr>
            </w:pPr>
            <w:r w:rsidRPr="00BD3436">
              <w:rPr>
                <w:rFonts w:ascii="Times New Roman" w:hAnsi="Times New Roman" w:cs="Times New Roman"/>
                <w:sz w:val="16"/>
                <w:szCs w:val="16"/>
                <w:lang w:val="en-GB"/>
              </w:rPr>
              <w:t xml:space="preserve">Baseline: </w:t>
            </w:r>
            <w:r w:rsidR="0034301A" w:rsidRPr="00BD3436">
              <w:rPr>
                <w:rFonts w:ascii="Times New Roman" w:hAnsi="Times New Roman" w:cs="Times New Roman"/>
                <w:sz w:val="16"/>
                <w:szCs w:val="16"/>
                <w:lang w:val="en-GB"/>
              </w:rPr>
              <w:t xml:space="preserve">2 </w:t>
            </w:r>
          </w:p>
          <w:p w14:paraId="40A8CD2C" w14:textId="77777777" w:rsidR="0034301A" w:rsidRPr="00BD3436" w:rsidRDefault="0034301A" w:rsidP="000D4FFB">
            <w:pPr>
              <w:pStyle w:val="Table"/>
              <w:rPr>
                <w:rFonts w:ascii="Times New Roman" w:hAnsi="Times New Roman" w:cs="Times New Roman"/>
                <w:sz w:val="16"/>
                <w:szCs w:val="16"/>
                <w:lang w:val="en-GB"/>
              </w:rPr>
            </w:pPr>
            <w:r w:rsidRPr="00BD3436">
              <w:rPr>
                <w:rFonts w:ascii="Times New Roman" w:hAnsi="Times New Roman" w:cs="Times New Roman"/>
                <w:sz w:val="16"/>
                <w:szCs w:val="16"/>
                <w:lang w:val="en-GB"/>
              </w:rPr>
              <w:t>Target: 3</w:t>
            </w:r>
          </w:p>
          <w:p w14:paraId="26D3E787" w14:textId="00CC16FC" w:rsidR="00F806A0" w:rsidRPr="00BD3436" w:rsidRDefault="00F806A0" w:rsidP="000D4FFB">
            <w:pPr>
              <w:pStyle w:val="Table"/>
              <w:rPr>
                <w:rFonts w:ascii="Times New Roman" w:hAnsi="Times New Roman" w:cs="Times New Roman"/>
                <w:sz w:val="16"/>
                <w:szCs w:val="16"/>
                <w:lang w:val="en-GB"/>
              </w:rPr>
            </w:pPr>
            <w:r w:rsidRPr="00BD3436">
              <w:rPr>
                <w:rFonts w:ascii="Times New Roman" w:hAnsi="Times New Roman" w:cs="Times New Roman"/>
                <w:sz w:val="16"/>
                <w:szCs w:val="16"/>
                <w:lang w:val="en-GB"/>
              </w:rPr>
              <w:t xml:space="preserve">Sources: </w:t>
            </w:r>
            <w:r w:rsidR="00436AA8" w:rsidRPr="00BD3436">
              <w:rPr>
                <w:rFonts w:ascii="Times New Roman" w:hAnsi="Times New Roman" w:cs="Times New Roman"/>
                <w:sz w:val="16"/>
                <w:szCs w:val="16"/>
                <w:lang w:val="en-GB"/>
              </w:rPr>
              <w:t xml:space="preserve">United Nations International Strategy for Disaster Reduction </w:t>
            </w:r>
            <w:r w:rsidRPr="00BD3436">
              <w:rPr>
                <w:rFonts w:ascii="Times New Roman" w:hAnsi="Times New Roman" w:cs="Times New Roman"/>
                <w:sz w:val="16"/>
                <w:szCs w:val="16"/>
                <w:lang w:val="en-GB"/>
              </w:rPr>
              <w:t>Global Assessment Report</w:t>
            </w:r>
          </w:p>
          <w:p w14:paraId="2A65F804" w14:textId="77777777" w:rsidR="00F806A0" w:rsidRPr="00BD3436" w:rsidRDefault="00F806A0" w:rsidP="000D4FFB">
            <w:pPr>
              <w:rPr>
                <w:sz w:val="16"/>
                <w:szCs w:val="16"/>
                <w:lang w:val="en-GB"/>
              </w:rPr>
            </w:pPr>
          </w:p>
          <w:p w14:paraId="24E8805B" w14:textId="069DEDAA" w:rsidR="00F806A0" w:rsidRPr="00BD3436" w:rsidRDefault="00F806A0" w:rsidP="000D4FFB">
            <w:pPr>
              <w:rPr>
                <w:iCs/>
                <w:sz w:val="16"/>
                <w:szCs w:val="16"/>
                <w:lang w:val="en-GB"/>
              </w:rPr>
            </w:pPr>
            <w:r w:rsidRPr="00BD3436">
              <w:rPr>
                <w:iCs/>
                <w:sz w:val="16"/>
                <w:szCs w:val="16"/>
                <w:lang w:val="en-GB"/>
              </w:rPr>
              <w:t xml:space="preserve">Indicator: </w:t>
            </w:r>
            <w:r w:rsidR="00436AA8" w:rsidRPr="00BD3436">
              <w:rPr>
                <w:iCs/>
                <w:sz w:val="16"/>
                <w:szCs w:val="16"/>
                <w:lang w:val="en-GB"/>
              </w:rPr>
              <w:t xml:space="preserve">Percentage </w:t>
            </w:r>
            <w:r w:rsidRPr="00BD3436">
              <w:rPr>
                <w:iCs/>
                <w:sz w:val="16"/>
                <w:szCs w:val="16"/>
                <w:lang w:val="en-GB"/>
              </w:rPr>
              <w:t xml:space="preserve">of municipalities that conduct gender-sensitive risk assessments, prepare local gender-sensitive </w:t>
            </w:r>
            <w:r w:rsidR="00436AA8" w:rsidRPr="00BD3436">
              <w:rPr>
                <w:iCs/>
                <w:sz w:val="16"/>
                <w:szCs w:val="16"/>
                <w:lang w:val="en-GB"/>
              </w:rPr>
              <w:t xml:space="preserve">disaster risk management </w:t>
            </w:r>
            <w:r w:rsidRPr="00BD3436">
              <w:rPr>
                <w:iCs/>
                <w:sz w:val="16"/>
                <w:szCs w:val="16"/>
                <w:lang w:val="en-GB"/>
              </w:rPr>
              <w:t>plans, conduct capacity development and public awareness activities</w:t>
            </w:r>
            <w:r w:rsidRPr="00BD3436">
              <w:rPr>
                <w:rFonts w:eastAsiaTheme="minorHAnsi"/>
                <w:sz w:val="16"/>
                <w:szCs w:val="16"/>
                <w:lang w:val="en-GB"/>
              </w:rPr>
              <w:t xml:space="preserve"> </w:t>
            </w:r>
          </w:p>
          <w:p w14:paraId="0690E0CE" w14:textId="77777777" w:rsidR="00F806A0" w:rsidRPr="00BD3436" w:rsidRDefault="00F806A0" w:rsidP="000D4FFB">
            <w:pPr>
              <w:rPr>
                <w:iCs/>
                <w:sz w:val="16"/>
                <w:szCs w:val="16"/>
                <w:lang w:val="en-GB"/>
              </w:rPr>
            </w:pPr>
            <w:r w:rsidRPr="00BD3436">
              <w:rPr>
                <w:iCs/>
                <w:sz w:val="16"/>
                <w:szCs w:val="16"/>
                <w:lang w:val="en-GB"/>
              </w:rPr>
              <w:t>Baseline: 2</w:t>
            </w:r>
            <w:r w:rsidR="00867D59" w:rsidRPr="00BD3436">
              <w:rPr>
                <w:iCs/>
                <w:sz w:val="16"/>
                <w:szCs w:val="16"/>
                <w:lang w:val="en-GB"/>
              </w:rPr>
              <w:t xml:space="preserve">%: </w:t>
            </w:r>
            <w:r w:rsidRPr="00BD3436">
              <w:rPr>
                <w:iCs/>
                <w:sz w:val="16"/>
                <w:szCs w:val="16"/>
                <w:lang w:val="en-GB"/>
              </w:rPr>
              <w:t>Target: 60%;</w:t>
            </w:r>
          </w:p>
          <w:p w14:paraId="7F0CE5B8" w14:textId="73B33735" w:rsidR="00F806A0" w:rsidRPr="00BD3436" w:rsidRDefault="00F806A0" w:rsidP="000D4FFB">
            <w:pPr>
              <w:pStyle w:val="Table"/>
              <w:rPr>
                <w:rFonts w:ascii="Times New Roman" w:hAnsi="Times New Roman" w:cs="Times New Roman"/>
                <w:sz w:val="16"/>
                <w:szCs w:val="16"/>
                <w:lang w:val="en-GB"/>
              </w:rPr>
            </w:pPr>
            <w:r w:rsidRPr="00BD3436">
              <w:rPr>
                <w:rFonts w:ascii="Times New Roman" w:eastAsia="Times New Roman" w:hAnsi="Times New Roman" w:cs="Times New Roman"/>
                <w:iCs/>
                <w:sz w:val="16"/>
                <w:szCs w:val="16"/>
                <w:lang w:val="en-GB"/>
              </w:rPr>
              <w:t>Source:</w:t>
            </w:r>
            <w:r w:rsidRPr="00BD3436">
              <w:rPr>
                <w:rFonts w:ascii="Times New Roman" w:hAnsi="Times New Roman" w:cs="Times New Roman"/>
                <w:sz w:val="16"/>
                <w:szCs w:val="16"/>
                <w:lang w:val="en-GB"/>
              </w:rPr>
              <w:t xml:space="preserve"> Official </w:t>
            </w:r>
            <w:r w:rsidR="00436AA8" w:rsidRPr="00BD3436">
              <w:rPr>
                <w:rFonts w:ascii="Times New Roman" w:hAnsi="Times New Roman" w:cs="Times New Roman"/>
                <w:sz w:val="16"/>
                <w:szCs w:val="16"/>
                <w:lang w:val="en-GB"/>
              </w:rPr>
              <w:t>G</w:t>
            </w:r>
            <w:r w:rsidRPr="00BD3436">
              <w:rPr>
                <w:rFonts w:ascii="Times New Roman" w:hAnsi="Times New Roman" w:cs="Times New Roman"/>
                <w:sz w:val="16"/>
                <w:szCs w:val="16"/>
                <w:lang w:val="en-GB"/>
              </w:rPr>
              <w:t>azette, government reports, UNDP reports</w:t>
            </w:r>
          </w:p>
        </w:tc>
        <w:tc>
          <w:tcPr>
            <w:tcW w:w="674" w:type="pct"/>
            <w:vMerge w:val="restart"/>
            <w:tcBorders>
              <w:top w:val="single" w:sz="4" w:space="0" w:color="auto"/>
              <w:left w:val="single" w:sz="4" w:space="0" w:color="auto"/>
              <w:bottom w:val="single" w:sz="4" w:space="0" w:color="auto"/>
              <w:right w:val="single" w:sz="4" w:space="0" w:color="auto"/>
            </w:tcBorders>
          </w:tcPr>
          <w:p w14:paraId="2CD5CE76" w14:textId="3D59E766" w:rsidR="00F806A0" w:rsidRPr="00BD3436" w:rsidRDefault="00F806A0" w:rsidP="000D4FFB">
            <w:pPr>
              <w:rPr>
                <w:iCs/>
                <w:sz w:val="16"/>
                <w:szCs w:val="16"/>
                <w:lang w:val="en-GB"/>
              </w:rPr>
            </w:pPr>
            <w:r w:rsidRPr="00BD3436">
              <w:rPr>
                <w:iCs/>
                <w:sz w:val="16"/>
                <w:szCs w:val="16"/>
                <w:lang w:val="en-GB"/>
              </w:rPr>
              <w:lastRenderedPageBreak/>
              <w:t>Ministry of Agriculture and Environmental Protection (incl</w:t>
            </w:r>
            <w:r w:rsidR="00436AA8" w:rsidRPr="00BD3436">
              <w:rPr>
                <w:iCs/>
                <w:sz w:val="16"/>
                <w:szCs w:val="16"/>
                <w:lang w:val="en-GB"/>
              </w:rPr>
              <w:t>uding</w:t>
            </w:r>
            <w:r w:rsidRPr="00BD3436">
              <w:rPr>
                <w:iCs/>
                <w:sz w:val="16"/>
                <w:szCs w:val="16"/>
                <w:lang w:val="en-GB"/>
              </w:rPr>
              <w:t xml:space="preserve"> Agency for Environmental Protection)</w:t>
            </w:r>
            <w:r w:rsidR="00436AA8" w:rsidRPr="00BD3436">
              <w:rPr>
                <w:iCs/>
                <w:sz w:val="16"/>
                <w:szCs w:val="16"/>
                <w:lang w:val="en-GB"/>
              </w:rPr>
              <w:t>;</w:t>
            </w:r>
          </w:p>
          <w:p w14:paraId="215E6035" w14:textId="549AAE0A" w:rsidR="00F806A0" w:rsidRPr="00BD3436" w:rsidRDefault="00F806A0" w:rsidP="000D4FFB">
            <w:pPr>
              <w:rPr>
                <w:iCs/>
                <w:sz w:val="16"/>
                <w:szCs w:val="16"/>
                <w:lang w:val="en-GB"/>
              </w:rPr>
            </w:pPr>
            <w:r w:rsidRPr="00BD3436">
              <w:rPr>
                <w:iCs/>
                <w:sz w:val="16"/>
                <w:szCs w:val="16"/>
                <w:lang w:val="en-GB"/>
              </w:rPr>
              <w:t>Ministry of Mining and Energy</w:t>
            </w:r>
            <w:r w:rsidR="00436AA8" w:rsidRPr="00BD3436">
              <w:rPr>
                <w:iCs/>
                <w:sz w:val="16"/>
                <w:szCs w:val="16"/>
                <w:lang w:val="en-GB"/>
              </w:rPr>
              <w:t>;</w:t>
            </w:r>
            <w:r w:rsidRPr="00BD3436">
              <w:rPr>
                <w:iCs/>
                <w:sz w:val="16"/>
                <w:szCs w:val="16"/>
                <w:lang w:val="en-GB"/>
              </w:rPr>
              <w:t xml:space="preserve"> Ministry of Education, Science and Technological Development</w:t>
            </w:r>
            <w:r w:rsidR="00436AA8" w:rsidRPr="00BD3436">
              <w:rPr>
                <w:iCs/>
                <w:sz w:val="16"/>
                <w:szCs w:val="16"/>
                <w:lang w:val="en-GB"/>
              </w:rPr>
              <w:t>;</w:t>
            </w:r>
            <w:r w:rsidRPr="00BD3436">
              <w:rPr>
                <w:iCs/>
                <w:sz w:val="16"/>
                <w:szCs w:val="16"/>
                <w:lang w:val="en-GB"/>
              </w:rPr>
              <w:t xml:space="preserve"> Provincial Secretariat for Urban Planning, Construction and Environmental Protection</w:t>
            </w:r>
            <w:r w:rsidR="00436AA8" w:rsidRPr="00BD3436">
              <w:rPr>
                <w:iCs/>
                <w:sz w:val="16"/>
                <w:szCs w:val="16"/>
                <w:lang w:val="en-GB"/>
              </w:rPr>
              <w:t>;</w:t>
            </w:r>
            <w:r w:rsidRPr="00BD3436">
              <w:rPr>
                <w:iCs/>
                <w:sz w:val="16"/>
                <w:szCs w:val="16"/>
                <w:lang w:val="en-GB"/>
              </w:rPr>
              <w:t xml:space="preserve"> </w:t>
            </w:r>
            <w:r w:rsidR="00436AA8" w:rsidRPr="00BD3436">
              <w:rPr>
                <w:iCs/>
                <w:sz w:val="16"/>
                <w:szCs w:val="16"/>
                <w:lang w:val="en-GB"/>
              </w:rPr>
              <w:t>i</w:t>
            </w:r>
            <w:r w:rsidRPr="00BD3436">
              <w:rPr>
                <w:iCs/>
                <w:sz w:val="16"/>
                <w:szCs w:val="16"/>
                <w:lang w:val="en-GB"/>
              </w:rPr>
              <w:t xml:space="preserve">nstitutes for nature </w:t>
            </w:r>
            <w:r w:rsidR="00436AA8" w:rsidRPr="00BD3436">
              <w:rPr>
                <w:iCs/>
                <w:sz w:val="16"/>
                <w:szCs w:val="16"/>
                <w:lang w:val="en-GB"/>
              </w:rPr>
              <w:t>c</w:t>
            </w:r>
            <w:r w:rsidRPr="00BD3436">
              <w:rPr>
                <w:iCs/>
                <w:sz w:val="16"/>
                <w:szCs w:val="16"/>
                <w:lang w:val="en-GB"/>
              </w:rPr>
              <w:t xml:space="preserve">onservation, Republic Hidromet </w:t>
            </w:r>
            <w:r w:rsidR="00436AA8" w:rsidRPr="00BD3436">
              <w:rPr>
                <w:iCs/>
                <w:sz w:val="16"/>
                <w:szCs w:val="16"/>
                <w:lang w:val="en-GB"/>
              </w:rPr>
              <w:t>S</w:t>
            </w:r>
            <w:r w:rsidRPr="00BD3436">
              <w:rPr>
                <w:iCs/>
                <w:sz w:val="16"/>
                <w:szCs w:val="16"/>
                <w:lang w:val="en-GB"/>
              </w:rPr>
              <w:t>ervice of Serbia</w:t>
            </w:r>
            <w:r w:rsidR="00436AA8" w:rsidRPr="00BD3436">
              <w:rPr>
                <w:iCs/>
                <w:sz w:val="16"/>
                <w:szCs w:val="16"/>
                <w:lang w:val="en-GB"/>
              </w:rPr>
              <w:t>;</w:t>
            </w:r>
            <w:r w:rsidRPr="00BD3436">
              <w:rPr>
                <w:iCs/>
                <w:sz w:val="16"/>
                <w:szCs w:val="16"/>
                <w:lang w:val="en-GB"/>
              </w:rPr>
              <w:t xml:space="preserve"> </w:t>
            </w:r>
            <w:r w:rsidR="00436AA8" w:rsidRPr="00BD3436">
              <w:rPr>
                <w:iCs/>
                <w:sz w:val="16"/>
                <w:szCs w:val="16"/>
                <w:lang w:val="en-GB"/>
              </w:rPr>
              <w:t>p</w:t>
            </w:r>
            <w:r w:rsidRPr="00BD3436">
              <w:rPr>
                <w:iCs/>
                <w:sz w:val="16"/>
                <w:szCs w:val="16"/>
                <w:lang w:val="en-GB"/>
              </w:rPr>
              <w:t xml:space="preserve">rotected </w:t>
            </w:r>
            <w:r w:rsidR="00436AA8" w:rsidRPr="00BD3436">
              <w:rPr>
                <w:iCs/>
                <w:sz w:val="16"/>
                <w:szCs w:val="16"/>
                <w:lang w:val="en-GB"/>
              </w:rPr>
              <w:t>a</w:t>
            </w:r>
            <w:r w:rsidRPr="00BD3436">
              <w:rPr>
                <w:iCs/>
                <w:sz w:val="16"/>
                <w:szCs w:val="16"/>
                <w:lang w:val="en-GB"/>
              </w:rPr>
              <w:t>reas managers</w:t>
            </w:r>
            <w:r w:rsidR="00436AA8" w:rsidRPr="00BD3436">
              <w:rPr>
                <w:iCs/>
                <w:sz w:val="16"/>
                <w:szCs w:val="16"/>
                <w:lang w:val="en-GB"/>
              </w:rPr>
              <w:t>;</w:t>
            </w:r>
            <w:r w:rsidRPr="00BD3436">
              <w:rPr>
                <w:iCs/>
                <w:sz w:val="16"/>
                <w:szCs w:val="16"/>
                <w:lang w:val="en-GB"/>
              </w:rPr>
              <w:t xml:space="preserve"> scientific institutes and universities</w:t>
            </w:r>
          </w:p>
          <w:p w14:paraId="3C9D94D7" w14:textId="77777777" w:rsidR="00F806A0" w:rsidRPr="00BD3436" w:rsidRDefault="00F806A0" w:rsidP="000D4FFB">
            <w:pPr>
              <w:rPr>
                <w:iCs/>
                <w:sz w:val="16"/>
                <w:szCs w:val="16"/>
                <w:lang w:val="en-GB"/>
              </w:rPr>
            </w:pPr>
          </w:p>
          <w:p w14:paraId="0463CFCE" w14:textId="77777777" w:rsidR="00F806A0" w:rsidRPr="00BD3436" w:rsidRDefault="00F806A0" w:rsidP="000D4FFB">
            <w:pPr>
              <w:rPr>
                <w:iCs/>
                <w:sz w:val="16"/>
                <w:szCs w:val="16"/>
                <w:lang w:val="en-GB"/>
              </w:rPr>
            </w:pPr>
            <w:r w:rsidRPr="00BD3436">
              <w:rPr>
                <w:iCs/>
                <w:sz w:val="16"/>
                <w:szCs w:val="16"/>
                <w:lang w:val="en-GB"/>
              </w:rPr>
              <w:t>Ministry of Interior – Sector for Emergency Management</w:t>
            </w:r>
          </w:p>
          <w:p w14:paraId="0427C132" w14:textId="77777777" w:rsidR="00F806A0" w:rsidRPr="00BD3436" w:rsidRDefault="00F806A0" w:rsidP="000D4FFB">
            <w:pPr>
              <w:rPr>
                <w:iCs/>
                <w:sz w:val="16"/>
                <w:szCs w:val="16"/>
                <w:lang w:val="en-GB"/>
              </w:rPr>
            </w:pPr>
          </w:p>
          <w:p w14:paraId="042B46DA" w14:textId="77777777" w:rsidR="00F806A0" w:rsidRPr="00BD3436" w:rsidRDefault="00F806A0" w:rsidP="000D4FFB">
            <w:pPr>
              <w:rPr>
                <w:iCs/>
                <w:sz w:val="16"/>
                <w:szCs w:val="16"/>
                <w:lang w:val="en-GB"/>
              </w:rPr>
            </w:pPr>
            <w:r w:rsidRPr="00BD3436">
              <w:rPr>
                <w:iCs/>
                <w:sz w:val="16"/>
                <w:szCs w:val="16"/>
                <w:lang w:val="en-GB"/>
              </w:rPr>
              <w:t>The Government Office for Reconstruction and Flood Relief</w:t>
            </w:r>
          </w:p>
          <w:p w14:paraId="0B49C8B4" w14:textId="77777777" w:rsidR="00F806A0" w:rsidRPr="00BD3436" w:rsidRDefault="00F806A0" w:rsidP="000D4FFB">
            <w:pPr>
              <w:rPr>
                <w:iCs/>
                <w:sz w:val="16"/>
                <w:szCs w:val="16"/>
                <w:lang w:val="en-GB"/>
              </w:rPr>
            </w:pPr>
          </w:p>
          <w:p w14:paraId="28A55B03" w14:textId="4D138B20" w:rsidR="00F806A0" w:rsidRPr="00BD3436" w:rsidRDefault="00F806A0" w:rsidP="000D4FFB">
            <w:pPr>
              <w:rPr>
                <w:iCs/>
                <w:sz w:val="16"/>
                <w:szCs w:val="16"/>
                <w:lang w:val="en-GB"/>
              </w:rPr>
            </w:pPr>
            <w:r w:rsidRPr="00BD3436">
              <w:rPr>
                <w:iCs/>
                <w:sz w:val="16"/>
                <w:szCs w:val="16"/>
                <w:lang w:val="en-GB"/>
              </w:rPr>
              <w:t xml:space="preserve">Ministries in charge of environment, </w:t>
            </w:r>
            <w:r w:rsidRPr="00BD3436">
              <w:rPr>
                <w:iCs/>
                <w:sz w:val="16"/>
                <w:szCs w:val="16"/>
                <w:lang w:val="en-GB"/>
              </w:rPr>
              <w:lastRenderedPageBreak/>
              <w:t>infrastructure and local self-government</w:t>
            </w:r>
          </w:p>
          <w:p w14:paraId="6AA14FB7" w14:textId="77777777" w:rsidR="00F806A0" w:rsidRPr="00BD3436" w:rsidRDefault="00F806A0" w:rsidP="000D4FFB">
            <w:pPr>
              <w:rPr>
                <w:i/>
                <w:iCs/>
                <w:sz w:val="16"/>
                <w:szCs w:val="16"/>
                <w:lang w:val="en-GB"/>
              </w:rPr>
            </w:pPr>
          </w:p>
        </w:tc>
        <w:tc>
          <w:tcPr>
            <w:tcW w:w="48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497C0036" w14:textId="77777777" w:rsidR="00F806A0" w:rsidRPr="00BD3436" w:rsidRDefault="00F806A0" w:rsidP="000D4FFB">
            <w:pPr>
              <w:rPr>
                <w:b/>
                <w:sz w:val="16"/>
                <w:szCs w:val="16"/>
                <w:lang w:val="en-GB"/>
              </w:rPr>
            </w:pPr>
            <w:r w:rsidRPr="00BD3436">
              <w:rPr>
                <w:b/>
                <w:sz w:val="16"/>
                <w:szCs w:val="16"/>
                <w:lang w:val="en-GB"/>
              </w:rPr>
              <w:lastRenderedPageBreak/>
              <w:t>Regular: 614,750.00</w:t>
            </w:r>
          </w:p>
        </w:tc>
      </w:tr>
      <w:tr w:rsidR="00F806A0" w:rsidRPr="00BD3436" w14:paraId="3D08CB7D" w14:textId="77777777" w:rsidTr="004303A7">
        <w:trPr>
          <w:trHeight w:val="461"/>
        </w:trPr>
        <w:tc>
          <w:tcPr>
            <w:tcW w:w="827" w:type="pct"/>
            <w:vMerge/>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tcPr>
          <w:p w14:paraId="4EB8E632" w14:textId="77777777" w:rsidR="00F806A0" w:rsidRPr="00BD3436" w:rsidRDefault="00F806A0" w:rsidP="000D4FFB">
            <w:pPr>
              <w:rPr>
                <w:i/>
                <w:iCs/>
                <w:sz w:val="16"/>
                <w:szCs w:val="16"/>
                <w:lang w:val="en-GB"/>
              </w:rPr>
            </w:pPr>
          </w:p>
        </w:tc>
        <w:tc>
          <w:tcPr>
            <w:tcW w:w="624" w:type="pct"/>
            <w:vMerge/>
            <w:tcBorders>
              <w:top w:val="single" w:sz="4" w:space="0" w:color="auto"/>
              <w:left w:val="single" w:sz="4" w:space="0" w:color="auto"/>
              <w:bottom w:val="single" w:sz="4" w:space="0" w:color="auto"/>
              <w:right w:val="single" w:sz="8" w:space="0" w:color="000000"/>
            </w:tcBorders>
          </w:tcPr>
          <w:p w14:paraId="2663FCDC" w14:textId="77777777" w:rsidR="00F806A0" w:rsidRPr="00BD3436" w:rsidRDefault="00F806A0" w:rsidP="000D4FFB">
            <w:pPr>
              <w:rPr>
                <w:i/>
                <w:iCs/>
                <w:sz w:val="16"/>
                <w:szCs w:val="16"/>
                <w:lang w:val="en-GB"/>
              </w:rPr>
            </w:pPr>
          </w:p>
        </w:tc>
        <w:tc>
          <w:tcPr>
            <w:tcW w:w="2389" w:type="pct"/>
            <w:vMerge/>
            <w:tcBorders>
              <w:top w:val="single" w:sz="4" w:space="0" w:color="auto"/>
              <w:left w:val="single" w:sz="8" w:space="0" w:color="000000"/>
              <w:bottom w:val="single" w:sz="4" w:space="0" w:color="auto"/>
              <w:right w:val="single" w:sz="4" w:space="0" w:color="auto"/>
            </w:tcBorders>
            <w:tcMar>
              <w:top w:w="72" w:type="dxa"/>
              <w:left w:w="144" w:type="dxa"/>
              <w:bottom w:w="72" w:type="dxa"/>
              <w:right w:w="144" w:type="dxa"/>
            </w:tcMar>
          </w:tcPr>
          <w:p w14:paraId="64E83E97" w14:textId="77777777" w:rsidR="00F806A0" w:rsidRPr="00BD3436" w:rsidRDefault="00F806A0" w:rsidP="000D4FFB">
            <w:pPr>
              <w:rPr>
                <w:i/>
                <w:iCs/>
                <w:sz w:val="16"/>
                <w:szCs w:val="16"/>
                <w:lang w:val="en-GB"/>
              </w:rPr>
            </w:pPr>
          </w:p>
        </w:tc>
        <w:tc>
          <w:tcPr>
            <w:tcW w:w="674" w:type="pct"/>
            <w:vMerge/>
            <w:tcBorders>
              <w:top w:val="single" w:sz="4" w:space="0" w:color="auto"/>
              <w:left w:val="single" w:sz="4" w:space="0" w:color="auto"/>
              <w:bottom w:val="single" w:sz="4" w:space="0" w:color="auto"/>
              <w:right w:val="single" w:sz="4" w:space="0" w:color="auto"/>
            </w:tcBorders>
          </w:tcPr>
          <w:p w14:paraId="3CB60950" w14:textId="77777777" w:rsidR="00F806A0" w:rsidRPr="00BD3436" w:rsidRDefault="00F806A0" w:rsidP="000D4FFB">
            <w:pPr>
              <w:rPr>
                <w:i/>
                <w:iCs/>
                <w:sz w:val="16"/>
                <w:szCs w:val="16"/>
                <w:lang w:val="en-GB"/>
              </w:rPr>
            </w:pPr>
          </w:p>
        </w:tc>
        <w:tc>
          <w:tcPr>
            <w:tcW w:w="486" w:type="pct"/>
            <w:tcBorders>
              <w:top w:val="single" w:sz="4" w:space="0" w:color="auto"/>
              <w:left w:val="single" w:sz="4" w:space="0" w:color="auto"/>
              <w:bottom w:val="single" w:sz="4" w:space="0" w:color="auto"/>
              <w:right w:val="single" w:sz="8" w:space="0" w:color="000000"/>
            </w:tcBorders>
            <w:tcMar>
              <w:top w:w="15" w:type="dxa"/>
              <w:left w:w="108" w:type="dxa"/>
              <w:bottom w:w="0" w:type="dxa"/>
              <w:right w:w="108" w:type="dxa"/>
            </w:tcMar>
          </w:tcPr>
          <w:p w14:paraId="2E900F77" w14:textId="77777777" w:rsidR="00595F27" w:rsidRPr="00BD3436" w:rsidRDefault="00F806A0" w:rsidP="000D4FFB">
            <w:pPr>
              <w:rPr>
                <w:b/>
                <w:sz w:val="16"/>
                <w:szCs w:val="16"/>
                <w:lang w:val="en-GB"/>
              </w:rPr>
            </w:pPr>
            <w:r w:rsidRPr="00BD3436">
              <w:rPr>
                <w:b/>
                <w:sz w:val="16"/>
                <w:szCs w:val="16"/>
                <w:lang w:val="en-GB"/>
              </w:rPr>
              <w:t>Other:</w:t>
            </w:r>
          </w:p>
          <w:p w14:paraId="67AE140E" w14:textId="77777777" w:rsidR="00F806A0" w:rsidRPr="00BD3436" w:rsidRDefault="00F806A0" w:rsidP="000D4FFB">
            <w:pPr>
              <w:rPr>
                <w:b/>
                <w:sz w:val="16"/>
                <w:szCs w:val="16"/>
                <w:lang w:val="en-GB"/>
              </w:rPr>
            </w:pPr>
            <w:r w:rsidRPr="00BD3436">
              <w:rPr>
                <w:b/>
                <w:sz w:val="16"/>
                <w:szCs w:val="16"/>
                <w:lang w:val="en-GB"/>
              </w:rPr>
              <w:t>19,486,000.00</w:t>
            </w:r>
          </w:p>
          <w:p w14:paraId="1C445666" w14:textId="77777777" w:rsidR="00F806A0" w:rsidRPr="00BD3436" w:rsidRDefault="00F806A0" w:rsidP="000D4FFB">
            <w:pPr>
              <w:rPr>
                <w:b/>
                <w:sz w:val="16"/>
                <w:szCs w:val="16"/>
                <w:lang w:val="en-GB"/>
              </w:rPr>
            </w:pPr>
          </w:p>
          <w:p w14:paraId="04B33D75" w14:textId="77777777" w:rsidR="00F806A0" w:rsidRPr="00BD3436" w:rsidRDefault="00F806A0" w:rsidP="000D4FFB">
            <w:pPr>
              <w:rPr>
                <w:b/>
                <w:sz w:val="16"/>
                <w:szCs w:val="16"/>
                <w:lang w:val="en-GB"/>
              </w:rPr>
            </w:pPr>
          </w:p>
          <w:p w14:paraId="6B496008" w14:textId="77777777" w:rsidR="00F806A0" w:rsidRPr="00BD3436" w:rsidRDefault="00F806A0" w:rsidP="000D4FFB">
            <w:pPr>
              <w:rPr>
                <w:b/>
                <w:sz w:val="16"/>
                <w:szCs w:val="16"/>
                <w:lang w:val="en-GB"/>
              </w:rPr>
            </w:pPr>
          </w:p>
          <w:p w14:paraId="78F60B63" w14:textId="77777777" w:rsidR="00F806A0" w:rsidRPr="00BD3436" w:rsidRDefault="00F806A0" w:rsidP="000D4FFB">
            <w:pPr>
              <w:rPr>
                <w:b/>
                <w:sz w:val="16"/>
                <w:szCs w:val="16"/>
                <w:lang w:val="en-GB"/>
              </w:rPr>
            </w:pPr>
          </w:p>
          <w:p w14:paraId="121FD82B" w14:textId="77777777" w:rsidR="00F806A0" w:rsidRPr="00BD3436" w:rsidRDefault="00F806A0" w:rsidP="000D4FFB">
            <w:pPr>
              <w:rPr>
                <w:b/>
                <w:sz w:val="16"/>
                <w:szCs w:val="16"/>
                <w:lang w:val="en-GB"/>
              </w:rPr>
            </w:pPr>
          </w:p>
          <w:p w14:paraId="6AB49F31" w14:textId="77777777" w:rsidR="00F806A0" w:rsidRPr="00BD3436" w:rsidRDefault="00F806A0" w:rsidP="000D4FFB">
            <w:pPr>
              <w:rPr>
                <w:b/>
                <w:sz w:val="16"/>
                <w:szCs w:val="16"/>
                <w:lang w:val="en-GB"/>
              </w:rPr>
            </w:pPr>
          </w:p>
          <w:p w14:paraId="2E4C1622" w14:textId="77777777" w:rsidR="00F806A0" w:rsidRPr="00BD3436" w:rsidRDefault="00F806A0" w:rsidP="000D4FFB">
            <w:pPr>
              <w:rPr>
                <w:b/>
                <w:sz w:val="16"/>
                <w:szCs w:val="16"/>
                <w:lang w:val="en-GB"/>
              </w:rPr>
            </w:pPr>
          </w:p>
          <w:p w14:paraId="37F9EF71" w14:textId="77777777" w:rsidR="00F806A0" w:rsidRPr="00BD3436" w:rsidRDefault="00F806A0" w:rsidP="000D4FFB">
            <w:pPr>
              <w:rPr>
                <w:b/>
                <w:sz w:val="16"/>
                <w:szCs w:val="16"/>
                <w:lang w:val="en-GB"/>
              </w:rPr>
            </w:pPr>
          </w:p>
          <w:p w14:paraId="0A639AC5" w14:textId="77777777" w:rsidR="00F806A0" w:rsidRPr="00BD3436" w:rsidRDefault="00F806A0" w:rsidP="000D4FFB">
            <w:pPr>
              <w:rPr>
                <w:b/>
                <w:sz w:val="16"/>
                <w:szCs w:val="16"/>
                <w:lang w:val="en-GB"/>
              </w:rPr>
            </w:pPr>
          </w:p>
          <w:p w14:paraId="2A352D71" w14:textId="77777777" w:rsidR="00F806A0" w:rsidRPr="00BD3436" w:rsidRDefault="00F806A0" w:rsidP="000D4FFB">
            <w:pPr>
              <w:rPr>
                <w:b/>
                <w:sz w:val="16"/>
                <w:szCs w:val="16"/>
                <w:lang w:val="en-GB"/>
              </w:rPr>
            </w:pPr>
          </w:p>
          <w:p w14:paraId="551D1287" w14:textId="77777777" w:rsidR="00F806A0" w:rsidRPr="00BD3436" w:rsidRDefault="00F806A0" w:rsidP="000D4FFB">
            <w:pPr>
              <w:rPr>
                <w:b/>
                <w:sz w:val="16"/>
                <w:szCs w:val="16"/>
                <w:lang w:val="en-GB"/>
              </w:rPr>
            </w:pPr>
          </w:p>
          <w:p w14:paraId="575CB403" w14:textId="77777777" w:rsidR="00F806A0" w:rsidRPr="00BD3436" w:rsidRDefault="00F806A0" w:rsidP="000D4FFB">
            <w:pPr>
              <w:rPr>
                <w:b/>
                <w:sz w:val="16"/>
                <w:szCs w:val="16"/>
                <w:lang w:val="en-GB"/>
              </w:rPr>
            </w:pPr>
          </w:p>
          <w:p w14:paraId="1A72B14E" w14:textId="77777777" w:rsidR="00F806A0" w:rsidRPr="00BD3436" w:rsidRDefault="00F806A0" w:rsidP="000D4FFB">
            <w:pPr>
              <w:rPr>
                <w:b/>
                <w:sz w:val="16"/>
                <w:szCs w:val="16"/>
                <w:lang w:val="en-GB"/>
              </w:rPr>
            </w:pPr>
          </w:p>
        </w:tc>
      </w:tr>
    </w:tbl>
    <w:p w14:paraId="15733F32" w14:textId="77777777" w:rsidR="00F806A0" w:rsidRPr="00BD3436" w:rsidRDefault="00F806A0" w:rsidP="00F806A0">
      <w:pPr>
        <w:rPr>
          <w:lang w:val="en-GB"/>
        </w:rPr>
      </w:pPr>
    </w:p>
    <w:p w14:paraId="014C3144" w14:textId="77777777" w:rsidR="00F806A0" w:rsidRPr="00BD3436" w:rsidRDefault="00301ACA" w:rsidP="00301ACA">
      <w:pPr>
        <w:jc w:val="center"/>
        <w:rPr>
          <w:bCs/>
          <w:lang w:val="en-GB"/>
        </w:rPr>
      </w:pPr>
      <w:r w:rsidRPr="00BD3436">
        <w:rPr>
          <w:noProof/>
          <w:sz w:val="16"/>
          <w:szCs w:val="16"/>
        </w:rPr>
        <w:drawing>
          <wp:inline distT="0" distB="0" distL="0" distR="0" wp14:anchorId="630AB7D8" wp14:editId="2D3BD7E0">
            <wp:extent cx="942975" cy="2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F806A0" w:rsidRPr="00BD3436" w:rsidSect="00CF49D9">
      <w:headerReference w:type="even" r:id="rId16"/>
      <w:headerReference w:type="default" r:id="rId17"/>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1097B" w14:textId="77777777" w:rsidR="00B76FEB" w:rsidRDefault="00B76FEB" w:rsidP="00F806A0">
      <w:r>
        <w:separator/>
      </w:r>
    </w:p>
  </w:endnote>
  <w:endnote w:type="continuationSeparator" w:id="0">
    <w:p w14:paraId="22360560" w14:textId="77777777" w:rsidR="00B76FEB" w:rsidRDefault="00B76FEB" w:rsidP="00F806A0">
      <w:r>
        <w:continuationSeparator/>
      </w:r>
    </w:p>
  </w:endnote>
  <w:endnote w:type="continuationNotice" w:id="1">
    <w:p w14:paraId="774F5FD0" w14:textId="77777777" w:rsidR="00B76FEB" w:rsidRDefault="00B7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3721"/>
      <w:docPartObj>
        <w:docPartGallery w:val="Page Numbers (Bottom of Page)"/>
        <w:docPartUnique/>
      </w:docPartObj>
    </w:sdtPr>
    <w:sdtEndPr>
      <w:rPr>
        <w:b/>
        <w:noProof/>
        <w:sz w:val="17"/>
        <w:szCs w:val="17"/>
      </w:rPr>
    </w:sdtEndPr>
    <w:sdtContent>
      <w:p w14:paraId="1E4DD9F0" w14:textId="77777777" w:rsidR="00E459C7" w:rsidRPr="008028A4" w:rsidRDefault="00E459C7" w:rsidP="008028A4">
        <w:pPr>
          <w:pStyle w:val="Footer"/>
          <w:rPr>
            <w:b/>
            <w:sz w:val="17"/>
            <w:szCs w:val="17"/>
          </w:rPr>
        </w:pPr>
        <w:r w:rsidRPr="008028A4">
          <w:rPr>
            <w:b/>
            <w:sz w:val="17"/>
            <w:szCs w:val="17"/>
          </w:rPr>
          <w:fldChar w:fldCharType="begin"/>
        </w:r>
        <w:r w:rsidRPr="008028A4">
          <w:rPr>
            <w:b/>
            <w:sz w:val="17"/>
            <w:szCs w:val="17"/>
          </w:rPr>
          <w:instrText xml:space="preserve"> PAGE   \* MERGEFORMAT </w:instrText>
        </w:r>
        <w:r w:rsidRPr="008028A4">
          <w:rPr>
            <w:b/>
            <w:sz w:val="17"/>
            <w:szCs w:val="17"/>
          </w:rPr>
          <w:fldChar w:fldCharType="separate"/>
        </w:r>
        <w:r w:rsidR="00256B88">
          <w:rPr>
            <w:b/>
            <w:noProof/>
            <w:sz w:val="17"/>
            <w:szCs w:val="17"/>
          </w:rPr>
          <w:t>8</w:t>
        </w:r>
        <w:r w:rsidRPr="008028A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1467"/>
      <w:docPartObj>
        <w:docPartGallery w:val="Page Numbers (Bottom of Page)"/>
        <w:docPartUnique/>
      </w:docPartObj>
    </w:sdtPr>
    <w:sdtEndPr>
      <w:rPr>
        <w:b/>
        <w:noProof/>
        <w:sz w:val="17"/>
        <w:szCs w:val="17"/>
      </w:rPr>
    </w:sdtEndPr>
    <w:sdtContent>
      <w:p w14:paraId="62F990AF" w14:textId="77777777" w:rsidR="00E459C7" w:rsidRPr="00301ACA" w:rsidRDefault="00E459C7" w:rsidP="008028A4">
        <w:pPr>
          <w:pStyle w:val="Footer"/>
          <w:jc w:val="right"/>
          <w:rPr>
            <w:b/>
            <w:sz w:val="17"/>
            <w:szCs w:val="17"/>
          </w:rPr>
        </w:pPr>
        <w:r w:rsidRPr="00301ACA">
          <w:rPr>
            <w:b/>
            <w:sz w:val="17"/>
            <w:szCs w:val="17"/>
          </w:rPr>
          <w:fldChar w:fldCharType="begin"/>
        </w:r>
        <w:r w:rsidRPr="00301ACA">
          <w:rPr>
            <w:b/>
            <w:sz w:val="17"/>
            <w:szCs w:val="17"/>
          </w:rPr>
          <w:instrText xml:space="preserve"> PAGE   \* MERGEFORMAT </w:instrText>
        </w:r>
        <w:r w:rsidRPr="00301ACA">
          <w:rPr>
            <w:b/>
            <w:sz w:val="17"/>
            <w:szCs w:val="17"/>
          </w:rPr>
          <w:fldChar w:fldCharType="separate"/>
        </w:r>
        <w:r w:rsidR="00256B88">
          <w:rPr>
            <w:b/>
            <w:noProof/>
            <w:sz w:val="17"/>
            <w:szCs w:val="17"/>
          </w:rPr>
          <w:t>5</w:t>
        </w:r>
        <w:r w:rsidRPr="00301ACA">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72767"/>
      <w:docPartObj>
        <w:docPartGallery w:val="Page Numbers (Bottom of Page)"/>
        <w:docPartUnique/>
      </w:docPartObj>
    </w:sdtPr>
    <w:sdtEndPr>
      <w:rPr>
        <w:b/>
        <w:noProof/>
        <w:sz w:val="17"/>
        <w:szCs w:val="17"/>
      </w:rPr>
    </w:sdtEndPr>
    <w:sdtContent>
      <w:p w14:paraId="76A8E44C" w14:textId="77777777" w:rsidR="004303A7" w:rsidRPr="00301ACA" w:rsidRDefault="004303A7" w:rsidP="004303A7">
        <w:pPr>
          <w:pStyle w:val="Footer"/>
          <w:ind w:right="-270"/>
          <w:jc w:val="right"/>
          <w:rPr>
            <w:b/>
            <w:sz w:val="17"/>
            <w:szCs w:val="17"/>
          </w:rPr>
        </w:pPr>
        <w:r w:rsidRPr="00301ACA">
          <w:rPr>
            <w:b/>
            <w:sz w:val="17"/>
            <w:szCs w:val="17"/>
          </w:rPr>
          <w:fldChar w:fldCharType="begin"/>
        </w:r>
        <w:r w:rsidRPr="00301ACA">
          <w:rPr>
            <w:b/>
            <w:sz w:val="17"/>
            <w:szCs w:val="17"/>
          </w:rPr>
          <w:instrText xml:space="preserve"> PAGE   \* MERGEFORMAT </w:instrText>
        </w:r>
        <w:r w:rsidRPr="00301ACA">
          <w:rPr>
            <w:b/>
            <w:sz w:val="17"/>
            <w:szCs w:val="17"/>
          </w:rPr>
          <w:fldChar w:fldCharType="separate"/>
        </w:r>
        <w:r w:rsidR="00256B88">
          <w:rPr>
            <w:b/>
            <w:noProof/>
            <w:sz w:val="17"/>
            <w:szCs w:val="17"/>
          </w:rPr>
          <w:t>9</w:t>
        </w:r>
        <w:r w:rsidRPr="00301ACA">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B78F" w14:textId="77777777" w:rsidR="00B76FEB" w:rsidRDefault="00B76FEB" w:rsidP="00F806A0">
      <w:r>
        <w:separator/>
      </w:r>
    </w:p>
  </w:footnote>
  <w:footnote w:type="continuationSeparator" w:id="0">
    <w:p w14:paraId="47A9D37F" w14:textId="77777777" w:rsidR="00B76FEB" w:rsidRDefault="00B76FEB" w:rsidP="00F806A0">
      <w:r>
        <w:continuationSeparator/>
      </w:r>
    </w:p>
  </w:footnote>
  <w:footnote w:type="continuationNotice" w:id="1">
    <w:p w14:paraId="4275FA10" w14:textId="77777777" w:rsidR="00B76FEB" w:rsidRDefault="00B76FEB"/>
  </w:footnote>
  <w:footnote w:id="2">
    <w:p w14:paraId="3A037028" w14:textId="6D1060BE" w:rsidR="00E459C7" w:rsidRPr="00212612" w:rsidRDefault="00E459C7" w:rsidP="00F806A0">
      <w:pPr>
        <w:pStyle w:val="CommentText"/>
        <w:rPr>
          <w:rStyle w:val="FootnoteReference"/>
        </w:rPr>
      </w:pPr>
      <w:r w:rsidRPr="00212612">
        <w:rPr>
          <w:rStyle w:val="FootnoteReference"/>
        </w:rPr>
        <w:footnoteRef/>
      </w:r>
      <w:r w:rsidRPr="00212612">
        <w:rPr>
          <w:rStyle w:val="FootnoteReference"/>
        </w:rPr>
        <w:t xml:space="preserve"> Although gradually improving its scoring in the corruption perception index of Transparency International, Serbia is still perceived to have high levels of corruption, ranked in 2014 below the world average (41, 78/175). According to UNDP corruption benchmarking surveys (eight rounds), citizens perceive that political parties (80 per cent), police (74 per cent) and the healthcare system (71 per cent) are the mostly corrupt.</w:t>
      </w:r>
    </w:p>
  </w:footnote>
  <w:footnote w:id="3">
    <w:p w14:paraId="30F26ED2" w14:textId="784569EB" w:rsidR="00E459C7" w:rsidRPr="00212612" w:rsidRDefault="00E459C7" w:rsidP="00F806A0">
      <w:pPr>
        <w:pStyle w:val="FootnoteText"/>
        <w:rPr>
          <w:rStyle w:val="FootnoteReference"/>
          <w:rFonts w:ascii="Times New Roman" w:hAnsi="Times New Roman"/>
        </w:rPr>
      </w:pPr>
      <w:r w:rsidRPr="00212612">
        <w:rPr>
          <w:rStyle w:val="FootnoteReference"/>
          <w:rFonts w:ascii="Times New Roman" w:hAnsi="Times New Roman"/>
        </w:rPr>
        <w:footnoteRef/>
      </w:r>
      <w:r w:rsidRPr="00212612">
        <w:rPr>
          <w:rStyle w:val="FootnoteReference"/>
          <w:rFonts w:ascii="Times New Roman" w:hAnsi="Times New Roman"/>
        </w:rPr>
        <w:t xml:space="preserve"> According to a 2013 United Nations Office for Drugs and Crime report, more than half of business representatives participating in the survey considered corruption a major obstacle to doing business. The fear of having to pay bribes to obtain requisite services or permits led over 9 per cent of business leaders not to make a major investment in the 12 months prior to the survey.</w:t>
      </w:r>
    </w:p>
  </w:footnote>
  <w:footnote w:id="4">
    <w:p w14:paraId="0905B5C0" w14:textId="370E3BF3" w:rsidR="00E459C7" w:rsidRPr="00212612" w:rsidRDefault="00E459C7" w:rsidP="00AF4152">
      <w:pPr>
        <w:pStyle w:val="Default"/>
        <w:rPr>
          <w:rStyle w:val="FootnoteReference"/>
          <w:color w:val="auto"/>
          <w:sz w:val="20"/>
          <w:szCs w:val="20"/>
          <w:lang w:eastAsia="en-US"/>
        </w:rPr>
      </w:pPr>
      <w:r w:rsidRPr="00212612">
        <w:rPr>
          <w:rStyle w:val="FootnoteReference"/>
          <w:color w:val="auto"/>
          <w:sz w:val="20"/>
          <w:szCs w:val="20"/>
          <w:lang w:eastAsia="en-US"/>
        </w:rPr>
        <w:footnoteRef/>
      </w:r>
      <w:r w:rsidRPr="00212612">
        <w:rPr>
          <w:rStyle w:val="FootnoteReference"/>
          <w:color w:val="auto"/>
          <w:sz w:val="20"/>
          <w:szCs w:val="20"/>
          <w:lang w:eastAsia="en-US"/>
        </w:rPr>
        <w:t xml:space="preserve"> The post-disaster needs assessment indicates that around 60 per cent of this amount accounts for destroyed property (physical capital) and around 40 per cent of the amount accounts for production. Production (70 per cent) – dominated by mining and energy – has seen the greatest loss, followed by agriculture and trade. The damage and loss in social sectors account for around 16 per cent of the total estimated amount, predominantly in the housing sector. </w:t>
      </w:r>
    </w:p>
  </w:footnote>
  <w:footnote w:id="5">
    <w:p w14:paraId="2B7357CD" w14:textId="4FA058F1" w:rsidR="00E459C7" w:rsidRPr="00C16290" w:rsidRDefault="00E459C7">
      <w:pPr>
        <w:pStyle w:val="FootnoteText"/>
        <w:rPr>
          <w:rStyle w:val="FootnoteReference"/>
          <w:rFonts w:ascii="Times New Roman" w:hAnsi="Times New Roman"/>
          <w:sz w:val="18"/>
          <w:szCs w:val="18"/>
        </w:rPr>
      </w:pPr>
      <w:r w:rsidRPr="00C16290">
        <w:rPr>
          <w:rStyle w:val="FootnoteReference"/>
          <w:rFonts w:ascii="Times New Roman" w:hAnsi="Times New Roman"/>
          <w:sz w:val="18"/>
          <w:szCs w:val="18"/>
        </w:rPr>
        <w:footnoteRef/>
      </w:r>
      <w:r w:rsidRPr="00C16290">
        <w:rPr>
          <w:rStyle w:val="FootnoteReference"/>
          <w:rFonts w:ascii="Times New Roman" w:hAnsi="Times New Roman"/>
          <w:sz w:val="18"/>
          <w:szCs w:val="18"/>
        </w:rPr>
        <w:t xml:space="preserve"> The 2013 public opinion poll on citizens’ attitudes towards the Serbian National Assembly showed that 34</w:t>
      </w:r>
      <w:r>
        <w:rPr>
          <w:rStyle w:val="FootnoteReference"/>
          <w:rFonts w:ascii="Times New Roman" w:hAnsi="Times New Roman"/>
          <w:sz w:val="18"/>
          <w:szCs w:val="18"/>
        </w:rPr>
        <w:t xml:space="preserve"> per cent</w:t>
      </w:r>
      <w:r w:rsidRPr="00C16290">
        <w:rPr>
          <w:rStyle w:val="FootnoteReference"/>
          <w:rFonts w:ascii="Times New Roman" w:hAnsi="Times New Roman"/>
          <w:sz w:val="18"/>
          <w:szCs w:val="18"/>
        </w:rPr>
        <w:t xml:space="preserve"> have a positive attitude towards the work of the National Assembly, a </w:t>
      </w:r>
      <w:r>
        <w:rPr>
          <w:rStyle w:val="FootnoteReference"/>
          <w:rFonts w:ascii="Times New Roman" w:hAnsi="Times New Roman"/>
          <w:sz w:val="18"/>
          <w:szCs w:val="18"/>
        </w:rPr>
        <w:t>two</w:t>
      </w:r>
      <w:r w:rsidRPr="00C16290">
        <w:rPr>
          <w:rStyle w:val="FootnoteReference"/>
          <w:rFonts w:ascii="Times New Roman" w:hAnsi="Times New Roman"/>
          <w:sz w:val="18"/>
          <w:szCs w:val="18"/>
        </w:rPr>
        <w:t>-fold increase compared to 2011. Half of polled citizens perceive an improvement in the functioning of the institution in the last 12 months. </w:t>
      </w:r>
    </w:p>
  </w:footnote>
  <w:footnote w:id="6">
    <w:p w14:paraId="536F1975" w14:textId="77777777" w:rsidR="00E459C7" w:rsidRPr="00671FA8" w:rsidRDefault="00E459C7" w:rsidP="00F806A0">
      <w:pPr>
        <w:pStyle w:val="FootnoteText"/>
        <w:rPr>
          <w:rFonts w:ascii="Times New Roman" w:hAnsi="Times New Roman"/>
          <w:sz w:val="16"/>
          <w:szCs w:val="16"/>
        </w:rPr>
      </w:pPr>
      <w:r w:rsidRPr="00671FA8">
        <w:rPr>
          <w:rStyle w:val="FootnoteReference"/>
          <w:rFonts w:ascii="Times New Roman" w:hAnsi="Times New Roman"/>
          <w:sz w:val="16"/>
          <w:szCs w:val="16"/>
        </w:rPr>
        <w:footnoteRef/>
      </w:r>
      <w:r w:rsidRPr="00671FA8">
        <w:rPr>
          <w:rFonts w:ascii="Times New Roman" w:hAnsi="Times New Roman"/>
          <w:sz w:val="16"/>
          <w:szCs w:val="16"/>
        </w:rPr>
        <w:t xml:space="preserve"> </w:t>
      </w:r>
      <w:r>
        <w:rPr>
          <w:rFonts w:ascii="Times New Roman" w:hAnsi="Times New Roman"/>
          <w:sz w:val="16"/>
          <w:szCs w:val="16"/>
        </w:rPr>
        <w:t xml:space="preserve">Including young people, people with special needs, Roma and other ethnic minority representatives, older people and people with low qualifications.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459C7" w:rsidRPr="008028A4" w14:paraId="17891FF8" w14:textId="77777777" w:rsidTr="00717C47">
      <w:trPr>
        <w:trHeight w:hRule="exact" w:val="864"/>
      </w:trPr>
      <w:tc>
        <w:tcPr>
          <w:tcW w:w="4838" w:type="dxa"/>
          <w:tcBorders>
            <w:bottom w:val="single" w:sz="4" w:space="0" w:color="auto"/>
          </w:tcBorders>
          <w:vAlign w:val="bottom"/>
        </w:tcPr>
        <w:p w14:paraId="46B22148" w14:textId="77777777" w:rsidR="00E459C7" w:rsidRPr="008028A4" w:rsidRDefault="00E459C7" w:rsidP="008028A4">
          <w:pPr>
            <w:widowControl w:val="0"/>
            <w:tabs>
              <w:tab w:val="center" w:pos="4320"/>
              <w:tab w:val="right" w:pos="8640"/>
            </w:tabs>
            <w:spacing w:after="80"/>
            <w:rPr>
              <w:b/>
              <w:sz w:val="17"/>
              <w:szCs w:val="17"/>
            </w:rPr>
          </w:pPr>
          <w:r w:rsidRPr="008028A4">
            <w:rPr>
              <w:b/>
              <w:sz w:val="17"/>
              <w:szCs w:val="17"/>
            </w:rPr>
            <w:t>DP/DCP/</w:t>
          </w:r>
          <w:r>
            <w:rPr>
              <w:b/>
              <w:sz w:val="17"/>
              <w:szCs w:val="17"/>
            </w:rPr>
            <w:t>SR</w:t>
          </w:r>
          <w:r w:rsidRPr="008028A4">
            <w:rPr>
              <w:b/>
              <w:sz w:val="17"/>
              <w:szCs w:val="17"/>
            </w:rPr>
            <w:t>B/</w:t>
          </w:r>
          <w:r>
            <w:rPr>
              <w:b/>
              <w:sz w:val="17"/>
              <w:szCs w:val="17"/>
            </w:rPr>
            <w:t>2</w:t>
          </w:r>
        </w:p>
      </w:tc>
      <w:tc>
        <w:tcPr>
          <w:tcW w:w="5047" w:type="dxa"/>
          <w:tcBorders>
            <w:bottom w:val="single" w:sz="4" w:space="0" w:color="auto"/>
          </w:tcBorders>
          <w:vAlign w:val="bottom"/>
        </w:tcPr>
        <w:p w14:paraId="3AB39C8A" w14:textId="77777777" w:rsidR="00E459C7" w:rsidRPr="008028A4" w:rsidRDefault="00E459C7" w:rsidP="008028A4">
          <w:pPr>
            <w:widowControl w:val="0"/>
            <w:tabs>
              <w:tab w:val="center" w:pos="4320"/>
              <w:tab w:val="right" w:pos="8640"/>
            </w:tabs>
            <w:rPr>
              <w:sz w:val="17"/>
              <w:szCs w:val="17"/>
            </w:rPr>
          </w:pPr>
        </w:p>
      </w:tc>
    </w:tr>
  </w:tbl>
  <w:p w14:paraId="029C2BAA" w14:textId="77777777" w:rsidR="00E459C7" w:rsidRDefault="00E45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459C7" w:rsidRPr="008028A4" w14:paraId="76949ECC" w14:textId="77777777" w:rsidTr="00717C47">
      <w:trPr>
        <w:trHeight w:hRule="exact" w:val="864"/>
      </w:trPr>
      <w:tc>
        <w:tcPr>
          <w:tcW w:w="4838" w:type="dxa"/>
          <w:shd w:val="clear" w:color="auto" w:fill="auto"/>
          <w:vAlign w:val="bottom"/>
        </w:tcPr>
        <w:p w14:paraId="0E192155" w14:textId="77777777" w:rsidR="00E459C7" w:rsidRPr="008028A4" w:rsidRDefault="00E459C7" w:rsidP="008028A4">
          <w:pPr>
            <w:tabs>
              <w:tab w:val="center" w:pos="4320"/>
              <w:tab w:val="right" w:pos="8640"/>
            </w:tabs>
            <w:spacing w:after="80"/>
            <w:rPr>
              <w:b/>
              <w:noProof/>
              <w:sz w:val="17"/>
            </w:rPr>
          </w:pPr>
        </w:p>
      </w:tc>
      <w:tc>
        <w:tcPr>
          <w:tcW w:w="5033" w:type="dxa"/>
          <w:shd w:val="clear" w:color="auto" w:fill="auto"/>
          <w:vAlign w:val="bottom"/>
        </w:tcPr>
        <w:p w14:paraId="75206376" w14:textId="01CD2E22" w:rsidR="00E459C7" w:rsidRPr="008028A4" w:rsidRDefault="00E459C7" w:rsidP="008028A4">
          <w:pPr>
            <w:tabs>
              <w:tab w:val="center" w:pos="4320"/>
              <w:tab w:val="right" w:pos="8640"/>
            </w:tabs>
            <w:jc w:val="right"/>
            <w:rPr>
              <w:noProof/>
              <w:sz w:val="17"/>
            </w:rPr>
          </w:pPr>
          <w:r w:rsidRPr="008028A4">
            <w:rPr>
              <w:b/>
              <w:noProof/>
              <w:sz w:val="17"/>
            </w:rPr>
            <w:t>DP/DCP/</w:t>
          </w:r>
          <w:r>
            <w:rPr>
              <w:b/>
              <w:noProof/>
              <w:sz w:val="17"/>
            </w:rPr>
            <w:t>SR</w:t>
          </w:r>
          <w:r w:rsidRPr="008028A4">
            <w:rPr>
              <w:b/>
              <w:noProof/>
              <w:sz w:val="17"/>
            </w:rPr>
            <w:t>B/</w:t>
          </w:r>
          <w:r>
            <w:rPr>
              <w:b/>
              <w:noProof/>
              <w:sz w:val="17"/>
            </w:rPr>
            <w:t>2</w:t>
          </w:r>
        </w:p>
      </w:tc>
    </w:tr>
  </w:tbl>
  <w:p w14:paraId="3E9CFEE8" w14:textId="77777777" w:rsidR="00E459C7" w:rsidRDefault="00E45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459C7" w:rsidRPr="00EC5143" w14:paraId="47BB78BD" w14:textId="77777777" w:rsidTr="00EC5143">
      <w:trPr>
        <w:trHeight w:hRule="exact" w:val="864"/>
      </w:trPr>
      <w:tc>
        <w:tcPr>
          <w:tcW w:w="1267" w:type="dxa"/>
          <w:tcBorders>
            <w:bottom w:val="single" w:sz="4" w:space="0" w:color="auto"/>
          </w:tcBorders>
          <w:shd w:val="clear" w:color="auto" w:fill="auto"/>
          <w:vAlign w:val="bottom"/>
        </w:tcPr>
        <w:p w14:paraId="2C00988F" w14:textId="77777777" w:rsidR="00E459C7" w:rsidRPr="00EC5143" w:rsidRDefault="00E459C7" w:rsidP="00EC514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DE96D5B" w14:textId="77777777" w:rsidR="00E459C7" w:rsidRPr="00EC5143" w:rsidRDefault="00E459C7" w:rsidP="00EC51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C5143">
            <w:rPr>
              <w:spacing w:val="2"/>
              <w:w w:val="96"/>
              <w:kern w:val="14"/>
              <w:sz w:val="28"/>
              <w:lang w:val="en-GB"/>
            </w:rPr>
            <w:t>United Nations</w:t>
          </w:r>
        </w:p>
      </w:tc>
      <w:tc>
        <w:tcPr>
          <w:tcW w:w="245" w:type="dxa"/>
          <w:tcBorders>
            <w:bottom w:val="single" w:sz="4" w:space="0" w:color="auto"/>
          </w:tcBorders>
          <w:shd w:val="clear" w:color="auto" w:fill="auto"/>
          <w:vAlign w:val="bottom"/>
        </w:tcPr>
        <w:p w14:paraId="6F1519DE" w14:textId="77777777" w:rsidR="00E459C7" w:rsidRPr="00EC5143" w:rsidRDefault="00E459C7" w:rsidP="00EC514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78E4360" w14:textId="77777777" w:rsidR="00E459C7" w:rsidRPr="00EC5143" w:rsidRDefault="00E459C7" w:rsidP="008028A4">
          <w:pPr>
            <w:suppressAutoHyphens/>
            <w:spacing w:after="80"/>
            <w:jc w:val="right"/>
            <w:rPr>
              <w:spacing w:val="4"/>
              <w:w w:val="103"/>
              <w:kern w:val="14"/>
              <w:position w:val="-4"/>
              <w:lang w:val="en-GB"/>
            </w:rPr>
          </w:pPr>
          <w:r w:rsidRPr="00EC5143">
            <w:rPr>
              <w:spacing w:val="4"/>
              <w:w w:val="103"/>
              <w:kern w:val="14"/>
              <w:position w:val="-4"/>
              <w:sz w:val="40"/>
              <w:lang w:val="en-GB"/>
            </w:rPr>
            <w:t>DP</w:t>
          </w:r>
          <w:r w:rsidRPr="00EC5143">
            <w:rPr>
              <w:spacing w:val="4"/>
              <w:w w:val="103"/>
              <w:kern w:val="14"/>
              <w:position w:val="-4"/>
              <w:lang w:val="en-GB"/>
            </w:rPr>
            <w:t>/DCP/</w:t>
          </w:r>
          <w:r>
            <w:rPr>
              <w:spacing w:val="4"/>
              <w:w w:val="103"/>
              <w:kern w:val="14"/>
              <w:position w:val="-4"/>
              <w:lang w:val="en-GB"/>
            </w:rPr>
            <w:t>SR</w:t>
          </w:r>
          <w:r w:rsidRPr="00EC5143">
            <w:rPr>
              <w:spacing w:val="4"/>
              <w:w w:val="103"/>
              <w:kern w:val="14"/>
              <w:position w:val="-4"/>
              <w:lang w:val="en-GB"/>
            </w:rPr>
            <w:t>B/</w:t>
          </w:r>
          <w:r>
            <w:rPr>
              <w:spacing w:val="4"/>
              <w:w w:val="103"/>
              <w:kern w:val="14"/>
              <w:position w:val="-4"/>
              <w:lang w:val="en-GB"/>
            </w:rPr>
            <w:t>2</w:t>
          </w:r>
        </w:p>
      </w:tc>
    </w:tr>
    <w:tr w:rsidR="00E459C7" w:rsidRPr="00EC5143" w14:paraId="06F6CA57" w14:textId="77777777" w:rsidTr="00EC5143">
      <w:trPr>
        <w:gridAfter w:val="1"/>
        <w:wAfter w:w="28" w:type="dxa"/>
        <w:trHeight w:hRule="exact" w:val="2880"/>
      </w:trPr>
      <w:tc>
        <w:tcPr>
          <w:tcW w:w="1267" w:type="dxa"/>
          <w:tcBorders>
            <w:top w:val="single" w:sz="4" w:space="0" w:color="auto"/>
            <w:bottom w:val="single" w:sz="12" w:space="0" w:color="auto"/>
          </w:tcBorders>
          <w:shd w:val="clear" w:color="auto" w:fill="auto"/>
        </w:tcPr>
        <w:p w14:paraId="7E13D3B5" w14:textId="77777777" w:rsidR="00E459C7" w:rsidRPr="00EC5143" w:rsidRDefault="00E459C7" w:rsidP="00EC5143">
          <w:pPr>
            <w:tabs>
              <w:tab w:val="center" w:pos="4320"/>
              <w:tab w:val="right" w:pos="8640"/>
            </w:tabs>
            <w:spacing w:before="109"/>
            <w:rPr>
              <w:noProof/>
              <w:sz w:val="17"/>
            </w:rPr>
          </w:pPr>
          <w:r w:rsidRPr="00EC5143">
            <w:rPr>
              <w:noProof/>
              <w:sz w:val="17"/>
            </w:rPr>
            <w:t xml:space="preserve"> </w:t>
          </w:r>
          <w:r w:rsidRPr="00EC5143">
            <w:rPr>
              <w:noProof/>
              <w:sz w:val="17"/>
            </w:rPr>
            <w:drawing>
              <wp:inline distT="0" distB="0" distL="0" distR="0" wp14:anchorId="0F2B69A9" wp14:editId="0F812667">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59ADB9EB" w14:textId="77777777" w:rsidR="00E459C7" w:rsidRPr="00EC5143" w:rsidRDefault="00E459C7" w:rsidP="00EC514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8C24D40" w14:textId="77777777" w:rsidR="00E459C7" w:rsidRPr="00EC5143" w:rsidRDefault="00E459C7" w:rsidP="00EC514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EC5143">
            <w:rPr>
              <w:b/>
              <w:sz w:val="34"/>
            </w:rPr>
            <w:t>Executive Board of the</w:t>
          </w:r>
          <w:r w:rsidRPr="00EC5143">
            <w:rPr>
              <w:b/>
              <w:sz w:val="34"/>
            </w:rPr>
            <w:br/>
            <w:t>United Nations Development</w:t>
          </w:r>
          <w:r w:rsidRPr="00EC5143">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11A8B22" w14:textId="77777777" w:rsidR="00E459C7" w:rsidRPr="00EC5143" w:rsidRDefault="00E459C7" w:rsidP="00EC514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02586D00" w14:textId="77777777" w:rsidR="00E459C7" w:rsidRPr="00EC5143" w:rsidRDefault="00E459C7" w:rsidP="00EC5143">
          <w:pPr>
            <w:suppressAutoHyphens/>
            <w:spacing w:before="240" w:line="240" w:lineRule="exact"/>
            <w:rPr>
              <w:spacing w:val="4"/>
              <w:w w:val="103"/>
              <w:kern w:val="14"/>
              <w:lang w:val="en-GB"/>
            </w:rPr>
          </w:pPr>
          <w:r w:rsidRPr="00EC5143">
            <w:rPr>
              <w:spacing w:val="4"/>
              <w:w w:val="103"/>
              <w:kern w:val="14"/>
              <w:lang w:val="en-GB"/>
            </w:rPr>
            <w:t>Distr.: General</w:t>
          </w:r>
        </w:p>
        <w:p w14:paraId="155A3DB8" w14:textId="7657CF55" w:rsidR="00E459C7" w:rsidRPr="00EC5143" w:rsidRDefault="004303A7" w:rsidP="00EC5143">
          <w:pPr>
            <w:suppressAutoHyphens/>
            <w:spacing w:line="240" w:lineRule="exact"/>
            <w:rPr>
              <w:spacing w:val="4"/>
              <w:w w:val="103"/>
              <w:kern w:val="14"/>
              <w:lang w:val="en-GB"/>
            </w:rPr>
          </w:pPr>
          <w:r>
            <w:rPr>
              <w:spacing w:val="4"/>
              <w:w w:val="103"/>
              <w:kern w:val="14"/>
              <w:lang w:val="en-GB"/>
            </w:rPr>
            <w:t>9 June</w:t>
          </w:r>
          <w:r w:rsidR="00E459C7" w:rsidRPr="00EC5143">
            <w:rPr>
              <w:spacing w:val="4"/>
              <w:w w:val="103"/>
              <w:kern w:val="14"/>
              <w:lang w:val="en-GB"/>
            </w:rPr>
            <w:t xml:space="preserve"> 2015</w:t>
          </w:r>
        </w:p>
        <w:p w14:paraId="41FE6F79" w14:textId="77777777" w:rsidR="00E459C7" w:rsidRPr="00EC5143" w:rsidRDefault="00E459C7" w:rsidP="00EC5143">
          <w:pPr>
            <w:suppressAutoHyphens/>
            <w:spacing w:line="240" w:lineRule="exact"/>
            <w:rPr>
              <w:spacing w:val="4"/>
              <w:w w:val="103"/>
              <w:kern w:val="14"/>
              <w:lang w:val="en-GB"/>
            </w:rPr>
          </w:pPr>
        </w:p>
        <w:p w14:paraId="59074534" w14:textId="77777777" w:rsidR="00E459C7" w:rsidRPr="00EC5143" w:rsidRDefault="00E459C7" w:rsidP="00EC5143">
          <w:pPr>
            <w:suppressAutoHyphens/>
            <w:spacing w:line="240" w:lineRule="exact"/>
            <w:rPr>
              <w:spacing w:val="4"/>
              <w:w w:val="103"/>
              <w:kern w:val="14"/>
              <w:lang w:val="en-GB"/>
            </w:rPr>
          </w:pPr>
          <w:r w:rsidRPr="00EC5143">
            <w:rPr>
              <w:spacing w:val="4"/>
              <w:w w:val="103"/>
              <w:kern w:val="14"/>
              <w:lang w:val="en-GB"/>
            </w:rPr>
            <w:t>Original: English</w:t>
          </w:r>
        </w:p>
      </w:tc>
    </w:tr>
  </w:tbl>
  <w:p w14:paraId="44BD150A" w14:textId="77777777" w:rsidR="00E459C7" w:rsidRPr="00E459C7" w:rsidRDefault="00E459C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032"/>
    </w:tblGrid>
    <w:tr w:rsidR="00E459C7" w:rsidRPr="008028A4" w14:paraId="432B6666" w14:textId="77777777" w:rsidTr="00301ACA">
      <w:trPr>
        <w:trHeight w:hRule="exact" w:val="864"/>
      </w:trPr>
      <w:tc>
        <w:tcPr>
          <w:tcW w:w="4838" w:type="dxa"/>
          <w:tcBorders>
            <w:bottom w:val="single" w:sz="4" w:space="0" w:color="auto"/>
          </w:tcBorders>
          <w:vAlign w:val="bottom"/>
        </w:tcPr>
        <w:p w14:paraId="4F140803" w14:textId="77777777" w:rsidR="00E459C7" w:rsidRPr="008028A4" w:rsidRDefault="00E459C7" w:rsidP="008028A4">
          <w:pPr>
            <w:widowControl w:val="0"/>
            <w:tabs>
              <w:tab w:val="center" w:pos="4320"/>
              <w:tab w:val="right" w:pos="8640"/>
            </w:tabs>
            <w:spacing w:after="80"/>
            <w:rPr>
              <w:b/>
              <w:sz w:val="17"/>
              <w:szCs w:val="17"/>
            </w:rPr>
          </w:pPr>
          <w:r w:rsidRPr="008028A4">
            <w:rPr>
              <w:b/>
              <w:sz w:val="17"/>
              <w:szCs w:val="17"/>
            </w:rPr>
            <w:t>DP/DCP/</w:t>
          </w:r>
          <w:r>
            <w:rPr>
              <w:b/>
              <w:sz w:val="17"/>
              <w:szCs w:val="17"/>
            </w:rPr>
            <w:t>SR</w:t>
          </w:r>
          <w:r w:rsidRPr="008028A4">
            <w:rPr>
              <w:b/>
              <w:sz w:val="17"/>
              <w:szCs w:val="17"/>
            </w:rPr>
            <w:t>B/</w:t>
          </w:r>
          <w:r>
            <w:rPr>
              <w:b/>
              <w:sz w:val="17"/>
              <w:szCs w:val="17"/>
            </w:rPr>
            <w:t>2</w:t>
          </w:r>
        </w:p>
      </w:tc>
      <w:tc>
        <w:tcPr>
          <w:tcW w:w="8032" w:type="dxa"/>
          <w:tcBorders>
            <w:bottom w:val="single" w:sz="4" w:space="0" w:color="auto"/>
          </w:tcBorders>
          <w:vAlign w:val="bottom"/>
        </w:tcPr>
        <w:p w14:paraId="4E8443D7" w14:textId="77777777" w:rsidR="00E459C7" w:rsidRPr="008028A4" w:rsidRDefault="00E459C7" w:rsidP="008028A4">
          <w:pPr>
            <w:widowControl w:val="0"/>
            <w:tabs>
              <w:tab w:val="center" w:pos="4320"/>
              <w:tab w:val="right" w:pos="8640"/>
            </w:tabs>
            <w:rPr>
              <w:sz w:val="17"/>
              <w:szCs w:val="17"/>
            </w:rPr>
          </w:pPr>
        </w:p>
      </w:tc>
    </w:tr>
  </w:tbl>
  <w:p w14:paraId="730421FB" w14:textId="77777777" w:rsidR="00E459C7" w:rsidRDefault="00E459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6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122"/>
    </w:tblGrid>
    <w:tr w:rsidR="00E459C7" w:rsidRPr="008028A4" w14:paraId="04CB67A9" w14:textId="77777777" w:rsidTr="00301ACA">
      <w:trPr>
        <w:trHeight w:hRule="exact" w:val="864"/>
      </w:trPr>
      <w:tc>
        <w:tcPr>
          <w:tcW w:w="4838" w:type="dxa"/>
          <w:shd w:val="clear" w:color="auto" w:fill="auto"/>
          <w:vAlign w:val="bottom"/>
        </w:tcPr>
        <w:p w14:paraId="7756B181" w14:textId="77777777" w:rsidR="00E459C7" w:rsidRPr="008028A4" w:rsidRDefault="00E459C7" w:rsidP="008028A4">
          <w:pPr>
            <w:tabs>
              <w:tab w:val="center" w:pos="4320"/>
              <w:tab w:val="right" w:pos="8640"/>
            </w:tabs>
            <w:spacing w:after="80"/>
            <w:rPr>
              <w:b/>
              <w:noProof/>
              <w:sz w:val="17"/>
            </w:rPr>
          </w:pPr>
        </w:p>
      </w:tc>
      <w:tc>
        <w:tcPr>
          <w:tcW w:w="8122" w:type="dxa"/>
          <w:shd w:val="clear" w:color="auto" w:fill="auto"/>
          <w:vAlign w:val="bottom"/>
        </w:tcPr>
        <w:p w14:paraId="53E49F98" w14:textId="464B29FD" w:rsidR="00E459C7" w:rsidRPr="008028A4" w:rsidRDefault="00E459C7" w:rsidP="008028A4">
          <w:pPr>
            <w:tabs>
              <w:tab w:val="center" w:pos="4320"/>
              <w:tab w:val="right" w:pos="8640"/>
            </w:tabs>
            <w:jc w:val="right"/>
            <w:rPr>
              <w:noProof/>
              <w:sz w:val="17"/>
            </w:rPr>
          </w:pPr>
          <w:r w:rsidRPr="008028A4">
            <w:rPr>
              <w:b/>
              <w:noProof/>
              <w:sz w:val="17"/>
            </w:rPr>
            <w:t>DP/DCP/</w:t>
          </w:r>
          <w:r>
            <w:rPr>
              <w:b/>
              <w:noProof/>
              <w:sz w:val="17"/>
            </w:rPr>
            <w:t>SR</w:t>
          </w:r>
          <w:r w:rsidRPr="008028A4">
            <w:rPr>
              <w:b/>
              <w:noProof/>
              <w:sz w:val="17"/>
            </w:rPr>
            <w:t>B/</w:t>
          </w:r>
          <w:r>
            <w:rPr>
              <w:b/>
              <w:noProof/>
              <w:sz w:val="17"/>
            </w:rPr>
            <w:t>2</w:t>
          </w:r>
        </w:p>
      </w:tc>
    </w:tr>
  </w:tbl>
  <w:p w14:paraId="0A545EEB" w14:textId="77777777" w:rsidR="00E459C7" w:rsidRDefault="00E45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8B7"/>
    <w:multiLevelType w:val="hybridMultilevel"/>
    <w:tmpl w:val="3642D054"/>
    <w:lvl w:ilvl="0" w:tplc="0C5A4A96">
      <w:start w:val="1"/>
      <w:numFmt w:val="bullet"/>
      <w:lvlText w:val="-"/>
      <w:lvlJc w:val="left"/>
      <w:pPr>
        <w:ind w:left="360" w:hanging="360"/>
      </w:pPr>
      <w:rPr>
        <w:rFonts w:ascii="Arial Narrow" w:eastAsiaTheme="minorHAnsi" w:hAnsi="Arial Narrow" w:cs="Arial"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3B44EB"/>
    <w:multiLevelType w:val="hybridMultilevel"/>
    <w:tmpl w:val="78A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6632AE"/>
    <w:multiLevelType w:val="hybridMultilevel"/>
    <w:tmpl w:val="0A0E3EB2"/>
    <w:lvl w:ilvl="0" w:tplc="C29C94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66DA2"/>
    <w:multiLevelType w:val="multilevel"/>
    <w:tmpl w:val="3E12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0910EA9"/>
    <w:multiLevelType w:val="hybridMultilevel"/>
    <w:tmpl w:val="EEACEAFA"/>
    <w:lvl w:ilvl="0" w:tplc="04090001">
      <w:start w:val="1"/>
      <w:numFmt w:val="bullet"/>
      <w:lvlText w:val=""/>
      <w:lvlJc w:val="left"/>
      <w:pPr>
        <w:ind w:left="1987"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58093B"/>
    <w:multiLevelType w:val="hybridMultilevel"/>
    <w:tmpl w:val="D4288012"/>
    <w:lvl w:ilvl="0" w:tplc="2F66BD7A">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8"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3F945CA8"/>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A7778BD"/>
    <w:multiLevelType w:val="hybridMultilevel"/>
    <w:tmpl w:val="7E8C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45FD"/>
    <w:multiLevelType w:val="hybridMultilevel"/>
    <w:tmpl w:val="EEDE6AEA"/>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E2EF8"/>
    <w:multiLevelType w:val="hybridMultilevel"/>
    <w:tmpl w:val="0F546638"/>
    <w:lvl w:ilvl="0" w:tplc="04090011">
      <w:start w:val="1"/>
      <w:numFmt w:val="decimal"/>
      <w:lvlText w:val="%1)"/>
      <w:lvlJc w:val="left"/>
      <w:pPr>
        <w:ind w:left="1530" w:hanging="360"/>
      </w:pPr>
    </w:lvl>
    <w:lvl w:ilvl="1" w:tplc="04090019" w:tentative="1">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2" w15:restartNumberingAfterBreak="0">
    <w:nsid w:val="6590229A"/>
    <w:multiLevelType w:val="multilevel"/>
    <w:tmpl w:val="8B163BC6"/>
    <w:lvl w:ilvl="0">
      <w:start w:val="1"/>
      <w:numFmt w:val="decimal"/>
      <w:lvlText w:val="%1."/>
      <w:lvlJc w:val="left"/>
      <w:pPr>
        <w:ind w:left="720" w:firstLine="1080"/>
      </w:pPr>
      <w:rPr>
        <w:b w:val="0"/>
        <w:i w:val="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4"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6"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7" w15:restartNumberingAfterBreak="0">
    <w:nsid w:val="6C2E7927"/>
    <w:multiLevelType w:val="hybridMultilevel"/>
    <w:tmpl w:val="9A344106"/>
    <w:lvl w:ilvl="0" w:tplc="0409000F">
      <w:start w:val="1"/>
      <w:numFmt w:val="decimal"/>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8"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F3CAA"/>
    <w:multiLevelType w:val="hybridMultilevel"/>
    <w:tmpl w:val="6E76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30"/>
  </w:num>
  <w:num w:numId="3">
    <w:abstractNumId w:val="24"/>
  </w:num>
  <w:num w:numId="4">
    <w:abstractNumId w:val="35"/>
  </w:num>
  <w:num w:numId="5">
    <w:abstractNumId w:val="25"/>
  </w:num>
  <w:num w:numId="6">
    <w:abstractNumId w:val="2"/>
  </w:num>
  <w:num w:numId="7">
    <w:abstractNumId w:val="15"/>
  </w:num>
  <w:num w:numId="8">
    <w:abstractNumId w:val="31"/>
  </w:num>
  <w:num w:numId="9">
    <w:abstractNumId w:val="43"/>
  </w:num>
  <w:num w:numId="10">
    <w:abstractNumId w:val="34"/>
  </w:num>
  <w:num w:numId="11">
    <w:abstractNumId w:val="42"/>
  </w:num>
  <w:num w:numId="12">
    <w:abstractNumId w:val="22"/>
  </w:num>
  <w:num w:numId="13">
    <w:abstractNumId w:val="7"/>
  </w:num>
  <w:num w:numId="14">
    <w:abstractNumId w:val="14"/>
  </w:num>
  <w:num w:numId="15">
    <w:abstractNumId w:val="38"/>
  </w:num>
  <w:num w:numId="16">
    <w:abstractNumId w:val="11"/>
  </w:num>
  <w:num w:numId="17">
    <w:abstractNumId w:val="12"/>
  </w:num>
  <w:num w:numId="18">
    <w:abstractNumId w:val="17"/>
  </w:num>
  <w:num w:numId="19">
    <w:abstractNumId w:val="41"/>
  </w:num>
  <w:num w:numId="20">
    <w:abstractNumId w:val="10"/>
  </w:num>
  <w:num w:numId="21">
    <w:abstractNumId w:val="9"/>
  </w:num>
  <w:num w:numId="22">
    <w:abstractNumId w:val="39"/>
  </w:num>
  <w:num w:numId="23">
    <w:abstractNumId w:val="13"/>
  </w:num>
  <w:num w:numId="24">
    <w:abstractNumId w:val="5"/>
  </w:num>
  <w:num w:numId="25">
    <w:abstractNumId w:val="36"/>
  </w:num>
  <w:num w:numId="26">
    <w:abstractNumId w:val="33"/>
  </w:num>
  <w:num w:numId="27">
    <w:abstractNumId w:val="27"/>
  </w:num>
  <w:num w:numId="28">
    <w:abstractNumId w:val="4"/>
  </w:num>
  <w:num w:numId="29">
    <w:abstractNumId w:val="23"/>
  </w:num>
  <w:num w:numId="30">
    <w:abstractNumId w:val="26"/>
  </w:num>
  <w:num w:numId="31">
    <w:abstractNumId w:val="16"/>
  </w:num>
  <w:num w:numId="32">
    <w:abstractNumId w:val="37"/>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 w:numId="38">
    <w:abstractNumId w:val="40"/>
  </w:num>
  <w:num w:numId="39">
    <w:abstractNumId w:val="1"/>
  </w:num>
  <w:num w:numId="40">
    <w:abstractNumId w:val="29"/>
  </w:num>
  <w:num w:numId="41">
    <w:abstractNumId w:val="19"/>
  </w:num>
  <w:num w:numId="42">
    <w:abstractNumId w:val="28"/>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A0"/>
    <w:rsid w:val="0000091C"/>
    <w:rsid w:val="000025C6"/>
    <w:rsid w:val="00002698"/>
    <w:rsid w:val="00010CD0"/>
    <w:rsid w:val="00016DE4"/>
    <w:rsid w:val="000301B8"/>
    <w:rsid w:val="00041E72"/>
    <w:rsid w:val="00046AAE"/>
    <w:rsid w:val="00050DEF"/>
    <w:rsid w:val="0005213F"/>
    <w:rsid w:val="000548F1"/>
    <w:rsid w:val="00056667"/>
    <w:rsid w:val="00057309"/>
    <w:rsid w:val="00057846"/>
    <w:rsid w:val="00060A48"/>
    <w:rsid w:val="00066591"/>
    <w:rsid w:val="00067A8E"/>
    <w:rsid w:val="00070305"/>
    <w:rsid w:val="00074FE6"/>
    <w:rsid w:val="00075AC0"/>
    <w:rsid w:val="00077906"/>
    <w:rsid w:val="00081112"/>
    <w:rsid w:val="00082F76"/>
    <w:rsid w:val="00087586"/>
    <w:rsid w:val="00087AA1"/>
    <w:rsid w:val="0009535B"/>
    <w:rsid w:val="000A3284"/>
    <w:rsid w:val="000A6BC2"/>
    <w:rsid w:val="000B336E"/>
    <w:rsid w:val="000B4B7A"/>
    <w:rsid w:val="000B65DE"/>
    <w:rsid w:val="000C10D7"/>
    <w:rsid w:val="000C52BB"/>
    <w:rsid w:val="000C6D2F"/>
    <w:rsid w:val="000D10FC"/>
    <w:rsid w:val="000D4FFB"/>
    <w:rsid w:val="000D620C"/>
    <w:rsid w:val="000E4DBF"/>
    <w:rsid w:val="000F1625"/>
    <w:rsid w:val="000F5B2E"/>
    <w:rsid w:val="000F6831"/>
    <w:rsid w:val="001018B1"/>
    <w:rsid w:val="001043E6"/>
    <w:rsid w:val="00110D5D"/>
    <w:rsid w:val="00111874"/>
    <w:rsid w:val="001170BB"/>
    <w:rsid w:val="0012242A"/>
    <w:rsid w:val="001267CA"/>
    <w:rsid w:val="00131B43"/>
    <w:rsid w:val="00135033"/>
    <w:rsid w:val="00136060"/>
    <w:rsid w:val="00136CC2"/>
    <w:rsid w:val="00143505"/>
    <w:rsid w:val="00145769"/>
    <w:rsid w:val="00147622"/>
    <w:rsid w:val="00150B57"/>
    <w:rsid w:val="00154607"/>
    <w:rsid w:val="0015496E"/>
    <w:rsid w:val="00156263"/>
    <w:rsid w:val="00164539"/>
    <w:rsid w:val="001704DA"/>
    <w:rsid w:val="00172566"/>
    <w:rsid w:val="001738E6"/>
    <w:rsid w:val="0017533E"/>
    <w:rsid w:val="00175873"/>
    <w:rsid w:val="001814D2"/>
    <w:rsid w:val="001848A9"/>
    <w:rsid w:val="001918A2"/>
    <w:rsid w:val="001925E7"/>
    <w:rsid w:val="00193462"/>
    <w:rsid w:val="00196C1D"/>
    <w:rsid w:val="001A022C"/>
    <w:rsid w:val="001A0532"/>
    <w:rsid w:val="001A1AC1"/>
    <w:rsid w:val="001A4260"/>
    <w:rsid w:val="001B78DB"/>
    <w:rsid w:val="001C02D7"/>
    <w:rsid w:val="001C07C5"/>
    <w:rsid w:val="001C2161"/>
    <w:rsid w:val="001C583C"/>
    <w:rsid w:val="001C719A"/>
    <w:rsid w:val="001D3195"/>
    <w:rsid w:val="001D4CEB"/>
    <w:rsid w:val="001D5E98"/>
    <w:rsid w:val="001E0627"/>
    <w:rsid w:val="001E3DEB"/>
    <w:rsid w:val="001E592D"/>
    <w:rsid w:val="001E6D31"/>
    <w:rsid w:val="001F3BA3"/>
    <w:rsid w:val="001F53AA"/>
    <w:rsid w:val="0020025F"/>
    <w:rsid w:val="00204A6C"/>
    <w:rsid w:val="00206DF7"/>
    <w:rsid w:val="00206ED3"/>
    <w:rsid w:val="00212612"/>
    <w:rsid w:val="0021393D"/>
    <w:rsid w:val="00214A6C"/>
    <w:rsid w:val="00216B92"/>
    <w:rsid w:val="002204D2"/>
    <w:rsid w:val="00221B89"/>
    <w:rsid w:val="002250C0"/>
    <w:rsid w:val="00226D59"/>
    <w:rsid w:val="00227595"/>
    <w:rsid w:val="00227F02"/>
    <w:rsid w:val="002327FF"/>
    <w:rsid w:val="00233577"/>
    <w:rsid w:val="00234CAF"/>
    <w:rsid w:val="002356B7"/>
    <w:rsid w:val="00237DA1"/>
    <w:rsid w:val="00240941"/>
    <w:rsid w:val="00240A58"/>
    <w:rsid w:val="002410FF"/>
    <w:rsid w:val="002413C3"/>
    <w:rsid w:val="00241F16"/>
    <w:rsid w:val="002422AE"/>
    <w:rsid w:val="0024407C"/>
    <w:rsid w:val="00252C54"/>
    <w:rsid w:val="00254030"/>
    <w:rsid w:val="00255ED1"/>
    <w:rsid w:val="00255F2D"/>
    <w:rsid w:val="00256B88"/>
    <w:rsid w:val="002634CD"/>
    <w:rsid w:val="00266266"/>
    <w:rsid w:val="00272012"/>
    <w:rsid w:val="0027497B"/>
    <w:rsid w:val="00276852"/>
    <w:rsid w:val="00286677"/>
    <w:rsid w:val="002878A4"/>
    <w:rsid w:val="002902C0"/>
    <w:rsid w:val="00293ABF"/>
    <w:rsid w:val="00297285"/>
    <w:rsid w:val="002A017A"/>
    <w:rsid w:val="002A0761"/>
    <w:rsid w:val="002A083F"/>
    <w:rsid w:val="002A0878"/>
    <w:rsid w:val="002A6EC5"/>
    <w:rsid w:val="002A7036"/>
    <w:rsid w:val="002A7DD0"/>
    <w:rsid w:val="002B3CD3"/>
    <w:rsid w:val="002B3F1C"/>
    <w:rsid w:val="002C0F94"/>
    <w:rsid w:val="002C2973"/>
    <w:rsid w:val="002C38AC"/>
    <w:rsid w:val="002C5E1B"/>
    <w:rsid w:val="002D2565"/>
    <w:rsid w:val="002D317D"/>
    <w:rsid w:val="002E424C"/>
    <w:rsid w:val="002F0B48"/>
    <w:rsid w:val="002F2F3E"/>
    <w:rsid w:val="00300CB2"/>
    <w:rsid w:val="00301ACA"/>
    <w:rsid w:val="00301C31"/>
    <w:rsid w:val="00304080"/>
    <w:rsid w:val="003043B0"/>
    <w:rsid w:val="00304E24"/>
    <w:rsid w:val="00307D8E"/>
    <w:rsid w:val="0031025A"/>
    <w:rsid w:val="0031439E"/>
    <w:rsid w:val="003145C9"/>
    <w:rsid w:val="00314C5D"/>
    <w:rsid w:val="0031791C"/>
    <w:rsid w:val="00320331"/>
    <w:rsid w:val="003210B5"/>
    <w:rsid w:val="003249AF"/>
    <w:rsid w:val="00326D86"/>
    <w:rsid w:val="0033071C"/>
    <w:rsid w:val="00333D04"/>
    <w:rsid w:val="00334B4F"/>
    <w:rsid w:val="0034301A"/>
    <w:rsid w:val="00344710"/>
    <w:rsid w:val="003569C5"/>
    <w:rsid w:val="00360BF9"/>
    <w:rsid w:val="00365D86"/>
    <w:rsid w:val="0036659E"/>
    <w:rsid w:val="00366D03"/>
    <w:rsid w:val="00377420"/>
    <w:rsid w:val="00385F45"/>
    <w:rsid w:val="0039255E"/>
    <w:rsid w:val="00393B05"/>
    <w:rsid w:val="003941B9"/>
    <w:rsid w:val="00395163"/>
    <w:rsid w:val="003A21A4"/>
    <w:rsid w:val="003A55EB"/>
    <w:rsid w:val="003A74BF"/>
    <w:rsid w:val="003B13D4"/>
    <w:rsid w:val="003B5B49"/>
    <w:rsid w:val="003C0196"/>
    <w:rsid w:val="003C238D"/>
    <w:rsid w:val="003C3083"/>
    <w:rsid w:val="003C3A59"/>
    <w:rsid w:val="003C4F30"/>
    <w:rsid w:val="003C6A66"/>
    <w:rsid w:val="003D09E8"/>
    <w:rsid w:val="003D3196"/>
    <w:rsid w:val="003D4304"/>
    <w:rsid w:val="003D6E47"/>
    <w:rsid w:val="003D7CAC"/>
    <w:rsid w:val="003E13BE"/>
    <w:rsid w:val="003E78CC"/>
    <w:rsid w:val="003F0A82"/>
    <w:rsid w:val="00403021"/>
    <w:rsid w:val="00406835"/>
    <w:rsid w:val="00406C70"/>
    <w:rsid w:val="004122E5"/>
    <w:rsid w:val="00414495"/>
    <w:rsid w:val="00420144"/>
    <w:rsid w:val="004267F5"/>
    <w:rsid w:val="00427407"/>
    <w:rsid w:val="004303A7"/>
    <w:rsid w:val="00431DD2"/>
    <w:rsid w:val="00433522"/>
    <w:rsid w:val="00436AA8"/>
    <w:rsid w:val="0044266F"/>
    <w:rsid w:val="00442F04"/>
    <w:rsid w:val="00443314"/>
    <w:rsid w:val="004466B0"/>
    <w:rsid w:val="00450E2D"/>
    <w:rsid w:val="00453315"/>
    <w:rsid w:val="00453523"/>
    <w:rsid w:val="00456A15"/>
    <w:rsid w:val="00471622"/>
    <w:rsid w:val="0047272A"/>
    <w:rsid w:val="00475A85"/>
    <w:rsid w:val="00477FB1"/>
    <w:rsid w:val="00495326"/>
    <w:rsid w:val="00495DD0"/>
    <w:rsid w:val="004A18D0"/>
    <w:rsid w:val="004A4813"/>
    <w:rsid w:val="004A5AE8"/>
    <w:rsid w:val="004A696C"/>
    <w:rsid w:val="004B0130"/>
    <w:rsid w:val="004B3190"/>
    <w:rsid w:val="004B35EC"/>
    <w:rsid w:val="004B52FC"/>
    <w:rsid w:val="004B5803"/>
    <w:rsid w:val="004B673A"/>
    <w:rsid w:val="004C0010"/>
    <w:rsid w:val="004C0831"/>
    <w:rsid w:val="004C2F2F"/>
    <w:rsid w:val="004C430E"/>
    <w:rsid w:val="004C65A1"/>
    <w:rsid w:val="004D0847"/>
    <w:rsid w:val="004D2468"/>
    <w:rsid w:val="004D3AA6"/>
    <w:rsid w:val="004D5A0A"/>
    <w:rsid w:val="004E4FA5"/>
    <w:rsid w:val="004E66AE"/>
    <w:rsid w:val="004E72F4"/>
    <w:rsid w:val="004F36FF"/>
    <w:rsid w:val="004F42AA"/>
    <w:rsid w:val="004F5E98"/>
    <w:rsid w:val="004F74B1"/>
    <w:rsid w:val="0050152D"/>
    <w:rsid w:val="00505011"/>
    <w:rsid w:val="00510ACD"/>
    <w:rsid w:val="00511C19"/>
    <w:rsid w:val="00515AFC"/>
    <w:rsid w:val="005167FF"/>
    <w:rsid w:val="005176CF"/>
    <w:rsid w:val="005215EE"/>
    <w:rsid w:val="00521A36"/>
    <w:rsid w:val="0052485B"/>
    <w:rsid w:val="0053035D"/>
    <w:rsid w:val="00535839"/>
    <w:rsid w:val="00546D18"/>
    <w:rsid w:val="005518C1"/>
    <w:rsid w:val="00557FDB"/>
    <w:rsid w:val="00564B89"/>
    <w:rsid w:val="005715C9"/>
    <w:rsid w:val="0057694A"/>
    <w:rsid w:val="005800DE"/>
    <w:rsid w:val="005810F0"/>
    <w:rsid w:val="00583150"/>
    <w:rsid w:val="00583B48"/>
    <w:rsid w:val="00584FEA"/>
    <w:rsid w:val="00585BBF"/>
    <w:rsid w:val="005862D5"/>
    <w:rsid w:val="00594C9D"/>
    <w:rsid w:val="00595F27"/>
    <w:rsid w:val="005A19DF"/>
    <w:rsid w:val="005A43F9"/>
    <w:rsid w:val="005A6F1F"/>
    <w:rsid w:val="005B00EA"/>
    <w:rsid w:val="005B264E"/>
    <w:rsid w:val="005B2B65"/>
    <w:rsid w:val="005B750A"/>
    <w:rsid w:val="005C1A87"/>
    <w:rsid w:val="005C23EF"/>
    <w:rsid w:val="005C5B77"/>
    <w:rsid w:val="005D1E47"/>
    <w:rsid w:val="005D209B"/>
    <w:rsid w:val="005D53F4"/>
    <w:rsid w:val="005E0EA8"/>
    <w:rsid w:val="005E1C91"/>
    <w:rsid w:val="005E2EFD"/>
    <w:rsid w:val="005E4042"/>
    <w:rsid w:val="00602182"/>
    <w:rsid w:val="00602F19"/>
    <w:rsid w:val="00606734"/>
    <w:rsid w:val="00610166"/>
    <w:rsid w:val="00612F1D"/>
    <w:rsid w:val="006137F6"/>
    <w:rsid w:val="0061619D"/>
    <w:rsid w:val="006162F2"/>
    <w:rsid w:val="00621BFF"/>
    <w:rsid w:val="00622F8C"/>
    <w:rsid w:val="00626FC3"/>
    <w:rsid w:val="0063082E"/>
    <w:rsid w:val="00630CC4"/>
    <w:rsid w:val="00637D4D"/>
    <w:rsid w:val="00640D68"/>
    <w:rsid w:val="00641A1E"/>
    <w:rsid w:val="00642B20"/>
    <w:rsid w:val="00650AB1"/>
    <w:rsid w:val="00652DE8"/>
    <w:rsid w:val="00656C6F"/>
    <w:rsid w:val="00663C30"/>
    <w:rsid w:val="00664056"/>
    <w:rsid w:val="00665519"/>
    <w:rsid w:val="00671F4A"/>
    <w:rsid w:val="00675791"/>
    <w:rsid w:val="00682114"/>
    <w:rsid w:val="00687804"/>
    <w:rsid w:val="00691423"/>
    <w:rsid w:val="00691933"/>
    <w:rsid w:val="00692172"/>
    <w:rsid w:val="00692F18"/>
    <w:rsid w:val="00693121"/>
    <w:rsid w:val="00695309"/>
    <w:rsid w:val="006A0F2C"/>
    <w:rsid w:val="006A5A5D"/>
    <w:rsid w:val="006B2962"/>
    <w:rsid w:val="006B4370"/>
    <w:rsid w:val="006C1F98"/>
    <w:rsid w:val="006C2C2A"/>
    <w:rsid w:val="006C697E"/>
    <w:rsid w:val="006C7F97"/>
    <w:rsid w:val="006D1525"/>
    <w:rsid w:val="006D6643"/>
    <w:rsid w:val="006D7573"/>
    <w:rsid w:val="006E666A"/>
    <w:rsid w:val="006E6A49"/>
    <w:rsid w:val="006F3C26"/>
    <w:rsid w:val="006F6D7B"/>
    <w:rsid w:val="00702E29"/>
    <w:rsid w:val="00703B28"/>
    <w:rsid w:val="00704318"/>
    <w:rsid w:val="00705699"/>
    <w:rsid w:val="00707A5D"/>
    <w:rsid w:val="00717C47"/>
    <w:rsid w:val="00723AF9"/>
    <w:rsid w:val="00724177"/>
    <w:rsid w:val="00724273"/>
    <w:rsid w:val="00732E35"/>
    <w:rsid w:val="00736A90"/>
    <w:rsid w:val="00745C20"/>
    <w:rsid w:val="00746D4B"/>
    <w:rsid w:val="0075378D"/>
    <w:rsid w:val="00754CC6"/>
    <w:rsid w:val="00756FC6"/>
    <w:rsid w:val="00762495"/>
    <w:rsid w:val="0076363F"/>
    <w:rsid w:val="007651BA"/>
    <w:rsid w:val="007674B1"/>
    <w:rsid w:val="0077036D"/>
    <w:rsid w:val="00776596"/>
    <w:rsid w:val="007825D8"/>
    <w:rsid w:val="00782FB6"/>
    <w:rsid w:val="007838C4"/>
    <w:rsid w:val="00783A7A"/>
    <w:rsid w:val="0078589B"/>
    <w:rsid w:val="00791510"/>
    <w:rsid w:val="00794718"/>
    <w:rsid w:val="007A0A0F"/>
    <w:rsid w:val="007A1279"/>
    <w:rsid w:val="007A7924"/>
    <w:rsid w:val="007B1924"/>
    <w:rsid w:val="007B32A2"/>
    <w:rsid w:val="007B32AC"/>
    <w:rsid w:val="007B5646"/>
    <w:rsid w:val="007C2F0B"/>
    <w:rsid w:val="007C68D8"/>
    <w:rsid w:val="007C6D3C"/>
    <w:rsid w:val="007D1732"/>
    <w:rsid w:val="007D391D"/>
    <w:rsid w:val="007D4431"/>
    <w:rsid w:val="007D77A2"/>
    <w:rsid w:val="007E0A8C"/>
    <w:rsid w:val="007E4BDC"/>
    <w:rsid w:val="007F4063"/>
    <w:rsid w:val="007F416F"/>
    <w:rsid w:val="007F5BB7"/>
    <w:rsid w:val="007F7131"/>
    <w:rsid w:val="00802628"/>
    <w:rsid w:val="008028A4"/>
    <w:rsid w:val="0080707E"/>
    <w:rsid w:val="00810831"/>
    <w:rsid w:val="0081296C"/>
    <w:rsid w:val="008142C6"/>
    <w:rsid w:val="00816FB0"/>
    <w:rsid w:val="00827C91"/>
    <w:rsid w:val="008315F8"/>
    <w:rsid w:val="0083160A"/>
    <w:rsid w:val="00832864"/>
    <w:rsid w:val="00842576"/>
    <w:rsid w:val="008430DD"/>
    <w:rsid w:val="00844F07"/>
    <w:rsid w:val="00845FC3"/>
    <w:rsid w:val="00846C9C"/>
    <w:rsid w:val="00852966"/>
    <w:rsid w:val="008600EC"/>
    <w:rsid w:val="008677ED"/>
    <w:rsid w:val="00867D59"/>
    <w:rsid w:val="00867DF8"/>
    <w:rsid w:val="0087533A"/>
    <w:rsid w:val="00875D62"/>
    <w:rsid w:val="00877C6E"/>
    <w:rsid w:val="008814AB"/>
    <w:rsid w:val="008822FA"/>
    <w:rsid w:val="00883C1C"/>
    <w:rsid w:val="00884CF5"/>
    <w:rsid w:val="0088692A"/>
    <w:rsid w:val="008870D3"/>
    <w:rsid w:val="008910DA"/>
    <w:rsid w:val="00891329"/>
    <w:rsid w:val="00895ED1"/>
    <w:rsid w:val="00896F19"/>
    <w:rsid w:val="008A41D6"/>
    <w:rsid w:val="008A466A"/>
    <w:rsid w:val="008A6517"/>
    <w:rsid w:val="008C173B"/>
    <w:rsid w:val="008C2785"/>
    <w:rsid w:val="008C2FD9"/>
    <w:rsid w:val="008C6D31"/>
    <w:rsid w:val="008C7703"/>
    <w:rsid w:val="008D3D22"/>
    <w:rsid w:val="008D4BAC"/>
    <w:rsid w:val="008E0435"/>
    <w:rsid w:val="008E1954"/>
    <w:rsid w:val="008E4A34"/>
    <w:rsid w:val="008E5CA3"/>
    <w:rsid w:val="008F45F3"/>
    <w:rsid w:val="008F4F00"/>
    <w:rsid w:val="008F7840"/>
    <w:rsid w:val="008F79F8"/>
    <w:rsid w:val="009002C5"/>
    <w:rsid w:val="00905E3A"/>
    <w:rsid w:val="009103DF"/>
    <w:rsid w:val="00910B9C"/>
    <w:rsid w:val="00913A27"/>
    <w:rsid w:val="00923449"/>
    <w:rsid w:val="00927029"/>
    <w:rsid w:val="009301F5"/>
    <w:rsid w:val="009340DC"/>
    <w:rsid w:val="00936467"/>
    <w:rsid w:val="00943EA1"/>
    <w:rsid w:val="00944659"/>
    <w:rsid w:val="00945371"/>
    <w:rsid w:val="0095155B"/>
    <w:rsid w:val="00953AEA"/>
    <w:rsid w:val="00957FF1"/>
    <w:rsid w:val="00961427"/>
    <w:rsid w:val="009654FD"/>
    <w:rsid w:val="00970CBF"/>
    <w:rsid w:val="009717AD"/>
    <w:rsid w:val="00972FEF"/>
    <w:rsid w:val="00972FFF"/>
    <w:rsid w:val="00975977"/>
    <w:rsid w:val="009832D3"/>
    <w:rsid w:val="0098636C"/>
    <w:rsid w:val="009871CD"/>
    <w:rsid w:val="009903A8"/>
    <w:rsid w:val="00991158"/>
    <w:rsid w:val="009932AC"/>
    <w:rsid w:val="00993309"/>
    <w:rsid w:val="00994885"/>
    <w:rsid w:val="0099693B"/>
    <w:rsid w:val="00997E26"/>
    <w:rsid w:val="009A3D00"/>
    <w:rsid w:val="009B2F2E"/>
    <w:rsid w:val="009B5058"/>
    <w:rsid w:val="009B5179"/>
    <w:rsid w:val="009B69ED"/>
    <w:rsid w:val="009B6FA5"/>
    <w:rsid w:val="009C3DE5"/>
    <w:rsid w:val="009C4624"/>
    <w:rsid w:val="009C594E"/>
    <w:rsid w:val="009C63A2"/>
    <w:rsid w:val="009C6A53"/>
    <w:rsid w:val="009D0D2A"/>
    <w:rsid w:val="009D16FF"/>
    <w:rsid w:val="009D2793"/>
    <w:rsid w:val="009D6C19"/>
    <w:rsid w:val="009D735F"/>
    <w:rsid w:val="009D73BF"/>
    <w:rsid w:val="009D77D9"/>
    <w:rsid w:val="009E1BE8"/>
    <w:rsid w:val="009F1A62"/>
    <w:rsid w:val="009F4DB3"/>
    <w:rsid w:val="009F4E05"/>
    <w:rsid w:val="00A0378A"/>
    <w:rsid w:val="00A04C1C"/>
    <w:rsid w:val="00A06160"/>
    <w:rsid w:val="00A068D9"/>
    <w:rsid w:val="00A10AA5"/>
    <w:rsid w:val="00A10EDC"/>
    <w:rsid w:val="00A17D15"/>
    <w:rsid w:val="00A20BA5"/>
    <w:rsid w:val="00A2481B"/>
    <w:rsid w:val="00A24A57"/>
    <w:rsid w:val="00A24CEC"/>
    <w:rsid w:val="00A26048"/>
    <w:rsid w:val="00A27E7C"/>
    <w:rsid w:val="00A35D6C"/>
    <w:rsid w:val="00A37731"/>
    <w:rsid w:val="00A37783"/>
    <w:rsid w:val="00A403AE"/>
    <w:rsid w:val="00A41D8D"/>
    <w:rsid w:val="00A433C5"/>
    <w:rsid w:val="00A500CF"/>
    <w:rsid w:val="00A50AEC"/>
    <w:rsid w:val="00A51CF6"/>
    <w:rsid w:val="00A56BAE"/>
    <w:rsid w:val="00A60ABD"/>
    <w:rsid w:val="00A61EB6"/>
    <w:rsid w:val="00A75005"/>
    <w:rsid w:val="00A803A9"/>
    <w:rsid w:val="00A81DCB"/>
    <w:rsid w:val="00A83655"/>
    <w:rsid w:val="00A90360"/>
    <w:rsid w:val="00A934C3"/>
    <w:rsid w:val="00A93775"/>
    <w:rsid w:val="00AA2114"/>
    <w:rsid w:val="00AA3786"/>
    <w:rsid w:val="00AA3A0D"/>
    <w:rsid w:val="00AA59FE"/>
    <w:rsid w:val="00AB359E"/>
    <w:rsid w:val="00AC15B8"/>
    <w:rsid w:val="00AC1E31"/>
    <w:rsid w:val="00AC217C"/>
    <w:rsid w:val="00AC6E95"/>
    <w:rsid w:val="00AD2A31"/>
    <w:rsid w:val="00AD3934"/>
    <w:rsid w:val="00AD5C2A"/>
    <w:rsid w:val="00AE0256"/>
    <w:rsid w:val="00AE0E76"/>
    <w:rsid w:val="00AE2BBD"/>
    <w:rsid w:val="00AE5DEF"/>
    <w:rsid w:val="00AF040F"/>
    <w:rsid w:val="00AF4152"/>
    <w:rsid w:val="00B02FC0"/>
    <w:rsid w:val="00B03528"/>
    <w:rsid w:val="00B05426"/>
    <w:rsid w:val="00B0611E"/>
    <w:rsid w:val="00B066E7"/>
    <w:rsid w:val="00B135E3"/>
    <w:rsid w:val="00B22B14"/>
    <w:rsid w:val="00B24FAC"/>
    <w:rsid w:val="00B24FDC"/>
    <w:rsid w:val="00B26859"/>
    <w:rsid w:val="00B31F2F"/>
    <w:rsid w:val="00B346AC"/>
    <w:rsid w:val="00B35AB0"/>
    <w:rsid w:val="00B426B0"/>
    <w:rsid w:val="00B44F41"/>
    <w:rsid w:val="00B503B3"/>
    <w:rsid w:val="00B54D1B"/>
    <w:rsid w:val="00B74233"/>
    <w:rsid w:val="00B76AE3"/>
    <w:rsid w:val="00B76FEB"/>
    <w:rsid w:val="00B82445"/>
    <w:rsid w:val="00B83DDA"/>
    <w:rsid w:val="00B9184D"/>
    <w:rsid w:val="00B96E21"/>
    <w:rsid w:val="00BA287C"/>
    <w:rsid w:val="00BB2BEE"/>
    <w:rsid w:val="00BB4B66"/>
    <w:rsid w:val="00BC069E"/>
    <w:rsid w:val="00BC3733"/>
    <w:rsid w:val="00BC43B9"/>
    <w:rsid w:val="00BC4E26"/>
    <w:rsid w:val="00BC6393"/>
    <w:rsid w:val="00BC79F9"/>
    <w:rsid w:val="00BD0314"/>
    <w:rsid w:val="00BD1003"/>
    <w:rsid w:val="00BD2710"/>
    <w:rsid w:val="00BD3436"/>
    <w:rsid w:val="00BD36AC"/>
    <w:rsid w:val="00BD42F6"/>
    <w:rsid w:val="00BD608C"/>
    <w:rsid w:val="00BE2CEE"/>
    <w:rsid w:val="00BE6FAD"/>
    <w:rsid w:val="00BF12AF"/>
    <w:rsid w:val="00BF4738"/>
    <w:rsid w:val="00BF4B49"/>
    <w:rsid w:val="00C00589"/>
    <w:rsid w:val="00C03608"/>
    <w:rsid w:val="00C03AC4"/>
    <w:rsid w:val="00C07527"/>
    <w:rsid w:val="00C15BF0"/>
    <w:rsid w:val="00C16290"/>
    <w:rsid w:val="00C20169"/>
    <w:rsid w:val="00C22309"/>
    <w:rsid w:val="00C27087"/>
    <w:rsid w:val="00C32F1C"/>
    <w:rsid w:val="00C32FD2"/>
    <w:rsid w:val="00C33F65"/>
    <w:rsid w:val="00C35A88"/>
    <w:rsid w:val="00C37417"/>
    <w:rsid w:val="00C504D6"/>
    <w:rsid w:val="00C513ED"/>
    <w:rsid w:val="00C53863"/>
    <w:rsid w:val="00C54F88"/>
    <w:rsid w:val="00C64F70"/>
    <w:rsid w:val="00C65C01"/>
    <w:rsid w:val="00C76977"/>
    <w:rsid w:val="00C84E39"/>
    <w:rsid w:val="00C93DA4"/>
    <w:rsid w:val="00CA7D97"/>
    <w:rsid w:val="00CB3BE4"/>
    <w:rsid w:val="00CB49FC"/>
    <w:rsid w:val="00CB7A5E"/>
    <w:rsid w:val="00CC0CEB"/>
    <w:rsid w:val="00CC14BB"/>
    <w:rsid w:val="00CC25B5"/>
    <w:rsid w:val="00CC5E7C"/>
    <w:rsid w:val="00CC617A"/>
    <w:rsid w:val="00CF11A5"/>
    <w:rsid w:val="00CF1858"/>
    <w:rsid w:val="00CF34EC"/>
    <w:rsid w:val="00CF4944"/>
    <w:rsid w:val="00CF49D9"/>
    <w:rsid w:val="00CF7A78"/>
    <w:rsid w:val="00D0172D"/>
    <w:rsid w:val="00D03D19"/>
    <w:rsid w:val="00D050C7"/>
    <w:rsid w:val="00D06AAF"/>
    <w:rsid w:val="00D11E70"/>
    <w:rsid w:val="00D267C8"/>
    <w:rsid w:val="00D301DE"/>
    <w:rsid w:val="00D30683"/>
    <w:rsid w:val="00D30DCA"/>
    <w:rsid w:val="00D321D3"/>
    <w:rsid w:val="00D321DF"/>
    <w:rsid w:val="00D343C4"/>
    <w:rsid w:val="00D3518D"/>
    <w:rsid w:val="00D434DD"/>
    <w:rsid w:val="00D4663A"/>
    <w:rsid w:val="00D558AB"/>
    <w:rsid w:val="00D56F98"/>
    <w:rsid w:val="00D64555"/>
    <w:rsid w:val="00D67C95"/>
    <w:rsid w:val="00D735E2"/>
    <w:rsid w:val="00D7507C"/>
    <w:rsid w:val="00D756C1"/>
    <w:rsid w:val="00D77750"/>
    <w:rsid w:val="00D8245A"/>
    <w:rsid w:val="00D84EC5"/>
    <w:rsid w:val="00D86100"/>
    <w:rsid w:val="00D921DE"/>
    <w:rsid w:val="00DB3535"/>
    <w:rsid w:val="00DB3925"/>
    <w:rsid w:val="00DB3BF3"/>
    <w:rsid w:val="00DB65BC"/>
    <w:rsid w:val="00DB6BE7"/>
    <w:rsid w:val="00DC25F2"/>
    <w:rsid w:val="00DC70DC"/>
    <w:rsid w:val="00DD0D59"/>
    <w:rsid w:val="00DD112D"/>
    <w:rsid w:val="00DE7522"/>
    <w:rsid w:val="00DF41C4"/>
    <w:rsid w:val="00DF63BE"/>
    <w:rsid w:val="00DF7346"/>
    <w:rsid w:val="00DF734D"/>
    <w:rsid w:val="00E00186"/>
    <w:rsid w:val="00E026BC"/>
    <w:rsid w:val="00E03A21"/>
    <w:rsid w:val="00E04C1B"/>
    <w:rsid w:val="00E054C9"/>
    <w:rsid w:val="00E07A04"/>
    <w:rsid w:val="00E1407A"/>
    <w:rsid w:val="00E146E5"/>
    <w:rsid w:val="00E154FF"/>
    <w:rsid w:val="00E22FF8"/>
    <w:rsid w:val="00E264CE"/>
    <w:rsid w:val="00E26787"/>
    <w:rsid w:val="00E279D4"/>
    <w:rsid w:val="00E33A1F"/>
    <w:rsid w:val="00E35174"/>
    <w:rsid w:val="00E420DA"/>
    <w:rsid w:val="00E42D53"/>
    <w:rsid w:val="00E443A0"/>
    <w:rsid w:val="00E459C7"/>
    <w:rsid w:val="00E46123"/>
    <w:rsid w:val="00E51716"/>
    <w:rsid w:val="00E559EE"/>
    <w:rsid w:val="00E57D8D"/>
    <w:rsid w:val="00E614DA"/>
    <w:rsid w:val="00E66535"/>
    <w:rsid w:val="00E67F16"/>
    <w:rsid w:val="00E72B07"/>
    <w:rsid w:val="00E7325F"/>
    <w:rsid w:val="00E7721E"/>
    <w:rsid w:val="00E801D2"/>
    <w:rsid w:val="00E806E6"/>
    <w:rsid w:val="00E825DC"/>
    <w:rsid w:val="00E906EF"/>
    <w:rsid w:val="00E91472"/>
    <w:rsid w:val="00E97D1B"/>
    <w:rsid w:val="00EA303F"/>
    <w:rsid w:val="00EA3373"/>
    <w:rsid w:val="00EA3688"/>
    <w:rsid w:val="00EB17C0"/>
    <w:rsid w:val="00EB2516"/>
    <w:rsid w:val="00EB3494"/>
    <w:rsid w:val="00EB4BC8"/>
    <w:rsid w:val="00EB626C"/>
    <w:rsid w:val="00EC1912"/>
    <w:rsid w:val="00EC41F7"/>
    <w:rsid w:val="00EC5143"/>
    <w:rsid w:val="00EC61C8"/>
    <w:rsid w:val="00EC79F8"/>
    <w:rsid w:val="00ED21D3"/>
    <w:rsid w:val="00ED4C41"/>
    <w:rsid w:val="00ED5F95"/>
    <w:rsid w:val="00EE7BED"/>
    <w:rsid w:val="00EE7C01"/>
    <w:rsid w:val="00EF3C46"/>
    <w:rsid w:val="00EF7C8E"/>
    <w:rsid w:val="00F00DC5"/>
    <w:rsid w:val="00F0592D"/>
    <w:rsid w:val="00F05E6B"/>
    <w:rsid w:val="00F07A06"/>
    <w:rsid w:val="00F1034E"/>
    <w:rsid w:val="00F159E0"/>
    <w:rsid w:val="00F15DEA"/>
    <w:rsid w:val="00F215C1"/>
    <w:rsid w:val="00F21DCC"/>
    <w:rsid w:val="00F25298"/>
    <w:rsid w:val="00F36448"/>
    <w:rsid w:val="00F44840"/>
    <w:rsid w:val="00F562C2"/>
    <w:rsid w:val="00F627C1"/>
    <w:rsid w:val="00F62B2C"/>
    <w:rsid w:val="00F62E17"/>
    <w:rsid w:val="00F66550"/>
    <w:rsid w:val="00F67221"/>
    <w:rsid w:val="00F711A7"/>
    <w:rsid w:val="00F712E4"/>
    <w:rsid w:val="00F730D8"/>
    <w:rsid w:val="00F739A1"/>
    <w:rsid w:val="00F752BB"/>
    <w:rsid w:val="00F761B8"/>
    <w:rsid w:val="00F76FEE"/>
    <w:rsid w:val="00F806A0"/>
    <w:rsid w:val="00F81DA7"/>
    <w:rsid w:val="00F85069"/>
    <w:rsid w:val="00F95F3F"/>
    <w:rsid w:val="00FA04F9"/>
    <w:rsid w:val="00FA36A7"/>
    <w:rsid w:val="00FA43AE"/>
    <w:rsid w:val="00FA5F2A"/>
    <w:rsid w:val="00FB07E5"/>
    <w:rsid w:val="00FB5AE2"/>
    <w:rsid w:val="00FB70CB"/>
    <w:rsid w:val="00FC716C"/>
    <w:rsid w:val="00FC7ADC"/>
    <w:rsid w:val="00FD4398"/>
    <w:rsid w:val="00FD5EEC"/>
    <w:rsid w:val="00FE5D63"/>
    <w:rsid w:val="00FE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7ED4E"/>
  <w15:docId w15:val="{4CE45D06-0C4B-46E3-91C3-226F628E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06A0"/>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F806A0"/>
    <w:pPr>
      <w:keepNext/>
      <w:jc w:val="center"/>
      <w:outlineLvl w:val="1"/>
    </w:pPr>
    <w:rPr>
      <w:rFonts w:ascii="Arial" w:hAnsi="Arial"/>
      <w:b/>
      <w:sz w:val="28"/>
    </w:rPr>
  </w:style>
  <w:style w:type="paragraph" w:styleId="Heading4">
    <w:name w:val="heading 4"/>
    <w:basedOn w:val="Normal"/>
    <w:next w:val="Normal"/>
    <w:link w:val="Heading4Char"/>
    <w:qFormat/>
    <w:rsid w:val="00F806A0"/>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6A0"/>
    <w:rPr>
      <w:rFonts w:ascii="Courier" w:eastAsia="Times New Roman" w:hAnsi="Courier" w:cs="Times New Roman"/>
      <w:b/>
      <w:spacing w:val="-3"/>
      <w:sz w:val="28"/>
      <w:szCs w:val="20"/>
    </w:rPr>
  </w:style>
  <w:style w:type="character" w:customStyle="1" w:styleId="Heading2Char">
    <w:name w:val="Heading 2 Char"/>
    <w:basedOn w:val="DefaultParagraphFont"/>
    <w:link w:val="Heading2"/>
    <w:rsid w:val="00F806A0"/>
    <w:rPr>
      <w:rFonts w:ascii="Arial" w:eastAsia="Times New Roman" w:hAnsi="Arial" w:cs="Times New Roman"/>
      <w:b/>
      <w:sz w:val="28"/>
      <w:szCs w:val="20"/>
    </w:rPr>
  </w:style>
  <w:style w:type="character" w:customStyle="1" w:styleId="Heading4Char">
    <w:name w:val="Heading 4 Char"/>
    <w:basedOn w:val="DefaultParagraphFont"/>
    <w:link w:val="Heading4"/>
    <w:rsid w:val="00F806A0"/>
    <w:rPr>
      <w:rFonts w:ascii="Arial" w:eastAsia="Times New Roman" w:hAnsi="Arial" w:cs="Times New Roman"/>
      <w:b/>
      <w:szCs w:val="20"/>
    </w:rPr>
  </w:style>
  <w:style w:type="paragraph" w:styleId="Header">
    <w:name w:val="header"/>
    <w:basedOn w:val="Normal"/>
    <w:link w:val="HeaderChar"/>
    <w:uiPriority w:val="99"/>
    <w:rsid w:val="00F806A0"/>
    <w:pPr>
      <w:widowControl w:val="0"/>
      <w:tabs>
        <w:tab w:val="center" w:pos="4320"/>
        <w:tab w:val="right" w:pos="8640"/>
      </w:tabs>
    </w:pPr>
    <w:rPr>
      <w:rFonts w:ascii="Courier" w:hAnsi="Courier"/>
      <w:sz w:val="22"/>
    </w:rPr>
  </w:style>
  <w:style w:type="character" w:customStyle="1" w:styleId="HeaderChar">
    <w:name w:val="Header Char"/>
    <w:basedOn w:val="DefaultParagraphFont"/>
    <w:link w:val="Header"/>
    <w:uiPriority w:val="99"/>
    <w:rsid w:val="00F806A0"/>
    <w:rPr>
      <w:rFonts w:ascii="Courier" w:eastAsia="Times New Roman" w:hAnsi="Courier" w:cs="Times New Roman"/>
      <w:szCs w:val="20"/>
    </w:rPr>
  </w:style>
  <w:style w:type="paragraph" w:styleId="FootnoteText">
    <w:name w:val="footnote text"/>
    <w:aliases w:val="single space,ft,footnote text,Footnote Text Char Char Char,Footnote Text Char Char,single space Char,ft Char,Footnote Text Char Char Char Char Char Char Char Char,Footnote Text Char Char Char Char1 Ch,fn,Fußnote,f,ADB,Footnote Text Blue"/>
    <w:basedOn w:val="Normal"/>
    <w:link w:val="FootnoteTextChar"/>
    <w:uiPriority w:val="99"/>
    <w:qFormat/>
    <w:rsid w:val="00F806A0"/>
    <w:pPr>
      <w:widowControl w:val="0"/>
    </w:pPr>
    <w:rPr>
      <w:rFonts w:ascii="Courier" w:hAnsi="Courier"/>
    </w:rPr>
  </w:style>
  <w:style w:type="character" w:customStyle="1" w:styleId="FootnoteTextChar">
    <w:name w:val="Footnote Text Char"/>
    <w:aliases w:val="single space Char1,ft Char1,footnote text Char,Footnote Text Char Char Char Char,Footnote Text Char Char Char1,single space Char Char,ft Char Char,Footnote Text Char Char Char Char Char Char Char Char Char,fn Char,Fußnote Char,f Char"/>
    <w:basedOn w:val="DefaultParagraphFont"/>
    <w:link w:val="FootnoteText"/>
    <w:uiPriority w:val="99"/>
    <w:rsid w:val="00F806A0"/>
    <w:rPr>
      <w:rFonts w:ascii="Courier" w:eastAsia="Times New Roman" w:hAnsi="Courier" w:cs="Times New Roman"/>
      <w:sz w:val="20"/>
      <w:szCs w:val="20"/>
    </w:rPr>
  </w:style>
  <w:style w:type="paragraph" w:styleId="Subtitle">
    <w:name w:val="Subtitle"/>
    <w:basedOn w:val="Normal"/>
    <w:link w:val="SubtitleChar"/>
    <w:qFormat/>
    <w:rsid w:val="00F806A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806A0"/>
    <w:rPr>
      <w:rFonts w:ascii="Arial" w:eastAsia="Times New Roman" w:hAnsi="Arial" w:cs="Arial"/>
      <w:sz w:val="24"/>
      <w:szCs w:val="24"/>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сноска,4_G,16 Poin"/>
    <w:link w:val="Char2"/>
    <w:uiPriority w:val="99"/>
    <w:qFormat/>
    <w:rsid w:val="00F806A0"/>
    <w:rPr>
      <w:rFonts w:cs="Times New Roman"/>
      <w:vertAlign w:val="superscript"/>
    </w:rPr>
  </w:style>
  <w:style w:type="paragraph" w:styleId="Footer">
    <w:name w:val="footer"/>
    <w:basedOn w:val="Normal"/>
    <w:link w:val="FooterChar"/>
    <w:uiPriority w:val="99"/>
    <w:rsid w:val="00F806A0"/>
    <w:pPr>
      <w:tabs>
        <w:tab w:val="center" w:pos="4320"/>
        <w:tab w:val="right" w:pos="8640"/>
      </w:tabs>
    </w:pPr>
  </w:style>
  <w:style w:type="character" w:customStyle="1" w:styleId="FooterChar">
    <w:name w:val="Footer Char"/>
    <w:basedOn w:val="DefaultParagraphFont"/>
    <w:link w:val="Footer"/>
    <w:uiPriority w:val="99"/>
    <w:rsid w:val="00F806A0"/>
    <w:rPr>
      <w:rFonts w:ascii="Times New Roman" w:eastAsia="Times New Roman" w:hAnsi="Times New Roman" w:cs="Times New Roman"/>
      <w:sz w:val="20"/>
      <w:szCs w:val="20"/>
    </w:rPr>
  </w:style>
  <w:style w:type="paragraph" w:customStyle="1" w:styleId="HCh">
    <w:name w:val="_ H _Ch"/>
    <w:basedOn w:val="Normal"/>
    <w:next w:val="Normal"/>
    <w:rsid w:val="00F806A0"/>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F806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F806A0"/>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F806A0"/>
    <w:rPr>
      <w:rFonts w:ascii="Tahoma" w:hAnsi="Tahoma" w:cs="Tahoma"/>
      <w:sz w:val="16"/>
      <w:szCs w:val="16"/>
    </w:rPr>
  </w:style>
  <w:style w:type="character" w:customStyle="1" w:styleId="BalloonTextChar">
    <w:name w:val="Balloon Text Char"/>
    <w:basedOn w:val="DefaultParagraphFont"/>
    <w:link w:val="BalloonText"/>
    <w:semiHidden/>
    <w:rsid w:val="00F806A0"/>
    <w:rPr>
      <w:rFonts w:ascii="Tahoma" w:eastAsia="Times New Roman" w:hAnsi="Tahoma" w:cs="Tahoma"/>
      <w:sz w:val="16"/>
      <w:szCs w:val="16"/>
    </w:rPr>
  </w:style>
  <w:style w:type="character" w:styleId="Hyperlink">
    <w:name w:val="Hyperlink"/>
    <w:rsid w:val="00F806A0"/>
    <w:rPr>
      <w:rFonts w:cs="Times New Roman"/>
      <w:color w:val="336699"/>
      <w:u w:val="none"/>
      <w:effect w:val="none"/>
    </w:rPr>
  </w:style>
  <w:style w:type="paragraph" w:styleId="ListParagraph">
    <w:name w:val="List Paragraph"/>
    <w:aliases w:val="Bullets,List Paragraph1,List Paragraph (numbered (a)),Akapit z listą BS,WB Para"/>
    <w:basedOn w:val="Normal"/>
    <w:link w:val="ListParagraphChar"/>
    <w:uiPriority w:val="34"/>
    <w:qFormat/>
    <w:rsid w:val="00F806A0"/>
    <w:pPr>
      <w:ind w:left="720"/>
    </w:pPr>
  </w:style>
  <w:style w:type="paragraph" w:styleId="DocumentMap">
    <w:name w:val="Document Map"/>
    <w:basedOn w:val="Normal"/>
    <w:link w:val="DocumentMapChar"/>
    <w:semiHidden/>
    <w:rsid w:val="00F806A0"/>
    <w:rPr>
      <w:rFonts w:ascii="Tahoma" w:hAnsi="Tahoma"/>
      <w:sz w:val="16"/>
      <w:szCs w:val="16"/>
    </w:rPr>
  </w:style>
  <w:style w:type="character" w:customStyle="1" w:styleId="DocumentMapChar">
    <w:name w:val="Document Map Char"/>
    <w:basedOn w:val="DefaultParagraphFont"/>
    <w:link w:val="DocumentMap"/>
    <w:rsid w:val="00F806A0"/>
    <w:rPr>
      <w:rFonts w:ascii="Tahoma" w:eastAsia="Times New Roman" w:hAnsi="Tahoma" w:cs="Times New Roman"/>
      <w:sz w:val="16"/>
      <w:szCs w:val="16"/>
    </w:rPr>
  </w:style>
  <w:style w:type="character" w:styleId="CommentReference">
    <w:name w:val="annotation reference"/>
    <w:uiPriority w:val="99"/>
    <w:semiHidden/>
    <w:rsid w:val="00F806A0"/>
    <w:rPr>
      <w:rFonts w:cs="Times New Roman"/>
      <w:sz w:val="6"/>
      <w:szCs w:val="6"/>
    </w:rPr>
  </w:style>
  <w:style w:type="paragraph" w:styleId="CommentText">
    <w:name w:val="annotation text"/>
    <w:basedOn w:val="Normal"/>
    <w:link w:val="CommentTextChar"/>
    <w:uiPriority w:val="99"/>
    <w:rsid w:val="00F806A0"/>
  </w:style>
  <w:style w:type="character" w:customStyle="1" w:styleId="CommentTextChar">
    <w:name w:val="Comment Text Char"/>
    <w:basedOn w:val="DefaultParagraphFont"/>
    <w:link w:val="CommentText"/>
    <w:uiPriority w:val="99"/>
    <w:rsid w:val="00F806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806A0"/>
    <w:rPr>
      <w:b/>
      <w:bCs/>
    </w:rPr>
  </w:style>
  <w:style w:type="character" w:customStyle="1" w:styleId="CommentSubjectChar">
    <w:name w:val="Comment Subject Char"/>
    <w:basedOn w:val="CommentTextChar"/>
    <w:link w:val="CommentSubject"/>
    <w:rsid w:val="00F806A0"/>
    <w:rPr>
      <w:rFonts w:ascii="Times New Roman" w:eastAsia="Times New Roman" w:hAnsi="Times New Roman" w:cs="Times New Roman"/>
      <w:b/>
      <w:bCs/>
      <w:sz w:val="20"/>
      <w:szCs w:val="20"/>
    </w:rPr>
  </w:style>
  <w:style w:type="character" w:styleId="PageNumber">
    <w:name w:val="page number"/>
    <w:basedOn w:val="DefaultParagraphFont"/>
    <w:semiHidden/>
    <w:rsid w:val="00F806A0"/>
  </w:style>
  <w:style w:type="paragraph" w:styleId="BodyText">
    <w:name w:val="Body Text"/>
    <w:basedOn w:val="Normal"/>
    <w:link w:val="BodyTextChar"/>
    <w:semiHidden/>
    <w:rsid w:val="00F806A0"/>
    <w:rPr>
      <w:b/>
      <w:bCs/>
      <w:sz w:val="24"/>
    </w:rPr>
  </w:style>
  <w:style w:type="character" w:customStyle="1" w:styleId="BodyTextChar">
    <w:name w:val="Body Text Char"/>
    <w:basedOn w:val="DefaultParagraphFont"/>
    <w:link w:val="BodyText"/>
    <w:semiHidden/>
    <w:rsid w:val="00F806A0"/>
    <w:rPr>
      <w:rFonts w:ascii="Times New Roman" w:eastAsia="Times New Roman" w:hAnsi="Times New Roman" w:cs="Times New Roman"/>
      <w:b/>
      <w:bCs/>
      <w:sz w:val="24"/>
      <w:szCs w:val="20"/>
    </w:rPr>
  </w:style>
  <w:style w:type="paragraph" w:styleId="BodyText2">
    <w:name w:val="Body Text 2"/>
    <w:basedOn w:val="Normal"/>
    <w:link w:val="BodyText2Char"/>
    <w:semiHidden/>
    <w:rsid w:val="00F806A0"/>
    <w:rPr>
      <w:sz w:val="24"/>
    </w:rPr>
  </w:style>
  <w:style w:type="character" w:customStyle="1" w:styleId="BodyText2Char">
    <w:name w:val="Body Text 2 Char"/>
    <w:basedOn w:val="DefaultParagraphFont"/>
    <w:link w:val="BodyText2"/>
    <w:semiHidden/>
    <w:rsid w:val="00F806A0"/>
    <w:rPr>
      <w:rFonts w:ascii="Times New Roman" w:eastAsia="Times New Roman" w:hAnsi="Times New Roman" w:cs="Times New Roman"/>
      <w:sz w:val="24"/>
      <w:szCs w:val="20"/>
    </w:rPr>
  </w:style>
  <w:style w:type="paragraph" w:styleId="BodyText3">
    <w:name w:val="Body Text 3"/>
    <w:basedOn w:val="Normal"/>
    <w:link w:val="BodyText3Char"/>
    <w:semiHidden/>
    <w:rsid w:val="00F806A0"/>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F806A0"/>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F806A0"/>
    <w:pPr>
      <w:spacing w:after="160" w:line="240" w:lineRule="exact"/>
    </w:pPr>
    <w:rPr>
      <w:rFonts w:asciiTheme="minorHAnsi" w:eastAsiaTheme="minorHAnsi" w:hAnsiTheme="minorHAnsi"/>
      <w:sz w:val="22"/>
      <w:szCs w:val="22"/>
      <w:vertAlign w:val="superscript"/>
    </w:rPr>
  </w:style>
  <w:style w:type="paragraph" w:customStyle="1" w:styleId="Default">
    <w:name w:val="Default"/>
    <w:rsid w:val="00F806A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F806A0"/>
    <w:rPr>
      <w:rFonts w:ascii="Times New Roman" w:eastAsia="Times New Roman" w:hAnsi="Times New Roman" w:cs="Times New Roman"/>
      <w:sz w:val="20"/>
      <w:szCs w:val="20"/>
    </w:rPr>
  </w:style>
  <w:style w:type="character" w:customStyle="1" w:styleId="TableChar">
    <w:name w:val="Table Char"/>
    <w:basedOn w:val="DefaultParagraphFont"/>
    <w:link w:val="Table"/>
    <w:locked/>
    <w:rsid w:val="00F806A0"/>
    <w:rPr>
      <w:rFonts w:ascii="Arial Narrow" w:hAnsi="Arial Narrow" w:cs="Arial"/>
    </w:rPr>
  </w:style>
  <w:style w:type="paragraph" w:customStyle="1" w:styleId="Table">
    <w:name w:val="Table"/>
    <w:basedOn w:val="NoSpacing"/>
    <w:link w:val="TableChar"/>
    <w:qFormat/>
    <w:rsid w:val="00F806A0"/>
    <w:rPr>
      <w:rFonts w:ascii="Arial Narrow" w:eastAsiaTheme="minorHAnsi" w:hAnsi="Arial Narrow" w:cs="Arial"/>
      <w:sz w:val="22"/>
      <w:szCs w:val="22"/>
    </w:rPr>
  </w:style>
  <w:style w:type="paragraph" w:styleId="NoSpacing">
    <w:name w:val="No Spacing"/>
    <w:uiPriority w:val="1"/>
    <w:qFormat/>
    <w:rsid w:val="00F806A0"/>
    <w:pPr>
      <w:spacing w:after="0" w:line="240" w:lineRule="auto"/>
    </w:pPr>
    <w:rPr>
      <w:rFonts w:ascii="Times New Roman" w:eastAsia="Times New Roman" w:hAnsi="Times New Roman" w:cs="Times New Roman"/>
      <w:sz w:val="20"/>
      <w:szCs w:val="20"/>
    </w:rPr>
  </w:style>
  <w:style w:type="paragraph" w:customStyle="1" w:styleId="BVIfnrChar">
    <w:name w:val="BVI fnr Char"/>
    <w:aliases w:val="ftref Char,16 Point Char,Superscript 6 Point Char,Footnotes refss Char,Footnote Reference Number Char,nota pié di pagina Char,Times 10 Point Char,Exposant 3 Point Char,Footnote symbol Char,Footnote reference number Char"/>
    <w:basedOn w:val="Normal"/>
    <w:uiPriority w:val="99"/>
    <w:rsid w:val="00F806A0"/>
    <w:pPr>
      <w:spacing w:after="160" w:line="240" w:lineRule="exact"/>
    </w:pPr>
    <w:rPr>
      <w:vertAlign w:val="superscript"/>
      <w:lang w:val="en-GB" w:eastAsia="en-GB"/>
    </w:rPr>
  </w:style>
  <w:style w:type="paragraph" w:styleId="Revision">
    <w:name w:val="Revision"/>
    <w:hidden/>
    <w:uiPriority w:val="99"/>
    <w:semiHidden/>
    <w:rsid w:val="00F806A0"/>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F806A0"/>
    <w:pPr>
      <w:spacing w:before="100" w:beforeAutospacing="1" w:after="100" w:afterAutospacing="1"/>
    </w:pPr>
    <w:rPr>
      <w:sz w:val="24"/>
      <w:szCs w:val="24"/>
      <w:lang w:val="en-GB" w:eastAsia="en-GB"/>
    </w:rPr>
  </w:style>
  <w:style w:type="character" w:customStyle="1" w:styleId="apple-converted-space">
    <w:name w:val="apple-converted-space"/>
    <w:basedOn w:val="DefaultParagraphFont"/>
    <w:rsid w:val="00F806A0"/>
  </w:style>
  <w:style w:type="character" w:styleId="Strong">
    <w:name w:val="Strong"/>
    <w:basedOn w:val="DefaultParagraphFont"/>
    <w:uiPriority w:val="22"/>
    <w:qFormat/>
    <w:rsid w:val="00F806A0"/>
    <w:rPr>
      <w:b/>
      <w:bCs/>
    </w:rPr>
  </w:style>
  <w:style w:type="paragraph" w:styleId="EndnoteText">
    <w:name w:val="endnote text"/>
    <w:basedOn w:val="Normal"/>
    <w:link w:val="EndnoteTextChar"/>
    <w:semiHidden/>
    <w:unhideWhenUsed/>
    <w:rsid w:val="00F806A0"/>
  </w:style>
  <w:style w:type="character" w:customStyle="1" w:styleId="EndnoteTextChar">
    <w:name w:val="Endnote Text Char"/>
    <w:basedOn w:val="DefaultParagraphFont"/>
    <w:link w:val="EndnoteText"/>
    <w:semiHidden/>
    <w:rsid w:val="00F806A0"/>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F806A0"/>
    <w:rPr>
      <w:vertAlign w:val="superscript"/>
    </w:rPr>
  </w:style>
  <w:style w:type="paragraph" w:customStyle="1" w:styleId="CoverTitle">
    <w:name w:val="Cover Title"/>
    <w:basedOn w:val="Normal"/>
    <w:rsid w:val="00F806A0"/>
    <w:pPr>
      <w:jc w:val="center"/>
    </w:pPr>
    <w:rPr>
      <w:rFonts w:ascii="Calibri Light" w:eastAsiaTheme="minorHAnsi" w:hAnsi="Calibri Light"/>
      <w:b/>
      <w:bCs/>
      <w:color w:val="385623"/>
      <w:sz w:val="40"/>
      <w:szCs w:val="40"/>
      <w:lang w:eastAsia="zh-CN"/>
    </w:rPr>
  </w:style>
  <w:style w:type="character" w:customStyle="1" w:styleId="hps">
    <w:name w:val="hps"/>
    <w:basedOn w:val="DefaultParagraphFont"/>
    <w:rsid w:val="00EC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operations/accountability/programme_and_operationspoliciesandprocedures.html"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ndp.org/global/popp/rma/Pages/internal-control-framework.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7DC7-EFF4-42CA-9770-1D8FA7B1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Steliana Nedera</dc:creator>
  <cp:keywords/>
  <dc:description/>
  <cp:lastModifiedBy>Svetlana Iazykova</cp:lastModifiedBy>
  <cp:revision>2</cp:revision>
  <cp:lastPrinted>2015-03-31T13:38:00Z</cp:lastPrinted>
  <dcterms:created xsi:type="dcterms:W3CDTF">2015-06-06T21:51:00Z</dcterms:created>
  <dcterms:modified xsi:type="dcterms:W3CDTF">2015-06-06T21:51:00Z</dcterms:modified>
</cp:coreProperties>
</file>