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754D" w14:textId="0C0D4021" w:rsidR="00785474" w:rsidRPr="003C26C1" w:rsidRDefault="00F0264E" w:rsidP="00A56348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="00CB2FE7" w:rsidRPr="003C26C1">
        <w:rPr>
          <w:b/>
          <w:bCs/>
          <w:color w:val="000000"/>
        </w:rPr>
        <w:t>FULLY-</w:t>
      </w:r>
      <w:r w:rsidR="00785474" w:rsidRPr="003C26C1">
        <w:rPr>
          <w:b/>
          <w:color w:val="000000"/>
        </w:rPr>
        <w:t xml:space="preserve">COSTED EVALUATION PLAN </w:t>
      </w:r>
      <w:bookmarkStart w:id="0" w:name="_GoBack"/>
      <w:bookmarkEnd w:id="0"/>
    </w:p>
    <w:p w14:paraId="3F0B754E" w14:textId="77777777" w:rsidR="00785474" w:rsidRPr="003C26C1" w:rsidRDefault="00785474" w:rsidP="00A56348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472"/>
        <w:gridCol w:w="1472"/>
        <w:gridCol w:w="1777"/>
        <w:gridCol w:w="1780"/>
        <w:gridCol w:w="1616"/>
        <w:gridCol w:w="1621"/>
        <w:gridCol w:w="1561"/>
        <w:gridCol w:w="1472"/>
      </w:tblGrid>
      <w:tr w:rsidR="009613DF" w:rsidRPr="003C26C1" w14:paraId="3F0B7559" w14:textId="77777777" w:rsidTr="0013085F">
        <w:trPr>
          <w:trHeight w:val="845"/>
        </w:trPr>
        <w:tc>
          <w:tcPr>
            <w:tcW w:w="566" w:type="pct"/>
            <w:shd w:val="clear" w:color="auto" w:fill="DBE5F1" w:themeFill="accent1" w:themeFillTint="33"/>
            <w:vAlign w:val="center"/>
          </w:tcPr>
          <w:p w14:paraId="3F0B754F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</w:t>
            </w:r>
            <w:r w:rsidR="003761F2" w:rsidRPr="003C26C1">
              <w:rPr>
                <w:b/>
                <w:bCs/>
                <w:sz w:val="16"/>
                <w:szCs w:val="16"/>
              </w:rPr>
              <w:t xml:space="preserve"> (or </w:t>
            </w:r>
            <w:r w:rsidR="00092879" w:rsidRPr="003C26C1">
              <w:rPr>
                <w:b/>
                <w:bCs/>
                <w:sz w:val="16"/>
                <w:szCs w:val="16"/>
              </w:rPr>
              <w:t>equivalent</w:t>
            </w:r>
            <w:r w:rsidR="003761F2" w:rsidRPr="003C26C1">
              <w:rPr>
                <w:b/>
                <w:bCs/>
                <w:sz w:val="16"/>
                <w:szCs w:val="16"/>
              </w:rPr>
              <w:t>)</w:t>
            </w:r>
          </w:p>
          <w:p w14:paraId="3F0B7550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Outcome</w:t>
            </w:r>
            <w:r w:rsidR="00A10A30" w:rsidRPr="003C26C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1" w:type="pct"/>
            <w:shd w:val="clear" w:color="auto" w:fill="DBE5F1" w:themeFill="accent1" w:themeFillTint="33"/>
            <w:vAlign w:val="center"/>
          </w:tcPr>
          <w:p w14:paraId="3F0B7551" w14:textId="77777777" w:rsidR="00B961B7" w:rsidRPr="003C26C1" w:rsidRDefault="00092879" w:rsidP="00A76D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UNDP 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Strategic Plan </w:t>
            </w:r>
            <w:r w:rsidR="00A76D2C" w:rsidRPr="003C26C1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511" w:type="pct"/>
            <w:shd w:val="clear" w:color="auto" w:fill="DBE5F1" w:themeFill="accent1" w:themeFillTint="33"/>
            <w:vAlign w:val="center"/>
          </w:tcPr>
          <w:p w14:paraId="3F0B7552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17" w:type="pct"/>
            <w:shd w:val="clear" w:color="auto" w:fill="DBE5F1" w:themeFill="accent1" w:themeFillTint="33"/>
            <w:vAlign w:val="center"/>
          </w:tcPr>
          <w:p w14:paraId="3F0B7553" w14:textId="77777777" w:rsidR="00B961B7" w:rsidRPr="003C26C1" w:rsidDel="00BA628C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14:paraId="3F0B7554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61" w:type="pct"/>
            <w:shd w:val="clear" w:color="auto" w:fill="DBE5F1" w:themeFill="accent1" w:themeFillTint="33"/>
            <w:vAlign w:val="center"/>
          </w:tcPr>
          <w:p w14:paraId="3F0B7555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3F0B7556" w14:textId="77777777" w:rsidR="00B961B7" w:rsidRPr="003C26C1" w:rsidRDefault="00E5696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 Completion Date</w:t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14:paraId="3F0B7557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11" w:type="pct"/>
            <w:shd w:val="clear" w:color="auto" w:fill="DBE5F1" w:themeFill="accent1" w:themeFillTint="33"/>
            <w:vAlign w:val="center"/>
          </w:tcPr>
          <w:p w14:paraId="3F0B7558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EF48DF" w:rsidRPr="003C26C1" w14:paraId="112775B0" w14:textId="77777777" w:rsidTr="0013085F">
        <w:trPr>
          <w:trHeight w:val="490"/>
        </w:trPr>
        <w:tc>
          <w:tcPr>
            <w:tcW w:w="566" w:type="pct"/>
          </w:tcPr>
          <w:p w14:paraId="2C001533" w14:textId="2F56F2D8" w:rsidR="00EF48DF" w:rsidRPr="00426DF5" w:rsidRDefault="009613DF" w:rsidP="00095426">
            <w:pPr>
              <w:rPr>
                <w:sz w:val="16"/>
                <w:szCs w:val="16"/>
              </w:rPr>
            </w:pPr>
            <w:r w:rsidRPr="009613DF">
              <w:rPr>
                <w:sz w:val="16"/>
                <w:szCs w:val="16"/>
              </w:rPr>
              <w:t>2.</w:t>
            </w:r>
            <w:r w:rsidR="00E85159">
              <w:rPr>
                <w:sz w:val="16"/>
                <w:szCs w:val="16"/>
              </w:rPr>
              <w:t>1.</w:t>
            </w:r>
            <w:r w:rsidRPr="009613DF">
              <w:rPr>
                <w:sz w:val="16"/>
                <w:szCs w:val="16"/>
              </w:rPr>
              <w:t xml:space="preserve"> By 2020, central and local administrations and other actors more effectively </w:t>
            </w:r>
            <w:r w:rsidR="00095426">
              <w:rPr>
                <w:sz w:val="16"/>
                <w:szCs w:val="16"/>
              </w:rPr>
              <w:t xml:space="preserve">protect </w:t>
            </w:r>
            <w:r w:rsidRPr="009613DF">
              <w:rPr>
                <w:sz w:val="16"/>
                <w:szCs w:val="16"/>
              </w:rPr>
              <w:t>and promote human rights, and adopt transparent, accountable, pluralistic and gender sensitive governance systems, with the full participation of civil society, including the most vulnerable</w:t>
            </w:r>
          </w:p>
        </w:tc>
        <w:tc>
          <w:tcPr>
            <w:tcW w:w="511" w:type="pct"/>
          </w:tcPr>
          <w:p w14:paraId="1DAFDD79" w14:textId="77777777" w:rsidR="00EF48DF" w:rsidRDefault="009613DF" w:rsidP="009D7760">
            <w:pPr>
              <w:rPr>
                <w:sz w:val="16"/>
                <w:szCs w:val="16"/>
              </w:rPr>
            </w:pPr>
            <w:r w:rsidRPr="009613DF">
              <w:rPr>
                <w:sz w:val="16"/>
                <w:szCs w:val="16"/>
              </w:rPr>
              <w:t>SP Outcome 2: Citizen expectations for voice, development, the rule of law and accountability are met by stronger systems of democratic governance</w:t>
            </w:r>
          </w:p>
          <w:p w14:paraId="09F0CD81" w14:textId="77777777" w:rsidR="00BB3471" w:rsidRDefault="00BB3471" w:rsidP="009D7760">
            <w:pPr>
              <w:rPr>
                <w:sz w:val="16"/>
                <w:szCs w:val="16"/>
              </w:rPr>
            </w:pPr>
          </w:p>
          <w:p w14:paraId="76089468" w14:textId="4232475D" w:rsidR="00BB3471" w:rsidRDefault="00BB3471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14:paraId="7ED01C38" w14:textId="77777777" w:rsidR="009613DF" w:rsidRDefault="009613DF" w:rsidP="009D7760">
            <w:pPr>
              <w:rPr>
                <w:sz w:val="16"/>
                <w:szCs w:val="16"/>
              </w:rPr>
            </w:pPr>
          </w:p>
          <w:p w14:paraId="7620EFC7" w14:textId="689B8CD7" w:rsidR="009613DF" w:rsidRDefault="009613DF" w:rsidP="009613DF">
            <w:pPr>
              <w:rPr>
                <w:sz w:val="16"/>
                <w:szCs w:val="16"/>
              </w:rPr>
            </w:pPr>
            <w:r w:rsidRPr="009613DF">
              <w:rPr>
                <w:sz w:val="16"/>
                <w:szCs w:val="16"/>
              </w:rPr>
              <w:t>SP Outcome 3: Countries have strengthened institutions to progressively deliver universal access to basic services</w:t>
            </w:r>
          </w:p>
          <w:p w14:paraId="76EA5174" w14:textId="77777777" w:rsidR="008861EC" w:rsidRPr="009613DF" w:rsidRDefault="008861EC" w:rsidP="009613DF">
            <w:pPr>
              <w:rPr>
                <w:sz w:val="16"/>
                <w:szCs w:val="16"/>
              </w:rPr>
            </w:pPr>
          </w:p>
          <w:p w14:paraId="1A3A1A80" w14:textId="0125A08E" w:rsidR="009613DF" w:rsidRPr="00426DF5" w:rsidRDefault="009613DF" w:rsidP="009D776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4217533A" w14:textId="5E5C0A83" w:rsidR="00EF48DF" w:rsidRPr="00426DF5" w:rsidRDefault="00EF48DF" w:rsidP="00EF4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Evaluation of Inclusive and Democratic Governance (IDG) Portfolio</w:t>
            </w:r>
          </w:p>
        </w:tc>
        <w:tc>
          <w:tcPr>
            <w:tcW w:w="617" w:type="pct"/>
          </w:tcPr>
          <w:p w14:paraId="13E0B0CA" w14:textId="46709F10" w:rsidR="00EF48DF" w:rsidRPr="00426DF5" w:rsidRDefault="00EF48DF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18" w:type="pct"/>
          </w:tcPr>
          <w:p w14:paraId="2DEAEB42" w14:textId="77777777" w:rsidR="00EF48DF" w:rsidRPr="00426DF5" w:rsidRDefault="00EF48DF" w:rsidP="009D7760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28500D75" w14:textId="5979F595" w:rsidR="00EF48DF" w:rsidRPr="00426DF5" w:rsidRDefault="004370CC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Evaluation</w:t>
            </w:r>
          </w:p>
        </w:tc>
        <w:tc>
          <w:tcPr>
            <w:tcW w:w="563" w:type="pct"/>
          </w:tcPr>
          <w:p w14:paraId="22210A1D" w14:textId="387C9C9B" w:rsidR="00EF48DF" w:rsidRPr="00426DF5" w:rsidRDefault="0046664E" w:rsidP="0046664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  <w:r w:rsidR="00EF48DF">
              <w:rPr>
                <w:sz w:val="16"/>
                <w:szCs w:val="16"/>
              </w:rPr>
              <w:t xml:space="preserve"> 20</w:t>
            </w:r>
            <w:r w:rsidR="008776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pct"/>
          </w:tcPr>
          <w:p w14:paraId="688DAE62" w14:textId="3D8CB600" w:rsidR="00EF48DF" w:rsidRPr="00426DF5" w:rsidRDefault="005B7215" w:rsidP="00466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</w:t>
            </w:r>
            <w:r w:rsidR="0046664E">
              <w:rPr>
                <w:sz w:val="16"/>
                <w:szCs w:val="16"/>
              </w:rPr>
              <w:t>6</w:t>
            </w:r>
            <w:r w:rsidR="0054323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54323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11" w:type="pct"/>
          </w:tcPr>
          <w:p w14:paraId="1E67DA1E" w14:textId="2E4201F6" w:rsidR="00EF48DF" w:rsidRPr="00426DF5" w:rsidRDefault="00EF48DF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Budgets of projects under the IDG Portfolio</w:t>
            </w:r>
          </w:p>
        </w:tc>
      </w:tr>
      <w:tr w:rsidR="00EF48DF" w:rsidRPr="003C26C1" w14:paraId="3E8BB028" w14:textId="77777777" w:rsidTr="0013085F">
        <w:trPr>
          <w:trHeight w:val="490"/>
        </w:trPr>
        <w:tc>
          <w:tcPr>
            <w:tcW w:w="566" w:type="pct"/>
          </w:tcPr>
          <w:p w14:paraId="10D47ADF" w14:textId="791D4A1E" w:rsidR="00EF48DF" w:rsidRPr="00426DF5" w:rsidRDefault="002811AE" w:rsidP="009D7760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GB"/>
              </w:rPr>
              <w:t>1</w:t>
            </w:r>
            <w:r w:rsidRPr="002811AE">
              <w:rPr>
                <w:sz w:val="16"/>
                <w:szCs w:val="16"/>
              </w:rPr>
              <w:t>.1 By 2020 legal and policy framework improved, institutional capacities and accountability mechanisms enhanced to enable more competitive, inclusive, innovative environment for sustainable, equitable, job rich growth and development</w:t>
            </w:r>
          </w:p>
        </w:tc>
        <w:tc>
          <w:tcPr>
            <w:tcW w:w="511" w:type="pct"/>
          </w:tcPr>
          <w:p w14:paraId="427A6E3D" w14:textId="77777777" w:rsidR="00EF48DF" w:rsidRPr="00426DF5" w:rsidRDefault="00EF48DF" w:rsidP="009D776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6DE400F6" w14:textId="4AA2E6E1" w:rsidR="00EF48DF" w:rsidRDefault="00EF48DF" w:rsidP="00EF4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Evaluation of Inclusive and Sustainable Growth (ISG) Portfolio</w:t>
            </w:r>
          </w:p>
        </w:tc>
        <w:tc>
          <w:tcPr>
            <w:tcW w:w="617" w:type="pct"/>
          </w:tcPr>
          <w:p w14:paraId="5F05BF4C" w14:textId="6992FC81" w:rsidR="00EF48DF" w:rsidRPr="00426DF5" w:rsidRDefault="00EF48DF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18" w:type="pct"/>
          </w:tcPr>
          <w:p w14:paraId="7A88B008" w14:textId="77777777" w:rsidR="00EF48DF" w:rsidRPr="00426DF5" w:rsidRDefault="00EF48DF" w:rsidP="009D7760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8D6128C" w14:textId="10A28545" w:rsidR="00EF48DF" w:rsidRPr="00426DF5" w:rsidRDefault="004370CC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Evaluation</w:t>
            </w:r>
          </w:p>
        </w:tc>
        <w:tc>
          <w:tcPr>
            <w:tcW w:w="563" w:type="pct"/>
          </w:tcPr>
          <w:p w14:paraId="77927792" w14:textId="6C34FEC6" w:rsidR="00EF48DF" w:rsidRPr="00426DF5" w:rsidRDefault="0046664E" w:rsidP="0046664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  <w:r w:rsidR="008776E7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pct"/>
          </w:tcPr>
          <w:p w14:paraId="49021FC3" w14:textId="64FCC260" w:rsidR="00EF48DF" w:rsidRPr="00426DF5" w:rsidRDefault="00E41C34" w:rsidP="00466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USD </w:t>
            </w:r>
            <w:r w:rsidR="0046664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0,000</w:t>
            </w:r>
          </w:p>
        </w:tc>
        <w:tc>
          <w:tcPr>
            <w:tcW w:w="511" w:type="pct"/>
          </w:tcPr>
          <w:p w14:paraId="71896244" w14:textId="3509BC2E" w:rsidR="00EF48DF" w:rsidRPr="00426DF5" w:rsidRDefault="00EF48DF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Budgets of projects under the ISG Portfolio</w:t>
            </w:r>
          </w:p>
        </w:tc>
      </w:tr>
      <w:tr w:rsidR="00EF48DF" w:rsidRPr="003C26C1" w14:paraId="17853917" w14:textId="77777777" w:rsidTr="008861EC">
        <w:trPr>
          <w:trHeight w:val="980"/>
        </w:trPr>
        <w:tc>
          <w:tcPr>
            <w:tcW w:w="566" w:type="pct"/>
          </w:tcPr>
          <w:p w14:paraId="1AAD90FC" w14:textId="63C057AF" w:rsidR="008861EC" w:rsidRDefault="00C01259" w:rsidP="009D7760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C01259">
              <w:rPr>
                <w:color w:val="000000"/>
                <w:sz w:val="16"/>
                <w:szCs w:val="16"/>
                <w:lang w:val="en-GB"/>
              </w:rPr>
              <w:t>1.3 B</w:t>
            </w:r>
            <w:r w:rsidRPr="00C01259">
              <w:rPr>
                <w:bCs/>
                <w:color w:val="000000"/>
                <w:sz w:val="16"/>
                <w:szCs w:val="16"/>
                <w:lang w:val="en-GB"/>
              </w:rPr>
              <w:t>y 2020, National, local authorities and stakeholders implement more effective policies and practices on sustainable environment, climate change, biodiversity and for resilience of the system/communities to natural and human induced disasters</w:t>
            </w:r>
          </w:p>
          <w:p w14:paraId="59642EE6" w14:textId="15936F19" w:rsidR="008861EC" w:rsidRPr="00C01259" w:rsidRDefault="008861EC" w:rsidP="009D776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73681687" w14:textId="25714CEC" w:rsidR="00EF48DF" w:rsidRPr="00426DF5" w:rsidRDefault="00C01259" w:rsidP="00C01259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GB"/>
              </w:rPr>
              <w:t xml:space="preserve">SP </w:t>
            </w:r>
            <w:r w:rsidRPr="00C01259">
              <w:rPr>
                <w:bCs/>
                <w:color w:val="000000"/>
                <w:sz w:val="16"/>
                <w:szCs w:val="16"/>
                <w:lang w:val="en-GB"/>
              </w:rPr>
              <w:t>Outcome 1: Growth is inclusive and sustainable, incorporating productive capacities that create employment and livelihoods for the poor and excluded</w:t>
            </w:r>
          </w:p>
        </w:tc>
        <w:tc>
          <w:tcPr>
            <w:tcW w:w="511" w:type="pct"/>
          </w:tcPr>
          <w:p w14:paraId="7B35253C" w14:textId="2F435DC2" w:rsidR="00EF48DF" w:rsidRDefault="00EF48DF" w:rsidP="00EF4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Evaluation of Climate Change and Environment (CCE) Portfolio</w:t>
            </w:r>
          </w:p>
        </w:tc>
        <w:tc>
          <w:tcPr>
            <w:tcW w:w="617" w:type="pct"/>
          </w:tcPr>
          <w:p w14:paraId="40E27A17" w14:textId="46EDDCF2" w:rsidR="00EF48DF" w:rsidRPr="00426DF5" w:rsidRDefault="00EF48DF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18" w:type="pct"/>
          </w:tcPr>
          <w:p w14:paraId="4B72919B" w14:textId="77777777" w:rsidR="00EF48DF" w:rsidRPr="00426DF5" w:rsidRDefault="00EF48DF" w:rsidP="009D7760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548CB91" w14:textId="776235F0" w:rsidR="00EF48DF" w:rsidRPr="00426DF5" w:rsidRDefault="004370CC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Evaluation</w:t>
            </w:r>
          </w:p>
        </w:tc>
        <w:tc>
          <w:tcPr>
            <w:tcW w:w="563" w:type="pct"/>
          </w:tcPr>
          <w:p w14:paraId="54B62E80" w14:textId="27E1BFC2" w:rsidR="00EF48DF" w:rsidRPr="00426DF5" w:rsidRDefault="008776E7" w:rsidP="008776E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June </w:t>
            </w:r>
            <w:r w:rsidR="00EF48D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</w:t>
            </w:r>
            <w:r w:rsidR="0046664E">
              <w:rPr>
                <w:sz w:val="16"/>
                <w:szCs w:val="16"/>
              </w:rPr>
              <w:t>8</w:t>
            </w:r>
          </w:p>
        </w:tc>
        <w:tc>
          <w:tcPr>
            <w:tcW w:w="542" w:type="pct"/>
          </w:tcPr>
          <w:p w14:paraId="6C22C082" w14:textId="613EFC6B" w:rsidR="00EF48DF" w:rsidRPr="00426DF5" w:rsidRDefault="00E41C34" w:rsidP="00466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USD </w:t>
            </w:r>
            <w:r w:rsidR="0046664E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511" w:type="pct"/>
          </w:tcPr>
          <w:p w14:paraId="0C403D88" w14:textId="66F90418" w:rsidR="00EF48DF" w:rsidRPr="00426DF5" w:rsidRDefault="00EF48DF" w:rsidP="00EF48DF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Budgets of projects under the CCE Portfolio</w:t>
            </w:r>
          </w:p>
        </w:tc>
      </w:tr>
      <w:tr w:rsidR="008861EC" w:rsidRPr="003C26C1" w14:paraId="3E635D8D" w14:textId="77777777" w:rsidTr="0013085F">
        <w:trPr>
          <w:trHeight w:val="490"/>
        </w:trPr>
        <w:tc>
          <w:tcPr>
            <w:tcW w:w="566" w:type="pct"/>
          </w:tcPr>
          <w:p w14:paraId="02A1B030" w14:textId="02044C0A" w:rsidR="008861EC" w:rsidRDefault="008861EC" w:rsidP="009D7760">
            <w:pPr>
              <w:rPr>
                <w:color w:val="000000"/>
                <w:sz w:val="16"/>
                <w:szCs w:val="16"/>
                <w:lang w:val="en-GB"/>
              </w:rPr>
            </w:pPr>
            <w:r w:rsidRPr="009613DF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1.</w:t>
            </w:r>
            <w:r w:rsidRPr="009613DF">
              <w:rPr>
                <w:sz w:val="16"/>
                <w:szCs w:val="16"/>
              </w:rPr>
              <w:t xml:space="preserve"> By 2020, central and local administrations and other actors more effectively </w:t>
            </w:r>
            <w:r w:rsidR="00095426">
              <w:rPr>
                <w:sz w:val="16"/>
                <w:szCs w:val="16"/>
              </w:rPr>
              <w:t>protect</w:t>
            </w:r>
            <w:r w:rsidRPr="009613DF">
              <w:rPr>
                <w:sz w:val="16"/>
                <w:szCs w:val="16"/>
              </w:rPr>
              <w:t xml:space="preserve"> and promote human rights, and adopt transparent, accountable, pluralistic and gender sensitive governance systems, with the full participation of civil society, including the most vulnerable</w:t>
            </w:r>
          </w:p>
          <w:p w14:paraId="0FF0E420" w14:textId="77777777" w:rsidR="008861EC" w:rsidRDefault="008861EC" w:rsidP="009D7760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276C6C6E" w14:textId="77777777" w:rsidR="008861EC" w:rsidRDefault="008861EC" w:rsidP="009D7760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05888969" w14:textId="77777777" w:rsidR="008861EC" w:rsidRDefault="008861EC" w:rsidP="009D7760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5EFBD141" w14:textId="77777777" w:rsidR="008861EC" w:rsidRPr="00C01259" w:rsidRDefault="008861EC" w:rsidP="009D7760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11" w:type="pct"/>
          </w:tcPr>
          <w:p w14:paraId="68796BB4" w14:textId="77777777" w:rsidR="004957EC" w:rsidRDefault="004957EC" w:rsidP="004957EC">
            <w:pPr>
              <w:rPr>
                <w:sz w:val="16"/>
                <w:szCs w:val="16"/>
              </w:rPr>
            </w:pPr>
            <w:r w:rsidRPr="009613DF">
              <w:rPr>
                <w:sz w:val="16"/>
                <w:szCs w:val="16"/>
              </w:rPr>
              <w:t>SP Outcome 2: Citizen expectations for voice, development, the rule of law and accountability are met by stronger systems of democratic governance</w:t>
            </w:r>
          </w:p>
          <w:p w14:paraId="1525C231" w14:textId="77777777" w:rsidR="004957EC" w:rsidRDefault="004957EC" w:rsidP="004957EC">
            <w:pPr>
              <w:rPr>
                <w:sz w:val="16"/>
                <w:szCs w:val="16"/>
              </w:rPr>
            </w:pPr>
          </w:p>
          <w:p w14:paraId="6497978F" w14:textId="77777777" w:rsidR="004957EC" w:rsidRDefault="004957EC" w:rsidP="00495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14:paraId="269E26E9" w14:textId="77777777" w:rsidR="004957EC" w:rsidRDefault="004957EC" w:rsidP="004957EC">
            <w:pPr>
              <w:rPr>
                <w:sz w:val="16"/>
                <w:szCs w:val="16"/>
              </w:rPr>
            </w:pPr>
          </w:p>
          <w:p w14:paraId="1C4789F2" w14:textId="77777777" w:rsidR="004957EC" w:rsidRDefault="004957EC" w:rsidP="004957EC">
            <w:pPr>
              <w:rPr>
                <w:sz w:val="16"/>
                <w:szCs w:val="16"/>
              </w:rPr>
            </w:pPr>
            <w:r w:rsidRPr="009613DF">
              <w:rPr>
                <w:sz w:val="16"/>
                <w:szCs w:val="16"/>
              </w:rPr>
              <w:t>SP Outcome 3: Countries have strengthened institutions to progressively deliver universal access to basic services</w:t>
            </w:r>
          </w:p>
          <w:p w14:paraId="7D979874" w14:textId="77777777" w:rsidR="008861EC" w:rsidRDefault="008861EC" w:rsidP="00C01259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11" w:type="pct"/>
          </w:tcPr>
          <w:p w14:paraId="3BC0A548" w14:textId="54F3BDF2" w:rsidR="008861EC" w:rsidRDefault="004957EC" w:rsidP="00495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Evaluation of Gender Portfolio</w:t>
            </w:r>
          </w:p>
        </w:tc>
        <w:tc>
          <w:tcPr>
            <w:tcW w:w="617" w:type="pct"/>
          </w:tcPr>
          <w:p w14:paraId="6891A0D5" w14:textId="1B400240" w:rsidR="008861EC" w:rsidRDefault="004957EC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18" w:type="pct"/>
          </w:tcPr>
          <w:p w14:paraId="35D3F7E0" w14:textId="77777777" w:rsidR="008861EC" w:rsidRPr="00426DF5" w:rsidRDefault="008861EC" w:rsidP="009D7760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FD926D1" w14:textId="551E38F7" w:rsidR="008861EC" w:rsidRDefault="004957EC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Evaluation</w:t>
            </w:r>
          </w:p>
        </w:tc>
        <w:tc>
          <w:tcPr>
            <w:tcW w:w="563" w:type="pct"/>
          </w:tcPr>
          <w:p w14:paraId="68B2DC9E" w14:textId="037C3127" w:rsidR="008861EC" w:rsidRDefault="004957EC" w:rsidP="008776E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2019</w:t>
            </w:r>
          </w:p>
        </w:tc>
        <w:tc>
          <w:tcPr>
            <w:tcW w:w="542" w:type="pct"/>
          </w:tcPr>
          <w:p w14:paraId="30C6782F" w14:textId="2A56C09A" w:rsidR="008861EC" w:rsidRDefault="004957EC" w:rsidP="00CE1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USD3</w:t>
            </w:r>
            <w:r w:rsidR="00CE11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511" w:type="pct"/>
          </w:tcPr>
          <w:p w14:paraId="48FD744C" w14:textId="7B84FFCF" w:rsidR="008861EC" w:rsidRDefault="004957EC" w:rsidP="004957EC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Budgets of projects under the Gender Portfolio</w:t>
            </w:r>
          </w:p>
        </w:tc>
      </w:tr>
      <w:tr w:rsidR="00426DF5" w:rsidRPr="003C26C1" w14:paraId="3F0B7571" w14:textId="77777777" w:rsidTr="0013085F">
        <w:trPr>
          <w:trHeight w:val="490"/>
        </w:trPr>
        <w:tc>
          <w:tcPr>
            <w:tcW w:w="566" w:type="pct"/>
          </w:tcPr>
          <w:p w14:paraId="3F0B7568" w14:textId="5E19FE89" w:rsidR="00E66ECB" w:rsidRPr="00426DF5" w:rsidRDefault="00C01259" w:rsidP="009D7760">
            <w:pPr>
              <w:rPr>
                <w:sz w:val="16"/>
                <w:szCs w:val="16"/>
              </w:rPr>
            </w:pPr>
            <w:r w:rsidRPr="00C01259">
              <w:rPr>
                <w:color w:val="000000"/>
                <w:sz w:val="16"/>
                <w:szCs w:val="16"/>
                <w:lang w:val="en-GB"/>
              </w:rPr>
              <w:t>1.3 B</w:t>
            </w:r>
            <w:r w:rsidRPr="00C01259">
              <w:rPr>
                <w:bCs/>
                <w:color w:val="000000"/>
                <w:sz w:val="16"/>
                <w:szCs w:val="16"/>
                <w:lang w:val="en-GB"/>
              </w:rPr>
              <w:t>y 2020, National, local authorities and stakeholders implement more effective policies and practices on sustainable environment, climate change, biodiversity and for resilience of the system/communities to natural and human induced disasters</w:t>
            </w:r>
          </w:p>
        </w:tc>
        <w:tc>
          <w:tcPr>
            <w:tcW w:w="511" w:type="pct"/>
          </w:tcPr>
          <w:p w14:paraId="3F0B7569" w14:textId="06A0C8F0" w:rsidR="00E66ECB" w:rsidRPr="00426DF5" w:rsidRDefault="00C01259" w:rsidP="00C01259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GB"/>
              </w:rPr>
              <w:t xml:space="preserve">SP </w:t>
            </w:r>
            <w:r w:rsidRPr="00C01259">
              <w:rPr>
                <w:bCs/>
                <w:color w:val="000000"/>
                <w:sz w:val="16"/>
                <w:szCs w:val="16"/>
                <w:lang w:val="en-GB"/>
              </w:rPr>
              <w:t>Outcome 1: Growth is inclusive and sustainable, incorporating productive capacities that create employment and livelihoods for the poor and excluded</w:t>
            </w:r>
          </w:p>
        </w:tc>
        <w:tc>
          <w:tcPr>
            <w:tcW w:w="511" w:type="pct"/>
          </w:tcPr>
          <w:p w14:paraId="6CD937AD" w14:textId="0426A0C0" w:rsidR="00426DF5" w:rsidRPr="00426DF5" w:rsidRDefault="00420135" w:rsidP="00426DF5">
            <w:pPr>
              <w:rPr>
                <w:sz w:val="16"/>
                <w:szCs w:val="16"/>
              </w:rPr>
            </w:pPr>
            <w:r w:rsidRPr="00426DF5">
              <w:rPr>
                <w:sz w:val="16"/>
                <w:szCs w:val="16"/>
              </w:rPr>
              <w:t xml:space="preserve">Mid-term </w:t>
            </w:r>
            <w:r w:rsidR="006F56E7" w:rsidRPr="00426DF5">
              <w:rPr>
                <w:sz w:val="16"/>
                <w:szCs w:val="16"/>
              </w:rPr>
              <w:t xml:space="preserve">Evaluation for </w:t>
            </w:r>
            <w:r w:rsidRPr="00426DF5">
              <w:rPr>
                <w:sz w:val="16"/>
                <w:szCs w:val="16"/>
              </w:rPr>
              <w:t>SFM</w:t>
            </w:r>
            <w:r w:rsidR="00426DF5">
              <w:rPr>
                <w:sz w:val="16"/>
                <w:szCs w:val="16"/>
              </w:rPr>
              <w:t xml:space="preserve"> Project (S</w:t>
            </w:r>
            <w:r w:rsidR="00426DF5" w:rsidRPr="00426DF5">
              <w:rPr>
                <w:sz w:val="16"/>
                <w:szCs w:val="16"/>
              </w:rPr>
              <w:t>us</w:t>
            </w:r>
            <w:r w:rsidR="00426DF5">
              <w:rPr>
                <w:sz w:val="16"/>
                <w:szCs w:val="16"/>
              </w:rPr>
              <w:t xml:space="preserve">tainable </w:t>
            </w:r>
            <w:r w:rsidR="00426DF5" w:rsidRPr="00426DF5">
              <w:rPr>
                <w:sz w:val="16"/>
                <w:szCs w:val="16"/>
              </w:rPr>
              <w:t>Forest M</w:t>
            </w:r>
            <w:r w:rsidR="00426DF5">
              <w:rPr>
                <w:sz w:val="16"/>
                <w:szCs w:val="16"/>
              </w:rPr>
              <w:t>anagement i</w:t>
            </w:r>
            <w:r w:rsidR="00426DF5" w:rsidRPr="00426DF5">
              <w:rPr>
                <w:sz w:val="16"/>
                <w:szCs w:val="16"/>
              </w:rPr>
              <w:t>n Context of Water)</w:t>
            </w:r>
            <w:r w:rsidR="000D61E3">
              <w:rPr>
                <w:sz w:val="16"/>
                <w:szCs w:val="16"/>
              </w:rPr>
              <w:t xml:space="preserve"> under Climate Change and Environment (CCE) Portfolio </w:t>
            </w:r>
          </w:p>
          <w:p w14:paraId="3F0B756A" w14:textId="11CC58A8" w:rsidR="00426DF5" w:rsidRPr="00426DF5" w:rsidRDefault="00426DF5" w:rsidP="00420135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</w:tcPr>
          <w:p w14:paraId="3F0B756B" w14:textId="5B206898" w:rsidR="00E66ECB" w:rsidRPr="00426DF5" w:rsidRDefault="00640EE6" w:rsidP="009D7760">
            <w:pPr>
              <w:rPr>
                <w:sz w:val="16"/>
                <w:szCs w:val="16"/>
              </w:rPr>
            </w:pPr>
            <w:r w:rsidRPr="00426DF5">
              <w:rPr>
                <w:sz w:val="16"/>
                <w:szCs w:val="16"/>
              </w:rPr>
              <w:t>N/A</w:t>
            </w:r>
          </w:p>
        </w:tc>
        <w:tc>
          <w:tcPr>
            <w:tcW w:w="618" w:type="pct"/>
          </w:tcPr>
          <w:p w14:paraId="3F0B756C" w14:textId="05597BA5" w:rsidR="00E66ECB" w:rsidRPr="00426DF5" w:rsidRDefault="00640EE6" w:rsidP="009D7760">
            <w:pPr>
              <w:rPr>
                <w:sz w:val="16"/>
                <w:szCs w:val="16"/>
              </w:rPr>
            </w:pPr>
            <w:r w:rsidRPr="00426DF5">
              <w:rPr>
                <w:sz w:val="16"/>
                <w:szCs w:val="16"/>
              </w:rPr>
              <w:t>UNDP</w:t>
            </w:r>
          </w:p>
        </w:tc>
        <w:tc>
          <w:tcPr>
            <w:tcW w:w="561" w:type="pct"/>
          </w:tcPr>
          <w:p w14:paraId="3F0B756D" w14:textId="3D3FDCE9" w:rsidR="00E66ECB" w:rsidRPr="00426DF5" w:rsidRDefault="00426DF5" w:rsidP="009D7760">
            <w:pPr>
              <w:rPr>
                <w:sz w:val="16"/>
                <w:szCs w:val="16"/>
              </w:rPr>
            </w:pPr>
            <w:r w:rsidRPr="00426DF5">
              <w:rPr>
                <w:sz w:val="16"/>
                <w:szCs w:val="16"/>
              </w:rPr>
              <w:t>GEF Evaluation Requirement</w:t>
            </w:r>
          </w:p>
        </w:tc>
        <w:tc>
          <w:tcPr>
            <w:tcW w:w="563" w:type="pct"/>
          </w:tcPr>
          <w:p w14:paraId="3F0B756E" w14:textId="27C2910D" w:rsidR="00E66ECB" w:rsidRPr="00426DF5" w:rsidRDefault="00420135" w:rsidP="00420135">
            <w:pPr>
              <w:spacing w:before="40" w:after="40"/>
              <w:rPr>
                <w:sz w:val="16"/>
                <w:szCs w:val="16"/>
              </w:rPr>
            </w:pPr>
            <w:r w:rsidRPr="00426DF5">
              <w:rPr>
                <w:sz w:val="16"/>
                <w:szCs w:val="16"/>
              </w:rPr>
              <w:t>June</w:t>
            </w:r>
            <w:r w:rsidR="00640EE6" w:rsidRPr="00426DF5">
              <w:rPr>
                <w:sz w:val="16"/>
                <w:szCs w:val="16"/>
              </w:rPr>
              <w:t xml:space="preserve"> 201</w:t>
            </w:r>
            <w:r w:rsidRPr="00426DF5">
              <w:rPr>
                <w:sz w:val="16"/>
                <w:szCs w:val="16"/>
              </w:rPr>
              <w:t>6</w:t>
            </w:r>
          </w:p>
        </w:tc>
        <w:tc>
          <w:tcPr>
            <w:tcW w:w="542" w:type="pct"/>
          </w:tcPr>
          <w:p w14:paraId="3F0B756F" w14:textId="68251172" w:rsidR="00E66ECB" w:rsidRPr="00426DF5" w:rsidRDefault="00640EE6" w:rsidP="00420135">
            <w:pPr>
              <w:rPr>
                <w:sz w:val="16"/>
                <w:szCs w:val="16"/>
              </w:rPr>
            </w:pPr>
            <w:r w:rsidRPr="00426DF5">
              <w:rPr>
                <w:sz w:val="16"/>
                <w:szCs w:val="16"/>
              </w:rPr>
              <w:t xml:space="preserve">USD </w:t>
            </w:r>
            <w:r w:rsidR="00420135" w:rsidRPr="00426DF5">
              <w:rPr>
                <w:sz w:val="16"/>
                <w:szCs w:val="16"/>
              </w:rPr>
              <w:t>10</w:t>
            </w:r>
            <w:r w:rsidRPr="00426DF5">
              <w:rPr>
                <w:sz w:val="16"/>
                <w:szCs w:val="16"/>
              </w:rPr>
              <w:t>,000</w:t>
            </w:r>
          </w:p>
        </w:tc>
        <w:tc>
          <w:tcPr>
            <w:tcW w:w="511" w:type="pct"/>
          </w:tcPr>
          <w:p w14:paraId="3F0B7570" w14:textId="74C8C074" w:rsidR="00E66ECB" w:rsidRPr="00426DF5" w:rsidRDefault="00640EE6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426DF5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426DF5" w:rsidRPr="003C26C1" w14:paraId="6DBE23B3" w14:textId="77777777" w:rsidTr="0013085F">
        <w:trPr>
          <w:trHeight w:val="490"/>
        </w:trPr>
        <w:tc>
          <w:tcPr>
            <w:tcW w:w="566" w:type="pct"/>
          </w:tcPr>
          <w:p w14:paraId="64A5B7E1" w14:textId="2646C73B" w:rsidR="00426DF5" w:rsidRPr="00420135" w:rsidRDefault="00C01259" w:rsidP="009D7760">
            <w:pPr>
              <w:rPr>
                <w:sz w:val="16"/>
                <w:szCs w:val="16"/>
              </w:rPr>
            </w:pPr>
            <w:r w:rsidRPr="00C01259">
              <w:rPr>
                <w:color w:val="000000"/>
                <w:sz w:val="16"/>
                <w:szCs w:val="16"/>
                <w:lang w:val="en-GB"/>
              </w:rPr>
              <w:t>1.3 B</w:t>
            </w:r>
            <w:r w:rsidRPr="00C01259">
              <w:rPr>
                <w:bCs/>
                <w:color w:val="000000"/>
                <w:sz w:val="16"/>
                <w:szCs w:val="16"/>
                <w:lang w:val="en-GB"/>
              </w:rPr>
              <w:t>y 2020, National, local authorities and stakeholders implement more effective policies and practices on sustainable environment, climate change, biodiversity and for resilience of the system/communities to natural and human induced disasters</w:t>
            </w:r>
          </w:p>
        </w:tc>
        <w:tc>
          <w:tcPr>
            <w:tcW w:w="511" w:type="pct"/>
          </w:tcPr>
          <w:p w14:paraId="448C2681" w14:textId="61495270" w:rsidR="00426DF5" w:rsidRDefault="00C01259" w:rsidP="00C01259">
            <w:r>
              <w:rPr>
                <w:bCs/>
                <w:color w:val="000000"/>
                <w:sz w:val="16"/>
                <w:szCs w:val="16"/>
                <w:lang w:val="en-GB"/>
              </w:rPr>
              <w:t xml:space="preserve">SP </w:t>
            </w:r>
            <w:r w:rsidRPr="00C01259">
              <w:rPr>
                <w:bCs/>
                <w:color w:val="000000"/>
                <w:sz w:val="16"/>
                <w:szCs w:val="16"/>
                <w:lang w:val="en-GB"/>
              </w:rPr>
              <w:t>Outcome 1: Growth is inclusive and sustainable, incorporating productive capacities that create employment and livelihoods for the poor and excluded</w:t>
            </w:r>
          </w:p>
        </w:tc>
        <w:tc>
          <w:tcPr>
            <w:tcW w:w="511" w:type="pct"/>
          </w:tcPr>
          <w:p w14:paraId="018C9576" w14:textId="40DC8ECA" w:rsidR="00426DF5" w:rsidRDefault="00426DF5" w:rsidP="0042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E</w:t>
            </w:r>
            <w:r w:rsidRPr="00426DF5">
              <w:rPr>
                <w:sz w:val="16"/>
                <w:szCs w:val="16"/>
              </w:rPr>
              <w:t>valuation for First Biennial Report Project</w:t>
            </w:r>
          </w:p>
          <w:p w14:paraId="0435247C" w14:textId="05C5539C" w:rsidR="000D61E3" w:rsidRPr="00426DF5" w:rsidRDefault="000D61E3" w:rsidP="0042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Climate Change and Environment (CCE) Portfolio</w:t>
            </w:r>
          </w:p>
          <w:p w14:paraId="66964098" w14:textId="625E4CCD" w:rsidR="00426DF5" w:rsidRPr="00426DF5" w:rsidRDefault="00426DF5" w:rsidP="00426DF5">
            <w:pPr>
              <w:rPr>
                <w:sz w:val="16"/>
                <w:szCs w:val="16"/>
              </w:rPr>
            </w:pPr>
          </w:p>
          <w:p w14:paraId="4FADEEB1" w14:textId="77777777" w:rsidR="00426DF5" w:rsidRDefault="00426DF5" w:rsidP="00420135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</w:tcPr>
          <w:p w14:paraId="5EAACF3F" w14:textId="3C1E03C4" w:rsidR="00426DF5" w:rsidRPr="00420135" w:rsidRDefault="00426DF5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18" w:type="pct"/>
          </w:tcPr>
          <w:p w14:paraId="59DD80A6" w14:textId="66834BEB" w:rsidR="00426DF5" w:rsidRPr="00420135" w:rsidRDefault="00426DF5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1" w:type="pct"/>
          </w:tcPr>
          <w:p w14:paraId="219D3533" w14:textId="031AC487" w:rsidR="00426DF5" w:rsidRDefault="00426DF5" w:rsidP="009D7760">
            <w:pPr>
              <w:rPr>
                <w:sz w:val="16"/>
                <w:szCs w:val="16"/>
              </w:rPr>
            </w:pPr>
            <w:r w:rsidRPr="00426DF5">
              <w:rPr>
                <w:sz w:val="16"/>
                <w:szCs w:val="16"/>
              </w:rPr>
              <w:t>GEF Evaluation Requirement</w:t>
            </w:r>
          </w:p>
        </w:tc>
        <w:tc>
          <w:tcPr>
            <w:tcW w:w="563" w:type="pct"/>
          </w:tcPr>
          <w:p w14:paraId="270EB7A7" w14:textId="4B62F91F" w:rsidR="00426DF5" w:rsidRDefault="00426DF5" w:rsidP="0042013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2016</w:t>
            </w:r>
          </w:p>
        </w:tc>
        <w:tc>
          <w:tcPr>
            <w:tcW w:w="542" w:type="pct"/>
          </w:tcPr>
          <w:p w14:paraId="7AA83823" w14:textId="2EFBF8F9" w:rsidR="00426DF5" w:rsidRPr="00420135" w:rsidRDefault="00426DF5" w:rsidP="0042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 8,000</w:t>
            </w:r>
          </w:p>
        </w:tc>
        <w:tc>
          <w:tcPr>
            <w:tcW w:w="511" w:type="pct"/>
          </w:tcPr>
          <w:p w14:paraId="227E98F1" w14:textId="138B32B7" w:rsidR="00426DF5" w:rsidRPr="00420135" w:rsidRDefault="00426DF5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426DF5" w:rsidRPr="003C26C1" w14:paraId="63522805" w14:textId="77777777" w:rsidTr="0013085F">
        <w:trPr>
          <w:trHeight w:val="490"/>
        </w:trPr>
        <w:tc>
          <w:tcPr>
            <w:tcW w:w="566" w:type="pct"/>
          </w:tcPr>
          <w:p w14:paraId="3501D799" w14:textId="2DE09737" w:rsidR="00426DF5" w:rsidRPr="00420135" w:rsidRDefault="00C01259" w:rsidP="009D7760">
            <w:pPr>
              <w:rPr>
                <w:sz w:val="16"/>
                <w:szCs w:val="16"/>
              </w:rPr>
            </w:pPr>
            <w:r w:rsidRPr="00C01259">
              <w:rPr>
                <w:color w:val="000000"/>
                <w:sz w:val="16"/>
                <w:szCs w:val="16"/>
                <w:lang w:val="en-GB"/>
              </w:rPr>
              <w:t>1.3 B</w:t>
            </w:r>
            <w:r w:rsidRPr="00C01259">
              <w:rPr>
                <w:bCs/>
                <w:color w:val="000000"/>
                <w:sz w:val="16"/>
                <w:szCs w:val="16"/>
                <w:lang w:val="en-GB"/>
              </w:rPr>
              <w:t>y 2020, National, local authorities and stakeholders implement more effective policies and practices on sustainable environment, climate change, biodiversity and for resilience of the system/communities to natural and human induced disasters</w:t>
            </w:r>
          </w:p>
        </w:tc>
        <w:tc>
          <w:tcPr>
            <w:tcW w:w="511" w:type="pct"/>
          </w:tcPr>
          <w:p w14:paraId="22B8D323" w14:textId="54EC75D1" w:rsidR="00426DF5" w:rsidRDefault="00C01259" w:rsidP="00C01259">
            <w:r>
              <w:rPr>
                <w:bCs/>
                <w:color w:val="000000"/>
                <w:sz w:val="16"/>
                <w:szCs w:val="16"/>
                <w:lang w:val="en-GB"/>
              </w:rPr>
              <w:t xml:space="preserve">SP </w:t>
            </w:r>
            <w:r w:rsidRPr="00C01259">
              <w:rPr>
                <w:bCs/>
                <w:color w:val="000000"/>
                <w:sz w:val="16"/>
                <w:szCs w:val="16"/>
                <w:lang w:val="en-GB"/>
              </w:rPr>
              <w:t>Outcome 1: Growth is inclusive and sustainable, incorporating productive capacities that create employment and livelihoods for the poor and excluded</w:t>
            </w:r>
          </w:p>
        </w:tc>
        <w:tc>
          <w:tcPr>
            <w:tcW w:w="511" w:type="pct"/>
          </w:tcPr>
          <w:p w14:paraId="3AEA218A" w14:textId="4AB4405B" w:rsidR="00426DF5" w:rsidRDefault="00426DF5" w:rsidP="0042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</w:t>
            </w:r>
            <w:r w:rsidRPr="00426DF5">
              <w:rPr>
                <w:sz w:val="16"/>
                <w:szCs w:val="16"/>
              </w:rPr>
              <w:t>Evaluation for SFM</w:t>
            </w:r>
            <w:r>
              <w:rPr>
                <w:sz w:val="16"/>
                <w:szCs w:val="16"/>
              </w:rPr>
              <w:t xml:space="preserve"> Project (S</w:t>
            </w:r>
            <w:r w:rsidRPr="00426DF5">
              <w:rPr>
                <w:sz w:val="16"/>
                <w:szCs w:val="16"/>
              </w:rPr>
              <w:t>ust</w:t>
            </w:r>
            <w:r>
              <w:rPr>
                <w:sz w:val="16"/>
                <w:szCs w:val="16"/>
              </w:rPr>
              <w:t xml:space="preserve">ainable </w:t>
            </w:r>
            <w:r w:rsidRPr="00426DF5">
              <w:rPr>
                <w:sz w:val="16"/>
                <w:szCs w:val="16"/>
              </w:rPr>
              <w:t>Forest M</w:t>
            </w:r>
            <w:r>
              <w:rPr>
                <w:sz w:val="16"/>
                <w:szCs w:val="16"/>
              </w:rPr>
              <w:t>anagement i</w:t>
            </w:r>
            <w:r w:rsidRPr="00426DF5">
              <w:rPr>
                <w:sz w:val="16"/>
                <w:szCs w:val="16"/>
              </w:rPr>
              <w:t>n Context of Water)</w:t>
            </w:r>
          </w:p>
          <w:p w14:paraId="7E2541BD" w14:textId="7657E718" w:rsidR="000D61E3" w:rsidRPr="00426DF5" w:rsidRDefault="000D61E3" w:rsidP="0042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Climate Change and Environment (CCE) Portfolio</w:t>
            </w:r>
          </w:p>
          <w:p w14:paraId="2788B54A" w14:textId="77777777" w:rsidR="00426DF5" w:rsidRDefault="00426DF5" w:rsidP="00420135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</w:tcPr>
          <w:p w14:paraId="429FADFA" w14:textId="6A6FC47D" w:rsidR="00426DF5" w:rsidRPr="00420135" w:rsidRDefault="00426DF5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18" w:type="pct"/>
          </w:tcPr>
          <w:p w14:paraId="02E21E59" w14:textId="5CD1DD54" w:rsidR="00426DF5" w:rsidRPr="00420135" w:rsidRDefault="00426DF5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1" w:type="pct"/>
          </w:tcPr>
          <w:p w14:paraId="37B2FD98" w14:textId="7096AAD2" w:rsidR="00426DF5" w:rsidRDefault="00426DF5" w:rsidP="009D7760">
            <w:pPr>
              <w:rPr>
                <w:sz w:val="16"/>
                <w:szCs w:val="16"/>
              </w:rPr>
            </w:pPr>
            <w:r w:rsidRPr="00426DF5">
              <w:rPr>
                <w:sz w:val="16"/>
                <w:szCs w:val="16"/>
              </w:rPr>
              <w:t>GEF Evaluation Requirement</w:t>
            </w:r>
          </w:p>
        </w:tc>
        <w:tc>
          <w:tcPr>
            <w:tcW w:w="563" w:type="pct"/>
          </w:tcPr>
          <w:p w14:paraId="68B79213" w14:textId="5F242044" w:rsidR="00426DF5" w:rsidRDefault="00426DF5" w:rsidP="0042013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2018</w:t>
            </w:r>
          </w:p>
        </w:tc>
        <w:tc>
          <w:tcPr>
            <w:tcW w:w="542" w:type="pct"/>
          </w:tcPr>
          <w:p w14:paraId="656BDC49" w14:textId="07F6B2CA" w:rsidR="00426DF5" w:rsidRPr="00420135" w:rsidRDefault="00426DF5" w:rsidP="0042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 20,000</w:t>
            </w:r>
          </w:p>
        </w:tc>
        <w:tc>
          <w:tcPr>
            <w:tcW w:w="511" w:type="pct"/>
          </w:tcPr>
          <w:p w14:paraId="75EEC03F" w14:textId="1E3599F2" w:rsidR="00426DF5" w:rsidRPr="00420135" w:rsidRDefault="00426DF5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FC7FE2" w:rsidRPr="003C26C1" w14:paraId="5E1BD9E8" w14:textId="77777777" w:rsidTr="0013085F">
        <w:trPr>
          <w:trHeight w:val="490"/>
        </w:trPr>
        <w:tc>
          <w:tcPr>
            <w:tcW w:w="566" w:type="pct"/>
          </w:tcPr>
          <w:p w14:paraId="0B705C89" w14:textId="4CD4DD6E" w:rsidR="00FC7FE2" w:rsidRPr="00420135" w:rsidRDefault="00A77575" w:rsidP="00095426">
            <w:pPr>
              <w:rPr>
                <w:sz w:val="16"/>
                <w:szCs w:val="16"/>
              </w:rPr>
            </w:pPr>
            <w:r w:rsidRPr="009613DF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1.</w:t>
            </w:r>
            <w:r w:rsidRPr="009613DF">
              <w:rPr>
                <w:sz w:val="16"/>
                <w:szCs w:val="16"/>
              </w:rPr>
              <w:t xml:space="preserve"> By 2020, central and local administrations and other actors more effectively </w:t>
            </w:r>
            <w:r w:rsidR="00095426">
              <w:rPr>
                <w:sz w:val="16"/>
                <w:szCs w:val="16"/>
              </w:rPr>
              <w:t>protect</w:t>
            </w:r>
            <w:r w:rsidRPr="009613DF">
              <w:rPr>
                <w:sz w:val="16"/>
                <w:szCs w:val="16"/>
              </w:rPr>
              <w:t xml:space="preserve"> and promote human rights, and adopt transparent, accountable, pluralistic and gender sensitive governance systems, with the full participation of civil society, including the most vulnerable</w:t>
            </w:r>
          </w:p>
        </w:tc>
        <w:tc>
          <w:tcPr>
            <w:tcW w:w="511" w:type="pct"/>
          </w:tcPr>
          <w:p w14:paraId="5607BB21" w14:textId="77777777" w:rsidR="00A77575" w:rsidRDefault="00A77575" w:rsidP="00A77575">
            <w:pPr>
              <w:rPr>
                <w:sz w:val="16"/>
                <w:szCs w:val="16"/>
              </w:rPr>
            </w:pPr>
            <w:r w:rsidRPr="009613DF">
              <w:rPr>
                <w:sz w:val="16"/>
                <w:szCs w:val="16"/>
              </w:rPr>
              <w:t>SP Outcome 2: Citizen expectations for voice, development, the rule of law and accountability are met by stronger systems of democratic governance</w:t>
            </w:r>
          </w:p>
          <w:p w14:paraId="01A2CCE4" w14:textId="77777777" w:rsidR="00A77575" w:rsidRDefault="00A77575" w:rsidP="00A77575">
            <w:pPr>
              <w:rPr>
                <w:sz w:val="16"/>
                <w:szCs w:val="16"/>
              </w:rPr>
            </w:pPr>
          </w:p>
          <w:p w14:paraId="5D9AE985" w14:textId="77777777" w:rsidR="00A77575" w:rsidRDefault="00A77575" w:rsidP="00A775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14:paraId="1AFD70FB" w14:textId="77777777" w:rsidR="00A77575" w:rsidRDefault="00A77575" w:rsidP="00A77575">
            <w:pPr>
              <w:rPr>
                <w:sz w:val="16"/>
                <w:szCs w:val="16"/>
              </w:rPr>
            </w:pPr>
          </w:p>
          <w:p w14:paraId="07E40E13" w14:textId="77777777" w:rsidR="00A77575" w:rsidRPr="009613DF" w:rsidRDefault="00A77575" w:rsidP="00A77575">
            <w:pPr>
              <w:rPr>
                <w:sz w:val="16"/>
                <w:szCs w:val="16"/>
              </w:rPr>
            </w:pPr>
            <w:r w:rsidRPr="009613DF">
              <w:rPr>
                <w:sz w:val="16"/>
                <w:szCs w:val="16"/>
              </w:rPr>
              <w:t>SP Outcome 3: Countries have strengthened institutions to progressively deliver universal access to basic services</w:t>
            </w:r>
          </w:p>
          <w:p w14:paraId="709AA4FF" w14:textId="77777777" w:rsidR="00FC7FE2" w:rsidRDefault="00FC7FE2" w:rsidP="009D7760"/>
        </w:tc>
        <w:tc>
          <w:tcPr>
            <w:tcW w:w="511" w:type="pct"/>
          </w:tcPr>
          <w:p w14:paraId="77B8B16F" w14:textId="7BFF9C61" w:rsidR="00FC7FE2" w:rsidRDefault="00A77575" w:rsidP="00A31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Evaluation for </w:t>
            </w:r>
            <w:r w:rsidR="00A318CA">
              <w:rPr>
                <w:sz w:val="16"/>
                <w:szCs w:val="16"/>
              </w:rPr>
              <w:t>Clearance of Landmines in the Eastern Border Regions of Turkey-Phase I Project  (</w:t>
            </w:r>
            <w:r>
              <w:rPr>
                <w:sz w:val="16"/>
                <w:szCs w:val="16"/>
              </w:rPr>
              <w:t>Demining Project</w:t>
            </w:r>
            <w:r w:rsidR="00A318CA">
              <w:rPr>
                <w:sz w:val="16"/>
                <w:szCs w:val="16"/>
              </w:rPr>
              <w:t>)</w:t>
            </w:r>
          </w:p>
        </w:tc>
        <w:tc>
          <w:tcPr>
            <w:tcW w:w="617" w:type="pct"/>
          </w:tcPr>
          <w:p w14:paraId="037BF79F" w14:textId="42A8E0FE" w:rsidR="00FC7FE2" w:rsidRPr="00420135" w:rsidRDefault="00A77575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18" w:type="pct"/>
          </w:tcPr>
          <w:p w14:paraId="45D751D3" w14:textId="63CC5B32" w:rsidR="00FC7FE2" w:rsidRPr="00420135" w:rsidRDefault="00A77575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61" w:type="pct"/>
          </w:tcPr>
          <w:p w14:paraId="706AD4EE" w14:textId="31D36EB9" w:rsidR="00FC7FE2" w:rsidRDefault="00A77575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 Requirement</w:t>
            </w:r>
          </w:p>
        </w:tc>
        <w:tc>
          <w:tcPr>
            <w:tcW w:w="563" w:type="pct"/>
          </w:tcPr>
          <w:p w14:paraId="4D77A107" w14:textId="174B75B8" w:rsidR="00FC7FE2" w:rsidRDefault="00A77575" w:rsidP="0042013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2017</w:t>
            </w:r>
          </w:p>
        </w:tc>
        <w:tc>
          <w:tcPr>
            <w:tcW w:w="542" w:type="pct"/>
          </w:tcPr>
          <w:p w14:paraId="0169590C" w14:textId="44EFC466" w:rsidR="00FC7FE2" w:rsidRPr="00420135" w:rsidRDefault="00A77575" w:rsidP="0042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 20,000</w:t>
            </w:r>
          </w:p>
        </w:tc>
        <w:tc>
          <w:tcPr>
            <w:tcW w:w="511" w:type="pct"/>
          </w:tcPr>
          <w:p w14:paraId="4189CA1F" w14:textId="7FB37484" w:rsidR="00FC7FE2" w:rsidRPr="00420135" w:rsidRDefault="00A77575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FC7FE2" w:rsidRPr="003C26C1" w14:paraId="7B697A7E" w14:textId="77777777" w:rsidTr="0013085F">
        <w:trPr>
          <w:trHeight w:val="490"/>
        </w:trPr>
        <w:tc>
          <w:tcPr>
            <w:tcW w:w="566" w:type="pct"/>
          </w:tcPr>
          <w:p w14:paraId="6D838BFE" w14:textId="77777777" w:rsidR="00FC7FE2" w:rsidRPr="00420135" w:rsidRDefault="00FC7FE2" w:rsidP="009D776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6A9E92FF" w14:textId="77777777" w:rsidR="00FC7FE2" w:rsidRDefault="00FC7FE2" w:rsidP="009D7760"/>
        </w:tc>
        <w:tc>
          <w:tcPr>
            <w:tcW w:w="511" w:type="pct"/>
          </w:tcPr>
          <w:p w14:paraId="607A2710" w14:textId="77777777" w:rsidR="00FC7FE2" w:rsidRDefault="00FC7FE2" w:rsidP="00420135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</w:tcPr>
          <w:p w14:paraId="49397644" w14:textId="77777777" w:rsidR="00FC7FE2" w:rsidRPr="00420135" w:rsidRDefault="00FC7FE2" w:rsidP="009D7760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</w:tcPr>
          <w:p w14:paraId="3C7AE64B" w14:textId="77777777" w:rsidR="00FC7FE2" w:rsidRPr="00420135" w:rsidRDefault="00FC7FE2" w:rsidP="009D7760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1E1B20C" w14:textId="77777777" w:rsidR="00FC7FE2" w:rsidRDefault="00FC7FE2" w:rsidP="009D7760">
            <w:pPr>
              <w:rPr>
                <w:sz w:val="16"/>
                <w:szCs w:val="16"/>
              </w:rPr>
            </w:pPr>
          </w:p>
        </w:tc>
        <w:tc>
          <w:tcPr>
            <w:tcW w:w="563" w:type="pct"/>
          </w:tcPr>
          <w:p w14:paraId="5A78584A" w14:textId="77777777" w:rsidR="00FC7FE2" w:rsidRDefault="00FC7FE2" w:rsidP="0042013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42" w:type="pct"/>
          </w:tcPr>
          <w:p w14:paraId="55DFF83B" w14:textId="77777777" w:rsidR="00FC7FE2" w:rsidRPr="00420135" w:rsidRDefault="00FC7FE2" w:rsidP="00420135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0C42D81D" w14:textId="77777777" w:rsidR="00FC7FE2" w:rsidRPr="00420135" w:rsidRDefault="00FC7FE2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FC7FE2" w:rsidRPr="003C26C1" w14:paraId="0E74CA4E" w14:textId="77777777" w:rsidTr="0013085F">
        <w:trPr>
          <w:trHeight w:val="490"/>
        </w:trPr>
        <w:tc>
          <w:tcPr>
            <w:tcW w:w="566" w:type="pct"/>
          </w:tcPr>
          <w:p w14:paraId="188D2930" w14:textId="77777777" w:rsidR="00FC7FE2" w:rsidRPr="00420135" w:rsidRDefault="00FC7FE2" w:rsidP="009D776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7A71E230" w14:textId="77777777" w:rsidR="00FC7FE2" w:rsidRDefault="00FC7FE2" w:rsidP="009D7760"/>
        </w:tc>
        <w:tc>
          <w:tcPr>
            <w:tcW w:w="511" w:type="pct"/>
          </w:tcPr>
          <w:p w14:paraId="7DFF3DC6" w14:textId="77777777" w:rsidR="00FC7FE2" w:rsidRDefault="00FC7FE2" w:rsidP="00420135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</w:tcPr>
          <w:p w14:paraId="43F1DC53" w14:textId="77777777" w:rsidR="00FC7FE2" w:rsidRPr="00420135" w:rsidRDefault="00FC7FE2" w:rsidP="009D7760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</w:tcPr>
          <w:p w14:paraId="309E3EAF" w14:textId="77777777" w:rsidR="00FC7FE2" w:rsidRPr="00420135" w:rsidRDefault="00FC7FE2" w:rsidP="009D7760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41D793F2" w14:textId="77777777" w:rsidR="00FC7FE2" w:rsidRDefault="00FC7FE2" w:rsidP="009D7760">
            <w:pPr>
              <w:rPr>
                <w:sz w:val="16"/>
                <w:szCs w:val="16"/>
              </w:rPr>
            </w:pPr>
          </w:p>
        </w:tc>
        <w:tc>
          <w:tcPr>
            <w:tcW w:w="563" w:type="pct"/>
          </w:tcPr>
          <w:p w14:paraId="065372A0" w14:textId="77777777" w:rsidR="00FC7FE2" w:rsidRDefault="00FC7FE2" w:rsidP="0042013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42" w:type="pct"/>
          </w:tcPr>
          <w:p w14:paraId="4A611115" w14:textId="77777777" w:rsidR="00FC7FE2" w:rsidRPr="00420135" w:rsidRDefault="00FC7FE2" w:rsidP="00420135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08D92BDF" w14:textId="77777777" w:rsidR="00FC7FE2" w:rsidRPr="00420135" w:rsidRDefault="00FC7FE2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426DF5" w:rsidRPr="003C26C1" w14:paraId="3F0B757B" w14:textId="77777777" w:rsidTr="0013085F">
        <w:trPr>
          <w:trHeight w:val="60"/>
        </w:trPr>
        <w:tc>
          <w:tcPr>
            <w:tcW w:w="566" w:type="pct"/>
          </w:tcPr>
          <w:p w14:paraId="3F0B7572" w14:textId="77777777" w:rsidR="00E66ECB" w:rsidRPr="003C26C1" w:rsidRDefault="00E66ECB" w:rsidP="009D776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3F0B7573" w14:textId="77777777" w:rsidR="00E66ECB" w:rsidRPr="003C26C1" w:rsidRDefault="00E66ECB" w:rsidP="009D776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3F0B7574" w14:textId="77777777" w:rsidR="00E66ECB" w:rsidRPr="003C26C1" w:rsidRDefault="00E66ECB" w:rsidP="009D7760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</w:tcPr>
          <w:p w14:paraId="3F0B7575" w14:textId="77777777" w:rsidR="00E66ECB" w:rsidRPr="003C26C1" w:rsidRDefault="00E66ECB" w:rsidP="009D7760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</w:tcPr>
          <w:p w14:paraId="3F0B7576" w14:textId="77777777" w:rsidR="00E66ECB" w:rsidRPr="003C26C1" w:rsidRDefault="00E66ECB" w:rsidP="009D7760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3F0B7577" w14:textId="77777777" w:rsidR="00E66ECB" w:rsidRPr="003C26C1" w:rsidRDefault="00E66ECB" w:rsidP="009D7760">
            <w:pPr>
              <w:rPr>
                <w:sz w:val="16"/>
                <w:szCs w:val="16"/>
              </w:rPr>
            </w:pPr>
          </w:p>
        </w:tc>
        <w:tc>
          <w:tcPr>
            <w:tcW w:w="563" w:type="pct"/>
          </w:tcPr>
          <w:p w14:paraId="3F0B7578" w14:textId="77777777" w:rsidR="00E66ECB" w:rsidRPr="003C26C1" w:rsidRDefault="00E66ECB" w:rsidP="009D7760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42" w:type="pct"/>
          </w:tcPr>
          <w:p w14:paraId="3F0B7579" w14:textId="77777777" w:rsidR="00E66ECB" w:rsidRPr="003C26C1" w:rsidRDefault="00E66ECB" w:rsidP="009D776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3F0B757A" w14:textId="77777777" w:rsidR="00E66ECB" w:rsidRPr="003C26C1" w:rsidRDefault="00E66ECB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</w:tbl>
    <w:p w14:paraId="3F0B757C" w14:textId="77777777" w:rsidR="00B961B7" w:rsidRPr="003C26C1" w:rsidRDefault="00B961B7" w:rsidP="00A56348">
      <w:pPr>
        <w:rPr>
          <w:color w:val="000000"/>
        </w:rPr>
      </w:pPr>
    </w:p>
    <w:p w14:paraId="3F0B757D" w14:textId="77777777" w:rsidR="00125010" w:rsidRPr="003C26C1" w:rsidRDefault="00125010" w:rsidP="00125010">
      <w:pPr>
        <w:rPr>
          <w:color w:val="000000"/>
        </w:rPr>
      </w:pPr>
    </w:p>
    <w:p w14:paraId="3F0B7621" w14:textId="77777777" w:rsidR="00D6679C" w:rsidRDefault="00D6679C" w:rsidP="00596CA7">
      <w:pPr>
        <w:jc w:val="both"/>
        <w:rPr>
          <w:color w:val="000000"/>
        </w:rPr>
      </w:pPr>
    </w:p>
    <w:sectPr w:rsidR="00D6679C" w:rsidSect="00631EE4">
      <w:headerReference w:type="even" r:id="rId13"/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A89D9" w14:textId="77777777" w:rsidR="004755EF" w:rsidRDefault="004755EF" w:rsidP="00441061">
      <w:r>
        <w:separator/>
      </w:r>
    </w:p>
  </w:endnote>
  <w:endnote w:type="continuationSeparator" w:id="0">
    <w:p w14:paraId="6F76B6C9" w14:textId="77777777" w:rsidR="004755EF" w:rsidRDefault="004755EF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A2940" w14:textId="77777777" w:rsidR="004755EF" w:rsidRDefault="004755EF" w:rsidP="00441061">
      <w:r>
        <w:separator/>
      </w:r>
    </w:p>
  </w:footnote>
  <w:footnote w:type="continuationSeparator" w:id="0">
    <w:p w14:paraId="07792A08" w14:textId="77777777" w:rsidR="004755EF" w:rsidRDefault="004755EF" w:rsidP="0044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B7647" w14:textId="77777777" w:rsidR="003204AE" w:rsidRDefault="003204A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0B764A" wp14:editId="3F0B764B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3204AE" w:rsidRPr="005841A3" w14:paraId="3F0B764E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3F0B764C" w14:textId="77777777" w:rsidR="003204AE" w:rsidRPr="007C6F85" w:rsidRDefault="003204AE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3F0B764D" w14:textId="77777777" w:rsidR="003204AE" w:rsidRPr="007C6F85" w:rsidRDefault="003204AE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3F0B764F" w14:textId="77777777" w:rsidR="003204AE" w:rsidRDefault="003204AE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B76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3204AE" w:rsidRPr="005841A3" w14:paraId="3F0B764E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3F0B764C" w14:textId="77777777" w:rsidR="003204AE" w:rsidRPr="007C6F85" w:rsidRDefault="003204AE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3F0B764D" w14:textId="77777777" w:rsidR="003204AE" w:rsidRPr="007C6F85" w:rsidRDefault="003204AE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3F0B764F" w14:textId="77777777" w:rsidR="003204AE" w:rsidRDefault="003204A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4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44A42"/>
    <w:multiLevelType w:val="hybridMultilevel"/>
    <w:tmpl w:val="24E6DFF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9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5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02372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4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6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7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28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25"/>
  </w:num>
  <w:num w:numId="5">
    <w:abstractNumId w:val="18"/>
  </w:num>
  <w:num w:numId="6">
    <w:abstractNumId w:val="0"/>
  </w:num>
  <w:num w:numId="7">
    <w:abstractNumId w:val="12"/>
  </w:num>
  <w:num w:numId="8">
    <w:abstractNumId w:val="22"/>
  </w:num>
  <w:num w:numId="9">
    <w:abstractNumId w:val="31"/>
  </w:num>
  <w:num w:numId="10">
    <w:abstractNumId w:val="24"/>
  </w:num>
  <w:num w:numId="11">
    <w:abstractNumId w:val="30"/>
  </w:num>
  <w:num w:numId="12">
    <w:abstractNumId w:val="15"/>
  </w:num>
  <w:num w:numId="13">
    <w:abstractNumId w:val="3"/>
  </w:num>
  <w:num w:numId="14">
    <w:abstractNumId w:val="11"/>
  </w:num>
  <w:num w:numId="15">
    <w:abstractNumId w:val="27"/>
  </w:num>
  <w:num w:numId="16">
    <w:abstractNumId w:val="6"/>
  </w:num>
  <w:num w:numId="17">
    <w:abstractNumId w:val="9"/>
  </w:num>
  <w:num w:numId="18">
    <w:abstractNumId w:val="13"/>
  </w:num>
  <w:num w:numId="19">
    <w:abstractNumId w:val="29"/>
  </w:num>
  <w:num w:numId="20">
    <w:abstractNumId w:val="5"/>
  </w:num>
  <w:num w:numId="21">
    <w:abstractNumId w:val="4"/>
  </w:num>
  <w:num w:numId="22">
    <w:abstractNumId w:val="28"/>
  </w:num>
  <w:num w:numId="23">
    <w:abstractNumId w:val="10"/>
  </w:num>
  <w:num w:numId="24">
    <w:abstractNumId w:val="2"/>
  </w:num>
  <w:num w:numId="25">
    <w:abstractNumId w:val="26"/>
  </w:num>
  <w:num w:numId="26">
    <w:abstractNumId w:val="23"/>
  </w:num>
  <w:num w:numId="27">
    <w:abstractNumId w:val="20"/>
  </w:num>
  <w:num w:numId="28">
    <w:abstractNumId w:val="1"/>
  </w:num>
  <w:num w:numId="29">
    <w:abstractNumId w:val="16"/>
  </w:num>
  <w:num w:numId="30">
    <w:abstractNumId w:val="19"/>
  </w:num>
  <w:num w:numId="31">
    <w:abstractNumId w:val="8"/>
  </w:num>
  <w:num w:numId="3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B"/>
    <w:rsid w:val="000010B5"/>
    <w:rsid w:val="000027D2"/>
    <w:rsid w:val="00005E26"/>
    <w:rsid w:val="00015FDE"/>
    <w:rsid w:val="00016217"/>
    <w:rsid w:val="00016861"/>
    <w:rsid w:val="000200CF"/>
    <w:rsid w:val="000205F1"/>
    <w:rsid w:val="00022047"/>
    <w:rsid w:val="000274B9"/>
    <w:rsid w:val="0002758B"/>
    <w:rsid w:val="000276A0"/>
    <w:rsid w:val="000330DB"/>
    <w:rsid w:val="0003429F"/>
    <w:rsid w:val="0003562A"/>
    <w:rsid w:val="00036095"/>
    <w:rsid w:val="00036AF4"/>
    <w:rsid w:val="00041C10"/>
    <w:rsid w:val="00043804"/>
    <w:rsid w:val="000441A1"/>
    <w:rsid w:val="000503ED"/>
    <w:rsid w:val="00050869"/>
    <w:rsid w:val="00051731"/>
    <w:rsid w:val="000561C1"/>
    <w:rsid w:val="00056204"/>
    <w:rsid w:val="000570D1"/>
    <w:rsid w:val="000571A9"/>
    <w:rsid w:val="00060290"/>
    <w:rsid w:val="000633A5"/>
    <w:rsid w:val="00063E24"/>
    <w:rsid w:val="00072229"/>
    <w:rsid w:val="00073CF1"/>
    <w:rsid w:val="00074BD0"/>
    <w:rsid w:val="00074D9A"/>
    <w:rsid w:val="00074DB9"/>
    <w:rsid w:val="000753C4"/>
    <w:rsid w:val="00075DF0"/>
    <w:rsid w:val="000762CA"/>
    <w:rsid w:val="000803A4"/>
    <w:rsid w:val="0008339E"/>
    <w:rsid w:val="00090AD1"/>
    <w:rsid w:val="00090F4F"/>
    <w:rsid w:val="00091476"/>
    <w:rsid w:val="00092879"/>
    <w:rsid w:val="000929C7"/>
    <w:rsid w:val="00092C1D"/>
    <w:rsid w:val="00094E87"/>
    <w:rsid w:val="00095426"/>
    <w:rsid w:val="00097FB2"/>
    <w:rsid w:val="000A151D"/>
    <w:rsid w:val="000A24C5"/>
    <w:rsid w:val="000A3F7F"/>
    <w:rsid w:val="000B063E"/>
    <w:rsid w:val="000B18EE"/>
    <w:rsid w:val="000B3A13"/>
    <w:rsid w:val="000B4BB2"/>
    <w:rsid w:val="000C76B0"/>
    <w:rsid w:val="000C7BBE"/>
    <w:rsid w:val="000D2475"/>
    <w:rsid w:val="000D442C"/>
    <w:rsid w:val="000D4DC4"/>
    <w:rsid w:val="000D61E3"/>
    <w:rsid w:val="000E612D"/>
    <w:rsid w:val="000E745A"/>
    <w:rsid w:val="000E7E9E"/>
    <w:rsid w:val="000F0044"/>
    <w:rsid w:val="000F703B"/>
    <w:rsid w:val="00106EF8"/>
    <w:rsid w:val="001101A2"/>
    <w:rsid w:val="00111489"/>
    <w:rsid w:val="00111797"/>
    <w:rsid w:val="00111B19"/>
    <w:rsid w:val="00114A64"/>
    <w:rsid w:val="00115F59"/>
    <w:rsid w:val="00116C1A"/>
    <w:rsid w:val="00121F3E"/>
    <w:rsid w:val="0012229E"/>
    <w:rsid w:val="00123849"/>
    <w:rsid w:val="00123A5E"/>
    <w:rsid w:val="00125010"/>
    <w:rsid w:val="00125266"/>
    <w:rsid w:val="00125B82"/>
    <w:rsid w:val="001305E6"/>
    <w:rsid w:val="0013085F"/>
    <w:rsid w:val="0013239A"/>
    <w:rsid w:val="0013761A"/>
    <w:rsid w:val="00141B02"/>
    <w:rsid w:val="0014423A"/>
    <w:rsid w:val="00147042"/>
    <w:rsid w:val="001471A7"/>
    <w:rsid w:val="001506F6"/>
    <w:rsid w:val="00154032"/>
    <w:rsid w:val="001547D3"/>
    <w:rsid w:val="001559BD"/>
    <w:rsid w:val="00157F79"/>
    <w:rsid w:val="00163E84"/>
    <w:rsid w:val="001668AA"/>
    <w:rsid w:val="001675B1"/>
    <w:rsid w:val="0016789D"/>
    <w:rsid w:val="00167C87"/>
    <w:rsid w:val="00172EE3"/>
    <w:rsid w:val="00177E7E"/>
    <w:rsid w:val="001811F3"/>
    <w:rsid w:val="0018356F"/>
    <w:rsid w:val="001876C5"/>
    <w:rsid w:val="00187D68"/>
    <w:rsid w:val="00190155"/>
    <w:rsid w:val="001906B5"/>
    <w:rsid w:val="0019174B"/>
    <w:rsid w:val="00194163"/>
    <w:rsid w:val="00194FEB"/>
    <w:rsid w:val="001970A4"/>
    <w:rsid w:val="00197AD1"/>
    <w:rsid w:val="001B0020"/>
    <w:rsid w:val="001B3F87"/>
    <w:rsid w:val="001B4026"/>
    <w:rsid w:val="001B598C"/>
    <w:rsid w:val="001B76A6"/>
    <w:rsid w:val="001C07F8"/>
    <w:rsid w:val="001C2F59"/>
    <w:rsid w:val="001C6C08"/>
    <w:rsid w:val="001D2056"/>
    <w:rsid w:val="001D42D1"/>
    <w:rsid w:val="001D64E5"/>
    <w:rsid w:val="001D6EB8"/>
    <w:rsid w:val="001E05EC"/>
    <w:rsid w:val="001E4809"/>
    <w:rsid w:val="001E4F4F"/>
    <w:rsid w:val="001F27F4"/>
    <w:rsid w:val="001F3DC0"/>
    <w:rsid w:val="001F4C5A"/>
    <w:rsid w:val="001F6425"/>
    <w:rsid w:val="001F6772"/>
    <w:rsid w:val="001F7421"/>
    <w:rsid w:val="00200195"/>
    <w:rsid w:val="00200B5F"/>
    <w:rsid w:val="00200E2E"/>
    <w:rsid w:val="00201EEF"/>
    <w:rsid w:val="002047C8"/>
    <w:rsid w:val="002052B3"/>
    <w:rsid w:val="002058F9"/>
    <w:rsid w:val="00212B1F"/>
    <w:rsid w:val="00213D7C"/>
    <w:rsid w:val="00214513"/>
    <w:rsid w:val="002155B7"/>
    <w:rsid w:val="0021766A"/>
    <w:rsid w:val="002225D3"/>
    <w:rsid w:val="00222A35"/>
    <w:rsid w:val="0022301D"/>
    <w:rsid w:val="00224B2C"/>
    <w:rsid w:val="00227E55"/>
    <w:rsid w:val="00232AA0"/>
    <w:rsid w:val="00234CDF"/>
    <w:rsid w:val="00236B91"/>
    <w:rsid w:val="002424C0"/>
    <w:rsid w:val="00242CAA"/>
    <w:rsid w:val="00245D74"/>
    <w:rsid w:val="00246DDF"/>
    <w:rsid w:val="002573CC"/>
    <w:rsid w:val="00260FAA"/>
    <w:rsid w:val="00262338"/>
    <w:rsid w:val="00263938"/>
    <w:rsid w:val="002646D7"/>
    <w:rsid w:val="002671D7"/>
    <w:rsid w:val="0027259C"/>
    <w:rsid w:val="00273543"/>
    <w:rsid w:val="00274C82"/>
    <w:rsid w:val="0027654D"/>
    <w:rsid w:val="002810DF"/>
    <w:rsid w:val="002811AE"/>
    <w:rsid w:val="002812AB"/>
    <w:rsid w:val="002816D8"/>
    <w:rsid w:val="00282A8C"/>
    <w:rsid w:val="002854EE"/>
    <w:rsid w:val="0028565C"/>
    <w:rsid w:val="002875DE"/>
    <w:rsid w:val="00287E07"/>
    <w:rsid w:val="00290EB3"/>
    <w:rsid w:val="00292846"/>
    <w:rsid w:val="00292A90"/>
    <w:rsid w:val="002971D6"/>
    <w:rsid w:val="002A2F08"/>
    <w:rsid w:val="002A3641"/>
    <w:rsid w:val="002A495F"/>
    <w:rsid w:val="002A706F"/>
    <w:rsid w:val="002A70EA"/>
    <w:rsid w:val="002A7363"/>
    <w:rsid w:val="002A7F43"/>
    <w:rsid w:val="002B365E"/>
    <w:rsid w:val="002B489A"/>
    <w:rsid w:val="002B6341"/>
    <w:rsid w:val="002C0526"/>
    <w:rsid w:val="002C27A8"/>
    <w:rsid w:val="002C333E"/>
    <w:rsid w:val="002C36C8"/>
    <w:rsid w:val="002C51A0"/>
    <w:rsid w:val="002D0584"/>
    <w:rsid w:val="002D2E2A"/>
    <w:rsid w:val="002D5295"/>
    <w:rsid w:val="002D52BF"/>
    <w:rsid w:val="002D68FA"/>
    <w:rsid w:val="002D7ECA"/>
    <w:rsid w:val="002E0141"/>
    <w:rsid w:val="002E0B5D"/>
    <w:rsid w:val="002E1495"/>
    <w:rsid w:val="002E2900"/>
    <w:rsid w:val="002E3C0D"/>
    <w:rsid w:val="002E43EC"/>
    <w:rsid w:val="002E5B3C"/>
    <w:rsid w:val="002E7A79"/>
    <w:rsid w:val="002F2C6E"/>
    <w:rsid w:val="002F3C88"/>
    <w:rsid w:val="002F4067"/>
    <w:rsid w:val="002F4D51"/>
    <w:rsid w:val="002F7339"/>
    <w:rsid w:val="002F7461"/>
    <w:rsid w:val="00302094"/>
    <w:rsid w:val="003025E2"/>
    <w:rsid w:val="00306D24"/>
    <w:rsid w:val="00307712"/>
    <w:rsid w:val="00310682"/>
    <w:rsid w:val="0031404A"/>
    <w:rsid w:val="00314B7C"/>
    <w:rsid w:val="00314E49"/>
    <w:rsid w:val="00315445"/>
    <w:rsid w:val="00317183"/>
    <w:rsid w:val="003204AE"/>
    <w:rsid w:val="003208EF"/>
    <w:rsid w:val="00321D7D"/>
    <w:rsid w:val="00324846"/>
    <w:rsid w:val="00324ABD"/>
    <w:rsid w:val="00324D9B"/>
    <w:rsid w:val="003272A6"/>
    <w:rsid w:val="003273CB"/>
    <w:rsid w:val="0033125E"/>
    <w:rsid w:val="00336913"/>
    <w:rsid w:val="0033718C"/>
    <w:rsid w:val="00337407"/>
    <w:rsid w:val="00340E02"/>
    <w:rsid w:val="00343E6E"/>
    <w:rsid w:val="003450C8"/>
    <w:rsid w:val="0034782B"/>
    <w:rsid w:val="00351C32"/>
    <w:rsid w:val="00351E5C"/>
    <w:rsid w:val="0035580F"/>
    <w:rsid w:val="00357CB4"/>
    <w:rsid w:val="003604EE"/>
    <w:rsid w:val="0036286B"/>
    <w:rsid w:val="00363371"/>
    <w:rsid w:val="00364989"/>
    <w:rsid w:val="003664C0"/>
    <w:rsid w:val="00367E04"/>
    <w:rsid w:val="003761F2"/>
    <w:rsid w:val="00376A05"/>
    <w:rsid w:val="003774FE"/>
    <w:rsid w:val="00383FDA"/>
    <w:rsid w:val="0038757C"/>
    <w:rsid w:val="00390E30"/>
    <w:rsid w:val="00393400"/>
    <w:rsid w:val="00393ABE"/>
    <w:rsid w:val="0039458D"/>
    <w:rsid w:val="00394D61"/>
    <w:rsid w:val="003A1F5A"/>
    <w:rsid w:val="003A2ECE"/>
    <w:rsid w:val="003A4252"/>
    <w:rsid w:val="003A539A"/>
    <w:rsid w:val="003A62A4"/>
    <w:rsid w:val="003A7476"/>
    <w:rsid w:val="003A7D86"/>
    <w:rsid w:val="003B0AA1"/>
    <w:rsid w:val="003B243D"/>
    <w:rsid w:val="003B304F"/>
    <w:rsid w:val="003B5D18"/>
    <w:rsid w:val="003B795D"/>
    <w:rsid w:val="003C26A6"/>
    <w:rsid w:val="003C26C1"/>
    <w:rsid w:val="003C5C11"/>
    <w:rsid w:val="003C6A5A"/>
    <w:rsid w:val="003C6AAD"/>
    <w:rsid w:val="003D181E"/>
    <w:rsid w:val="003D1D4D"/>
    <w:rsid w:val="003D37DD"/>
    <w:rsid w:val="003D45DF"/>
    <w:rsid w:val="003D47C6"/>
    <w:rsid w:val="003D7E38"/>
    <w:rsid w:val="003D7EAC"/>
    <w:rsid w:val="003E379A"/>
    <w:rsid w:val="003E52B0"/>
    <w:rsid w:val="003E64DC"/>
    <w:rsid w:val="003E7A43"/>
    <w:rsid w:val="003F0B58"/>
    <w:rsid w:val="003F0D40"/>
    <w:rsid w:val="003F2236"/>
    <w:rsid w:val="003F27B7"/>
    <w:rsid w:val="003F4051"/>
    <w:rsid w:val="003F5812"/>
    <w:rsid w:val="00400E4A"/>
    <w:rsid w:val="00402E9A"/>
    <w:rsid w:val="00403FA8"/>
    <w:rsid w:val="00404040"/>
    <w:rsid w:val="00404213"/>
    <w:rsid w:val="004048AC"/>
    <w:rsid w:val="00404B8E"/>
    <w:rsid w:val="004068C2"/>
    <w:rsid w:val="00415E7F"/>
    <w:rsid w:val="00420135"/>
    <w:rsid w:val="00420288"/>
    <w:rsid w:val="00421C78"/>
    <w:rsid w:val="004224CE"/>
    <w:rsid w:val="00424A78"/>
    <w:rsid w:val="004254DB"/>
    <w:rsid w:val="00426DF5"/>
    <w:rsid w:val="00427EEA"/>
    <w:rsid w:val="004310D9"/>
    <w:rsid w:val="00431836"/>
    <w:rsid w:val="004321E6"/>
    <w:rsid w:val="0043278E"/>
    <w:rsid w:val="004360AC"/>
    <w:rsid w:val="00436B83"/>
    <w:rsid w:val="004370CC"/>
    <w:rsid w:val="004406E2"/>
    <w:rsid w:val="00441061"/>
    <w:rsid w:val="00450C70"/>
    <w:rsid w:val="00453344"/>
    <w:rsid w:val="00454E76"/>
    <w:rsid w:val="00457080"/>
    <w:rsid w:val="00460891"/>
    <w:rsid w:val="00464FB2"/>
    <w:rsid w:val="0046664E"/>
    <w:rsid w:val="0046745E"/>
    <w:rsid w:val="004736BE"/>
    <w:rsid w:val="0047556D"/>
    <w:rsid w:val="004755EF"/>
    <w:rsid w:val="00475789"/>
    <w:rsid w:val="00476170"/>
    <w:rsid w:val="004812C4"/>
    <w:rsid w:val="004820B0"/>
    <w:rsid w:val="00482E2F"/>
    <w:rsid w:val="004859B4"/>
    <w:rsid w:val="00486ACD"/>
    <w:rsid w:val="00492C65"/>
    <w:rsid w:val="0049403F"/>
    <w:rsid w:val="00494323"/>
    <w:rsid w:val="00494349"/>
    <w:rsid w:val="00494485"/>
    <w:rsid w:val="004957EC"/>
    <w:rsid w:val="00496F5C"/>
    <w:rsid w:val="004A0F27"/>
    <w:rsid w:val="004A0F37"/>
    <w:rsid w:val="004A0F68"/>
    <w:rsid w:val="004A3608"/>
    <w:rsid w:val="004A4FBD"/>
    <w:rsid w:val="004A7810"/>
    <w:rsid w:val="004A7E93"/>
    <w:rsid w:val="004B3CFB"/>
    <w:rsid w:val="004B5D6B"/>
    <w:rsid w:val="004B76F8"/>
    <w:rsid w:val="004C1FA6"/>
    <w:rsid w:val="004C5CFD"/>
    <w:rsid w:val="004D12C0"/>
    <w:rsid w:val="004D3713"/>
    <w:rsid w:val="004D7E99"/>
    <w:rsid w:val="004E2BDB"/>
    <w:rsid w:val="004F50AF"/>
    <w:rsid w:val="004F681D"/>
    <w:rsid w:val="00502857"/>
    <w:rsid w:val="005044A9"/>
    <w:rsid w:val="00505994"/>
    <w:rsid w:val="00505FD4"/>
    <w:rsid w:val="00506E25"/>
    <w:rsid w:val="0051132C"/>
    <w:rsid w:val="00513483"/>
    <w:rsid w:val="00514A55"/>
    <w:rsid w:val="00514EF5"/>
    <w:rsid w:val="0051782D"/>
    <w:rsid w:val="0052087E"/>
    <w:rsid w:val="0052315E"/>
    <w:rsid w:val="00523D41"/>
    <w:rsid w:val="00530ED3"/>
    <w:rsid w:val="0053438E"/>
    <w:rsid w:val="005355EE"/>
    <w:rsid w:val="00535B16"/>
    <w:rsid w:val="005366D0"/>
    <w:rsid w:val="00537E27"/>
    <w:rsid w:val="00540B4D"/>
    <w:rsid w:val="00540FFA"/>
    <w:rsid w:val="00542930"/>
    <w:rsid w:val="0054323C"/>
    <w:rsid w:val="005435B3"/>
    <w:rsid w:val="00550849"/>
    <w:rsid w:val="00554BF3"/>
    <w:rsid w:val="0055655F"/>
    <w:rsid w:val="0055657D"/>
    <w:rsid w:val="00560D0D"/>
    <w:rsid w:val="00565FB1"/>
    <w:rsid w:val="005662FB"/>
    <w:rsid w:val="00567781"/>
    <w:rsid w:val="00567ECC"/>
    <w:rsid w:val="005713B1"/>
    <w:rsid w:val="00572E5D"/>
    <w:rsid w:val="00583090"/>
    <w:rsid w:val="005835F4"/>
    <w:rsid w:val="00583EFE"/>
    <w:rsid w:val="005841A3"/>
    <w:rsid w:val="00590EAE"/>
    <w:rsid w:val="0059112A"/>
    <w:rsid w:val="00593216"/>
    <w:rsid w:val="00593358"/>
    <w:rsid w:val="00594BC3"/>
    <w:rsid w:val="00596CA7"/>
    <w:rsid w:val="00596DC8"/>
    <w:rsid w:val="00596E16"/>
    <w:rsid w:val="005A16A3"/>
    <w:rsid w:val="005A1C48"/>
    <w:rsid w:val="005A253A"/>
    <w:rsid w:val="005B4421"/>
    <w:rsid w:val="005B6DA1"/>
    <w:rsid w:val="005B6F0D"/>
    <w:rsid w:val="005B7215"/>
    <w:rsid w:val="005B7929"/>
    <w:rsid w:val="005C25D1"/>
    <w:rsid w:val="005C35A9"/>
    <w:rsid w:val="005C464B"/>
    <w:rsid w:val="005C74A0"/>
    <w:rsid w:val="005D052C"/>
    <w:rsid w:val="005D16FE"/>
    <w:rsid w:val="005D1B1A"/>
    <w:rsid w:val="005D4084"/>
    <w:rsid w:val="005D4777"/>
    <w:rsid w:val="005D4C2B"/>
    <w:rsid w:val="005E7953"/>
    <w:rsid w:val="005E7E82"/>
    <w:rsid w:val="005F6C28"/>
    <w:rsid w:val="005F7AB6"/>
    <w:rsid w:val="005F7E3C"/>
    <w:rsid w:val="00600FA8"/>
    <w:rsid w:val="006063DA"/>
    <w:rsid w:val="00606CE3"/>
    <w:rsid w:val="00611DD3"/>
    <w:rsid w:val="00611EF0"/>
    <w:rsid w:val="00612219"/>
    <w:rsid w:val="00612E04"/>
    <w:rsid w:val="006173A4"/>
    <w:rsid w:val="00617C44"/>
    <w:rsid w:val="00622CE4"/>
    <w:rsid w:val="006234A7"/>
    <w:rsid w:val="00625917"/>
    <w:rsid w:val="00626D9F"/>
    <w:rsid w:val="0062789F"/>
    <w:rsid w:val="006301BE"/>
    <w:rsid w:val="0063096E"/>
    <w:rsid w:val="00631EE4"/>
    <w:rsid w:val="00633349"/>
    <w:rsid w:val="00633D61"/>
    <w:rsid w:val="0063402B"/>
    <w:rsid w:val="00636570"/>
    <w:rsid w:val="00637901"/>
    <w:rsid w:val="00637E1B"/>
    <w:rsid w:val="006402DF"/>
    <w:rsid w:val="00640EE6"/>
    <w:rsid w:val="0064164B"/>
    <w:rsid w:val="00644468"/>
    <w:rsid w:val="00645F5E"/>
    <w:rsid w:val="00647B1E"/>
    <w:rsid w:val="00647C55"/>
    <w:rsid w:val="0065008B"/>
    <w:rsid w:val="00653A3B"/>
    <w:rsid w:val="00653FD9"/>
    <w:rsid w:val="00654D42"/>
    <w:rsid w:val="00656328"/>
    <w:rsid w:val="00660279"/>
    <w:rsid w:val="006622B9"/>
    <w:rsid w:val="00662E1E"/>
    <w:rsid w:val="0066371E"/>
    <w:rsid w:val="006724AD"/>
    <w:rsid w:val="00672BAB"/>
    <w:rsid w:val="0067314A"/>
    <w:rsid w:val="00673D1E"/>
    <w:rsid w:val="006779CF"/>
    <w:rsid w:val="00677A8F"/>
    <w:rsid w:val="00677F8A"/>
    <w:rsid w:val="006821E3"/>
    <w:rsid w:val="00683AD6"/>
    <w:rsid w:val="006842AE"/>
    <w:rsid w:val="0069097D"/>
    <w:rsid w:val="006A5773"/>
    <w:rsid w:val="006A5804"/>
    <w:rsid w:val="006A58F0"/>
    <w:rsid w:val="006B0372"/>
    <w:rsid w:val="006B0764"/>
    <w:rsid w:val="006B4467"/>
    <w:rsid w:val="006B6C46"/>
    <w:rsid w:val="006B6E78"/>
    <w:rsid w:val="006C0039"/>
    <w:rsid w:val="006C1927"/>
    <w:rsid w:val="006C2585"/>
    <w:rsid w:val="006C4008"/>
    <w:rsid w:val="006C4BB2"/>
    <w:rsid w:val="006C5931"/>
    <w:rsid w:val="006C73EF"/>
    <w:rsid w:val="006D1723"/>
    <w:rsid w:val="006D5D3F"/>
    <w:rsid w:val="006D60ED"/>
    <w:rsid w:val="006E1166"/>
    <w:rsid w:val="006E344D"/>
    <w:rsid w:val="006E596E"/>
    <w:rsid w:val="006E65B5"/>
    <w:rsid w:val="006E7B8A"/>
    <w:rsid w:val="006F033F"/>
    <w:rsid w:val="006F24D8"/>
    <w:rsid w:val="006F33B8"/>
    <w:rsid w:val="006F4C9C"/>
    <w:rsid w:val="006F56E7"/>
    <w:rsid w:val="006F640F"/>
    <w:rsid w:val="006F762A"/>
    <w:rsid w:val="00701B6B"/>
    <w:rsid w:val="0070384F"/>
    <w:rsid w:val="00703A9E"/>
    <w:rsid w:val="00703D6D"/>
    <w:rsid w:val="00704152"/>
    <w:rsid w:val="00704FB5"/>
    <w:rsid w:val="00706B71"/>
    <w:rsid w:val="00712EE5"/>
    <w:rsid w:val="00713493"/>
    <w:rsid w:val="00713494"/>
    <w:rsid w:val="00714031"/>
    <w:rsid w:val="0071466E"/>
    <w:rsid w:val="00714A6C"/>
    <w:rsid w:val="00714CD3"/>
    <w:rsid w:val="007206A8"/>
    <w:rsid w:val="0072116D"/>
    <w:rsid w:val="0072226F"/>
    <w:rsid w:val="00725B78"/>
    <w:rsid w:val="00727082"/>
    <w:rsid w:val="00731AE4"/>
    <w:rsid w:val="0073233C"/>
    <w:rsid w:val="00732D0C"/>
    <w:rsid w:val="00733EAD"/>
    <w:rsid w:val="00734F54"/>
    <w:rsid w:val="00737C04"/>
    <w:rsid w:val="00744110"/>
    <w:rsid w:val="00744595"/>
    <w:rsid w:val="00747A52"/>
    <w:rsid w:val="00750F1E"/>
    <w:rsid w:val="00751C12"/>
    <w:rsid w:val="00752691"/>
    <w:rsid w:val="007528F2"/>
    <w:rsid w:val="00756513"/>
    <w:rsid w:val="00763700"/>
    <w:rsid w:val="00763884"/>
    <w:rsid w:val="0076427C"/>
    <w:rsid w:val="00765217"/>
    <w:rsid w:val="007659AA"/>
    <w:rsid w:val="0077266C"/>
    <w:rsid w:val="00772802"/>
    <w:rsid w:val="00775066"/>
    <w:rsid w:val="00776406"/>
    <w:rsid w:val="0078005A"/>
    <w:rsid w:val="00781B6F"/>
    <w:rsid w:val="00781F9C"/>
    <w:rsid w:val="00782DFD"/>
    <w:rsid w:val="00784424"/>
    <w:rsid w:val="00785474"/>
    <w:rsid w:val="00787B99"/>
    <w:rsid w:val="0079421C"/>
    <w:rsid w:val="0079526D"/>
    <w:rsid w:val="00795A2C"/>
    <w:rsid w:val="00797390"/>
    <w:rsid w:val="007A05B6"/>
    <w:rsid w:val="007A1C0A"/>
    <w:rsid w:val="007A1C59"/>
    <w:rsid w:val="007A5B41"/>
    <w:rsid w:val="007B5792"/>
    <w:rsid w:val="007C31E2"/>
    <w:rsid w:val="007C5CE1"/>
    <w:rsid w:val="007C6F85"/>
    <w:rsid w:val="007D0569"/>
    <w:rsid w:val="007D16B1"/>
    <w:rsid w:val="007D19E4"/>
    <w:rsid w:val="007D7400"/>
    <w:rsid w:val="007D7761"/>
    <w:rsid w:val="007D79FF"/>
    <w:rsid w:val="007E02A7"/>
    <w:rsid w:val="007E468A"/>
    <w:rsid w:val="007E51A5"/>
    <w:rsid w:val="007E7F4C"/>
    <w:rsid w:val="007F03E0"/>
    <w:rsid w:val="007F3018"/>
    <w:rsid w:val="008060C3"/>
    <w:rsid w:val="008063A1"/>
    <w:rsid w:val="00807F00"/>
    <w:rsid w:val="008134BD"/>
    <w:rsid w:val="00814656"/>
    <w:rsid w:val="00820E45"/>
    <w:rsid w:val="00821E2C"/>
    <w:rsid w:val="00822835"/>
    <w:rsid w:val="00826758"/>
    <w:rsid w:val="00831AC0"/>
    <w:rsid w:val="008353E0"/>
    <w:rsid w:val="008365F0"/>
    <w:rsid w:val="00841534"/>
    <w:rsid w:val="008462F1"/>
    <w:rsid w:val="00850FDE"/>
    <w:rsid w:val="00852876"/>
    <w:rsid w:val="008543F5"/>
    <w:rsid w:val="00855004"/>
    <w:rsid w:val="008572C4"/>
    <w:rsid w:val="0085733E"/>
    <w:rsid w:val="008604A8"/>
    <w:rsid w:val="00861AFA"/>
    <w:rsid w:val="00863C61"/>
    <w:rsid w:val="00865522"/>
    <w:rsid w:val="00865ADF"/>
    <w:rsid w:val="0086644C"/>
    <w:rsid w:val="008666B5"/>
    <w:rsid w:val="008703B3"/>
    <w:rsid w:val="00876985"/>
    <w:rsid w:val="008776E7"/>
    <w:rsid w:val="00883780"/>
    <w:rsid w:val="00883B99"/>
    <w:rsid w:val="00885066"/>
    <w:rsid w:val="00885F85"/>
    <w:rsid w:val="008861EC"/>
    <w:rsid w:val="0088665E"/>
    <w:rsid w:val="008923C8"/>
    <w:rsid w:val="00893260"/>
    <w:rsid w:val="008932A8"/>
    <w:rsid w:val="00893756"/>
    <w:rsid w:val="00894A9E"/>
    <w:rsid w:val="008950F6"/>
    <w:rsid w:val="00896815"/>
    <w:rsid w:val="008A0744"/>
    <w:rsid w:val="008A0A6E"/>
    <w:rsid w:val="008A0D0F"/>
    <w:rsid w:val="008A2FB3"/>
    <w:rsid w:val="008A398B"/>
    <w:rsid w:val="008A5601"/>
    <w:rsid w:val="008A59AD"/>
    <w:rsid w:val="008B0EEB"/>
    <w:rsid w:val="008B431D"/>
    <w:rsid w:val="008B51FD"/>
    <w:rsid w:val="008C1939"/>
    <w:rsid w:val="008C3396"/>
    <w:rsid w:val="008C621C"/>
    <w:rsid w:val="008C697C"/>
    <w:rsid w:val="008C75ED"/>
    <w:rsid w:val="008C7649"/>
    <w:rsid w:val="008D0055"/>
    <w:rsid w:val="008E0991"/>
    <w:rsid w:val="008E338E"/>
    <w:rsid w:val="008E57FE"/>
    <w:rsid w:val="008F2665"/>
    <w:rsid w:val="008F6376"/>
    <w:rsid w:val="009019FB"/>
    <w:rsid w:val="00905B05"/>
    <w:rsid w:val="00906FCD"/>
    <w:rsid w:val="0090753C"/>
    <w:rsid w:val="00911B66"/>
    <w:rsid w:val="00912A7E"/>
    <w:rsid w:val="00915330"/>
    <w:rsid w:val="00916E69"/>
    <w:rsid w:val="00917525"/>
    <w:rsid w:val="0091777D"/>
    <w:rsid w:val="0092057D"/>
    <w:rsid w:val="009218DE"/>
    <w:rsid w:val="00922D00"/>
    <w:rsid w:val="00923F17"/>
    <w:rsid w:val="009266DA"/>
    <w:rsid w:val="00930DE8"/>
    <w:rsid w:val="009318DD"/>
    <w:rsid w:val="00935413"/>
    <w:rsid w:val="00935F5D"/>
    <w:rsid w:val="009368E0"/>
    <w:rsid w:val="00940EF5"/>
    <w:rsid w:val="0094260B"/>
    <w:rsid w:val="00942661"/>
    <w:rsid w:val="00945307"/>
    <w:rsid w:val="0094558D"/>
    <w:rsid w:val="00946FCE"/>
    <w:rsid w:val="009515BC"/>
    <w:rsid w:val="00953ED0"/>
    <w:rsid w:val="0095492E"/>
    <w:rsid w:val="00955F7D"/>
    <w:rsid w:val="009613DF"/>
    <w:rsid w:val="0096242F"/>
    <w:rsid w:val="00962E3B"/>
    <w:rsid w:val="00962FF5"/>
    <w:rsid w:val="00964A4E"/>
    <w:rsid w:val="00965B02"/>
    <w:rsid w:val="00965C07"/>
    <w:rsid w:val="00965D2D"/>
    <w:rsid w:val="00971847"/>
    <w:rsid w:val="00972964"/>
    <w:rsid w:val="0097762F"/>
    <w:rsid w:val="009816B8"/>
    <w:rsid w:val="00983B45"/>
    <w:rsid w:val="0098766F"/>
    <w:rsid w:val="00992CDE"/>
    <w:rsid w:val="00993912"/>
    <w:rsid w:val="00994050"/>
    <w:rsid w:val="009962CF"/>
    <w:rsid w:val="009969D6"/>
    <w:rsid w:val="009A5DB1"/>
    <w:rsid w:val="009A7C5A"/>
    <w:rsid w:val="009A7E51"/>
    <w:rsid w:val="009B21B9"/>
    <w:rsid w:val="009B4CD0"/>
    <w:rsid w:val="009B4DA7"/>
    <w:rsid w:val="009C21C6"/>
    <w:rsid w:val="009C383B"/>
    <w:rsid w:val="009C3A80"/>
    <w:rsid w:val="009C5238"/>
    <w:rsid w:val="009D12B4"/>
    <w:rsid w:val="009D1E70"/>
    <w:rsid w:val="009D2135"/>
    <w:rsid w:val="009D2FA7"/>
    <w:rsid w:val="009D4CAE"/>
    <w:rsid w:val="009D55F9"/>
    <w:rsid w:val="009D5A11"/>
    <w:rsid w:val="009D7760"/>
    <w:rsid w:val="009E16E6"/>
    <w:rsid w:val="009E2953"/>
    <w:rsid w:val="009E30CE"/>
    <w:rsid w:val="009E5DF9"/>
    <w:rsid w:val="009F04C3"/>
    <w:rsid w:val="009F0760"/>
    <w:rsid w:val="009F4860"/>
    <w:rsid w:val="00A00057"/>
    <w:rsid w:val="00A00485"/>
    <w:rsid w:val="00A01A5F"/>
    <w:rsid w:val="00A02A75"/>
    <w:rsid w:val="00A02C96"/>
    <w:rsid w:val="00A02E65"/>
    <w:rsid w:val="00A0340A"/>
    <w:rsid w:val="00A0440C"/>
    <w:rsid w:val="00A0585F"/>
    <w:rsid w:val="00A0694A"/>
    <w:rsid w:val="00A10A30"/>
    <w:rsid w:val="00A1137C"/>
    <w:rsid w:val="00A113D7"/>
    <w:rsid w:val="00A11F0F"/>
    <w:rsid w:val="00A16126"/>
    <w:rsid w:val="00A24133"/>
    <w:rsid w:val="00A2425C"/>
    <w:rsid w:val="00A262BF"/>
    <w:rsid w:val="00A27809"/>
    <w:rsid w:val="00A317B0"/>
    <w:rsid w:val="00A318CA"/>
    <w:rsid w:val="00A34591"/>
    <w:rsid w:val="00A34CC3"/>
    <w:rsid w:val="00A34E44"/>
    <w:rsid w:val="00A3640F"/>
    <w:rsid w:val="00A3782A"/>
    <w:rsid w:val="00A40CE2"/>
    <w:rsid w:val="00A47176"/>
    <w:rsid w:val="00A475C5"/>
    <w:rsid w:val="00A4768C"/>
    <w:rsid w:val="00A50A68"/>
    <w:rsid w:val="00A50D3B"/>
    <w:rsid w:val="00A518AA"/>
    <w:rsid w:val="00A552B4"/>
    <w:rsid w:val="00A56348"/>
    <w:rsid w:val="00A5703F"/>
    <w:rsid w:val="00A57D39"/>
    <w:rsid w:val="00A6316B"/>
    <w:rsid w:val="00A65316"/>
    <w:rsid w:val="00A674FF"/>
    <w:rsid w:val="00A70F69"/>
    <w:rsid w:val="00A72611"/>
    <w:rsid w:val="00A73ABB"/>
    <w:rsid w:val="00A76D2C"/>
    <w:rsid w:val="00A77575"/>
    <w:rsid w:val="00A77746"/>
    <w:rsid w:val="00A806AA"/>
    <w:rsid w:val="00A83BF6"/>
    <w:rsid w:val="00A87F31"/>
    <w:rsid w:val="00A90D27"/>
    <w:rsid w:val="00A9103B"/>
    <w:rsid w:val="00A91284"/>
    <w:rsid w:val="00A918A7"/>
    <w:rsid w:val="00A92871"/>
    <w:rsid w:val="00A955EB"/>
    <w:rsid w:val="00AA1F49"/>
    <w:rsid w:val="00AA3A2E"/>
    <w:rsid w:val="00AA4099"/>
    <w:rsid w:val="00AA6913"/>
    <w:rsid w:val="00AB2190"/>
    <w:rsid w:val="00AB39EB"/>
    <w:rsid w:val="00AB3F27"/>
    <w:rsid w:val="00AB3FD9"/>
    <w:rsid w:val="00AB7DE7"/>
    <w:rsid w:val="00AC1BE7"/>
    <w:rsid w:val="00AC275F"/>
    <w:rsid w:val="00AC50A4"/>
    <w:rsid w:val="00AC5A95"/>
    <w:rsid w:val="00AC6074"/>
    <w:rsid w:val="00AC6471"/>
    <w:rsid w:val="00AC7E04"/>
    <w:rsid w:val="00AD1751"/>
    <w:rsid w:val="00AD2B6E"/>
    <w:rsid w:val="00AD3443"/>
    <w:rsid w:val="00AD4B3C"/>
    <w:rsid w:val="00AD68A5"/>
    <w:rsid w:val="00AE185D"/>
    <w:rsid w:val="00AE1BFE"/>
    <w:rsid w:val="00AE3842"/>
    <w:rsid w:val="00AE3D83"/>
    <w:rsid w:val="00AE4374"/>
    <w:rsid w:val="00AE485C"/>
    <w:rsid w:val="00AE7D4F"/>
    <w:rsid w:val="00AE7FE4"/>
    <w:rsid w:val="00AF17D3"/>
    <w:rsid w:val="00AF1D77"/>
    <w:rsid w:val="00AF38BA"/>
    <w:rsid w:val="00AF4F67"/>
    <w:rsid w:val="00AF5811"/>
    <w:rsid w:val="00AF6509"/>
    <w:rsid w:val="00B00BBE"/>
    <w:rsid w:val="00B0456E"/>
    <w:rsid w:val="00B06A05"/>
    <w:rsid w:val="00B06BF6"/>
    <w:rsid w:val="00B06F7F"/>
    <w:rsid w:val="00B100F0"/>
    <w:rsid w:val="00B11664"/>
    <w:rsid w:val="00B1402E"/>
    <w:rsid w:val="00B14865"/>
    <w:rsid w:val="00B21D50"/>
    <w:rsid w:val="00B22F9B"/>
    <w:rsid w:val="00B23747"/>
    <w:rsid w:val="00B24090"/>
    <w:rsid w:val="00B257E3"/>
    <w:rsid w:val="00B260C7"/>
    <w:rsid w:val="00B27494"/>
    <w:rsid w:val="00B279B9"/>
    <w:rsid w:val="00B34F48"/>
    <w:rsid w:val="00B51BA0"/>
    <w:rsid w:val="00B5341E"/>
    <w:rsid w:val="00B535BD"/>
    <w:rsid w:val="00B53701"/>
    <w:rsid w:val="00B56A26"/>
    <w:rsid w:val="00B6110A"/>
    <w:rsid w:val="00B6176A"/>
    <w:rsid w:val="00B6301A"/>
    <w:rsid w:val="00B64CAD"/>
    <w:rsid w:val="00B66751"/>
    <w:rsid w:val="00B67AA6"/>
    <w:rsid w:val="00B7066C"/>
    <w:rsid w:val="00B717D8"/>
    <w:rsid w:val="00B72DF3"/>
    <w:rsid w:val="00B74146"/>
    <w:rsid w:val="00B746E7"/>
    <w:rsid w:val="00B76F6C"/>
    <w:rsid w:val="00B8080B"/>
    <w:rsid w:val="00B811EF"/>
    <w:rsid w:val="00B86EF1"/>
    <w:rsid w:val="00B90674"/>
    <w:rsid w:val="00B934E3"/>
    <w:rsid w:val="00B94323"/>
    <w:rsid w:val="00B961B7"/>
    <w:rsid w:val="00B963D4"/>
    <w:rsid w:val="00B9772B"/>
    <w:rsid w:val="00BA0858"/>
    <w:rsid w:val="00BA2DEF"/>
    <w:rsid w:val="00BA42FB"/>
    <w:rsid w:val="00BA4768"/>
    <w:rsid w:val="00BA516F"/>
    <w:rsid w:val="00BA628C"/>
    <w:rsid w:val="00BA7059"/>
    <w:rsid w:val="00BB0051"/>
    <w:rsid w:val="00BB02C6"/>
    <w:rsid w:val="00BB1082"/>
    <w:rsid w:val="00BB2127"/>
    <w:rsid w:val="00BB2EE5"/>
    <w:rsid w:val="00BB3471"/>
    <w:rsid w:val="00BB3805"/>
    <w:rsid w:val="00BB52A5"/>
    <w:rsid w:val="00BB6740"/>
    <w:rsid w:val="00BB7EA1"/>
    <w:rsid w:val="00BB7F81"/>
    <w:rsid w:val="00BC269B"/>
    <w:rsid w:val="00BC27D2"/>
    <w:rsid w:val="00BC3EC9"/>
    <w:rsid w:val="00BD35E1"/>
    <w:rsid w:val="00BD54FC"/>
    <w:rsid w:val="00BD63C3"/>
    <w:rsid w:val="00BD76A4"/>
    <w:rsid w:val="00BE1C8A"/>
    <w:rsid w:val="00BE4857"/>
    <w:rsid w:val="00BE5847"/>
    <w:rsid w:val="00BE5BE0"/>
    <w:rsid w:val="00BE70E8"/>
    <w:rsid w:val="00BF089F"/>
    <w:rsid w:val="00BF0E76"/>
    <w:rsid w:val="00BF19DC"/>
    <w:rsid w:val="00BF2B3E"/>
    <w:rsid w:val="00BF2DAF"/>
    <w:rsid w:val="00BF4E1B"/>
    <w:rsid w:val="00C01259"/>
    <w:rsid w:val="00C0480F"/>
    <w:rsid w:val="00C1043C"/>
    <w:rsid w:val="00C12A51"/>
    <w:rsid w:val="00C15736"/>
    <w:rsid w:val="00C1591E"/>
    <w:rsid w:val="00C20D36"/>
    <w:rsid w:val="00C21038"/>
    <w:rsid w:val="00C2396B"/>
    <w:rsid w:val="00C2785F"/>
    <w:rsid w:val="00C30BA6"/>
    <w:rsid w:val="00C31467"/>
    <w:rsid w:val="00C34CCB"/>
    <w:rsid w:val="00C34D57"/>
    <w:rsid w:val="00C36696"/>
    <w:rsid w:val="00C36720"/>
    <w:rsid w:val="00C37518"/>
    <w:rsid w:val="00C37F00"/>
    <w:rsid w:val="00C421C9"/>
    <w:rsid w:val="00C42A3A"/>
    <w:rsid w:val="00C4517F"/>
    <w:rsid w:val="00C45232"/>
    <w:rsid w:val="00C46E94"/>
    <w:rsid w:val="00C52BA5"/>
    <w:rsid w:val="00C53323"/>
    <w:rsid w:val="00C54D8C"/>
    <w:rsid w:val="00C66CEF"/>
    <w:rsid w:val="00C670FE"/>
    <w:rsid w:val="00C67BD9"/>
    <w:rsid w:val="00C71E3C"/>
    <w:rsid w:val="00C72354"/>
    <w:rsid w:val="00C75492"/>
    <w:rsid w:val="00C77C78"/>
    <w:rsid w:val="00C8146C"/>
    <w:rsid w:val="00C846DD"/>
    <w:rsid w:val="00C85CA6"/>
    <w:rsid w:val="00C9147E"/>
    <w:rsid w:val="00C925ED"/>
    <w:rsid w:val="00C9339F"/>
    <w:rsid w:val="00C96A10"/>
    <w:rsid w:val="00C9753B"/>
    <w:rsid w:val="00CA19CD"/>
    <w:rsid w:val="00CA4A62"/>
    <w:rsid w:val="00CA659E"/>
    <w:rsid w:val="00CB1F74"/>
    <w:rsid w:val="00CB23DD"/>
    <w:rsid w:val="00CB2757"/>
    <w:rsid w:val="00CB2FE7"/>
    <w:rsid w:val="00CB3B57"/>
    <w:rsid w:val="00CB42AE"/>
    <w:rsid w:val="00CB6768"/>
    <w:rsid w:val="00CC17DB"/>
    <w:rsid w:val="00CC2F01"/>
    <w:rsid w:val="00CC303C"/>
    <w:rsid w:val="00CC6453"/>
    <w:rsid w:val="00CD2D8A"/>
    <w:rsid w:val="00CD31EA"/>
    <w:rsid w:val="00CD6797"/>
    <w:rsid w:val="00CD692F"/>
    <w:rsid w:val="00CE0392"/>
    <w:rsid w:val="00CE113A"/>
    <w:rsid w:val="00CE231F"/>
    <w:rsid w:val="00CE5481"/>
    <w:rsid w:val="00CE5866"/>
    <w:rsid w:val="00CF0045"/>
    <w:rsid w:val="00CF1366"/>
    <w:rsid w:val="00CF7194"/>
    <w:rsid w:val="00CF7C90"/>
    <w:rsid w:val="00CF7EA0"/>
    <w:rsid w:val="00D00600"/>
    <w:rsid w:val="00D0329F"/>
    <w:rsid w:val="00D06299"/>
    <w:rsid w:val="00D1045D"/>
    <w:rsid w:val="00D133AA"/>
    <w:rsid w:val="00D13B0B"/>
    <w:rsid w:val="00D13CCF"/>
    <w:rsid w:val="00D14CF7"/>
    <w:rsid w:val="00D15E67"/>
    <w:rsid w:val="00D20ABB"/>
    <w:rsid w:val="00D24AEE"/>
    <w:rsid w:val="00D3073E"/>
    <w:rsid w:val="00D31676"/>
    <w:rsid w:val="00D316C8"/>
    <w:rsid w:val="00D337D5"/>
    <w:rsid w:val="00D34817"/>
    <w:rsid w:val="00D365BB"/>
    <w:rsid w:val="00D3795A"/>
    <w:rsid w:val="00D37AB5"/>
    <w:rsid w:val="00D40C74"/>
    <w:rsid w:val="00D43282"/>
    <w:rsid w:val="00D43EA4"/>
    <w:rsid w:val="00D44508"/>
    <w:rsid w:val="00D47810"/>
    <w:rsid w:val="00D5128E"/>
    <w:rsid w:val="00D52FD0"/>
    <w:rsid w:val="00D54385"/>
    <w:rsid w:val="00D6259C"/>
    <w:rsid w:val="00D63B91"/>
    <w:rsid w:val="00D64A4A"/>
    <w:rsid w:val="00D6679C"/>
    <w:rsid w:val="00D73EE6"/>
    <w:rsid w:val="00D742D2"/>
    <w:rsid w:val="00D744DC"/>
    <w:rsid w:val="00D75CF7"/>
    <w:rsid w:val="00D75F59"/>
    <w:rsid w:val="00D776C3"/>
    <w:rsid w:val="00D80153"/>
    <w:rsid w:val="00D81AC7"/>
    <w:rsid w:val="00D8495C"/>
    <w:rsid w:val="00D86737"/>
    <w:rsid w:val="00D8696A"/>
    <w:rsid w:val="00D9153B"/>
    <w:rsid w:val="00D95903"/>
    <w:rsid w:val="00D95D78"/>
    <w:rsid w:val="00DA0810"/>
    <w:rsid w:val="00DA3FCE"/>
    <w:rsid w:val="00DB33FC"/>
    <w:rsid w:val="00DB4203"/>
    <w:rsid w:val="00DB7CA1"/>
    <w:rsid w:val="00DC25DA"/>
    <w:rsid w:val="00DC5149"/>
    <w:rsid w:val="00DD1B88"/>
    <w:rsid w:val="00DD3C08"/>
    <w:rsid w:val="00DD5C33"/>
    <w:rsid w:val="00DE0476"/>
    <w:rsid w:val="00DE2AAC"/>
    <w:rsid w:val="00DF1125"/>
    <w:rsid w:val="00DF27AC"/>
    <w:rsid w:val="00DF28E7"/>
    <w:rsid w:val="00DF399A"/>
    <w:rsid w:val="00DF6280"/>
    <w:rsid w:val="00DF7B14"/>
    <w:rsid w:val="00E00009"/>
    <w:rsid w:val="00E01EF4"/>
    <w:rsid w:val="00E02CF2"/>
    <w:rsid w:val="00E04947"/>
    <w:rsid w:val="00E069F7"/>
    <w:rsid w:val="00E06C35"/>
    <w:rsid w:val="00E0710D"/>
    <w:rsid w:val="00E0732A"/>
    <w:rsid w:val="00E07F71"/>
    <w:rsid w:val="00E114D8"/>
    <w:rsid w:val="00E1347F"/>
    <w:rsid w:val="00E160E7"/>
    <w:rsid w:val="00E1621B"/>
    <w:rsid w:val="00E21114"/>
    <w:rsid w:val="00E22B84"/>
    <w:rsid w:val="00E26045"/>
    <w:rsid w:val="00E26BDB"/>
    <w:rsid w:val="00E27304"/>
    <w:rsid w:val="00E31C5B"/>
    <w:rsid w:val="00E337F5"/>
    <w:rsid w:val="00E339E4"/>
    <w:rsid w:val="00E34EBC"/>
    <w:rsid w:val="00E37211"/>
    <w:rsid w:val="00E37848"/>
    <w:rsid w:val="00E4034D"/>
    <w:rsid w:val="00E404B3"/>
    <w:rsid w:val="00E41C34"/>
    <w:rsid w:val="00E41EE7"/>
    <w:rsid w:val="00E42084"/>
    <w:rsid w:val="00E55808"/>
    <w:rsid w:val="00E559EA"/>
    <w:rsid w:val="00E5696D"/>
    <w:rsid w:val="00E56E45"/>
    <w:rsid w:val="00E6161C"/>
    <w:rsid w:val="00E62DEC"/>
    <w:rsid w:val="00E63233"/>
    <w:rsid w:val="00E65F8A"/>
    <w:rsid w:val="00E669BA"/>
    <w:rsid w:val="00E66ECB"/>
    <w:rsid w:val="00E67486"/>
    <w:rsid w:val="00E727CE"/>
    <w:rsid w:val="00E749E1"/>
    <w:rsid w:val="00E8007A"/>
    <w:rsid w:val="00E80578"/>
    <w:rsid w:val="00E80B43"/>
    <w:rsid w:val="00E833CB"/>
    <w:rsid w:val="00E83995"/>
    <w:rsid w:val="00E83CBA"/>
    <w:rsid w:val="00E83D2E"/>
    <w:rsid w:val="00E83FB2"/>
    <w:rsid w:val="00E85159"/>
    <w:rsid w:val="00E90615"/>
    <w:rsid w:val="00E91FE0"/>
    <w:rsid w:val="00E95AC2"/>
    <w:rsid w:val="00E97167"/>
    <w:rsid w:val="00E97DBB"/>
    <w:rsid w:val="00EA0169"/>
    <w:rsid w:val="00EA3781"/>
    <w:rsid w:val="00EA5023"/>
    <w:rsid w:val="00EA7061"/>
    <w:rsid w:val="00EB13FE"/>
    <w:rsid w:val="00EB1FA1"/>
    <w:rsid w:val="00EB254B"/>
    <w:rsid w:val="00EB39F1"/>
    <w:rsid w:val="00EB472E"/>
    <w:rsid w:val="00EB5434"/>
    <w:rsid w:val="00EB5D6C"/>
    <w:rsid w:val="00EB6A9B"/>
    <w:rsid w:val="00EB76D6"/>
    <w:rsid w:val="00EC0178"/>
    <w:rsid w:val="00EC049F"/>
    <w:rsid w:val="00ED024E"/>
    <w:rsid w:val="00ED194C"/>
    <w:rsid w:val="00ED2C26"/>
    <w:rsid w:val="00ED3898"/>
    <w:rsid w:val="00ED5EC2"/>
    <w:rsid w:val="00EE0DF2"/>
    <w:rsid w:val="00EE21DD"/>
    <w:rsid w:val="00EE56DF"/>
    <w:rsid w:val="00EF1A24"/>
    <w:rsid w:val="00EF1BF1"/>
    <w:rsid w:val="00EF48DF"/>
    <w:rsid w:val="00EF71E1"/>
    <w:rsid w:val="00F01BD5"/>
    <w:rsid w:val="00F01F7B"/>
    <w:rsid w:val="00F0264E"/>
    <w:rsid w:val="00F05EAF"/>
    <w:rsid w:val="00F06D7C"/>
    <w:rsid w:val="00F1049D"/>
    <w:rsid w:val="00F119F0"/>
    <w:rsid w:val="00F147FD"/>
    <w:rsid w:val="00F15FC1"/>
    <w:rsid w:val="00F17762"/>
    <w:rsid w:val="00F228D0"/>
    <w:rsid w:val="00F23C5A"/>
    <w:rsid w:val="00F23E91"/>
    <w:rsid w:val="00F277D4"/>
    <w:rsid w:val="00F31104"/>
    <w:rsid w:val="00F34E93"/>
    <w:rsid w:val="00F4474B"/>
    <w:rsid w:val="00F513E5"/>
    <w:rsid w:val="00F5219B"/>
    <w:rsid w:val="00F53138"/>
    <w:rsid w:val="00F534C0"/>
    <w:rsid w:val="00F54930"/>
    <w:rsid w:val="00F5523B"/>
    <w:rsid w:val="00F623B6"/>
    <w:rsid w:val="00F6280F"/>
    <w:rsid w:val="00F62819"/>
    <w:rsid w:val="00F6394B"/>
    <w:rsid w:val="00F6618F"/>
    <w:rsid w:val="00F708D9"/>
    <w:rsid w:val="00F720FB"/>
    <w:rsid w:val="00F80602"/>
    <w:rsid w:val="00F81376"/>
    <w:rsid w:val="00F84C20"/>
    <w:rsid w:val="00F92112"/>
    <w:rsid w:val="00F9230A"/>
    <w:rsid w:val="00F92366"/>
    <w:rsid w:val="00F92753"/>
    <w:rsid w:val="00F9598E"/>
    <w:rsid w:val="00F96B32"/>
    <w:rsid w:val="00F9735A"/>
    <w:rsid w:val="00FA42F4"/>
    <w:rsid w:val="00FB0730"/>
    <w:rsid w:val="00FB0BC1"/>
    <w:rsid w:val="00FB14A0"/>
    <w:rsid w:val="00FB4E4A"/>
    <w:rsid w:val="00FB6D3A"/>
    <w:rsid w:val="00FB7924"/>
    <w:rsid w:val="00FB7F35"/>
    <w:rsid w:val="00FC11D6"/>
    <w:rsid w:val="00FC48DD"/>
    <w:rsid w:val="00FC569E"/>
    <w:rsid w:val="00FC67E5"/>
    <w:rsid w:val="00FC6BFF"/>
    <w:rsid w:val="00FC7FE2"/>
    <w:rsid w:val="00FD04EB"/>
    <w:rsid w:val="00FD1036"/>
    <w:rsid w:val="00FD131D"/>
    <w:rsid w:val="00FD5177"/>
    <w:rsid w:val="00FE35E1"/>
    <w:rsid w:val="00FE6D86"/>
    <w:rsid w:val="00FE7DA8"/>
    <w:rsid w:val="00FF0DA7"/>
    <w:rsid w:val="00FF3276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0B747A"/>
  <w15:docId w15:val="{F6B6D856-2C3D-417A-BBF8-81D75A6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6679C"/>
    <w:rPr>
      <w:rFonts w:ascii="Courier" w:hAnsi="Courier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6F5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cd14e7-3caa-401a-9501-b498b53dc801">UNITRBEC-188-1601</_dlc_DocId>
    <_dlc_DocIdUrl xmlns="a3cd14e7-3caa-401a-9501-b498b53dc801">
      <Url>https://intranet.undp.org/unit/rbec/_layouts/DocIdRedir.aspx?ID=UNITRBEC-188-1601</Url>
      <Description>UNITRBEC-188-1601</Description>
    </_dlc_DocIdUrl>
    <UNDPPublishedDate xmlns="a3cd14e7-3caa-401a-9501-b498b53dc801" xsi:nil="true"/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itTaxHTField0 xmlns="1ed4137b-41b2-488b-8250-6d369ec27664">
      <Terms xmlns="http://schemas.microsoft.com/office/infopath/2007/PartnerControls"/>
    </UnitTaxHTField0>
    <TaxKeywordTaxHTField xmlns="1ed4137b-41b2-488b-8250-6d369ec27664">
      <Terms xmlns="http://schemas.microsoft.com/office/infopath/2007/PartnerControls"/>
    </TaxKeywordTaxHTField>
    <Category xmlns="d5874e3d-a1e5-43a3-bab6-5397044de48f" xsi:nil="true"/>
    <TaxCatchAll xmlns="1ed4137b-41b2-488b-8250-6d369ec27664">
      <Value>223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DocStatus xmlns="1ed4137b-41b2-488b-8250-6d369ec27664">Draft</UndpDocStatus>
    <UNDPPOPPFunctionalArea xmlns="a3cd14e7-3caa-401a-9501-b498b53dc801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DPSummary xmlns="a3cd14e7-3caa-401a-9501-b498b53dc801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BAC0ED35CF38FC4B9DCDBD42B105BACC" ma:contentTypeVersion="68" ma:contentTypeDescription="" ma:contentTypeScope="" ma:versionID="eacd8ae987a6656773fc5c0188949fa4">
  <xsd:schema xmlns:xsd="http://www.w3.org/2001/XMLSchema" xmlns:xs="http://www.w3.org/2001/XMLSchema" xmlns:p="http://schemas.microsoft.com/office/2006/metadata/properties" xmlns:ns2="http://schemas.microsoft.com/sharepoint/v3/fields" xmlns:ns3="a3cd14e7-3caa-401a-9501-b498b53dc801" xmlns:ns4="1ed4137b-41b2-488b-8250-6d369ec27664" xmlns:ns5="d5874e3d-a1e5-43a3-bab6-5397044de48f" targetNamespace="http://schemas.microsoft.com/office/2006/metadata/properties" ma:root="true" ma:fieldsID="104e960548fea362e5900b34a41bb4fb" ns2:_="" ns3:_="" ns4:_="" ns5:_="">
    <xsd:import namespace="http://schemas.microsoft.com/sharepoint/v3/fields"/>
    <xsd:import namespace="a3cd14e7-3caa-401a-9501-b498b53dc801"/>
    <xsd:import namespace="1ed4137b-41b2-488b-8250-6d369ec27664"/>
    <xsd:import namespace="d5874e3d-a1e5-43a3-bab6-5397044de48f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4:UnitTaxHTField0" minOccurs="0"/>
                <xsd:element ref="ns4:TaxKeywordTaxHTField" minOccurs="0"/>
                <xsd:element ref="ns5: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d14e7-3caa-401a-9501-b498b53dc801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4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cb6304d0-b73f-41cf-88c3-4295c3b1663a}" ma:internalName="TaxCatchAll" ma:showField="CatchAllData" ma:web="1ed4137b-41b2-488b-8250-6d369ec2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cb6304d0-b73f-41cf-88c3-4295c3b1663a}" ma:internalName="TaxCatchAllLabel" ma:readOnly="true" ma:showField="CatchAllDataLabel" ma:web="1ed4137b-41b2-488b-8250-6d369ec2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23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itTaxHTField0" ma:index="39" nillable="true" ma:taxonomy="true" ma:internalName="UnitTaxHTField0" ma:taxonomyFieldName="Unit" ma:displayName="Unit" ma:default="" ma:fieldId="{819dbdf8-4c56-447f-98cd-c56e9d9f1f04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40" nillable="true" ma:taxonomy="true" ma:internalName="TaxKeywordTaxHTField" ma:taxonomyFieldName="TaxKeyword" ma:displayName="Enterprise Keywords" ma:fieldId="{23f27201-bee3-471e-b2e7-b64fd8b7ca38}" ma:taxonomyMulti="true" ma:sspId="28e6c43a-9e99-4bdd-9574-a0fa4ea3b61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74e3d-a1e5-43a3-bab6-5397044de48f" elementFormDefault="qualified">
    <xsd:import namespace="http://schemas.microsoft.com/office/2006/documentManagement/types"/>
    <xsd:import namespace="http://schemas.microsoft.com/office/infopath/2007/PartnerControls"/>
    <xsd:element name="Category" ma:index="41" nillable="true" ma:displayName="RBEC Category" ma:list="{a74e9a6e-9051-416c-8754-e0b335c60835}" ma:internalName="Category" ma:showField="Category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  <ds:schemaRef ds:uri="a3cd14e7-3caa-401a-9501-b498b53dc801"/>
    <ds:schemaRef ds:uri="1ed4137b-41b2-488b-8250-6d369ec27664"/>
    <ds:schemaRef ds:uri="http://schemas.microsoft.com/sharepoint/v3/fields"/>
    <ds:schemaRef ds:uri="d5874e3d-a1e5-43a3-bab6-5397044de48f"/>
  </ds:schemaRefs>
</ds:datastoreItem>
</file>

<file path=customXml/itemProps3.xml><?xml version="1.0" encoding="utf-8"?>
<ds:datastoreItem xmlns:ds="http://schemas.openxmlformats.org/officeDocument/2006/customXml" ds:itemID="{A447D773-7A9F-4EE2-B2F8-B0CB5D06BA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C60B83-94CB-45A2-A85C-D4583533B9B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B877F31-5A76-4846-B097-8DD3B1A4D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3cd14e7-3caa-401a-9501-b498b53dc801"/>
    <ds:schemaRef ds:uri="1ed4137b-41b2-488b-8250-6d369ec27664"/>
    <ds:schemaRef ds:uri="d5874e3d-a1e5-43a3-bab6-5397044de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9EC49AC-84A7-4926-9B0D-3F84A41C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CPD- Revised Template and Guidance</vt:lpstr>
    </vt:vector>
  </TitlesOfParts>
  <Company>Microsoft</Company>
  <LinksUpToDate>false</LinksUpToDate>
  <CharactersWithSpaces>5191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CPD- Revised Template and Guidance</dc:title>
  <dc:creator>John Magoha</dc:creator>
  <cp:lastModifiedBy>Svetlana Iazykova</cp:lastModifiedBy>
  <cp:revision>2</cp:revision>
  <cp:lastPrinted>2015-02-02T08:32:00Z</cp:lastPrinted>
  <dcterms:created xsi:type="dcterms:W3CDTF">2015-05-13T21:02:00Z</dcterms:created>
  <dcterms:modified xsi:type="dcterms:W3CDTF">2015-05-13T21:02:00Z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0x010100F075C04BA242A84ABD3293E3AD35CDA400BAC0ED35CF38FC4B9DCDBD42B105BACC</vt:lpwstr>
  </property>
  <property fmtid="{D5CDD505-2E9C-101B-9397-08002B2CF9AE}" pid="3" name="_dlc_DocIdItemGuid">
    <vt:lpwstr>97a18779-061c-4c2e-819a-6396597644e3</vt:lpwstr>
  </property>
  <property fmtid="{D5CDD505-2E9C-101B-9397-08002B2CF9AE}" pid="4" name="TaxKeyword">
    <vt:lpwstr/>
  </property>
  <property fmtid="{D5CDD505-2E9C-101B-9397-08002B2CF9AE}" pid="5" name="UN Languages">
    <vt:lpwstr>223;#English|7f98b732-4b5b-4b70-ba90-a0eff09b5d2d</vt:lpwstr>
  </property>
  <property fmtid="{D5CDD505-2E9C-101B-9397-08002B2CF9AE}" pid="6" name="UNDPCountry">
    <vt:lpwstr/>
  </property>
  <property fmtid="{D5CDD505-2E9C-101B-9397-08002B2CF9AE}" pid="7" name="UNDPDocumentCategory">
    <vt:lpwstr/>
  </property>
  <property fmtid="{D5CDD505-2E9C-101B-9397-08002B2CF9AE}" pid="8" name="eRegFilingCodeMM">
    <vt:lpwstr/>
  </property>
  <property fmtid="{D5CDD505-2E9C-101B-9397-08002B2CF9AE}" pid="9" name="UndpUnitMM">
    <vt:lpwstr/>
  </property>
  <property fmtid="{D5CDD505-2E9C-101B-9397-08002B2CF9AE}" pid="10" name="Unit">
    <vt:lpwstr/>
  </property>
  <property fmtid="{D5CDD505-2E9C-101B-9397-08002B2CF9AE}" pid="11" name="UNDPFocusAreas">
    <vt:lpwstr/>
  </property>
  <property fmtid="{D5CDD505-2E9C-101B-9397-08002B2CF9AE}" pid="12" name="UndpDocTypeMM">
    <vt:lpwstr/>
  </property>
</Properties>
</file>