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A7705" w14:textId="77777777" w:rsidR="00497E0F" w:rsidRPr="00501E43" w:rsidRDefault="00497E0F" w:rsidP="00D9153B">
      <w:pPr>
        <w:rPr>
          <w:color w:val="000000"/>
          <w:sz w:val="6"/>
        </w:rPr>
        <w:sectPr w:rsidR="00497E0F" w:rsidRPr="00501E43" w:rsidSect="00677A8F">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710B59F6" w14:textId="77777777" w:rsidR="001B35D1" w:rsidRPr="001B35D1" w:rsidRDefault="001B35D1" w:rsidP="001B35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1B35D1">
        <w:rPr>
          <w:b/>
          <w:color w:val="000000"/>
        </w:rPr>
        <w:lastRenderedPageBreak/>
        <w:t>Second regular session 2015</w:t>
      </w:r>
    </w:p>
    <w:p w14:paraId="5B872921" w14:textId="77777777" w:rsidR="001B35D1" w:rsidRPr="001B35D1" w:rsidRDefault="001B35D1" w:rsidP="001B35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B35D1">
        <w:rPr>
          <w:color w:val="000000"/>
        </w:rPr>
        <w:t>1 - 4 September 2015, New York</w:t>
      </w:r>
    </w:p>
    <w:p w14:paraId="6B41AD14" w14:textId="77777777" w:rsidR="001B35D1" w:rsidRPr="001B35D1" w:rsidRDefault="001B35D1" w:rsidP="001B35D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1B35D1">
        <w:rPr>
          <w:color w:val="000000"/>
        </w:rPr>
        <w:t>Item 6 of the provisional agenda</w:t>
      </w:r>
    </w:p>
    <w:p w14:paraId="5199CD27" w14:textId="77777777" w:rsidR="001B35D1" w:rsidRPr="001B35D1" w:rsidRDefault="001B35D1" w:rsidP="001B35D1">
      <w:pPr>
        <w:ind w:right="1260"/>
        <w:rPr>
          <w:b/>
          <w:color w:val="000000"/>
        </w:rPr>
      </w:pPr>
      <w:r w:rsidRPr="001B35D1">
        <w:rPr>
          <w:b/>
          <w:color w:val="000000"/>
        </w:rPr>
        <w:t>Country programmes and related matters</w:t>
      </w:r>
    </w:p>
    <w:p w14:paraId="146038CC" w14:textId="77777777" w:rsidR="001B35D1" w:rsidRPr="001B35D1" w:rsidRDefault="001B35D1" w:rsidP="001B35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4A6FA59A" w14:textId="77777777" w:rsidR="001B35D1" w:rsidRPr="001B35D1" w:rsidRDefault="001B35D1" w:rsidP="001B35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3830E754" w14:textId="77777777" w:rsidR="001B35D1" w:rsidRPr="001B35D1" w:rsidRDefault="001B35D1" w:rsidP="001B35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472747F3" w14:textId="77777777" w:rsidR="001B35D1" w:rsidRPr="001B35D1" w:rsidRDefault="001B35D1" w:rsidP="001B35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rPr>
      </w:pPr>
    </w:p>
    <w:p w14:paraId="4900053A" w14:textId="77777777" w:rsidR="001B35D1" w:rsidRPr="001B35D1" w:rsidRDefault="001B35D1" w:rsidP="001B35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rPr>
      </w:pPr>
    </w:p>
    <w:p w14:paraId="20D554A5" w14:textId="77777777" w:rsidR="001B35D1" w:rsidRPr="001B35D1" w:rsidRDefault="001B35D1" w:rsidP="001B35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rPr>
      </w:pPr>
    </w:p>
    <w:p w14:paraId="331CF7DD" w14:textId="77777777" w:rsidR="001B35D1" w:rsidRPr="001B35D1" w:rsidRDefault="001B35D1" w:rsidP="001B35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rPr>
      </w:pPr>
    </w:p>
    <w:p w14:paraId="73911537" w14:textId="77777777" w:rsidR="00497E0F" w:rsidRPr="00501E43" w:rsidRDefault="00497E0F" w:rsidP="00D9153B">
      <w:pPr>
        <w:pStyle w:val="SingleTxt"/>
        <w:spacing w:after="0" w:line="120" w:lineRule="exact"/>
        <w:rPr>
          <w:color w:val="000000"/>
          <w:sz w:val="10"/>
        </w:rPr>
      </w:pPr>
    </w:p>
    <w:p w14:paraId="1FE7D97E" w14:textId="77777777" w:rsidR="00497E0F" w:rsidRPr="00501E43" w:rsidRDefault="00497E0F" w:rsidP="00D9153B">
      <w:pPr>
        <w:pStyle w:val="SingleTxt"/>
        <w:spacing w:after="0" w:line="120" w:lineRule="exact"/>
        <w:rPr>
          <w:color w:val="000000"/>
          <w:sz w:val="10"/>
        </w:rPr>
      </w:pPr>
    </w:p>
    <w:p w14:paraId="1C8F69A7" w14:textId="77777777" w:rsidR="00497E0F" w:rsidRPr="00501E43" w:rsidRDefault="00497E0F" w:rsidP="00D9153B">
      <w:pPr>
        <w:pStyle w:val="SingleTxt"/>
        <w:spacing w:after="0" w:line="120" w:lineRule="exact"/>
        <w:rPr>
          <w:color w:val="000000"/>
          <w:sz w:val="10"/>
        </w:rPr>
      </w:pPr>
    </w:p>
    <w:p w14:paraId="376CEA00" w14:textId="795D9C6B" w:rsidR="00497E0F" w:rsidRPr="00501E43" w:rsidRDefault="00497E0F" w:rsidP="00C039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501E43">
        <w:rPr>
          <w:color w:val="000000"/>
        </w:rPr>
        <w:tab/>
        <w:t>Draft country programme document for Zambia</w:t>
      </w:r>
      <w:r w:rsidR="00F631C7">
        <w:rPr>
          <w:color w:val="000000"/>
        </w:rPr>
        <w:t xml:space="preserve"> </w:t>
      </w:r>
      <w:r w:rsidR="003132D2">
        <w:rPr>
          <w:color w:val="000000"/>
        </w:rPr>
        <w:t>(</w:t>
      </w:r>
      <w:r w:rsidRPr="00501E43">
        <w:rPr>
          <w:color w:val="000000"/>
        </w:rPr>
        <w:t>2016-202</w:t>
      </w:r>
      <w:r w:rsidR="00C03FC4">
        <w:rPr>
          <w:color w:val="000000"/>
        </w:rPr>
        <w:t>1</w:t>
      </w:r>
      <w:r w:rsidR="003132D2">
        <w:rPr>
          <w:color w:val="000000"/>
        </w:rPr>
        <w:t>)</w:t>
      </w:r>
      <w:r w:rsidRPr="00501E43">
        <w:rPr>
          <w:color w:val="000000"/>
        </w:rPr>
        <w:br/>
      </w:r>
    </w:p>
    <w:p w14:paraId="50803A93" w14:textId="77777777" w:rsidR="001B35D1" w:rsidRPr="001B35D1" w:rsidRDefault="00497E0F" w:rsidP="001B35D1">
      <w:r w:rsidRPr="00501E43">
        <w:rPr>
          <w:b/>
          <w:color w:val="000000"/>
          <w:lang w:val="en-US"/>
        </w:rPr>
        <w:t xml:space="preserve"> </w:t>
      </w:r>
    </w:p>
    <w:p w14:paraId="6253EFA5" w14:textId="77777777" w:rsidR="001B35D1" w:rsidRDefault="001B35D1" w:rsidP="001B35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rPr>
      </w:pPr>
      <w:r w:rsidRPr="001B35D1">
        <w:rPr>
          <w:spacing w:val="-2"/>
          <w:w w:val="103"/>
          <w:kern w:val="14"/>
          <w:sz w:val="28"/>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7053E2" w:rsidRPr="000A6506" w14:paraId="5AB9BE1C" w14:textId="77777777" w:rsidTr="007B50DA">
        <w:tc>
          <w:tcPr>
            <w:tcW w:w="1060" w:type="dxa"/>
            <w:shd w:val="clear" w:color="auto" w:fill="auto"/>
          </w:tcPr>
          <w:p w14:paraId="54CB7A66" w14:textId="77777777" w:rsidR="007053E2" w:rsidRPr="000A6506" w:rsidRDefault="007053E2" w:rsidP="007B50DA">
            <w:pPr>
              <w:suppressAutoHyphens/>
              <w:spacing w:after="120"/>
              <w:jc w:val="right"/>
              <w:rPr>
                <w:i/>
                <w:spacing w:val="4"/>
                <w:w w:val="103"/>
                <w:kern w:val="14"/>
                <w:sz w:val="14"/>
              </w:rPr>
            </w:pPr>
          </w:p>
        </w:tc>
        <w:tc>
          <w:tcPr>
            <w:tcW w:w="7315" w:type="dxa"/>
            <w:shd w:val="clear" w:color="auto" w:fill="auto"/>
          </w:tcPr>
          <w:p w14:paraId="1D237499" w14:textId="77777777" w:rsidR="007053E2" w:rsidRPr="000A6506" w:rsidRDefault="007053E2" w:rsidP="007B50DA">
            <w:pPr>
              <w:suppressAutoHyphens/>
              <w:spacing w:after="120"/>
              <w:rPr>
                <w:i/>
                <w:spacing w:val="4"/>
                <w:w w:val="103"/>
                <w:kern w:val="14"/>
                <w:sz w:val="14"/>
              </w:rPr>
            </w:pPr>
          </w:p>
        </w:tc>
        <w:tc>
          <w:tcPr>
            <w:tcW w:w="1527" w:type="dxa"/>
            <w:gridSpan w:val="2"/>
            <w:shd w:val="clear" w:color="auto" w:fill="auto"/>
          </w:tcPr>
          <w:p w14:paraId="743CC761" w14:textId="77777777" w:rsidR="007053E2" w:rsidRPr="000A6506" w:rsidRDefault="007053E2" w:rsidP="007B50DA">
            <w:pPr>
              <w:suppressAutoHyphens/>
              <w:spacing w:after="120"/>
              <w:jc w:val="right"/>
              <w:rPr>
                <w:i/>
                <w:spacing w:val="4"/>
                <w:w w:val="103"/>
                <w:kern w:val="14"/>
                <w:sz w:val="14"/>
              </w:rPr>
            </w:pPr>
            <w:r w:rsidRPr="000A6506">
              <w:rPr>
                <w:i/>
                <w:spacing w:val="4"/>
                <w:w w:val="103"/>
                <w:kern w:val="14"/>
                <w:sz w:val="14"/>
              </w:rPr>
              <w:t>Page</w:t>
            </w:r>
          </w:p>
        </w:tc>
      </w:tr>
      <w:tr w:rsidR="007053E2" w:rsidRPr="000A6506" w14:paraId="2135D232" w14:textId="77777777" w:rsidTr="007B50DA">
        <w:tc>
          <w:tcPr>
            <w:tcW w:w="8375" w:type="dxa"/>
            <w:gridSpan w:val="2"/>
            <w:shd w:val="clear" w:color="auto" w:fill="auto"/>
          </w:tcPr>
          <w:p w14:paraId="22BF2B57" w14:textId="77777777" w:rsidR="007053E2" w:rsidRPr="000A6506" w:rsidRDefault="007053E2" w:rsidP="007053E2">
            <w:pPr>
              <w:numPr>
                <w:ilvl w:val="0"/>
                <w:numId w:val="47"/>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rPr>
            </w:pPr>
            <w:r w:rsidRPr="000A6506">
              <w:rPr>
                <w:spacing w:val="4"/>
                <w:w w:val="103"/>
                <w:kern w:val="14"/>
              </w:rPr>
              <w:tab/>
              <w:t>Programme rationale</w:t>
            </w:r>
            <w:r w:rsidRPr="000A6506">
              <w:rPr>
                <w:spacing w:val="60"/>
                <w:w w:val="103"/>
                <w:kern w:val="14"/>
                <w:sz w:val="17"/>
              </w:rPr>
              <w:tab/>
            </w:r>
          </w:p>
        </w:tc>
        <w:tc>
          <w:tcPr>
            <w:tcW w:w="1527" w:type="dxa"/>
            <w:gridSpan w:val="2"/>
            <w:vMerge w:val="restart"/>
            <w:shd w:val="clear" w:color="auto" w:fill="auto"/>
            <w:vAlign w:val="bottom"/>
          </w:tcPr>
          <w:p w14:paraId="1AEE630D" w14:textId="77777777" w:rsidR="007053E2" w:rsidRPr="000A6506" w:rsidRDefault="007053E2" w:rsidP="007B50DA">
            <w:pPr>
              <w:suppressAutoHyphens/>
              <w:spacing w:after="120" w:line="240" w:lineRule="exact"/>
              <w:jc w:val="right"/>
              <w:rPr>
                <w:spacing w:val="4"/>
                <w:w w:val="103"/>
                <w:kern w:val="14"/>
              </w:rPr>
            </w:pPr>
            <w:r w:rsidRPr="000A6506">
              <w:rPr>
                <w:spacing w:val="4"/>
                <w:w w:val="103"/>
                <w:kern w:val="14"/>
              </w:rPr>
              <w:t>2</w:t>
            </w:r>
          </w:p>
          <w:p w14:paraId="465AB746" w14:textId="77777777" w:rsidR="007053E2" w:rsidRPr="000A6506" w:rsidRDefault="007053E2" w:rsidP="007B50DA">
            <w:pPr>
              <w:suppressAutoHyphens/>
              <w:spacing w:after="120" w:line="240" w:lineRule="exact"/>
              <w:jc w:val="right"/>
              <w:rPr>
                <w:spacing w:val="4"/>
                <w:w w:val="103"/>
                <w:kern w:val="14"/>
              </w:rPr>
            </w:pPr>
            <w:r w:rsidRPr="000A6506">
              <w:rPr>
                <w:spacing w:val="4"/>
                <w:w w:val="103"/>
                <w:kern w:val="14"/>
              </w:rPr>
              <w:t>5</w:t>
            </w:r>
          </w:p>
        </w:tc>
      </w:tr>
      <w:tr w:rsidR="007053E2" w:rsidRPr="000A6506" w14:paraId="1012EEC0" w14:textId="77777777" w:rsidTr="007B50DA">
        <w:tc>
          <w:tcPr>
            <w:tcW w:w="8375" w:type="dxa"/>
            <w:gridSpan w:val="2"/>
            <w:shd w:val="clear" w:color="auto" w:fill="auto"/>
          </w:tcPr>
          <w:p w14:paraId="28CD92DF" w14:textId="77777777" w:rsidR="007053E2" w:rsidRPr="000A6506" w:rsidRDefault="007053E2" w:rsidP="007053E2">
            <w:pPr>
              <w:numPr>
                <w:ilvl w:val="0"/>
                <w:numId w:val="47"/>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rPr>
            </w:pPr>
            <w:r w:rsidRPr="000A6506">
              <w:rPr>
                <w:spacing w:val="4"/>
                <w:w w:val="103"/>
                <w:kern w:val="14"/>
              </w:rPr>
              <w:tab/>
              <w:t>Programme priorities and partnerships</w:t>
            </w:r>
            <w:r w:rsidRPr="000A6506">
              <w:rPr>
                <w:spacing w:val="60"/>
                <w:w w:val="103"/>
                <w:kern w:val="14"/>
                <w:sz w:val="17"/>
              </w:rPr>
              <w:tab/>
            </w:r>
          </w:p>
        </w:tc>
        <w:tc>
          <w:tcPr>
            <w:tcW w:w="1527" w:type="dxa"/>
            <w:gridSpan w:val="2"/>
            <w:vMerge/>
            <w:shd w:val="clear" w:color="auto" w:fill="auto"/>
            <w:vAlign w:val="bottom"/>
          </w:tcPr>
          <w:p w14:paraId="71882C28" w14:textId="77777777" w:rsidR="007053E2" w:rsidRPr="000A6506" w:rsidRDefault="007053E2" w:rsidP="007B50DA">
            <w:pPr>
              <w:suppressAutoHyphens/>
              <w:spacing w:after="120" w:line="240" w:lineRule="exact"/>
              <w:jc w:val="right"/>
              <w:rPr>
                <w:spacing w:val="4"/>
                <w:w w:val="103"/>
                <w:kern w:val="14"/>
              </w:rPr>
            </w:pPr>
          </w:p>
        </w:tc>
      </w:tr>
      <w:tr w:rsidR="007053E2" w:rsidRPr="000A6506" w14:paraId="16FA5B59" w14:textId="77777777" w:rsidTr="007B50DA">
        <w:tc>
          <w:tcPr>
            <w:tcW w:w="8375" w:type="dxa"/>
            <w:gridSpan w:val="2"/>
            <w:shd w:val="clear" w:color="auto" w:fill="auto"/>
          </w:tcPr>
          <w:p w14:paraId="415DE4BC" w14:textId="77777777" w:rsidR="007053E2" w:rsidRPr="000A6506" w:rsidRDefault="007053E2" w:rsidP="007053E2">
            <w:pPr>
              <w:numPr>
                <w:ilvl w:val="0"/>
                <w:numId w:val="47"/>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rPr>
            </w:pPr>
            <w:r w:rsidRPr="000A6506">
              <w:rPr>
                <w:spacing w:val="4"/>
                <w:w w:val="103"/>
                <w:kern w:val="14"/>
              </w:rPr>
              <w:tab/>
              <w:t>Programme and risk management</w:t>
            </w:r>
            <w:r w:rsidRPr="000A6506">
              <w:rPr>
                <w:spacing w:val="60"/>
                <w:w w:val="103"/>
                <w:kern w:val="14"/>
                <w:sz w:val="17"/>
              </w:rPr>
              <w:tab/>
            </w:r>
          </w:p>
        </w:tc>
        <w:tc>
          <w:tcPr>
            <w:tcW w:w="1527" w:type="dxa"/>
            <w:gridSpan w:val="2"/>
            <w:vMerge w:val="restart"/>
            <w:shd w:val="clear" w:color="auto" w:fill="auto"/>
            <w:vAlign w:val="bottom"/>
          </w:tcPr>
          <w:p w14:paraId="4A1CE7D9" w14:textId="77777777" w:rsidR="007053E2" w:rsidRPr="000A6506" w:rsidRDefault="007053E2" w:rsidP="007B50DA">
            <w:pPr>
              <w:suppressAutoHyphens/>
              <w:spacing w:after="120" w:line="240" w:lineRule="exact"/>
              <w:jc w:val="right"/>
              <w:rPr>
                <w:spacing w:val="4"/>
                <w:w w:val="103"/>
                <w:kern w:val="14"/>
              </w:rPr>
            </w:pPr>
            <w:r w:rsidRPr="000A6506">
              <w:rPr>
                <w:spacing w:val="4"/>
                <w:w w:val="103"/>
                <w:kern w:val="14"/>
              </w:rPr>
              <w:t>7</w:t>
            </w:r>
          </w:p>
          <w:p w14:paraId="51F74AB8" w14:textId="11313FB0" w:rsidR="007053E2" w:rsidRPr="000A6506" w:rsidRDefault="007053E2" w:rsidP="007B50DA">
            <w:pPr>
              <w:suppressAutoHyphens/>
              <w:spacing w:after="120" w:line="240" w:lineRule="exact"/>
              <w:jc w:val="right"/>
              <w:rPr>
                <w:spacing w:val="4"/>
                <w:w w:val="103"/>
                <w:kern w:val="14"/>
              </w:rPr>
            </w:pPr>
            <w:r>
              <w:rPr>
                <w:spacing w:val="4"/>
                <w:w w:val="103"/>
                <w:kern w:val="14"/>
              </w:rPr>
              <w:t>7</w:t>
            </w:r>
          </w:p>
        </w:tc>
      </w:tr>
      <w:tr w:rsidR="007053E2" w:rsidRPr="000A6506" w14:paraId="12276F4A" w14:textId="77777777" w:rsidTr="007B50DA">
        <w:tc>
          <w:tcPr>
            <w:tcW w:w="8375" w:type="dxa"/>
            <w:gridSpan w:val="2"/>
            <w:shd w:val="clear" w:color="auto" w:fill="auto"/>
          </w:tcPr>
          <w:p w14:paraId="1D8F2B64" w14:textId="77777777" w:rsidR="007053E2" w:rsidRPr="000A6506" w:rsidRDefault="007053E2" w:rsidP="007053E2">
            <w:pPr>
              <w:numPr>
                <w:ilvl w:val="0"/>
                <w:numId w:val="47"/>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rPr>
            </w:pPr>
            <w:r w:rsidRPr="000A6506">
              <w:rPr>
                <w:spacing w:val="4"/>
                <w:w w:val="103"/>
                <w:kern w:val="14"/>
              </w:rPr>
              <w:tab/>
              <w:t>Monitoring and evaluation</w:t>
            </w:r>
            <w:r w:rsidRPr="000A6506">
              <w:rPr>
                <w:spacing w:val="60"/>
                <w:w w:val="103"/>
                <w:kern w:val="14"/>
                <w:sz w:val="17"/>
              </w:rPr>
              <w:tab/>
            </w:r>
          </w:p>
        </w:tc>
        <w:tc>
          <w:tcPr>
            <w:tcW w:w="1527" w:type="dxa"/>
            <w:gridSpan w:val="2"/>
            <w:vMerge/>
            <w:shd w:val="clear" w:color="auto" w:fill="auto"/>
            <w:vAlign w:val="bottom"/>
          </w:tcPr>
          <w:p w14:paraId="18806ECD" w14:textId="77777777" w:rsidR="007053E2" w:rsidRPr="000A6506" w:rsidRDefault="007053E2" w:rsidP="007B50DA">
            <w:pPr>
              <w:suppressAutoHyphens/>
              <w:spacing w:after="120" w:line="240" w:lineRule="exact"/>
              <w:jc w:val="right"/>
              <w:rPr>
                <w:spacing w:val="4"/>
                <w:w w:val="103"/>
                <w:kern w:val="14"/>
              </w:rPr>
            </w:pPr>
          </w:p>
        </w:tc>
      </w:tr>
      <w:tr w:rsidR="007053E2" w:rsidRPr="000A6506" w14:paraId="5FD0C170" w14:textId="77777777" w:rsidTr="007B50DA">
        <w:tc>
          <w:tcPr>
            <w:tcW w:w="9369" w:type="dxa"/>
            <w:gridSpan w:val="3"/>
            <w:shd w:val="clear" w:color="auto" w:fill="auto"/>
          </w:tcPr>
          <w:p w14:paraId="0DE521EF" w14:textId="77777777" w:rsidR="007053E2" w:rsidRPr="000A6506" w:rsidRDefault="007053E2" w:rsidP="007B50DA">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rPr>
            </w:pPr>
            <w:r w:rsidRPr="000A6506">
              <w:rPr>
                <w:spacing w:val="4"/>
                <w:w w:val="103"/>
                <w:kern w:val="14"/>
              </w:rPr>
              <w:t>Annex</w:t>
            </w:r>
          </w:p>
        </w:tc>
        <w:tc>
          <w:tcPr>
            <w:tcW w:w="533" w:type="dxa"/>
            <w:shd w:val="clear" w:color="auto" w:fill="auto"/>
            <w:vAlign w:val="bottom"/>
          </w:tcPr>
          <w:p w14:paraId="2A537C35" w14:textId="77777777" w:rsidR="007053E2" w:rsidRPr="000A6506" w:rsidRDefault="007053E2" w:rsidP="007B50DA">
            <w:pPr>
              <w:suppressAutoHyphens/>
              <w:spacing w:after="120" w:line="240" w:lineRule="exact"/>
              <w:jc w:val="right"/>
              <w:rPr>
                <w:spacing w:val="4"/>
                <w:w w:val="103"/>
                <w:kern w:val="14"/>
              </w:rPr>
            </w:pPr>
          </w:p>
        </w:tc>
      </w:tr>
      <w:tr w:rsidR="007053E2" w:rsidRPr="000A6506" w14:paraId="0CEDA479" w14:textId="77777777" w:rsidTr="007B50DA">
        <w:tc>
          <w:tcPr>
            <w:tcW w:w="9369" w:type="dxa"/>
            <w:gridSpan w:val="3"/>
            <w:shd w:val="clear" w:color="auto" w:fill="auto"/>
          </w:tcPr>
          <w:p w14:paraId="6699CAC4" w14:textId="5C6D798E" w:rsidR="007053E2" w:rsidRPr="000A6506" w:rsidRDefault="007053E2" w:rsidP="007053E2">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rPr>
            </w:pPr>
            <w:r w:rsidRPr="000A6506">
              <w:rPr>
                <w:spacing w:val="4"/>
                <w:w w:val="103"/>
                <w:kern w:val="14"/>
              </w:rPr>
              <w:t xml:space="preserve">Results and resources framework for </w:t>
            </w:r>
            <w:r>
              <w:rPr>
                <w:spacing w:val="4"/>
                <w:w w:val="103"/>
                <w:kern w:val="14"/>
              </w:rPr>
              <w:t>Zambia</w:t>
            </w:r>
            <w:r w:rsidRPr="000A6506">
              <w:rPr>
                <w:spacing w:val="4"/>
                <w:w w:val="103"/>
                <w:kern w:val="14"/>
              </w:rPr>
              <w:t xml:space="preserve"> (2016-202</w:t>
            </w:r>
            <w:r>
              <w:rPr>
                <w:spacing w:val="4"/>
                <w:w w:val="103"/>
                <w:kern w:val="14"/>
              </w:rPr>
              <w:t>1</w:t>
            </w:r>
            <w:r w:rsidRPr="000A6506">
              <w:rPr>
                <w:spacing w:val="4"/>
                <w:w w:val="103"/>
                <w:kern w:val="14"/>
              </w:rPr>
              <w:t>)</w:t>
            </w:r>
          </w:p>
        </w:tc>
        <w:tc>
          <w:tcPr>
            <w:tcW w:w="533" w:type="dxa"/>
            <w:shd w:val="clear" w:color="auto" w:fill="auto"/>
            <w:vAlign w:val="bottom"/>
          </w:tcPr>
          <w:p w14:paraId="35049C51" w14:textId="21D55296" w:rsidR="007053E2" w:rsidRPr="000A6506" w:rsidRDefault="007053E2" w:rsidP="007053E2">
            <w:pPr>
              <w:suppressAutoHyphens/>
              <w:spacing w:after="120" w:line="240" w:lineRule="exact"/>
              <w:jc w:val="right"/>
              <w:rPr>
                <w:spacing w:val="4"/>
                <w:w w:val="103"/>
                <w:kern w:val="14"/>
              </w:rPr>
            </w:pPr>
            <w:r>
              <w:rPr>
                <w:spacing w:val="4"/>
                <w:w w:val="103"/>
                <w:kern w:val="14"/>
              </w:rPr>
              <w:t>9</w:t>
            </w:r>
          </w:p>
        </w:tc>
      </w:tr>
    </w:tbl>
    <w:p w14:paraId="6BDA40CC" w14:textId="77777777" w:rsidR="007053E2" w:rsidRPr="007053E2" w:rsidRDefault="007053E2" w:rsidP="007053E2"/>
    <w:p w14:paraId="0F0EDD98" w14:textId="77777777" w:rsidR="00497E0F" w:rsidRPr="00501E43" w:rsidRDefault="00497E0F" w:rsidP="00D63B91"/>
    <w:p w14:paraId="4857C185" w14:textId="2B8DEC03" w:rsidR="00497E0F" w:rsidRDefault="00497E0F" w:rsidP="00B15CA1">
      <w:pPr>
        <w:numPr>
          <w:ilvl w:val="0"/>
          <w:numId w:val="38"/>
        </w:numPr>
        <w:shd w:val="clear" w:color="auto" w:fill="FFFFFF"/>
        <w:ind w:left="1260" w:right="1267" w:hanging="270"/>
        <w:jc w:val="both"/>
        <w:rPr>
          <w:b/>
          <w:bCs/>
          <w:color w:val="000000"/>
          <w:sz w:val="24"/>
          <w:szCs w:val="24"/>
        </w:rPr>
      </w:pPr>
      <w:r w:rsidRPr="00501E43">
        <w:br w:type="page"/>
      </w:r>
      <w:r w:rsidR="00345BCA">
        <w:lastRenderedPageBreak/>
        <w:t xml:space="preserve"> </w:t>
      </w:r>
      <w:r w:rsidRPr="00E06E2A">
        <w:rPr>
          <w:b/>
          <w:bCs/>
          <w:color w:val="000000"/>
          <w:sz w:val="24"/>
          <w:szCs w:val="24"/>
        </w:rPr>
        <w:t xml:space="preserve">Programme </w:t>
      </w:r>
      <w:r w:rsidR="002B1CBA">
        <w:rPr>
          <w:b/>
          <w:bCs/>
          <w:color w:val="000000"/>
          <w:sz w:val="24"/>
          <w:szCs w:val="24"/>
        </w:rPr>
        <w:t>r</w:t>
      </w:r>
      <w:r w:rsidR="002B1CBA" w:rsidRPr="00E06E2A">
        <w:rPr>
          <w:b/>
          <w:bCs/>
          <w:color w:val="000000"/>
          <w:sz w:val="24"/>
          <w:szCs w:val="24"/>
        </w:rPr>
        <w:t xml:space="preserve">ationale </w:t>
      </w:r>
    </w:p>
    <w:p w14:paraId="69A7F916" w14:textId="77777777" w:rsidR="00E06E2A" w:rsidRPr="00E06E2A" w:rsidRDefault="00E06E2A" w:rsidP="00E06E2A">
      <w:pPr>
        <w:shd w:val="clear" w:color="auto" w:fill="FFFFFF"/>
        <w:ind w:left="1440" w:right="1210"/>
        <w:jc w:val="both"/>
        <w:rPr>
          <w:b/>
          <w:bCs/>
          <w:color w:val="000000"/>
          <w:sz w:val="24"/>
          <w:szCs w:val="24"/>
        </w:rPr>
      </w:pPr>
    </w:p>
    <w:p w14:paraId="6C0B9ECD" w14:textId="77777777" w:rsidR="00E06E2A" w:rsidRDefault="00BA76B2" w:rsidP="00B15CA1">
      <w:pPr>
        <w:pStyle w:val="Heading2"/>
        <w:spacing w:after="120"/>
        <w:ind w:left="1260" w:right="1267"/>
        <w:jc w:val="both"/>
        <w:rPr>
          <w:rFonts w:ascii="Times New Roman" w:hAnsi="Times New Roman"/>
          <w:b w:val="0"/>
          <w:i/>
          <w:sz w:val="20"/>
        </w:rPr>
      </w:pPr>
      <w:r w:rsidRPr="0043409C">
        <w:rPr>
          <w:rFonts w:ascii="Times New Roman" w:hAnsi="Times New Roman"/>
          <w:b w:val="0"/>
          <w:i/>
          <w:sz w:val="20"/>
        </w:rPr>
        <w:t>“By 2030, Zambians aspire to live in a strong and dynamic middle-income industrial nation that provides opportunities for improving the wellbeing of all, embodying values of socioeconomic justice”.</w:t>
      </w:r>
    </w:p>
    <w:p w14:paraId="14D80833" w14:textId="77777777" w:rsidR="00BA76B2" w:rsidRDefault="00BA76B2" w:rsidP="00E06E2A">
      <w:pPr>
        <w:pStyle w:val="Heading2"/>
        <w:spacing w:after="120"/>
        <w:ind w:left="720" w:right="1267"/>
        <w:jc w:val="right"/>
        <w:rPr>
          <w:rFonts w:ascii="Times New Roman" w:hAnsi="Times New Roman"/>
          <w:b w:val="0"/>
          <w:sz w:val="20"/>
        </w:rPr>
      </w:pPr>
      <w:r w:rsidRPr="00E06E2A">
        <w:rPr>
          <w:rFonts w:ascii="Times New Roman" w:hAnsi="Times New Roman"/>
          <w:b w:val="0"/>
          <w:sz w:val="20"/>
        </w:rPr>
        <w:t>Zambia Vision 2030</w:t>
      </w:r>
    </w:p>
    <w:p w14:paraId="3EBF4B65" w14:textId="77777777" w:rsidR="00494BF1" w:rsidRPr="00494BF1" w:rsidRDefault="00494BF1" w:rsidP="00494BF1"/>
    <w:p w14:paraId="4BBC2461" w14:textId="39802AEC" w:rsidR="00DE3EDC" w:rsidRDefault="003E18D7" w:rsidP="00B15CA1">
      <w:pPr>
        <w:pStyle w:val="Heading2"/>
        <w:numPr>
          <w:ilvl w:val="0"/>
          <w:numId w:val="20"/>
        </w:numPr>
        <w:spacing w:after="120"/>
        <w:ind w:left="1260" w:right="1267" w:firstLine="0"/>
        <w:jc w:val="both"/>
        <w:rPr>
          <w:rFonts w:ascii="Times New Roman" w:hAnsi="Times New Roman"/>
          <w:b w:val="0"/>
          <w:sz w:val="20"/>
        </w:rPr>
      </w:pPr>
      <w:r>
        <w:rPr>
          <w:rFonts w:ascii="Times New Roman" w:hAnsi="Times New Roman"/>
          <w:b w:val="0"/>
          <w:sz w:val="20"/>
        </w:rPr>
        <w:t xml:space="preserve">Following </w:t>
      </w:r>
      <w:r w:rsidR="00DE3EDC" w:rsidRPr="00DE3EDC">
        <w:rPr>
          <w:rFonts w:ascii="Times New Roman" w:hAnsi="Times New Roman"/>
          <w:b w:val="0"/>
          <w:sz w:val="20"/>
        </w:rPr>
        <w:t xml:space="preserve">Zambia's </w:t>
      </w:r>
      <w:r>
        <w:rPr>
          <w:rFonts w:ascii="Times New Roman" w:hAnsi="Times New Roman"/>
          <w:b w:val="0"/>
          <w:sz w:val="20"/>
        </w:rPr>
        <w:t xml:space="preserve">graduation into </w:t>
      </w:r>
      <w:r w:rsidR="002B1CBA">
        <w:rPr>
          <w:rFonts w:ascii="Times New Roman" w:hAnsi="Times New Roman"/>
          <w:b w:val="0"/>
          <w:sz w:val="20"/>
        </w:rPr>
        <w:t>lower-m</w:t>
      </w:r>
      <w:r w:rsidR="00DE3EDC" w:rsidRPr="00DE3EDC">
        <w:rPr>
          <w:rFonts w:ascii="Times New Roman" w:hAnsi="Times New Roman"/>
          <w:b w:val="0"/>
          <w:sz w:val="20"/>
        </w:rPr>
        <w:t>iddle</w:t>
      </w:r>
      <w:r w:rsidR="002B1CBA">
        <w:rPr>
          <w:rFonts w:ascii="Times New Roman" w:hAnsi="Times New Roman"/>
          <w:b w:val="0"/>
          <w:sz w:val="20"/>
        </w:rPr>
        <w:t>-i</w:t>
      </w:r>
      <w:r w:rsidR="00DE3EDC" w:rsidRPr="00DE3EDC">
        <w:rPr>
          <w:rFonts w:ascii="Times New Roman" w:hAnsi="Times New Roman"/>
          <w:b w:val="0"/>
          <w:sz w:val="20"/>
        </w:rPr>
        <w:t xml:space="preserve">ncome </w:t>
      </w:r>
      <w:r w:rsidR="002B1CBA">
        <w:rPr>
          <w:rFonts w:ascii="Times New Roman" w:hAnsi="Times New Roman"/>
          <w:b w:val="0"/>
          <w:sz w:val="20"/>
        </w:rPr>
        <w:t>c</w:t>
      </w:r>
      <w:r w:rsidR="002B1CBA" w:rsidRPr="00DE3EDC">
        <w:rPr>
          <w:rFonts w:ascii="Times New Roman" w:hAnsi="Times New Roman"/>
          <w:b w:val="0"/>
          <w:sz w:val="20"/>
        </w:rPr>
        <w:t xml:space="preserve">ountry </w:t>
      </w:r>
      <w:r w:rsidR="006D1977">
        <w:rPr>
          <w:rFonts w:ascii="Times New Roman" w:hAnsi="Times New Roman"/>
          <w:b w:val="0"/>
          <w:sz w:val="20"/>
        </w:rPr>
        <w:t xml:space="preserve">(LMIC) </w:t>
      </w:r>
      <w:r w:rsidR="00DE3EDC" w:rsidRPr="00DE3EDC">
        <w:rPr>
          <w:rFonts w:ascii="Times New Roman" w:hAnsi="Times New Roman"/>
          <w:b w:val="0"/>
          <w:sz w:val="20"/>
        </w:rPr>
        <w:t xml:space="preserve">status </w:t>
      </w:r>
      <w:r w:rsidR="003503C7">
        <w:rPr>
          <w:rFonts w:ascii="Times New Roman" w:hAnsi="Times New Roman"/>
          <w:b w:val="0"/>
          <w:sz w:val="20"/>
        </w:rPr>
        <w:t xml:space="preserve">and </w:t>
      </w:r>
      <w:r w:rsidR="002B1CBA">
        <w:rPr>
          <w:rFonts w:ascii="Times New Roman" w:hAnsi="Times New Roman"/>
          <w:b w:val="0"/>
          <w:sz w:val="20"/>
        </w:rPr>
        <w:t>the medium h</w:t>
      </w:r>
      <w:r w:rsidR="002B1CBA" w:rsidRPr="003503C7">
        <w:rPr>
          <w:rFonts w:ascii="Times New Roman" w:hAnsi="Times New Roman"/>
          <w:b w:val="0"/>
          <w:sz w:val="20"/>
        </w:rPr>
        <w:t xml:space="preserve">uman </w:t>
      </w:r>
      <w:r w:rsidR="002B1CBA">
        <w:rPr>
          <w:rFonts w:ascii="Times New Roman" w:hAnsi="Times New Roman"/>
          <w:b w:val="0"/>
          <w:sz w:val="20"/>
        </w:rPr>
        <w:t>d</w:t>
      </w:r>
      <w:r w:rsidR="002B1CBA" w:rsidRPr="003503C7">
        <w:rPr>
          <w:rFonts w:ascii="Times New Roman" w:hAnsi="Times New Roman"/>
          <w:b w:val="0"/>
          <w:sz w:val="20"/>
        </w:rPr>
        <w:t xml:space="preserve">evelopment </w:t>
      </w:r>
      <w:r w:rsidRPr="003503C7">
        <w:rPr>
          <w:rFonts w:ascii="Times New Roman" w:hAnsi="Times New Roman"/>
          <w:b w:val="0"/>
          <w:sz w:val="20"/>
        </w:rPr>
        <w:t xml:space="preserve">category, the </w:t>
      </w:r>
      <w:r w:rsidR="00DE3EDC" w:rsidRPr="003503C7">
        <w:rPr>
          <w:rFonts w:ascii="Times New Roman" w:hAnsi="Times New Roman"/>
          <w:b w:val="0"/>
          <w:sz w:val="20"/>
        </w:rPr>
        <w:t>U</w:t>
      </w:r>
      <w:r w:rsidR="002B1CBA">
        <w:rPr>
          <w:rFonts w:ascii="Times New Roman" w:hAnsi="Times New Roman"/>
          <w:b w:val="0"/>
          <w:sz w:val="20"/>
        </w:rPr>
        <w:t xml:space="preserve">nited </w:t>
      </w:r>
      <w:r w:rsidR="00DE3EDC" w:rsidRPr="003503C7">
        <w:rPr>
          <w:rFonts w:ascii="Times New Roman" w:hAnsi="Times New Roman"/>
          <w:b w:val="0"/>
          <w:sz w:val="20"/>
        </w:rPr>
        <w:t>N</w:t>
      </w:r>
      <w:r w:rsidR="002B1CBA">
        <w:rPr>
          <w:rFonts w:ascii="Times New Roman" w:hAnsi="Times New Roman"/>
          <w:b w:val="0"/>
          <w:sz w:val="20"/>
        </w:rPr>
        <w:t>ations system</w:t>
      </w:r>
      <w:r w:rsidR="00DE3EDC" w:rsidRPr="003503C7">
        <w:rPr>
          <w:rFonts w:ascii="Times New Roman" w:hAnsi="Times New Roman"/>
          <w:b w:val="0"/>
          <w:sz w:val="20"/>
        </w:rPr>
        <w:t xml:space="preserve"> in Zambia and the Zambian Government </w:t>
      </w:r>
      <w:r w:rsidRPr="003503C7">
        <w:rPr>
          <w:rFonts w:ascii="Times New Roman" w:hAnsi="Times New Roman"/>
          <w:b w:val="0"/>
          <w:sz w:val="20"/>
        </w:rPr>
        <w:t xml:space="preserve">have agreed to shift from development assistance to partnership. Reflecting the </w:t>
      </w:r>
      <w:r w:rsidR="002B1CBA">
        <w:rPr>
          <w:rFonts w:ascii="Times New Roman" w:hAnsi="Times New Roman"/>
          <w:b w:val="0"/>
          <w:sz w:val="20"/>
        </w:rPr>
        <w:t>s</w:t>
      </w:r>
      <w:r w:rsidR="002B1CBA" w:rsidRPr="003503C7">
        <w:rPr>
          <w:rFonts w:ascii="Times New Roman" w:hAnsi="Times New Roman"/>
          <w:b w:val="0"/>
          <w:sz w:val="20"/>
        </w:rPr>
        <w:t xml:space="preserve">ustainable </w:t>
      </w:r>
      <w:r w:rsidR="002B1CBA">
        <w:rPr>
          <w:rFonts w:ascii="Times New Roman" w:hAnsi="Times New Roman"/>
          <w:b w:val="0"/>
          <w:sz w:val="20"/>
        </w:rPr>
        <w:t>d</w:t>
      </w:r>
      <w:r w:rsidR="002B1CBA" w:rsidRPr="003503C7">
        <w:rPr>
          <w:rFonts w:ascii="Times New Roman" w:hAnsi="Times New Roman"/>
          <w:b w:val="0"/>
          <w:sz w:val="20"/>
        </w:rPr>
        <w:t xml:space="preserve">evelopment </w:t>
      </w:r>
      <w:r w:rsidRPr="003503C7">
        <w:rPr>
          <w:rFonts w:ascii="Times New Roman" w:hAnsi="Times New Roman"/>
          <w:b w:val="0"/>
          <w:sz w:val="20"/>
        </w:rPr>
        <w:t xml:space="preserve">agenda and Zambia's own </w:t>
      </w:r>
      <w:r w:rsidR="002B1CBA">
        <w:rPr>
          <w:rFonts w:ascii="Times New Roman" w:hAnsi="Times New Roman"/>
          <w:b w:val="0"/>
          <w:sz w:val="20"/>
        </w:rPr>
        <w:t>'</w:t>
      </w:r>
      <w:r w:rsidRPr="003503C7">
        <w:rPr>
          <w:rFonts w:ascii="Times New Roman" w:hAnsi="Times New Roman"/>
          <w:b w:val="0"/>
          <w:sz w:val="20"/>
        </w:rPr>
        <w:t>Vision 2030</w:t>
      </w:r>
      <w:r w:rsidR="002B1CBA">
        <w:rPr>
          <w:rFonts w:ascii="Times New Roman" w:hAnsi="Times New Roman"/>
          <w:b w:val="0"/>
          <w:sz w:val="20"/>
        </w:rPr>
        <w:t>'</w:t>
      </w:r>
      <w:r w:rsidRPr="003503C7">
        <w:rPr>
          <w:rFonts w:ascii="Times New Roman" w:hAnsi="Times New Roman"/>
          <w:b w:val="0"/>
          <w:sz w:val="20"/>
        </w:rPr>
        <w:t>, they have set out their</w:t>
      </w:r>
      <w:r w:rsidR="00DE3EDC" w:rsidRPr="003503C7">
        <w:rPr>
          <w:rFonts w:ascii="Times New Roman" w:hAnsi="Times New Roman"/>
          <w:b w:val="0"/>
          <w:sz w:val="20"/>
        </w:rPr>
        <w:t xml:space="preserve"> collective aspirations for transformation </w:t>
      </w:r>
      <w:r w:rsidRPr="003503C7">
        <w:rPr>
          <w:rFonts w:ascii="Times New Roman" w:hAnsi="Times New Roman"/>
          <w:b w:val="0"/>
          <w:sz w:val="20"/>
        </w:rPr>
        <w:t xml:space="preserve">in </w:t>
      </w:r>
      <w:r w:rsidR="00DE3EDC" w:rsidRPr="003503C7">
        <w:rPr>
          <w:rFonts w:ascii="Times New Roman" w:hAnsi="Times New Roman"/>
          <w:b w:val="0"/>
          <w:sz w:val="20"/>
        </w:rPr>
        <w:t>an innovative Zambia-U</w:t>
      </w:r>
      <w:r w:rsidR="002B1CBA">
        <w:rPr>
          <w:rFonts w:ascii="Times New Roman" w:hAnsi="Times New Roman"/>
          <w:b w:val="0"/>
          <w:sz w:val="20"/>
        </w:rPr>
        <w:t xml:space="preserve">nited </w:t>
      </w:r>
      <w:r w:rsidR="00DE3EDC" w:rsidRPr="003503C7">
        <w:rPr>
          <w:rFonts w:ascii="Times New Roman" w:hAnsi="Times New Roman"/>
          <w:b w:val="0"/>
          <w:sz w:val="20"/>
        </w:rPr>
        <w:t>N</w:t>
      </w:r>
      <w:r w:rsidR="002B1CBA">
        <w:rPr>
          <w:rFonts w:ascii="Times New Roman" w:hAnsi="Times New Roman"/>
          <w:b w:val="0"/>
          <w:sz w:val="20"/>
        </w:rPr>
        <w:t>ations</w:t>
      </w:r>
      <w:r w:rsidR="00DE3EDC" w:rsidRPr="003503C7">
        <w:rPr>
          <w:rFonts w:ascii="Times New Roman" w:hAnsi="Times New Roman"/>
          <w:b w:val="0"/>
          <w:sz w:val="20"/>
        </w:rPr>
        <w:t xml:space="preserve"> Sustainable Development Partnership Framework</w:t>
      </w:r>
      <w:r w:rsidRPr="003503C7">
        <w:rPr>
          <w:rFonts w:ascii="Times New Roman" w:hAnsi="Times New Roman"/>
          <w:b w:val="0"/>
          <w:sz w:val="20"/>
        </w:rPr>
        <w:t xml:space="preserve"> 2016-2021</w:t>
      </w:r>
      <w:r w:rsidR="00DE3EDC" w:rsidRPr="003503C7">
        <w:rPr>
          <w:rFonts w:ascii="Times New Roman" w:hAnsi="Times New Roman"/>
          <w:b w:val="0"/>
          <w:sz w:val="20"/>
        </w:rPr>
        <w:t xml:space="preserve"> (the Partnership Framework). </w:t>
      </w:r>
      <w:r w:rsidRPr="003503C7">
        <w:rPr>
          <w:rFonts w:ascii="Times New Roman" w:hAnsi="Times New Roman"/>
          <w:b w:val="0"/>
          <w:sz w:val="20"/>
        </w:rPr>
        <w:t xml:space="preserve">Zambia is a Delivering as One </w:t>
      </w:r>
      <w:r w:rsidR="009A240B">
        <w:rPr>
          <w:rFonts w:ascii="Times New Roman" w:hAnsi="Times New Roman"/>
          <w:b w:val="0"/>
          <w:sz w:val="20"/>
        </w:rPr>
        <w:t xml:space="preserve">(DaO) </w:t>
      </w:r>
      <w:r w:rsidRPr="003503C7">
        <w:rPr>
          <w:rFonts w:ascii="Times New Roman" w:hAnsi="Times New Roman"/>
          <w:b w:val="0"/>
          <w:sz w:val="20"/>
        </w:rPr>
        <w:t xml:space="preserve">country and the </w:t>
      </w:r>
      <w:r w:rsidR="00DE3EDC" w:rsidRPr="003503C7">
        <w:rPr>
          <w:rFonts w:ascii="Times New Roman" w:hAnsi="Times New Roman"/>
          <w:b w:val="0"/>
          <w:sz w:val="20"/>
        </w:rPr>
        <w:t xml:space="preserve">Partnership </w:t>
      </w:r>
      <w:r w:rsidRPr="003503C7">
        <w:rPr>
          <w:rFonts w:ascii="Times New Roman" w:hAnsi="Times New Roman"/>
          <w:b w:val="0"/>
          <w:sz w:val="20"/>
        </w:rPr>
        <w:t xml:space="preserve">Framework aims to </w:t>
      </w:r>
      <w:r w:rsidR="006D1977">
        <w:rPr>
          <w:rFonts w:ascii="Times New Roman" w:hAnsi="Times New Roman"/>
          <w:b w:val="0"/>
          <w:sz w:val="20"/>
        </w:rPr>
        <w:t>'d</w:t>
      </w:r>
      <w:r w:rsidR="006D1977" w:rsidRPr="003503C7">
        <w:rPr>
          <w:rFonts w:ascii="Times New Roman" w:hAnsi="Times New Roman"/>
          <w:b w:val="0"/>
          <w:sz w:val="20"/>
        </w:rPr>
        <w:t xml:space="preserve">eliver </w:t>
      </w:r>
      <w:r w:rsidR="006D1977">
        <w:rPr>
          <w:rFonts w:ascii="Times New Roman" w:hAnsi="Times New Roman"/>
          <w:b w:val="0"/>
          <w:sz w:val="20"/>
        </w:rPr>
        <w:t>t</w:t>
      </w:r>
      <w:r w:rsidR="006D1977" w:rsidRPr="003503C7">
        <w:rPr>
          <w:rFonts w:ascii="Times New Roman" w:hAnsi="Times New Roman"/>
          <w:b w:val="0"/>
          <w:sz w:val="20"/>
        </w:rPr>
        <w:t xml:space="preserve">ransformation </w:t>
      </w:r>
      <w:r w:rsidR="00193F4B">
        <w:rPr>
          <w:rFonts w:ascii="Times New Roman" w:hAnsi="Times New Roman"/>
          <w:b w:val="0"/>
          <w:sz w:val="20"/>
        </w:rPr>
        <w:t>a</w:t>
      </w:r>
      <w:r w:rsidRPr="003503C7">
        <w:rPr>
          <w:rFonts w:ascii="Times New Roman" w:hAnsi="Times New Roman"/>
          <w:b w:val="0"/>
          <w:sz w:val="20"/>
        </w:rPr>
        <w:t xml:space="preserve">s </w:t>
      </w:r>
      <w:r w:rsidR="006D1977">
        <w:rPr>
          <w:rFonts w:ascii="Times New Roman" w:hAnsi="Times New Roman"/>
          <w:b w:val="0"/>
          <w:sz w:val="20"/>
        </w:rPr>
        <w:t>o</w:t>
      </w:r>
      <w:r w:rsidR="006D1977" w:rsidRPr="003503C7">
        <w:rPr>
          <w:rFonts w:ascii="Times New Roman" w:hAnsi="Times New Roman"/>
          <w:b w:val="0"/>
          <w:sz w:val="20"/>
        </w:rPr>
        <w:t>ne</w:t>
      </w:r>
      <w:r w:rsidR="006D1977">
        <w:rPr>
          <w:rFonts w:ascii="Times New Roman" w:hAnsi="Times New Roman"/>
          <w:b w:val="0"/>
          <w:sz w:val="20"/>
        </w:rPr>
        <w:t>'</w:t>
      </w:r>
      <w:r w:rsidR="006D1977" w:rsidRPr="003503C7">
        <w:rPr>
          <w:rFonts w:ascii="Times New Roman" w:hAnsi="Times New Roman"/>
          <w:b w:val="0"/>
          <w:sz w:val="20"/>
        </w:rPr>
        <w:t xml:space="preserve">. </w:t>
      </w:r>
      <w:r w:rsidRPr="003503C7">
        <w:rPr>
          <w:rFonts w:ascii="Times New Roman" w:hAnsi="Times New Roman"/>
          <w:b w:val="0"/>
          <w:sz w:val="20"/>
        </w:rPr>
        <w:t>The Partnership Framework</w:t>
      </w:r>
      <w:r w:rsidR="000D6318" w:rsidRPr="003503C7">
        <w:rPr>
          <w:rFonts w:ascii="Times New Roman" w:hAnsi="Times New Roman"/>
          <w:b w:val="0"/>
          <w:sz w:val="20"/>
        </w:rPr>
        <w:t xml:space="preserve"> </w:t>
      </w:r>
      <w:r w:rsidRPr="003503C7">
        <w:rPr>
          <w:rFonts w:ascii="Times New Roman" w:hAnsi="Times New Roman"/>
          <w:b w:val="0"/>
          <w:sz w:val="20"/>
        </w:rPr>
        <w:t xml:space="preserve">builds on </w:t>
      </w:r>
      <w:r w:rsidR="000D6318" w:rsidRPr="003503C7">
        <w:rPr>
          <w:rFonts w:ascii="Times New Roman" w:hAnsi="Times New Roman"/>
          <w:b w:val="0"/>
          <w:sz w:val="20"/>
        </w:rPr>
        <w:t xml:space="preserve">the 2014 Human Development Report </w:t>
      </w:r>
      <w:r w:rsidRPr="003503C7">
        <w:rPr>
          <w:rFonts w:ascii="Times New Roman" w:hAnsi="Times New Roman"/>
          <w:b w:val="0"/>
          <w:sz w:val="20"/>
        </w:rPr>
        <w:t>finding</w:t>
      </w:r>
      <w:r w:rsidR="000D6318" w:rsidRPr="003503C7">
        <w:rPr>
          <w:rFonts w:ascii="Times New Roman" w:hAnsi="Times New Roman"/>
          <w:b w:val="0"/>
          <w:sz w:val="20"/>
        </w:rPr>
        <w:t xml:space="preserve"> that populations that are </w:t>
      </w:r>
      <w:r w:rsidR="006D1977" w:rsidRPr="003503C7">
        <w:rPr>
          <w:rFonts w:ascii="Times New Roman" w:hAnsi="Times New Roman"/>
          <w:b w:val="0"/>
          <w:sz w:val="20"/>
        </w:rPr>
        <w:t>marginali</w:t>
      </w:r>
      <w:r w:rsidR="006D1977">
        <w:rPr>
          <w:rFonts w:ascii="Times New Roman" w:hAnsi="Times New Roman"/>
          <w:b w:val="0"/>
          <w:sz w:val="20"/>
        </w:rPr>
        <w:t>z</w:t>
      </w:r>
      <w:r w:rsidR="006D1977" w:rsidRPr="003503C7">
        <w:rPr>
          <w:rFonts w:ascii="Times New Roman" w:hAnsi="Times New Roman"/>
          <w:b w:val="0"/>
          <w:sz w:val="20"/>
        </w:rPr>
        <w:t xml:space="preserve">ed </w:t>
      </w:r>
      <w:r w:rsidR="000D6318" w:rsidRPr="003503C7">
        <w:rPr>
          <w:rFonts w:ascii="Times New Roman" w:hAnsi="Times New Roman"/>
          <w:b w:val="0"/>
          <w:sz w:val="20"/>
        </w:rPr>
        <w:t xml:space="preserve">from socioeconomic progress </w:t>
      </w:r>
      <w:r w:rsidRPr="003503C7">
        <w:rPr>
          <w:rFonts w:ascii="Times New Roman" w:hAnsi="Times New Roman"/>
          <w:b w:val="0"/>
          <w:sz w:val="20"/>
        </w:rPr>
        <w:t xml:space="preserve">and suffer persistent vulnerability </w:t>
      </w:r>
      <w:r w:rsidR="000D6318" w:rsidRPr="003503C7">
        <w:rPr>
          <w:rFonts w:ascii="Times New Roman" w:hAnsi="Times New Roman"/>
          <w:b w:val="0"/>
          <w:sz w:val="20"/>
        </w:rPr>
        <w:t xml:space="preserve">are not only left behind but their very exclusion constitutes a persistent drag on overall development. The Partnership </w:t>
      </w:r>
      <w:r w:rsidRPr="003503C7">
        <w:rPr>
          <w:rFonts w:ascii="Times New Roman" w:hAnsi="Times New Roman"/>
          <w:b w:val="0"/>
          <w:sz w:val="20"/>
        </w:rPr>
        <w:t xml:space="preserve">Framework </w:t>
      </w:r>
      <w:r w:rsidR="000D6318" w:rsidRPr="003503C7">
        <w:rPr>
          <w:rFonts w:ascii="Times New Roman" w:hAnsi="Times New Roman"/>
          <w:b w:val="0"/>
          <w:sz w:val="20"/>
        </w:rPr>
        <w:t>was designed with a</w:t>
      </w:r>
      <w:r w:rsidR="00060AB3" w:rsidRPr="003503C7">
        <w:rPr>
          <w:rFonts w:ascii="Times New Roman" w:hAnsi="Times New Roman"/>
          <w:b w:val="0"/>
          <w:sz w:val="20"/>
        </w:rPr>
        <w:t>n</w:t>
      </w:r>
      <w:r w:rsidR="000D6318" w:rsidRPr="003503C7">
        <w:rPr>
          <w:rFonts w:ascii="Times New Roman" w:hAnsi="Times New Roman"/>
          <w:b w:val="0"/>
          <w:sz w:val="20"/>
        </w:rPr>
        <w:t xml:space="preserve"> </w:t>
      </w:r>
      <w:r w:rsidR="00060AB3" w:rsidRPr="003503C7">
        <w:rPr>
          <w:rFonts w:ascii="Times New Roman" w:hAnsi="Times New Roman"/>
          <w:b w:val="0"/>
          <w:sz w:val="20"/>
        </w:rPr>
        <w:t>explicit</w:t>
      </w:r>
      <w:r w:rsidRPr="003503C7">
        <w:rPr>
          <w:rFonts w:ascii="Times New Roman" w:hAnsi="Times New Roman"/>
          <w:b w:val="0"/>
          <w:sz w:val="20"/>
        </w:rPr>
        <w:t xml:space="preserve"> human </w:t>
      </w:r>
      <w:r w:rsidR="000D6318" w:rsidRPr="003503C7">
        <w:rPr>
          <w:rFonts w:ascii="Times New Roman" w:hAnsi="Times New Roman"/>
          <w:b w:val="0"/>
          <w:sz w:val="20"/>
        </w:rPr>
        <w:t xml:space="preserve">rights </w:t>
      </w:r>
      <w:r w:rsidR="00060AB3" w:rsidRPr="003503C7">
        <w:rPr>
          <w:rFonts w:ascii="Times New Roman" w:hAnsi="Times New Roman"/>
          <w:b w:val="0"/>
          <w:sz w:val="20"/>
        </w:rPr>
        <w:t>intent</w:t>
      </w:r>
      <w:r w:rsidR="000D6318" w:rsidRPr="003503C7">
        <w:rPr>
          <w:rFonts w:ascii="Times New Roman" w:hAnsi="Times New Roman"/>
          <w:b w:val="0"/>
          <w:sz w:val="20"/>
        </w:rPr>
        <w:t xml:space="preserve"> and is </w:t>
      </w:r>
      <w:r w:rsidR="00060AB3" w:rsidRPr="003503C7">
        <w:rPr>
          <w:rFonts w:ascii="Times New Roman" w:hAnsi="Times New Roman"/>
          <w:b w:val="0"/>
          <w:sz w:val="20"/>
        </w:rPr>
        <w:t xml:space="preserve">anchored on three sustainable development </w:t>
      </w:r>
      <w:r w:rsidR="000D6318" w:rsidRPr="003503C7">
        <w:rPr>
          <w:rFonts w:ascii="Times New Roman" w:hAnsi="Times New Roman"/>
          <w:b w:val="0"/>
          <w:sz w:val="20"/>
        </w:rPr>
        <w:t>pillars: inclusive social development; environmentally</w:t>
      </w:r>
      <w:r w:rsidR="00193F4B">
        <w:rPr>
          <w:rFonts w:ascii="Times New Roman" w:hAnsi="Times New Roman"/>
          <w:b w:val="0"/>
          <w:sz w:val="20"/>
        </w:rPr>
        <w:t xml:space="preserve"> </w:t>
      </w:r>
      <w:r w:rsidR="000D6318" w:rsidRPr="003503C7">
        <w:rPr>
          <w:rFonts w:ascii="Times New Roman" w:hAnsi="Times New Roman"/>
          <w:b w:val="0"/>
          <w:sz w:val="20"/>
        </w:rPr>
        <w:t xml:space="preserve">sustainable economic development; and governance and participation. </w:t>
      </w:r>
      <w:r w:rsidR="00024755" w:rsidRPr="003503C7">
        <w:rPr>
          <w:rFonts w:ascii="Times New Roman" w:hAnsi="Times New Roman"/>
          <w:b w:val="0"/>
          <w:sz w:val="20"/>
        </w:rPr>
        <w:t xml:space="preserve">This </w:t>
      </w:r>
      <w:r w:rsidR="006D1977">
        <w:rPr>
          <w:rFonts w:ascii="Times New Roman" w:hAnsi="Times New Roman"/>
          <w:b w:val="0"/>
          <w:sz w:val="20"/>
        </w:rPr>
        <w:t xml:space="preserve">country programme document </w:t>
      </w:r>
      <w:r w:rsidR="007616AD" w:rsidRPr="003503C7">
        <w:rPr>
          <w:rFonts w:ascii="Times New Roman" w:hAnsi="Times New Roman"/>
          <w:b w:val="0"/>
          <w:sz w:val="20"/>
        </w:rPr>
        <w:t xml:space="preserve">identifies </w:t>
      </w:r>
      <w:r w:rsidR="006D1977">
        <w:rPr>
          <w:rFonts w:ascii="Times New Roman" w:hAnsi="Times New Roman"/>
          <w:b w:val="0"/>
          <w:sz w:val="20"/>
        </w:rPr>
        <w:t xml:space="preserve">the </w:t>
      </w:r>
      <w:r w:rsidRPr="003503C7">
        <w:rPr>
          <w:rFonts w:ascii="Times New Roman" w:hAnsi="Times New Roman"/>
          <w:b w:val="0"/>
          <w:sz w:val="20"/>
        </w:rPr>
        <w:t xml:space="preserve">comparative advantage </w:t>
      </w:r>
      <w:r w:rsidR="006D1977">
        <w:rPr>
          <w:rFonts w:ascii="Times New Roman" w:hAnsi="Times New Roman"/>
          <w:b w:val="0"/>
          <w:sz w:val="20"/>
        </w:rPr>
        <w:t xml:space="preserve">of UNDP </w:t>
      </w:r>
      <w:r w:rsidRPr="003503C7">
        <w:rPr>
          <w:rFonts w:ascii="Times New Roman" w:hAnsi="Times New Roman"/>
          <w:b w:val="0"/>
          <w:sz w:val="20"/>
        </w:rPr>
        <w:t>within th</w:t>
      </w:r>
      <w:r w:rsidR="00193F4B">
        <w:rPr>
          <w:rFonts w:ascii="Times New Roman" w:hAnsi="Times New Roman"/>
          <w:b w:val="0"/>
          <w:sz w:val="20"/>
        </w:rPr>
        <w:t>e</w:t>
      </w:r>
      <w:r w:rsidRPr="003503C7">
        <w:rPr>
          <w:rFonts w:ascii="Times New Roman" w:hAnsi="Times New Roman"/>
          <w:b w:val="0"/>
          <w:sz w:val="20"/>
        </w:rPr>
        <w:t xml:space="preserve"> U</w:t>
      </w:r>
      <w:r w:rsidR="006D1977">
        <w:rPr>
          <w:rFonts w:ascii="Times New Roman" w:hAnsi="Times New Roman"/>
          <w:b w:val="0"/>
          <w:sz w:val="20"/>
        </w:rPr>
        <w:t xml:space="preserve">nited </w:t>
      </w:r>
      <w:r w:rsidR="00F73277">
        <w:rPr>
          <w:rFonts w:ascii="Times New Roman" w:hAnsi="Times New Roman"/>
          <w:b w:val="0"/>
          <w:sz w:val="20"/>
        </w:rPr>
        <w:t>N</w:t>
      </w:r>
      <w:r w:rsidR="006D1977">
        <w:rPr>
          <w:rFonts w:ascii="Times New Roman" w:hAnsi="Times New Roman"/>
          <w:b w:val="0"/>
          <w:sz w:val="20"/>
        </w:rPr>
        <w:t xml:space="preserve">ations </w:t>
      </w:r>
      <w:r w:rsidR="00F73277">
        <w:rPr>
          <w:rFonts w:ascii="Times New Roman" w:hAnsi="Times New Roman"/>
          <w:b w:val="0"/>
          <w:sz w:val="20"/>
        </w:rPr>
        <w:t>C</w:t>
      </w:r>
      <w:r w:rsidR="006D1977">
        <w:rPr>
          <w:rFonts w:ascii="Times New Roman" w:hAnsi="Times New Roman"/>
          <w:b w:val="0"/>
          <w:sz w:val="20"/>
        </w:rPr>
        <w:t xml:space="preserve">ountry </w:t>
      </w:r>
      <w:r w:rsidR="00F73277">
        <w:rPr>
          <w:rFonts w:ascii="Times New Roman" w:hAnsi="Times New Roman"/>
          <w:b w:val="0"/>
          <w:sz w:val="20"/>
        </w:rPr>
        <w:t>T</w:t>
      </w:r>
      <w:r w:rsidR="006D1977">
        <w:rPr>
          <w:rFonts w:ascii="Times New Roman" w:hAnsi="Times New Roman"/>
          <w:b w:val="0"/>
          <w:sz w:val="20"/>
        </w:rPr>
        <w:t>eam</w:t>
      </w:r>
      <w:r w:rsidRPr="003503C7">
        <w:rPr>
          <w:rFonts w:ascii="Times New Roman" w:hAnsi="Times New Roman"/>
          <w:b w:val="0"/>
          <w:sz w:val="20"/>
        </w:rPr>
        <w:t xml:space="preserve"> </w:t>
      </w:r>
      <w:r w:rsidR="00F73277">
        <w:rPr>
          <w:rFonts w:ascii="Times New Roman" w:hAnsi="Times New Roman"/>
          <w:b w:val="0"/>
          <w:sz w:val="20"/>
        </w:rPr>
        <w:t xml:space="preserve">(UNCT) </w:t>
      </w:r>
      <w:r w:rsidRPr="003503C7">
        <w:rPr>
          <w:rFonts w:ascii="Times New Roman" w:hAnsi="Times New Roman"/>
          <w:b w:val="0"/>
          <w:sz w:val="20"/>
        </w:rPr>
        <w:t xml:space="preserve">and </w:t>
      </w:r>
      <w:r w:rsidR="007616AD" w:rsidRPr="003503C7">
        <w:rPr>
          <w:rFonts w:ascii="Times New Roman" w:hAnsi="Times New Roman"/>
          <w:b w:val="0"/>
          <w:sz w:val="20"/>
        </w:rPr>
        <w:t xml:space="preserve">articulates </w:t>
      </w:r>
      <w:r w:rsidR="006D1977">
        <w:rPr>
          <w:rFonts w:ascii="Times New Roman" w:hAnsi="Times New Roman"/>
          <w:b w:val="0"/>
          <w:sz w:val="20"/>
        </w:rPr>
        <w:t>its</w:t>
      </w:r>
      <w:r w:rsidR="006D1977" w:rsidRPr="003503C7">
        <w:rPr>
          <w:rFonts w:ascii="Times New Roman" w:hAnsi="Times New Roman"/>
          <w:b w:val="0"/>
          <w:sz w:val="20"/>
        </w:rPr>
        <w:t xml:space="preserve"> </w:t>
      </w:r>
      <w:r w:rsidRPr="003503C7">
        <w:rPr>
          <w:rFonts w:ascii="Times New Roman" w:hAnsi="Times New Roman"/>
          <w:b w:val="0"/>
          <w:sz w:val="20"/>
        </w:rPr>
        <w:t xml:space="preserve">contribution through the Partnership Framework as </w:t>
      </w:r>
      <w:r w:rsidR="00024755" w:rsidRPr="003503C7">
        <w:rPr>
          <w:rFonts w:ascii="Times New Roman" w:hAnsi="Times New Roman"/>
          <w:b w:val="0"/>
          <w:sz w:val="20"/>
        </w:rPr>
        <w:t xml:space="preserve">thought leader, </w:t>
      </w:r>
      <w:r w:rsidRPr="003503C7">
        <w:rPr>
          <w:rFonts w:ascii="Times New Roman" w:hAnsi="Times New Roman"/>
          <w:b w:val="0"/>
          <w:sz w:val="20"/>
        </w:rPr>
        <w:t xml:space="preserve">innovator, </w:t>
      </w:r>
      <w:r w:rsidR="00024755" w:rsidRPr="003503C7">
        <w:rPr>
          <w:rFonts w:ascii="Times New Roman" w:hAnsi="Times New Roman"/>
          <w:b w:val="0"/>
          <w:sz w:val="20"/>
        </w:rPr>
        <w:t>enabler and integrator of different programming and funding mechanisms</w:t>
      </w:r>
      <w:r w:rsidR="003C1D27" w:rsidRPr="003503C7">
        <w:rPr>
          <w:rFonts w:ascii="Times New Roman" w:hAnsi="Times New Roman"/>
          <w:b w:val="0"/>
          <w:sz w:val="20"/>
        </w:rPr>
        <w:t>.</w:t>
      </w:r>
      <w:r w:rsidR="00DE3EDC" w:rsidRPr="003503C7">
        <w:rPr>
          <w:rFonts w:ascii="Times New Roman" w:hAnsi="Times New Roman"/>
          <w:b w:val="0"/>
          <w:sz w:val="20"/>
        </w:rPr>
        <w:t> </w:t>
      </w:r>
    </w:p>
    <w:p w14:paraId="0BCC6A0B" w14:textId="68DC6CE0" w:rsidR="00EA53ED" w:rsidRPr="00B15CA1" w:rsidRDefault="00080D77" w:rsidP="00634DEC">
      <w:pPr>
        <w:pStyle w:val="Heading2"/>
        <w:numPr>
          <w:ilvl w:val="0"/>
          <w:numId w:val="20"/>
        </w:numPr>
        <w:spacing w:after="120"/>
        <w:ind w:left="1260" w:right="1267" w:firstLine="0"/>
        <w:jc w:val="both"/>
        <w:rPr>
          <w:rFonts w:ascii="Times New Roman" w:hAnsi="Times New Roman"/>
          <w:b w:val="0"/>
          <w:i/>
          <w:sz w:val="20"/>
        </w:rPr>
      </w:pPr>
      <w:r w:rsidRPr="00B15CA1">
        <w:rPr>
          <w:rFonts w:ascii="Times New Roman" w:hAnsi="Times New Roman"/>
          <w:b w:val="0"/>
          <w:color w:val="000000"/>
          <w:sz w:val="20"/>
        </w:rPr>
        <w:t xml:space="preserve">In 2015, </w:t>
      </w:r>
      <w:r w:rsidR="00BA76B2" w:rsidRPr="00B15CA1">
        <w:rPr>
          <w:rFonts w:ascii="Times New Roman" w:hAnsi="Times New Roman"/>
          <w:b w:val="0"/>
          <w:color w:val="000000"/>
          <w:sz w:val="20"/>
        </w:rPr>
        <w:t xml:space="preserve">Zambia is on the path to </w:t>
      </w:r>
      <w:r w:rsidRPr="00B15CA1">
        <w:rPr>
          <w:rFonts w:ascii="Times New Roman" w:hAnsi="Times New Roman"/>
          <w:b w:val="0"/>
          <w:color w:val="000000"/>
          <w:sz w:val="20"/>
        </w:rPr>
        <w:t xml:space="preserve">achieving </w:t>
      </w:r>
      <w:r w:rsidR="00BA76B2" w:rsidRPr="00B15CA1">
        <w:rPr>
          <w:rFonts w:ascii="Times New Roman" w:hAnsi="Times New Roman"/>
          <w:b w:val="0"/>
          <w:color w:val="000000"/>
          <w:sz w:val="20"/>
        </w:rPr>
        <w:t xml:space="preserve">its </w:t>
      </w:r>
      <w:r w:rsidR="00ED207C" w:rsidRPr="00B15CA1">
        <w:rPr>
          <w:rFonts w:ascii="Times New Roman" w:hAnsi="Times New Roman"/>
          <w:b w:val="0"/>
          <w:color w:val="000000"/>
          <w:sz w:val="20"/>
        </w:rPr>
        <w:t>Vision 2030</w:t>
      </w:r>
      <w:r w:rsidR="00BA76B2" w:rsidRPr="00B15CA1">
        <w:rPr>
          <w:rFonts w:ascii="Times New Roman" w:hAnsi="Times New Roman"/>
          <w:b w:val="0"/>
          <w:color w:val="000000"/>
          <w:sz w:val="20"/>
        </w:rPr>
        <w:t xml:space="preserve">. Underpinned by political </w:t>
      </w:r>
      <w:r w:rsidR="00ED207C" w:rsidRPr="00B15CA1">
        <w:rPr>
          <w:rFonts w:ascii="Times New Roman" w:hAnsi="Times New Roman"/>
          <w:b w:val="0"/>
          <w:color w:val="000000"/>
          <w:sz w:val="20"/>
        </w:rPr>
        <w:t xml:space="preserve">and social stability, </w:t>
      </w:r>
      <w:r w:rsidR="00BA76B2" w:rsidRPr="00B15CA1">
        <w:rPr>
          <w:rFonts w:ascii="Times New Roman" w:hAnsi="Times New Roman"/>
          <w:b w:val="0"/>
          <w:color w:val="000000"/>
          <w:sz w:val="20"/>
        </w:rPr>
        <w:t>multiparty democracy and</w:t>
      </w:r>
      <w:r w:rsidR="009F1573" w:rsidRPr="00B15CA1">
        <w:rPr>
          <w:rFonts w:ascii="Times New Roman" w:hAnsi="Times New Roman"/>
          <w:b w:val="0"/>
          <w:color w:val="000000"/>
          <w:sz w:val="20"/>
        </w:rPr>
        <w:t xml:space="preserve"> prudent macroeconomic</w:t>
      </w:r>
      <w:r w:rsidR="00BA76B2" w:rsidRPr="00B15CA1">
        <w:rPr>
          <w:rFonts w:ascii="Times New Roman" w:hAnsi="Times New Roman"/>
          <w:b w:val="0"/>
          <w:color w:val="000000"/>
          <w:sz w:val="20"/>
        </w:rPr>
        <w:t xml:space="preserve"> management, </w:t>
      </w:r>
      <w:r w:rsidR="00BA76B2" w:rsidRPr="00B15CA1">
        <w:rPr>
          <w:rFonts w:ascii="Times New Roman" w:hAnsi="Times New Roman"/>
          <w:b w:val="0"/>
          <w:sz w:val="20"/>
        </w:rPr>
        <w:t xml:space="preserve">Zambia has experienced robust macroeconomic performance over the last 10 years. Gross </w:t>
      </w:r>
      <w:r w:rsidR="006D1977">
        <w:rPr>
          <w:rFonts w:ascii="Times New Roman" w:hAnsi="Times New Roman"/>
          <w:b w:val="0"/>
          <w:sz w:val="20"/>
        </w:rPr>
        <w:t>d</w:t>
      </w:r>
      <w:r w:rsidR="006D1977" w:rsidRPr="00B15CA1">
        <w:rPr>
          <w:rFonts w:ascii="Times New Roman" w:hAnsi="Times New Roman"/>
          <w:b w:val="0"/>
          <w:sz w:val="20"/>
        </w:rPr>
        <w:t xml:space="preserve">omestic </w:t>
      </w:r>
      <w:r w:rsidR="006D1977">
        <w:rPr>
          <w:rFonts w:ascii="Times New Roman" w:hAnsi="Times New Roman"/>
          <w:b w:val="0"/>
          <w:sz w:val="20"/>
        </w:rPr>
        <w:t>p</w:t>
      </w:r>
      <w:r w:rsidR="006D1977" w:rsidRPr="00B15CA1">
        <w:rPr>
          <w:rFonts w:ascii="Times New Roman" w:hAnsi="Times New Roman"/>
          <w:b w:val="0"/>
          <w:sz w:val="20"/>
        </w:rPr>
        <w:t xml:space="preserve">roduct </w:t>
      </w:r>
      <w:r w:rsidR="00BA76B2" w:rsidRPr="00B15CA1">
        <w:rPr>
          <w:rFonts w:ascii="Times New Roman" w:hAnsi="Times New Roman"/>
          <w:b w:val="0"/>
          <w:sz w:val="20"/>
        </w:rPr>
        <w:t>(GDP) growth has averaged 6</w:t>
      </w:r>
      <w:r w:rsidR="006D1977">
        <w:rPr>
          <w:rFonts w:ascii="Times New Roman" w:hAnsi="Times New Roman"/>
          <w:b w:val="0"/>
          <w:sz w:val="20"/>
        </w:rPr>
        <w:t xml:space="preserve"> per cent</w:t>
      </w:r>
      <w:r w:rsidR="00BA76B2" w:rsidRPr="00B15CA1">
        <w:rPr>
          <w:rFonts w:ascii="Times New Roman" w:hAnsi="Times New Roman"/>
          <w:b w:val="0"/>
          <w:sz w:val="20"/>
        </w:rPr>
        <w:t xml:space="preserve"> per year in a non-inflationary environment. Growth</w:t>
      </w:r>
      <w:r w:rsidR="00ED207C" w:rsidRPr="00B15CA1">
        <w:rPr>
          <w:rFonts w:ascii="Times New Roman" w:hAnsi="Times New Roman"/>
          <w:b w:val="0"/>
          <w:sz w:val="20"/>
        </w:rPr>
        <w:t xml:space="preserve"> has been driven by</w:t>
      </w:r>
      <w:r w:rsidR="00BA76B2" w:rsidRPr="00B15CA1">
        <w:rPr>
          <w:rFonts w:ascii="Times New Roman" w:hAnsi="Times New Roman"/>
          <w:b w:val="0"/>
          <w:sz w:val="20"/>
        </w:rPr>
        <w:t xml:space="preserve"> strong performance in the </w:t>
      </w:r>
      <w:r w:rsidR="000E51B8" w:rsidRPr="00B15CA1">
        <w:rPr>
          <w:rFonts w:ascii="Times New Roman" w:hAnsi="Times New Roman"/>
          <w:b w:val="0"/>
          <w:sz w:val="20"/>
        </w:rPr>
        <w:t>extractive industry (</w:t>
      </w:r>
      <w:r w:rsidR="00BA76B2" w:rsidRPr="00B15CA1">
        <w:rPr>
          <w:rFonts w:ascii="Times New Roman" w:hAnsi="Times New Roman"/>
          <w:b w:val="0"/>
          <w:sz w:val="20"/>
        </w:rPr>
        <w:t>mining</w:t>
      </w:r>
      <w:r w:rsidR="000E51B8" w:rsidRPr="00B15CA1">
        <w:rPr>
          <w:rFonts w:ascii="Times New Roman" w:hAnsi="Times New Roman"/>
          <w:b w:val="0"/>
          <w:sz w:val="20"/>
        </w:rPr>
        <w:t>)</w:t>
      </w:r>
      <w:r w:rsidR="00BA76B2" w:rsidRPr="00B15CA1">
        <w:rPr>
          <w:rFonts w:ascii="Times New Roman" w:hAnsi="Times New Roman"/>
          <w:b w:val="0"/>
          <w:sz w:val="20"/>
        </w:rPr>
        <w:t xml:space="preserve">, construction, transport </w:t>
      </w:r>
      <w:r w:rsidR="00193F4B" w:rsidRPr="00B15CA1">
        <w:rPr>
          <w:rFonts w:ascii="Times New Roman" w:hAnsi="Times New Roman"/>
          <w:b w:val="0"/>
          <w:sz w:val="20"/>
        </w:rPr>
        <w:t xml:space="preserve">and </w:t>
      </w:r>
      <w:r w:rsidR="00BA76B2" w:rsidRPr="00B15CA1">
        <w:rPr>
          <w:rFonts w:ascii="Times New Roman" w:hAnsi="Times New Roman"/>
          <w:b w:val="0"/>
          <w:sz w:val="20"/>
        </w:rPr>
        <w:t xml:space="preserve">communication sectors and, cyclically, by agriculture. </w:t>
      </w:r>
      <w:r w:rsidR="00ED207C" w:rsidRPr="00B15CA1">
        <w:rPr>
          <w:rFonts w:ascii="Times New Roman" w:hAnsi="Times New Roman"/>
          <w:b w:val="0"/>
          <w:sz w:val="20"/>
        </w:rPr>
        <w:t xml:space="preserve">In 2010 Zambia graduated to </w:t>
      </w:r>
      <w:r w:rsidR="00BA76B2" w:rsidRPr="00B15CA1">
        <w:rPr>
          <w:rFonts w:ascii="Times New Roman" w:hAnsi="Times New Roman"/>
          <w:b w:val="0"/>
          <w:sz w:val="20"/>
        </w:rPr>
        <w:t xml:space="preserve">LMIC </w:t>
      </w:r>
      <w:r w:rsidR="00ED207C" w:rsidRPr="00B15CA1">
        <w:rPr>
          <w:rFonts w:ascii="Times New Roman" w:hAnsi="Times New Roman"/>
          <w:b w:val="0"/>
          <w:sz w:val="20"/>
        </w:rPr>
        <w:t xml:space="preserve">status </w:t>
      </w:r>
      <w:r w:rsidR="00BA76B2" w:rsidRPr="00B15CA1">
        <w:rPr>
          <w:rFonts w:ascii="Times New Roman" w:hAnsi="Times New Roman"/>
          <w:b w:val="0"/>
          <w:sz w:val="20"/>
        </w:rPr>
        <w:t xml:space="preserve">and gained wider access to global financial markets. Between 2005 and 2014, </w:t>
      </w:r>
      <w:r w:rsidR="006D1977">
        <w:rPr>
          <w:rFonts w:ascii="Times New Roman" w:hAnsi="Times New Roman"/>
          <w:b w:val="0"/>
          <w:sz w:val="20"/>
        </w:rPr>
        <w:t>f</w:t>
      </w:r>
      <w:r w:rsidR="006D1977" w:rsidRPr="00B15CA1">
        <w:rPr>
          <w:rFonts w:ascii="Times New Roman" w:hAnsi="Times New Roman"/>
          <w:b w:val="0"/>
          <w:sz w:val="20"/>
        </w:rPr>
        <w:t xml:space="preserve">oreign </w:t>
      </w:r>
      <w:r w:rsidR="006D1977">
        <w:rPr>
          <w:rFonts w:ascii="Times New Roman" w:hAnsi="Times New Roman"/>
          <w:b w:val="0"/>
          <w:sz w:val="20"/>
        </w:rPr>
        <w:t>d</w:t>
      </w:r>
      <w:r w:rsidR="006D1977" w:rsidRPr="00B15CA1">
        <w:rPr>
          <w:rFonts w:ascii="Times New Roman" w:hAnsi="Times New Roman"/>
          <w:b w:val="0"/>
          <w:sz w:val="20"/>
        </w:rPr>
        <w:t xml:space="preserve">irect </w:t>
      </w:r>
      <w:r w:rsidR="006D1977">
        <w:rPr>
          <w:rFonts w:ascii="Times New Roman" w:hAnsi="Times New Roman"/>
          <w:b w:val="0"/>
          <w:sz w:val="20"/>
        </w:rPr>
        <w:t>i</w:t>
      </w:r>
      <w:r w:rsidR="006D1977" w:rsidRPr="00B15CA1">
        <w:rPr>
          <w:rFonts w:ascii="Times New Roman" w:hAnsi="Times New Roman"/>
          <w:b w:val="0"/>
          <w:sz w:val="20"/>
        </w:rPr>
        <w:t>nvestment</w:t>
      </w:r>
      <w:r w:rsidR="0018668C">
        <w:rPr>
          <w:rStyle w:val="FootnoteReference"/>
          <w:rFonts w:ascii="Times New Roman" w:hAnsi="Times New Roman"/>
          <w:b w:val="0"/>
          <w:sz w:val="20"/>
        </w:rPr>
        <w:footnoteReference w:id="1"/>
      </w:r>
      <w:r w:rsidR="00BA76B2" w:rsidRPr="00B15CA1">
        <w:rPr>
          <w:rFonts w:ascii="Times New Roman" w:hAnsi="Times New Roman"/>
          <w:b w:val="0"/>
          <w:sz w:val="20"/>
        </w:rPr>
        <w:t xml:space="preserve"> increased </w:t>
      </w:r>
      <w:r w:rsidR="00ED207C" w:rsidRPr="00B15CA1">
        <w:rPr>
          <w:rFonts w:ascii="Times New Roman" w:hAnsi="Times New Roman"/>
          <w:b w:val="0"/>
          <w:sz w:val="20"/>
        </w:rPr>
        <w:t xml:space="preserve">from </w:t>
      </w:r>
      <w:r w:rsidR="006D1977">
        <w:rPr>
          <w:rFonts w:ascii="Times New Roman" w:hAnsi="Times New Roman"/>
          <w:b w:val="0"/>
          <w:sz w:val="20"/>
        </w:rPr>
        <w:t>$</w:t>
      </w:r>
      <w:r w:rsidR="00ED207C" w:rsidRPr="00B15CA1">
        <w:rPr>
          <w:rFonts w:ascii="Times New Roman" w:hAnsi="Times New Roman"/>
          <w:b w:val="0"/>
          <w:sz w:val="20"/>
        </w:rPr>
        <w:t xml:space="preserve">357 million to </w:t>
      </w:r>
      <w:r w:rsidR="006D1977">
        <w:rPr>
          <w:rFonts w:ascii="Times New Roman" w:hAnsi="Times New Roman"/>
          <w:b w:val="0"/>
          <w:sz w:val="20"/>
        </w:rPr>
        <w:t>$</w:t>
      </w:r>
      <w:r w:rsidR="00BA76B2" w:rsidRPr="00B15CA1">
        <w:rPr>
          <w:rFonts w:ascii="Times New Roman" w:hAnsi="Times New Roman"/>
          <w:b w:val="0"/>
          <w:sz w:val="20"/>
        </w:rPr>
        <w:t>2</w:t>
      </w:r>
      <w:r w:rsidR="006D1977">
        <w:rPr>
          <w:rFonts w:ascii="Times New Roman" w:hAnsi="Times New Roman"/>
          <w:b w:val="0"/>
          <w:sz w:val="20"/>
        </w:rPr>
        <w:t>.</w:t>
      </w:r>
      <w:r w:rsidR="00BA76B2" w:rsidRPr="00B15CA1">
        <w:rPr>
          <w:rFonts w:ascii="Times New Roman" w:hAnsi="Times New Roman"/>
          <w:b w:val="0"/>
          <w:sz w:val="20"/>
        </w:rPr>
        <w:t xml:space="preserve">2 </w:t>
      </w:r>
      <w:r w:rsidR="006D1977">
        <w:rPr>
          <w:rFonts w:ascii="Times New Roman" w:hAnsi="Times New Roman"/>
          <w:b w:val="0"/>
          <w:sz w:val="20"/>
        </w:rPr>
        <w:t>b</w:t>
      </w:r>
      <w:r w:rsidR="006D1977" w:rsidRPr="00B15CA1">
        <w:rPr>
          <w:rFonts w:ascii="Times New Roman" w:hAnsi="Times New Roman"/>
          <w:b w:val="0"/>
          <w:sz w:val="20"/>
        </w:rPr>
        <w:t>illion</w:t>
      </w:r>
      <w:r w:rsidR="00BA76B2" w:rsidRPr="00B15CA1">
        <w:rPr>
          <w:rFonts w:ascii="Times New Roman" w:hAnsi="Times New Roman"/>
          <w:b w:val="0"/>
          <w:sz w:val="20"/>
        </w:rPr>
        <w:t>. Driven by sustained increases in per capita income, life</w:t>
      </w:r>
      <w:r w:rsidR="006D1977">
        <w:rPr>
          <w:rFonts w:ascii="Times New Roman" w:hAnsi="Times New Roman"/>
          <w:b w:val="0"/>
          <w:sz w:val="20"/>
        </w:rPr>
        <w:t xml:space="preserve"> </w:t>
      </w:r>
      <w:r w:rsidR="00BA76B2" w:rsidRPr="00B15CA1">
        <w:rPr>
          <w:rFonts w:ascii="Times New Roman" w:hAnsi="Times New Roman"/>
          <w:b w:val="0"/>
          <w:sz w:val="20"/>
        </w:rPr>
        <w:t>expectancy and education, Zambi</w:t>
      </w:r>
      <w:r w:rsidR="00ED207C" w:rsidRPr="00B15CA1">
        <w:rPr>
          <w:rFonts w:ascii="Times New Roman" w:hAnsi="Times New Roman"/>
          <w:b w:val="0"/>
          <w:sz w:val="20"/>
        </w:rPr>
        <w:t xml:space="preserve">a was classified as a </w:t>
      </w:r>
      <w:r w:rsidR="006D1977">
        <w:rPr>
          <w:rFonts w:ascii="Times New Roman" w:hAnsi="Times New Roman"/>
          <w:b w:val="0"/>
          <w:sz w:val="20"/>
        </w:rPr>
        <w:t>m</w:t>
      </w:r>
      <w:r w:rsidR="006D1977" w:rsidRPr="00B15CA1">
        <w:rPr>
          <w:rFonts w:ascii="Times New Roman" w:hAnsi="Times New Roman"/>
          <w:b w:val="0"/>
          <w:sz w:val="20"/>
        </w:rPr>
        <w:t xml:space="preserve">edium </w:t>
      </w:r>
      <w:r w:rsidR="006D1977">
        <w:rPr>
          <w:rFonts w:ascii="Times New Roman" w:hAnsi="Times New Roman"/>
          <w:b w:val="0"/>
          <w:sz w:val="20"/>
        </w:rPr>
        <w:t>h</w:t>
      </w:r>
      <w:r w:rsidR="006D1977" w:rsidRPr="00B15CA1">
        <w:rPr>
          <w:rFonts w:ascii="Times New Roman" w:hAnsi="Times New Roman"/>
          <w:b w:val="0"/>
          <w:sz w:val="20"/>
        </w:rPr>
        <w:t xml:space="preserve">uman </w:t>
      </w:r>
      <w:r w:rsidR="006D1977">
        <w:rPr>
          <w:rFonts w:ascii="Times New Roman" w:hAnsi="Times New Roman"/>
          <w:b w:val="0"/>
          <w:sz w:val="20"/>
        </w:rPr>
        <w:t>d</w:t>
      </w:r>
      <w:r w:rsidR="006D1977" w:rsidRPr="00B15CA1">
        <w:rPr>
          <w:rFonts w:ascii="Times New Roman" w:hAnsi="Times New Roman"/>
          <w:b w:val="0"/>
          <w:sz w:val="20"/>
        </w:rPr>
        <w:t xml:space="preserve">evelopment </w:t>
      </w:r>
      <w:r w:rsidR="00BA76B2" w:rsidRPr="00B15CA1">
        <w:rPr>
          <w:rFonts w:ascii="Times New Roman" w:hAnsi="Times New Roman"/>
          <w:b w:val="0"/>
          <w:sz w:val="20"/>
        </w:rPr>
        <w:t>country in 2014</w:t>
      </w:r>
      <w:r w:rsidR="006D1977">
        <w:rPr>
          <w:rFonts w:ascii="Times New Roman" w:hAnsi="Times New Roman"/>
          <w:b w:val="0"/>
          <w:sz w:val="20"/>
        </w:rPr>
        <w:t>.</w:t>
      </w:r>
      <w:r w:rsidR="0018668C">
        <w:rPr>
          <w:rStyle w:val="FootnoteReference"/>
          <w:rFonts w:ascii="Times New Roman" w:hAnsi="Times New Roman"/>
          <w:b w:val="0"/>
          <w:sz w:val="20"/>
        </w:rPr>
        <w:footnoteReference w:id="2"/>
      </w:r>
      <w:r w:rsidR="00B15CA1">
        <w:rPr>
          <w:rFonts w:ascii="Times New Roman" w:hAnsi="Times New Roman"/>
          <w:b w:val="0"/>
          <w:sz w:val="20"/>
        </w:rPr>
        <w:t xml:space="preserve"> </w:t>
      </w:r>
      <w:r w:rsidR="00BA76B2" w:rsidRPr="00B15CA1">
        <w:rPr>
          <w:rFonts w:ascii="Times New Roman" w:hAnsi="Times New Roman"/>
          <w:b w:val="0"/>
          <w:sz w:val="20"/>
        </w:rPr>
        <w:t xml:space="preserve">Human development </w:t>
      </w:r>
      <w:r w:rsidR="00544BD3" w:rsidRPr="00B15CA1">
        <w:rPr>
          <w:rFonts w:ascii="Times New Roman" w:hAnsi="Times New Roman"/>
          <w:b w:val="0"/>
          <w:sz w:val="20"/>
        </w:rPr>
        <w:t xml:space="preserve">and </w:t>
      </w:r>
      <w:r w:rsidR="006D1977">
        <w:rPr>
          <w:rFonts w:ascii="Times New Roman" w:hAnsi="Times New Roman"/>
          <w:b w:val="0"/>
          <w:sz w:val="20"/>
        </w:rPr>
        <w:t>Millennium Development Goal</w:t>
      </w:r>
      <w:r w:rsidR="00544BD3" w:rsidRPr="00B15CA1">
        <w:rPr>
          <w:rFonts w:ascii="Times New Roman" w:hAnsi="Times New Roman"/>
          <w:b w:val="0"/>
          <w:sz w:val="20"/>
        </w:rPr>
        <w:t xml:space="preserve"> </w:t>
      </w:r>
      <w:r w:rsidR="00BA76B2" w:rsidRPr="00B15CA1">
        <w:rPr>
          <w:rFonts w:ascii="Times New Roman" w:hAnsi="Times New Roman"/>
          <w:b w:val="0"/>
          <w:sz w:val="20"/>
        </w:rPr>
        <w:t>outcomes have</w:t>
      </w:r>
      <w:r w:rsidR="006D1977">
        <w:rPr>
          <w:rFonts w:ascii="Times New Roman" w:hAnsi="Times New Roman"/>
          <w:b w:val="0"/>
          <w:sz w:val="20"/>
        </w:rPr>
        <w:t>,</w:t>
      </w:r>
      <w:r w:rsidR="00BA76B2" w:rsidRPr="00B15CA1">
        <w:rPr>
          <w:rFonts w:ascii="Times New Roman" w:hAnsi="Times New Roman"/>
          <w:b w:val="0"/>
          <w:sz w:val="20"/>
        </w:rPr>
        <w:t xml:space="preserve"> however</w:t>
      </w:r>
      <w:r w:rsidR="006D1977">
        <w:rPr>
          <w:rFonts w:ascii="Times New Roman" w:hAnsi="Times New Roman"/>
          <w:b w:val="0"/>
          <w:sz w:val="20"/>
        </w:rPr>
        <w:t>,</w:t>
      </w:r>
      <w:r w:rsidR="00BA76B2" w:rsidRPr="00B15CA1">
        <w:rPr>
          <w:rFonts w:ascii="Times New Roman" w:hAnsi="Times New Roman"/>
          <w:b w:val="0"/>
          <w:sz w:val="20"/>
        </w:rPr>
        <w:t xml:space="preserve"> been unable to keep pace with economic performance</w:t>
      </w:r>
      <w:r w:rsidR="006D1977">
        <w:rPr>
          <w:rFonts w:ascii="Times New Roman" w:hAnsi="Times New Roman"/>
          <w:b w:val="0"/>
          <w:sz w:val="20"/>
        </w:rPr>
        <w:t>,</w:t>
      </w:r>
      <w:r w:rsidR="00BA76B2" w:rsidRPr="00B15CA1">
        <w:rPr>
          <w:rFonts w:ascii="Times New Roman" w:hAnsi="Times New Roman"/>
          <w:b w:val="0"/>
          <w:sz w:val="20"/>
        </w:rPr>
        <w:t xml:space="preserve"> and aggregate average improvement</w:t>
      </w:r>
      <w:r w:rsidR="00ED207C" w:rsidRPr="00B15CA1">
        <w:rPr>
          <w:rFonts w:ascii="Times New Roman" w:hAnsi="Times New Roman"/>
          <w:b w:val="0"/>
          <w:sz w:val="20"/>
        </w:rPr>
        <w:t>s mask pervasive inequalities</w:t>
      </w:r>
      <w:r w:rsidR="006D1977">
        <w:rPr>
          <w:rFonts w:ascii="Times New Roman" w:hAnsi="Times New Roman"/>
          <w:b w:val="0"/>
          <w:sz w:val="20"/>
        </w:rPr>
        <w:t xml:space="preserve"> in the country</w:t>
      </w:r>
      <w:r w:rsidR="00ED207C" w:rsidRPr="00B15CA1">
        <w:rPr>
          <w:rFonts w:ascii="Times New Roman" w:hAnsi="Times New Roman"/>
          <w:b w:val="0"/>
          <w:sz w:val="20"/>
        </w:rPr>
        <w:t xml:space="preserve">. </w:t>
      </w:r>
      <w:r w:rsidR="007C29D6" w:rsidRPr="00B15CA1">
        <w:rPr>
          <w:rFonts w:ascii="Times New Roman" w:hAnsi="Times New Roman"/>
          <w:b w:val="0"/>
          <w:sz w:val="20"/>
        </w:rPr>
        <w:t>Overall</w:t>
      </w:r>
      <w:r w:rsidR="003E18D7" w:rsidRPr="00B15CA1">
        <w:rPr>
          <w:rFonts w:ascii="Times New Roman" w:hAnsi="Times New Roman"/>
          <w:b w:val="0"/>
          <w:sz w:val="20"/>
        </w:rPr>
        <w:t>,</w:t>
      </w:r>
      <w:r w:rsidR="007C29D6" w:rsidRPr="00B15CA1">
        <w:rPr>
          <w:rFonts w:ascii="Times New Roman" w:hAnsi="Times New Roman"/>
          <w:b w:val="0"/>
          <w:sz w:val="20"/>
        </w:rPr>
        <w:t xml:space="preserve"> </w:t>
      </w:r>
      <w:r w:rsidR="00D53660" w:rsidRPr="00B15CA1">
        <w:rPr>
          <w:rFonts w:ascii="Times New Roman" w:hAnsi="Times New Roman"/>
          <w:b w:val="0"/>
          <w:sz w:val="20"/>
        </w:rPr>
        <w:t xml:space="preserve">progress towards achievement of </w:t>
      </w:r>
      <w:r w:rsidR="006D1977">
        <w:rPr>
          <w:rFonts w:ascii="Times New Roman" w:hAnsi="Times New Roman"/>
          <w:b w:val="0"/>
          <w:sz w:val="20"/>
        </w:rPr>
        <w:t>the Goals</w:t>
      </w:r>
      <w:r w:rsidR="007C29D6" w:rsidRPr="00B15CA1">
        <w:rPr>
          <w:rFonts w:ascii="Times New Roman" w:hAnsi="Times New Roman"/>
          <w:b w:val="0"/>
          <w:sz w:val="20"/>
        </w:rPr>
        <w:t xml:space="preserve"> has been </w:t>
      </w:r>
      <w:r w:rsidR="00F631C7" w:rsidRPr="00B15CA1">
        <w:rPr>
          <w:rFonts w:ascii="Times New Roman" w:hAnsi="Times New Roman"/>
          <w:b w:val="0"/>
          <w:sz w:val="20"/>
        </w:rPr>
        <w:t>partial</w:t>
      </w:r>
      <w:r w:rsidR="003E18D7" w:rsidRPr="00B15CA1">
        <w:rPr>
          <w:rFonts w:ascii="Times New Roman" w:hAnsi="Times New Roman"/>
          <w:b w:val="0"/>
          <w:sz w:val="20"/>
        </w:rPr>
        <w:t>: only</w:t>
      </w:r>
      <w:r w:rsidR="00F631C7" w:rsidRPr="00B15CA1">
        <w:rPr>
          <w:rFonts w:ascii="Times New Roman" w:hAnsi="Times New Roman"/>
          <w:b w:val="0"/>
          <w:sz w:val="20"/>
        </w:rPr>
        <w:t xml:space="preserve"> the </w:t>
      </w:r>
      <w:r w:rsidR="006D1977">
        <w:rPr>
          <w:rFonts w:ascii="Times New Roman" w:hAnsi="Times New Roman"/>
          <w:b w:val="0"/>
          <w:sz w:val="20"/>
        </w:rPr>
        <w:t xml:space="preserve">targets for </w:t>
      </w:r>
      <w:r w:rsidR="00D53660" w:rsidRPr="00B15CA1">
        <w:rPr>
          <w:rFonts w:ascii="Times New Roman" w:hAnsi="Times New Roman"/>
          <w:b w:val="0"/>
          <w:sz w:val="20"/>
        </w:rPr>
        <w:t>primary education a</w:t>
      </w:r>
      <w:r w:rsidR="007C29D6" w:rsidRPr="00B15CA1">
        <w:rPr>
          <w:rFonts w:ascii="Times New Roman" w:hAnsi="Times New Roman"/>
          <w:b w:val="0"/>
          <w:sz w:val="20"/>
        </w:rPr>
        <w:t>nd</w:t>
      </w:r>
      <w:r w:rsidR="00D53660" w:rsidRPr="00B15CA1">
        <w:rPr>
          <w:rFonts w:ascii="Times New Roman" w:hAnsi="Times New Roman"/>
          <w:b w:val="0"/>
          <w:sz w:val="20"/>
        </w:rPr>
        <w:t xml:space="preserve"> HIV</w:t>
      </w:r>
      <w:r w:rsidR="003E18D7" w:rsidRPr="00B15CA1">
        <w:rPr>
          <w:rFonts w:ascii="Times New Roman" w:hAnsi="Times New Roman"/>
          <w:b w:val="0"/>
          <w:sz w:val="20"/>
        </w:rPr>
        <w:t>/</w:t>
      </w:r>
      <w:r w:rsidR="00D53660" w:rsidRPr="00B15CA1">
        <w:rPr>
          <w:rFonts w:ascii="Times New Roman" w:hAnsi="Times New Roman"/>
          <w:b w:val="0"/>
          <w:sz w:val="20"/>
        </w:rPr>
        <w:t>AIDS</w:t>
      </w:r>
      <w:r w:rsidR="007C29D6" w:rsidRPr="00B15CA1">
        <w:rPr>
          <w:rFonts w:ascii="Times New Roman" w:hAnsi="Times New Roman"/>
          <w:b w:val="0"/>
          <w:sz w:val="20"/>
        </w:rPr>
        <w:t xml:space="preserve"> </w:t>
      </w:r>
      <w:r w:rsidR="00F631C7" w:rsidRPr="00B15CA1">
        <w:rPr>
          <w:rFonts w:ascii="Times New Roman" w:hAnsi="Times New Roman"/>
          <w:b w:val="0"/>
          <w:sz w:val="20"/>
        </w:rPr>
        <w:t>have been</w:t>
      </w:r>
      <w:r w:rsidR="007C29D6" w:rsidRPr="00B15CA1">
        <w:rPr>
          <w:rFonts w:ascii="Times New Roman" w:hAnsi="Times New Roman"/>
          <w:b w:val="0"/>
          <w:sz w:val="20"/>
        </w:rPr>
        <w:t xml:space="preserve"> met</w:t>
      </w:r>
      <w:r w:rsidR="006D1977">
        <w:rPr>
          <w:rFonts w:ascii="Times New Roman" w:hAnsi="Times New Roman"/>
          <w:b w:val="0"/>
          <w:sz w:val="20"/>
        </w:rPr>
        <w:t>.</w:t>
      </w:r>
      <w:r w:rsidR="0018668C">
        <w:rPr>
          <w:rStyle w:val="FootnoteReference"/>
          <w:rFonts w:ascii="Times New Roman" w:hAnsi="Times New Roman"/>
          <w:b w:val="0"/>
          <w:sz w:val="20"/>
        </w:rPr>
        <w:footnoteReference w:id="3"/>
      </w:r>
      <w:r w:rsidR="007C29D6" w:rsidRPr="00B15CA1">
        <w:rPr>
          <w:rFonts w:ascii="Times New Roman" w:hAnsi="Times New Roman"/>
          <w:b w:val="0"/>
          <w:sz w:val="20"/>
        </w:rPr>
        <w:t xml:space="preserve"> </w:t>
      </w:r>
      <w:r w:rsidR="00470E01" w:rsidRPr="00B15CA1">
        <w:rPr>
          <w:rFonts w:ascii="Times New Roman" w:hAnsi="Times New Roman"/>
          <w:b w:val="0"/>
          <w:sz w:val="20"/>
        </w:rPr>
        <w:t>P</w:t>
      </w:r>
      <w:r w:rsidR="00BA76B2" w:rsidRPr="00B15CA1">
        <w:rPr>
          <w:rFonts w:ascii="Times New Roman" w:hAnsi="Times New Roman"/>
          <w:b w:val="0"/>
          <w:sz w:val="20"/>
        </w:rPr>
        <w:t xml:space="preserve">overty levels </w:t>
      </w:r>
      <w:r w:rsidR="00470E01" w:rsidRPr="00B15CA1">
        <w:rPr>
          <w:rFonts w:ascii="Times New Roman" w:hAnsi="Times New Roman"/>
          <w:b w:val="0"/>
          <w:sz w:val="20"/>
        </w:rPr>
        <w:t xml:space="preserve">have </w:t>
      </w:r>
      <w:r w:rsidR="00BA76B2" w:rsidRPr="00B15CA1">
        <w:rPr>
          <w:rFonts w:ascii="Times New Roman" w:hAnsi="Times New Roman"/>
          <w:b w:val="0"/>
          <w:sz w:val="20"/>
        </w:rPr>
        <w:t>dropped fro</w:t>
      </w:r>
      <w:r w:rsidR="00ED207C" w:rsidRPr="00B15CA1">
        <w:rPr>
          <w:rFonts w:ascii="Times New Roman" w:hAnsi="Times New Roman"/>
          <w:b w:val="0"/>
          <w:sz w:val="20"/>
        </w:rPr>
        <w:t>m 68</w:t>
      </w:r>
      <w:r w:rsidR="006D1977">
        <w:rPr>
          <w:rFonts w:ascii="Times New Roman" w:hAnsi="Times New Roman"/>
          <w:b w:val="0"/>
          <w:sz w:val="20"/>
        </w:rPr>
        <w:t xml:space="preserve"> per cent</w:t>
      </w:r>
      <w:r w:rsidR="006D1977" w:rsidRPr="00B15CA1">
        <w:rPr>
          <w:rFonts w:ascii="Times New Roman" w:hAnsi="Times New Roman"/>
          <w:b w:val="0"/>
          <w:sz w:val="20"/>
        </w:rPr>
        <w:t xml:space="preserve"> </w:t>
      </w:r>
      <w:r w:rsidR="00ED207C" w:rsidRPr="00B15CA1">
        <w:rPr>
          <w:rFonts w:ascii="Times New Roman" w:hAnsi="Times New Roman"/>
          <w:b w:val="0"/>
          <w:sz w:val="20"/>
        </w:rPr>
        <w:t>(2004) to 60.5</w:t>
      </w:r>
      <w:r w:rsidR="006D1977">
        <w:rPr>
          <w:rFonts w:ascii="Times New Roman" w:hAnsi="Times New Roman"/>
          <w:b w:val="0"/>
          <w:sz w:val="20"/>
        </w:rPr>
        <w:t xml:space="preserve"> per cent</w:t>
      </w:r>
      <w:r w:rsidR="006D1977" w:rsidRPr="00B15CA1">
        <w:rPr>
          <w:rFonts w:ascii="Times New Roman" w:hAnsi="Times New Roman"/>
          <w:b w:val="0"/>
          <w:sz w:val="20"/>
        </w:rPr>
        <w:t xml:space="preserve"> </w:t>
      </w:r>
      <w:r w:rsidR="00ED207C" w:rsidRPr="00B15CA1">
        <w:rPr>
          <w:rFonts w:ascii="Times New Roman" w:hAnsi="Times New Roman"/>
          <w:b w:val="0"/>
          <w:sz w:val="20"/>
        </w:rPr>
        <w:t>(2010)</w:t>
      </w:r>
      <w:r w:rsidR="00664CE7" w:rsidRPr="00B15CA1">
        <w:rPr>
          <w:rFonts w:ascii="Times New Roman" w:hAnsi="Times New Roman"/>
          <w:b w:val="0"/>
          <w:sz w:val="20"/>
        </w:rPr>
        <w:t xml:space="preserve">, </w:t>
      </w:r>
      <w:r w:rsidR="006D1977">
        <w:rPr>
          <w:rFonts w:ascii="Times New Roman" w:hAnsi="Times New Roman"/>
          <w:b w:val="0"/>
          <w:sz w:val="20"/>
        </w:rPr>
        <w:t xml:space="preserve">and </w:t>
      </w:r>
      <w:r w:rsidR="007E283A" w:rsidRPr="00B15CA1">
        <w:rPr>
          <w:rFonts w:ascii="Times New Roman" w:hAnsi="Times New Roman"/>
          <w:b w:val="0"/>
          <w:sz w:val="20"/>
        </w:rPr>
        <w:t>e</w:t>
      </w:r>
      <w:r w:rsidR="00BA76B2" w:rsidRPr="00B15CA1">
        <w:rPr>
          <w:rFonts w:ascii="Times New Roman" w:hAnsi="Times New Roman"/>
          <w:b w:val="0"/>
          <w:sz w:val="20"/>
        </w:rPr>
        <w:t xml:space="preserve">xtreme </w:t>
      </w:r>
      <w:r w:rsidR="00932162" w:rsidRPr="00B15CA1">
        <w:rPr>
          <w:rFonts w:ascii="Times New Roman" w:hAnsi="Times New Roman"/>
          <w:b w:val="0"/>
          <w:sz w:val="20"/>
        </w:rPr>
        <w:t xml:space="preserve">poverty </w:t>
      </w:r>
      <w:r w:rsidR="00ED207C" w:rsidRPr="00B15CA1">
        <w:rPr>
          <w:rFonts w:ascii="Times New Roman" w:hAnsi="Times New Roman"/>
          <w:b w:val="0"/>
          <w:sz w:val="20"/>
        </w:rPr>
        <w:t>vari</w:t>
      </w:r>
      <w:r w:rsidR="00BA76B2" w:rsidRPr="00B15CA1">
        <w:rPr>
          <w:rFonts w:ascii="Times New Roman" w:hAnsi="Times New Roman"/>
          <w:b w:val="0"/>
          <w:sz w:val="20"/>
        </w:rPr>
        <w:t>es from 11.5</w:t>
      </w:r>
      <w:r w:rsidR="006D1977">
        <w:rPr>
          <w:rFonts w:ascii="Times New Roman" w:hAnsi="Times New Roman"/>
          <w:b w:val="0"/>
          <w:sz w:val="20"/>
        </w:rPr>
        <w:t xml:space="preserve"> per cent</w:t>
      </w:r>
      <w:r w:rsidR="006D1977" w:rsidRPr="00B15CA1">
        <w:rPr>
          <w:rFonts w:ascii="Times New Roman" w:hAnsi="Times New Roman"/>
          <w:b w:val="0"/>
          <w:sz w:val="20"/>
        </w:rPr>
        <w:t xml:space="preserve"> </w:t>
      </w:r>
      <w:r w:rsidR="00BA76B2" w:rsidRPr="00B15CA1">
        <w:rPr>
          <w:rFonts w:ascii="Times New Roman" w:hAnsi="Times New Roman"/>
          <w:b w:val="0"/>
          <w:sz w:val="20"/>
        </w:rPr>
        <w:t>in urban Lusaka to 70</w:t>
      </w:r>
      <w:r w:rsidR="006D1977">
        <w:rPr>
          <w:rFonts w:ascii="Times New Roman" w:hAnsi="Times New Roman"/>
          <w:b w:val="0"/>
          <w:sz w:val="20"/>
        </w:rPr>
        <w:t xml:space="preserve"> per cent</w:t>
      </w:r>
      <w:r w:rsidR="006D1977" w:rsidRPr="00B15CA1">
        <w:rPr>
          <w:rFonts w:ascii="Times New Roman" w:hAnsi="Times New Roman"/>
          <w:b w:val="0"/>
          <w:sz w:val="20"/>
        </w:rPr>
        <w:t xml:space="preserve"> </w:t>
      </w:r>
      <w:r w:rsidR="00BA76B2" w:rsidRPr="00B15CA1">
        <w:rPr>
          <w:rFonts w:ascii="Times New Roman" w:hAnsi="Times New Roman"/>
          <w:b w:val="0"/>
          <w:sz w:val="20"/>
        </w:rPr>
        <w:t>in rural Luapula</w:t>
      </w:r>
      <w:r w:rsidR="00ED207C" w:rsidRPr="00B15CA1">
        <w:rPr>
          <w:rFonts w:ascii="Times New Roman" w:hAnsi="Times New Roman"/>
          <w:b w:val="0"/>
          <w:sz w:val="20"/>
        </w:rPr>
        <w:t xml:space="preserve"> province</w:t>
      </w:r>
      <w:r w:rsidR="006D1977">
        <w:rPr>
          <w:rFonts w:ascii="Times New Roman" w:hAnsi="Times New Roman"/>
          <w:b w:val="0"/>
          <w:sz w:val="20"/>
        </w:rPr>
        <w:t>.</w:t>
      </w:r>
      <w:r w:rsidR="0018668C">
        <w:rPr>
          <w:rStyle w:val="FootnoteReference"/>
          <w:rFonts w:ascii="Times New Roman" w:hAnsi="Times New Roman"/>
          <w:b w:val="0"/>
          <w:sz w:val="20"/>
        </w:rPr>
        <w:footnoteReference w:id="4"/>
      </w:r>
      <w:r w:rsidR="00BA76B2" w:rsidRPr="00B15CA1">
        <w:rPr>
          <w:rFonts w:ascii="Times New Roman" w:hAnsi="Times New Roman"/>
          <w:b w:val="0"/>
          <w:sz w:val="20"/>
        </w:rPr>
        <w:t xml:space="preserve"> When adjusted for inequality, Zambia’s H</w:t>
      </w:r>
      <w:r w:rsidR="00ED207C" w:rsidRPr="00B15CA1">
        <w:rPr>
          <w:rFonts w:ascii="Times New Roman" w:hAnsi="Times New Roman"/>
          <w:b w:val="0"/>
          <w:sz w:val="20"/>
        </w:rPr>
        <w:t xml:space="preserve">uman </w:t>
      </w:r>
      <w:r w:rsidR="00BA76B2" w:rsidRPr="00B15CA1">
        <w:rPr>
          <w:rFonts w:ascii="Times New Roman" w:hAnsi="Times New Roman"/>
          <w:b w:val="0"/>
          <w:sz w:val="20"/>
        </w:rPr>
        <w:t>D</w:t>
      </w:r>
      <w:r w:rsidR="00ED207C" w:rsidRPr="00B15CA1">
        <w:rPr>
          <w:rFonts w:ascii="Times New Roman" w:hAnsi="Times New Roman"/>
          <w:b w:val="0"/>
          <w:sz w:val="20"/>
        </w:rPr>
        <w:t xml:space="preserve">evelopment </w:t>
      </w:r>
      <w:r w:rsidR="00BA76B2" w:rsidRPr="00B15CA1">
        <w:rPr>
          <w:rFonts w:ascii="Times New Roman" w:hAnsi="Times New Roman"/>
          <w:b w:val="0"/>
          <w:sz w:val="20"/>
        </w:rPr>
        <w:t>I</w:t>
      </w:r>
      <w:r w:rsidR="00ED207C" w:rsidRPr="00B15CA1">
        <w:rPr>
          <w:rFonts w:ascii="Times New Roman" w:hAnsi="Times New Roman"/>
          <w:b w:val="0"/>
          <w:sz w:val="20"/>
        </w:rPr>
        <w:t>ndex score</w:t>
      </w:r>
      <w:r w:rsidR="00BA76B2" w:rsidRPr="00B15CA1">
        <w:rPr>
          <w:rFonts w:ascii="Times New Roman" w:hAnsi="Times New Roman"/>
          <w:b w:val="0"/>
          <w:sz w:val="20"/>
        </w:rPr>
        <w:t xml:space="preserve"> drops by 35</w:t>
      </w:r>
      <w:r w:rsidR="006D1977">
        <w:rPr>
          <w:rFonts w:ascii="Times New Roman" w:hAnsi="Times New Roman"/>
          <w:b w:val="0"/>
          <w:sz w:val="20"/>
        </w:rPr>
        <w:t xml:space="preserve"> per cent.</w:t>
      </w:r>
      <w:r w:rsidR="006D1977">
        <w:rPr>
          <w:rStyle w:val="FootnoteReference"/>
          <w:rFonts w:ascii="Times New Roman" w:hAnsi="Times New Roman"/>
          <w:b w:val="0"/>
          <w:sz w:val="20"/>
        </w:rPr>
        <w:footnoteReference w:id="5"/>
      </w:r>
      <w:r w:rsidR="006D1977" w:rsidRPr="00B15CA1">
        <w:rPr>
          <w:rFonts w:ascii="Times New Roman" w:hAnsi="Times New Roman"/>
          <w:b w:val="0"/>
          <w:sz w:val="20"/>
        </w:rPr>
        <w:t xml:space="preserve"> </w:t>
      </w:r>
      <w:r w:rsidR="00EA53ED" w:rsidRPr="00B15CA1">
        <w:rPr>
          <w:rFonts w:ascii="Times New Roman" w:hAnsi="Times New Roman"/>
          <w:b w:val="0"/>
          <w:sz w:val="20"/>
        </w:rPr>
        <w:t xml:space="preserve">Youth unemployment is high due in part to limited incentives for </w:t>
      </w:r>
      <w:r w:rsidR="00FE70C1">
        <w:rPr>
          <w:rFonts w:ascii="Times New Roman" w:hAnsi="Times New Roman"/>
          <w:b w:val="0"/>
          <w:sz w:val="20"/>
        </w:rPr>
        <w:t xml:space="preserve">the </w:t>
      </w:r>
      <w:r w:rsidR="00EA53ED" w:rsidRPr="00B15CA1">
        <w:rPr>
          <w:rFonts w:ascii="Times New Roman" w:hAnsi="Times New Roman"/>
          <w:b w:val="0"/>
          <w:sz w:val="20"/>
        </w:rPr>
        <w:t xml:space="preserve">private sector to invest in productive sectors that generate new job opportunities. This is exacerbated by low skill levels among the youth. </w:t>
      </w:r>
    </w:p>
    <w:p w14:paraId="3C0CE271" w14:textId="77D8CDAC" w:rsidR="00BA76B2" w:rsidRPr="00547F20" w:rsidRDefault="003E18D7" w:rsidP="005777DC">
      <w:pPr>
        <w:pStyle w:val="Heading2"/>
        <w:numPr>
          <w:ilvl w:val="0"/>
          <w:numId w:val="20"/>
        </w:numPr>
        <w:spacing w:after="120"/>
        <w:ind w:left="1260" w:right="1267" w:firstLine="0"/>
        <w:jc w:val="both"/>
        <w:rPr>
          <w:rFonts w:ascii="Times New Roman" w:hAnsi="Times New Roman"/>
          <w:b w:val="0"/>
          <w:i/>
          <w:sz w:val="20"/>
        </w:rPr>
      </w:pPr>
      <w:r w:rsidRPr="00EA53ED">
        <w:rPr>
          <w:rFonts w:ascii="Times New Roman" w:hAnsi="Times New Roman"/>
          <w:b w:val="0"/>
          <w:sz w:val="20"/>
        </w:rPr>
        <w:t>Negative social and cultural norms are deep</w:t>
      </w:r>
      <w:r w:rsidR="000C0662">
        <w:rPr>
          <w:rFonts w:ascii="Times New Roman" w:hAnsi="Times New Roman"/>
          <w:b w:val="0"/>
          <w:sz w:val="20"/>
        </w:rPr>
        <w:t xml:space="preserve"> </w:t>
      </w:r>
      <w:r w:rsidRPr="00EA53ED">
        <w:rPr>
          <w:rFonts w:ascii="Times New Roman" w:hAnsi="Times New Roman"/>
          <w:b w:val="0"/>
          <w:sz w:val="20"/>
        </w:rPr>
        <w:t>seated</w:t>
      </w:r>
      <w:r w:rsidR="000C0662">
        <w:rPr>
          <w:rFonts w:ascii="Times New Roman" w:hAnsi="Times New Roman"/>
          <w:b w:val="0"/>
          <w:sz w:val="20"/>
        </w:rPr>
        <w:t>,</w:t>
      </w:r>
      <w:r w:rsidRPr="00EA53ED">
        <w:rPr>
          <w:rFonts w:ascii="Times New Roman" w:hAnsi="Times New Roman"/>
          <w:b w:val="0"/>
          <w:sz w:val="20"/>
        </w:rPr>
        <w:t xml:space="preserve"> leading to g</w:t>
      </w:r>
      <w:r w:rsidR="00664CE7" w:rsidRPr="00EA53ED">
        <w:rPr>
          <w:rFonts w:ascii="Times New Roman" w:hAnsi="Times New Roman"/>
          <w:b w:val="0"/>
          <w:sz w:val="20"/>
        </w:rPr>
        <w:t>ender-</w:t>
      </w:r>
      <w:r w:rsidR="00A07B8B" w:rsidRPr="00EA53ED">
        <w:rPr>
          <w:rFonts w:ascii="Times New Roman" w:hAnsi="Times New Roman"/>
          <w:b w:val="0"/>
          <w:sz w:val="20"/>
        </w:rPr>
        <w:t>based inequalities</w:t>
      </w:r>
      <w:r w:rsidR="00EA53ED" w:rsidRPr="00EA53ED">
        <w:rPr>
          <w:rFonts w:ascii="Times New Roman" w:hAnsi="Times New Roman"/>
          <w:b w:val="0"/>
          <w:sz w:val="20"/>
        </w:rPr>
        <w:t>.</w:t>
      </w:r>
      <w:r w:rsidR="00A07B8B" w:rsidRPr="00547F20">
        <w:rPr>
          <w:rFonts w:ascii="Times New Roman" w:hAnsi="Times New Roman"/>
          <w:b w:val="0"/>
          <w:sz w:val="20"/>
        </w:rPr>
        <w:t xml:space="preserve"> </w:t>
      </w:r>
      <w:r w:rsidR="00664CE7" w:rsidRPr="00547F20">
        <w:rPr>
          <w:rFonts w:ascii="Times New Roman" w:hAnsi="Times New Roman"/>
          <w:b w:val="0"/>
          <w:sz w:val="20"/>
        </w:rPr>
        <w:t>In 2014</w:t>
      </w:r>
      <w:r w:rsidR="000C0662">
        <w:rPr>
          <w:rFonts w:ascii="Times New Roman" w:hAnsi="Times New Roman"/>
          <w:b w:val="0"/>
          <w:sz w:val="20"/>
        </w:rPr>
        <w:t>,</w:t>
      </w:r>
      <w:r w:rsidR="00664CE7" w:rsidRPr="00547F20">
        <w:rPr>
          <w:rFonts w:ascii="Times New Roman" w:hAnsi="Times New Roman"/>
          <w:b w:val="0"/>
          <w:sz w:val="20"/>
        </w:rPr>
        <w:t xml:space="preserve"> </w:t>
      </w:r>
      <w:r w:rsidR="00BA76B2" w:rsidRPr="0086151C">
        <w:rPr>
          <w:rFonts w:ascii="Times New Roman" w:hAnsi="Times New Roman"/>
          <w:b w:val="0"/>
          <w:sz w:val="20"/>
        </w:rPr>
        <w:t xml:space="preserve">Zambia’s Gender Inequality Index was 0.617, </w:t>
      </w:r>
      <w:r w:rsidR="00ED207C" w:rsidRPr="0086151C">
        <w:rPr>
          <w:rFonts w:ascii="Times New Roman" w:hAnsi="Times New Roman"/>
          <w:b w:val="0"/>
          <w:sz w:val="20"/>
        </w:rPr>
        <w:t>ranking it</w:t>
      </w:r>
      <w:r w:rsidR="00BA76B2" w:rsidRPr="0086151C">
        <w:rPr>
          <w:rFonts w:ascii="Times New Roman" w:hAnsi="Times New Roman"/>
          <w:b w:val="0"/>
          <w:sz w:val="20"/>
        </w:rPr>
        <w:t xml:space="preserve"> 133 of 149 countries</w:t>
      </w:r>
      <w:r w:rsidR="000C0662">
        <w:rPr>
          <w:rFonts w:ascii="Times New Roman" w:hAnsi="Times New Roman"/>
          <w:b w:val="0"/>
          <w:sz w:val="20"/>
        </w:rPr>
        <w:t>.</w:t>
      </w:r>
      <w:r w:rsidR="00664CE7" w:rsidRPr="0086151C">
        <w:rPr>
          <w:rStyle w:val="FootnoteReference"/>
          <w:rFonts w:ascii="Times New Roman" w:hAnsi="Times New Roman"/>
          <w:b w:val="0"/>
          <w:sz w:val="20"/>
        </w:rPr>
        <w:footnoteReference w:id="6"/>
      </w:r>
      <w:r w:rsidR="00BA76B2" w:rsidRPr="00EA53ED">
        <w:rPr>
          <w:rFonts w:ascii="Times New Roman" w:hAnsi="Times New Roman"/>
          <w:b w:val="0"/>
          <w:sz w:val="20"/>
        </w:rPr>
        <w:t xml:space="preserve"> </w:t>
      </w:r>
      <w:r w:rsidR="000C0662" w:rsidRPr="005F3EC2">
        <w:rPr>
          <w:rFonts w:ascii="Times New Roman" w:hAnsi="Times New Roman"/>
          <w:b w:val="0"/>
          <w:sz w:val="20"/>
        </w:rPr>
        <w:lastRenderedPageBreak/>
        <w:t>Whil</w:t>
      </w:r>
      <w:r w:rsidR="000C0662">
        <w:rPr>
          <w:rFonts w:ascii="Times New Roman" w:hAnsi="Times New Roman"/>
          <w:b w:val="0"/>
          <w:sz w:val="20"/>
        </w:rPr>
        <w:t>e</w:t>
      </w:r>
      <w:r w:rsidR="000C0662" w:rsidRPr="005F3EC2">
        <w:rPr>
          <w:rFonts w:ascii="Times New Roman" w:hAnsi="Times New Roman"/>
          <w:b w:val="0"/>
          <w:sz w:val="20"/>
        </w:rPr>
        <w:t xml:space="preserve"> </w:t>
      </w:r>
      <w:r w:rsidR="000C0662">
        <w:rPr>
          <w:rFonts w:ascii="Times New Roman" w:hAnsi="Times New Roman"/>
          <w:b w:val="0"/>
          <w:sz w:val="20"/>
        </w:rPr>
        <w:t xml:space="preserve">the net </w:t>
      </w:r>
      <w:r w:rsidR="00547F20" w:rsidRPr="005F3EC2">
        <w:rPr>
          <w:rFonts w:ascii="Times New Roman" w:hAnsi="Times New Roman"/>
          <w:b w:val="0"/>
          <w:sz w:val="20"/>
        </w:rPr>
        <w:t xml:space="preserve">primary school enrolment </w:t>
      </w:r>
      <w:r w:rsidR="000C0662">
        <w:rPr>
          <w:rFonts w:ascii="Times New Roman" w:hAnsi="Times New Roman"/>
          <w:b w:val="0"/>
          <w:sz w:val="20"/>
        </w:rPr>
        <w:t xml:space="preserve">rates </w:t>
      </w:r>
      <w:r w:rsidR="00547F20" w:rsidRPr="005F3EC2">
        <w:rPr>
          <w:rFonts w:ascii="Times New Roman" w:hAnsi="Times New Roman"/>
          <w:b w:val="0"/>
          <w:sz w:val="20"/>
        </w:rPr>
        <w:t xml:space="preserve">for girls </w:t>
      </w:r>
      <w:r w:rsidR="000C0662">
        <w:rPr>
          <w:rFonts w:ascii="Times New Roman" w:hAnsi="Times New Roman"/>
          <w:b w:val="0"/>
          <w:sz w:val="20"/>
        </w:rPr>
        <w:t xml:space="preserve">and boys are </w:t>
      </w:r>
      <w:r w:rsidR="00547F20" w:rsidRPr="005F3EC2">
        <w:rPr>
          <w:rFonts w:ascii="Times New Roman" w:hAnsi="Times New Roman"/>
          <w:b w:val="0"/>
          <w:sz w:val="20"/>
        </w:rPr>
        <w:t>at par</w:t>
      </w:r>
      <w:r w:rsidR="000C0662">
        <w:rPr>
          <w:rFonts w:ascii="Times New Roman" w:hAnsi="Times New Roman"/>
          <w:b w:val="0"/>
          <w:sz w:val="20"/>
        </w:rPr>
        <w:t xml:space="preserve">, only 27.9 per cent of girls complete secondary school, with even lower rates of </w:t>
      </w:r>
      <w:r w:rsidR="00547F20" w:rsidRPr="005F3EC2">
        <w:rPr>
          <w:rFonts w:ascii="Times New Roman" w:hAnsi="Times New Roman"/>
          <w:b w:val="0"/>
          <w:sz w:val="20"/>
        </w:rPr>
        <w:t>progress at tertiary level.</w:t>
      </w:r>
      <w:r w:rsidR="00547F20" w:rsidRPr="00547F20">
        <w:rPr>
          <w:rFonts w:ascii="Times New Roman" w:hAnsi="Times New Roman"/>
          <w:b w:val="0"/>
          <w:sz w:val="20"/>
        </w:rPr>
        <w:t xml:space="preserve"> </w:t>
      </w:r>
      <w:r w:rsidR="00547F20">
        <w:rPr>
          <w:rFonts w:ascii="Times New Roman" w:hAnsi="Times New Roman"/>
          <w:b w:val="0"/>
          <w:sz w:val="20"/>
        </w:rPr>
        <w:t>Women’s a</w:t>
      </w:r>
      <w:r w:rsidR="00547F20" w:rsidRPr="005F3EC2">
        <w:rPr>
          <w:rFonts w:ascii="Times New Roman" w:hAnsi="Times New Roman"/>
          <w:b w:val="0"/>
          <w:sz w:val="20"/>
        </w:rPr>
        <w:t>ccess to and control</w:t>
      </w:r>
      <w:r w:rsidR="00547F20">
        <w:rPr>
          <w:rFonts w:ascii="Times New Roman" w:hAnsi="Times New Roman"/>
          <w:b w:val="0"/>
          <w:sz w:val="20"/>
        </w:rPr>
        <w:t xml:space="preserve"> over</w:t>
      </w:r>
      <w:r w:rsidR="00547F20" w:rsidRPr="005F3EC2">
        <w:rPr>
          <w:rFonts w:ascii="Times New Roman" w:hAnsi="Times New Roman"/>
          <w:b w:val="0"/>
          <w:sz w:val="20"/>
        </w:rPr>
        <w:t xml:space="preserve"> productive </w:t>
      </w:r>
      <w:r w:rsidR="00547F20">
        <w:rPr>
          <w:rFonts w:ascii="Times New Roman" w:hAnsi="Times New Roman"/>
          <w:b w:val="0"/>
          <w:sz w:val="20"/>
        </w:rPr>
        <w:t>assets</w:t>
      </w:r>
      <w:r w:rsidR="00547F20" w:rsidRPr="005F3EC2">
        <w:rPr>
          <w:rFonts w:ascii="Times New Roman" w:hAnsi="Times New Roman"/>
          <w:b w:val="0"/>
          <w:sz w:val="20"/>
        </w:rPr>
        <w:t xml:space="preserve"> such as land are </w:t>
      </w:r>
      <w:r w:rsidR="00547F20">
        <w:rPr>
          <w:rFonts w:ascii="Times New Roman" w:hAnsi="Times New Roman"/>
          <w:b w:val="0"/>
          <w:sz w:val="20"/>
        </w:rPr>
        <w:t>unequal;</w:t>
      </w:r>
      <w:r w:rsidR="00547F20" w:rsidRPr="005F3EC2">
        <w:rPr>
          <w:rFonts w:ascii="Times New Roman" w:hAnsi="Times New Roman"/>
          <w:b w:val="0"/>
          <w:sz w:val="20"/>
        </w:rPr>
        <w:t xml:space="preserve"> only 13</w:t>
      </w:r>
      <w:r w:rsidR="000C0662">
        <w:rPr>
          <w:rFonts w:ascii="Times New Roman" w:hAnsi="Times New Roman"/>
          <w:b w:val="0"/>
          <w:sz w:val="20"/>
        </w:rPr>
        <w:t xml:space="preserve"> per cent</w:t>
      </w:r>
      <w:r w:rsidR="00547F20" w:rsidRPr="005F3EC2">
        <w:rPr>
          <w:rFonts w:ascii="Times New Roman" w:hAnsi="Times New Roman"/>
          <w:b w:val="0"/>
          <w:sz w:val="20"/>
        </w:rPr>
        <w:t xml:space="preserve"> of women in Zambia own land compared to 35</w:t>
      </w:r>
      <w:r w:rsidR="000C0662">
        <w:rPr>
          <w:rFonts w:ascii="Times New Roman" w:hAnsi="Times New Roman"/>
          <w:b w:val="0"/>
          <w:sz w:val="20"/>
        </w:rPr>
        <w:t xml:space="preserve"> per cent</w:t>
      </w:r>
      <w:r w:rsidR="000C0662" w:rsidRPr="005F3EC2">
        <w:rPr>
          <w:rFonts w:ascii="Times New Roman" w:hAnsi="Times New Roman"/>
          <w:b w:val="0"/>
          <w:sz w:val="20"/>
        </w:rPr>
        <w:t xml:space="preserve"> </w:t>
      </w:r>
      <w:r w:rsidR="00547F20" w:rsidRPr="005F3EC2">
        <w:rPr>
          <w:rFonts w:ascii="Times New Roman" w:hAnsi="Times New Roman"/>
          <w:b w:val="0"/>
          <w:sz w:val="20"/>
        </w:rPr>
        <w:t>of men.</w:t>
      </w:r>
      <w:r w:rsidR="00FA0E13">
        <w:rPr>
          <w:rFonts w:ascii="Times New Roman" w:hAnsi="Times New Roman"/>
          <w:b w:val="0"/>
          <w:sz w:val="20"/>
        </w:rPr>
        <w:t xml:space="preserve"> Over 10,000 cases of </w:t>
      </w:r>
      <w:r w:rsidR="000C0662">
        <w:rPr>
          <w:rFonts w:ascii="Times New Roman" w:hAnsi="Times New Roman"/>
          <w:b w:val="0"/>
          <w:sz w:val="20"/>
        </w:rPr>
        <w:t>g</w:t>
      </w:r>
      <w:r w:rsidR="000C0662" w:rsidRPr="005F3EC2">
        <w:rPr>
          <w:rFonts w:ascii="Times New Roman" w:hAnsi="Times New Roman"/>
          <w:b w:val="0"/>
          <w:sz w:val="20"/>
        </w:rPr>
        <w:t>ender</w:t>
      </w:r>
      <w:r w:rsidR="000C0662">
        <w:rPr>
          <w:rFonts w:ascii="Times New Roman" w:hAnsi="Times New Roman"/>
          <w:b w:val="0"/>
          <w:sz w:val="20"/>
        </w:rPr>
        <w:t>-</w:t>
      </w:r>
      <w:r w:rsidR="00FA0E13" w:rsidRPr="005F3EC2">
        <w:rPr>
          <w:rFonts w:ascii="Times New Roman" w:hAnsi="Times New Roman"/>
          <w:b w:val="0"/>
          <w:sz w:val="20"/>
        </w:rPr>
        <w:t xml:space="preserve">based </w:t>
      </w:r>
      <w:r w:rsidR="000C0662">
        <w:rPr>
          <w:rFonts w:ascii="Times New Roman" w:hAnsi="Times New Roman"/>
          <w:b w:val="0"/>
          <w:sz w:val="20"/>
        </w:rPr>
        <w:t>v</w:t>
      </w:r>
      <w:r w:rsidR="000C0662" w:rsidRPr="005F3EC2">
        <w:rPr>
          <w:rFonts w:ascii="Times New Roman" w:hAnsi="Times New Roman"/>
          <w:b w:val="0"/>
          <w:sz w:val="20"/>
        </w:rPr>
        <w:t xml:space="preserve">iolence </w:t>
      </w:r>
      <w:r w:rsidR="00FA0E13">
        <w:rPr>
          <w:rFonts w:ascii="Times New Roman" w:hAnsi="Times New Roman"/>
          <w:b w:val="0"/>
          <w:sz w:val="20"/>
        </w:rPr>
        <w:t>are</w:t>
      </w:r>
      <w:r w:rsidR="00FA0E13" w:rsidRPr="005F3EC2">
        <w:rPr>
          <w:rFonts w:ascii="Times New Roman" w:hAnsi="Times New Roman"/>
          <w:b w:val="0"/>
          <w:sz w:val="20"/>
        </w:rPr>
        <w:t xml:space="preserve"> reported annually</w:t>
      </w:r>
      <w:r w:rsidR="000C0662">
        <w:rPr>
          <w:rFonts w:ascii="Times New Roman" w:hAnsi="Times New Roman"/>
          <w:b w:val="0"/>
          <w:sz w:val="20"/>
        </w:rPr>
        <w:t xml:space="preserve">, </w:t>
      </w:r>
      <w:r w:rsidR="00FA0E13">
        <w:rPr>
          <w:rFonts w:ascii="Times New Roman" w:hAnsi="Times New Roman"/>
          <w:b w:val="0"/>
          <w:sz w:val="20"/>
        </w:rPr>
        <w:t>including various forms</w:t>
      </w:r>
      <w:r w:rsidR="00FA0E13" w:rsidRPr="005F3EC2">
        <w:rPr>
          <w:rFonts w:ascii="Times New Roman" w:hAnsi="Times New Roman"/>
          <w:b w:val="0"/>
          <w:sz w:val="20"/>
        </w:rPr>
        <w:t xml:space="preserve"> of physical and emotional abuse</w:t>
      </w:r>
      <w:r w:rsidR="00A40395">
        <w:rPr>
          <w:rFonts w:ascii="Times New Roman" w:hAnsi="Times New Roman"/>
          <w:b w:val="0"/>
          <w:sz w:val="20"/>
        </w:rPr>
        <w:t>.</w:t>
      </w:r>
      <w:r w:rsidR="00FA0E13" w:rsidRPr="005F3EC2">
        <w:rPr>
          <w:rFonts w:ascii="Times New Roman" w:hAnsi="Times New Roman"/>
          <w:b w:val="0"/>
          <w:sz w:val="20"/>
        </w:rPr>
        <w:t xml:space="preserve"> </w:t>
      </w:r>
      <w:r w:rsidR="00606561">
        <w:rPr>
          <w:rFonts w:ascii="Times New Roman" w:hAnsi="Times New Roman"/>
          <w:b w:val="0"/>
          <w:sz w:val="20"/>
        </w:rPr>
        <w:t>E</w:t>
      </w:r>
      <w:r w:rsidR="00FA0E13" w:rsidRPr="005F3EC2">
        <w:rPr>
          <w:rFonts w:ascii="Times New Roman" w:hAnsi="Times New Roman"/>
          <w:b w:val="0"/>
          <w:sz w:val="20"/>
        </w:rPr>
        <w:t xml:space="preserve">arly marriages </w:t>
      </w:r>
      <w:r w:rsidR="0086151C">
        <w:rPr>
          <w:rFonts w:ascii="Times New Roman" w:hAnsi="Times New Roman"/>
          <w:b w:val="0"/>
          <w:sz w:val="20"/>
        </w:rPr>
        <w:t xml:space="preserve">represent </w:t>
      </w:r>
      <w:r w:rsidR="0086151C" w:rsidRPr="005F3EC2">
        <w:rPr>
          <w:rFonts w:ascii="Times New Roman" w:hAnsi="Times New Roman"/>
          <w:b w:val="0"/>
          <w:sz w:val="20"/>
        </w:rPr>
        <w:t>45</w:t>
      </w:r>
      <w:r w:rsidR="000C0662">
        <w:rPr>
          <w:rFonts w:ascii="Times New Roman" w:hAnsi="Times New Roman"/>
          <w:b w:val="0"/>
          <w:sz w:val="20"/>
        </w:rPr>
        <w:t xml:space="preserve"> per cent </w:t>
      </w:r>
      <w:r w:rsidR="00606561">
        <w:rPr>
          <w:rFonts w:ascii="Times New Roman" w:hAnsi="Times New Roman"/>
          <w:b w:val="0"/>
          <w:sz w:val="20"/>
        </w:rPr>
        <w:t>of marriages</w:t>
      </w:r>
      <w:r w:rsidR="000C0662">
        <w:rPr>
          <w:rFonts w:ascii="Times New Roman" w:hAnsi="Times New Roman"/>
          <w:b w:val="0"/>
          <w:sz w:val="20"/>
        </w:rPr>
        <w:t xml:space="preserve">, and </w:t>
      </w:r>
      <w:r w:rsidR="00FA0E13">
        <w:rPr>
          <w:rFonts w:ascii="Times New Roman" w:hAnsi="Times New Roman"/>
          <w:b w:val="0"/>
          <w:sz w:val="20"/>
        </w:rPr>
        <w:t xml:space="preserve">while </w:t>
      </w:r>
      <w:r w:rsidR="00606561">
        <w:rPr>
          <w:rFonts w:ascii="Times New Roman" w:hAnsi="Times New Roman"/>
          <w:b w:val="0"/>
          <w:sz w:val="20"/>
        </w:rPr>
        <w:t xml:space="preserve">most </w:t>
      </w:r>
      <w:r w:rsidR="000C0662">
        <w:rPr>
          <w:rFonts w:ascii="Times New Roman" w:hAnsi="Times New Roman"/>
          <w:b w:val="0"/>
          <w:sz w:val="20"/>
        </w:rPr>
        <w:t xml:space="preserve">types </w:t>
      </w:r>
      <w:r w:rsidR="00606561">
        <w:rPr>
          <w:rFonts w:ascii="Times New Roman" w:hAnsi="Times New Roman"/>
          <w:b w:val="0"/>
          <w:sz w:val="20"/>
        </w:rPr>
        <w:t xml:space="preserve">of </w:t>
      </w:r>
      <w:r w:rsidR="000C0662">
        <w:rPr>
          <w:rFonts w:ascii="Times New Roman" w:hAnsi="Times New Roman"/>
          <w:b w:val="0"/>
          <w:sz w:val="20"/>
        </w:rPr>
        <w:t>gender-</w:t>
      </w:r>
      <w:r w:rsidR="00A40395">
        <w:rPr>
          <w:rFonts w:ascii="Times New Roman" w:hAnsi="Times New Roman"/>
          <w:b w:val="0"/>
          <w:sz w:val="20"/>
        </w:rPr>
        <w:t xml:space="preserve">based </w:t>
      </w:r>
      <w:r w:rsidR="000C0662">
        <w:rPr>
          <w:rFonts w:ascii="Times New Roman" w:hAnsi="Times New Roman"/>
          <w:b w:val="0"/>
          <w:sz w:val="20"/>
        </w:rPr>
        <w:t xml:space="preserve">violence </w:t>
      </w:r>
      <w:r w:rsidR="00FA0E13">
        <w:rPr>
          <w:rFonts w:ascii="Times New Roman" w:hAnsi="Times New Roman"/>
          <w:b w:val="0"/>
          <w:sz w:val="20"/>
        </w:rPr>
        <w:t xml:space="preserve">are legally condemned, </w:t>
      </w:r>
      <w:r w:rsidR="00606561">
        <w:rPr>
          <w:rFonts w:ascii="Times New Roman" w:hAnsi="Times New Roman"/>
          <w:b w:val="0"/>
          <w:sz w:val="20"/>
        </w:rPr>
        <w:t xml:space="preserve">many </w:t>
      </w:r>
      <w:r w:rsidR="00FA0E13">
        <w:rPr>
          <w:rFonts w:ascii="Times New Roman" w:hAnsi="Times New Roman"/>
          <w:b w:val="0"/>
          <w:sz w:val="20"/>
        </w:rPr>
        <w:t>are socially condoned</w:t>
      </w:r>
      <w:r w:rsidR="00606561">
        <w:rPr>
          <w:rFonts w:ascii="Times New Roman" w:hAnsi="Times New Roman"/>
          <w:b w:val="0"/>
          <w:sz w:val="20"/>
        </w:rPr>
        <w:t xml:space="preserve"> and </w:t>
      </w:r>
      <w:r w:rsidR="001C7F64">
        <w:rPr>
          <w:rFonts w:ascii="Times New Roman" w:hAnsi="Times New Roman"/>
          <w:b w:val="0"/>
          <w:sz w:val="20"/>
        </w:rPr>
        <w:t>often</w:t>
      </w:r>
      <w:r w:rsidR="00606561">
        <w:rPr>
          <w:rFonts w:ascii="Times New Roman" w:hAnsi="Times New Roman"/>
          <w:b w:val="0"/>
          <w:sz w:val="20"/>
        </w:rPr>
        <w:t xml:space="preserve"> </w:t>
      </w:r>
      <w:r w:rsidR="001C7F64">
        <w:rPr>
          <w:rFonts w:ascii="Times New Roman" w:hAnsi="Times New Roman"/>
          <w:b w:val="0"/>
          <w:sz w:val="20"/>
        </w:rPr>
        <w:t>considered justifiable</w:t>
      </w:r>
      <w:r w:rsidR="00606561">
        <w:rPr>
          <w:rFonts w:ascii="Times New Roman" w:hAnsi="Times New Roman"/>
          <w:b w:val="0"/>
          <w:sz w:val="20"/>
        </w:rPr>
        <w:t xml:space="preserve"> by the victims themselves</w:t>
      </w:r>
      <w:r w:rsidR="000C0662">
        <w:rPr>
          <w:rFonts w:ascii="Times New Roman" w:hAnsi="Times New Roman"/>
          <w:b w:val="0"/>
          <w:sz w:val="20"/>
        </w:rPr>
        <w:t>.</w:t>
      </w:r>
      <w:r w:rsidR="007317F0">
        <w:rPr>
          <w:rStyle w:val="FootnoteReference"/>
          <w:rFonts w:ascii="Times New Roman" w:hAnsi="Times New Roman"/>
          <w:b w:val="0"/>
          <w:sz w:val="20"/>
        </w:rPr>
        <w:footnoteReference w:id="7"/>
      </w:r>
      <w:r w:rsidR="00A40395">
        <w:rPr>
          <w:rFonts w:ascii="Times New Roman" w:hAnsi="Times New Roman"/>
          <w:b w:val="0"/>
          <w:sz w:val="20"/>
        </w:rPr>
        <w:t xml:space="preserve"> </w:t>
      </w:r>
      <w:r w:rsidR="000C0662">
        <w:rPr>
          <w:rFonts w:ascii="Times New Roman" w:hAnsi="Times New Roman"/>
          <w:b w:val="0"/>
          <w:sz w:val="20"/>
        </w:rPr>
        <w:t xml:space="preserve">Only 13 per cent of current Members of </w:t>
      </w:r>
      <w:r w:rsidR="00A40395" w:rsidRPr="005F3EC2">
        <w:rPr>
          <w:rFonts w:ascii="Times New Roman" w:hAnsi="Times New Roman"/>
          <w:b w:val="0"/>
          <w:sz w:val="20"/>
        </w:rPr>
        <w:t xml:space="preserve">Parliament </w:t>
      </w:r>
      <w:r w:rsidR="000C0662">
        <w:rPr>
          <w:rFonts w:ascii="Times New Roman" w:hAnsi="Times New Roman"/>
          <w:b w:val="0"/>
          <w:sz w:val="20"/>
        </w:rPr>
        <w:t xml:space="preserve">are </w:t>
      </w:r>
      <w:r w:rsidR="00A40395" w:rsidRPr="005F3EC2">
        <w:rPr>
          <w:rFonts w:ascii="Times New Roman" w:hAnsi="Times New Roman"/>
          <w:b w:val="0"/>
          <w:sz w:val="20"/>
        </w:rPr>
        <w:t xml:space="preserve">women, </w:t>
      </w:r>
      <w:r w:rsidR="000C0662">
        <w:rPr>
          <w:rFonts w:ascii="Times New Roman" w:hAnsi="Times New Roman"/>
          <w:b w:val="0"/>
          <w:sz w:val="20"/>
        </w:rPr>
        <w:t xml:space="preserve">and only 6.4 per cent </w:t>
      </w:r>
      <w:r w:rsidR="009A3458">
        <w:rPr>
          <w:rFonts w:ascii="Times New Roman" w:hAnsi="Times New Roman"/>
          <w:b w:val="0"/>
          <w:sz w:val="20"/>
        </w:rPr>
        <w:t xml:space="preserve">of </w:t>
      </w:r>
      <w:r w:rsidR="00A40395" w:rsidRPr="005F3EC2">
        <w:rPr>
          <w:rFonts w:ascii="Times New Roman" w:hAnsi="Times New Roman"/>
          <w:b w:val="0"/>
          <w:sz w:val="20"/>
        </w:rPr>
        <w:t xml:space="preserve">local government </w:t>
      </w:r>
      <w:r w:rsidR="009A3458">
        <w:rPr>
          <w:rFonts w:ascii="Times New Roman" w:hAnsi="Times New Roman"/>
          <w:b w:val="0"/>
          <w:sz w:val="20"/>
        </w:rPr>
        <w:t>representatives</w:t>
      </w:r>
      <w:r w:rsidR="00A40395" w:rsidRPr="005F3EC2">
        <w:rPr>
          <w:rFonts w:ascii="Times New Roman" w:hAnsi="Times New Roman"/>
          <w:b w:val="0"/>
          <w:sz w:val="20"/>
        </w:rPr>
        <w:t xml:space="preserve"> are women.</w:t>
      </w:r>
    </w:p>
    <w:p w14:paraId="5557D69A" w14:textId="2AA10B0F" w:rsidR="00BA76B2" w:rsidRPr="007215F9" w:rsidRDefault="00BA76B2" w:rsidP="005777DC">
      <w:pPr>
        <w:pStyle w:val="Heading2"/>
        <w:numPr>
          <w:ilvl w:val="0"/>
          <w:numId w:val="20"/>
        </w:numPr>
        <w:spacing w:after="120"/>
        <w:ind w:left="1260" w:right="1267" w:firstLine="0"/>
        <w:jc w:val="both"/>
        <w:rPr>
          <w:rFonts w:ascii="Times New Roman" w:hAnsi="Times New Roman"/>
          <w:b w:val="0"/>
          <w:sz w:val="20"/>
        </w:rPr>
      </w:pPr>
      <w:r w:rsidRPr="00F3652F">
        <w:rPr>
          <w:rFonts w:ascii="Times New Roman" w:hAnsi="Times New Roman"/>
          <w:b w:val="0"/>
          <w:sz w:val="20"/>
        </w:rPr>
        <w:t xml:space="preserve">Persistent inequalities reflect the structural </w:t>
      </w:r>
      <w:r>
        <w:rPr>
          <w:rFonts w:ascii="Times New Roman" w:hAnsi="Times New Roman"/>
          <w:b w:val="0"/>
          <w:sz w:val="20"/>
        </w:rPr>
        <w:t>compos</w:t>
      </w:r>
      <w:r w:rsidR="00ED207C">
        <w:rPr>
          <w:rFonts w:ascii="Times New Roman" w:hAnsi="Times New Roman"/>
          <w:b w:val="0"/>
          <w:sz w:val="20"/>
        </w:rPr>
        <w:t>ition of Zambia’s economy</w:t>
      </w:r>
      <w:r w:rsidR="00A07B8B">
        <w:rPr>
          <w:rFonts w:ascii="Times New Roman" w:hAnsi="Times New Roman"/>
          <w:b w:val="0"/>
          <w:sz w:val="20"/>
        </w:rPr>
        <w:t xml:space="preserve"> and</w:t>
      </w:r>
      <w:r w:rsidR="00ED207C">
        <w:rPr>
          <w:rFonts w:ascii="Times New Roman" w:hAnsi="Times New Roman"/>
          <w:b w:val="0"/>
          <w:sz w:val="20"/>
        </w:rPr>
        <w:t xml:space="preserve"> its</w:t>
      </w:r>
      <w:r>
        <w:rPr>
          <w:rFonts w:ascii="Times New Roman" w:hAnsi="Times New Roman"/>
          <w:b w:val="0"/>
          <w:sz w:val="20"/>
        </w:rPr>
        <w:t xml:space="preserve"> expansive territory</w:t>
      </w:r>
      <w:r w:rsidR="009A3458">
        <w:rPr>
          <w:rFonts w:ascii="Times New Roman" w:hAnsi="Times New Roman"/>
          <w:b w:val="0"/>
          <w:sz w:val="20"/>
        </w:rPr>
        <w:t>,</w:t>
      </w:r>
      <w:r>
        <w:rPr>
          <w:rFonts w:ascii="Times New Roman" w:hAnsi="Times New Roman"/>
          <w:b w:val="0"/>
          <w:sz w:val="20"/>
        </w:rPr>
        <w:t xml:space="preserve"> </w:t>
      </w:r>
      <w:r w:rsidR="003E18D7">
        <w:rPr>
          <w:rFonts w:ascii="Times New Roman" w:hAnsi="Times New Roman"/>
          <w:b w:val="0"/>
          <w:sz w:val="20"/>
        </w:rPr>
        <w:t xml:space="preserve">which has </w:t>
      </w:r>
      <w:r>
        <w:rPr>
          <w:rFonts w:ascii="Times New Roman" w:hAnsi="Times New Roman"/>
          <w:b w:val="0"/>
          <w:sz w:val="20"/>
        </w:rPr>
        <w:t>marke</w:t>
      </w:r>
      <w:r w:rsidR="00ED207C">
        <w:rPr>
          <w:rFonts w:ascii="Times New Roman" w:hAnsi="Times New Roman"/>
          <w:b w:val="0"/>
          <w:sz w:val="20"/>
        </w:rPr>
        <w:t>d regional differences in resources</w:t>
      </w:r>
      <w:r>
        <w:rPr>
          <w:rFonts w:ascii="Times New Roman" w:hAnsi="Times New Roman"/>
          <w:b w:val="0"/>
          <w:sz w:val="20"/>
        </w:rPr>
        <w:t>.</w:t>
      </w:r>
      <w:r w:rsidRPr="00F3652F">
        <w:rPr>
          <w:rFonts w:ascii="Times New Roman" w:hAnsi="Times New Roman"/>
          <w:b w:val="0"/>
          <w:sz w:val="20"/>
        </w:rPr>
        <w:t xml:space="preserve"> </w:t>
      </w:r>
      <w:r w:rsidR="00664CE7">
        <w:rPr>
          <w:rFonts w:ascii="Times New Roman" w:hAnsi="Times New Roman"/>
          <w:b w:val="0"/>
          <w:sz w:val="20"/>
        </w:rPr>
        <w:t xml:space="preserve">Although </w:t>
      </w:r>
      <w:r w:rsidRPr="00F3652F">
        <w:rPr>
          <w:rFonts w:ascii="Times New Roman" w:hAnsi="Times New Roman"/>
          <w:b w:val="0"/>
          <w:sz w:val="20"/>
        </w:rPr>
        <w:t xml:space="preserve">Zambia </w:t>
      </w:r>
      <w:r w:rsidR="00ED207C">
        <w:rPr>
          <w:rFonts w:ascii="Times New Roman" w:hAnsi="Times New Roman"/>
          <w:b w:val="0"/>
          <w:sz w:val="20"/>
        </w:rPr>
        <w:t>has</w:t>
      </w:r>
      <w:r w:rsidRPr="00F3652F">
        <w:rPr>
          <w:rFonts w:ascii="Times New Roman" w:hAnsi="Times New Roman"/>
          <w:b w:val="0"/>
          <w:sz w:val="20"/>
        </w:rPr>
        <w:t xml:space="preserve"> abundant natural resources</w:t>
      </w:r>
      <w:r w:rsidR="00EF1187">
        <w:rPr>
          <w:rFonts w:ascii="Times New Roman" w:hAnsi="Times New Roman"/>
          <w:b w:val="0"/>
          <w:sz w:val="20"/>
        </w:rPr>
        <w:t xml:space="preserve">, the </w:t>
      </w:r>
      <w:r w:rsidRPr="00F3652F">
        <w:rPr>
          <w:rFonts w:ascii="Times New Roman" w:hAnsi="Times New Roman"/>
          <w:b w:val="0"/>
          <w:sz w:val="20"/>
        </w:rPr>
        <w:t xml:space="preserve">economy relies heavily on </w:t>
      </w:r>
      <w:r w:rsidR="000E51B8">
        <w:rPr>
          <w:rFonts w:ascii="Times New Roman" w:hAnsi="Times New Roman"/>
          <w:b w:val="0"/>
          <w:sz w:val="20"/>
        </w:rPr>
        <w:t xml:space="preserve">extractive </w:t>
      </w:r>
      <w:r w:rsidR="00B74B70">
        <w:rPr>
          <w:rFonts w:ascii="Times New Roman" w:hAnsi="Times New Roman"/>
          <w:b w:val="0"/>
          <w:sz w:val="20"/>
        </w:rPr>
        <w:t>industries</w:t>
      </w:r>
      <w:r w:rsidRPr="00F3652F">
        <w:rPr>
          <w:rFonts w:ascii="Times New Roman" w:hAnsi="Times New Roman"/>
          <w:b w:val="0"/>
          <w:sz w:val="20"/>
        </w:rPr>
        <w:t xml:space="preserve"> which account for over 70</w:t>
      </w:r>
      <w:r w:rsidR="009A3458">
        <w:rPr>
          <w:rFonts w:ascii="Times New Roman" w:hAnsi="Times New Roman"/>
          <w:b w:val="0"/>
          <w:sz w:val="20"/>
        </w:rPr>
        <w:t xml:space="preserve"> per cent</w:t>
      </w:r>
      <w:r w:rsidR="009A3458" w:rsidRPr="00F3652F">
        <w:rPr>
          <w:rFonts w:ascii="Times New Roman" w:hAnsi="Times New Roman"/>
          <w:b w:val="0"/>
          <w:sz w:val="20"/>
        </w:rPr>
        <w:t xml:space="preserve"> </w:t>
      </w:r>
      <w:r w:rsidRPr="00F3652F">
        <w:rPr>
          <w:rFonts w:ascii="Times New Roman" w:hAnsi="Times New Roman"/>
          <w:b w:val="0"/>
          <w:sz w:val="20"/>
        </w:rPr>
        <w:t>of export earnings, employ less than 2</w:t>
      </w:r>
      <w:r w:rsidR="009A3458">
        <w:rPr>
          <w:rFonts w:ascii="Times New Roman" w:hAnsi="Times New Roman"/>
          <w:b w:val="0"/>
          <w:sz w:val="20"/>
        </w:rPr>
        <w:t xml:space="preserve"> per cent</w:t>
      </w:r>
      <w:r w:rsidR="009A3458" w:rsidRPr="00F3652F">
        <w:rPr>
          <w:rFonts w:ascii="Times New Roman" w:hAnsi="Times New Roman"/>
          <w:b w:val="0"/>
          <w:sz w:val="20"/>
        </w:rPr>
        <w:t xml:space="preserve"> </w:t>
      </w:r>
      <w:r w:rsidRPr="00F3652F">
        <w:rPr>
          <w:rFonts w:ascii="Times New Roman" w:hAnsi="Times New Roman"/>
          <w:b w:val="0"/>
          <w:sz w:val="20"/>
        </w:rPr>
        <w:t>of the population</w:t>
      </w:r>
      <w:r w:rsidR="0018668C">
        <w:rPr>
          <w:rStyle w:val="FootnoteReference"/>
          <w:rFonts w:ascii="Times New Roman" w:hAnsi="Times New Roman"/>
          <w:b w:val="0"/>
          <w:sz w:val="20"/>
        </w:rPr>
        <w:footnoteReference w:id="8"/>
      </w:r>
      <w:r w:rsidRPr="00F3652F">
        <w:rPr>
          <w:rFonts w:ascii="Times New Roman" w:hAnsi="Times New Roman"/>
          <w:b w:val="0"/>
          <w:sz w:val="20"/>
        </w:rPr>
        <w:t xml:space="preserve"> and expose the country to the volatility of world copper prices. </w:t>
      </w:r>
      <w:r w:rsidR="009A3458">
        <w:rPr>
          <w:rFonts w:ascii="Times New Roman" w:hAnsi="Times New Roman"/>
          <w:b w:val="0"/>
          <w:sz w:val="20"/>
        </w:rPr>
        <w:t>Sixty-five per cent</w:t>
      </w:r>
      <w:r w:rsidR="00EF1187">
        <w:rPr>
          <w:rFonts w:ascii="Times New Roman" w:hAnsi="Times New Roman"/>
          <w:b w:val="0"/>
          <w:sz w:val="20"/>
        </w:rPr>
        <w:t xml:space="preserve"> of </w:t>
      </w:r>
      <w:r w:rsidR="009A3458">
        <w:rPr>
          <w:rFonts w:ascii="Times New Roman" w:hAnsi="Times New Roman"/>
          <w:b w:val="0"/>
          <w:sz w:val="20"/>
        </w:rPr>
        <w:t xml:space="preserve">the country's </w:t>
      </w:r>
      <w:r w:rsidR="00CC1932">
        <w:rPr>
          <w:rFonts w:ascii="Times New Roman" w:hAnsi="Times New Roman"/>
          <w:b w:val="0"/>
          <w:sz w:val="20"/>
        </w:rPr>
        <w:t xml:space="preserve">14 million </w:t>
      </w:r>
      <w:r w:rsidR="009A3458">
        <w:rPr>
          <w:rFonts w:ascii="Times New Roman" w:hAnsi="Times New Roman"/>
          <w:b w:val="0"/>
          <w:sz w:val="20"/>
        </w:rPr>
        <w:t xml:space="preserve">people </w:t>
      </w:r>
      <w:r w:rsidR="0011055F" w:rsidRPr="00F3652F">
        <w:rPr>
          <w:rFonts w:ascii="Times New Roman" w:hAnsi="Times New Roman"/>
          <w:b w:val="0"/>
          <w:sz w:val="20"/>
        </w:rPr>
        <w:t>live</w:t>
      </w:r>
      <w:r w:rsidRPr="00F3652F">
        <w:rPr>
          <w:rFonts w:ascii="Times New Roman" w:hAnsi="Times New Roman"/>
          <w:b w:val="0"/>
          <w:sz w:val="20"/>
        </w:rPr>
        <w:t xml:space="preserve"> in rural areas</w:t>
      </w:r>
      <w:r w:rsidR="00FE70C1">
        <w:rPr>
          <w:rFonts w:ascii="Times New Roman" w:hAnsi="Times New Roman"/>
          <w:b w:val="0"/>
          <w:sz w:val="20"/>
        </w:rPr>
        <w:t>,</w:t>
      </w:r>
      <w:r w:rsidRPr="00F3652F">
        <w:rPr>
          <w:rFonts w:ascii="Times New Roman" w:hAnsi="Times New Roman"/>
          <w:b w:val="0"/>
          <w:sz w:val="20"/>
        </w:rPr>
        <w:t xml:space="preserve"> where they depend on subsistence agriculture</w:t>
      </w:r>
      <w:r w:rsidR="002E77E9">
        <w:rPr>
          <w:rFonts w:ascii="Times New Roman" w:hAnsi="Times New Roman"/>
          <w:b w:val="0"/>
          <w:sz w:val="20"/>
        </w:rPr>
        <w:t xml:space="preserve"> and fishing</w:t>
      </w:r>
      <w:r w:rsidRPr="00F3652F">
        <w:rPr>
          <w:rFonts w:ascii="Times New Roman" w:hAnsi="Times New Roman"/>
          <w:b w:val="0"/>
          <w:sz w:val="20"/>
        </w:rPr>
        <w:t>.</w:t>
      </w:r>
      <w:r>
        <w:rPr>
          <w:rFonts w:ascii="Times New Roman" w:hAnsi="Times New Roman"/>
          <w:b w:val="0"/>
          <w:sz w:val="20"/>
        </w:rPr>
        <w:t xml:space="preserve"> Of the </w:t>
      </w:r>
      <w:r w:rsidR="009D15B5">
        <w:rPr>
          <w:rFonts w:ascii="Times New Roman" w:hAnsi="Times New Roman"/>
          <w:b w:val="0"/>
          <w:sz w:val="20"/>
        </w:rPr>
        <w:t>3</w:t>
      </w:r>
      <w:r w:rsidR="003E18D7">
        <w:rPr>
          <w:rFonts w:ascii="Times New Roman" w:hAnsi="Times New Roman"/>
          <w:b w:val="0"/>
          <w:sz w:val="20"/>
        </w:rPr>
        <w:t xml:space="preserve"> </w:t>
      </w:r>
      <w:r w:rsidR="00F631C7">
        <w:rPr>
          <w:rFonts w:ascii="Times New Roman" w:hAnsi="Times New Roman"/>
          <w:b w:val="0"/>
          <w:sz w:val="20"/>
        </w:rPr>
        <w:t>million</w:t>
      </w:r>
      <w:r w:rsidR="009D15B5">
        <w:rPr>
          <w:rFonts w:ascii="Times New Roman" w:hAnsi="Times New Roman"/>
          <w:b w:val="0"/>
          <w:sz w:val="20"/>
        </w:rPr>
        <w:t xml:space="preserve"> men and 2.8</w:t>
      </w:r>
      <w:r w:rsidR="00F631C7">
        <w:rPr>
          <w:rFonts w:ascii="Times New Roman" w:hAnsi="Times New Roman"/>
          <w:b w:val="0"/>
          <w:sz w:val="20"/>
        </w:rPr>
        <w:t xml:space="preserve"> million</w:t>
      </w:r>
      <w:r w:rsidR="009D15B5">
        <w:rPr>
          <w:rFonts w:ascii="Times New Roman" w:hAnsi="Times New Roman"/>
          <w:b w:val="0"/>
          <w:sz w:val="20"/>
        </w:rPr>
        <w:t xml:space="preserve"> </w:t>
      </w:r>
      <w:r w:rsidR="00F631C7">
        <w:rPr>
          <w:rFonts w:ascii="Times New Roman" w:hAnsi="Times New Roman"/>
          <w:b w:val="0"/>
          <w:sz w:val="20"/>
        </w:rPr>
        <w:t>women</w:t>
      </w:r>
      <w:r>
        <w:rPr>
          <w:rFonts w:ascii="Times New Roman" w:hAnsi="Times New Roman"/>
          <w:b w:val="0"/>
          <w:sz w:val="20"/>
        </w:rPr>
        <w:t xml:space="preserve"> in the work force,</w:t>
      </w:r>
      <w:r w:rsidR="001A0009">
        <w:rPr>
          <w:rFonts w:ascii="Times New Roman" w:hAnsi="Times New Roman"/>
          <w:b w:val="0"/>
          <w:sz w:val="20"/>
        </w:rPr>
        <w:t xml:space="preserve"> </w:t>
      </w:r>
      <w:r>
        <w:rPr>
          <w:rFonts w:ascii="Times New Roman" w:hAnsi="Times New Roman"/>
          <w:b w:val="0"/>
          <w:sz w:val="20"/>
        </w:rPr>
        <w:t xml:space="preserve">only </w:t>
      </w:r>
      <w:r w:rsidR="009A3458">
        <w:rPr>
          <w:rFonts w:ascii="Times New Roman" w:hAnsi="Times New Roman"/>
          <w:b w:val="0"/>
          <w:sz w:val="20"/>
        </w:rPr>
        <w:t>800,000</w:t>
      </w:r>
      <w:r>
        <w:rPr>
          <w:rFonts w:ascii="Times New Roman" w:hAnsi="Times New Roman"/>
          <w:b w:val="0"/>
          <w:sz w:val="20"/>
        </w:rPr>
        <w:t xml:space="preserve"> are formally employed, with the remainder either unemployed or informally employed</w:t>
      </w:r>
      <w:r w:rsidR="009A3458">
        <w:rPr>
          <w:rFonts w:ascii="Times New Roman" w:hAnsi="Times New Roman"/>
          <w:b w:val="0"/>
          <w:sz w:val="20"/>
        </w:rPr>
        <w:t>.</w:t>
      </w:r>
      <w:r w:rsidR="00664CE7">
        <w:rPr>
          <w:rStyle w:val="FootnoteReference"/>
          <w:rFonts w:ascii="Times New Roman" w:hAnsi="Times New Roman"/>
          <w:b w:val="0"/>
          <w:sz w:val="20"/>
        </w:rPr>
        <w:footnoteReference w:id="9"/>
      </w:r>
      <w:r>
        <w:rPr>
          <w:rFonts w:ascii="Times New Roman" w:hAnsi="Times New Roman"/>
          <w:b w:val="0"/>
          <w:sz w:val="20"/>
        </w:rPr>
        <w:t xml:space="preserve"> </w:t>
      </w:r>
      <w:r w:rsidR="009A3458">
        <w:rPr>
          <w:rFonts w:ascii="Times New Roman" w:hAnsi="Times New Roman"/>
          <w:b w:val="0"/>
          <w:sz w:val="20"/>
        </w:rPr>
        <w:t>Inequalities are aggra</w:t>
      </w:r>
      <w:r w:rsidR="00EC02E7">
        <w:rPr>
          <w:rFonts w:ascii="Times New Roman" w:hAnsi="Times New Roman"/>
          <w:b w:val="0"/>
          <w:sz w:val="20"/>
        </w:rPr>
        <w:t>va</w:t>
      </w:r>
      <w:r w:rsidR="009A3458">
        <w:rPr>
          <w:rFonts w:ascii="Times New Roman" w:hAnsi="Times New Roman"/>
          <w:b w:val="0"/>
          <w:sz w:val="20"/>
        </w:rPr>
        <w:t xml:space="preserve">ted by the </w:t>
      </w:r>
      <w:r>
        <w:rPr>
          <w:rFonts w:ascii="Times New Roman" w:hAnsi="Times New Roman"/>
          <w:b w:val="0"/>
          <w:sz w:val="20"/>
        </w:rPr>
        <w:t xml:space="preserve">preponderance of capital-intensive sectors and low value-addition extractive industries as growth drivers in Zambia’s labour-abundant economy. </w:t>
      </w:r>
      <w:r w:rsidRPr="00F3652F">
        <w:rPr>
          <w:rFonts w:ascii="Times New Roman" w:hAnsi="Times New Roman"/>
          <w:b w:val="0"/>
          <w:sz w:val="20"/>
        </w:rPr>
        <w:t>Income distribution, as measured by the Gini coefficient</w:t>
      </w:r>
      <w:r w:rsidR="009A3458">
        <w:rPr>
          <w:rFonts w:ascii="Times New Roman" w:hAnsi="Times New Roman"/>
          <w:b w:val="0"/>
          <w:sz w:val="20"/>
        </w:rPr>
        <w:t>,</w:t>
      </w:r>
      <w:r w:rsidRPr="00F3652F">
        <w:rPr>
          <w:rFonts w:ascii="Times New Roman" w:hAnsi="Times New Roman"/>
          <w:b w:val="0"/>
          <w:sz w:val="20"/>
        </w:rPr>
        <w:t xml:space="preserve"> has worsened </w:t>
      </w:r>
      <w:r w:rsidRPr="0043409C">
        <w:rPr>
          <w:rFonts w:ascii="Times New Roman" w:hAnsi="Times New Roman"/>
          <w:b w:val="0"/>
          <w:sz w:val="20"/>
        </w:rPr>
        <w:t>from 0.57 in 2004 to 0.65 in</w:t>
      </w:r>
      <w:r w:rsidRPr="00F3652F">
        <w:rPr>
          <w:rFonts w:ascii="Times New Roman" w:hAnsi="Times New Roman"/>
          <w:b w:val="0"/>
          <w:sz w:val="20"/>
        </w:rPr>
        <w:t xml:space="preserve"> 2010, placing Zambia among the most unequal countries in the world</w:t>
      </w:r>
      <w:r>
        <w:rPr>
          <w:rFonts w:ascii="Times New Roman" w:hAnsi="Times New Roman"/>
          <w:b w:val="0"/>
          <w:sz w:val="20"/>
        </w:rPr>
        <w:t>.</w:t>
      </w:r>
      <w:r w:rsidRPr="007215F9">
        <w:rPr>
          <w:rFonts w:ascii="Times New Roman" w:hAnsi="Times New Roman"/>
          <w:b w:val="0"/>
          <w:sz w:val="20"/>
        </w:rPr>
        <w:t xml:space="preserve">  </w:t>
      </w:r>
    </w:p>
    <w:p w14:paraId="25D0ABB6" w14:textId="559F2234" w:rsidR="00BA76B2" w:rsidRDefault="00BA76B2" w:rsidP="00B15CA1">
      <w:pPr>
        <w:numPr>
          <w:ilvl w:val="0"/>
          <w:numId w:val="20"/>
        </w:numPr>
        <w:spacing w:after="120"/>
        <w:ind w:left="1260" w:right="1267" w:firstLine="0"/>
        <w:jc w:val="both"/>
      </w:pPr>
      <w:r w:rsidRPr="00F3652F">
        <w:t xml:space="preserve">Zambia’s natural resources have vast potential for stimulating </w:t>
      </w:r>
      <w:r w:rsidR="00664CE7">
        <w:t xml:space="preserve">economic </w:t>
      </w:r>
      <w:r w:rsidRPr="00F3652F">
        <w:t xml:space="preserve">growth through increased food production, nature-based tourism, forest products and </w:t>
      </w:r>
      <w:r w:rsidR="007317F0">
        <w:t>primary products</w:t>
      </w:r>
      <w:r w:rsidRPr="00F3652F">
        <w:t>. At present, most natural resources are exported as raw materials with little value addition</w:t>
      </w:r>
      <w:r w:rsidR="00901172">
        <w:t>,</w:t>
      </w:r>
      <w:r w:rsidR="00A07B8B">
        <w:t xml:space="preserve"> inhibiting</w:t>
      </w:r>
      <w:r w:rsidRPr="00F3652F">
        <w:t xml:space="preserve"> </w:t>
      </w:r>
      <w:r w:rsidR="009A3458" w:rsidRPr="00F3652F">
        <w:t>industriali</w:t>
      </w:r>
      <w:r w:rsidR="009A3458">
        <w:t>z</w:t>
      </w:r>
      <w:r w:rsidR="009A3458" w:rsidRPr="00F3652F">
        <w:t>ation</w:t>
      </w:r>
      <w:r w:rsidRPr="00F3652F">
        <w:t xml:space="preserve">, economic diversification and the creation of jobs. Poorly regulated </w:t>
      </w:r>
      <w:r w:rsidR="009A3458" w:rsidRPr="00F3652F">
        <w:t>utili</w:t>
      </w:r>
      <w:r w:rsidR="009A3458">
        <w:t>z</w:t>
      </w:r>
      <w:r w:rsidR="009A3458" w:rsidRPr="00F3652F">
        <w:t xml:space="preserve">ation </w:t>
      </w:r>
      <w:r w:rsidRPr="00F3652F">
        <w:t>of natural resources an</w:t>
      </w:r>
      <w:r w:rsidR="00ED207C">
        <w:t>d climate variation</w:t>
      </w:r>
      <w:r>
        <w:t xml:space="preserve"> undermine</w:t>
      </w:r>
      <w:r w:rsidRPr="00F3652F">
        <w:t xml:space="preserve"> the potential of those resources to contribute to poverty reduction and </w:t>
      </w:r>
      <w:r w:rsidR="007215F9">
        <w:t xml:space="preserve">a </w:t>
      </w:r>
      <w:r w:rsidR="009A3458" w:rsidRPr="00F3652F">
        <w:t>low</w:t>
      </w:r>
      <w:r w:rsidR="009A3458">
        <w:t>-carbon-</w:t>
      </w:r>
      <w:r w:rsidRPr="00F3652F">
        <w:t>emission</w:t>
      </w:r>
      <w:r w:rsidR="007215F9">
        <w:t xml:space="preserve"> development path</w:t>
      </w:r>
      <w:r w:rsidRPr="00F3652F">
        <w:t xml:space="preserve">. </w:t>
      </w:r>
      <w:r w:rsidR="003E18D7">
        <w:t>A</w:t>
      </w:r>
      <w:r w:rsidRPr="00F3652F">
        <w:t>gricultural production methods based on extensive farming systems and limited alternative sources of energy exacerbate deforestation and compromise climate change mitigation</w:t>
      </w:r>
      <w:r w:rsidR="00A01E56">
        <w:t xml:space="preserve"> and adaptation</w:t>
      </w:r>
      <w:r w:rsidRPr="00F3652F">
        <w:t>.</w:t>
      </w:r>
      <w:r>
        <w:t xml:space="preserve"> </w:t>
      </w:r>
    </w:p>
    <w:p w14:paraId="51582FD2" w14:textId="2294ECF1" w:rsidR="00BA76B2" w:rsidRDefault="00BA76B2" w:rsidP="00B15CA1">
      <w:pPr>
        <w:numPr>
          <w:ilvl w:val="0"/>
          <w:numId w:val="20"/>
        </w:numPr>
        <w:spacing w:after="120"/>
        <w:ind w:left="1260" w:right="1267" w:firstLine="0"/>
        <w:jc w:val="both"/>
        <w:rPr>
          <w:color w:val="000000"/>
        </w:rPr>
      </w:pPr>
      <w:r>
        <w:rPr>
          <w:color w:val="000000"/>
        </w:rPr>
        <w:t xml:space="preserve">The Government’s strategic </w:t>
      </w:r>
      <w:r w:rsidR="00A07B8B">
        <w:rPr>
          <w:color w:val="000000"/>
        </w:rPr>
        <w:t xml:space="preserve">development </w:t>
      </w:r>
      <w:r w:rsidR="00CC09C3">
        <w:rPr>
          <w:color w:val="000000"/>
        </w:rPr>
        <w:t>focus</w:t>
      </w:r>
      <w:r>
        <w:rPr>
          <w:color w:val="000000"/>
        </w:rPr>
        <w:t xml:space="preserve"> seeks to address low levels of employment, promote rural development, reduce widening inequalities</w:t>
      </w:r>
      <w:r w:rsidR="00DE1237">
        <w:rPr>
          <w:color w:val="000000"/>
        </w:rPr>
        <w:t xml:space="preserve"> and promote economic diversification</w:t>
      </w:r>
      <w:r>
        <w:rPr>
          <w:color w:val="000000"/>
        </w:rPr>
        <w:t xml:space="preserve">. </w:t>
      </w:r>
      <w:r w:rsidR="00DE1237">
        <w:rPr>
          <w:color w:val="000000"/>
        </w:rPr>
        <w:t>T</w:t>
      </w:r>
      <w:r>
        <w:rPr>
          <w:color w:val="000000"/>
        </w:rPr>
        <w:t>he economy requires ad</w:t>
      </w:r>
      <w:r w:rsidR="00664CE7">
        <w:rPr>
          <w:color w:val="000000"/>
        </w:rPr>
        <w:t>equate capacity to capture revenues</w:t>
      </w:r>
      <w:r>
        <w:rPr>
          <w:color w:val="000000"/>
        </w:rPr>
        <w:t xml:space="preserve"> from </w:t>
      </w:r>
      <w:r w:rsidR="009A3458">
        <w:rPr>
          <w:color w:val="000000"/>
        </w:rPr>
        <w:t xml:space="preserve">Zambia's </w:t>
      </w:r>
      <w:r>
        <w:rPr>
          <w:color w:val="000000"/>
        </w:rPr>
        <w:t>vast natural resources and reallocate them across the country to reduce income</w:t>
      </w:r>
      <w:r w:rsidR="009A3458">
        <w:rPr>
          <w:color w:val="000000"/>
        </w:rPr>
        <w:t>-related</w:t>
      </w:r>
      <w:r>
        <w:rPr>
          <w:color w:val="000000"/>
        </w:rPr>
        <w:t xml:space="preserve"> and regional inequalities through investments in both social and productive sectors. </w:t>
      </w:r>
      <w:r w:rsidR="00A07B8B">
        <w:rPr>
          <w:color w:val="000000"/>
        </w:rPr>
        <w:t>A</w:t>
      </w:r>
      <w:r>
        <w:rPr>
          <w:color w:val="000000"/>
        </w:rPr>
        <w:t xml:space="preserve"> primary goal is to </w:t>
      </w:r>
      <w:r w:rsidR="00ED207C">
        <w:rPr>
          <w:color w:val="000000"/>
        </w:rPr>
        <w:t>ensure a national response that</w:t>
      </w:r>
      <w:r>
        <w:rPr>
          <w:color w:val="000000"/>
        </w:rPr>
        <w:t xml:space="preserve"> creates an environment with greater social justice and equity in access</w:t>
      </w:r>
      <w:r w:rsidR="00CC09C3">
        <w:rPr>
          <w:color w:val="000000"/>
        </w:rPr>
        <w:t>ing</w:t>
      </w:r>
      <w:r>
        <w:rPr>
          <w:color w:val="000000"/>
        </w:rPr>
        <w:t xml:space="preserve"> fundamental drivers of development, namely education, health, food security and jobs, especially among </w:t>
      </w:r>
      <w:r w:rsidR="00CC09C3">
        <w:rPr>
          <w:color w:val="000000"/>
        </w:rPr>
        <w:t xml:space="preserve">women and </w:t>
      </w:r>
      <w:r>
        <w:rPr>
          <w:color w:val="000000"/>
        </w:rPr>
        <w:t xml:space="preserve">youth. </w:t>
      </w:r>
    </w:p>
    <w:p w14:paraId="3F2F68CD" w14:textId="0E2D603A" w:rsidR="009B1055" w:rsidRPr="0086151C" w:rsidRDefault="009A3458" w:rsidP="008609FC">
      <w:pPr>
        <w:pStyle w:val="Heading2"/>
        <w:numPr>
          <w:ilvl w:val="0"/>
          <w:numId w:val="20"/>
        </w:numPr>
        <w:spacing w:after="120"/>
        <w:ind w:left="1260" w:right="1267" w:firstLine="0"/>
        <w:jc w:val="both"/>
        <w:rPr>
          <w:rFonts w:ascii="Times New Roman" w:hAnsi="Times New Roman"/>
          <w:b w:val="0"/>
          <w:sz w:val="20"/>
        </w:rPr>
      </w:pPr>
      <w:r>
        <w:rPr>
          <w:rFonts w:ascii="Times New Roman" w:hAnsi="Times New Roman"/>
          <w:b w:val="0"/>
          <w:sz w:val="20"/>
        </w:rPr>
        <w:t xml:space="preserve">The </w:t>
      </w:r>
      <w:r w:rsidR="00DB32D1" w:rsidRPr="0086151C">
        <w:rPr>
          <w:rFonts w:ascii="Times New Roman" w:hAnsi="Times New Roman"/>
          <w:b w:val="0"/>
          <w:sz w:val="20"/>
        </w:rPr>
        <w:t xml:space="preserve">Government </w:t>
      </w:r>
      <w:r w:rsidRPr="0086151C">
        <w:rPr>
          <w:rFonts w:ascii="Times New Roman" w:hAnsi="Times New Roman"/>
          <w:b w:val="0"/>
          <w:sz w:val="20"/>
        </w:rPr>
        <w:t>prioriti</w:t>
      </w:r>
      <w:r>
        <w:rPr>
          <w:rFonts w:ascii="Times New Roman" w:hAnsi="Times New Roman"/>
          <w:b w:val="0"/>
          <w:sz w:val="20"/>
        </w:rPr>
        <w:t>z</w:t>
      </w:r>
      <w:r w:rsidRPr="0086151C">
        <w:rPr>
          <w:rFonts w:ascii="Times New Roman" w:hAnsi="Times New Roman"/>
          <w:b w:val="0"/>
          <w:sz w:val="20"/>
        </w:rPr>
        <w:t xml:space="preserve">es </w:t>
      </w:r>
      <w:r w:rsidR="00ED207C" w:rsidRPr="0086151C">
        <w:rPr>
          <w:rFonts w:ascii="Times New Roman" w:hAnsi="Times New Roman"/>
          <w:b w:val="0"/>
          <w:sz w:val="20"/>
        </w:rPr>
        <w:t>the development of</w:t>
      </w:r>
      <w:r w:rsidR="00965A83" w:rsidRPr="0086151C">
        <w:rPr>
          <w:rFonts w:ascii="Times New Roman" w:hAnsi="Times New Roman"/>
          <w:b w:val="0"/>
          <w:sz w:val="20"/>
        </w:rPr>
        <w:t xml:space="preserve"> </w:t>
      </w:r>
      <w:r w:rsidR="00605013" w:rsidRPr="0086151C">
        <w:rPr>
          <w:rFonts w:ascii="Times New Roman" w:hAnsi="Times New Roman"/>
          <w:b w:val="0"/>
          <w:sz w:val="20"/>
        </w:rPr>
        <w:t>national capacity for transform</w:t>
      </w:r>
      <w:r w:rsidR="00965A83" w:rsidRPr="0086151C">
        <w:rPr>
          <w:rFonts w:ascii="Times New Roman" w:hAnsi="Times New Roman"/>
          <w:b w:val="0"/>
          <w:sz w:val="20"/>
        </w:rPr>
        <w:t>ing</w:t>
      </w:r>
      <w:r w:rsidR="00ED207C" w:rsidRPr="0086151C">
        <w:rPr>
          <w:rFonts w:ascii="Times New Roman" w:hAnsi="Times New Roman"/>
          <w:b w:val="0"/>
          <w:sz w:val="20"/>
        </w:rPr>
        <w:t xml:space="preserve"> deep-seated negative socio</w:t>
      </w:r>
      <w:r w:rsidR="00605013" w:rsidRPr="0086151C">
        <w:rPr>
          <w:rFonts w:ascii="Times New Roman" w:hAnsi="Times New Roman"/>
          <w:b w:val="0"/>
          <w:sz w:val="20"/>
        </w:rPr>
        <w:t>cultural</w:t>
      </w:r>
      <w:r w:rsidR="00AD3E3F" w:rsidRPr="0086151C">
        <w:rPr>
          <w:rFonts w:ascii="Times New Roman" w:hAnsi="Times New Roman"/>
          <w:b w:val="0"/>
          <w:sz w:val="20"/>
        </w:rPr>
        <w:t xml:space="preserve"> </w:t>
      </w:r>
      <w:r w:rsidR="00605013" w:rsidRPr="0086151C">
        <w:rPr>
          <w:rFonts w:ascii="Times New Roman" w:hAnsi="Times New Roman"/>
          <w:b w:val="0"/>
          <w:sz w:val="20"/>
        </w:rPr>
        <w:t>norms</w:t>
      </w:r>
      <w:r w:rsidR="00AD3E3F" w:rsidRPr="0086151C">
        <w:rPr>
          <w:rFonts w:ascii="Times New Roman" w:hAnsi="Times New Roman"/>
          <w:b w:val="0"/>
          <w:sz w:val="20"/>
        </w:rPr>
        <w:t>, values</w:t>
      </w:r>
      <w:r w:rsidR="00605013" w:rsidRPr="0086151C">
        <w:rPr>
          <w:rFonts w:ascii="Times New Roman" w:hAnsi="Times New Roman"/>
          <w:b w:val="0"/>
          <w:sz w:val="20"/>
        </w:rPr>
        <w:t xml:space="preserve"> </w:t>
      </w:r>
      <w:r w:rsidR="006F6848" w:rsidRPr="0086151C">
        <w:rPr>
          <w:rFonts w:ascii="Times New Roman" w:hAnsi="Times New Roman"/>
          <w:b w:val="0"/>
          <w:sz w:val="20"/>
        </w:rPr>
        <w:t xml:space="preserve">and </w:t>
      </w:r>
      <w:r w:rsidR="00AD3E3F" w:rsidRPr="0086151C">
        <w:rPr>
          <w:rFonts w:ascii="Times New Roman" w:hAnsi="Times New Roman"/>
          <w:b w:val="0"/>
          <w:sz w:val="20"/>
        </w:rPr>
        <w:t xml:space="preserve">determinants </w:t>
      </w:r>
      <w:r w:rsidR="00DB32D1" w:rsidRPr="0086151C">
        <w:rPr>
          <w:rFonts w:ascii="Times New Roman" w:hAnsi="Times New Roman"/>
          <w:b w:val="0"/>
          <w:sz w:val="20"/>
        </w:rPr>
        <w:t>that</w:t>
      </w:r>
      <w:r w:rsidR="006F6848" w:rsidRPr="0086151C">
        <w:rPr>
          <w:rFonts w:ascii="Times New Roman" w:hAnsi="Times New Roman"/>
          <w:b w:val="0"/>
          <w:sz w:val="20"/>
        </w:rPr>
        <w:t xml:space="preserve"> underm</w:t>
      </w:r>
      <w:r w:rsidR="00ED207C" w:rsidRPr="0086151C">
        <w:rPr>
          <w:rFonts w:ascii="Times New Roman" w:hAnsi="Times New Roman"/>
          <w:b w:val="0"/>
          <w:sz w:val="20"/>
        </w:rPr>
        <w:t xml:space="preserve">ine </w:t>
      </w:r>
      <w:r w:rsidR="006F6848" w:rsidRPr="0086151C">
        <w:rPr>
          <w:rFonts w:ascii="Times New Roman" w:hAnsi="Times New Roman"/>
          <w:b w:val="0"/>
          <w:sz w:val="20"/>
        </w:rPr>
        <w:t>participat</w:t>
      </w:r>
      <w:r w:rsidR="00CC09C3" w:rsidRPr="0086151C">
        <w:rPr>
          <w:rFonts w:ascii="Times New Roman" w:hAnsi="Times New Roman"/>
          <w:b w:val="0"/>
          <w:sz w:val="20"/>
        </w:rPr>
        <w:t xml:space="preserve">ion </w:t>
      </w:r>
      <w:r w:rsidR="004B7B6A" w:rsidRPr="0086151C">
        <w:rPr>
          <w:rFonts w:ascii="Times New Roman" w:hAnsi="Times New Roman"/>
          <w:b w:val="0"/>
          <w:sz w:val="20"/>
        </w:rPr>
        <w:t>in national</w:t>
      </w:r>
      <w:r w:rsidR="006F6848" w:rsidRPr="0086151C">
        <w:rPr>
          <w:rFonts w:ascii="Times New Roman" w:hAnsi="Times New Roman"/>
          <w:b w:val="0"/>
          <w:sz w:val="20"/>
        </w:rPr>
        <w:t xml:space="preserve"> processes</w:t>
      </w:r>
      <w:r w:rsidR="00ED207C" w:rsidRPr="0086151C">
        <w:rPr>
          <w:rFonts w:ascii="Times New Roman" w:hAnsi="Times New Roman"/>
          <w:b w:val="0"/>
          <w:sz w:val="20"/>
        </w:rPr>
        <w:t>,</w:t>
      </w:r>
      <w:r w:rsidR="006F6848" w:rsidRPr="0086151C">
        <w:rPr>
          <w:rFonts w:ascii="Times New Roman" w:hAnsi="Times New Roman"/>
          <w:b w:val="0"/>
          <w:sz w:val="20"/>
        </w:rPr>
        <w:t xml:space="preserve"> fuel gender inequality and </w:t>
      </w:r>
      <w:r w:rsidRPr="0086151C">
        <w:rPr>
          <w:rFonts w:ascii="Times New Roman" w:hAnsi="Times New Roman"/>
          <w:b w:val="0"/>
          <w:sz w:val="20"/>
        </w:rPr>
        <w:t>marginali</w:t>
      </w:r>
      <w:r>
        <w:rPr>
          <w:rFonts w:ascii="Times New Roman" w:hAnsi="Times New Roman"/>
          <w:b w:val="0"/>
          <w:sz w:val="20"/>
        </w:rPr>
        <w:t>z</w:t>
      </w:r>
      <w:r w:rsidRPr="0086151C">
        <w:rPr>
          <w:rFonts w:ascii="Times New Roman" w:hAnsi="Times New Roman"/>
          <w:b w:val="0"/>
          <w:sz w:val="20"/>
        </w:rPr>
        <w:t xml:space="preserve">e </w:t>
      </w:r>
      <w:r w:rsidR="006F6848" w:rsidRPr="0086151C">
        <w:rPr>
          <w:rFonts w:ascii="Times New Roman" w:hAnsi="Times New Roman"/>
          <w:b w:val="0"/>
          <w:sz w:val="20"/>
        </w:rPr>
        <w:t>sections of the community.</w:t>
      </w:r>
      <w:r w:rsidR="009114EB" w:rsidRPr="0086151C">
        <w:rPr>
          <w:rFonts w:ascii="Times New Roman" w:hAnsi="Times New Roman"/>
          <w:b w:val="0"/>
          <w:sz w:val="20"/>
        </w:rPr>
        <w:t xml:space="preserve"> </w:t>
      </w:r>
      <w:r w:rsidR="006F6848" w:rsidRPr="0086151C">
        <w:rPr>
          <w:rFonts w:ascii="Times New Roman" w:hAnsi="Times New Roman"/>
          <w:b w:val="0"/>
          <w:sz w:val="20"/>
        </w:rPr>
        <w:t>Limited participation in national processes</w:t>
      </w:r>
      <w:r w:rsidR="009114EB" w:rsidRPr="0086151C">
        <w:rPr>
          <w:rFonts w:ascii="Times New Roman" w:hAnsi="Times New Roman"/>
          <w:b w:val="0"/>
          <w:sz w:val="20"/>
        </w:rPr>
        <w:t xml:space="preserve"> such as elections undermine</w:t>
      </w:r>
      <w:r w:rsidR="003E18D7" w:rsidRPr="0086151C">
        <w:rPr>
          <w:rFonts w:ascii="Times New Roman" w:hAnsi="Times New Roman"/>
          <w:b w:val="0"/>
          <w:sz w:val="20"/>
        </w:rPr>
        <w:t>s</w:t>
      </w:r>
      <w:r w:rsidR="009114EB" w:rsidRPr="0086151C">
        <w:rPr>
          <w:rFonts w:ascii="Times New Roman" w:hAnsi="Times New Roman"/>
          <w:b w:val="0"/>
          <w:sz w:val="20"/>
        </w:rPr>
        <w:t xml:space="preserve"> the national mandate of government</w:t>
      </w:r>
      <w:r>
        <w:rPr>
          <w:rFonts w:ascii="Times New Roman" w:hAnsi="Times New Roman"/>
          <w:b w:val="0"/>
          <w:sz w:val="20"/>
        </w:rPr>
        <w:t>.</w:t>
      </w:r>
      <w:r w:rsidR="00DB32D1" w:rsidRPr="0086151C">
        <w:rPr>
          <w:rFonts w:ascii="Times New Roman" w:hAnsi="Times New Roman"/>
          <w:b w:val="0"/>
          <w:sz w:val="20"/>
          <w:vertAlign w:val="superscript"/>
        </w:rPr>
        <w:footnoteReference w:id="10"/>
      </w:r>
      <w:r w:rsidR="009114EB" w:rsidRPr="0086151C">
        <w:rPr>
          <w:rFonts w:ascii="Times New Roman" w:hAnsi="Times New Roman"/>
          <w:b w:val="0"/>
          <w:sz w:val="20"/>
        </w:rPr>
        <w:t xml:space="preserve"> </w:t>
      </w:r>
      <w:r w:rsidR="00A07B8B" w:rsidRPr="0086151C">
        <w:rPr>
          <w:rFonts w:ascii="Times New Roman" w:hAnsi="Times New Roman"/>
          <w:b w:val="0"/>
          <w:sz w:val="20"/>
        </w:rPr>
        <w:t>L</w:t>
      </w:r>
      <w:r w:rsidR="009114EB" w:rsidRPr="0086151C">
        <w:rPr>
          <w:rFonts w:ascii="Times New Roman" w:hAnsi="Times New Roman"/>
          <w:b w:val="0"/>
          <w:sz w:val="20"/>
        </w:rPr>
        <w:t xml:space="preserve">imited </w:t>
      </w:r>
      <w:r w:rsidR="006F6848" w:rsidRPr="0086151C">
        <w:rPr>
          <w:rFonts w:ascii="Times New Roman" w:hAnsi="Times New Roman"/>
          <w:b w:val="0"/>
          <w:sz w:val="20"/>
        </w:rPr>
        <w:t>transparency</w:t>
      </w:r>
      <w:r>
        <w:rPr>
          <w:rFonts w:ascii="Times New Roman" w:hAnsi="Times New Roman"/>
          <w:b w:val="0"/>
          <w:sz w:val="20"/>
        </w:rPr>
        <w:t xml:space="preserve"> and</w:t>
      </w:r>
      <w:r w:rsidRPr="0086151C">
        <w:rPr>
          <w:rFonts w:ascii="Times New Roman" w:hAnsi="Times New Roman"/>
          <w:b w:val="0"/>
          <w:sz w:val="20"/>
        </w:rPr>
        <w:t xml:space="preserve"> </w:t>
      </w:r>
      <w:r w:rsidR="006F6848" w:rsidRPr="0086151C">
        <w:rPr>
          <w:rFonts w:ascii="Times New Roman" w:hAnsi="Times New Roman"/>
          <w:b w:val="0"/>
          <w:sz w:val="20"/>
        </w:rPr>
        <w:t>accountability</w:t>
      </w:r>
      <w:r w:rsidR="009114EB" w:rsidRPr="0086151C">
        <w:rPr>
          <w:rFonts w:ascii="Times New Roman" w:hAnsi="Times New Roman"/>
          <w:b w:val="0"/>
          <w:sz w:val="20"/>
        </w:rPr>
        <w:t xml:space="preserve"> and inadequate implementation capacity</w:t>
      </w:r>
      <w:r w:rsidR="00965A83" w:rsidRPr="0086151C">
        <w:rPr>
          <w:rFonts w:ascii="Times New Roman" w:hAnsi="Times New Roman"/>
          <w:b w:val="0"/>
          <w:sz w:val="20"/>
        </w:rPr>
        <w:t xml:space="preserve"> in national institutions</w:t>
      </w:r>
      <w:r w:rsidR="009114EB" w:rsidRPr="0086151C">
        <w:rPr>
          <w:rFonts w:ascii="Times New Roman" w:hAnsi="Times New Roman"/>
          <w:b w:val="0"/>
          <w:sz w:val="20"/>
        </w:rPr>
        <w:t xml:space="preserve"> adversely affect achievement of </w:t>
      </w:r>
      <w:r w:rsidR="00642F20" w:rsidRPr="0086151C">
        <w:rPr>
          <w:rFonts w:ascii="Times New Roman" w:hAnsi="Times New Roman"/>
          <w:b w:val="0"/>
          <w:sz w:val="20"/>
        </w:rPr>
        <w:t xml:space="preserve">development </w:t>
      </w:r>
      <w:r w:rsidR="009114EB" w:rsidRPr="0086151C">
        <w:rPr>
          <w:rFonts w:ascii="Times New Roman" w:hAnsi="Times New Roman"/>
          <w:b w:val="0"/>
          <w:sz w:val="20"/>
        </w:rPr>
        <w:t>results</w:t>
      </w:r>
      <w:r w:rsidR="003E18D7" w:rsidRPr="0086151C">
        <w:rPr>
          <w:rFonts w:ascii="Times New Roman" w:hAnsi="Times New Roman"/>
          <w:b w:val="0"/>
          <w:sz w:val="20"/>
        </w:rPr>
        <w:t>:</w:t>
      </w:r>
      <w:r w:rsidR="009114EB" w:rsidRPr="0086151C">
        <w:rPr>
          <w:rFonts w:ascii="Times New Roman" w:hAnsi="Times New Roman"/>
          <w:b w:val="0"/>
          <w:sz w:val="20"/>
        </w:rPr>
        <w:t xml:space="preserve"> </w:t>
      </w:r>
      <w:r w:rsidR="003E18D7" w:rsidRPr="0086151C">
        <w:rPr>
          <w:rFonts w:ascii="Times New Roman" w:hAnsi="Times New Roman"/>
          <w:b w:val="0"/>
          <w:sz w:val="20"/>
        </w:rPr>
        <w:t>i</w:t>
      </w:r>
      <w:r w:rsidR="00642F20" w:rsidRPr="0086151C">
        <w:rPr>
          <w:rFonts w:ascii="Times New Roman" w:hAnsi="Times New Roman"/>
          <w:b w:val="0"/>
          <w:sz w:val="20"/>
        </w:rPr>
        <w:t xml:space="preserve">n 2012, </w:t>
      </w:r>
      <w:r w:rsidR="00C37780" w:rsidRPr="0086151C">
        <w:rPr>
          <w:rFonts w:ascii="Times New Roman" w:hAnsi="Times New Roman"/>
          <w:b w:val="0"/>
          <w:sz w:val="20"/>
        </w:rPr>
        <w:t>55</w:t>
      </w:r>
      <w:r>
        <w:rPr>
          <w:rFonts w:ascii="Times New Roman" w:hAnsi="Times New Roman"/>
          <w:b w:val="0"/>
          <w:sz w:val="20"/>
        </w:rPr>
        <w:t xml:space="preserve"> per cent</w:t>
      </w:r>
      <w:r w:rsidRPr="0086151C">
        <w:rPr>
          <w:rFonts w:ascii="Times New Roman" w:hAnsi="Times New Roman"/>
          <w:b w:val="0"/>
          <w:sz w:val="20"/>
        </w:rPr>
        <w:t xml:space="preserve"> </w:t>
      </w:r>
      <w:r w:rsidR="00C37780" w:rsidRPr="0086151C">
        <w:rPr>
          <w:rFonts w:ascii="Times New Roman" w:hAnsi="Times New Roman"/>
          <w:b w:val="0"/>
          <w:sz w:val="20"/>
        </w:rPr>
        <w:t xml:space="preserve">of </w:t>
      </w:r>
      <w:r w:rsidR="003F6A67" w:rsidRPr="0086151C">
        <w:rPr>
          <w:rFonts w:ascii="Times New Roman" w:hAnsi="Times New Roman"/>
          <w:b w:val="0"/>
          <w:sz w:val="20"/>
        </w:rPr>
        <w:t>national audits</w:t>
      </w:r>
      <w:r w:rsidR="000F2212" w:rsidRPr="0086151C">
        <w:rPr>
          <w:rFonts w:ascii="Times New Roman" w:hAnsi="Times New Roman"/>
          <w:b w:val="0"/>
          <w:sz w:val="20"/>
        </w:rPr>
        <w:t xml:space="preserve"> </w:t>
      </w:r>
      <w:r w:rsidR="00ED207C" w:rsidRPr="0086151C">
        <w:rPr>
          <w:rFonts w:ascii="Times New Roman" w:hAnsi="Times New Roman"/>
          <w:b w:val="0"/>
          <w:sz w:val="20"/>
        </w:rPr>
        <w:t>undertaken</w:t>
      </w:r>
      <w:r w:rsidR="009061B2" w:rsidRPr="0086151C">
        <w:rPr>
          <w:rFonts w:ascii="Times New Roman" w:hAnsi="Times New Roman"/>
          <w:b w:val="0"/>
          <w:sz w:val="20"/>
        </w:rPr>
        <w:t xml:space="preserve"> were qualified</w:t>
      </w:r>
      <w:r w:rsidR="00C37780" w:rsidRPr="0086151C">
        <w:rPr>
          <w:rFonts w:ascii="Times New Roman" w:hAnsi="Times New Roman"/>
          <w:b w:val="0"/>
          <w:sz w:val="20"/>
        </w:rPr>
        <w:t xml:space="preserve"> </w:t>
      </w:r>
      <w:r w:rsidR="00E11280" w:rsidRPr="0086151C">
        <w:rPr>
          <w:rFonts w:ascii="Times New Roman" w:hAnsi="Times New Roman"/>
          <w:b w:val="0"/>
          <w:sz w:val="20"/>
        </w:rPr>
        <w:t xml:space="preserve">and </w:t>
      </w:r>
      <w:r w:rsidR="003E18D7" w:rsidRPr="0086151C">
        <w:rPr>
          <w:rFonts w:ascii="Times New Roman" w:hAnsi="Times New Roman"/>
          <w:b w:val="0"/>
          <w:sz w:val="20"/>
        </w:rPr>
        <w:t xml:space="preserve">only </w:t>
      </w:r>
      <w:r w:rsidR="00E11280" w:rsidRPr="0086151C">
        <w:rPr>
          <w:rFonts w:ascii="Times New Roman" w:hAnsi="Times New Roman"/>
          <w:b w:val="0"/>
          <w:sz w:val="20"/>
        </w:rPr>
        <w:t>58</w:t>
      </w:r>
      <w:r>
        <w:rPr>
          <w:rFonts w:ascii="Times New Roman" w:hAnsi="Times New Roman"/>
          <w:b w:val="0"/>
          <w:sz w:val="20"/>
        </w:rPr>
        <w:t xml:space="preserve"> per cent</w:t>
      </w:r>
      <w:r w:rsidRPr="0086151C">
        <w:rPr>
          <w:rFonts w:ascii="Times New Roman" w:hAnsi="Times New Roman"/>
          <w:b w:val="0"/>
          <w:sz w:val="20"/>
        </w:rPr>
        <w:t xml:space="preserve"> </w:t>
      </w:r>
      <w:r w:rsidR="00EB208C" w:rsidRPr="0086151C">
        <w:rPr>
          <w:rFonts w:ascii="Times New Roman" w:hAnsi="Times New Roman"/>
          <w:b w:val="0"/>
          <w:sz w:val="20"/>
        </w:rPr>
        <w:t>of the programmes of the S</w:t>
      </w:r>
      <w:r w:rsidR="00642F20" w:rsidRPr="0086151C">
        <w:rPr>
          <w:rFonts w:ascii="Times New Roman" w:hAnsi="Times New Roman"/>
          <w:b w:val="0"/>
          <w:sz w:val="20"/>
        </w:rPr>
        <w:t>ix</w:t>
      </w:r>
      <w:r w:rsidR="007317F0">
        <w:rPr>
          <w:rFonts w:ascii="Times New Roman" w:hAnsi="Times New Roman"/>
          <w:b w:val="0"/>
          <w:sz w:val="20"/>
        </w:rPr>
        <w:t>th</w:t>
      </w:r>
      <w:r w:rsidR="00642F20" w:rsidRPr="0086151C">
        <w:rPr>
          <w:rFonts w:ascii="Times New Roman" w:hAnsi="Times New Roman"/>
          <w:b w:val="0"/>
          <w:sz w:val="20"/>
        </w:rPr>
        <w:t xml:space="preserve"> </w:t>
      </w:r>
      <w:r w:rsidR="00EB208C" w:rsidRPr="0086151C">
        <w:rPr>
          <w:rFonts w:ascii="Times New Roman" w:hAnsi="Times New Roman"/>
          <w:b w:val="0"/>
          <w:sz w:val="20"/>
        </w:rPr>
        <w:t>N</w:t>
      </w:r>
      <w:r w:rsidR="00642F20" w:rsidRPr="0086151C">
        <w:rPr>
          <w:rFonts w:ascii="Times New Roman" w:hAnsi="Times New Roman"/>
          <w:b w:val="0"/>
          <w:sz w:val="20"/>
        </w:rPr>
        <w:t>ational Development Plan</w:t>
      </w:r>
      <w:r w:rsidR="00583492">
        <w:rPr>
          <w:rFonts w:ascii="Times New Roman" w:hAnsi="Times New Roman"/>
          <w:b w:val="0"/>
          <w:sz w:val="20"/>
        </w:rPr>
        <w:t xml:space="preserve"> (SNDP)</w:t>
      </w:r>
      <w:r w:rsidR="00642F20" w:rsidRPr="0086151C">
        <w:rPr>
          <w:rFonts w:ascii="Times New Roman" w:hAnsi="Times New Roman"/>
          <w:b w:val="0"/>
          <w:sz w:val="20"/>
        </w:rPr>
        <w:t xml:space="preserve"> had </w:t>
      </w:r>
      <w:r w:rsidR="00642F20" w:rsidRPr="0086151C">
        <w:rPr>
          <w:rFonts w:ascii="Times New Roman" w:hAnsi="Times New Roman"/>
          <w:b w:val="0"/>
          <w:sz w:val="20"/>
        </w:rPr>
        <w:lastRenderedPageBreak/>
        <w:t>been implemented.</w:t>
      </w:r>
      <w:r w:rsidR="00EB208C" w:rsidRPr="0086151C">
        <w:rPr>
          <w:rFonts w:ascii="Times New Roman" w:hAnsi="Times New Roman"/>
          <w:b w:val="0"/>
          <w:sz w:val="20"/>
          <w:vertAlign w:val="superscript"/>
        </w:rPr>
        <w:footnoteReference w:id="11"/>
      </w:r>
      <w:r w:rsidR="00E6187A" w:rsidRPr="0086151C">
        <w:rPr>
          <w:rFonts w:ascii="Times New Roman" w:hAnsi="Times New Roman"/>
          <w:b w:val="0"/>
          <w:sz w:val="20"/>
          <w:vertAlign w:val="superscript"/>
        </w:rPr>
        <w:t xml:space="preserve"> </w:t>
      </w:r>
      <w:r w:rsidR="00E6187A" w:rsidRPr="0086151C">
        <w:rPr>
          <w:rFonts w:ascii="Times New Roman" w:hAnsi="Times New Roman"/>
          <w:b w:val="0"/>
          <w:sz w:val="20"/>
        </w:rPr>
        <w:t xml:space="preserve">Weak </w:t>
      </w:r>
      <w:r w:rsidR="007215F9" w:rsidRPr="0086151C">
        <w:rPr>
          <w:rFonts w:ascii="Times New Roman" w:hAnsi="Times New Roman"/>
          <w:b w:val="0"/>
          <w:sz w:val="20"/>
        </w:rPr>
        <w:t>i</w:t>
      </w:r>
      <w:r w:rsidR="00E6187A" w:rsidRPr="0086151C">
        <w:rPr>
          <w:rFonts w:ascii="Times New Roman" w:hAnsi="Times New Roman"/>
          <w:b w:val="0"/>
          <w:sz w:val="20"/>
        </w:rPr>
        <w:t xml:space="preserve">ntegration of planning processes has undermined </w:t>
      </w:r>
      <w:r w:rsidR="00077A22">
        <w:rPr>
          <w:rFonts w:ascii="Times New Roman" w:hAnsi="Times New Roman"/>
          <w:b w:val="0"/>
          <w:sz w:val="20"/>
        </w:rPr>
        <w:t xml:space="preserve">the </w:t>
      </w:r>
      <w:r w:rsidR="00A40A39" w:rsidRPr="0086151C">
        <w:rPr>
          <w:rFonts w:ascii="Times New Roman" w:hAnsi="Times New Roman"/>
          <w:b w:val="0"/>
          <w:sz w:val="20"/>
        </w:rPr>
        <w:t>coherence of national policies and programmes</w:t>
      </w:r>
      <w:r w:rsidR="00ED207C" w:rsidRPr="0086151C">
        <w:rPr>
          <w:rFonts w:ascii="Times New Roman" w:hAnsi="Times New Roman"/>
          <w:b w:val="0"/>
          <w:sz w:val="20"/>
        </w:rPr>
        <w:t>.</w:t>
      </w:r>
    </w:p>
    <w:p w14:paraId="23CD956E" w14:textId="2C423192" w:rsidR="00331E0C" w:rsidRPr="0086151C" w:rsidRDefault="005C2B84" w:rsidP="00B15CA1">
      <w:pPr>
        <w:pStyle w:val="Heading2"/>
        <w:numPr>
          <w:ilvl w:val="0"/>
          <w:numId w:val="20"/>
        </w:numPr>
        <w:spacing w:after="120"/>
        <w:ind w:left="1260" w:right="1267" w:firstLine="0"/>
        <w:jc w:val="both"/>
        <w:rPr>
          <w:rFonts w:ascii="Times New Roman" w:hAnsi="Times New Roman"/>
          <w:b w:val="0"/>
          <w:sz w:val="20"/>
        </w:rPr>
      </w:pPr>
      <w:r w:rsidRPr="0086151C">
        <w:rPr>
          <w:rFonts w:ascii="Times New Roman" w:hAnsi="Times New Roman"/>
          <w:b w:val="0"/>
          <w:sz w:val="20"/>
        </w:rPr>
        <w:t>Zambia has ratified most of the international</w:t>
      </w:r>
      <w:r w:rsidR="00642F20" w:rsidRPr="0086151C">
        <w:rPr>
          <w:rFonts w:ascii="Times New Roman" w:hAnsi="Times New Roman"/>
          <w:b w:val="0"/>
          <w:sz w:val="20"/>
        </w:rPr>
        <w:t xml:space="preserve"> and regional</w:t>
      </w:r>
      <w:r w:rsidRPr="0086151C">
        <w:rPr>
          <w:rFonts w:ascii="Times New Roman" w:hAnsi="Times New Roman"/>
          <w:b w:val="0"/>
          <w:sz w:val="20"/>
        </w:rPr>
        <w:t xml:space="preserve"> conventions and protocols</w:t>
      </w:r>
      <w:r w:rsidR="00077A22">
        <w:rPr>
          <w:rFonts w:ascii="Times New Roman" w:hAnsi="Times New Roman"/>
          <w:b w:val="0"/>
          <w:sz w:val="20"/>
        </w:rPr>
        <w:t xml:space="preserve">, </w:t>
      </w:r>
      <w:r w:rsidR="00EC02E7">
        <w:rPr>
          <w:rFonts w:ascii="Times New Roman" w:hAnsi="Times New Roman"/>
          <w:b w:val="0"/>
          <w:sz w:val="20"/>
        </w:rPr>
        <w:t>although</w:t>
      </w:r>
      <w:r w:rsidR="007215F9" w:rsidRPr="0086151C">
        <w:rPr>
          <w:rFonts w:ascii="Times New Roman" w:hAnsi="Times New Roman"/>
          <w:b w:val="0"/>
          <w:sz w:val="20"/>
        </w:rPr>
        <w:t xml:space="preserve"> w</w:t>
      </w:r>
      <w:r w:rsidR="00DB32D1" w:rsidRPr="0086151C">
        <w:rPr>
          <w:rFonts w:ascii="Times New Roman" w:hAnsi="Times New Roman"/>
          <w:b w:val="0"/>
          <w:sz w:val="20"/>
        </w:rPr>
        <w:t xml:space="preserve">eak implementation and monitoring of </w:t>
      </w:r>
      <w:r w:rsidR="007215F9" w:rsidRPr="0086151C">
        <w:rPr>
          <w:rFonts w:ascii="Times New Roman" w:hAnsi="Times New Roman"/>
          <w:b w:val="0"/>
          <w:sz w:val="20"/>
        </w:rPr>
        <w:t xml:space="preserve">these </w:t>
      </w:r>
      <w:r w:rsidR="00DB32D1" w:rsidRPr="0086151C">
        <w:rPr>
          <w:rFonts w:ascii="Times New Roman" w:hAnsi="Times New Roman"/>
          <w:b w:val="0"/>
          <w:sz w:val="20"/>
        </w:rPr>
        <w:t xml:space="preserve">instruments has delayed </w:t>
      </w:r>
      <w:r w:rsidR="007215F9" w:rsidRPr="0086151C">
        <w:rPr>
          <w:rFonts w:ascii="Times New Roman" w:hAnsi="Times New Roman"/>
          <w:b w:val="0"/>
          <w:sz w:val="20"/>
        </w:rPr>
        <w:t xml:space="preserve">their </w:t>
      </w:r>
      <w:r w:rsidR="00DB32D1" w:rsidRPr="0086151C">
        <w:rPr>
          <w:rFonts w:ascii="Times New Roman" w:hAnsi="Times New Roman"/>
          <w:b w:val="0"/>
          <w:sz w:val="20"/>
        </w:rPr>
        <w:t xml:space="preserve">domestication and </w:t>
      </w:r>
      <w:r w:rsidR="00077A22" w:rsidRPr="0086151C">
        <w:rPr>
          <w:rFonts w:ascii="Times New Roman" w:hAnsi="Times New Roman"/>
          <w:b w:val="0"/>
          <w:sz w:val="20"/>
        </w:rPr>
        <w:t>operationali</w:t>
      </w:r>
      <w:r w:rsidR="00077A22">
        <w:rPr>
          <w:rFonts w:ascii="Times New Roman" w:hAnsi="Times New Roman"/>
          <w:b w:val="0"/>
          <w:sz w:val="20"/>
        </w:rPr>
        <w:t>z</w:t>
      </w:r>
      <w:r w:rsidR="00077A22" w:rsidRPr="0086151C">
        <w:rPr>
          <w:rFonts w:ascii="Times New Roman" w:hAnsi="Times New Roman"/>
          <w:b w:val="0"/>
          <w:sz w:val="20"/>
        </w:rPr>
        <w:t>ation</w:t>
      </w:r>
      <w:r w:rsidR="00DB32D1" w:rsidRPr="0086151C">
        <w:rPr>
          <w:rFonts w:ascii="Times New Roman" w:hAnsi="Times New Roman"/>
          <w:b w:val="0"/>
          <w:sz w:val="20"/>
        </w:rPr>
        <w:t xml:space="preserve">. </w:t>
      </w:r>
    </w:p>
    <w:p w14:paraId="20EA572F" w14:textId="210AC8B2" w:rsidR="009033D1" w:rsidRPr="00DB32D1" w:rsidRDefault="009033D1" w:rsidP="00B15CA1">
      <w:pPr>
        <w:shd w:val="clear" w:color="auto" w:fill="FFFFFF"/>
        <w:spacing w:after="120"/>
        <w:ind w:left="1260" w:right="1210"/>
        <w:jc w:val="both"/>
        <w:rPr>
          <w:b/>
          <w:color w:val="000000"/>
        </w:rPr>
      </w:pPr>
      <w:r w:rsidRPr="00DB32D1">
        <w:rPr>
          <w:b/>
          <w:color w:val="000000"/>
        </w:rPr>
        <w:t>M</w:t>
      </w:r>
      <w:r w:rsidR="00497E0F" w:rsidRPr="00DB32D1">
        <w:rPr>
          <w:b/>
          <w:color w:val="000000"/>
        </w:rPr>
        <w:t xml:space="preserve">ajor </w:t>
      </w:r>
      <w:r w:rsidR="00077A22">
        <w:rPr>
          <w:b/>
          <w:color w:val="000000"/>
        </w:rPr>
        <w:t>o</w:t>
      </w:r>
      <w:r w:rsidR="00077A22" w:rsidRPr="00DB32D1">
        <w:rPr>
          <w:b/>
          <w:color w:val="000000"/>
        </w:rPr>
        <w:t>utcome</w:t>
      </w:r>
      <w:r w:rsidR="00077A22">
        <w:rPr>
          <w:b/>
          <w:color w:val="000000"/>
        </w:rPr>
        <w:t>-l</w:t>
      </w:r>
      <w:r w:rsidR="00497E0F" w:rsidRPr="00DB32D1">
        <w:rPr>
          <w:b/>
          <w:color w:val="000000"/>
        </w:rPr>
        <w:t xml:space="preserve">evel </w:t>
      </w:r>
      <w:r w:rsidR="00077A22">
        <w:rPr>
          <w:b/>
          <w:color w:val="000000"/>
        </w:rPr>
        <w:t>s</w:t>
      </w:r>
      <w:r w:rsidR="00077A22" w:rsidRPr="00DB32D1">
        <w:rPr>
          <w:b/>
          <w:color w:val="000000"/>
        </w:rPr>
        <w:t>uccess</w:t>
      </w:r>
      <w:r w:rsidR="00E13CC1">
        <w:rPr>
          <w:b/>
          <w:color w:val="000000"/>
        </w:rPr>
        <w:t>es</w:t>
      </w:r>
    </w:p>
    <w:p w14:paraId="591F5EB8" w14:textId="262250B1" w:rsidR="00694063" w:rsidRPr="0086151C" w:rsidRDefault="00AA6B2A" w:rsidP="00B15CA1">
      <w:pPr>
        <w:pStyle w:val="Heading2"/>
        <w:numPr>
          <w:ilvl w:val="0"/>
          <w:numId w:val="20"/>
        </w:numPr>
        <w:spacing w:after="120"/>
        <w:ind w:left="1260" w:right="1267" w:firstLine="0"/>
        <w:jc w:val="both"/>
        <w:rPr>
          <w:rFonts w:ascii="Times New Roman" w:hAnsi="Times New Roman"/>
          <w:b w:val="0"/>
          <w:sz w:val="20"/>
        </w:rPr>
      </w:pPr>
      <w:r w:rsidRPr="0086151C">
        <w:rPr>
          <w:rFonts w:ascii="Times New Roman" w:hAnsi="Times New Roman"/>
          <w:b w:val="0"/>
          <w:sz w:val="20"/>
        </w:rPr>
        <w:t xml:space="preserve">During the 2010-2015 </w:t>
      </w:r>
      <w:r w:rsidR="00077A22">
        <w:rPr>
          <w:rFonts w:ascii="Times New Roman" w:hAnsi="Times New Roman"/>
          <w:b w:val="0"/>
          <w:sz w:val="20"/>
        </w:rPr>
        <w:t xml:space="preserve">country programme, </w:t>
      </w:r>
      <w:r w:rsidRPr="0086151C">
        <w:rPr>
          <w:rFonts w:ascii="Times New Roman" w:hAnsi="Times New Roman"/>
          <w:b w:val="0"/>
          <w:sz w:val="20"/>
        </w:rPr>
        <w:t xml:space="preserve">major outcome successes were achieved </w:t>
      </w:r>
      <w:r w:rsidR="00077A22" w:rsidRPr="0086151C">
        <w:rPr>
          <w:rFonts w:ascii="Times New Roman" w:hAnsi="Times New Roman"/>
          <w:b w:val="0"/>
          <w:sz w:val="20"/>
        </w:rPr>
        <w:t>in</w:t>
      </w:r>
      <w:r w:rsidR="00077A22">
        <w:rPr>
          <w:rFonts w:ascii="Times New Roman" w:hAnsi="Times New Roman"/>
          <w:b w:val="0"/>
          <w:sz w:val="20"/>
        </w:rPr>
        <w:t xml:space="preserve">: </w:t>
      </w:r>
      <w:r w:rsidRPr="0086151C">
        <w:rPr>
          <w:rFonts w:ascii="Times New Roman" w:hAnsi="Times New Roman"/>
          <w:b w:val="0"/>
          <w:sz w:val="20"/>
        </w:rPr>
        <w:t>(</w:t>
      </w:r>
      <w:r w:rsidR="00077A22">
        <w:rPr>
          <w:rFonts w:ascii="Times New Roman" w:hAnsi="Times New Roman"/>
          <w:b w:val="0"/>
          <w:sz w:val="20"/>
        </w:rPr>
        <w:t>a</w:t>
      </w:r>
      <w:r w:rsidRPr="0086151C">
        <w:rPr>
          <w:rFonts w:ascii="Times New Roman" w:hAnsi="Times New Roman"/>
          <w:b w:val="0"/>
          <w:sz w:val="20"/>
        </w:rPr>
        <w:t>) developing capacities in key national institutions to discharge their mandates</w:t>
      </w:r>
      <w:r w:rsidR="0041708E" w:rsidRPr="0086151C">
        <w:rPr>
          <w:rFonts w:ascii="Times New Roman" w:hAnsi="Times New Roman"/>
          <w:b w:val="0"/>
          <w:sz w:val="20"/>
        </w:rPr>
        <w:t xml:space="preserve"> </w:t>
      </w:r>
      <w:r w:rsidR="007215F9" w:rsidRPr="0086151C">
        <w:rPr>
          <w:rFonts w:ascii="Times New Roman" w:hAnsi="Times New Roman"/>
          <w:b w:val="0"/>
          <w:sz w:val="20"/>
        </w:rPr>
        <w:t>(</w:t>
      </w:r>
      <w:r w:rsidR="0041708E" w:rsidRPr="0086151C">
        <w:rPr>
          <w:rFonts w:ascii="Times New Roman" w:hAnsi="Times New Roman"/>
          <w:b w:val="0"/>
          <w:sz w:val="20"/>
        </w:rPr>
        <w:t>e.g.</w:t>
      </w:r>
      <w:r w:rsidR="00077A22">
        <w:rPr>
          <w:rFonts w:ascii="Times New Roman" w:hAnsi="Times New Roman"/>
          <w:b w:val="0"/>
          <w:sz w:val="20"/>
        </w:rPr>
        <w:t>,</w:t>
      </w:r>
      <w:r w:rsidR="0041708E" w:rsidRPr="0086151C">
        <w:rPr>
          <w:rFonts w:ascii="Times New Roman" w:hAnsi="Times New Roman"/>
          <w:b w:val="0"/>
          <w:sz w:val="20"/>
        </w:rPr>
        <w:t xml:space="preserve"> </w:t>
      </w:r>
      <w:r w:rsidR="00077A22">
        <w:rPr>
          <w:rFonts w:ascii="Times New Roman" w:hAnsi="Times New Roman"/>
          <w:b w:val="0"/>
          <w:sz w:val="20"/>
        </w:rPr>
        <w:t xml:space="preserve">the capacity of the </w:t>
      </w:r>
      <w:r w:rsidR="0041708E" w:rsidRPr="0086151C">
        <w:rPr>
          <w:rFonts w:ascii="Times New Roman" w:hAnsi="Times New Roman"/>
          <w:b w:val="0"/>
          <w:sz w:val="20"/>
        </w:rPr>
        <w:t xml:space="preserve">Ministry of Health to manage </w:t>
      </w:r>
      <w:r w:rsidR="00077A22">
        <w:rPr>
          <w:rFonts w:ascii="Times New Roman" w:hAnsi="Times New Roman"/>
          <w:b w:val="0"/>
          <w:sz w:val="20"/>
        </w:rPr>
        <w:t>grants from the Global Fund to Fight AIDS</w:t>
      </w:r>
      <w:r w:rsidR="00583492">
        <w:rPr>
          <w:rFonts w:ascii="Times New Roman" w:hAnsi="Times New Roman"/>
          <w:b w:val="0"/>
          <w:sz w:val="20"/>
        </w:rPr>
        <w:t>,</w:t>
      </w:r>
      <w:r w:rsidR="00077A22">
        <w:rPr>
          <w:rFonts w:ascii="Times New Roman" w:hAnsi="Times New Roman"/>
          <w:b w:val="0"/>
          <w:sz w:val="20"/>
        </w:rPr>
        <w:t xml:space="preserve"> Tuberculosis and </w:t>
      </w:r>
      <w:r w:rsidR="00E13CC1">
        <w:rPr>
          <w:rFonts w:ascii="Times New Roman" w:hAnsi="Times New Roman"/>
          <w:b w:val="0"/>
          <w:sz w:val="20"/>
        </w:rPr>
        <w:t>Malaria</w:t>
      </w:r>
      <w:r w:rsidR="00E13CC1" w:rsidRPr="0086151C">
        <w:rPr>
          <w:rFonts w:ascii="Times New Roman" w:hAnsi="Times New Roman"/>
          <w:b w:val="0"/>
          <w:sz w:val="20"/>
        </w:rPr>
        <w:t xml:space="preserve"> </w:t>
      </w:r>
      <w:r w:rsidR="0041708E" w:rsidRPr="0086151C">
        <w:rPr>
          <w:rFonts w:ascii="Times New Roman" w:hAnsi="Times New Roman"/>
          <w:b w:val="0"/>
          <w:sz w:val="20"/>
        </w:rPr>
        <w:t xml:space="preserve">and </w:t>
      </w:r>
      <w:r w:rsidR="00DB4DCA">
        <w:rPr>
          <w:rFonts w:ascii="Times New Roman" w:hAnsi="Times New Roman"/>
          <w:b w:val="0"/>
          <w:sz w:val="20"/>
        </w:rPr>
        <w:t xml:space="preserve">be able to </w:t>
      </w:r>
      <w:r w:rsidR="0041708E" w:rsidRPr="0086151C">
        <w:rPr>
          <w:rFonts w:ascii="Times New Roman" w:hAnsi="Times New Roman"/>
          <w:b w:val="0"/>
          <w:sz w:val="20"/>
        </w:rPr>
        <w:t xml:space="preserve">return to its </w:t>
      </w:r>
      <w:r w:rsidR="00077A22">
        <w:rPr>
          <w:rFonts w:ascii="Times New Roman" w:hAnsi="Times New Roman"/>
          <w:b w:val="0"/>
          <w:sz w:val="20"/>
        </w:rPr>
        <w:t xml:space="preserve">role as a </w:t>
      </w:r>
      <w:r w:rsidR="0041708E" w:rsidRPr="0086151C">
        <w:rPr>
          <w:rFonts w:ascii="Times New Roman" w:hAnsi="Times New Roman"/>
          <w:b w:val="0"/>
          <w:sz w:val="20"/>
        </w:rPr>
        <w:t>Principal Recipient</w:t>
      </w:r>
      <w:r w:rsidR="00077A22">
        <w:rPr>
          <w:rFonts w:ascii="Times New Roman" w:hAnsi="Times New Roman"/>
          <w:b w:val="0"/>
          <w:sz w:val="20"/>
        </w:rPr>
        <w:t>,</w:t>
      </w:r>
      <w:r w:rsidR="0041708E" w:rsidRPr="0086151C">
        <w:rPr>
          <w:rFonts w:ascii="Times New Roman" w:hAnsi="Times New Roman"/>
          <w:b w:val="0"/>
          <w:sz w:val="20"/>
        </w:rPr>
        <w:t xml:space="preserve"> and strengthening of the Electoral Commission to be a credible, independent </w:t>
      </w:r>
      <w:r w:rsidR="00077A22">
        <w:rPr>
          <w:rFonts w:ascii="Times New Roman" w:hAnsi="Times New Roman"/>
          <w:b w:val="0"/>
          <w:sz w:val="20"/>
        </w:rPr>
        <w:t>e</w:t>
      </w:r>
      <w:r w:rsidR="00077A22" w:rsidRPr="0086151C">
        <w:rPr>
          <w:rFonts w:ascii="Times New Roman" w:hAnsi="Times New Roman"/>
          <w:b w:val="0"/>
          <w:sz w:val="20"/>
        </w:rPr>
        <w:t xml:space="preserve">lectoral </w:t>
      </w:r>
      <w:r w:rsidR="00077A22">
        <w:rPr>
          <w:rFonts w:ascii="Times New Roman" w:hAnsi="Times New Roman"/>
          <w:b w:val="0"/>
          <w:sz w:val="20"/>
        </w:rPr>
        <w:t>m</w:t>
      </w:r>
      <w:r w:rsidR="00077A22" w:rsidRPr="0086151C">
        <w:rPr>
          <w:rFonts w:ascii="Times New Roman" w:hAnsi="Times New Roman"/>
          <w:b w:val="0"/>
          <w:sz w:val="20"/>
        </w:rPr>
        <w:t xml:space="preserve">anagement </w:t>
      </w:r>
      <w:r w:rsidR="00077A22">
        <w:rPr>
          <w:rFonts w:ascii="Times New Roman" w:hAnsi="Times New Roman"/>
          <w:b w:val="0"/>
          <w:sz w:val="20"/>
        </w:rPr>
        <w:t>b</w:t>
      </w:r>
      <w:r w:rsidR="00077A22" w:rsidRPr="0086151C">
        <w:rPr>
          <w:rFonts w:ascii="Times New Roman" w:hAnsi="Times New Roman"/>
          <w:b w:val="0"/>
          <w:sz w:val="20"/>
        </w:rPr>
        <w:t>ody</w:t>
      </w:r>
      <w:r w:rsidR="007215F9" w:rsidRPr="0086151C">
        <w:rPr>
          <w:rFonts w:ascii="Times New Roman" w:hAnsi="Times New Roman"/>
          <w:b w:val="0"/>
          <w:sz w:val="20"/>
        </w:rPr>
        <w:t>)</w:t>
      </w:r>
      <w:r w:rsidR="00077A22">
        <w:rPr>
          <w:rFonts w:ascii="Times New Roman" w:hAnsi="Times New Roman"/>
          <w:b w:val="0"/>
          <w:sz w:val="20"/>
        </w:rPr>
        <w:t>;</w:t>
      </w:r>
      <w:r w:rsidR="00F002AF" w:rsidRPr="0086151C">
        <w:rPr>
          <w:rFonts w:ascii="Times New Roman" w:hAnsi="Times New Roman"/>
          <w:b w:val="0"/>
          <w:sz w:val="16"/>
          <w:szCs w:val="16"/>
          <w:vertAlign w:val="superscript"/>
        </w:rPr>
        <w:footnoteReference w:id="12"/>
      </w:r>
      <w:r w:rsidRPr="0086151C">
        <w:rPr>
          <w:rFonts w:ascii="Times New Roman" w:hAnsi="Times New Roman"/>
          <w:b w:val="0"/>
          <w:sz w:val="20"/>
        </w:rPr>
        <w:t xml:space="preserve"> (</w:t>
      </w:r>
      <w:r w:rsidR="00077A22">
        <w:rPr>
          <w:rFonts w:ascii="Times New Roman" w:hAnsi="Times New Roman"/>
          <w:b w:val="0"/>
          <w:sz w:val="20"/>
        </w:rPr>
        <w:t>b</w:t>
      </w:r>
      <w:r w:rsidRPr="0086151C">
        <w:rPr>
          <w:rFonts w:ascii="Times New Roman" w:hAnsi="Times New Roman"/>
          <w:b w:val="0"/>
          <w:sz w:val="20"/>
        </w:rPr>
        <w:t xml:space="preserve">) translating results of pilot projects into key national policies </w:t>
      </w:r>
      <w:r w:rsidR="00F43CE9" w:rsidRPr="0086151C">
        <w:rPr>
          <w:rFonts w:ascii="Times New Roman" w:hAnsi="Times New Roman"/>
          <w:b w:val="0"/>
          <w:sz w:val="20"/>
        </w:rPr>
        <w:t>(</w:t>
      </w:r>
      <w:r w:rsidR="0041708E" w:rsidRPr="0086151C">
        <w:rPr>
          <w:rFonts w:ascii="Times New Roman" w:hAnsi="Times New Roman"/>
          <w:b w:val="0"/>
          <w:sz w:val="20"/>
        </w:rPr>
        <w:t>e.g.</w:t>
      </w:r>
      <w:r w:rsidR="00077A22">
        <w:rPr>
          <w:rFonts w:ascii="Times New Roman" w:hAnsi="Times New Roman"/>
          <w:b w:val="0"/>
          <w:sz w:val="20"/>
        </w:rPr>
        <w:t>,</w:t>
      </w:r>
      <w:r w:rsidR="0041708E" w:rsidRPr="0086151C">
        <w:rPr>
          <w:rFonts w:ascii="Times New Roman" w:hAnsi="Times New Roman"/>
          <w:b w:val="0"/>
          <w:sz w:val="20"/>
        </w:rPr>
        <w:t xml:space="preserve"> UNDP supported two successful pilots for adaptation to climate change among small-scale farmers that informed policy formulation and currently serve as a basis for scaling</w:t>
      </w:r>
      <w:r w:rsidR="00077A22">
        <w:rPr>
          <w:rFonts w:ascii="Times New Roman" w:hAnsi="Times New Roman"/>
          <w:b w:val="0"/>
          <w:sz w:val="20"/>
        </w:rPr>
        <w:t xml:space="preserve"> </w:t>
      </w:r>
      <w:r w:rsidR="0041708E" w:rsidRPr="0086151C">
        <w:rPr>
          <w:rFonts w:ascii="Times New Roman" w:hAnsi="Times New Roman"/>
          <w:b w:val="0"/>
          <w:sz w:val="20"/>
        </w:rPr>
        <w:t xml:space="preserve">up and </w:t>
      </w:r>
      <w:r w:rsidR="00077A22">
        <w:rPr>
          <w:rFonts w:ascii="Times New Roman" w:hAnsi="Times New Roman"/>
          <w:b w:val="0"/>
          <w:sz w:val="20"/>
        </w:rPr>
        <w:t xml:space="preserve">for </w:t>
      </w:r>
      <w:r w:rsidR="0041708E" w:rsidRPr="0086151C">
        <w:rPr>
          <w:rFonts w:ascii="Times New Roman" w:hAnsi="Times New Roman"/>
          <w:b w:val="0"/>
          <w:sz w:val="20"/>
        </w:rPr>
        <w:t>community</w:t>
      </w:r>
      <w:r w:rsidR="00077A22">
        <w:rPr>
          <w:rFonts w:ascii="Times New Roman" w:hAnsi="Times New Roman"/>
          <w:b w:val="0"/>
          <w:sz w:val="20"/>
        </w:rPr>
        <w:t>-</w:t>
      </w:r>
      <w:r w:rsidR="0041708E" w:rsidRPr="0086151C">
        <w:rPr>
          <w:rFonts w:ascii="Times New Roman" w:hAnsi="Times New Roman"/>
          <w:b w:val="0"/>
          <w:sz w:val="20"/>
        </w:rPr>
        <w:t xml:space="preserve">based natural resource management which informed revision of </w:t>
      </w:r>
      <w:r w:rsidR="00077A22">
        <w:rPr>
          <w:rFonts w:ascii="Times New Roman" w:hAnsi="Times New Roman"/>
          <w:b w:val="0"/>
          <w:sz w:val="20"/>
        </w:rPr>
        <w:t>f</w:t>
      </w:r>
      <w:r w:rsidR="00077A22" w:rsidRPr="0086151C">
        <w:rPr>
          <w:rFonts w:ascii="Times New Roman" w:hAnsi="Times New Roman"/>
          <w:b w:val="0"/>
          <w:sz w:val="20"/>
        </w:rPr>
        <w:t xml:space="preserve">orest </w:t>
      </w:r>
      <w:r w:rsidR="0041708E" w:rsidRPr="0086151C">
        <w:rPr>
          <w:rFonts w:ascii="Times New Roman" w:hAnsi="Times New Roman"/>
          <w:b w:val="0"/>
          <w:sz w:val="20"/>
        </w:rPr>
        <w:t>and wildlife policies</w:t>
      </w:r>
      <w:r w:rsidR="00077A22">
        <w:rPr>
          <w:rFonts w:ascii="Times New Roman" w:hAnsi="Times New Roman"/>
          <w:b w:val="0"/>
          <w:sz w:val="20"/>
        </w:rPr>
        <w:t>;</w:t>
      </w:r>
      <w:r w:rsidR="00F002AF" w:rsidRPr="0086151C">
        <w:rPr>
          <w:rFonts w:ascii="Times New Roman" w:hAnsi="Times New Roman"/>
          <w:b w:val="0"/>
          <w:sz w:val="16"/>
          <w:szCs w:val="16"/>
          <w:vertAlign w:val="superscript"/>
        </w:rPr>
        <w:footnoteReference w:id="13"/>
      </w:r>
      <w:r w:rsidR="0041708E" w:rsidRPr="0086151C">
        <w:rPr>
          <w:rFonts w:ascii="Times New Roman" w:hAnsi="Times New Roman"/>
          <w:b w:val="0"/>
          <w:sz w:val="16"/>
          <w:szCs w:val="16"/>
          <w:vertAlign w:val="superscript"/>
        </w:rPr>
        <w:t xml:space="preserve"> </w:t>
      </w:r>
      <w:r w:rsidRPr="0086151C">
        <w:rPr>
          <w:rFonts w:ascii="Times New Roman" w:hAnsi="Times New Roman"/>
          <w:b w:val="0"/>
          <w:sz w:val="20"/>
        </w:rPr>
        <w:t>and (</w:t>
      </w:r>
      <w:r w:rsidR="00077A22">
        <w:rPr>
          <w:rFonts w:ascii="Times New Roman" w:hAnsi="Times New Roman"/>
          <w:b w:val="0"/>
          <w:sz w:val="20"/>
        </w:rPr>
        <w:t>c</w:t>
      </w:r>
      <w:r w:rsidRPr="0086151C">
        <w:rPr>
          <w:rFonts w:ascii="Times New Roman" w:hAnsi="Times New Roman"/>
          <w:b w:val="0"/>
          <w:sz w:val="20"/>
        </w:rPr>
        <w:t>) advocating for legislation to address gender</w:t>
      </w:r>
      <w:r w:rsidR="003E18D7" w:rsidRPr="0086151C">
        <w:rPr>
          <w:rFonts w:ascii="Times New Roman" w:hAnsi="Times New Roman"/>
          <w:b w:val="0"/>
          <w:sz w:val="20"/>
        </w:rPr>
        <w:t>-</w:t>
      </w:r>
      <w:r w:rsidRPr="0086151C">
        <w:rPr>
          <w:rFonts w:ascii="Times New Roman" w:hAnsi="Times New Roman"/>
          <w:b w:val="0"/>
          <w:sz w:val="20"/>
        </w:rPr>
        <w:t xml:space="preserve">based violence and </w:t>
      </w:r>
      <w:r w:rsidR="00642F20" w:rsidRPr="0086151C">
        <w:rPr>
          <w:rFonts w:ascii="Times New Roman" w:hAnsi="Times New Roman"/>
          <w:b w:val="0"/>
          <w:sz w:val="20"/>
        </w:rPr>
        <w:t xml:space="preserve">the </w:t>
      </w:r>
      <w:r w:rsidRPr="0086151C">
        <w:rPr>
          <w:rFonts w:ascii="Times New Roman" w:hAnsi="Times New Roman"/>
          <w:b w:val="0"/>
          <w:sz w:val="20"/>
        </w:rPr>
        <w:t>removal of discriminatory clauses in the legal frameworks</w:t>
      </w:r>
      <w:r w:rsidR="00077A22">
        <w:rPr>
          <w:rFonts w:ascii="Times New Roman" w:hAnsi="Times New Roman"/>
          <w:b w:val="0"/>
          <w:sz w:val="20"/>
        </w:rPr>
        <w:t>.</w:t>
      </w:r>
      <w:r w:rsidR="0061714D" w:rsidRPr="0086151C">
        <w:rPr>
          <w:rFonts w:ascii="Times New Roman" w:hAnsi="Times New Roman"/>
          <w:b w:val="0"/>
          <w:sz w:val="16"/>
          <w:szCs w:val="16"/>
          <w:vertAlign w:val="superscript"/>
        </w:rPr>
        <w:footnoteReference w:id="14"/>
      </w:r>
      <w:r w:rsidRPr="0086151C">
        <w:rPr>
          <w:rFonts w:ascii="Times New Roman" w:hAnsi="Times New Roman"/>
          <w:b w:val="0"/>
          <w:sz w:val="20"/>
        </w:rPr>
        <w:t xml:space="preserve"> </w:t>
      </w:r>
    </w:p>
    <w:p w14:paraId="23819EF9" w14:textId="168E211F" w:rsidR="0046117D" w:rsidRPr="0086151C" w:rsidRDefault="0041708E" w:rsidP="00B15CA1">
      <w:pPr>
        <w:pStyle w:val="Heading2"/>
        <w:numPr>
          <w:ilvl w:val="0"/>
          <w:numId w:val="20"/>
        </w:numPr>
        <w:tabs>
          <w:tab w:val="left" w:pos="1620"/>
        </w:tabs>
        <w:spacing w:after="120"/>
        <w:ind w:left="1260" w:right="1267" w:firstLine="0"/>
        <w:jc w:val="both"/>
        <w:rPr>
          <w:rFonts w:ascii="Times New Roman" w:hAnsi="Times New Roman"/>
          <w:b w:val="0"/>
          <w:sz w:val="20"/>
        </w:rPr>
      </w:pPr>
      <w:r w:rsidRPr="0086151C">
        <w:rPr>
          <w:rFonts w:ascii="Times New Roman" w:hAnsi="Times New Roman"/>
          <w:b w:val="0"/>
          <w:sz w:val="20"/>
        </w:rPr>
        <w:t>The</w:t>
      </w:r>
      <w:r w:rsidR="003E18D7" w:rsidRPr="0086151C">
        <w:rPr>
          <w:rFonts w:ascii="Times New Roman" w:hAnsi="Times New Roman"/>
          <w:b w:val="0"/>
          <w:sz w:val="20"/>
        </w:rPr>
        <w:t xml:space="preserve">se results </w:t>
      </w:r>
      <w:r w:rsidRPr="0086151C">
        <w:rPr>
          <w:rFonts w:ascii="Times New Roman" w:hAnsi="Times New Roman"/>
          <w:b w:val="0"/>
          <w:sz w:val="20"/>
        </w:rPr>
        <w:t xml:space="preserve">form a basis for implementing </w:t>
      </w:r>
      <w:r w:rsidR="00077A22">
        <w:rPr>
          <w:rFonts w:ascii="Times New Roman" w:hAnsi="Times New Roman"/>
          <w:b w:val="0"/>
          <w:sz w:val="20"/>
        </w:rPr>
        <w:t>the proposed country programme</w:t>
      </w:r>
      <w:r w:rsidR="0046117D" w:rsidRPr="0086151C">
        <w:rPr>
          <w:rFonts w:ascii="Times New Roman" w:hAnsi="Times New Roman"/>
          <w:b w:val="0"/>
          <w:sz w:val="20"/>
        </w:rPr>
        <w:t xml:space="preserve"> focusing on</w:t>
      </w:r>
      <w:r w:rsidR="00077A22">
        <w:rPr>
          <w:rFonts w:ascii="Times New Roman" w:hAnsi="Times New Roman"/>
          <w:b w:val="0"/>
          <w:sz w:val="20"/>
        </w:rPr>
        <w:t>:</w:t>
      </w:r>
      <w:r w:rsidR="0046117D" w:rsidRPr="0086151C">
        <w:rPr>
          <w:rFonts w:ascii="Times New Roman" w:hAnsi="Times New Roman"/>
          <w:b w:val="0"/>
          <w:sz w:val="20"/>
        </w:rPr>
        <w:t xml:space="preserve"> (</w:t>
      </w:r>
      <w:r w:rsidR="00077A22">
        <w:rPr>
          <w:rFonts w:ascii="Times New Roman" w:hAnsi="Times New Roman"/>
          <w:b w:val="0"/>
          <w:sz w:val="20"/>
        </w:rPr>
        <w:t>a</w:t>
      </w:r>
      <w:r w:rsidR="0046117D" w:rsidRPr="0086151C">
        <w:rPr>
          <w:rFonts w:ascii="Times New Roman" w:hAnsi="Times New Roman"/>
          <w:b w:val="0"/>
          <w:sz w:val="20"/>
        </w:rPr>
        <w:t xml:space="preserve">) providing </w:t>
      </w:r>
      <w:r w:rsidRPr="0086151C">
        <w:rPr>
          <w:rFonts w:ascii="Times New Roman" w:hAnsi="Times New Roman"/>
          <w:b w:val="0"/>
          <w:sz w:val="20"/>
        </w:rPr>
        <w:t xml:space="preserve">support </w:t>
      </w:r>
      <w:r w:rsidR="00077A22">
        <w:rPr>
          <w:rFonts w:ascii="Times New Roman" w:hAnsi="Times New Roman"/>
          <w:b w:val="0"/>
          <w:sz w:val="20"/>
        </w:rPr>
        <w:t>for</w:t>
      </w:r>
      <w:r w:rsidR="00077A22" w:rsidRPr="0086151C">
        <w:rPr>
          <w:rFonts w:ascii="Times New Roman" w:hAnsi="Times New Roman"/>
          <w:b w:val="0"/>
          <w:sz w:val="20"/>
        </w:rPr>
        <w:t xml:space="preserve"> </w:t>
      </w:r>
      <w:r w:rsidRPr="0086151C">
        <w:rPr>
          <w:rFonts w:ascii="Times New Roman" w:hAnsi="Times New Roman"/>
          <w:b w:val="0"/>
          <w:sz w:val="20"/>
        </w:rPr>
        <w:t>developing strategies that target communities and community leaders to address social and behavio</w:t>
      </w:r>
      <w:r w:rsidR="0046117D" w:rsidRPr="0086151C">
        <w:rPr>
          <w:rFonts w:ascii="Times New Roman" w:hAnsi="Times New Roman"/>
          <w:b w:val="0"/>
          <w:sz w:val="20"/>
        </w:rPr>
        <w:t>ural change for gender equality; (</w:t>
      </w:r>
      <w:r w:rsidR="00077A22">
        <w:rPr>
          <w:rFonts w:ascii="Times New Roman" w:hAnsi="Times New Roman"/>
          <w:b w:val="0"/>
          <w:sz w:val="20"/>
        </w:rPr>
        <w:t>b</w:t>
      </w:r>
      <w:r w:rsidR="0046117D" w:rsidRPr="0086151C">
        <w:rPr>
          <w:rFonts w:ascii="Times New Roman" w:hAnsi="Times New Roman"/>
          <w:b w:val="0"/>
          <w:sz w:val="20"/>
        </w:rPr>
        <w:t xml:space="preserve">) working with political parties to further intraparty democracy and </w:t>
      </w:r>
      <w:r w:rsidR="00077A22">
        <w:rPr>
          <w:rFonts w:ascii="Times New Roman" w:hAnsi="Times New Roman"/>
          <w:b w:val="0"/>
          <w:sz w:val="20"/>
        </w:rPr>
        <w:t>selection</w:t>
      </w:r>
      <w:r w:rsidR="00077A22" w:rsidRPr="0086151C">
        <w:rPr>
          <w:rFonts w:ascii="Times New Roman" w:hAnsi="Times New Roman"/>
          <w:b w:val="0"/>
          <w:sz w:val="20"/>
        </w:rPr>
        <w:t xml:space="preserve"> </w:t>
      </w:r>
      <w:r w:rsidR="0046117D" w:rsidRPr="0086151C">
        <w:rPr>
          <w:rFonts w:ascii="Times New Roman" w:hAnsi="Times New Roman"/>
          <w:b w:val="0"/>
          <w:sz w:val="20"/>
        </w:rPr>
        <w:t>of female candidates</w:t>
      </w:r>
      <w:r w:rsidR="00077A22">
        <w:rPr>
          <w:rFonts w:ascii="Times New Roman" w:hAnsi="Times New Roman"/>
          <w:b w:val="0"/>
          <w:sz w:val="20"/>
        </w:rPr>
        <w:t>;</w:t>
      </w:r>
      <w:r w:rsidR="0046117D" w:rsidRPr="0086151C">
        <w:rPr>
          <w:rFonts w:ascii="Times New Roman" w:hAnsi="Times New Roman"/>
          <w:b w:val="0"/>
          <w:sz w:val="20"/>
        </w:rPr>
        <w:t xml:space="preserve"> (</w:t>
      </w:r>
      <w:r w:rsidR="00077A22">
        <w:rPr>
          <w:rFonts w:ascii="Times New Roman" w:hAnsi="Times New Roman"/>
          <w:b w:val="0"/>
          <w:sz w:val="20"/>
        </w:rPr>
        <w:t>c</w:t>
      </w:r>
      <w:r w:rsidR="0046117D" w:rsidRPr="0086151C">
        <w:rPr>
          <w:rFonts w:ascii="Times New Roman" w:hAnsi="Times New Roman"/>
          <w:b w:val="0"/>
          <w:sz w:val="20"/>
        </w:rPr>
        <w:t xml:space="preserve">) building </w:t>
      </w:r>
      <w:r w:rsidR="00077A22">
        <w:rPr>
          <w:rFonts w:ascii="Times New Roman" w:hAnsi="Times New Roman"/>
          <w:b w:val="0"/>
          <w:sz w:val="20"/>
        </w:rPr>
        <w:t xml:space="preserve">the </w:t>
      </w:r>
      <w:r w:rsidR="00077A22" w:rsidRPr="0086151C">
        <w:rPr>
          <w:rFonts w:ascii="Times New Roman" w:hAnsi="Times New Roman"/>
          <w:b w:val="0"/>
          <w:sz w:val="20"/>
        </w:rPr>
        <w:t>capacit</w:t>
      </w:r>
      <w:r w:rsidR="00077A22">
        <w:rPr>
          <w:rFonts w:ascii="Times New Roman" w:hAnsi="Times New Roman"/>
          <w:b w:val="0"/>
          <w:sz w:val="20"/>
        </w:rPr>
        <w:t>ies</w:t>
      </w:r>
      <w:r w:rsidR="00077A22" w:rsidRPr="0086151C">
        <w:rPr>
          <w:rFonts w:ascii="Times New Roman" w:hAnsi="Times New Roman"/>
          <w:b w:val="0"/>
          <w:sz w:val="20"/>
        </w:rPr>
        <w:t xml:space="preserve"> </w:t>
      </w:r>
      <w:r w:rsidR="0046117D" w:rsidRPr="0086151C">
        <w:rPr>
          <w:rFonts w:ascii="Times New Roman" w:hAnsi="Times New Roman"/>
          <w:b w:val="0"/>
          <w:sz w:val="20"/>
        </w:rPr>
        <w:t>of national counterparts to develop and implement coherent policies</w:t>
      </w:r>
      <w:r w:rsidR="002F6E3F">
        <w:rPr>
          <w:rFonts w:ascii="Times New Roman" w:hAnsi="Times New Roman"/>
          <w:b w:val="0"/>
          <w:sz w:val="20"/>
        </w:rPr>
        <w:t xml:space="preserve"> and</w:t>
      </w:r>
      <w:r w:rsidR="002F6E3F" w:rsidRPr="0086151C">
        <w:rPr>
          <w:rFonts w:ascii="Times New Roman" w:hAnsi="Times New Roman"/>
          <w:b w:val="0"/>
          <w:sz w:val="20"/>
        </w:rPr>
        <w:t xml:space="preserve"> </w:t>
      </w:r>
      <w:r w:rsidR="0046117D" w:rsidRPr="0086151C">
        <w:rPr>
          <w:rFonts w:ascii="Times New Roman" w:hAnsi="Times New Roman"/>
          <w:b w:val="0"/>
          <w:sz w:val="20"/>
        </w:rPr>
        <w:t xml:space="preserve">legal </w:t>
      </w:r>
      <w:r w:rsidR="00AE61CA" w:rsidRPr="0086151C">
        <w:rPr>
          <w:rFonts w:ascii="Times New Roman" w:hAnsi="Times New Roman"/>
          <w:b w:val="0"/>
          <w:sz w:val="20"/>
        </w:rPr>
        <w:t xml:space="preserve">and accountability </w:t>
      </w:r>
      <w:r w:rsidR="0046117D" w:rsidRPr="0086151C">
        <w:rPr>
          <w:rFonts w:ascii="Times New Roman" w:hAnsi="Times New Roman"/>
          <w:b w:val="0"/>
          <w:sz w:val="20"/>
        </w:rPr>
        <w:t>framework</w:t>
      </w:r>
      <w:r w:rsidR="00AE61CA" w:rsidRPr="0086151C">
        <w:rPr>
          <w:rFonts w:ascii="Times New Roman" w:hAnsi="Times New Roman"/>
          <w:b w:val="0"/>
          <w:sz w:val="20"/>
        </w:rPr>
        <w:t xml:space="preserve">s </w:t>
      </w:r>
      <w:r w:rsidR="002F6E3F">
        <w:rPr>
          <w:rFonts w:ascii="Times New Roman" w:hAnsi="Times New Roman"/>
          <w:b w:val="0"/>
          <w:sz w:val="20"/>
        </w:rPr>
        <w:t xml:space="preserve">for areas </w:t>
      </w:r>
      <w:r w:rsidR="00AE61CA" w:rsidRPr="0086151C">
        <w:rPr>
          <w:rFonts w:ascii="Times New Roman" w:hAnsi="Times New Roman"/>
          <w:b w:val="0"/>
          <w:sz w:val="20"/>
        </w:rPr>
        <w:t>such as management of extractive industries; and</w:t>
      </w:r>
      <w:r w:rsidR="0046117D" w:rsidRPr="0086151C">
        <w:rPr>
          <w:rFonts w:ascii="Times New Roman" w:hAnsi="Times New Roman"/>
          <w:b w:val="0"/>
          <w:sz w:val="20"/>
        </w:rPr>
        <w:t xml:space="preserve"> (</w:t>
      </w:r>
      <w:r w:rsidR="002F6E3F">
        <w:rPr>
          <w:rFonts w:ascii="Times New Roman" w:hAnsi="Times New Roman"/>
          <w:b w:val="0"/>
          <w:sz w:val="20"/>
        </w:rPr>
        <w:t>d</w:t>
      </w:r>
      <w:r w:rsidR="0046117D" w:rsidRPr="0086151C">
        <w:rPr>
          <w:rFonts w:ascii="Times New Roman" w:hAnsi="Times New Roman"/>
          <w:b w:val="0"/>
          <w:sz w:val="20"/>
        </w:rPr>
        <w:t xml:space="preserve">) assisting the country to </w:t>
      </w:r>
      <w:r w:rsidR="002F6E3F" w:rsidRPr="0086151C">
        <w:rPr>
          <w:rFonts w:ascii="Times New Roman" w:hAnsi="Times New Roman"/>
          <w:b w:val="0"/>
          <w:sz w:val="20"/>
        </w:rPr>
        <w:t>mobili</w:t>
      </w:r>
      <w:r w:rsidR="002F6E3F">
        <w:rPr>
          <w:rFonts w:ascii="Times New Roman" w:hAnsi="Times New Roman"/>
          <w:b w:val="0"/>
          <w:sz w:val="20"/>
        </w:rPr>
        <w:t>z</w:t>
      </w:r>
      <w:r w:rsidR="002F6E3F" w:rsidRPr="0086151C">
        <w:rPr>
          <w:rFonts w:ascii="Times New Roman" w:hAnsi="Times New Roman"/>
          <w:b w:val="0"/>
          <w:sz w:val="20"/>
        </w:rPr>
        <w:t xml:space="preserve">e </w:t>
      </w:r>
      <w:r w:rsidR="0046117D" w:rsidRPr="0086151C">
        <w:rPr>
          <w:rFonts w:ascii="Times New Roman" w:hAnsi="Times New Roman"/>
          <w:b w:val="0"/>
          <w:sz w:val="20"/>
        </w:rPr>
        <w:t>additional resources for sustainable development</w:t>
      </w:r>
      <w:r w:rsidR="002F6E3F">
        <w:rPr>
          <w:rFonts w:ascii="Times New Roman" w:hAnsi="Times New Roman"/>
          <w:b w:val="0"/>
          <w:sz w:val="20"/>
        </w:rPr>
        <w:t>,</w:t>
      </w:r>
      <w:r w:rsidR="0046117D" w:rsidRPr="0086151C">
        <w:rPr>
          <w:rFonts w:ascii="Times New Roman" w:hAnsi="Times New Roman"/>
          <w:b w:val="0"/>
          <w:sz w:val="20"/>
        </w:rPr>
        <w:t xml:space="preserve"> particularly for implementation of </w:t>
      </w:r>
      <w:r w:rsidR="00F43CE9" w:rsidRPr="0086151C">
        <w:rPr>
          <w:rFonts w:ascii="Times New Roman" w:hAnsi="Times New Roman"/>
          <w:b w:val="0"/>
          <w:sz w:val="20"/>
        </w:rPr>
        <w:t xml:space="preserve">climate-change </w:t>
      </w:r>
      <w:r w:rsidR="0046117D" w:rsidRPr="0086151C">
        <w:rPr>
          <w:rFonts w:ascii="Times New Roman" w:hAnsi="Times New Roman"/>
          <w:b w:val="0"/>
          <w:sz w:val="20"/>
        </w:rPr>
        <w:t>mitigation and upscaling adaptation measures.</w:t>
      </w:r>
      <w:r w:rsidR="007C0B66" w:rsidRPr="0086151C">
        <w:rPr>
          <w:rFonts w:ascii="Times New Roman" w:hAnsi="Times New Roman"/>
          <w:b w:val="0"/>
          <w:sz w:val="20"/>
        </w:rPr>
        <w:t xml:space="preserve"> The </w:t>
      </w:r>
      <w:r w:rsidR="002F6E3F">
        <w:rPr>
          <w:rFonts w:ascii="Times New Roman" w:hAnsi="Times New Roman"/>
          <w:b w:val="0"/>
          <w:sz w:val="20"/>
        </w:rPr>
        <w:t>country programme</w:t>
      </w:r>
      <w:r w:rsidR="002F6E3F" w:rsidRPr="0086151C">
        <w:rPr>
          <w:rFonts w:ascii="Times New Roman" w:hAnsi="Times New Roman"/>
          <w:b w:val="0"/>
          <w:sz w:val="20"/>
        </w:rPr>
        <w:t xml:space="preserve"> </w:t>
      </w:r>
      <w:r w:rsidR="007C0B66" w:rsidRPr="0086151C">
        <w:rPr>
          <w:rFonts w:ascii="Times New Roman" w:hAnsi="Times New Roman"/>
          <w:b w:val="0"/>
          <w:sz w:val="20"/>
        </w:rPr>
        <w:t>has taken into account the environment</w:t>
      </w:r>
      <w:r w:rsidR="002F6E3F">
        <w:rPr>
          <w:rFonts w:ascii="Times New Roman" w:hAnsi="Times New Roman"/>
          <w:b w:val="0"/>
          <w:sz w:val="20"/>
        </w:rPr>
        <w:t>al</w:t>
      </w:r>
      <w:r w:rsidR="007C0B66" w:rsidRPr="0086151C">
        <w:rPr>
          <w:rFonts w:ascii="Times New Roman" w:hAnsi="Times New Roman"/>
          <w:b w:val="0"/>
          <w:sz w:val="20"/>
        </w:rPr>
        <w:t xml:space="preserve"> and social safeguards which will be amplified </w:t>
      </w:r>
      <w:r w:rsidR="00F43CE9" w:rsidRPr="0086151C">
        <w:rPr>
          <w:rFonts w:ascii="Times New Roman" w:hAnsi="Times New Roman"/>
          <w:b w:val="0"/>
          <w:sz w:val="20"/>
        </w:rPr>
        <w:t>with</w:t>
      </w:r>
      <w:r w:rsidR="007C0B66" w:rsidRPr="0086151C">
        <w:rPr>
          <w:rFonts w:ascii="Times New Roman" w:hAnsi="Times New Roman"/>
          <w:b w:val="0"/>
          <w:sz w:val="20"/>
        </w:rPr>
        <w:t xml:space="preserve">in the development and implementation of the projects. </w:t>
      </w:r>
    </w:p>
    <w:p w14:paraId="3EBC8009" w14:textId="48D6AA2C" w:rsidR="003E4CEF" w:rsidRPr="00541652" w:rsidRDefault="00B73440" w:rsidP="00B15CA1">
      <w:pPr>
        <w:shd w:val="clear" w:color="auto" w:fill="FFFFFF"/>
        <w:spacing w:after="120"/>
        <w:ind w:left="1260" w:right="1210"/>
        <w:jc w:val="both"/>
      </w:pPr>
      <w:r w:rsidRPr="00541652">
        <w:rPr>
          <w:b/>
        </w:rPr>
        <w:t xml:space="preserve">Lessons </w:t>
      </w:r>
      <w:r w:rsidR="002F6E3F" w:rsidRPr="00541652">
        <w:rPr>
          <w:b/>
        </w:rPr>
        <w:t>learn</w:t>
      </w:r>
      <w:r w:rsidR="002F6E3F">
        <w:rPr>
          <w:b/>
        </w:rPr>
        <w:t>ed</w:t>
      </w:r>
      <w:r w:rsidR="002F6E3F" w:rsidRPr="00541652">
        <w:t xml:space="preserve"> </w:t>
      </w:r>
    </w:p>
    <w:p w14:paraId="6088C158" w14:textId="6E4B444E" w:rsidR="004A6A3D" w:rsidRDefault="007442F3" w:rsidP="00B15CA1">
      <w:pPr>
        <w:numPr>
          <w:ilvl w:val="0"/>
          <w:numId w:val="20"/>
        </w:numPr>
        <w:shd w:val="clear" w:color="auto" w:fill="FFFFFF"/>
        <w:tabs>
          <w:tab w:val="left" w:pos="1710"/>
        </w:tabs>
        <w:spacing w:after="120"/>
        <w:ind w:left="1260" w:right="1267" w:firstLine="0"/>
        <w:jc w:val="both"/>
      </w:pPr>
      <w:r>
        <w:t>From the above c</w:t>
      </w:r>
      <w:r w:rsidR="002A39CF">
        <w:t xml:space="preserve">ited evaluations, </w:t>
      </w:r>
      <w:r w:rsidR="002D470C">
        <w:t>t</w:t>
      </w:r>
      <w:r w:rsidR="00974034">
        <w:t>he following lessons</w:t>
      </w:r>
      <w:r>
        <w:t xml:space="preserve"> </w:t>
      </w:r>
      <w:r w:rsidR="00974034">
        <w:t xml:space="preserve">have informed </w:t>
      </w:r>
      <w:r w:rsidR="002F6E3F">
        <w:t xml:space="preserve">the </w:t>
      </w:r>
      <w:r w:rsidR="00974034">
        <w:t>design</w:t>
      </w:r>
      <w:r w:rsidR="002F6E3F">
        <w:t xml:space="preserve"> of the proposed country programme</w:t>
      </w:r>
      <w:r w:rsidR="00974034">
        <w:t>:</w:t>
      </w:r>
      <w:r w:rsidR="005E0A23">
        <w:t xml:space="preserve">  </w:t>
      </w:r>
    </w:p>
    <w:p w14:paraId="796E3245" w14:textId="2EA5C313" w:rsidR="002D470C" w:rsidRDefault="006723BF" w:rsidP="002F6E3F">
      <w:pPr>
        <w:numPr>
          <w:ilvl w:val="0"/>
          <w:numId w:val="46"/>
        </w:numPr>
        <w:shd w:val="clear" w:color="auto" w:fill="FFFFFF"/>
        <w:tabs>
          <w:tab w:val="left" w:pos="1620"/>
        </w:tabs>
        <w:spacing w:after="120"/>
        <w:ind w:left="1260" w:right="1210" w:firstLine="0"/>
        <w:jc w:val="both"/>
      </w:pPr>
      <w:r>
        <w:t>In community-</w:t>
      </w:r>
      <w:r w:rsidR="003A1B0A">
        <w:t xml:space="preserve">based interventions </w:t>
      </w:r>
      <w:r w:rsidR="002F6E3F">
        <w:t xml:space="preserve">that </w:t>
      </w:r>
      <w:r w:rsidR="003A1B0A">
        <w:t xml:space="preserve">seek to remove social and cultural barriers, traditional leaders have been particularly effective as agents of change. UNDP will continue to </w:t>
      </w:r>
      <w:r w:rsidR="00F43CE9">
        <w:t xml:space="preserve">foster </w:t>
      </w:r>
      <w:r w:rsidR="003A1B0A">
        <w:t>their engagement and support community</w:t>
      </w:r>
      <w:r w:rsidR="00F43CE9">
        <w:t>-</w:t>
      </w:r>
      <w:r w:rsidR="007317F0">
        <w:t xml:space="preserve">based programming within a larger framework of supporting </w:t>
      </w:r>
      <w:r w:rsidR="002F6E3F">
        <w:t>the Government;</w:t>
      </w:r>
    </w:p>
    <w:p w14:paraId="138B7116" w14:textId="726ED0DD" w:rsidR="0080487C" w:rsidRDefault="002D470C" w:rsidP="002F6E3F">
      <w:pPr>
        <w:numPr>
          <w:ilvl w:val="0"/>
          <w:numId w:val="46"/>
        </w:numPr>
        <w:shd w:val="clear" w:color="auto" w:fill="FFFFFF"/>
        <w:tabs>
          <w:tab w:val="left" w:pos="1620"/>
        </w:tabs>
        <w:spacing w:after="120"/>
        <w:ind w:left="1260" w:right="1210" w:firstLine="0"/>
        <w:jc w:val="both"/>
      </w:pPr>
      <w:r>
        <w:t>To strengthen the nexus between upstream and downstream inte</w:t>
      </w:r>
      <w:r w:rsidR="008B371E">
        <w:t>r</w:t>
      </w:r>
      <w:r w:rsidR="007317F0">
        <w:t>ventions, in particular where the downstream activities are designed to stimulate demand and access by rights</w:t>
      </w:r>
      <w:r w:rsidR="002F6E3F">
        <w:t xml:space="preserve"> </w:t>
      </w:r>
      <w:r w:rsidR="007317F0">
        <w:t>holders</w:t>
      </w:r>
      <w:r w:rsidR="002F6E3F">
        <w:t xml:space="preserve">;  </w:t>
      </w:r>
    </w:p>
    <w:p w14:paraId="677E21BF" w14:textId="204FA80C" w:rsidR="008C75D2" w:rsidRDefault="00E66C5A" w:rsidP="002F6E3F">
      <w:pPr>
        <w:numPr>
          <w:ilvl w:val="0"/>
          <w:numId w:val="46"/>
        </w:numPr>
        <w:shd w:val="clear" w:color="auto" w:fill="FFFFFF"/>
        <w:tabs>
          <w:tab w:val="left" w:pos="1620"/>
        </w:tabs>
        <w:ind w:left="1260" w:right="1210" w:firstLine="0"/>
        <w:jc w:val="both"/>
      </w:pPr>
      <w:r>
        <w:t xml:space="preserve">Joint programming increases </w:t>
      </w:r>
      <w:r w:rsidR="006723BF">
        <w:t xml:space="preserve">the </w:t>
      </w:r>
      <w:r>
        <w:t xml:space="preserve">capacity </w:t>
      </w:r>
      <w:r w:rsidR="002F6E3F">
        <w:t xml:space="preserve">of the United Nations system </w:t>
      </w:r>
      <w:r>
        <w:t xml:space="preserve">to deliver on results. </w:t>
      </w:r>
      <w:r w:rsidR="003E18D7">
        <w:t xml:space="preserve">Within DaO, </w:t>
      </w:r>
      <w:r w:rsidR="00D25710">
        <w:t>UNDP will continue working with other agencies to deliver joint program</w:t>
      </w:r>
      <w:r w:rsidR="006723BF">
        <w:t>me</w:t>
      </w:r>
      <w:r w:rsidR="007317F0">
        <w:t xml:space="preserve">s </w:t>
      </w:r>
      <w:r w:rsidR="007317F0" w:rsidRPr="006C0A99">
        <w:t>according to clear comparative advantage and complementarity.</w:t>
      </w:r>
    </w:p>
    <w:p w14:paraId="6CE18489" w14:textId="6AA7CA42" w:rsidR="000B6195" w:rsidRDefault="000B6195">
      <w:r>
        <w:br w:type="page"/>
      </w:r>
    </w:p>
    <w:p w14:paraId="22A6680B" w14:textId="2AEE8E48" w:rsidR="00AB68D4" w:rsidRPr="0043409C" w:rsidRDefault="00FD543A" w:rsidP="00415C1B">
      <w:pPr>
        <w:numPr>
          <w:ilvl w:val="0"/>
          <w:numId w:val="38"/>
        </w:numPr>
        <w:shd w:val="clear" w:color="auto" w:fill="FFFFFF"/>
        <w:ind w:left="1260" w:right="1267" w:hanging="540"/>
        <w:jc w:val="both"/>
        <w:rPr>
          <w:b/>
          <w:bCs/>
          <w:color w:val="000000"/>
          <w:sz w:val="24"/>
          <w:szCs w:val="24"/>
        </w:rPr>
      </w:pPr>
      <w:r>
        <w:rPr>
          <w:b/>
          <w:bCs/>
          <w:color w:val="000000"/>
          <w:sz w:val="24"/>
          <w:szCs w:val="24"/>
        </w:rPr>
        <w:lastRenderedPageBreak/>
        <w:t>P</w:t>
      </w:r>
      <w:r w:rsidR="00B15CA1">
        <w:rPr>
          <w:b/>
          <w:bCs/>
          <w:color w:val="000000"/>
          <w:sz w:val="24"/>
          <w:szCs w:val="24"/>
        </w:rPr>
        <w:t>rogramme p</w:t>
      </w:r>
      <w:r w:rsidR="00497E0F" w:rsidRPr="0043409C">
        <w:rPr>
          <w:b/>
          <w:bCs/>
          <w:color w:val="000000"/>
          <w:sz w:val="24"/>
          <w:szCs w:val="24"/>
        </w:rPr>
        <w:t xml:space="preserve">riorities and </w:t>
      </w:r>
      <w:r w:rsidR="00B15CA1">
        <w:rPr>
          <w:b/>
          <w:bCs/>
          <w:color w:val="000000"/>
          <w:sz w:val="24"/>
          <w:szCs w:val="24"/>
        </w:rPr>
        <w:t>p</w:t>
      </w:r>
      <w:r w:rsidR="00497E0F" w:rsidRPr="0043409C">
        <w:rPr>
          <w:b/>
          <w:bCs/>
          <w:color w:val="000000"/>
          <w:sz w:val="24"/>
          <w:szCs w:val="24"/>
        </w:rPr>
        <w:t>artnerships</w:t>
      </w:r>
    </w:p>
    <w:p w14:paraId="64F2339A" w14:textId="77777777" w:rsidR="003F3F97" w:rsidRPr="000B6195" w:rsidRDefault="003F3F97" w:rsidP="005777DC">
      <w:pPr>
        <w:ind w:left="1260"/>
        <w:jc w:val="both"/>
        <w:rPr>
          <w:sz w:val="16"/>
          <w:szCs w:val="16"/>
        </w:rPr>
      </w:pPr>
    </w:p>
    <w:p w14:paraId="3AB29155" w14:textId="377FD1FC" w:rsidR="0026723D" w:rsidRPr="0086151C" w:rsidRDefault="00AA4E69"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86151C">
        <w:rPr>
          <w:rFonts w:ascii="Times New Roman" w:hAnsi="Times New Roman"/>
          <w:b w:val="0"/>
          <w:sz w:val="20"/>
        </w:rPr>
        <w:t>The</w:t>
      </w:r>
      <w:r w:rsidR="003F3F97" w:rsidRPr="0086151C">
        <w:rPr>
          <w:rFonts w:ascii="Times New Roman" w:hAnsi="Times New Roman"/>
          <w:b w:val="0"/>
          <w:sz w:val="20"/>
        </w:rPr>
        <w:t xml:space="preserve"> </w:t>
      </w:r>
      <w:r w:rsidR="00766CDC" w:rsidRPr="0086151C">
        <w:rPr>
          <w:rFonts w:ascii="Times New Roman" w:hAnsi="Times New Roman"/>
          <w:b w:val="0"/>
          <w:sz w:val="20"/>
        </w:rPr>
        <w:t>three pillars of the 2016-2021 Zambia-U</w:t>
      </w:r>
      <w:r w:rsidR="00CD3C65">
        <w:rPr>
          <w:rFonts w:ascii="Times New Roman" w:hAnsi="Times New Roman"/>
          <w:b w:val="0"/>
          <w:sz w:val="20"/>
        </w:rPr>
        <w:t xml:space="preserve">nited </w:t>
      </w:r>
      <w:r w:rsidR="00766CDC" w:rsidRPr="0086151C">
        <w:rPr>
          <w:rFonts w:ascii="Times New Roman" w:hAnsi="Times New Roman"/>
          <w:b w:val="0"/>
          <w:sz w:val="20"/>
        </w:rPr>
        <w:t>N</w:t>
      </w:r>
      <w:r w:rsidR="00CD3C65">
        <w:rPr>
          <w:rFonts w:ascii="Times New Roman" w:hAnsi="Times New Roman"/>
          <w:b w:val="0"/>
          <w:sz w:val="20"/>
        </w:rPr>
        <w:t>ations</w:t>
      </w:r>
      <w:r w:rsidR="00766CDC" w:rsidRPr="0086151C">
        <w:rPr>
          <w:rFonts w:ascii="Times New Roman" w:hAnsi="Times New Roman"/>
          <w:b w:val="0"/>
          <w:sz w:val="20"/>
        </w:rPr>
        <w:t xml:space="preserve"> Sustainable Development Partnership Framework</w:t>
      </w:r>
      <w:r w:rsidR="003F3F97" w:rsidRPr="0086151C">
        <w:rPr>
          <w:rFonts w:ascii="Times New Roman" w:hAnsi="Times New Roman"/>
          <w:b w:val="0"/>
          <w:sz w:val="20"/>
        </w:rPr>
        <w:t xml:space="preserve"> </w:t>
      </w:r>
      <w:r w:rsidR="00D93281" w:rsidRPr="0086151C">
        <w:rPr>
          <w:rFonts w:ascii="Times New Roman" w:hAnsi="Times New Roman"/>
          <w:b w:val="0"/>
          <w:sz w:val="20"/>
        </w:rPr>
        <w:t>(</w:t>
      </w:r>
      <w:r w:rsidR="00CD3C65">
        <w:rPr>
          <w:rFonts w:ascii="Times New Roman" w:hAnsi="Times New Roman"/>
          <w:b w:val="0"/>
          <w:sz w:val="20"/>
        </w:rPr>
        <w:t>i</w:t>
      </w:r>
      <w:r w:rsidR="00CD3C65" w:rsidRPr="0086151C">
        <w:rPr>
          <w:rFonts w:ascii="Times New Roman" w:hAnsi="Times New Roman"/>
          <w:b w:val="0"/>
          <w:sz w:val="20"/>
        </w:rPr>
        <w:t xml:space="preserve">nclusive </w:t>
      </w:r>
      <w:r w:rsidR="00CD3C65">
        <w:rPr>
          <w:rFonts w:ascii="Times New Roman" w:hAnsi="Times New Roman"/>
          <w:b w:val="0"/>
          <w:sz w:val="20"/>
        </w:rPr>
        <w:t>s</w:t>
      </w:r>
      <w:r w:rsidR="00CD3C65" w:rsidRPr="0086151C">
        <w:rPr>
          <w:rFonts w:ascii="Times New Roman" w:hAnsi="Times New Roman"/>
          <w:b w:val="0"/>
          <w:sz w:val="20"/>
        </w:rPr>
        <w:t xml:space="preserve">ocial </w:t>
      </w:r>
      <w:r w:rsidR="00CD3C65">
        <w:rPr>
          <w:rFonts w:ascii="Times New Roman" w:hAnsi="Times New Roman"/>
          <w:b w:val="0"/>
          <w:sz w:val="20"/>
        </w:rPr>
        <w:t>d</w:t>
      </w:r>
      <w:r w:rsidR="00CD3C65" w:rsidRPr="0086151C">
        <w:rPr>
          <w:rFonts w:ascii="Times New Roman" w:hAnsi="Times New Roman"/>
          <w:b w:val="0"/>
          <w:sz w:val="20"/>
        </w:rPr>
        <w:t>evelopment</w:t>
      </w:r>
      <w:r w:rsidR="00CD3C65">
        <w:rPr>
          <w:rFonts w:ascii="Times New Roman" w:hAnsi="Times New Roman"/>
          <w:b w:val="0"/>
          <w:sz w:val="20"/>
        </w:rPr>
        <w:t>,</w:t>
      </w:r>
      <w:r w:rsidR="00D93281" w:rsidRPr="0086151C">
        <w:rPr>
          <w:rFonts w:ascii="Times New Roman" w:hAnsi="Times New Roman"/>
          <w:b w:val="0"/>
          <w:sz w:val="20"/>
        </w:rPr>
        <w:t xml:space="preserve"> </w:t>
      </w:r>
      <w:r w:rsidR="00CD3C65">
        <w:rPr>
          <w:rFonts w:ascii="Times New Roman" w:hAnsi="Times New Roman"/>
          <w:b w:val="0"/>
          <w:sz w:val="20"/>
        </w:rPr>
        <w:t>e</w:t>
      </w:r>
      <w:r w:rsidR="00CD3C65" w:rsidRPr="0086151C">
        <w:rPr>
          <w:rFonts w:ascii="Times New Roman" w:hAnsi="Times New Roman"/>
          <w:b w:val="0"/>
          <w:sz w:val="20"/>
        </w:rPr>
        <w:t>nvironmentally</w:t>
      </w:r>
      <w:r w:rsidR="00CD3C65">
        <w:rPr>
          <w:rFonts w:ascii="Times New Roman" w:hAnsi="Times New Roman"/>
          <w:b w:val="0"/>
          <w:sz w:val="20"/>
        </w:rPr>
        <w:t xml:space="preserve"> </w:t>
      </w:r>
      <w:r w:rsidR="003043C0" w:rsidRPr="0086151C">
        <w:rPr>
          <w:rFonts w:ascii="Times New Roman" w:hAnsi="Times New Roman"/>
          <w:b w:val="0"/>
          <w:sz w:val="20"/>
        </w:rPr>
        <w:t xml:space="preserve">sustainable </w:t>
      </w:r>
      <w:r w:rsidR="00CD3C65">
        <w:rPr>
          <w:rFonts w:ascii="Times New Roman" w:hAnsi="Times New Roman"/>
          <w:b w:val="0"/>
          <w:sz w:val="20"/>
        </w:rPr>
        <w:t>e</w:t>
      </w:r>
      <w:r w:rsidR="00CD3C65" w:rsidRPr="0086151C">
        <w:rPr>
          <w:rFonts w:ascii="Times New Roman" w:hAnsi="Times New Roman"/>
          <w:b w:val="0"/>
          <w:sz w:val="20"/>
        </w:rPr>
        <w:t xml:space="preserve">conomic </w:t>
      </w:r>
      <w:r w:rsidR="00CD3C65">
        <w:rPr>
          <w:rFonts w:ascii="Times New Roman" w:hAnsi="Times New Roman"/>
          <w:b w:val="0"/>
          <w:sz w:val="20"/>
        </w:rPr>
        <w:t>d</w:t>
      </w:r>
      <w:r w:rsidR="00CD3C65" w:rsidRPr="0086151C">
        <w:rPr>
          <w:rFonts w:ascii="Times New Roman" w:hAnsi="Times New Roman"/>
          <w:b w:val="0"/>
          <w:sz w:val="20"/>
        </w:rPr>
        <w:t>evelopment</w:t>
      </w:r>
      <w:r w:rsidR="00CD3C65">
        <w:rPr>
          <w:rFonts w:ascii="Times New Roman" w:hAnsi="Times New Roman"/>
          <w:b w:val="0"/>
          <w:sz w:val="20"/>
        </w:rPr>
        <w:t>,</w:t>
      </w:r>
      <w:r w:rsidR="00CD3C65" w:rsidRPr="0086151C">
        <w:rPr>
          <w:rFonts w:ascii="Times New Roman" w:hAnsi="Times New Roman"/>
          <w:b w:val="0"/>
          <w:sz w:val="20"/>
        </w:rPr>
        <w:t xml:space="preserve"> </w:t>
      </w:r>
      <w:r w:rsidR="00D93281" w:rsidRPr="0086151C">
        <w:rPr>
          <w:rFonts w:ascii="Times New Roman" w:hAnsi="Times New Roman"/>
          <w:b w:val="0"/>
          <w:sz w:val="20"/>
        </w:rPr>
        <w:t xml:space="preserve">and </w:t>
      </w:r>
      <w:r w:rsidR="00CD3C65">
        <w:rPr>
          <w:rFonts w:ascii="Times New Roman" w:hAnsi="Times New Roman"/>
          <w:b w:val="0"/>
          <w:sz w:val="20"/>
        </w:rPr>
        <w:t>g</w:t>
      </w:r>
      <w:r w:rsidR="00CD3C65" w:rsidRPr="0086151C">
        <w:rPr>
          <w:rFonts w:ascii="Times New Roman" w:hAnsi="Times New Roman"/>
          <w:b w:val="0"/>
          <w:sz w:val="20"/>
        </w:rPr>
        <w:t xml:space="preserve">overnance </w:t>
      </w:r>
      <w:r w:rsidR="003043C0" w:rsidRPr="0086151C">
        <w:rPr>
          <w:rFonts w:ascii="Times New Roman" w:hAnsi="Times New Roman"/>
          <w:b w:val="0"/>
          <w:sz w:val="20"/>
        </w:rPr>
        <w:t xml:space="preserve">and </w:t>
      </w:r>
      <w:r w:rsidR="00CD3C65">
        <w:rPr>
          <w:rFonts w:ascii="Times New Roman" w:hAnsi="Times New Roman"/>
          <w:b w:val="0"/>
          <w:sz w:val="20"/>
        </w:rPr>
        <w:t>p</w:t>
      </w:r>
      <w:r w:rsidR="00CD3C65" w:rsidRPr="0086151C">
        <w:rPr>
          <w:rFonts w:ascii="Times New Roman" w:hAnsi="Times New Roman"/>
          <w:b w:val="0"/>
          <w:sz w:val="20"/>
        </w:rPr>
        <w:t>articipation</w:t>
      </w:r>
      <w:r w:rsidR="00D93281" w:rsidRPr="0086151C">
        <w:rPr>
          <w:rFonts w:ascii="Times New Roman" w:hAnsi="Times New Roman"/>
          <w:b w:val="0"/>
          <w:sz w:val="20"/>
        </w:rPr>
        <w:t xml:space="preserve">) </w:t>
      </w:r>
      <w:r w:rsidR="00766CDC" w:rsidRPr="0086151C">
        <w:rPr>
          <w:rFonts w:ascii="Times New Roman" w:hAnsi="Times New Roman"/>
          <w:b w:val="0"/>
          <w:sz w:val="20"/>
        </w:rPr>
        <w:t xml:space="preserve">seek to address </w:t>
      </w:r>
      <w:r w:rsidR="003043C0" w:rsidRPr="0086151C">
        <w:rPr>
          <w:rFonts w:ascii="Times New Roman" w:hAnsi="Times New Roman"/>
          <w:b w:val="0"/>
          <w:sz w:val="20"/>
        </w:rPr>
        <w:t>pervasive inequalities</w:t>
      </w:r>
      <w:r w:rsidR="00766CDC" w:rsidRPr="0086151C">
        <w:rPr>
          <w:rFonts w:ascii="Times New Roman" w:hAnsi="Times New Roman"/>
          <w:b w:val="0"/>
          <w:sz w:val="20"/>
        </w:rPr>
        <w:t xml:space="preserve"> and ensure inclusiveness of interventions</w:t>
      </w:r>
      <w:r w:rsidR="00455320" w:rsidRPr="0086151C">
        <w:rPr>
          <w:rFonts w:ascii="Times New Roman" w:hAnsi="Times New Roman"/>
          <w:b w:val="0"/>
          <w:sz w:val="20"/>
        </w:rPr>
        <w:t xml:space="preserve"> through eight outcomes</w:t>
      </w:r>
      <w:r w:rsidR="00D93281" w:rsidRPr="0086151C">
        <w:rPr>
          <w:rFonts w:ascii="Times New Roman" w:hAnsi="Times New Roman"/>
          <w:b w:val="0"/>
          <w:sz w:val="20"/>
        </w:rPr>
        <w:t>.</w:t>
      </w:r>
      <w:r w:rsidR="00766CDC" w:rsidRPr="0086151C">
        <w:rPr>
          <w:rFonts w:ascii="Times New Roman" w:hAnsi="Times New Roman"/>
          <w:b w:val="0"/>
          <w:sz w:val="20"/>
        </w:rPr>
        <w:t xml:space="preserve"> </w:t>
      </w:r>
      <w:r w:rsidR="00D93281" w:rsidRPr="0086151C">
        <w:rPr>
          <w:rFonts w:ascii="Times New Roman" w:hAnsi="Times New Roman"/>
          <w:b w:val="0"/>
          <w:sz w:val="20"/>
        </w:rPr>
        <w:t>W</w:t>
      </w:r>
      <w:r w:rsidR="00397405" w:rsidRPr="0086151C">
        <w:rPr>
          <w:rFonts w:ascii="Times New Roman" w:hAnsi="Times New Roman"/>
          <w:b w:val="0"/>
          <w:sz w:val="20"/>
        </w:rPr>
        <w:t xml:space="preserve">ithin the </w:t>
      </w:r>
      <w:r w:rsidR="00CD3C65">
        <w:rPr>
          <w:rFonts w:ascii="Times New Roman" w:hAnsi="Times New Roman"/>
          <w:b w:val="0"/>
          <w:sz w:val="20"/>
        </w:rPr>
        <w:t>pillars on i</w:t>
      </w:r>
      <w:r w:rsidR="00CD3C65" w:rsidRPr="0086151C">
        <w:rPr>
          <w:rFonts w:ascii="Times New Roman" w:hAnsi="Times New Roman"/>
          <w:b w:val="0"/>
          <w:sz w:val="20"/>
        </w:rPr>
        <w:t xml:space="preserve">nclusive </w:t>
      </w:r>
      <w:r w:rsidR="00CD3C65">
        <w:rPr>
          <w:rFonts w:ascii="Times New Roman" w:hAnsi="Times New Roman"/>
          <w:b w:val="0"/>
          <w:sz w:val="20"/>
        </w:rPr>
        <w:t>s</w:t>
      </w:r>
      <w:r w:rsidR="00CD3C65" w:rsidRPr="0086151C">
        <w:rPr>
          <w:rFonts w:ascii="Times New Roman" w:hAnsi="Times New Roman"/>
          <w:b w:val="0"/>
          <w:sz w:val="20"/>
        </w:rPr>
        <w:t xml:space="preserve">ocial </w:t>
      </w:r>
      <w:r w:rsidR="00CD3C65">
        <w:rPr>
          <w:rFonts w:ascii="Times New Roman" w:hAnsi="Times New Roman"/>
          <w:b w:val="0"/>
          <w:sz w:val="20"/>
        </w:rPr>
        <w:t>d</w:t>
      </w:r>
      <w:r w:rsidR="00CD3C65" w:rsidRPr="0086151C">
        <w:rPr>
          <w:rFonts w:ascii="Times New Roman" w:hAnsi="Times New Roman"/>
          <w:b w:val="0"/>
          <w:sz w:val="20"/>
        </w:rPr>
        <w:t xml:space="preserve">evelopment </w:t>
      </w:r>
      <w:r w:rsidR="00397405" w:rsidRPr="0086151C">
        <w:rPr>
          <w:rFonts w:ascii="Times New Roman" w:hAnsi="Times New Roman"/>
          <w:b w:val="0"/>
          <w:sz w:val="20"/>
        </w:rPr>
        <w:t xml:space="preserve">and </w:t>
      </w:r>
      <w:r w:rsidR="00CD3C65">
        <w:rPr>
          <w:rFonts w:ascii="Times New Roman" w:hAnsi="Times New Roman"/>
          <w:b w:val="0"/>
          <w:sz w:val="20"/>
        </w:rPr>
        <w:t>e</w:t>
      </w:r>
      <w:r w:rsidR="003043C0" w:rsidRPr="0086151C">
        <w:rPr>
          <w:rFonts w:ascii="Times New Roman" w:hAnsi="Times New Roman"/>
          <w:b w:val="0"/>
          <w:sz w:val="20"/>
        </w:rPr>
        <w:t>nvironmentally</w:t>
      </w:r>
      <w:r w:rsidR="00E378CA" w:rsidRPr="0086151C">
        <w:rPr>
          <w:rFonts w:ascii="Times New Roman" w:hAnsi="Times New Roman"/>
          <w:b w:val="0"/>
          <w:sz w:val="20"/>
        </w:rPr>
        <w:t xml:space="preserve"> </w:t>
      </w:r>
      <w:r w:rsidR="003043C0" w:rsidRPr="0086151C">
        <w:rPr>
          <w:rFonts w:ascii="Times New Roman" w:hAnsi="Times New Roman"/>
          <w:b w:val="0"/>
          <w:sz w:val="20"/>
        </w:rPr>
        <w:t>s</w:t>
      </w:r>
      <w:r w:rsidR="00397405" w:rsidRPr="0086151C">
        <w:rPr>
          <w:rFonts w:ascii="Times New Roman" w:hAnsi="Times New Roman"/>
          <w:b w:val="0"/>
          <w:sz w:val="20"/>
        </w:rPr>
        <w:t xml:space="preserve">ustainable </w:t>
      </w:r>
      <w:r w:rsidR="00CD3C65">
        <w:rPr>
          <w:rFonts w:ascii="Times New Roman" w:hAnsi="Times New Roman"/>
          <w:b w:val="0"/>
          <w:sz w:val="20"/>
        </w:rPr>
        <w:t>e</w:t>
      </w:r>
      <w:r w:rsidR="00CD3C65" w:rsidRPr="0086151C">
        <w:rPr>
          <w:rFonts w:ascii="Times New Roman" w:hAnsi="Times New Roman"/>
          <w:b w:val="0"/>
          <w:sz w:val="20"/>
        </w:rPr>
        <w:t xml:space="preserve">conomic </w:t>
      </w:r>
      <w:r w:rsidR="00CD3C65">
        <w:rPr>
          <w:rFonts w:ascii="Times New Roman" w:hAnsi="Times New Roman"/>
          <w:b w:val="0"/>
          <w:sz w:val="20"/>
        </w:rPr>
        <w:t>d</w:t>
      </w:r>
      <w:r w:rsidR="00CD3C65" w:rsidRPr="0086151C">
        <w:rPr>
          <w:rFonts w:ascii="Times New Roman" w:hAnsi="Times New Roman"/>
          <w:b w:val="0"/>
          <w:sz w:val="20"/>
        </w:rPr>
        <w:t>evelopment</w:t>
      </w:r>
      <w:r w:rsidR="00397405" w:rsidRPr="0086151C">
        <w:rPr>
          <w:rFonts w:ascii="Times New Roman" w:hAnsi="Times New Roman"/>
          <w:b w:val="0"/>
          <w:sz w:val="20"/>
        </w:rPr>
        <w:t>,</w:t>
      </w:r>
      <w:r w:rsidR="003F3F97" w:rsidRPr="0086151C">
        <w:rPr>
          <w:rFonts w:ascii="Times New Roman" w:hAnsi="Times New Roman"/>
          <w:b w:val="0"/>
          <w:sz w:val="20"/>
        </w:rPr>
        <w:t xml:space="preserve"> </w:t>
      </w:r>
      <w:r w:rsidR="007616AD" w:rsidRPr="0086151C">
        <w:rPr>
          <w:rFonts w:ascii="Times New Roman" w:hAnsi="Times New Roman"/>
          <w:b w:val="0"/>
          <w:sz w:val="20"/>
        </w:rPr>
        <w:t xml:space="preserve">a human rights-based </w:t>
      </w:r>
      <w:r w:rsidR="00D93281" w:rsidRPr="0086151C">
        <w:rPr>
          <w:rFonts w:ascii="Times New Roman" w:hAnsi="Times New Roman"/>
          <w:b w:val="0"/>
          <w:sz w:val="20"/>
        </w:rPr>
        <w:t xml:space="preserve">approach led to the development of </w:t>
      </w:r>
      <w:r w:rsidR="0002503B" w:rsidRPr="0086151C">
        <w:rPr>
          <w:rFonts w:ascii="Times New Roman" w:hAnsi="Times New Roman"/>
          <w:b w:val="0"/>
          <w:sz w:val="20"/>
        </w:rPr>
        <w:t>mutually</w:t>
      </w:r>
      <w:r w:rsidR="00E378CA" w:rsidRPr="0086151C">
        <w:rPr>
          <w:rFonts w:ascii="Times New Roman" w:hAnsi="Times New Roman"/>
          <w:b w:val="0"/>
          <w:sz w:val="20"/>
        </w:rPr>
        <w:t xml:space="preserve"> </w:t>
      </w:r>
      <w:r w:rsidR="0002503B" w:rsidRPr="0086151C">
        <w:rPr>
          <w:rFonts w:ascii="Times New Roman" w:hAnsi="Times New Roman"/>
          <w:b w:val="0"/>
          <w:sz w:val="20"/>
        </w:rPr>
        <w:t>reinforcing</w:t>
      </w:r>
      <w:r w:rsidR="003F3F97" w:rsidRPr="0086151C">
        <w:rPr>
          <w:rFonts w:ascii="Times New Roman" w:hAnsi="Times New Roman"/>
          <w:b w:val="0"/>
          <w:sz w:val="20"/>
        </w:rPr>
        <w:t xml:space="preserve"> </w:t>
      </w:r>
      <w:r w:rsidR="003043C0" w:rsidRPr="0086151C">
        <w:rPr>
          <w:rFonts w:ascii="Times New Roman" w:hAnsi="Times New Roman"/>
          <w:b w:val="0"/>
          <w:sz w:val="20"/>
        </w:rPr>
        <w:t>outcome pairs</w:t>
      </w:r>
      <w:r w:rsidR="0002503B" w:rsidRPr="0086151C">
        <w:rPr>
          <w:rFonts w:ascii="Times New Roman" w:hAnsi="Times New Roman"/>
          <w:b w:val="0"/>
          <w:sz w:val="20"/>
        </w:rPr>
        <w:t xml:space="preserve"> </w:t>
      </w:r>
      <w:r w:rsidR="00CD3C65">
        <w:rPr>
          <w:rFonts w:ascii="Times New Roman" w:hAnsi="Times New Roman"/>
          <w:b w:val="0"/>
          <w:sz w:val="20"/>
        </w:rPr>
        <w:t xml:space="preserve">that </w:t>
      </w:r>
      <w:r w:rsidR="00CD3C65" w:rsidRPr="0086151C">
        <w:rPr>
          <w:rFonts w:ascii="Times New Roman" w:hAnsi="Times New Roman"/>
          <w:b w:val="0"/>
          <w:sz w:val="20"/>
        </w:rPr>
        <w:t>plac</w:t>
      </w:r>
      <w:r w:rsidR="00CD3C65">
        <w:rPr>
          <w:rFonts w:ascii="Times New Roman" w:hAnsi="Times New Roman"/>
          <w:b w:val="0"/>
          <w:sz w:val="20"/>
        </w:rPr>
        <w:t>e</w:t>
      </w:r>
      <w:r w:rsidR="00CD3C65" w:rsidRPr="0086151C">
        <w:rPr>
          <w:rFonts w:ascii="Times New Roman" w:hAnsi="Times New Roman"/>
          <w:b w:val="0"/>
          <w:sz w:val="20"/>
        </w:rPr>
        <w:t xml:space="preserve"> </w:t>
      </w:r>
      <w:r w:rsidR="003043C0" w:rsidRPr="0086151C">
        <w:rPr>
          <w:rFonts w:ascii="Times New Roman" w:hAnsi="Times New Roman"/>
          <w:b w:val="0"/>
          <w:sz w:val="20"/>
        </w:rPr>
        <w:t>equal emphasis on improving the capacity and performance of duty</w:t>
      </w:r>
      <w:r w:rsidR="00CD3C65">
        <w:rPr>
          <w:rFonts w:ascii="Times New Roman" w:hAnsi="Times New Roman"/>
          <w:b w:val="0"/>
          <w:sz w:val="20"/>
        </w:rPr>
        <w:t xml:space="preserve"> </w:t>
      </w:r>
      <w:r w:rsidR="003043C0" w:rsidRPr="0086151C">
        <w:rPr>
          <w:rFonts w:ascii="Times New Roman" w:hAnsi="Times New Roman"/>
          <w:b w:val="0"/>
          <w:sz w:val="20"/>
        </w:rPr>
        <w:t>bearers (the institutional supply side) and stimulating rights</w:t>
      </w:r>
      <w:r w:rsidR="00CD3C65">
        <w:rPr>
          <w:rFonts w:ascii="Times New Roman" w:hAnsi="Times New Roman"/>
          <w:b w:val="0"/>
          <w:sz w:val="20"/>
        </w:rPr>
        <w:t xml:space="preserve"> </w:t>
      </w:r>
      <w:r w:rsidR="003043C0" w:rsidRPr="0086151C">
        <w:rPr>
          <w:rFonts w:ascii="Times New Roman" w:hAnsi="Times New Roman"/>
          <w:b w:val="0"/>
          <w:sz w:val="20"/>
        </w:rPr>
        <w:t xml:space="preserve">holders (the people-centred demand side). </w:t>
      </w:r>
      <w:r w:rsidR="00566D5D" w:rsidRPr="0086151C">
        <w:rPr>
          <w:rFonts w:ascii="Times New Roman" w:hAnsi="Times New Roman"/>
          <w:b w:val="0"/>
          <w:sz w:val="20"/>
        </w:rPr>
        <w:t>T</w:t>
      </w:r>
      <w:r w:rsidR="00397405" w:rsidRPr="0086151C">
        <w:rPr>
          <w:rFonts w:ascii="Times New Roman" w:hAnsi="Times New Roman"/>
          <w:b w:val="0"/>
          <w:sz w:val="20"/>
        </w:rPr>
        <w:t>he</w:t>
      </w:r>
      <w:r w:rsidR="003043C0" w:rsidRPr="0086151C">
        <w:rPr>
          <w:rFonts w:ascii="Times New Roman" w:hAnsi="Times New Roman"/>
          <w:b w:val="0"/>
          <w:sz w:val="20"/>
        </w:rPr>
        <w:t xml:space="preserve"> </w:t>
      </w:r>
      <w:r w:rsidR="00CD3C65">
        <w:rPr>
          <w:rFonts w:ascii="Times New Roman" w:hAnsi="Times New Roman"/>
          <w:b w:val="0"/>
          <w:sz w:val="20"/>
        </w:rPr>
        <w:t>g</w:t>
      </w:r>
      <w:r w:rsidR="00CD3C65" w:rsidRPr="0086151C">
        <w:rPr>
          <w:rFonts w:ascii="Times New Roman" w:hAnsi="Times New Roman"/>
          <w:b w:val="0"/>
          <w:sz w:val="20"/>
        </w:rPr>
        <w:t xml:space="preserve">overnance </w:t>
      </w:r>
      <w:r w:rsidR="00034FA6" w:rsidRPr="0086151C">
        <w:rPr>
          <w:rFonts w:ascii="Times New Roman" w:hAnsi="Times New Roman"/>
          <w:b w:val="0"/>
          <w:sz w:val="20"/>
        </w:rPr>
        <w:t xml:space="preserve">and </w:t>
      </w:r>
      <w:r w:rsidR="00CD3C65">
        <w:rPr>
          <w:rFonts w:ascii="Times New Roman" w:hAnsi="Times New Roman"/>
          <w:b w:val="0"/>
          <w:sz w:val="20"/>
        </w:rPr>
        <w:t>p</w:t>
      </w:r>
      <w:r w:rsidR="00CD3C65" w:rsidRPr="0086151C">
        <w:rPr>
          <w:rFonts w:ascii="Times New Roman" w:hAnsi="Times New Roman"/>
          <w:b w:val="0"/>
          <w:sz w:val="20"/>
        </w:rPr>
        <w:t xml:space="preserve">articipation </w:t>
      </w:r>
      <w:r w:rsidR="00034FA6" w:rsidRPr="0086151C">
        <w:rPr>
          <w:rFonts w:ascii="Times New Roman" w:hAnsi="Times New Roman"/>
          <w:b w:val="0"/>
          <w:sz w:val="20"/>
        </w:rPr>
        <w:t>pillar</w:t>
      </w:r>
      <w:r w:rsidR="003043C0" w:rsidRPr="0086151C">
        <w:rPr>
          <w:rFonts w:ascii="Times New Roman" w:hAnsi="Times New Roman"/>
          <w:b w:val="0"/>
          <w:sz w:val="20"/>
        </w:rPr>
        <w:t xml:space="preserve">, an enabling </w:t>
      </w:r>
      <w:r w:rsidR="003E18D7" w:rsidRPr="0086151C">
        <w:rPr>
          <w:rFonts w:ascii="Times New Roman" w:hAnsi="Times New Roman"/>
          <w:b w:val="0"/>
          <w:sz w:val="20"/>
        </w:rPr>
        <w:t xml:space="preserve">and cross-cutting </w:t>
      </w:r>
      <w:r w:rsidR="003043C0" w:rsidRPr="0086151C">
        <w:rPr>
          <w:rFonts w:ascii="Times New Roman" w:hAnsi="Times New Roman"/>
          <w:b w:val="0"/>
          <w:sz w:val="20"/>
        </w:rPr>
        <w:t>pillar underpinning the first two,</w:t>
      </w:r>
      <w:r w:rsidR="00034FA6" w:rsidRPr="0086151C">
        <w:rPr>
          <w:rFonts w:ascii="Times New Roman" w:hAnsi="Times New Roman"/>
          <w:b w:val="0"/>
          <w:sz w:val="20"/>
        </w:rPr>
        <w:t xml:space="preserve"> in turn contains </w:t>
      </w:r>
      <w:r w:rsidR="007616AD" w:rsidRPr="0086151C">
        <w:rPr>
          <w:rFonts w:ascii="Times New Roman" w:hAnsi="Times New Roman"/>
          <w:b w:val="0"/>
          <w:sz w:val="20"/>
        </w:rPr>
        <w:t xml:space="preserve">four </w:t>
      </w:r>
      <w:r w:rsidR="00034FA6" w:rsidRPr="0086151C">
        <w:rPr>
          <w:rFonts w:ascii="Times New Roman" w:hAnsi="Times New Roman"/>
          <w:b w:val="0"/>
          <w:sz w:val="20"/>
        </w:rPr>
        <w:t>distinct outcomes supporting</w:t>
      </w:r>
      <w:r w:rsidR="00CD3C65">
        <w:rPr>
          <w:rFonts w:ascii="Times New Roman" w:hAnsi="Times New Roman"/>
          <w:b w:val="0"/>
          <w:sz w:val="20"/>
        </w:rPr>
        <w:t>:</w:t>
      </w:r>
      <w:r w:rsidR="00034FA6" w:rsidRPr="0086151C">
        <w:rPr>
          <w:rFonts w:ascii="Times New Roman" w:hAnsi="Times New Roman"/>
          <w:b w:val="0"/>
          <w:sz w:val="20"/>
        </w:rPr>
        <w:t xml:space="preserve"> </w:t>
      </w:r>
      <w:r w:rsidR="0002503B" w:rsidRPr="0086151C">
        <w:rPr>
          <w:rFonts w:ascii="Times New Roman" w:hAnsi="Times New Roman"/>
          <w:b w:val="0"/>
          <w:sz w:val="20"/>
        </w:rPr>
        <w:t>(</w:t>
      </w:r>
      <w:r w:rsidR="00CD3C65">
        <w:rPr>
          <w:rFonts w:ascii="Times New Roman" w:hAnsi="Times New Roman"/>
          <w:b w:val="0"/>
          <w:sz w:val="20"/>
        </w:rPr>
        <w:t>a</w:t>
      </w:r>
      <w:r w:rsidR="0002503B" w:rsidRPr="0086151C">
        <w:rPr>
          <w:rFonts w:ascii="Times New Roman" w:hAnsi="Times New Roman"/>
          <w:b w:val="0"/>
          <w:sz w:val="20"/>
        </w:rPr>
        <w:t xml:space="preserve">) </w:t>
      </w:r>
      <w:r w:rsidR="00DB4DCA">
        <w:rPr>
          <w:rFonts w:ascii="Times New Roman" w:hAnsi="Times New Roman"/>
          <w:b w:val="0"/>
          <w:sz w:val="20"/>
        </w:rPr>
        <w:t xml:space="preserve">enhanced </w:t>
      </w:r>
      <w:r w:rsidR="00034FA6" w:rsidRPr="0086151C">
        <w:rPr>
          <w:rFonts w:ascii="Times New Roman" w:hAnsi="Times New Roman"/>
          <w:b w:val="0"/>
          <w:sz w:val="20"/>
        </w:rPr>
        <w:t>capacities for evidence gathering for policymaking and implementation; (</w:t>
      </w:r>
      <w:r w:rsidR="00CD3C65">
        <w:rPr>
          <w:rFonts w:ascii="Times New Roman" w:hAnsi="Times New Roman"/>
          <w:b w:val="0"/>
          <w:sz w:val="20"/>
        </w:rPr>
        <w:t>b</w:t>
      </w:r>
      <w:r w:rsidR="00034FA6" w:rsidRPr="0086151C">
        <w:rPr>
          <w:rFonts w:ascii="Times New Roman" w:hAnsi="Times New Roman"/>
          <w:b w:val="0"/>
          <w:sz w:val="20"/>
        </w:rPr>
        <w:t xml:space="preserve">) </w:t>
      </w:r>
      <w:r w:rsidR="00DB4DCA">
        <w:rPr>
          <w:rFonts w:ascii="Times New Roman" w:hAnsi="Times New Roman"/>
          <w:b w:val="0"/>
          <w:sz w:val="20"/>
        </w:rPr>
        <w:t xml:space="preserve">enhanced </w:t>
      </w:r>
      <w:r w:rsidR="00034FA6" w:rsidRPr="0086151C">
        <w:rPr>
          <w:rFonts w:ascii="Times New Roman" w:hAnsi="Times New Roman"/>
          <w:b w:val="0"/>
          <w:sz w:val="20"/>
        </w:rPr>
        <w:t>capacities for management of public resources; (</w:t>
      </w:r>
      <w:r w:rsidR="00CD3C65">
        <w:rPr>
          <w:rFonts w:ascii="Times New Roman" w:hAnsi="Times New Roman"/>
          <w:b w:val="0"/>
          <w:sz w:val="20"/>
        </w:rPr>
        <w:t>c</w:t>
      </w:r>
      <w:r w:rsidR="00034FA6" w:rsidRPr="0086151C">
        <w:rPr>
          <w:rFonts w:ascii="Times New Roman" w:hAnsi="Times New Roman"/>
          <w:b w:val="0"/>
          <w:sz w:val="20"/>
        </w:rPr>
        <w:t>) people’s participation in democratic processes</w:t>
      </w:r>
      <w:r w:rsidR="003E18D7" w:rsidRPr="0086151C">
        <w:rPr>
          <w:rFonts w:ascii="Times New Roman" w:hAnsi="Times New Roman"/>
          <w:b w:val="0"/>
          <w:sz w:val="20"/>
        </w:rPr>
        <w:t>;</w:t>
      </w:r>
      <w:r w:rsidR="00034FA6" w:rsidRPr="0086151C">
        <w:rPr>
          <w:rFonts w:ascii="Times New Roman" w:hAnsi="Times New Roman"/>
          <w:b w:val="0"/>
          <w:sz w:val="20"/>
        </w:rPr>
        <w:t xml:space="preserve"> and (</w:t>
      </w:r>
      <w:r w:rsidR="00CD3C65">
        <w:rPr>
          <w:rFonts w:ascii="Times New Roman" w:hAnsi="Times New Roman"/>
          <w:b w:val="0"/>
          <w:sz w:val="20"/>
        </w:rPr>
        <w:t>d</w:t>
      </w:r>
      <w:r w:rsidR="00034FA6" w:rsidRPr="0086151C">
        <w:rPr>
          <w:rFonts w:ascii="Times New Roman" w:hAnsi="Times New Roman"/>
          <w:b w:val="0"/>
          <w:sz w:val="20"/>
        </w:rPr>
        <w:t>)</w:t>
      </w:r>
      <w:r w:rsidR="00421428" w:rsidRPr="0086151C">
        <w:rPr>
          <w:rFonts w:ascii="Times New Roman" w:hAnsi="Times New Roman"/>
          <w:b w:val="0"/>
          <w:sz w:val="20"/>
        </w:rPr>
        <w:t xml:space="preserve"> </w:t>
      </w:r>
      <w:r w:rsidR="00034FA6" w:rsidRPr="0086151C">
        <w:rPr>
          <w:rFonts w:ascii="Times New Roman" w:hAnsi="Times New Roman"/>
          <w:b w:val="0"/>
          <w:sz w:val="20"/>
        </w:rPr>
        <w:t>overall support to strengthen the human rights architecture and acc</w:t>
      </w:r>
      <w:r w:rsidR="00421428" w:rsidRPr="0086151C">
        <w:rPr>
          <w:rFonts w:ascii="Times New Roman" w:hAnsi="Times New Roman"/>
          <w:b w:val="0"/>
          <w:sz w:val="20"/>
        </w:rPr>
        <w:t>ess to justice.</w:t>
      </w:r>
      <w:r w:rsidR="00415C1B">
        <w:rPr>
          <w:rFonts w:ascii="Times New Roman" w:hAnsi="Times New Roman"/>
          <w:b w:val="0"/>
          <w:sz w:val="20"/>
        </w:rPr>
        <w:t xml:space="preserve"> </w:t>
      </w:r>
    </w:p>
    <w:p w14:paraId="6F7E436A" w14:textId="5DCB5CC7" w:rsidR="009A240B" w:rsidRDefault="003F3F97"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877097">
        <w:rPr>
          <w:rFonts w:ascii="Times New Roman" w:hAnsi="Times New Roman"/>
          <w:b w:val="0"/>
          <w:sz w:val="20"/>
        </w:rPr>
        <w:t xml:space="preserve">The </w:t>
      </w:r>
      <w:r w:rsidR="00CD3C65">
        <w:rPr>
          <w:rFonts w:ascii="Times New Roman" w:hAnsi="Times New Roman"/>
          <w:b w:val="0"/>
          <w:sz w:val="20"/>
        </w:rPr>
        <w:t>country programme</w:t>
      </w:r>
      <w:r w:rsidR="00CD3C65" w:rsidRPr="00877097">
        <w:rPr>
          <w:rFonts w:ascii="Times New Roman" w:hAnsi="Times New Roman"/>
          <w:b w:val="0"/>
          <w:sz w:val="20"/>
        </w:rPr>
        <w:t xml:space="preserve"> </w:t>
      </w:r>
      <w:r w:rsidR="00421428" w:rsidRPr="00877097">
        <w:rPr>
          <w:rFonts w:ascii="Times New Roman" w:hAnsi="Times New Roman"/>
          <w:b w:val="0"/>
          <w:sz w:val="20"/>
        </w:rPr>
        <w:t>enunciates</w:t>
      </w:r>
      <w:r w:rsidRPr="00877097">
        <w:rPr>
          <w:rFonts w:ascii="Times New Roman" w:hAnsi="Times New Roman"/>
          <w:b w:val="0"/>
          <w:sz w:val="20"/>
        </w:rPr>
        <w:t xml:space="preserve"> </w:t>
      </w:r>
      <w:r w:rsidR="00CD3C65">
        <w:rPr>
          <w:rFonts w:ascii="Times New Roman" w:hAnsi="Times New Roman"/>
          <w:b w:val="0"/>
          <w:sz w:val="20"/>
        </w:rPr>
        <w:t xml:space="preserve">the </w:t>
      </w:r>
      <w:r w:rsidR="003043C0" w:rsidRPr="00877097">
        <w:rPr>
          <w:rFonts w:ascii="Times New Roman" w:hAnsi="Times New Roman"/>
          <w:b w:val="0"/>
          <w:sz w:val="20"/>
        </w:rPr>
        <w:t xml:space="preserve">UNDP contribution to </w:t>
      </w:r>
      <w:r w:rsidRPr="00877097">
        <w:rPr>
          <w:rFonts w:ascii="Times New Roman" w:hAnsi="Times New Roman"/>
          <w:b w:val="0"/>
          <w:sz w:val="20"/>
        </w:rPr>
        <w:t xml:space="preserve">four of these </w:t>
      </w:r>
      <w:r w:rsidR="006F7C07" w:rsidRPr="00877097">
        <w:rPr>
          <w:rFonts w:ascii="Times New Roman" w:hAnsi="Times New Roman"/>
          <w:b w:val="0"/>
          <w:sz w:val="20"/>
        </w:rPr>
        <w:t xml:space="preserve">Partnership Framework </w:t>
      </w:r>
      <w:r w:rsidRPr="00877097">
        <w:rPr>
          <w:rFonts w:ascii="Times New Roman" w:hAnsi="Times New Roman"/>
          <w:b w:val="0"/>
          <w:sz w:val="20"/>
        </w:rPr>
        <w:t>outcomes</w:t>
      </w:r>
      <w:r w:rsidR="006F7C07" w:rsidRPr="00877097">
        <w:rPr>
          <w:rFonts w:ascii="Times New Roman" w:hAnsi="Times New Roman"/>
          <w:b w:val="0"/>
          <w:sz w:val="20"/>
        </w:rPr>
        <w:t xml:space="preserve"> to ensure </w:t>
      </w:r>
      <w:r w:rsidR="00955546" w:rsidRPr="00877097">
        <w:rPr>
          <w:rFonts w:ascii="Times New Roman" w:hAnsi="Times New Roman"/>
          <w:b w:val="0"/>
          <w:sz w:val="20"/>
        </w:rPr>
        <w:t>that:</w:t>
      </w:r>
      <w:r w:rsidR="006F7C07" w:rsidRPr="00877097">
        <w:rPr>
          <w:rFonts w:ascii="Times New Roman" w:hAnsi="Times New Roman"/>
          <w:b w:val="0"/>
          <w:sz w:val="20"/>
        </w:rPr>
        <w:t xml:space="preserve"> </w:t>
      </w:r>
    </w:p>
    <w:p w14:paraId="59ED3C08" w14:textId="43D31BE8" w:rsidR="009A240B" w:rsidRDefault="00CD3C65" w:rsidP="009A240B">
      <w:pPr>
        <w:pStyle w:val="Heading2"/>
        <w:tabs>
          <w:tab w:val="left" w:pos="1710"/>
        </w:tabs>
        <w:spacing w:after="120"/>
        <w:ind w:left="1260" w:right="1267"/>
        <w:jc w:val="both"/>
        <w:rPr>
          <w:rFonts w:ascii="Times New Roman" w:hAnsi="Times New Roman"/>
          <w:b w:val="0"/>
          <w:sz w:val="20"/>
        </w:rPr>
      </w:pPr>
      <w:r>
        <w:rPr>
          <w:rFonts w:ascii="Times New Roman" w:hAnsi="Times New Roman"/>
          <w:b w:val="0"/>
          <w:sz w:val="20"/>
        </w:rPr>
        <w:t>(a</w:t>
      </w:r>
      <w:r w:rsidR="006F7C07" w:rsidRPr="00877097">
        <w:rPr>
          <w:rFonts w:ascii="Times New Roman" w:hAnsi="Times New Roman"/>
          <w:b w:val="0"/>
          <w:sz w:val="20"/>
        </w:rPr>
        <w:t>)</w:t>
      </w:r>
      <w:r w:rsidR="003F3F97" w:rsidRPr="00877097">
        <w:rPr>
          <w:rFonts w:ascii="Times New Roman" w:hAnsi="Times New Roman"/>
          <w:b w:val="0"/>
          <w:sz w:val="20"/>
        </w:rPr>
        <w:t xml:space="preserve"> </w:t>
      </w:r>
      <w:r w:rsidR="006F7C07" w:rsidRPr="00877097">
        <w:rPr>
          <w:rFonts w:ascii="Times New Roman" w:hAnsi="Times New Roman"/>
          <w:b w:val="0"/>
          <w:sz w:val="20"/>
        </w:rPr>
        <w:t xml:space="preserve">productive </w:t>
      </w:r>
      <w:r w:rsidR="00955546" w:rsidRPr="00877097">
        <w:rPr>
          <w:rFonts w:ascii="Times New Roman" w:hAnsi="Times New Roman"/>
          <w:b w:val="0"/>
          <w:sz w:val="20"/>
        </w:rPr>
        <w:t>sectors expand</w:t>
      </w:r>
      <w:r w:rsidR="007616AD" w:rsidRPr="00877097">
        <w:rPr>
          <w:rFonts w:ascii="Times New Roman" w:hAnsi="Times New Roman"/>
          <w:b w:val="0"/>
          <w:sz w:val="20"/>
        </w:rPr>
        <w:t xml:space="preserve"> income-</w:t>
      </w:r>
      <w:r w:rsidR="006F7C07" w:rsidRPr="00877097">
        <w:rPr>
          <w:rFonts w:ascii="Times New Roman" w:hAnsi="Times New Roman"/>
          <w:b w:val="0"/>
          <w:sz w:val="20"/>
        </w:rPr>
        <w:t>earning opportunities that are decent and sustainable, especially for youth and women in the poorest areas</w:t>
      </w:r>
      <w:r w:rsidR="009A240B">
        <w:rPr>
          <w:rFonts w:ascii="Times New Roman" w:hAnsi="Times New Roman"/>
          <w:b w:val="0"/>
          <w:sz w:val="20"/>
        </w:rPr>
        <w:t>.</w:t>
      </w:r>
      <w:r w:rsidR="009A240B" w:rsidRPr="00877097">
        <w:rPr>
          <w:rFonts w:ascii="Times New Roman" w:hAnsi="Times New Roman"/>
          <w:b w:val="0"/>
          <w:sz w:val="20"/>
        </w:rPr>
        <w:t xml:space="preserve"> </w:t>
      </w:r>
      <w:r w:rsidR="009A240B">
        <w:rPr>
          <w:rFonts w:ascii="Times New Roman" w:hAnsi="Times New Roman"/>
          <w:b w:val="0"/>
          <w:sz w:val="20"/>
        </w:rPr>
        <w:t>I</w:t>
      </w:r>
      <w:r w:rsidR="009A240B" w:rsidRPr="00877097">
        <w:rPr>
          <w:rFonts w:ascii="Times New Roman" w:hAnsi="Times New Roman"/>
          <w:b w:val="0"/>
          <w:sz w:val="20"/>
        </w:rPr>
        <w:t xml:space="preserve">n </w:t>
      </w:r>
      <w:r w:rsidR="00955546" w:rsidRPr="00877097">
        <w:rPr>
          <w:rFonts w:ascii="Times New Roman" w:hAnsi="Times New Roman"/>
          <w:b w:val="0"/>
          <w:sz w:val="20"/>
        </w:rPr>
        <w:t xml:space="preserve">achieving this outcome, UNDP will </w:t>
      </w:r>
      <w:r w:rsidR="007317F0">
        <w:rPr>
          <w:rFonts w:ascii="Times New Roman" w:hAnsi="Times New Roman"/>
          <w:b w:val="0"/>
          <w:sz w:val="20"/>
        </w:rPr>
        <w:t>seek</w:t>
      </w:r>
      <w:r w:rsidR="00955546" w:rsidRPr="00877097">
        <w:rPr>
          <w:rFonts w:ascii="Times New Roman" w:hAnsi="Times New Roman"/>
          <w:b w:val="0"/>
          <w:sz w:val="20"/>
        </w:rPr>
        <w:t xml:space="preserve"> partnerships with the private sector</w:t>
      </w:r>
      <w:r w:rsidR="009A240B">
        <w:rPr>
          <w:rFonts w:ascii="Times New Roman" w:hAnsi="Times New Roman"/>
          <w:b w:val="0"/>
          <w:sz w:val="20"/>
        </w:rPr>
        <w:t>,</w:t>
      </w:r>
      <w:r w:rsidR="00955546" w:rsidRPr="00877097">
        <w:rPr>
          <w:rFonts w:ascii="Times New Roman" w:hAnsi="Times New Roman"/>
          <w:b w:val="0"/>
          <w:sz w:val="20"/>
        </w:rPr>
        <w:t xml:space="preserve"> particularly in the extractive, agriculture and energy </w:t>
      </w:r>
      <w:r w:rsidR="003E18D7" w:rsidRPr="00877097">
        <w:rPr>
          <w:rFonts w:ascii="Times New Roman" w:hAnsi="Times New Roman"/>
          <w:b w:val="0"/>
          <w:sz w:val="20"/>
        </w:rPr>
        <w:t>sectors</w:t>
      </w:r>
      <w:r w:rsidR="009A240B">
        <w:rPr>
          <w:rFonts w:ascii="Times New Roman" w:hAnsi="Times New Roman"/>
          <w:b w:val="0"/>
          <w:sz w:val="20"/>
        </w:rPr>
        <w:t>,</w:t>
      </w:r>
      <w:r w:rsidR="003E18D7" w:rsidRPr="00877097">
        <w:rPr>
          <w:rFonts w:ascii="Times New Roman" w:hAnsi="Times New Roman"/>
          <w:b w:val="0"/>
          <w:sz w:val="20"/>
        </w:rPr>
        <w:t xml:space="preserve"> </w:t>
      </w:r>
      <w:r w:rsidR="00955546" w:rsidRPr="00877097">
        <w:rPr>
          <w:rFonts w:ascii="Times New Roman" w:hAnsi="Times New Roman"/>
          <w:b w:val="0"/>
          <w:sz w:val="20"/>
        </w:rPr>
        <w:t xml:space="preserve">to </w:t>
      </w:r>
      <w:r w:rsidR="003E18D7" w:rsidRPr="00877097">
        <w:rPr>
          <w:rFonts w:ascii="Times New Roman" w:hAnsi="Times New Roman"/>
          <w:b w:val="0"/>
          <w:sz w:val="20"/>
        </w:rPr>
        <w:t xml:space="preserve">develop and </w:t>
      </w:r>
      <w:r w:rsidR="00955546" w:rsidRPr="00877097">
        <w:rPr>
          <w:rFonts w:ascii="Times New Roman" w:hAnsi="Times New Roman"/>
          <w:b w:val="0"/>
          <w:sz w:val="20"/>
        </w:rPr>
        <w:t>support projects/program</w:t>
      </w:r>
      <w:r w:rsidR="003E18D7" w:rsidRPr="00877097">
        <w:rPr>
          <w:rFonts w:ascii="Times New Roman" w:hAnsi="Times New Roman"/>
          <w:b w:val="0"/>
          <w:sz w:val="20"/>
        </w:rPr>
        <w:t>me</w:t>
      </w:r>
      <w:r w:rsidR="00955546" w:rsidRPr="00877097">
        <w:rPr>
          <w:rFonts w:ascii="Times New Roman" w:hAnsi="Times New Roman"/>
          <w:b w:val="0"/>
          <w:sz w:val="20"/>
        </w:rPr>
        <w:t>s</w:t>
      </w:r>
      <w:r w:rsidR="003E18D7" w:rsidRPr="00877097">
        <w:rPr>
          <w:rFonts w:ascii="Times New Roman" w:hAnsi="Times New Roman"/>
          <w:b w:val="0"/>
          <w:sz w:val="20"/>
        </w:rPr>
        <w:t xml:space="preserve"> together</w:t>
      </w:r>
      <w:r w:rsidR="00955546" w:rsidRPr="00877097">
        <w:rPr>
          <w:rFonts w:ascii="Times New Roman" w:hAnsi="Times New Roman"/>
          <w:b w:val="0"/>
          <w:sz w:val="20"/>
        </w:rPr>
        <w:t>;</w:t>
      </w:r>
      <w:r w:rsidR="006F7C07" w:rsidRPr="00877097">
        <w:rPr>
          <w:rFonts w:ascii="Times New Roman" w:hAnsi="Times New Roman"/>
          <w:b w:val="0"/>
          <w:sz w:val="20"/>
        </w:rPr>
        <w:t xml:space="preserve"> </w:t>
      </w:r>
    </w:p>
    <w:p w14:paraId="7D24E8ED" w14:textId="14E27A9C" w:rsidR="009A240B" w:rsidRDefault="009A240B" w:rsidP="009A240B">
      <w:pPr>
        <w:pStyle w:val="Heading2"/>
        <w:tabs>
          <w:tab w:val="left" w:pos="1710"/>
        </w:tabs>
        <w:spacing w:after="120"/>
        <w:ind w:left="1260" w:right="1267"/>
        <w:jc w:val="both"/>
        <w:rPr>
          <w:rFonts w:ascii="Times New Roman" w:hAnsi="Times New Roman"/>
          <w:b w:val="0"/>
          <w:sz w:val="20"/>
        </w:rPr>
      </w:pPr>
      <w:r>
        <w:rPr>
          <w:rFonts w:ascii="Times New Roman" w:hAnsi="Times New Roman"/>
          <w:b w:val="0"/>
          <w:sz w:val="20"/>
        </w:rPr>
        <w:t>(b</w:t>
      </w:r>
      <w:r w:rsidR="006F7C07" w:rsidRPr="00877097">
        <w:rPr>
          <w:rFonts w:ascii="Times New Roman" w:hAnsi="Times New Roman"/>
          <w:b w:val="0"/>
          <w:sz w:val="20"/>
        </w:rPr>
        <w:t>) national institutions at all levels target, manage, coordinate and account for resources for equitable service delivery</w:t>
      </w:r>
      <w:r w:rsidR="003E18D7" w:rsidRPr="00877097">
        <w:rPr>
          <w:rFonts w:ascii="Times New Roman" w:hAnsi="Times New Roman"/>
          <w:b w:val="0"/>
          <w:sz w:val="20"/>
        </w:rPr>
        <w:t>;</w:t>
      </w:r>
      <w:r w:rsidR="006F7C07" w:rsidRPr="00877097">
        <w:rPr>
          <w:rFonts w:ascii="Times New Roman" w:hAnsi="Times New Roman"/>
          <w:b w:val="0"/>
          <w:sz w:val="20"/>
        </w:rPr>
        <w:t xml:space="preserve"> </w:t>
      </w:r>
    </w:p>
    <w:p w14:paraId="0C08CD21" w14:textId="5A0EF9B4" w:rsidR="009A240B" w:rsidRDefault="009A240B" w:rsidP="009A240B">
      <w:pPr>
        <w:pStyle w:val="Heading2"/>
        <w:tabs>
          <w:tab w:val="left" w:pos="1710"/>
        </w:tabs>
        <w:spacing w:after="120"/>
        <w:ind w:left="1260" w:right="1267"/>
        <w:jc w:val="both"/>
        <w:rPr>
          <w:rFonts w:ascii="Times New Roman" w:hAnsi="Times New Roman"/>
          <w:b w:val="0"/>
          <w:sz w:val="20"/>
        </w:rPr>
      </w:pPr>
      <w:r>
        <w:rPr>
          <w:rFonts w:ascii="Times New Roman" w:hAnsi="Times New Roman"/>
          <w:b w:val="0"/>
          <w:sz w:val="20"/>
        </w:rPr>
        <w:t>(c</w:t>
      </w:r>
      <w:r w:rsidR="006F7C07" w:rsidRPr="00877097">
        <w:rPr>
          <w:rFonts w:ascii="Times New Roman" w:hAnsi="Times New Roman"/>
          <w:b w:val="0"/>
          <w:sz w:val="20"/>
        </w:rPr>
        <w:t xml:space="preserve">) Zambia promotes equitable and effective participation in national and democratic processes, especially </w:t>
      </w:r>
      <w:r w:rsidR="003E18D7" w:rsidRPr="00877097">
        <w:rPr>
          <w:rFonts w:ascii="Times New Roman" w:hAnsi="Times New Roman"/>
          <w:b w:val="0"/>
          <w:sz w:val="20"/>
        </w:rPr>
        <w:t xml:space="preserve">by </w:t>
      </w:r>
      <w:r w:rsidR="006F7C07" w:rsidRPr="00877097">
        <w:rPr>
          <w:rFonts w:ascii="Times New Roman" w:hAnsi="Times New Roman"/>
          <w:b w:val="0"/>
          <w:sz w:val="20"/>
        </w:rPr>
        <w:t xml:space="preserve">women, youth and </w:t>
      </w:r>
      <w:r w:rsidRPr="00877097">
        <w:rPr>
          <w:rFonts w:ascii="Times New Roman" w:hAnsi="Times New Roman"/>
          <w:b w:val="0"/>
          <w:sz w:val="20"/>
        </w:rPr>
        <w:t>marginali</w:t>
      </w:r>
      <w:r>
        <w:rPr>
          <w:rFonts w:ascii="Times New Roman" w:hAnsi="Times New Roman"/>
          <w:b w:val="0"/>
          <w:sz w:val="20"/>
        </w:rPr>
        <w:t>z</w:t>
      </w:r>
      <w:r w:rsidRPr="00877097">
        <w:rPr>
          <w:rFonts w:ascii="Times New Roman" w:hAnsi="Times New Roman"/>
          <w:b w:val="0"/>
          <w:sz w:val="20"/>
        </w:rPr>
        <w:t xml:space="preserve">ed </w:t>
      </w:r>
      <w:r w:rsidR="006F7C07" w:rsidRPr="00877097">
        <w:rPr>
          <w:rFonts w:ascii="Times New Roman" w:hAnsi="Times New Roman"/>
          <w:b w:val="0"/>
          <w:sz w:val="20"/>
        </w:rPr>
        <w:t xml:space="preserve">groups; </w:t>
      </w:r>
    </w:p>
    <w:p w14:paraId="48B2165F" w14:textId="6D16C9DC" w:rsidR="006F7C07" w:rsidRDefault="009A240B" w:rsidP="009A240B">
      <w:pPr>
        <w:pStyle w:val="Heading2"/>
        <w:tabs>
          <w:tab w:val="left" w:pos="1710"/>
        </w:tabs>
        <w:spacing w:after="120"/>
        <w:ind w:left="1260" w:right="1267"/>
        <w:jc w:val="both"/>
        <w:rPr>
          <w:rFonts w:ascii="Times New Roman" w:hAnsi="Times New Roman"/>
          <w:b w:val="0"/>
          <w:sz w:val="20"/>
        </w:rPr>
      </w:pPr>
      <w:r>
        <w:rPr>
          <w:rFonts w:ascii="Times New Roman" w:hAnsi="Times New Roman"/>
          <w:b w:val="0"/>
          <w:sz w:val="20"/>
        </w:rPr>
        <w:t>(d</w:t>
      </w:r>
      <w:r w:rsidR="006F7C07" w:rsidRPr="00877097">
        <w:rPr>
          <w:rFonts w:ascii="Times New Roman" w:hAnsi="Times New Roman"/>
          <w:b w:val="0"/>
          <w:sz w:val="20"/>
        </w:rPr>
        <w:t xml:space="preserve">) protection and promotion of human rights and human security, access to justice and gender equality with particular focus on the rights of </w:t>
      </w:r>
      <w:r w:rsidRPr="00877097">
        <w:rPr>
          <w:rFonts w:ascii="Times New Roman" w:hAnsi="Times New Roman"/>
          <w:b w:val="0"/>
          <w:sz w:val="20"/>
        </w:rPr>
        <w:t>marginali</w:t>
      </w:r>
      <w:r>
        <w:rPr>
          <w:rFonts w:ascii="Times New Roman" w:hAnsi="Times New Roman"/>
          <w:b w:val="0"/>
          <w:sz w:val="20"/>
        </w:rPr>
        <w:t>z</w:t>
      </w:r>
      <w:r w:rsidRPr="00877097">
        <w:rPr>
          <w:rFonts w:ascii="Times New Roman" w:hAnsi="Times New Roman"/>
          <w:b w:val="0"/>
          <w:sz w:val="20"/>
        </w:rPr>
        <w:t xml:space="preserve">ed </w:t>
      </w:r>
      <w:r w:rsidR="006F7C07" w:rsidRPr="00877097">
        <w:rPr>
          <w:rFonts w:ascii="Times New Roman" w:hAnsi="Times New Roman"/>
          <w:b w:val="0"/>
          <w:sz w:val="20"/>
        </w:rPr>
        <w:t>and vulnerable groups are improved.</w:t>
      </w:r>
    </w:p>
    <w:p w14:paraId="73111ADE" w14:textId="61E55EEF" w:rsidR="00877097" w:rsidRDefault="006F7C07"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877097">
        <w:rPr>
          <w:rFonts w:ascii="Times New Roman" w:hAnsi="Times New Roman"/>
          <w:b w:val="0"/>
          <w:sz w:val="20"/>
        </w:rPr>
        <w:t>The</w:t>
      </w:r>
      <w:r w:rsidR="003E18D7" w:rsidRPr="00877097">
        <w:rPr>
          <w:rFonts w:ascii="Times New Roman" w:hAnsi="Times New Roman"/>
          <w:b w:val="0"/>
          <w:sz w:val="20"/>
        </w:rPr>
        <w:t>se</w:t>
      </w:r>
      <w:r w:rsidRPr="00877097">
        <w:rPr>
          <w:rFonts w:ascii="Times New Roman" w:hAnsi="Times New Roman"/>
          <w:b w:val="0"/>
          <w:sz w:val="20"/>
        </w:rPr>
        <w:t xml:space="preserve"> outcomes are </w:t>
      </w:r>
      <w:r w:rsidR="003F3F97" w:rsidRPr="00877097">
        <w:rPr>
          <w:rFonts w:ascii="Times New Roman" w:hAnsi="Times New Roman"/>
          <w:b w:val="0"/>
          <w:sz w:val="20"/>
        </w:rPr>
        <w:t>linked to three UNDP strategic outcomes</w:t>
      </w:r>
      <w:r w:rsidR="00195E8A" w:rsidRPr="00877097">
        <w:rPr>
          <w:rFonts w:ascii="Times New Roman" w:hAnsi="Times New Roman"/>
          <w:b w:val="0"/>
          <w:sz w:val="20"/>
        </w:rPr>
        <w:t>: environmentally sustainable inclusive economic growth</w:t>
      </w:r>
      <w:r w:rsidR="009A240B">
        <w:rPr>
          <w:rFonts w:ascii="Times New Roman" w:hAnsi="Times New Roman"/>
          <w:b w:val="0"/>
          <w:sz w:val="20"/>
        </w:rPr>
        <w:t>;</w:t>
      </w:r>
      <w:r w:rsidR="009A240B" w:rsidRPr="00877097">
        <w:rPr>
          <w:rFonts w:ascii="Times New Roman" w:hAnsi="Times New Roman"/>
          <w:b w:val="0"/>
          <w:sz w:val="20"/>
        </w:rPr>
        <w:t xml:space="preserve"> </w:t>
      </w:r>
      <w:r w:rsidR="00195E8A" w:rsidRPr="00877097">
        <w:rPr>
          <w:rFonts w:ascii="Times New Roman" w:hAnsi="Times New Roman"/>
          <w:b w:val="0"/>
          <w:sz w:val="20"/>
        </w:rPr>
        <w:t xml:space="preserve">democratic governance </w:t>
      </w:r>
      <w:r w:rsidR="00533CCA" w:rsidRPr="00877097">
        <w:rPr>
          <w:rFonts w:ascii="Times New Roman" w:hAnsi="Times New Roman"/>
          <w:b w:val="0"/>
          <w:sz w:val="20"/>
        </w:rPr>
        <w:t xml:space="preserve">for </w:t>
      </w:r>
      <w:r w:rsidR="00195E8A" w:rsidRPr="00877097">
        <w:rPr>
          <w:rFonts w:ascii="Times New Roman" w:hAnsi="Times New Roman"/>
          <w:b w:val="0"/>
          <w:sz w:val="20"/>
        </w:rPr>
        <w:t>enhance</w:t>
      </w:r>
      <w:r w:rsidR="00533CCA" w:rsidRPr="00877097">
        <w:rPr>
          <w:rFonts w:ascii="Times New Roman" w:hAnsi="Times New Roman"/>
          <w:b w:val="0"/>
          <w:sz w:val="20"/>
        </w:rPr>
        <w:t>d</w:t>
      </w:r>
      <w:r w:rsidR="00195E8A" w:rsidRPr="00877097">
        <w:rPr>
          <w:rFonts w:ascii="Times New Roman" w:hAnsi="Times New Roman"/>
          <w:b w:val="0"/>
          <w:sz w:val="20"/>
        </w:rPr>
        <w:t xml:space="preserve"> </w:t>
      </w:r>
      <w:r w:rsidR="00533CCA" w:rsidRPr="00877097">
        <w:rPr>
          <w:rFonts w:ascii="Times New Roman" w:hAnsi="Times New Roman"/>
          <w:b w:val="0"/>
          <w:sz w:val="20"/>
        </w:rPr>
        <w:t>citizens’</w:t>
      </w:r>
      <w:r w:rsidR="00195E8A" w:rsidRPr="00877097">
        <w:rPr>
          <w:rFonts w:ascii="Times New Roman" w:hAnsi="Times New Roman"/>
          <w:b w:val="0"/>
          <w:sz w:val="20"/>
        </w:rPr>
        <w:t xml:space="preserve"> participation</w:t>
      </w:r>
      <w:r w:rsidR="009A240B">
        <w:rPr>
          <w:rFonts w:ascii="Times New Roman" w:hAnsi="Times New Roman"/>
          <w:b w:val="0"/>
          <w:sz w:val="20"/>
        </w:rPr>
        <w:t>;</w:t>
      </w:r>
      <w:r w:rsidR="009A240B" w:rsidRPr="00877097">
        <w:rPr>
          <w:rFonts w:ascii="Times New Roman" w:hAnsi="Times New Roman"/>
          <w:b w:val="0"/>
          <w:sz w:val="20"/>
        </w:rPr>
        <w:t xml:space="preserve"> </w:t>
      </w:r>
      <w:r w:rsidR="00195E8A" w:rsidRPr="00877097">
        <w:rPr>
          <w:rFonts w:ascii="Times New Roman" w:hAnsi="Times New Roman"/>
          <w:b w:val="0"/>
          <w:sz w:val="20"/>
        </w:rPr>
        <w:t xml:space="preserve">and strengthening institutions to </w:t>
      </w:r>
      <w:r w:rsidR="00CC244A" w:rsidRPr="00877097">
        <w:rPr>
          <w:rFonts w:ascii="Times New Roman" w:hAnsi="Times New Roman"/>
          <w:b w:val="0"/>
          <w:sz w:val="20"/>
        </w:rPr>
        <w:t xml:space="preserve">ensure </w:t>
      </w:r>
      <w:r w:rsidR="00195E8A" w:rsidRPr="00877097">
        <w:rPr>
          <w:rFonts w:ascii="Times New Roman" w:hAnsi="Times New Roman"/>
          <w:b w:val="0"/>
          <w:sz w:val="20"/>
        </w:rPr>
        <w:t>access to basic services.</w:t>
      </w:r>
      <w:r w:rsidR="00533CCA" w:rsidRPr="00877097">
        <w:rPr>
          <w:rFonts w:ascii="Times New Roman" w:hAnsi="Times New Roman"/>
          <w:b w:val="0"/>
          <w:sz w:val="20"/>
        </w:rPr>
        <w:t xml:space="preserve"> </w:t>
      </w:r>
      <w:r w:rsidR="00673166" w:rsidRPr="00877097">
        <w:rPr>
          <w:rFonts w:ascii="Times New Roman" w:hAnsi="Times New Roman"/>
          <w:b w:val="0"/>
          <w:sz w:val="20"/>
        </w:rPr>
        <w:t xml:space="preserve">These </w:t>
      </w:r>
      <w:r w:rsidR="00CC244A" w:rsidRPr="00877097">
        <w:rPr>
          <w:rFonts w:ascii="Times New Roman" w:hAnsi="Times New Roman"/>
          <w:b w:val="0"/>
          <w:sz w:val="20"/>
        </w:rPr>
        <w:t>focus areas</w:t>
      </w:r>
      <w:r w:rsidR="00673166" w:rsidRPr="00877097">
        <w:rPr>
          <w:rFonts w:ascii="Times New Roman" w:hAnsi="Times New Roman"/>
          <w:b w:val="0"/>
          <w:sz w:val="20"/>
        </w:rPr>
        <w:t xml:space="preserve"> are expected to strengthen </w:t>
      </w:r>
      <w:r w:rsidR="00A62374" w:rsidRPr="00877097">
        <w:rPr>
          <w:rFonts w:ascii="Times New Roman" w:hAnsi="Times New Roman"/>
          <w:b w:val="0"/>
          <w:sz w:val="20"/>
        </w:rPr>
        <w:t>polic</w:t>
      </w:r>
      <w:r w:rsidR="00673166" w:rsidRPr="00877097">
        <w:rPr>
          <w:rFonts w:ascii="Times New Roman" w:hAnsi="Times New Roman"/>
          <w:b w:val="0"/>
          <w:sz w:val="20"/>
        </w:rPr>
        <w:t xml:space="preserve">y coherence, accountability, </w:t>
      </w:r>
      <w:r w:rsidR="00A62374" w:rsidRPr="00877097">
        <w:rPr>
          <w:rFonts w:ascii="Times New Roman" w:hAnsi="Times New Roman"/>
          <w:b w:val="0"/>
          <w:sz w:val="20"/>
        </w:rPr>
        <w:t>institutional reform</w:t>
      </w:r>
      <w:r w:rsidR="00673166" w:rsidRPr="00877097">
        <w:rPr>
          <w:rFonts w:ascii="Times New Roman" w:hAnsi="Times New Roman"/>
          <w:b w:val="0"/>
          <w:sz w:val="20"/>
        </w:rPr>
        <w:t xml:space="preserve"> and public participation for reduction of poverty and inequalities. </w:t>
      </w:r>
      <w:r w:rsidR="009A240B">
        <w:rPr>
          <w:rFonts w:ascii="Times New Roman" w:hAnsi="Times New Roman"/>
          <w:b w:val="0"/>
          <w:sz w:val="20"/>
        </w:rPr>
        <w:t xml:space="preserve">The </w:t>
      </w:r>
      <w:r w:rsidR="00673166" w:rsidRPr="00877097">
        <w:rPr>
          <w:rFonts w:ascii="Times New Roman" w:hAnsi="Times New Roman"/>
          <w:b w:val="0"/>
          <w:sz w:val="20"/>
        </w:rPr>
        <w:t xml:space="preserve">successful experience </w:t>
      </w:r>
      <w:r w:rsidR="009A240B">
        <w:rPr>
          <w:rFonts w:ascii="Times New Roman" w:hAnsi="Times New Roman"/>
          <w:b w:val="0"/>
          <w:sz w:val="20"/>
        </w:rPr>
        <w:t xml:space="preserve">of UNDP </w:t>
      </w:r>
      <w:r w:rsidR="00DF4DCA" w:rsidRPr="00877097">
        <w:rPr>
          <w:rFonts w:ascii="Times New Roman" w:hAnsi="Times New Roman"/>
          <w:b w:val="0"/>
          <w:sz w:val="20"/>
        </w:rPr>
        <w:t xml:space="preserve">as Principal Recipient of </w:t>
      </w:r>
      <w:r w:rsidR="00673166" w:rsidRPr="00877097">
        <w:rPr>
          <w:rFonts w:ascii="Times New Roman" w:hAnsi="Times New Roman"/>
          <w:b w:val="0"/>
          <w:sz w:val="20"/>
        </w:rPr>
        <w:t xml:space="preserve">Global Fund </w:t>
      </w:r>
      <w:r w:rsidR="008B371E" w:rsidRPr="00877097">
        <w:rPr>
          <w:rFonts w:ascii="Times New Roman" w:hAnsi="Times New Roman"/>
          <w:b w:val="0"/>
          <w:sz w:val="20"/>
        </w:rPr>
        <w:t>grants</w:t>
      </w:r>
      <w:r w:rsidR="00673166" w:rsidRPr="00877097">
        <w:rPr>
          <w:rFonts w:ascii="Times New Roman" w:hAnsi="Times New Roman"/>
          <w:b w:val="0"/>
          <w:sz w:val="20"/>
        </w:rPr>
        <w:t xml:space="preserve"> will </w:t>
      </w:r>
      <w:r w:rsidR="00CC1932" w:rsidRPr="00877097">
        <w:rPr>
          <w:rFonts w:ascii="Times New Roman" w:hAnsi="Times New Roman"/>
          <w:b w:val="0"/>
          <w:sz w:val="20"/>
        </w:rPr>
        <w:t xml:space="preserve">be leveraged in support of </w:t>
      </w:r>
      <w:r w:rsidR="003F3F97" w:rsidRPr="00877097">
        <w:rPr>
          <w:rFonts w:ascii="Times New Roman" w:hAnsi="Times New Roman"/>
          <w:b w:val="0"/>
          <w:sz w:val="20"/>
        </w:rPr>
        <w:t xml:space="preserve">Zambia’s </w:t>
      </w:r>
      <w:r w:rsidR="00CC1932" w:rsidRPr="00877097">
        <w:rPr>
          <w:rFonts w:ascii="Times New Roman" w:hAnsi="Times New Roman"/>
          <w:b w:val="0"/>
          <w:sz w:val="20"/>
        </w:rPr>
        <w:t>efforts</w:t>
      </w:r>
      <w:r w:rsidR="003F3F97" w:rsidRPr="00877097">
        <w:rPr>
          <w:rFonts w:ascii="Times New Roman" w:hAnsi="Times New Roman"/>
          <w:b w:val="0"/>
          <w:sz w:val="20"/>
        </w:rPr>
        <w:t xml:space="preserve"> </w:t>
      </w:r>
      <w:r w:rsidR="00673166" w:rsidRPr="00877097">
        <w:rPr>
          <w:rFonts w:ascii="Times New Roman" w:hAnsi="Times New Roman"/>
          <w:b w:val="0"/>
          <w:sz w:val="20"/>
        </w:rPr>
        <w:t xml:space="preserve">to </w:t>
      </w:r>
      <w:r w:rsidR="003F3F97" w:rsidRPr="00877097">
        <w:rPr>
          <w:rFonts w:ascii="Times New Roman" w:hAnsi="Times New Roman"/>
          <w:b w:val="0"/>
          <w:sz w:val="20"/>
        </w:rPr>
        <w:t>access and manag</w:t>
      </w:r>
      <w:r w:rsidR="00B13894" w:rsidRPr="00877097">
        <w:rPr>
          <w:rFonts w:ascii="Times New Roman" w:hAnsi="Times New Roman"/>
          <w:b w:val="0"/>
          <w:sz w:val="20"/>
        </w:rPr>
        <w:t>e</w:t>
      </w:r>
      <w:r w:rsidR="003F3F97" w:rsidRPr="00877097">
        <w:rPr>
          <w:rFonts w:ascii="Times New Roman" w:hAnsi="Times New Roman"/>
          <w:b w:val="0"/>
          <w:sz w:val="20"/>
        </w:rPr>
        <w:t xml:space="preserve"> </w:t>
      </w:r>
      <w:r w:rsidR="00DF4DCA" w:rsidRPr="00877097">
        <w:rPr>
          <w:rFonts w:ascii="Times New Roman" w:hAnsi="Times New Roman"/>
          <w:b w:val="0"/>
          <w:sz w:val="20"/>
        </w:rPr>
        <w:t xml:space="preserve">additional financing from </w:t>
      </w:r>
      <w:r w:rsidR="003F3F97" w:rsidRPr="00877097">
        <w:rPr>
          <w:rFonts w:ascii="Times New Roman" w:hAnsi="Times New Roman"/>
          <w:b w:val="0"/>
          <w:sz w:val="20"/>
        </w:rPr>
        <w:t>existing and emerging vertical funds such as the Green Climate Fund</w:t>
      </w:r>
      <w:r w:rsidR="00CC1932" w:rsidRPr="00877097">
        <w:rPr>
          <w:rFonts w:ascii="Times New Roman" w:hAnsi="Times New Roman"/>
          <w:b w:val="0"/>
          <w:sz w:val="20"/>
        </w:rPr>
        <w:t>.</w:t>
      </w:r>
      <w:r w:rsidR="00DF4DCA" w:rsidRPr="00877097">
        <w:rPr>
          <w:rFonts w:ascii="Times New Roman" w:hAnsi="Times New Roman"/>
          <w:b w:val="0"/>
          <w:sz w:val="20"/>
        </w:rPr>
        <w:t xml:space="preserve"> This will include support to funding </w:t>
      </w:r>
      <w:r w:rsidR="00947452" w:rsidRPr="00877097">
        <w:rPr>
          <w:rFonts w:ascii="Times New Roman" w:hAnsi="Times New Roman"/>
          <w:b w:val="0"/>
          <w:sz w:val="20"/>
        </w:rPr>
        <w:t>applications, grant</w:t>
      </w:r>
      <w:r w:rsidR="00DF4DCA" w:rsidRPr="00877097">
        <w:rPr>
          <w:rFonts w:ascii="Times New Roman" w:hAnsi="Times New Roman"/>
          <w:b w:val="0"/>
          <w:sz w:val="20"/>
        </w:rPr>
        <w:t xml:space="preserve"> management and implementation support, </w:t>
      </w:r>
      <w:r w:rsidR="009A240B" w:rsidRPr="00877097">
        <w:rPr>
          <w:rFonts w:ascii="Times New Roman" w:hAnsi="Times New Roman"/>
          <w:b w:val="0"/>
          <w:sz w:val="20"/>
        </w:rPr>
        <w:t>capacity</w:t>
      </w:r>
      <w:r w:rsidR="009A240B">
        <w:rPr>
          <w:rFonts w:ascii="Times New Roman" w:hAnsi="Times New Roman"/>
          <w:b w:val="0"/>
          <w:sz w:val="20"/>
        </w:rPr>
        <w:t>-</w:t>
      </w:r>
      <w:r w:rsidR="00DF4DCA" w:rsidRPr="00877097">
        <w:rPr>
          <w:rFonts w:ascii="Times New Roman" w:hAnsi="Times New Roman"/>
          <w:b w:val="0"/>
          <w:sz w:val="20"/>
        </w:rPr>
        <w:t>building of relevant institutions and integration of earmarked funding streams into multidimensional development responses.</w:t>
      </w:r>
    </w:p>
    <w:p w14:paraId="7240A71D" w14:textId="0BF9EB02" w:rsidR="003F3F97" w:rsidRPr="00877097" w:rsidRDefault="00B13894"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877097">
        <w:rPr>
          <w:rFonts w:ascii="Times New Roman" w:hAnsi="Times New Roman"/>
          <w:b w:val="0"/>
          <w:sz w:val="20"/>
        </w:rPr>
        <w:t>T</w:t>
      </w:r>
      <w:r w:rsidR="003F3F97" w:rsidRPr="00877097">
        <w:rPr>
          <w:rFonts w:ascii="Times New Roman" w:hAnsi="Times New Roman"/>
          <w:b w:val="0"/>
          <w:sz w:val="20"/>
        </w:rPr>
        <w:t xml:space="preserve">he </w:t>
      </w:r>
      <w:r w:rsidR="009A240B">
        <w:rPr>
          <w:rFonts w:ascii="Times New Roman" w:hAnsi="Times New Roman"/>
          <w:b w:val="0"/>
          <w:sz w:val="20"/>
        </w:rPr>
        <w:t>country programme's</w:t>
      </w:r>
      <w:r w:rsidR="009A240B" w:rsidRPr="00877097">
        <w:rPr>
          <w:rFonts w:ascii="Times New Roman" w:hAnsi="Times New Roman"/>
          <w:b w:val="0"/>
          <w:sz w:val="20"/>
        </w:rPr>
        <w:t xml:space="preserve"> </w:t>
      </w:r>
      <w:r w:rsidR="003F3F97" w:rsidRPr="00877097">
        <w:rPr>
          <w:rFonts w:ascii="Times New Roman" w:hAnsi="Times New Roman"/>
          <w:b w:val="0"/>
          <w:sz w:val="20"/>
        </w:rPr>
        <w:t>main strategies are premised on innovative approaches to supporting the Government</w:t>
      </w:r>
      <w:r w:rsidR="00B84044" w:rsidRPr="00877097">
        <w:rPr>
          <w:rFonts w:ascii="Times New Roman" w:hAnsi="Times New Roman"/>
          <w:b w:val="0"/>
          <w:sz w:val="20"/>
        </w:rPr>
        <w:t xml:space="preserve"> to </w:t>
      </w:r>
      <w:r w:rsidR="003505C7" w:rsidRPr="00877097">
        <w:rPr>
          <w:rFonts w:ascii="Times New Roman" w:hAnsi="Times New Roman"/>
          <w:b w:val="0"/>
          <w:sz w:val="20"/>
        </w:rPr>
        <w:t>develop capacities</w:t>
      </w:r>
      <w:r w:rsidR="003F3F97" w:rsidRPr="00877097">
        <w:rPr>
          <w:rFonts w:ascii="Times New Roman" w:hAnsi="Times New Roman"/>
          <w:b w:val="0"/>
          <w:sz w:val="20"/>
        </w:rPr>
        <w:t xml:space="preserve"> and institutions t</w:t>
      </w:r>
      <w:r w:rsidR="00B84044" w:rsidRPr="00877097">
        <w:rPr>
          <w:rFonts w:ascii="Times New Roman" w:hAnsi="Times New Roman"/>
          <w:b w:val="0"/>
          <w:sz w:val="20"/>
        </w:rPr>
        <w:t>hat</w:t>
      </w:r>
      <w:r w:rsidR="003F3F97" w:rsidRPr="00877097">
        <w:rPr>
          <w:rFonts w:ascii="Times New Roman" w:hAnsi="Times New Roman"/>
          <w:b w:val="0"/>
          <w:sz w:val="20"/>
        </w:rPr>
        <w:t xml:space="preserve"> </w:t>
      </w:r>
      <w:r w:rsidR="00B84044" w:rsidRPr="00877097">
        <w:rPr>
          <w:rFonts w:ascii="Times New Roman" w:hAnsi="Times New Roman"/>
          <w:b w:val="0"/>
          <w:sz w:val="20"/>
        </w:rPr>
        <w:t xml:space="preserve">can </w:t>
      </w:r>
      <w:r w:rsidR="003F3F97" w:rsidRPr="00877097">
        <w:rPr>
          <w:rFonts w:ascii="Times New Roman" w:hAnsi="Times New Roman"/>
          <w:b w:val="0"/>
          <w:sz w:val="20"/>
        </w:rPr>
        <w:t>respond quickly to internal and external shocks</w:t>
      </w:r>
      <w:r w:rsidR="00B84044" w:rsidRPr="00877097">
        <w:rPr>
          <w:rFonts w:ascii="Times New Roman" w:hAnsi="Times New Roman"/>
          <w:b w:val="0"/>
          <w:sz w:val="20"/>
        </w:rPr>
        <w:t>.</w:t>
      </w:r>
      <w:r w:rsidRPr="00877097">
        <w:rPr>
          <w:rFonts w:ascii="Times New Roman" w:hAnsi="Times New Roman"/>
          <w:b w:val="0"/>
          <w:sz w:val="20"/>
        </w:rPr>
        <w:t xml:space="preserve"> </w:t>
      </w:r>
      <w:r w:rsidR="003F3F97" w:rsidRPr="00877097">
        <w:rPr>
          <w:rFonts w:ascii="Times New Roman" w:hAnsi="Times New Roman"/>
          <w:b w:val="0"/>
          <w:sz w:val="20"/>
        </w:rPr>
        <w:t xml:space="preserve">This includes </w:t>
      </w:r>
      <w:r w:rsidR="002D470C" w:rsidRPr="00877097">
        <w:rPr>
          <w:rFonts w:ascii="Times New Roman" w:hAnsi="Times New Roman"/>
          <w:b w:val="0"/>
          <w:sz w:val="20"/>
        </w:rPr>
        <w:t xml:space="preserve">upstream </w:t>
      </w:r>
      <w:r w:rsidR="003F3F97" w:rsidRPr="00877097">
        <w:rPr>
          <w:rFonts w:ascii="Times New Roman" w:hAnsi="Times New Roman"/>
          <w:b w:val="0"/>
          <w:sz w:val="20"/>
        </w:rPr>
        <w:t xml:space="preserve">support to transformative institutional and capacity development required to promote national programme and policy coordination and coherence. At the same time, the </w:t>
      </w:r>
      <w:r w:rsidR="009A240B">
        <w:rPr>
          <w:rFonts w:ascii="Times New Roman" w:hAnsi="Times New Roman"/>
          <w:b w:val="0"/>
          <w:sz w:val="20"/>
        </w:rPr>
        <w:t>country programme</w:t>
      </w:r>
      <w:r w:rsidR="009A240B" w:rsidRPr="00877097">
        <w:rPr>
          <w:rFonts w:ascii="Times New Roman" w:hAnsi="Times New Roman"/>
          <w:b w:val="0"/>
          <w:sz w:val="20"/>
        </w:rPr>
        <w:t xml:space="preserve"> </w:t>
      </w:r>
      <w:r w:rsidR="003F3F97" w:rsidRPr="00877097">
        <w:rPr>
          <w:rFonts w:ascii="Times New Roman" w:hAnsi="Times New Roman"/>
          <w:b w:val="0"/>
          <w:sz w:val="20"/>
        </w:rPr>
        <w:t xml:space="preserve">will support the </w:t>
      </w:r>
      <w:r w:rsidR="00853521" w:rsidRPr="00877097">
        <w:rPr>
          <w:rFonts w:ascii="Times New Roman" w:hAnsi="Times New Roman"/>
          <w:b w:val="0"/>
          <w:sz w:val="20"/>
        </w:rPr>
        <w:t xml:space="preserve">downstream </w:t>
      </w:r>
      <w:r w:rsidR="003F3F97" w:rsidRPr="00877097">
        <w:rPr>
          <w:rFonts w:ascii="Times New Roman" w:hAnsi="Times New Roman"/>
          <w:b w:val="0"/>
          <w:sz w:val="20"/>
        </w:rPr>
        <w:t xml:space="preserve">transformation of negative social and cultural traditions to facilitate broad-based participation, greater transparency, </w:t>
      </w:r>
      <w:r w:rsidR="0001506F" w:rsidRPr="00877097">
        <w:rPr>
          <w:rFonts w:ascii="Times New Roman" w:hAnsi="Times New Roman"/>
          <w:b w:val="0"/>
          <w:sz w:val="20"/>
        </w:rPr>
        <w:t>more</w:t>
      </w:r>
      <w:r w:rsidR="003F3F97" w:rsidRPr="00877097">
        <w:rPr>
          <w:rFonts w:ascii="Times New Roman" w:hAnsi="Times New Roman"/>
          <w:b w:val="0"/>
          <w:sz w:val="20"/>
        </w:rPr>
        <w:t xml:space="preserve"> </w:t>
      </w:r>
      <w:r w:rsidR="003505C7" w:rsidRPr="00877097">
        <w:rPr>
          <w:rFonts w:ascii="Times New Roman" w:hAnsi="Times New Roman"/>
          <w:b w:val="0"/>
          <w:sz w:val="20"/>
        </w:rPr>
        <w:t>accountability, wider</w:t>
      </w:r>
      <w:r w:rsidR="003F3F97" w:rsidRPr="00877097">
        <w:rPr>
          <w:rFonts w:ascii="Times New Roman" w:hAnsi="Times New Roman"/>
          <w:b w:val="0"/>
          <w:sz w:val="20"/>
        </w:rPr>
        <w:t xml:space="preserve"> adherence to the rule of law</w:t>
      </w:r>
      <w:r w:rsidR="00B84044" w:rsidRPr="00877097">
        <w:rPr>
          <w:rFonts w:ascii="Times New Roman" w:hAnsi="Times New Roman"/>
          <w:b w:val="0"/>
          <w:sz w:val="20"/>
        </w:rPr>
        <w:t xml:space="preserve"> and better response to climate change</w:t>
      </w:r>
      <w:r w:rsidR="003F3F97" w:rsidRPr="00877097">
        <w:rPr>
          <w:rFonts w:ascii="Times New Roman" w:hAnsi="Times New Roman"/>
          <w:b w:val="0"/>
          <w:sz w:val="20"/>
        </w:rPr>
        <w:t>.</w:t>
      </w:r>
    </w:p>
    <w:p w14:paraId="3557F61A" w14:textId="4F5D1137" w:rsidR="0043409C" w:rsidRPr="000D4F37" w:rsidRDefault="003E18D7"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0D4F37">
        <w:rPr>
          <w:rFonts w:ascii="Times New Roman" w:hAnsi="Times New Roman"/>
          <w:b w:val="0"/>
          <w:sz w:val="20"/>
        </w:rPr>
        <w:t>Building on an ongoing</w:t>
      </w:r>
      <w:r w:rsidR="003F3F97" w:rsidRPr="000D4F37">
        <w:rPr>
          <w:rFonts w:ascii="Times New Roman" w:hAnsi="Times New Roman"/>
          <w:b w:val="0"/>
          <w:sz w:val="20"/>
        </w:rPr>
        <w:t xml:space="preserve"> partnership scan, the programme is premised on broad partnerships with </w:t>
      </w:r>
      <w:r w:rsidR="009A240B">
        <w:rPr>
          <w:rFonts w:ascii="Times New Roman" w:hAnsi="Times New Roman"/>
          <w:b w:val="0"/>
          <w:sz w:val="20"/>
        </w:rPr>
        <w:t xml:space="preserve">members of the Development Assistance Committee of the Organisation </w:t>
      </w:r>
      <w:r w:rsidR="009A240B">
        <w:rPr>
          <w:rFonts w:ascii="Times New Roman" w:hAnsi="Times New Roman"/>
          <w:b w:val="0"/>
          <w:sz w:val="20"/>
        </w:rPr>
        <w:lastRenderedPageBreak/>
        <w:t>for Economic Co-operation and Development</w:t>
      </w:r>
      <w:r w:rsidR="00782370" w:rsidRPr="0026108A">
        <w:rPr>
          <w:rFonts w:ascii="Times New Roman" w:hAnsi="Times New Roman"/>
          <w:b w:val="0"/>
          <w:sz w:val="16"/>
          <w:szCs w:val="16"/>
          <w:vertAlign w:val="superscript"/>
        </w:rPr>
        <w:footnoteReference w:id="15"/>
      </w:r>
      <w:r w:rsidR="006F09C9" w:rsidRPr="000D4F37">
        <w:rPr>
          <w:rFonts w:ascii="Times New Roman" w:hAnsi="Times New Roman"/>
          <w:b w:val="0"/>
          <w:sz w:val="20"/>
        </w:rPr>
        <w:t xml:space="preserve">, </w:t>
      </w:r>
      <w:r w:rsidR="00DB4DCA">
        <w:rPr>
          <w:rFonts w:ascii="Times New Roman" w:hAnsi="Times New Roman"/>
          <w:b w:val="0"/>
          <w:sz w:val="20"/>
        </w:rPr>
        <w:t>Brazil, China and South Africa</w:t>
      </w:r>
      <w:r w:rsidR="003F3F97" w:rsidRPr="0026108A">
        <w:rPr>
          <w:rFonts w:ascii="Times New Roman" w:hAnsi="Times New Roman"/>
          <w:b w:val="0"/>
          <w:sz w:val="16"/>
          <w:szCs w:val="16"/>
          <w:vertAlign w:val="superscript"/>
        </w:rPr>
        <w:t xml:space="preserve"> </w:t>
      </w:r>
      <w:r w:rsidR="003F3F97" w:rsidRPr="000D4F37">
        <w:rPr>
          <w:rFonts w:ascii="Times New Roman" w:hAnsi="Times New Roman"/>
          <w:b w:val="0"/>
          <w:sz w:val="20"/>
        </w:rPr>
        <w:t>and vertical funds</w:t>
      </w:r>
      <w:r w:rsidR="00BD6F10">
        <w:rPr>
          <w:rFonts w:ascii="Times New Roman" w:hAnsi="Times New Roman"/>
          <w:b w:val="0"/>
          <w:sz w:val="20"/>
        </w:rPr>
        <w:t>.</w:t>
      </w:r>
      <w:r w:rsidR="00B84044" w:rsidRPr="0026108A">
        <w:rPr>
          <w:rFonts w:ascii="Times New Roman" w:hAnsi="Times New Roman"/>
          <w:b w:val="0"/>
          <w:sz w:val="16"/>
          <w:szCs w:val="16"/>
          <w:vertAlign w:val="superscript"/>
        </w:rPr>
        <w:footnoteReference w:id="16"/>
      </w:r>
      <w:r w:rsidR="003F3F97" w:rsidRPr="000D4F37">
        <w:rPr>
          <w:rFonts w:ascii="Times New Roman" w:hAnsi="Times New Roman"/>
          <w:b w:val="0"/>
          <w:sz w:val="20"/>
        </w:rPr>
        <w:t xml:space="preserve"> In the new programming cycle, new partnerships will be pursued with local and international private sector as well as with philanthropists. Collaborative partner</w:t>
      </w:r>
      <w:r w:rsidR="00B13894" w:rsidRPr="000D4F37">
        <w:rPr>
          <w:rFonts w:ascii="Times New Roman" w:hAnsi="Times New Roman"/>
          <w:b w:val="0"/>
          <w:sz w:val="20"/>
        </w:rPr>
        <w:t>ships with civil society organis</w:t>
      </w:r>
      <w:r w:rsidR="003F3F97" w:rsidRPr="000D4F37">
        <w:rPr>
          <w:rFonts w:ascii="Times New Roman" w:hAnsi="Times New Roman"/>
          <w:b w:val="0"/>
          <w:sz w:val="20"/>
        </w:rPr>
        <w:t xml:space="preserve">ations will be enhanced. The programme will also tap into </w:t>
      </w:r>
      <w:r w:rsidR="00BD6F10">
        <w:rPr>
          <w:rFonts w:ascii="Times New Roman" w:hAnsi="Times New Roman"/>
          <w:b w:val="0"/>
          <w:sz w:val="20"/>
        </w:rPr>
        <w:t>the</w:t>
      </w:r>
      <w:r w:rsidR="00BD6F10" w:rsidRPr="000D4F37">
        <w:rPr>
          <w:rFonts w:ascii="Times New Roman" w:hAnsi="Times New Roman"/>
          <w:b w:val="0"/>
          <w:sz w:val="20"/>
        </w:rPr>
        <w:t xml:space="preserve"> </w:t>
      </w:r>
      <w:r w:rsidR="003F3F97" w:rsidRPr="000D4F37">
        <w:rPr>
          <w:rFonts w:ascii="Times New Roman" w:hAnsi="Times New Roman"/>
          <w:b w:val="0"/>
          <w:sz w:val="20"/>
        </w:rPr>
        <w:t>network of U</w:t>
      </w:r>
      <w:r w:rsidR="00BD6F10">
        <w:rPr>
          <w:rFonts w:ascii="Times New Roman" w:hAnsi="Times New Roman"/>
          <w:b w:val="0"/>
          <w:sz w:val="20"/>
        </w:rPr>
        <w:t xml:space="preserve">nited </w:t>
      </w:r>
      <w:r w:rsidR="003F3F97" w:rsidRPr="000D4F37">
        <w:rPr>
          <w:rFonts w:ascii="Times New Roman" w:hAnsi="Times New Roman"/>
          <w:b w:val="0"/>
          <w:sz w:val="20"/>
        </w:rPr>
        <w:t>N</w:t>
      </w:r>
      <w:r w:rsidR="00BD6F10">
        <w:rPr>
          <w:rFonts w:ascii="Times New Roman" w:hAnsi="Times New Roman"/>
          <w:b w:val="0"/>
          <w:sz w:val="20"/>
        </w:rPr>
        <w:t>ations</w:t>
      </w:r>
      <w:r w:rsidR="003F3F97" w:rsidRPr="000D4F37">
        <w:rPr>
          <w:rFonts w:ascii="Times New Roman" w:hAnsi="Times New Roman"/>
          <w:b w:val="0"/>
          <w:sz w:val="20"/>
        </w:rPr>
        <w:t xml:space="preserve"> agencies, funds and programmes. It is expected that DaO will contribute to </w:t>
      </w:r>
      <w:r w:rsidR="00BD6F10" w:rsidRPr="000D4F37">
        <w:rPr>
          <w:rFonts w:ascii="Times New Roman" w:hAnsi="Times New Roman"/>
          <w:b w:val="0"/>
          <w:sz w:val="20"/>
        </w:rPr>
        <w:t>rationali</w:t>
      </w:r>
      <w:r w:rsidR="00BD6F10">
        <w:rPr>
          <w:rFonts w:ascii="Times New Roman" w:hAnsi="Times New Roman"/>
          <w:b w:val="0"/>
          <w:sz w:val="20"/>
        </w:rPr>
        <w:t>z</w:t>
      </w:r>
      <w:r w:rsidR="00BD6F10" w:rsidRPr="000D4F37">
        <w:rPr>
          <w:rFonts w:ascii="Times New Roman" w:hAnsi="Times New Roman"/>
          <w:b w:val="0"/>
          <w:sz w:val="20"/>
        </w:rPr>
        <w:t xml:space="preserve">ation </w:t>
      </w:r>
      <w:r w:rsidR="003F3F97" w:rsidRPr="000D4F37">
        <w:rPr>
          <w:rFonts w:ascii="Times New Roman" w:hAnsi="Times New Roman"/>
          <w:b w:val="0"/>
          <w:sz w:val="20"/>
        </w:rPr>
        <w:t>and leveraging of resource</w:t>
      </w:r>
      <w:r w:rsidR="00B84044" w:rsidRPr="000D4F37">
        <w:rPr>
          <w:rFonts w:ascii="Times New Roman" w:hAnsi="Times New Roman"/>
          <w:b w:val="0"/>
          <w:sz w:val="20"/>
        </w:rPr>
        <w:t>s</w:t>
      </w:r>
      <w:r w:rsidR="003F3F97" w:rsidRPr="000D4F37">
        <w:rPr>
          <w:rFonts w:ascii="Times New Roman" w:hAnsi="Times New Roman"/>
          <w:b w:val="0"/>
          <w:sz w:val="20"/>
        </w:rPr>
        <w:t xml:space="preserve"> as well as reinforcing </w:t>
      </w:r>
      <w:r w:rsidRPr="000D4F37">
        <w:rPr>
          <w:rFonts w:ascii="Times New Roman" w:hAnsi="Times New Roman"/>
          <w:b w:val="0"/>
          <w:sz w:val="20"/>
        </w:rPr>
        <w:t xml:space="preserve">the </w:t>
      </w:r>
      <w:r w:rsidR="003F3F97" w:rsidRPr="000D4F37">
        <w:rPr>
          <w:rFonts w:ascii="Times New Roman" w:hAnsi="Times New Roman"/>
          <w:b w:val="0"/>
          <w:sz w:val="20"/>
        </w:rPr>
        <w:t>impact of U</w:t>
      </w:r>
      <w:r w:rsidR="00BD6F10">
        <w:rPr>
          <w:rFonts w:ascii="Times New Roman" w:hAnsi="Times New Roman"/>
          <w:b w:val="0"/>
          <w:sz w:val="20"/>
        </w:rPr>
        <w:t xml:space="preserve">nited </w:t>
      </w:r>
      <w:r w:rsidR="003F3F97" w:rsidRPr="000D4F37">
        <w:rPr>
          <w:rFonts w:ascii="Times New Roman" w:hAnsi="Times New Roman"/>
          <w:b w:val="0"/>
          <w:sz w:val="20"/>
        </w:rPr>
        <w:t>N</w:t>
      </w:r>
      <w:r w:rsidR="00BD6F10">
        <w:rPr>
          <w:rFonts w:ascii="Times New Roman" w:hAnsi="Times New Roman"/>
          <w:b w:val="0"/>
          <w:sz w:val="20"/>
        </w:rPr>
        <w:t>ations</w:t>
      </w:r>
      <w:r w:rsidR="003F3F97" w:rsidRPr="000D4F37">
        <w:rPr>
          <w:rFonts w:ascii="Times New Roman" w:hAnsi="Times New Roman"/>
          <w:b w:val="0"/>
          <w:sz w:val="20"/>
        </w:rPr>
        <w:t xml:space="preserve"> support through greater programme </w:t>
      </w:r>
      <w:r w:rsidR="00B13894" w:rsidRPr="000D4F37">
        <w:rPr>
          <w:rFonts w:ascii="Times New Roman" w:hAnsi="Times New Roman"/>
          <w:b w:val="0"/>
          <w:sz w:val="20"/>
        </w:rPr>
        <w:t xml:space="preserve">and operational </w:t>
      </w:r>
      <w:r w:rsidR="003F3F97" w:rsidRPr="000D4F37">
        <w:rPr>
          <w:rFonts w:ascii="Times New Roman" w:hAnsi="Times New Roman"/>
          <w:b w:val="0"/>
          <w:sz w:val="20"/>
        </w:rPr>
        <w:t>synergies.</w:t>
      </w:r>
      <w:r w:rsidR="0085595E" w:rsidRPr="000D4F37">
        <w:rPr>
          <w:rFonts w:ascii="Times New Roman" w:hAnsi="Times New Roman"/>
          <w:b w:val="0"/>
          <w:sz w:val="20"/>
        </w:rPr>
        <w:t xml:space="preserve"> </w:t>
      </w:r>
    </w:p>
    <w:p w14:paraId="0A8912F3" w14:textId="3DD2A56B" w:rsidR="00580687" w:rsidRPr="000D4F37" w:rsidRDefault="00C40D1E"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0D4F37">
        <w:rPr>
          <w:rFonts w:ascii="Times New Roman" w:hAnsi="Times New Roman"/>
          <w:b w:val="0"/>
          <w:sz w:val="20"/>
        </w:rPr>
        <w:t xml:space="preserve">Zambia’s rich natural and mineral resource endowment is not </w:t>
      </w:r>
      <w:r w:rsidR="003E18D7" w:rsidRPr="000D4F37">
        <w:rPr>
          <w:rFonts w:ascii="Times New Roman" w:hAnsi="Times New Roman"/>
          <w:b w:val="0"/>
          <w:sz w:val="20"/>
        </w:rPr>
        <w:t xml:space="preserve">yet </w:t>
      </w:r>
      <w:r w:rsidRPr="000D4F37">
        <w:rPr>
          <w:rFonts w:ascii="Times New Roman" w:hAnsi="Times New Roman"/>
          <w:b w:val="0"/>
          <w:sz w:val="20"/>
        </w:rPr>
        <w:t>fully contributing toward</w:t>
      </w:r>
      <w:r w:rsidR="00574DF4">
        <w:rPr>
          <w:rFonts w:ascii="Times New Roman" w:hAnsi="Times New Roman"/>
          <w:b w:val="0"/>
          <w:sz w:val="20"/>
        </w:rPr>
        <w:t>s</w:t>
      </w:r>
      <w:r w:rsidRPr="000D4F37">
        <w:rPr>
          <w:rFonts w:ascii="Times New Roman" w:hAnsi="Times New Roman"/>
          <w:b w:val="0"/>
          <w:sz w:val="20"/>
        </w:rPr>
        <w:t xml:space="preserve"> sustainable development and livelihoods. T</w:t>
      </w:r>
      <w:r w:rsidR="00B13894" w:rsidRPr="000D4F37">
        <w:rPr>
          <w:rFonts w:ascii="Times New Roman" w:hAnsi="Times New Roman"/>
          <w:b w:val="0"/>
          <w:sz w:val="20"/>
        </w:rPr>
        <w:t xml:space="preserve">he </w:t>
      </w:r>
      <w:r w:rsidR="00BD6F10">
        <w:rPr>
          <w:rFonts w:ascii="Times New Roman" w:hAnsi="Times New Roman"/>
          <w:b w:val="0"/>
          <w:sz w:val="20"/>
        </w:rPr>
        <w:t>country programme</w:t>
      </w:r>
      <w:r w:rsidR="00BD6F10" w:rsidRPr="000D4F37">
        <w:rPr>
          <w:rFonts w:ascii="Times New Roman" w:hAnsi="Times New Roman"/>
          <w:b w:val="0"/>
          <w:sz w:val="20"/>
        </w:rPr>
        <w:t xml:space="preserve"> </w:t>
      </w:r>
      <w:r w:rsidR="00B13894" w:rsidRPr="000D4F37">
        <w:rPr>
          <w:rFonts w:ascii="Times New Roman" w:hAnsi="Times New Roman"/>
          <w:b w:val="0"/>
          <w:sz w:val="20"/>
        </w:rPr>
        <w:t xml:space="preserve">will focus </w:t>
      </w:r>
      <w:r w:rsidRPr="000D4F37">
        <w:rPr>
          <w:rFonts w:ascii="Times New Roman" w:hAnsi="Times New Roman"/>
          <w:b w:val="0"/>
          <w:sz w:val="20"/>
        </w:rPr>
        <w:t>on creat</w:t>
      </w:r>
      <w:r w:rsidR="001A3086" w:rsidRPr="000D4F37">
        <w:rPr>
          <w:rFonts w:ascii="Times New Roman" w:hAnsi="Times New Roman"/>
          <w:b w:val="0"/>
          <w:sz w:val="20"/>
        </w:rPr>
        <w:t>ing</w:t>
      </w:r>
      <w:r w:rsidRPr="000D4F37">
        <w:rPr>
          <w:rFonts w:ascii="Times New Roman" w:hAnsi="Times New Roman"/>
          <w:b w:val="0"/>
          <w:sz w:val="20"/>
        </w:rPr>
        <w:t xml:space="preserve"> </w:t>
      </w:r>
      <w:r w:rsidR="009E04AB" w:rsidRPr="000D4F37">
        <w:rPr>
          <w:rFonts w:ascii="Times New Roman" w:hAnsi="Times New Roman"/>
          <w:b w:val="0"/>
          <w:sz w:val="20"/>
        </w:rPr>
        <w:t xml:space="preserve">an </w:t>
      </w:r>
      <w:r w:rsidRPr="000D4F37">
        <w:rPr>
          <w:rFonts w:ascii="Times New Roman" w:hAnsi="Times New Roman"/>
          <w:b w:val="0"/>
          <w:sz w:val="20"/>
        </w:rPr>
        <w:t xml:space="preserve">enabling </w:t>
      </w:r>
      <w:r w:rsidR="009E04AB" w:rsidRPr="000D4F37">
        <w:rPr>
          <w:rFonts w:ascii="Times New Roman" w:hAnsi="Times New Roman"/>
          <w:b w:val="0"/>
          <w:sz w:val="20"/>
        </w:rPr>
        <w:t>environment and strengthen</w:t>
      </w:r>
      <w:r w:rsidR="00B13894" w:rsidRPr="000D4F37">
        <w:rPr>
          <w:rFonts w:ascii="Times New Roman" w:hAnsi="Times New Roman"/>
          <w:b w:val="0"/>
          <w:sz w:val="20"/>
        </w:rPr>
        <w:t>ing</w:t>
      </w:r>
      <w:r w:rsidRPr="000D4F37">
        <w:rPr>
          <w:rFonts w:ascii="Times New Roman" w:hAnsi="Times New Roman"/>
          <w:b w:val="0"/>
          <w:sz w:val="20"/>
        </w:rPr>
        <w:t xml:space="preserve"> institutions for effective management of natural resources</w:t>
      </w:r>
      <w:r w:rsidR="00B13894" w:rsidRPr="000D4F37">
        <w:rPr>
          <w:rFonts w:ascii="Times New Roman" w:hAnsi="Times New Roman"/>
          <w:b w:val="0"/>
          <w:sz w:val="20"/>
        </w:rPr>
        <w:t>,</w:t>
      </w:r>
      <w:r w:rsidR="00294556" w:rsidRPr="000D4F37">
        <w:rPr>
          <w:rFonts w:ascii="Times New Roman" w:hAnsi="Times New Roman"/>
          <w:b w:val="0"/>
          <w:sz w:val="20"/>
        </w:rPr>
        <w:t xml:space="preserve"> including extractive industries</w:t>
      </w:r>
      <w:r w:rsidRPr="000D4F37">
        <w:rPr>
          <w:rFonts w:ascii="Times New Roman" w:hAnsi="Times New Roman"/>
          <w:b w:val="0"/>
          <w:sz w:val="20"/>
        </w:rPr>
        <w:t xml:space="preserve"> through expanding management options, responding to climate change </w:t>
      </w:r>
      <w:r w:rsidR="009E04AB" w:rsidRPr="000D4F37">
        <w:rPr>
          <w:rFonts w:ascii="Times New Roman" w:hAnsi="Times New Roman"/>
          <w:b w:val="0"/>
          <w:sz w:val="20"/>
        </w:rPr>
        <w:t xml:space="preserve">and </w:t>
      </w:r>
      <w:r w:rsidRPr="000D4F37">
        <w:rPr>
          <w:rFonts w:ascii="Times New Roman" w:hAnsi="Times New Roman"/>
          <w:b w:val="0"/>
          <w:sz w:val="20"/>
        </w:rPr>
        <w:t>removing the barriers for promoting altern</w:t>
      </w:r>
      <w:r w:rsidR="009E04AB" w:rsidRPr="000D4F37">
        <w:rPr>
          <w:rFonts w:ascii="Times New Roman" w:hAnsi="Times New Roman"/>
          <w:b w:val="0"/>
          <w:sz w:val="20"/>
        </w:rPr>
        <w:t>ative energy sources</w:t>
      </w:r>
      <w:r w:rsidR="00B13894" w:rsidRPr="000D4F37">
        <w:rPr>
          <w:rFonts w:ascii="Times New Roman" w:hAnsi="Times New Roman"/>
          <w:b w:val="0"/>
          <w:sz w:val="20"/>
        </w:rPr>
        <w:t xml:space="preserve"> accessible to all</w:t>
      </w:r>
      <w:r w:rsidR="009E04AB" w:rsidRPr="000D4F37">
        <w:rPr>
          <w:rFonts w:ascii="Times New Roman" w:hAnsi="Times New Roman"/>
          <w:b w:val="0"/>
          <w:sz w:val="20"/>
        </w:rPr>
        <w:t xml:space="preserve">. </w:t>
      </w:r>
      <w:r w:rsidRPr="000D4F37">
        <w:rPr>
          <w:rFonts w:ascii="Times New Roman" w:hAnsi="Times New Roman"/>
          <w:b w:val="0"/>
          <w:sz w:val="20"/>
        </w:rPr>
        <w:t>This is expected to con</w:t>
      </w:r>
      <w:r w:rsidR="009E04AB" w:rsidRPr="000D4F37">
        <w:rPr>
          <w:rFonts w:ascii="Times New Roman" w:hAnsi="Times New Roman"/>
          <w:b w:val="0"/>
          <w:sz w:val="20"/>
        </w:rPr>
        <w:t>tribute towards poverty reduction and reduction in</w:t>
      </w:r>
      <w:r w:rsidRPr="000D4F37">
        <w:rPr>
          <w:rFonts w:ascii="Times New Roman" w:hAnsi="Times New Roman"/>
          <w:b w:val="0"/>
          <w:sz w:val="20"/>
        </w:rPr>
        <w:t xml:space="preserve"> inequalities</w:t>
      </w:r>
      <w:r w:rsidR="00BD6F10">
        <w:rPr>
          <w:rFonts w:ascii="Times New Roman" w:hAnsi="Times New Roman"/>
          <w:b w:val="0"/>
          <w:sz w:val="20"/>
        </w:rPr>
        <w:t>,</w:t>
      </w:r>
      <w:r w:rsidRPr="000D4F37">
        <w:rPr>
          <w:rFonts w:ascii="Times New Roman" w:hAnsi="Times New Roman"/>
          <w:b w:val="0"/>
          <w:sz w:val="20"/>
        </w:rPr>
        <w:t xml:space="preserve"> particularly between urban and rural areas of Zambia. </w:t>
      </w:r>
      <w:r w:rsidR="00080D77" w:rsidRPr="000D4F37">
        <w:rPr>
          <w:rFonts w:ascii="Times New Roman" w:hAnsi="Times New Roman"/>
          <w:b w:val="0"/>
          <w:sz w:val="20"/>
        </w:rPr>
        <w:t xml:space="preserve">Intended </w:t>
      </w:r>
      <w:r w:rsidR="009D18DF" w:rsidRPr="000D4F37">
        <w:rPr>
          <w:rFonts w:ascii="Times New Roman" w:hAnsi="Times New Roman"/>
          <w:b w:val="0"/>
          <w:sz w:val="20"/>
        </w:rPr>
        <w:t xml:space="preserve">results include </w:t>
      </w:r>
      <w:r w:rsidR="00580687" w:rsidRPr="000D4F37">
        <w:rPr>
          <w:rFonts w:ascii="Times New Roman" w:hAnsi="Times New Roman"/>
          <w:b w:val="0"/>
          <w:sz w:val="20"/>
        </w:rPr>
        <w:t>climate change resilience and low emission development</w:t>
      </w:r>
      <w:r w:rsidR="009D18DF" w:rsidRPr="000D4F37">
        <w:rPr>
          <w:rFonts w:ascii="Times New Roman" w:hAnsi="Times New Roman"/>
          <w:b w:val="0"/>
          <w:sz w:val="20"/>
        </w:rPr>
        <w:t xml:space="preserve">; </w:t>
      </w:r>
      <w:r w:rsidR="00B13894" w:rsidRPr="000D4F37">
        <w:rPr>
          <w:rFonts w:ascii="Times New Roman" w:hAnsi="Times New Roman"/>
          <w:b w:val="0"/>
          <w:sz w:val="20"/>
        </w:rPr>
        <w:t xml:space="preserve">and </w:t>
      </w:r>
      <w:r w:rsidR="00580687" w:rsidRPr="000D4F37">
        <w:rPr>
          <w:rFonts w:ascii="Times New Roman" w:hAnsi="Times New Roman"/>
          <w:b w:val="0"/>
          <w:sz w:val="20"/>
        </w:rPr>
        <w:t xml:space="preserve">increased sustainable </w:t>
      </w:r>
      <w:r w:rsidR="009D18DF" w:rsidRPr="000D4F37">
        <w:rPr>
          <w:rFonts w:ascii="Times New Roman" w:hAnsi="Times New Roman"/>
          <w:b w:val="0"/>
          <w:sz w:val="20"/>
        </w:rPr>
        <w:t>productive capacities that</w:t>
      </w:r>
      <w:r w:rsidR="00580687" w:rsidRPr="000D4F37">
        <w:rPr>
          <w:rFonts w:ascii="Times New Roman" w:hAnsi="Times New Roman"/>
          <w:b w:val="0"/>
          <w:sz w:val="20"/>
        </w:rPr>
        <w:t xml:space="preserve"> </w:t>
      </w:r>
      <w:r w:rsidR="00853521" w:rsidRPr="000D4F37">
        <w:rPr>
          <w:rFonts w:ascii="Times New Roman" w:hAnsi="Times New Roman"/>
          <w:b w:val="0"/>
          <w:sz w:val="20"/>
        </w:rPr>
        <w:t xml:space="preserve">are conducive to economic diversification and </w:t>
      </w:r>
      <w:r w:rsidR="009D18DF" w:rsidRPr="000D4F37">
        <w:rPr>
          <w:rFonts w:ascii="Times New Roman" w:hAnsi="Times New Roman"/>
          <w:b w:val="0"/>
          <w:sz w:val="20"/>
        </w:rPr>
        <w:t xml:space="preserve">contribute to employment and sustainable livelihoods. </w:t>
      </w:r>
    </w:p>
    <w:p w14:paraId="47A89D0A" w14:textId="4B5B9B9A" w:rsidR="00C40D1E" w:rsidRPr="000D4F37" w:rsidRDefault="00C40D1E"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0D4F37">
        <w:rPr>
          <w:rFonts w:ascii="Times New Roman" w:hAnsi="Times New Roman"/>
          <w:b w:val="0"/>
          <w:sz w:val="20"/>
        </w:rPr>
        <w:t xml:space="preserve">The strategies that will </w:t>
      </w:r>
      <w:r w:rsidR="0080487C" w:rsidRPr="000D4F37">
        <w:rPr>
          <w:rFonts w:ascii="Times New Roman" w:hAnsi="Times New Roman"/>
          <w:b w:val="0"/>
          <w:sz w:val="20"/>
        </w:rPr>
        <w:t>be employed</w:t>
      </w:r>
      <w:r w:rsidR="009D18DF" w:rsidRPr="000D4F37">
        <w:rPr>
          <w:rFonts w:ascii="Times New Roman" w:hAnsi="Times New Roman"/>
          <w:b w:val="0"/>
          <w:sz w:val="20"/>
        </w:rPr>
        <w:t xml:space="preserve"> include</w:t>
      </w:r>
      <w:r w:rsidRPr="000D4F37">
        <w:rPr>
          <w:rFonts w:ascii="Times New Roman" w:hAnsi="Times New Roman"/>
          <w:b w:val="0"/>
          <w:sz w:val="20"/>
        </w:rPr>
        <w:t>: supporting policy reforms in natural resource management and energy sectors</w:t>
      </w:r>
      <w:r w:rsidR="00BD6F10">
        <w:rPr>
          <w:rFonts w:ascii="Times New Roman" w:hAnsi="Times New Roman"/>
          <w:b w:val="0"/>
          <w:sz w:val="20"/>
        </w:rPr>
        <w:t>;</w:t>
      </w:r>
      <w:r w:rsidR="00BD6F10" w:rsidRPr="000D4F37">
        <w:rPr>
          <w:rFonts w:ascii="Times New Roman" w:hAnsi="Times New Roman"/>
          <w:b w:val="0"/>
          <w:sz w:val="20"/>
        </w:rPr>
        <w:t xml:space="preserve"> </w:t>
      </w:r>
      <w:r w:rsidRPr="000D4F37">
        <w:rPr>
          <w:rFonts w:ascii="Times New Roman" w:hAnsi="Times New Roman"/>
          <w:b w:val="0"/>
          <w:sz w:val="20"/>
        </w:rPr>
        <w:t>strengthening institutions and systems for effective management of natural resources</w:t>
      </w:r>
      <w:r w:rsidR="00BD6F10">
        <w:rPr>
          <w:rFonts w:ascii="Times New Roman" w:hAnsi="Times New Roman"/>
          <w:b w:val="0"/>
          <w:sz w:val="20"/>
        </w:rPr>
        <w:t>;</w:t>
      </w:r>
      <w:r w:rsidR="00BD6F10" w:rsidRPr="000D4F37">
        <w:rPr>
          <w:rFonts w:ascii="Times New Roman" w:hAnsi="Times New Roman"/>
          <w:b w:val="0"/>
          <w:sz w:val="20"/>
        </w:rPr>
        <w:t xml:space="preserve"> </w:t>
      </w:r>
      <w:r w:rsidRPr="000D4F37">
        <w:rPr>
          <w:rFonts w:ascii="Times New Roman" w:hAnsi="Times New Roman"/>
          <w:b w:val="0"/>
          <w:sz w:val="20"/>
        </w:rPr>
        <w:t xml:space="preserve">and promoting alternative energy sources </w:t>
      </w:r>
      <w:r w:rsidR="003E18D7" w:rsidRPr="000D4F37">
        <w:rPr>
          <w:rFonts w:ascii="Times New Roman" w:hAnsi="Times New Roman"/>
          <w:b w:val="0"/>
          <w:sz w:val="20"/>
        </w:rPr>
        <w:t xml:space="preserve">to </w:t>
      </w:r>
      <w:r w:rsidR="00B13894" w:rsidRPr="000D4F37">
        <w:rPr>
          <w:rFonts w:ascii="Times New Roman" w:hAnsi="Times New Roman"/>
          <w:b w:val="0"/>
          <w:sz w:val="20"/>
        </w:rPr>
        <w:t>mitigate</w:t>
      </w:r>
      <w:r w:rsidR="009D18DF" w:rsidRPr="000D4F37">
        <w:rPr>
          <w:rFonts w:ascii="Times New Roman" w:hAnsi="Times New Roman"/>
          <w:b w:val="0"/>
          <w:sz w:val="20"/>
        </w:rPr>
        <w:t xml:space="preserve"> deforestation.</w:t>
      </w:r>
      <w:r w:rsidR="0026108A">
        <w:rPr>
          <w:rFonts w:ascii="Times New Roman" w:hAnsi="Times New Roman"/>
          <w:b w:val="0"/>
          <w:sz w:val="20"/>
        </w:rPr>
        <w:t xml:space="preserve"> </w:t>
      </w:r>
      <w:r w:rsidR="001A3086" w:rsidRPr="000D4F37">
        <w:rPr>
          <w:rFonts w:ascii="Times New Roman" w:hAnsi="Times New Roman"/>
          <w:b w:val="0"/>
          <w:sz w:val="20"/>
        </w:rPr>
        <w:t>I</w:t>
      </w:r>
      <w:r w:rsidR="009D18DF" w:rsidRPr="000D4F37">
        <w:rPr>
          <w:rFonts w:ascii="Times New Roman" w:hAnsi="Times New Roman"/>
          <w:b w:val="0"/>
          <w:sz w:val="20"/>
        </w:rPr>
        <w:t>nstitutional capacity will be enhanced to access and manage non</w:t>
      </w:r>
      <w:r w:rsidR="00862314" w:rsidRPr="000D4F37">
        <w:rPr>
          <w:rFonts w:ascii="Times New Roman" w:hAnsi="Times New Roman"/>
          <w:b w:val="0"/>
          <w:sz w:val="20"/>
        </w:rPr>
        <w:t>-</w:t>
      </w:r>
      <w:r w:rsidR="00BD6F10">
        <w:rPr>
          <w:rFonts w:ascii="Times New Roman" w:hAnsi="Times New Roman"/>
          <w:b w:val="0"/>
          <w:sz w:val="20"/>
        </w:rPr>
        <w:t xml:space="preserve">official development assistance </w:t>
      </w:r>
      <w:r w:rsidR="009D18DF" w:rsidRPr="000D4F37">
        <w:rPr>
          <w:rFonts w:ascii="Times New Roman" w:hAnsi="Times New Roman"/>
          <w:b w:val="0"/>
          <w:sz w:val="20"/>
        </w:rPr>
        <w:t xml:space="preserve">funds for scaling </w:t>
      </w:r>
      <w:r w:rsidR="00BD6F10">
        <w:rPr>
          <w:rFonts w:ascii="Times New Roman" w:hAnsi="Times New Roman"/>
          <w:b w:val="0"/>
          <w:sz w:val="20"/>
        </w:rPr>
        <w:t xml:space="preserve">up </w:t>
      </w:r>
      <w:r w:rsidR="009D18DF" w:rsidRPr="000D4F37">
        <w:rPr>
          <w:rFonts w:ascii="Times New Roman" w:hAnsi="Times New Roman"/>
          <w:b w:val="0"/>
          <w:sz w:val="20"/>
        </w:rPr>
        <w:t>adaptation and mitigation measures</w:t>
      </w:r>
      <w:r w:rsidR="009F1573" w:rsidRPr="000D4F37">
        <w:rPr>
          <w:rFonts w:ascii="Times New Roman" w:hAnsi="Times New Roman"/>
          <w:b w:val="0"/>
          <w:sz w:val="20"/>
        </w:rPr>
        <w:t xml:space="preserve">. </w:t>
      </w:r>
      <w:r w:rsidR="009C0511" w:rsidRPr="000D4F37">
        <w:rPr>
          <w:rFonts w:ascii="Times New Roman" w:hAnsi="Times New Roman"/>
          <w:b w:val="0"/>
          <w:sz w:val="20"/>
        </w:rPr>
        <w:t>In 2015</w:t>
      </w:r>
      <w:r w:rsidR="00BD6F10">
        <w:rPr>
          <w:rFonts w:ascii="Times New Roman" w:hAnsi="Times New Roman"/>
          <w:b w:val="0"/>
          <w:sz w:val="20"/>
        </w:rPr>
        <w:t>,</w:t>
      </w:r>
      <w:r w:rsidR="009C0511" w:rsidRPr="000D4F37">
        <w:rPr>
          <w:rFonts w:ascii="Times New Roman" w:hAnsi="Times New Roman"/>
          <w:b w:val="0"/>
          <w:sz w:val="20"/>
        </w:rPr>
        <w:t xml:space="preserve"> the </w:t>
      </w:r>
      <w:r w:rsidR="00BD6F10">
        <w:rPr>
          <w:rFonts w:ascii="Times New Roman" w:hAnsi="Times New Roman"/>
          <w:b w:val="0"/>
          <w:sz w:val="20"/>
        </w:rPr>
        <w:t>c</w:t>
      </w:r>
      <w:r w:rsidR="00BD6F10" w:rsidRPr="000D4F37">
        <w:rPr>
          <w:rFonts w:ascii="Times New Roman" w:hAnsi="Times New Roman"/>
          <w:b w:val="0"/>
          <w:sz w:val="20"/>
        </w:rPr>
        <w:t xml:space="preserve">ountry </w:t>
      </w:r>
      <w:r w:rsidR="00BD6F10">
        <w:rPr>
          <w:rFonts w:ascii="Times New Roman" w:hAnsi="Times New Roman"/>
          <w:b w:val="0"/>
          <w:sz w:val="20"/>
        </w:rPr>
        <w:t>o</w:t>
      </w:r>
      <w:r w:rsidR="00BD6F10" w:rsidRPr="000D4F37">
        <w:rPr>
          <w:rFonts w:ascii="Times New Roman" w:hAnsi="Times New Roman"/>
          <w:b w:val="0"/>
          <w:sz w:val="20"/>
        </w:rPr>
        <w:t xml:space="preserve">ffice </w:t>
      </w:r>
      <w:r w:rsidR="009C0511" w:rsidRPr="000D4F37">
        <w:rPr>
          <w:rFonts w:ascii="Times New Roman" w:hAnsi="Times New Roman"/>
          <w:b w:val="0"/>
          <w:sz w:val="20"/>
        </w:rPr>
        <w:t xml:space="preserve">began </w:t>
      </w:r>
      <w:r w:rsidR="00BD6F10">
        <w:rPr>
          <w:rFonts w:ascii="Times New Roman" w:hAnsi="Times New Roman"/>
          <w:b w:val="0"/>
          <w:sz w:val="20"/>
        </w:rPr>
        <w:t xml:space="preserve">to </w:t>
      </w:r>
      <w:r w:rsidR="009C0511" w:rsidRPr="000D4F37">
        <w:rPr>
          <w:rFonts w:ascii="Times New Roman" w:hAnsi="Times New Roman"/>
          <w:b w:val="0"/>
          <w:sz w:val="20"/>
        </w:rPr>
        <w:t>implement</w:t>
      </w:r>
      <w:r w:rsidR="0099339A" w:rsidRPr="000D4F37">
        <w:rPr>
          <w:rFonts w:ascii="Times New Roman" w:hAnsi="Times New Roman"/>
          <w:b w:val="0"/>
          <w:sz w:val="20"/>
        </w:rPr>
        <w:t xml:space="preserve"> </w:t>
      </w:r>
      <w:r w:rsidR="003E18D7" w:rsidRPr="000D4F37">
        <w:rPr>
          <w:rFonts w:ascii="Times New Roman" w:hAnsi="Times New Roman"/>
          <w:b w:val="0"/>
          <w:sz w:val="20"/>
        </w:rPr>
        <w:t xml:space="preserve">a </w:t>
      </w:r>
      <w:r w:rsidR="0099339A" w:rsidRPr="000D4F37">
        <w:rPr>
          <w:rFonts w:ascii="Times New Roman" w:hAnsi="Times New Roman"/>
          <w:b w:val="0"/>
          <w:sz w:val="20"/>
        </w:rPr>
        <w:t>South</w:t>
      </w:r>
      <w:r w:rsidR="009C0511" w:rsidRPr="000D4F37">
        <w:rPr>
          <w:rFonts w:ascii="Times New Roman" w:hAnsi="Times New Roman"/>
          <w:b w:val="0"/>
          <w:sz w:val="20"/>
        </w:rPr>
        <w:t>-</w:t>
      </w:r>
      <w:r w:rsidRPr="000D4F37">
        <w:rPr>
          <w:rFonts w:ascii="Times New Roman" w:hAnsi="Times New Roman"/>
          <w:b w:val="0"/>
          <w:sz w:val="20"/>
        </w:rPr>
        <w:t>South c</w:t>
      </w:r>
      <w:r w:rsidR="009C0511" w:rsidRPr="000D4F37">
        <w:rPr>
          <w:rFonts w:ascii="Times New Roman" w:hAnsi="Times New Roman"/>
          <w:b w:val="0"/>
          <w:sz w:val="20"/>
        </w:rPr>
        <w:t>o</w:t>
      </w:r>
      <w:r w:rsidRPr="000D4F37">
        <w:rPr>
          <w:rFonts w:ascii="Times New Roman" w:hAnsi="Times New Roman"/>
          <w:b w:val="0"/>
          <w:sz w:val="20"/>
        </w:rPr>
        <w:t>op</w:t>
      </w:r>
      <w:r w:rsidR="009C0511" w:rsidRPr="000D4F37">
        <w:rPr>
          <w:rFonts w:ascii="Times New Roman" w:hAnsi="Times New Roman"/>
          <w:b w:val="0"/>
          <w:sz w:val="20"/>
        </w:rPr>
        <w:t>e</w:t>
      </w:r>
      <w:r w:rsidRPr="000D4F37">
        <w:rPr>
          <w:rFonts w:ascii="Times New Roman" w:hAnsi="Times New Roman"/>
          <w:b w:val="0"/>
          <w:sz w:val="20"/>
        </w:rPr>
        <w:t>ration</w:t>
      </w:r>
      <w:r w:rsidR="009F1573" w:rsidRPr="000D4F37">
        <w:rPr>
          <w:rFonts w:ascii="Times New Roman" w:hAnsi="Times New Roman"/>
          <w:b w:val="0"/>
          <w:sz w:val="20"/>
        </w:rPr>
        <w:t xml:space="preserve"> </w:t>
      </w:r>
      <w:r w:rsidR="009C0511" w:rsidRPr="000D4F37">
        <w:rPr>
          <w:rFonts w:ascii="Times New Roman" w:hAnsi="Times New Roman"/>
          <w:b w:val="0"/>
          <w:sz w:val="20"/>
        </w:rPr>
        <w:t xml:space="preserve">programme </w:t>
      </w:r>
      <w:r w:rsidR="009F1573" w:rsidRPr="000D4F37">
        <w:rPr>
          <w:rFonts w:ascii="Times New Roman" w:hAnsi="Times New Roman"/>
          <w:b w:val="0"/>
          <w:sz w:val="20"/>
        </w:rPr>
        <w:t>with China</w:t>
      </w:r>
      <w:r w:rsidR="00BD6F10">
        <w:rPr>
          <w:rFonts w:ascii="Times New Roman" w:hAnsi="Times New Roman"/>
          <w:b w:val="0"/>
          <w:sz w:val="20"/>
        </w:rPr>
        <w:t>,</w:t>
      </w:r>
      <w:r w:rsidR="009C0511" w:rsidRPr="000D4F37">
        <w:rPr>
          <w:rFonts w:ascii="Times New Roman" w:hAnsi="Times New Roman"/>
          <w:b w:val="0"/>
          <w:sz w:val="20"/>
        </w:rPr>
        <w:t xml:space="preserve"> </w:t>
      </w:r>
      <w:r w:rsidR="00862314" w:rsidRPr="000D4F37">
        <w:rPr>
          <w:rFonts w:ascii="Times New Roman" w:hAnsi="Times New Roman"/>
          <w:b w:val="0"/>
          <w:sz w:val="20"/>
        </w:rPr>
        <w:t>fund</w:t>
      </w:r>
      <w:r w:rsidR="003E18D7" w:rsidRPr="000D4F37">
        <w:rPr>
          <w:rFonts w:ascii="Times New Roman" w:hAnsi="Times New Roman"/>
          <w:b w:val="0"/>
          <w:sz w:val="20"/>
        </w:rPr>
        <w:t xml:space="preserve">ed by </w:t>
      </w:r>
      <w:r w:rsidR="00BD6F10">
        <w:rPr>
          <w:rFonts w:ascii="Times New Roman" w:hAnsi="Times New Roman"/>
          <w:b w:val="0"/>
          <w:sz w:val="20"/>
        </w:rPr>
        <w:t xml:space="preserve">the Government of </w:t>
      </w:r>
      <w:r w:rsidR="009C0511" w:rsidRPr="000D4F37">
        <w:rPr>
          <w:rFonts w:ascii="Times New Roman" w:hAnsi="Times New Roman"/>
          <w:b w:val="0"/>
          <w:sz w:val="20"/>
        </w:rPr>
        <w:t>Denmark</w:t>
      </w:r>
      <w:r w:rsidR="00BD6F10">
        <w:rPr>
          <w:rFonts w:ascii="Times New Roman" w:hAnsi="Times New Roman"/>
          <w:b w:val="0"/>
          <w:sz w:val="20"/>
        </w:rPr>
        <w:t>,</w:t>
      </w:r>
      <w:r w:rsidR="00B13894" w:rsidRPr="000D4F37">
        <w:rPr>
          <w:rFonts w:ascii="Times New Roman" w:hAnsi="Times New Roman"/>
          <w:b w:val="0"/>
          <w:sz w:val="20"/>
        </w:rPr>
        <w:t xml:space="preserve"> to promote technology</w:t>
      </w:r>
      <w:r w:rsidRPr="000D4F37">
        <w:rPr>
          <w:rFonts w:ascii="Times New Roman" w:hAnsi="Times New Roman"/>
          <w:b w:val="0"/>
          <w:sz w:val="20"/>
        </w:rPr>
        <w:t xml:space="preserve"> transfer for renewable energy</w:t>
      </w:r>
      <w:r w:rsidR="009C0511" w:rsidRPr="000D4F37">
        <w:rPr>
          <w:rFonts w:ascii="Times New Roman" w:hAnsi="Times New Roman"/>
          <w:b w:val="0"/>
          <w:sz w:val="20"/>
        </w:rPr>
        <w:t>.</w:t>
      </w:r>
      <w:r w:rsidR="009F1573" w:rsidRPr="000D4F37">
        <w:rPr>
          <w:rFonts w:ascii="Times New Roman" w:hAnsi="Times New Roman"/>
          <w:b w:val="0"/>
          <w:sz w:val="20"/>
        </w:rPr>
        <w:t xml:space="preserve"> </w:t>
      </w:r>
      <w:r w:rsidRPr="000D4F37">
        <w:rPr>
          <w:rFonts w:ascii="Times New Roman" w:hAnsi="Times New Roman"/>
          <w:b w:val="0"/>
          <w:sz w:val="20"/>
        </w:rPr>
        <w:t xml:space="preserve"> </w:t>
      </w:r>
      <w:r w:rsidR="009F1573" w:rsidRPr="000D4F37">
        <w:rPr>
          <w:rFonts w:ascii="Times New Roman" w:hAnsi="Times New Roman"/>
          <w:b w:val="0"/>
          <w:sz w:val="20"/>
        </w:rPr>
        <w:t xml:space="preserve">Other initiatives </w:t>
      </w:r>
      <w:r w:rsidRPr="000D4F37">
        <w:rPr>
          <w:rFonts w:ascii="Times New Roman" w:hAnsi="Times New Roman"/>
          <w:b w:val="0"/>
          <w:sz w:val="20"/>
        </w:rPr>
        <w:t xml:space="preserve">for skills transfer for natural resource </w:t>
      </w:r>
      <w:r w:rsidR="00435235" w:rsidRPr="000D4F37">
        <w:rPr>
          <w:rFonts w:ascii="Times New Roman" w:hAnsi="Times New Roman"/>
          <w:b w:val="0"/>
          <w:sz w:val="20"/>
        </w:rPr>
        <w:t>and extractive industry</w:t>
      </w:r>
      <w:r w:rsidR="00371094" w:rsidRPr="000D4F37">
        <w:rPr>
          <w:rFonts w:ascii="Times New Roman" w:hAnsi="Times New Roman"/>
          <w:b w:val="0"/>
          <w:sz w:val="20"/>
        </w:rPr>
        <w:t xml:space="preserve"> management</w:t>
      </w:r>
      <w:r w:rsidR="00BD6F10">
        <w:rPr>
          <w:rFonts w:ascii="Times New Roman" w:hAnsi="Times New Roman"/>
          <w:b w:val="0"/>
          <w:sz w:val="20"/>
        </w:rPr>
        <w:t xml:space="preserve"> </w:t>
      </w:r>
      <w:r w:rsidR="00BD6F10" w:rsidRPr="000D4F37">
        <w:rPr>
          <w:rFonts w:ascii="Times New Roman" w:hAnsi="Times New Roman"/>
          <w:b w:val="0"/>
          <w:sz w:val="20"/>
        </w:rPr>
        <w:t>are in the pipeline with Indonesia and Chile</w:t>
      </w:r>
      <w:r w:rsidR="00682D31" w:rsidRPr="000D4F37">
        <w:rPr>
          <w:rFonts w:ascii="Times New Roman" w:hAnsi="Times New Roman"/>
          <w:b w:val="0"/>
          <w:sz w:val="20"/>
        </w:rPr>
        <w:t>.</w:t>
      </w:r>
      <w:r w:rsidRPr="000D4F37">
        <w:rPr>
          <w:rFonts w:ascii="Times New Roman" w:hAnsi="Times New Roman"/>
          <w:b w:val="0"/>
          <w:sz w:val="20"/>
        </w:rPr>
        <w:t xml:space="preserve">  </w:t>
      </w:r>
    </w:p>
    <w:p w14:paraId="2A9D5B48" w14:textId="5520CB78" w:rsidR="00C146DD" w:rsidRPr="000D4F37" w:rsidRDefault="0061753B"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0D4F37">
        <w:rPr>
          <w:rFonts w:ascii="Times New Roman" w:hAnsi="Times New Roman"/>
          <w:b w:val="0"/>
          <w:sz w:val="20"/>
        </w:rPr>
        <w:t>A key innovation of this</w:t>
      </w:r>
      <w:r w:rsidR="00CB3910" w:rsidRPr="000D4F37">
        <w:rPr>
          <w:rFonts w:ascii="Times New Roman" w:hAnsi="Times New Roman"/>
          <w:b w:val="0"/>
          <w:sz w:val="20"/>
        </w:rPr>
        <w:t xml:space="preserve"> </w:t>
      </w:r>
      <w:r w:rsidR="00BD6F10">
        <w:rPr>
          <w:rFonts w:ascii="Times New Roman" w:hAnsi="Times New Roman"/>
          <w:b w:val="0"/>
          <w:sz w:val="20"/>
        </w:rPr>
        <w:t>country programme</w:t>
      </w:r>
      <w:r w:rsidRPr="000D4F37">
        <w:rPr>
          <w:rFonts w:ascii="Times New Roman" w:hAnsi="Times New Roman"/>
          <w:b w:val="0"/>
          <w:sz w:val="20"/>
        </w:rPr>
        <w:t>, mirroring the approach taken across the U</w:t>
      </w:r>
      <w:r w:rsidR="00BD6F10">
        <w:rPr>
          <w:rFonts w:ascii="Times New Roman" w:hAnsi="Times New Roman"/>
          <w:b w:val="0"/>
          <w:sz w:val="20"/>
        </w:rPr>
        <w:t xml:space="preserve">nited </w:t>
      </w:r>
      <w:r w:rsidRPr="000D4F37">
        <w:rPr>
          <w:rFonts w:ascii="Times New Roman" w:hAnsi="Times New Roman"/>
          <w:b w:val="0"/>
          <w:sz w:val="20"/>
        </w:rPr>
        <w:t>N</w:t>
      </w:r>
      <w:r w:rsidR="00BD6F10">
        <w:rPr>
          <w:rFonts w:ascii="Times New Roman" w:hAnsi="Times New Roman"/>
          <w:b w:val="0"/>
          <w:sz w:val="20"/>
        </w:rPr>
        <w:t>ations</w:t>
      </w:r>
      <w:r w:rsidRPr="000D4F37">
        <w:rPr>
          <w:rFonts w:ascii="Times New Roman" w:hAnsi="Times New Roman"/>
          <w:b w:val="0"/>
          <w:sz w:val="20"/>
        </w:rPr>
        <w:t xml:space="preserve"> </w:t>
      </w:r>
      <w:r w:rsidR="00BD6F10">
        <w:rPr>
          <w:rFonts w:ascii="Times New Roman" w:hAnsi="Times New Roman"/>
          <w:b w:val="0"/>
          <w:sz w:val="20"/>
        </w:rPr>
        <w:t xml:space="preserve">system </w:t>
      </w:r>
      <w:r w:rsidRPr="000D4F37">
        <w:rPr>
          <w:rFonts w:ascii="Times New Roman" w:hAnsi="Times New Roman"/>
          <w:b w:val="0"/>
          <w:sz w:val="20"/>
        </w:rPr>
        <w:t>in Zambia in the Partnership Framework,</w:t>
      </w:r>
      <w:r w:rsidR="00AB2C36" w:rsidRPr="000D4F37">
        <w:rPr>
          <w:rFonts w:ascii="Times New Roman" w:hAnsi="Times New Roman"/>
          <w:b w:val="0"/>
          <w:sz w:val="20"/>
        </w:rPr>
        <w:t xml:space="preserve"> </w:t>
      </w:r>
      <w:r w:rsidR="009E04AB" w:rsidRPr="000D4F37">
        <w:rPr>
          <w:rFonts w:ascii="Times New Roman" w:hAnsi="Times New Roman"/>
          <w:b w:val="0"/>
          <w:sz w:val="20"/>
        </w:rPr>
        <w:t xml:space="preserve">is </w:t>
      </w:r>
      <w:r w:rsidR="00BD6F10">
        <w:rPr>
          <w:rFonts w:ascii="Times New Roman" w:hAnsi="Times New Roman"/>
          <w:b w:val="0"/>
          <w:sz w:val="20"/>
        </w:rPr>
        <w:t xml:space="preserve">the </w:t>
      </w:r>
      <w:r w:rsidR="00AB2C36" w:rsidRPr="000D4F37">
        <w:rPr>
          <w:rFonts w:ascii="Times New Roman" w:hAnsi="Times New Roman"/>
          <w:b w:val="0"/>
          <w:sz w:val="20"/>
        </w:rPr>
        <w:t xml:space="preserve">establishment of </w:t>
      </w:r>
      <w:r w:rsidR="00CB3910" w:rsidRPr="000D4F37">
        <w:rPr>
          <w:rFonts w:ascii="Times New Roman" w:hAnsi="Times New Roman"/>
          <w:b w:val="0"/>
          <w:sz w:val="20"/>
        </w:rPr>
        <w:t xml:space="preserve">the </w:t>
      </w:r>
      <w:r w:rsidR="00BD6F10">
        <w:rPr>
          <w:rFonts w:ascii="Times New Roman" w:hAnsi="Times New Roman"/>
          <w:b w:val="0"/>
          <w:sz w:val="20"/>
        </w:rPr>
        <w:t>g</w:t>
      </w:r>
      <w:r w:rsidR="00BD6F10" w:rsidRPr="000D4F37">
        <w:rPr>
          <w:rFonts w:ascii="Times New Roman" w:hAnsi="Times New Roman"/>
          <w:b w:val="0"/>
          <w:sz w:val="20"/>
        </w:rPr>
        <w:t xml:space="preserve">overnance </w:t>
      </w:r>
      <w:r w:rsidR="00824A49" w:rsidRPr="000D4F37">
        <w:rPr>
          <w:rFonts w:ascii="Times New Roman" w:hAnsi="Times New Roman"/>
          <w:b w:val="0"/>
          <w:sz w:val="20"/>
        </w:rPr>
        <w:t xml:space="preserve">and </w:t>
      </w:r>
      <w:r w:rsidR="00BD6F10">
        <w:rPr>
          <w:rFonts w:ascii="Times New Roman" w:hAnsi="Times New Roman"/>
          <w:b w:val="0"/>
          <w:sz w:val="20"/>
        </w:rPr>
        <w:t>p</w:t>
      </w:r>
      <w:r w:rsidR="00BD6F10" w:rsidRPr="000D4F37">
        <w:rPr>
          <w:rFonts w:ascii="Times New Roman" w:hAnsi="Times New Roman"/>
          <w:b w:val="0"/>
          <w:sz w:val="20"/>
        </w:rPr>
        <w:t xml:space="preserve">articipation </w:t>
      </w:r>
      <w:r w:rsidR="00BD6F10">
        <w:rPr>
          <w:rFonts w:ascii="Times New Roman" w:hAnsi="Times New Roman"/>
          <w:b w:val="0"/>
          <w:sz w:val="20"/>
        </w:rPr>
        <w:t>p</w:t>
      </w:r>
      <w:r w:rsidR="00BD6F10" w:rsidRPr="000D4F37">
        <w:rPr>
          <w:rFonts w:ascii="Times New Roman" w:hAnsi="Times New Roman"/>
          <w:b w:val="0"/>
          <w:sz w:val="20"/>
        </w:rPr>
        <w:t xml:space="preserve">illar </w:t>
      </w:r>
      <w:r w:rsidRPr="000D4F37">
        <w:rPr>
          <w:rFonts w:ascii="Times New Roman" w:hAnsi="Times New Roman"/>
          <w:b w:val="0"/>
          <w:sz w:val="20"/>
        </w:rPr>
        <w:t xml:space="preserve">as an enabler to </w:t>
      </w:r>
      <w:r w:rsidR="00CB3910" w:rsidRPr="000D4F37">
        <w:rPr>
          <w:rFonts w:ascii="Times New Roman" w:hAnsi="Times New Roman"/>
          <w:b w:val="0"/>
          <w:sz w:val="20"/>
        </w:rPr>
        <w:t xml:space="preserve">address the underlying conditions required for the success of the other two </w:t>
      </w:r>
      <w:r w:rsidR="00BD6F10">
        <w:rPr>
          <w:rFonts w:ascii="Times New Roman" w:hAnsi="Times New Roman"/>
          <w:b w:val="0"/>
          <w:sz w:val="20"/>
        </w:rPr>
        <w:t>p</w:t>
      </w:r>
      <w:r w:rsidR="00BD6F10" w:rsidRPr="000D4F37">
        <w:rPr>
          <w:rFonts w:ascii="Times New Roman" w:hAnsi="Times New Roman"/>
          <w:b w:val="0"/>
          <w:sz w:val="20"/>
        </w:rPr>
        <w:t>illars</w:t>
      </w:r>
      <w:r w:rsidR="00824A49" w:rsidRPr="000D4F37">
        <w:rPr>
          <w:rFonts w:ascii="Times New Roman" w:hAnsi="Times New Roman"/>
          <w:b w:val="0"/>
          <w:sz w:val="20"/>
        </w:rPr>
        <w:t xml:space="preserve">. </w:t>
      </w:r>
      <w:r w:rsidR="00233A52" w:rsidRPr="000D4F37">
        <w:rPr>
          <w:rFonts w:ascii="Times New Roman" w:hAnsi="Times New Roman"/>
          <w:b w:val="0"/>
          <w:sz w:val="20"/>
        </w:rPr>
        <w:t xml:space="preserve">The </w:t>
      </w:r>
      <w:r w:rsidR="009B58EF" w:rsidRPr="000D4F37">
        <w:rPr>
          <w:rFonts w:ascii="Times New Roman" w:hAnsi="Times New Roman"/>
          <w:b w:val="0"/>
          <w:sz w:val="20"/>
        </w:rPr>
        <w:t>strategies in</w:t>
      </w:r>
      <w:r w:rsidR="00233A52" w:rsidRPr="000D4F37">
        <w:rPr>
          <w:rFonts w:ascii="Times New Roman" w:hAnsi="Times New Roman"/>
          <w:b w:val="0"/>
          <w:sz w:val="20"/>
        </w:rPr>
        <w:t xml:space="preserve"> this result area will include technical support for legal and policy reforms as well </w:t>
      </w:r>
      <w:r w:rsidR="007317F0">
        <w:rPr>
          <w:rFonts w:ascii="Times New Roman" w:hAnsi="Times New Roman"/>
          <w:b w:val="0"/>
          <w:sz w:val="20"/>
        </w:rPr>
        <w:t xml:space="preserve">as </w:t>
      </w:r>
      <w:r w:rsidR="00233A52" w:rsidRPr="000D4F37">
        <w:rPr>
          <w:rFonts w:ascii="Times New Roman" w:hAnsi="Times New Roman"/>
          <w:b w:val="0"/>
          <w:sz w:val="20"/>
        </w:rPr>
        <w:t xml:space="preserve">design and implementation of pilots </w:t>
      </w:r>
      <w:r w:rsidR="0050170D" w:rsidRPr="000D4F37">
        <w:rPr>
          <w:rFonts w:ascii="Times New Roman" w:hAnsi="Times New Roman"/>
          <w:b w:val="0"/>
          <w:sz w:val="20"/>
        </w:rPr>
        <w:t>for</w:t>
      </w:r>
      <w:r w:rsidR="00233A52" w:rsidRPr="000D4F37">
        <w:rPr>
          <w:rFonts w:ascii="Times New Roman" w:hAnsi="Times New Roman"/>
          <w:b w:val="0"/>
          <w:sz w:val="20"/>
        </w:rPr>
        <w:t xml:space="preserve"> </w:t>
      </w:r>
      <w:r w:rsidR="00BD6F10" w:rsidRPr="000D4F37">
        <w:rPr>
          <w:rFonts w:ascii="Times New Roman" w:hAnsi="Times New Roman"/>
          <w:b w:val="0"/>
          <w:sz w:val="20"/>
        </w:rPr>
        <w:t>customi</w:t>
      </w:r>
      <w:r w:rsidR="00BD6F10">
        <w:rPr>
          <w:rFonts w:ascii="Times New Roman" w:hAnsi="Times New Roman"/>
          <w:b w:val="0"/>
          <w:sz w:val="20"/>
        </w:rPr>
        <w:t>z</w:t>
      </w:r>
      <w:r w:rsidR="00BD6F10" w:rsidRPr="000D4F37">
        <w:rPr>
          <w:rFonts w:ascii="Times New Roman" w:hAnsi="Times New Roman"/>
          <w:b w:val="0"/>
          <w:sz w:val="20"/>
        </w:rPr>
        <w:t xml:space="preserve">ation </w:t>
      </w:r>
      <w:r w:rsidR="00233A52" w:rsidRPr="000D4F37">
        <w:rPr>
          <w:rFonts w:ascii="Times New Roman" w:hAnsi="Times New Roman"/>
          <w:b w:val="0"/>
          <w:sz w:val="20"/>
        </w:rPr>
        <w:t xml:space="preserve">and demonstration </w:t>
      </w:r>
      <w:r w:rsidR="003505C7" w:rsidRPr="000D4F37">
        <w:rPr>
          <w:rFonts w:ascii="Times New Roman" w:hAnsi="Times New Roman"/>
          <w:b w:val="0"/>
          <w:sz w:val="20"/>
        </w:rPr>
        <w:t>of interventions</w:t>
      </w:r>
      <w:r w:rsidR="00233A52" w:rsidRPr="000D4F37">
        <w:rPr>
          <w:rFonts w:ascii="Times New Roman" w:hAnsi="Times New Roman"/>
          <w:b w:val="0"/>
          <w:sz w:val="20"/>
        </w:rPr>
        <w:t xml:space="preserve">. </w:t>
      </w:r>
      <w:r w:rsidR="00824A49" w:rsidRPr="000D4F37">
        <w:rPr>
          <w:rFonts w:ascii="Times New Roman" w:hAnsi="Times New Roman"/>
          <w:b w:val="0"/>
          <w:sz w:val="20"/>
        </w:rPr>
        <w:t>I</w:t>
      </w:r>
      <w:r w:rsidR="00412327" w:rsidRPr="000D4F37">
        <w:rPr>
          <w:rFonts w:ascii="Times New Roman" w:hAnsi="Times New Roman"/>
          <w:b w:val="0"/>
          <w:sz w:val="20"/>
        </w:rPr>
        <w:t>ntended results will include</w:t>
      </w:r>
      <w:r w:rsidR="00C051BF" w:rsidRPr="000D4F37">
        <w:rPr>
          <w:rFonts w:ascii="Times New Roman" w:hAnsi="Times New Roman"/>
          <w:b w:val="0"/>
          <w:sz w:val="20"/>
        </w:rPr>
        <w:t xml:space="preserve"> domestication of</w:t>
      </w:r>
      <w:r w:rsidR="00412327" w:rsidRPr="000D4F37">
        <w:rPr>
          <w:rFonts w:ascii="Times New Roman" w:hAnsi="Times New Roman"/>
          <w:b w:val="0"/>
          <w:sz w:val="20"/>
        </w:rPr>
        <w:t xml:space="preserve"> regional and international </w:t>
      </w:r>
      <w:r w:rsidR="00C051BF" w:rsidRPr="000D4F37">
        <w:rPr>
          <w:rFonts w:ascii="Times New Roman" w:hAnsi="Times New Roman"/>
          <w:b w:val="0"/>
          <w:sz w:val="20"/>
        </w:rPr>
        <w:t>conventions</w:t>
      </w:r>
      <w:r w:rsidR="00412327" w:rsidRPr="000D4F37">
        <w:rPr>
          <w:rFonts w:ascii="Times New Roman" w:hAnsi="Times New Roman"/>
          <w:b w:val="0"/>
          <w:sz w:val="20"/>
        </w:rPr>
        <w:t xml:space="preserve">. </w:t>
      </w:r>
      <w:r w:rsidR="00C051BF" w:rsidRPr="000D4F37">
        <w:rPr>
          <w:rFonts w:ascii="Times New Roman" w:hAnsi="Times New Roman"/>
          <w:b w:val="0"/>
          <w:sz w:val="20"/>
        </w:rPr>
        <w:t xml:space="preserve">Other interventions include </w:t>
      </w:r>
      <w:r w:rsidR="00412327" w:rsidRPr="000D4F37">
        <w:rPr>
          <w:rFonts w:ascii="Times New Roman" w:hAnsi="Times New Roman"/>
          <w:b w:val="0"/>
          <w:sz w:val="20"/>
        </w:rPr>
        <w:t>constitutional reform, le</w:t>
      </w:r>
      <w:r w:rsidR="00824A49" w:rsidRPr="000D4F37">
        <w:rPr>
          <w:rFonts w:ascii="Times New Roman" w:hAnsi="Times New Roman"/>
          <w:b w:val="0"/>
          <w:sz w:val="20"/>
        </w:rPr>
        <w:t>gal reforms on natural resource</w:t>
      </w:r>
      <w:r w:rsidR="00412327" w:rsidRPr="000D4F37">
        <w:rPr>
          <w:rFonts w:ascii="Times New Roman" w:hAnsi="Times New Roman"/>
          <w:b w:val="0"/>
          <w:sz w:val="20"/>
        </w:rPr>
        <w:t xml:space="preserve"> management and extractive industries, elimination of discrimination, </w:t>
      </w:r>
      <w:r w:rsidR="00C051BF" w:rsidRPr="000D4F37">
        <w:rPr>
          <w:rFonts w:ascii="Times New Roman" w:hAnsi="Times New Roman"/>
          <w:b w:val="0"/>
          <w:sz w:val="20"/>
        </w:rPr>
        <w:t xml:space="preserve">promotion of </w:t>
      </w:r>
      <w:r w:rsidR="00412327" w:rsidRPr="000D4F37">
        <w:rPr>
          <w:rFonts w:ascii="Times New Roman" w:hAnsi="Times New Roman"/>
          <w:b w:val="0"/>
          <w:sz w:val="20"/>
        </w:rPr>
        <w:t>gender equality and increasing access to justice</w:t>
      </w:r>
      <w:r w:rsidR="00824A49" w:rsidRPr="000D4F37">
        <w:rPr>
          <w:rFonts w:ascii="Times New Roman" w:hAnsi="Times New Roman"/>
          <w:b w:val="0"/>
          <w:sz w:val="20"/>
        </w:rPr>
        <w:t>.</w:t>
      </w:r>
      <w:r w:rsidR="00412327" w:rsidRPr="000D4F37">
        <w:rPr>
          <w:rFonts w:ascii="Times New Roman" w:hAnsi="Times New Roman"/>
          <w:b w:val="0"/>
          <w:sz w:val="20"/>
        </w:rPr>
        <w:t xml:space="preserve"> </w:t>
      </w:r>
      <w:r w:rsidR="00DC53D2" w:rsidRPr="000D4F37">
        <w:rPr>
          <w:rFonts w:ascii="Times New Roman" w:hAnsi="Times New Roman"/>
          <w:b w:val="0"/>
          <w:sz w:val="20"/>
        </w:rPr>
        <w:t>Selected o</w:t>
      </w:r>
      <w:r w:rsidR="006F09C9" w:rsidRPr="000D4F37">
        <w:rPr>
          <w:rFonts w:ascii="Times New Roman" w:hAnsi="Times New Roman"/>
          <w:b w:val="0"/>
          <w:sz w:val="20"/>
        </w:rPr>
        <w:t xml:space="preserve">versight </w:t>
      </w:r>
      <w:r w:rsidR="00412327" w:rsidRPr="000D4F37">
        <w:rPr>
          <w:rFonts w:ascii="Times New Roman" w:hAnsi="Times New Roman"/>
          <w:b w:val="0"/>
          <w:sz w:val="20"/>
        </w:rPr>
        <w:t xml:space="preserve">institutions </w:t>
      </w:r>
      <w:r w:rsidR="00824A49" w:rsidRPr="000D4F37">
        <w:rPr>
          <w:rFonts w:ascii="Times New Roman" w:hAnsi="Times New Roman"/>
          <w:b w:val="0"/>
          <w:sz w:val="20"/>
        </w:rPr>
        <w:t xml:space="preserve">will be strengthened to fulfil their </w:t>
      </w:r>
      <w:r w:rsidR="00412327" w:rsidRPr="000D4F37">
        <w:rPr>
          <w:rFonts w:ascii="Times New Roman" w:hAnsi="Times New Roman"/>
          <w:b w:val="0"/>
          <w:sz w:val="20"/>
        </w:rPr>
        <w:t>accountability, participation and representation</w:t>
      </w:r>
      <w:r w:rsidR="00824A49" w:rsidRPr="000D4F37">
        <w:rPr>
          <w:rFonts w:ascii="Times New Roman" w:hAnsi="Times New Roman"/>
          <w:b w:val="0"/>
          <w:sz w:val="20"/>
        </w:rPr>
        <w:t xml:space="preserve"> functions</w:t>
      </w:r>
      <w:r w:rsidR="00412327" w:rsidRPr="000D4F37">
        <w:rPr>
          <w:rFonts w:ascii="Times New Roman" w:hAnsi="Times New Roman"/>
          <w:b w:val="0"/>
          <w:sz w:val="20"/>
        </w:rPr>
        <w:t>.</w:t>
      </w:r>
      <w:r w:rsidR="00BD5A50" w:rsidRPr="000D4F37">
        <w:rPr>
          <w:rFonts w:ascii="Times New Roman" w:hAnsi="Times New Roman"/>
          <w:b w:val="0"/>
          <w:sz w:val="20"/>
        </w:rPr>
        <w:t xml:space="preserve"> </w:t>
      </w:r>
      <w:r w:rsidR="005C3408" w:rsidRPr="000D4F37">
        <w:rPr>
          <w:rFonts w:ascii="Times New Roman" w:hAnsi="Times New Roman"/>
          <w:b w:val="0"/>
          <w:sz w:val="20"/>
        </w:rPr>
        <w:t xml:space="preserve">Other results will be </w:t>
      </w:r>
      <w:r w:rsidR="00BD6F10">
        <w:rPr>
          <w:rFonts w:ascii="Times New Roman" w:hAnsi="Times New Roman"/>
          <w:b w:val="0"/>
          <w:sz w:val="20"/>
        </w:rPr>
        <w:t xml:space="preserve">the </w:t>
      </w:r>
      <w:r w:rsidR="00BD5A50" w:rsidRPr="000D4F37">
        <w:rPr>
          <w:rFonts w:ascii="Times New Roman" w:hAnsi="Times New Roman"/>
          <w:b w:val="0"/>
          <w:sz w:val="20"/>
        </w:rPr>
        <w:t>increased capacity of citizens to hold national institutions accountable</w:t>
      </w:r>
      <w:r w:rsidR="005C3408" w:rsidRPr="000D4F37">
        <w:rPr>
          <w:rFonts w:ascii="Times New Roman" w:hAnsi="Times New Roman"/>
          <w:b w:val="0"/>
          <w:sz w:val="20"/>
        </w:rPr>
        <w:t xml:space="preserve">, </w:t>
      </w:r>
      <w:r w:rsidR="003F132C" w:rsidRPr="000D4F37">
        <w:rPr>
          <w:rFonts w:ascii="Times New Roman" w:hAnsi="Times New Roman"/>
          <w:b w:val="0"/>
          <w:sz w:val="20"/>
        </w:rPr>
        <w:t>work</w:t>
      </w:r>
      <w:r w:rsidR="005C3408" w:rsidRPr="000D4F37">
        <w:rPr>
          <w:rFonts w:ascii="Times New Roman" w:hAnsi="Times New Roman"/>
          <w:b w:val="0"/>
          <w:sz w:val="20"/>
        </w:rPr>
        <w:t>ing</w:t>
      </w:r>
      <w:r w:rsidR="003F132C" w:rsidRPr="000D4F37">
        <w:rPr>
          <w:rFonts w:ascii="Times New Roman" w:hAnsi="Times New Roman"/>
          <w:b w:val="0"/>
          <w:sz w:val="20"/>
        </w:rPr>
        <w:t xml:space="preserve"> with an array of partners including </w:t>
      </w:r>
      <w:r w:rsidR="00574DF4">
        <w:rPr>
          <w:rFonts w:ascii="Times New Roman" w:hAnsi="Times New Roman"/>
          <w:b w:val="0"/>
          <w:sz w:val="20"/>
        </w:rPr>
        <w:t xml:space="preserve">the </w:t>
      </w:r>
      <w:r w:rsidR="003F132C" w:rsidRPr="000D4F37">
        <w:rPr>
          <w:rFonts w:ascii="Times New Roman" w:hAnsi="Times New Roman"/>
          <w:b w:val="0"/>
          <w:sz w:val="20"/>
        </w:rPr>
        <w:t xml:space="preserve">Government and </w:t>
      </w:r>
      <w:r w:rsidR="00E378CA" w:rsidRPr="000D4F37">
        <w:rPr>
          <w:rFonts w:ascii="Times New Roman" w:hAnsi="Times New Roman"/>
          <w:b w:val="0"/>
          <w:sz w:val="20"/>
        </w:rPr>
        <w:t>c</w:t>
      </w:r>
      <w:r w:rsidR="003F132C" w:rsidRPr="000D4F37">
        <w:rPr>
          <w:rFonts w:ascii="Times New Roman" w:hAnsi="Times New Roman"/>
          <w:b w:val="0"/>
          <w:sz w:val="20"/>
        </w:rPr>
        <w:t>ivil society to promote d</w:t>
      </w:r>
      <w:r w:rsidR="00C146DD" w:rsidRPr="000D4F37">
        <w:rPr>
          <w:rFonts w:ascii="Times New Roman" w:hAnsi="Times New Roman"/>
          <w:b w:val="0"/>
          <w:sz w:val="20"/>
        </w:rPr>
        <w:t>ialogue for effective and transparent engagement</w:t>
      </w:r>
      <w:r w:rsidR="005C3408" w:rsidRPr="000D4F37">
        <w:rPr>
          <w:rFonts w:ascii="Times New Roman" w:hAnsi="Times New Roman"/>
          <w:b w:val="0"/>
          <w:sz w:val="20"/>
        </w:rPr>
        <w:t>.</w:t>
      </w:r>
      <w:r w:rsidR="003F132C" w:rsidRPr="000D4F37">
        <w:rPr>
          <w:rFonts w:ascii="Times New Roman" w:hAnsi="Times New Roman"/>
          <w:b w:val="0"/>
          <w:sz w:val="20"/>
        </w:rPr>
        <w:t xml:space="preserve"> </w:t>
      </w:r>
    </w:p>
    <w:p w14:paraId="71C39A0B" w14:textId="662A8D03" w:rsidR="00F60FA5" w:rsidRPr="000D4F37" w:rsidRDefault="0061753B"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0D4F37">
        <w:rPr>
          <w:rFonts w:ascii="Times New Roman" w:hAnsi="Times New Roman"/>
          <w:b w:val="0"/>
          <w:sz w:val="20"/>
        </w:rPr>
        <w:t xml:space="preserve">In the first half of the </w:t>
      </w:r>
      <w:r w:rsidR="00BD6F10">
        <w:rPr>
          <w:rFonts w:ascii="Times New Roman" w:hAnsi="Times New Roman"/>
          <w:b w:val="0"/>
          <w:sz w:val="20"/>
        </w:rPr>
        <w:t>country programme</w:t>
      </w:r>
      <w:r w:rsidR="00BD6F10" w:rsidRPr="000D4F37">
        <w:rPr>
          <w:rFonts w:ascii="Times New Roman" w:hAnsi="Times New Roman"/>
          <w:b w:val="0"/>
          <w:sz w:val="20"/>
        </w:rPr>
        <w:t xml:space="preserve"> </w:t>
      </w:r>
      <w:r w:rsidRPr="000D4F37">
        <w:rPr>
          <w:rFonts w:ascii="Times New Roman" w:hAnsi="Times New Roman"/>
          <w:b w:val="0"/>
          <w:sz w:val="20"/>
        </w:rPr>
        <w:t>period</w:t>
      </w:r>
      <w:r w:rsidR="00824A49" w:rsidRPr="000D4F37">
        <w:rPr>
          <w:rFonts w:ascii="Times New Roman" w:hAnsi="Times New Roman"/>
          <w:b w:val="0"/>
          <w:sz w:val="20"/>
        </w:rPr>
        <w:t xml:space="preserve"> and building on prior work as Global Fund Principal Recipient</w:t>
      </w:r>
      <w:r w:rsidRPr="000D4F37">
        <w:rPr>
          <w:rFonts w:ascii="Times New Roman" w:hAnsi="Times New Roman"/>
          <w:b w:val="0"/>
          <w:sz w:val="20"/>
        </w:rPr>
        <w:t xml:space="preserve">, </w:t>
      </w:r>
      <w:r w:rsidR="00B94E34" w:rsidRPr="000D4F37">
        <w:rPr>
          <w:rFonts w:ascii="Times New Roman" w:hAnsi="Times New Roman"/>
          <w:b w:val="0"/>
          <w:sz w:val="20"/>
        </w:rPr>
        <w:t xml:space="preserve">interventions will strengthen </w:t>
      </w:r>
      <w:r w:rsidR="00C424D9" w:rsidRPr="000D4F37">
        <w:rPr>
          <w:rFonts w:ascii="Times New Roman" w:hAnsi="Times New Roman"/>
          <w:b w:val="0"/>
          <w:sz w:val="20"/>
        </w:rPr>
        <w:t>supply cha</w:t>
      </w:r>
      <w:r w:rsidR="00B94E34" w:rsidRPr="000D4F37">
        <w:rPr>
          <w:rFonts w:ascii="Times New Roman" w:hAnsi="Times New Roman"/>
          <w:b w:val="0"/>
          <w:sz w:val="20"/>
        </w:rPr>
        <w:t>i</w:t>
      </w:r>
      <w:r w:rsidR="00C424D9" w:rsidRPr="000D4F37">
        <w:rPr>
          <w:rFonts w:ascii="Times New Roman" w:hAnsi="Times New Roman"/>
          <w:b w:val="0"/>
          <w:sz w:val="20"/>
        </w:rPr>
        <w:t>n</w:t>
      </w:r>
      <w:r w:rsidRPr="000D4F37">
        <w:rPr>
          <w:rFonts w:ascii="Times New Roman" w:hAnsi="Times New Roman"/>
          <w:b w:val="0"/>
          <w:sz w:val="20"/>
        </w:rPr>
        <w:t xml:space="preserve"> management and other capacities</w:t>
      </w:r>
      <w:r w:rsidR="00824A49" w:rsidRPr="000D4F37">
        <w:rPr>
          <w:rFonts w:ascii="Times New Roman" w:hAnsi="Times New Roman"/>
          <w:b w:val="0"/>
          <w:sz w:val="20"/>
        </w:rPr>
        <w:t xml:space="preserve"> in the Ministry of Health and </w:t>
      </w:r>
      <w:r w:rsidR="003131D1" w:rsidRPr="000D4F37">
        <w:rPr>
          <w:rFonts w:ascii="Times New Roman" w:hAnsi="Times New Roman"/>
          <w:b w:val="0"/>
          <w:sz w:val="20"/>
        </w:rPr>
        <w:t>Medical Stores Limited</w:t>
      </w:r>
      <w:r w:rsidR="00BD6F10">
        <w:rPr>
          <w:rFonts w:ascii="Times New Roman" w:hAnsi="Times New Roman"/>
          <w:b w:val="0"/>
          <w:sz w:val="20"/>
        </w:rPr>
        <w:t xml:space="preserve"> (an autonomous government agency)</w:t>
      </w:r>
      <w:r w:rsidR="00824A49" w:rsidRPr="000D4F37">
        <w:rPr>
          <w:rFonts w:ascii="Times New Roman" w:hAnsi="Times New Roman"/>
          <w:b w:val="0"/>
          <w:sz w:val="20"/>
        </w:rPr>
        <w:t>.</w:t>
      </w:r>
      <w:r w:rsidR="00C424D9" w:rsidRPr="000D4F37">
        <w:rPr>
          <w:rFonts w:ascii="Times New Roman" w:hAnsi="Times New Roman"/>
          <w:b w:val="0"/>
          <w:sz w:val="20"/>
        </w:rPr>
        <w:t xml:space="preserve"> </w:t>
      </w:r>
      <w:r w:rsidR="00342DAA" w:rsidRPr="000D4F37">
        <w:rPr>
          <w:rFonts w:ascii="Times New Roman" w:hAnsi="Times New Roman"/>
          <w:b w:val="0"/>
          <w:sz w:val="20"/>
        </w:rPr>
        <w:t>This will result in</w:t>
      </w:r>
      <w:r w:rsidR="003E18D7" w:rsidRPr="000D4F37">
        <w:rPr>
          <w:rFonts w:ascii="Times New Roman" w:hAnsi="Times New Roman"/>
          <w:b w:val="0"/>
          <w:sz w:val="20"/>
        </w:rPr>
        <w:t xml:space="preserve"> an</w:t>
      </w:r>
      <w:r w:rsidR="00342DAA" w:rsidRPr="000D4F37">
        <w:rPr>
          <w:rFonts w:ascii="Times New Roman" w:hAnsi="Times New Roman"/>
          <w:b w:val="0"/>
          <w:sz w:val="20"/>
        </w:rPr>
        <w:t xml:space="preserve"> improved policy environment for equitable distribution of services </w:t>
      </w:r>
      <w:r w:rsidR="003131D1" w:rsidRPr="000D4F37">
        <w:rPr>
          <w:rFonts w:ascii="Times New Roman" w:hAnsi="Times New Roman"/>
          <w:b w:val="0"/>
          <w:sz w:val="20"/>
        </w:rPr>
        <w:t>to vulnerable population</w:t>
      </w:r>
      <w:r w:rsidR="00414123" w:rsidRPr="000D4F37">
        <w:rPr>
          <w:rFonts w:ascii="Times New Roman" w:hAnsi="Times New Roman"/>
          <w:b w:val="0"/>
          <w:sz w:val="20"/>
        </w:rPr>
        <w:t>s in peri-urban and rural areas</w:t>
      </w:r>
      <w:r w:rsidR="00342DAA" w:rsidRPr="000D4F37">
        <w:rPr>
          <w:rFonts w:ascii="Times New Roman" w:hAnsi="Times New Roman"/>
          <w:b w:val="0"/>
          <w:sz w:val="20"/>
        </w:rPr>
        <w:t>. Further result</w:t>
      </w:r>
      <w:r w:rsidR="006A752A" w:rsidRPr="000D4F37">
        <w:rPr>
          <w:rFonts w:ascii="Times New Roman" w:hAnsi="Times New Roman"/>
          <w:b w:val="0"/>
          <w:sz w:val="20"/>
        </w:rPr>
        <w:t>s</w:t>
      </w:r>
      <w:r w:rsidR="00DE5C64" w:rsidRPr="000D4F37">
        <w:rPr>
          <w:rFonts w:ascii="Times New Roman" w:hAnsi="Times New Roman"/>
          <w:b w:val="0"/>
          <w:sz w:val="20"/>
        </w:rPr>
        <w:t xml:space="preserve"> are also</w:t>
      </w:r>
      <w:r w:rsidR="00342DAA" w:rsidRPr="000D4F37">
        <w:rPr>
          <w:rFonts w:ascii="Times New Roman" w:hAnsi="Times New Roman"/>
          <w:b w:val="0"/>
          <w:sz w:val="20"/>
        </w:rPr>
        <w:t xml:space="preserve"> expected in strengthening services to prevent and address </w:t>
      </w:r>
      <w:r w:rsidR="00BD6F10">
        <w:rPr>
          <w:rFonts w:ascii="Times New Roman" w:hAnsi="Times New Roman"/>
          <w:b w:val="0"/>
          <w:sz w:val="20"/>
        </w:rPr>
        <w:t>s</w:t>
      </w:r>
      <w:r w:rsidR="00BD6F10" w:rsidRPr="000D4F37">
        <w:rPr>
          <w:rFonts w:ascii="Times New Roman" w:hAnsi="Times New Roman"/>
          <w:b w:val="0"/>
          <w:sz w:val="20"/>
        </w:rPr>
        <w:t xml:space="preserve">exual </w:t>
      </w:r>
      <w:r w:rsidR="00342DAA" w:rsidRPr="000D4F37">
        <w:rPr>
          <w:rFonts w:ascii="Times New Roman" w:hAnsi="Times New Roman"/>
          <w:b w:val="0"/>
          <w:sz w:val="20"/>
        </w:rPr>
        <w:t xml:space="preserve">and </w:t>
      </w:r>
      <w:r w:rsidR="00BD6F10">
        <w:rPr>
          <w:rFonts w:ascii="Times New Roman" w:hAnsi="Times New Roman"/>
          <w:b w:val="0"/>
          <w:sz w:val="20"/>
        </w:rPr>
        <w:t>g</w:t>
      </w:r>
      <w:r w:rsidR="00BD6F10" w:rsidRPr="000D4F37">
        <w:rPr>
          <w:rFonts w:ascii="Times New Roman" w:hAnsi="Times New Roman"/>
          <w:b w:val="0"/>
          <w:sz w:val="20"/>
        </w:rPr>
        <w:t>ender</w:t>
      </w:r>
      <w:r w:rsidR="003E18D7" w:rsidRPr="000D4F37">
        <w:rPr>
          <w:rFonts w:ascii="Times New Roman" w:hAnsi="Times New Roman"/>
          <w:b w:val="0"/>
          <w:sz w:val="20"/>
        </w:rPr>
        <w:t>-</w:t>
      </w:r>
      <w:r w:rsidR="00BD6F10">
        <w:rPr>
          <w:rFonts w:ascii="Times New Roman" w:hAnsi="Times New Roman"/>
          <w:b w:val="0"/>
          <w:sz w:val="20"/>
        </w:rPr>
        <w:t>b</w:t>
      </w:r>
      <w:r w:rsidR="00BD6F10" w:rsidRPr="000D4F37">
        <w:rPr>
          <w:rFonts w:ascii="Times New Roman" w:hAnsi="Times New Roman"/>
          <w:b w:val="0"/>
          <w:sz w:val="20"/>
        </w:rPr>
        <w:t xml:space="preserve">ased </w:t>
      </w:r>
      <w:r w:rsidR="00BD6F10">
        <w:rPr>
          <w:rFonts w:ascii="Times New Roman" w:hAnsi="Times New Roman"/>
          <w:b w:val="0"/>
          <w:sz w:val="20"/>
        </w:rPr>
        <w:t>v</w:t>
      </w:r>
      <w:r w:rsidR="00BD6F10" w:rsidRPr="000D4F37">
        <w:rPr>
          <w:rFonts w:ascii="Times New Roman" w:hAnsi="Times New Roman"/>
          <w:b w:val="0"/>
          <w:sz w:val="20"/>
        </w:rPr>
        <w:t xml:space="preserve">iolence </w:t>
      </w:r>
      <w:r w:rsidR="00342DAA" w:rsidRPr="000D4F37">
        <w:rPr>
          <w:rFonts w:ascii="Times New Roman" w:hAnsi="Times New Roman"/>
          <w:b w:val="0"/>
          <w:sz w:val="20"/>
        </w:rPr>
        <w:t xml:space="preserve">as well as removing barriers hindering women’s and targeted key population’s access to HIV </w:t>
      </w:r>
      <w:r w:rsidR="00574DF4">
        <w:rPr>
          <w:rFonts w:ascii="Times New Roman" w:hAnsi="Times New Roman"/>
          <w:b w:val="0"/>
          <w:sz w:val="20"/>
        </w:rPr>
        <w:t xml:space="preserve">and AIDS </w:t>
      </w:r>
      <w:r w:rsidR="00342DAA" w:rsidRPr="000D4F37">
        <w:rPr>
          <w:rFonts w:ascii="Times New Roman" w:hAnsi="Times New Roman"/>
          <w:b w:val="0"/>
          <w:sz w:val="20"/>
        </w:rPr>
        <w:t xml:space="preserve">services. </w:t>
      </w:r>
    </w:p>
    <w:p w14:paraId="77F97D5F" w14:textId="36316912" w:rsidR="00C424D9" w:rsidRPr="000D4F37" w:rsidRDefault="00C424D9" w:rsidP="00415C1B">
      <w:pPr>
        <w:pStyle w:val="Heading2"/>
        <w:numPr>
          <w:ilvl w:val="0"/>
          <w:numId w:val="20"/>
        </w:numPr>
        <w:tabs>
          <w:tab w:val="left" w:pos="1710"/>
          <w:tab w:val="left" w:pos="1980"/>
        </w:tabs>
        <w:spacing w:after="120"/>
        <w:ind w:left="1260" w:right="1267" w:firstLine="0"/>
        <w:jc w:val="both"/>
        <w:rPr>
          <w:rFonts w:ascii="Times New Roman" w:hAnsi="Times New Roman"/>
          <w:b w:val="0"/>
          <w:sz w:val="20"/>
        </w:rPr>
      </w:pPr>
      <w:r w:rsidRPr="000D4F37">
        <w:rPr>
          <w:rFonts w:ascii="Times New Roman" w:hAnsi="Times New Roman"/>
          <w:b w:val="0"/>
          <w:sz w:val="20"/>
        </w:rPr>
        <w:t xml:space="preserve">UNDP will continue working with the Ministry of Gender to provide policy guidance and coordination for the </w:t>
      </w:r>
      <w:r w:rsidR="006A752A" w:rsidRPr="000D4F37">
        <w:rPr>
          <w:rFonts w:ascii="Times New Roman" w:hAnsi="Times New Roman"/>
          <w:b w:val="0"/>
          <w:sz w:val="20"/>
        </w:rPr>
        <w:t xml:space="preserve">implementation of the </w:t>
      </w:r>
      <w:r w:rsidR="00F73277">
        <w:rPr>
          <w:rFonts w:ascii="Times New Roman" w:hAnsi="Times New Roman"/>
          <w:b w:val="0"/>
          <w:sz w:val="20"/>
        </w:rPr>
        <w:t>A</w:t>
      </w:r>
      <w:r w:rsidR="006A752A" w:rsidRPr="000D4F37">
        <w:rPr>
          <w:rFonts w:ascii="Times New Roman" w:hAnsi="Times New Roman"/>
          <w:b w:val="0"/>
          <w:sz w:val="20"/>
        </w:rPr>
        <w:t>nti-</w:t>
      </w:r>
      <w:r w:rsidR="00970B47" w:rsidRPr="000D4F37">
        <w:rPr>
          <w:rFonts w:ascii="Times New Roman" w:hAnsi="Times New Roman"/>
          <w:b w:val="0"/>
          <w:sz w:val="20"/>
        </w:rPr>
        <w:t>G</w:t>
      </w:r>
      <w:r w:rsidR="006A752A" w:rsidRPr="000D4F37">
        <w:rPr>
          <w:rFonts w:ascii="Times New Roman" w:hAnsi="Times New Roman"/>
          <w:b w:val="0"/>
          <w:sz w:val="20"/>
        </w:rPr>
        <w:t>ender-</w:t>
      </w:r>
      <w:r w:rsidR="00970B47" w:rsidRPr="000D4F37">
        <w:rPr>
          <w:rFonts w:ascii="Times New Roman" w:hAnsi="Times New Roman"/>
          <w:b w:val="0"/>
          <w:sz w:val="20"/>
        </w:rPr>
        <w:t>B</w:t>
      </w:r>
      <w:r w:rsidR="006A752A" w:rsidRPr="000D4F37">
        <w:rPr>
          <w:rFonts w:ascii="Times New Roman" w:hAnsi="Times New Roman"/>
          <w:b w:val="0"/>
          <w:sz w:val="20"/>
        </w:rPr>
        <w:t xml:space="preserve">ased </w:t>
      </w:r>
      <w:r w:rsidR="00970B47" w:rsidRPr="000D4F37">
        <w:rPr>
          <w:rFonts w:ascii="Times New Roman" w:hAnsi="Times New Roman"/>
          <w:b w:val="0"/>
          <w:sz w:val="20"/>
        </w:rPr>
        <w:t>V</w:t>
      </w:r>
      <w:r w:rsidR="006A752A" w:rsidRPr="000D4F37">
        <w:rPr>
          <w:rFonts w:ascii="Times New Roman" w:hAnsi="Times New Roman"/>
          <w:b w:val="0"/>
          <w:sz w:val="20"/>
        </w:rPr>
        <w:t>iolence</w:t>
      </w:r>
      <w:r w:rsidR="00970B47" w:rsidRPr="000D4F37">
        <w:rPr>
          <w:rFonts w:ascii="Times New Roman" w:hAnsi="Times New Roman"/>
          <w:b w:val="0"/>
          <w:sz w:val="20"/>
        </w:rPr>
        <w:t xml:space="preserve"> A</w:t>
      </w:r>
      <w:r w:rsidRPr="000D4F37">
        <w:rPr>
          <w:rFonts w:ascii="Times New Roman" w:hAnsi="Times New Roman"/>
          <w:b w:val="0"/>
          <w:sz w:val="20"/>
        </w:rPr>
        <w:t>ct</w:t>
      </w:r>
      <w:r w:rsidR="00F73277">
        <w:rPr>
          <w:rFonts w:ascii="Times New Roman" w:hAnsi="Times New Roman"/>
          <w:b w:val="0"/>
          <w:sz w:val="20"/>
        </w:rPr>
        <w:t xml:space="preserve"> of 2011</w:t>
      </w:r>
      <w:r w:rsidR="006A752A" w:rsidRPr="000D4F37">
        <w:rPr>
          <w:rFonts w:ascii="Times New Roman" w:hAnsi="Times New Roman"/>
          <w:b w:val="0"/>
          <w:sz w:val="20"/>
        </w:rPr>
        <w:t xml:space="preserve">. </w:t>
      </w:r>
      <w:r w:rsidR="003E18D7" w:rsidRPr="000D4F37">
        <w:rPr>
          <w:rFonts w:ascii="Times New Roman" w:hAnsi="Times New Roman"/>
          <w:b w:val="0"/>
          <w:sz w:val="20"/>
        </w:rPr>
        <w:lastRenderedPageBreak/>
        <w:t>W</w:t>
      </w:r>
      <w:r w:rsidR="006A752A" w:rsidRPr="000D4F37">
        <w:rPr>
          <w:rFonts w:ascii="Times New Roman" w:hAnsi="Times New Roman"/>
          <w:b w:val="0"/>
          <w:sz w:val="20"/>
        </w:rPr>
        <w:t xml:space="preserve">ork will continue with the judiciary to strengthen handling of </w:t>
      </w:r>
      <w:r w:rsidR="00F73277">
        <w:rPr>
          <w:rFonts w:ascii="Times New Roman" w:hAnsi="Times New Roman"/>
          <w:b w:val="0"/>
          <w:sz w:val="20"/>
        </w:rPr>
        <w:t>g</w:t>
      </w:r>
      <w:r w:rsidR="00F73277" w:rsidRPr="000D4F37">
        <w:rPr>
          <w:rFonts w:ascii="Times New Roman" w:hAnsi="Times New Roman"/>
          <w:b w:val="0"/>
          <w:sz w:val="20"/>
        </w:rPr>
        <w:t>ender</w:t>
      </w:r>
      <w:r w:rsidR="0014499C" w:rsidRPr="000D4F37">
        <w:rPr>
          <w:rFonts w:ascii="Times New Roman" w:hAnsi="Times New Roman"/>
          <w:b w:val="0"/>
          <w:sz w:val="20"/>
        </w:rPr>
        <w:t>-</w:t>
      </w:r>
      <w:r w:rsidR="00F73277">
        <w:rPr>
          <w:rFonts w:ascii="Times New Roman" w:hAnsi="Times New Roman"/>
          <w:b w:val="0"/>
          <w:sz w:val="20"/>
        </w:rPr>
        <w:t>b</w:t>
      </w:r>
      <w:r w:rsidR="00F73277" w:rsidRPr="000D4F37">
        <w:rPr>
          <w:rFonts w:ascii="Times New Roman" w:hAnsi="Times New Roman"/>
          <w:b w:val="0"/>
          <w:sz w:val="20"/>
        </w:rPr>
        <w:t xml:space="preserve">ased </w:t>
      </w:r>
      <w:r w:rsidR="00F73277">
        <w:rPr>
          <w:rFonts w:ascii="Times New Roman" w:hAnsi="Times New Roman"/>
          <w:b w:val="0"/>
          <w:sz w:val="20"/>
        </w:rPr>
        <w:t>v</w:t>
      </w:r>
      <w:r w:rsidR="00F73277" w:rsidRPr="000D4F37">
        <w:rPr>
          <w:rFonts w:ascii="Times New Roman" w:hAnsi="Times New Roman"/>
          <w:b w:val="0"/>
          <w:sz w:val="20"/>
        </w:rPr>
        <w:t xml:space="preserve">iolence </w:t>
      </w:r>
      <w:r w:rsidR="0014499C" w:rsidRPr="000D4F37">
        <w:rPr>
          <w:rFonts w:ascii="Times New Roman" w:hAnsi="Times New Roman"/>
          <w:b w:val="0"/>
          <w:sz w:val="20"/>
        </w:rPr>
        <w:t>cases</w:t>
      </w:r>
      <w:r w:rsidR="00093EC1">
        <w:rPr>
          <w:rFonts w:ascii="Times New Roman" w:hAnsi="Times New Roman"/>
          <w:b w:val="0"/>
          <w:sz w:val="20"/>
        </w:rPr>
        <w:t>, as well as on wider judicial reform to ensure access to justice</w:t>
      </w:r>
      <w:r w:rsidR="0014499C" w:rsidRPr="000D4F37">
        <w:rPr>
          <w:rFonts w:ascii="Times New Roman" w:hAnsi="Times New Roman"/>
          <w:b w:val="0"/>
          <w:sz w:val="20"/>
        </w:rPr>
        <w:t xml:space="preserve">. As part of the Joint </w:t>
      </w:r>
      <w:r w:rsidR="00F73277">
        <w:rPr>
          <w:rFonts w:ascii="Times New Roman" w:hAnsi="Times New Roman"/>
          <w:b w:val="0"/>
          <w:sz w:val="20"/>
        </w:rPr>
        <w:t xml:space="preserve">United </w:t>
      </w:r>
      <w:r w:rsidR="00E13CC1">
        <w:rPr>
          <w:rFonts w:ascii="Times New Roman" w:hAnsi="Times New Roman"/>
          <w:b w:val="0"/>
          <w:sz w:val="20"/>
        </w:rPr>
        <w:t xml:space="preserve">Nations </w:t>
      </w:r>
      <w:r w:rsidR="0014499C" w:rsidRPr="000D4F37">
        <w:rPr>
          <w:rFonts w:ascii="Times New Roman" w:hAnsi="Times New Roman"/>
          <w:b w:val="0"/>
          <w:sz w:val="20"/>
        </w:rPr>
        <w:t>Team</w:t>
      </w:r>
      <w:r w:rsidR="00165008" w:rsidRPr="000D4F37">
        <w:rPr>
          <w:rFonts w:ascii="Times New Roman" w:hAnsi="Times New Roman"/>
          <w:b w:val="0"/>
          <w:sz w:val="20"/>
        </w:rPr>
        <w:t xml:space="preserve"> on AIDS</w:t>
      </w:r>
      <w:r w:rsidR="0014499C" w:rsidRPr="000D4F37">
        <w:rPr>
          <w:rFonts w:ascii="Times New Roman" w:hAnsi="Times New Roman"/>
          <w:b w:val="0"/>
          <w:sz w:val="20"/>
        </w:rPr>
        <w:t xml:space="preserve">, </w:t>
      </w:r>
      <w:r w:rsidRPr="000D4F37">
        <w:rPr>
          <w:rFonts w:ascii="Times New Roman" w:hAnsi="Times New Roman"/>
          <w:b w:val="0"/>
          <w:sz w:val="20"/>
        </w:rPr>
        <w:t>UNDP will</w:t>
      </w:r>
      <w:r w:rsidR="0014499C" w:rsidRPr="000D4F37">
        <w:rPr>
          <w:rFonts w:ascii="Times New Roman" w:hAnsi="Times New Roman"/>
          <w:b w:val="0"/>
          <w:sz w:val="20"/>
        </w:rPr>
        <w:t xml:space="preserve"> support the development of national investment approaches to provide</w:t>
      </w:r>
      <w:r w:rsidRPr="000D4F37">
        <w:rPr>
          <w:rFonts w:ascii="Times New Roman" w:hAnsi="Times New Roman"/>
          <w:b w:val="0"/>
          <w:sz w:val="20"/>
        </w:rPr>
        <w:t xml:space="preserve"> comprehensive HIV and AIDS services</w:t>
      </w:r>
      <w:r w:rsidR="0014499C" w:rsidRPr="000D4F37">
        <w:rPr>
          <w:rFonts w:ascii="Times New Roman" w:hAnsi="Times New Roman"/>
          <w:b w:val="0"/>
          <w:sz w:val="20"/>
        </w:rPr>
        <w:t>.</w:t>
      </w:r>
      <w:r w:rsidRPr="000D4F37">
        <w:rPr>
          <w:rFonts w:ascii="Times New Roman" w:hAnsi="Times New Roman"/>
          <w:b w:val="0"/>
          <w:sz w:val="20"/>
        </w:rPr>
        <w:t xml:space="preserve"> </w:t>
      </w:r>
    </w:p>
    <w:p w14:paraId="394B9C93" w14:textId="2098B7F9" w:rsidR="001B1050" w:rsidRPr="000D4F37" w:rsidRDefault="00093EC1" w:rsidP="00415C1B">
      <w:pPr>
        <w:pStyle w:val="Heading2"/>
        <w:numPr>
          <w:ilvl w:val="0"/>
          <w:numId w:val="20"/>
        </w:numPr>
        <w:tabs>
          <w:tab w:val="left" w:pos="1710"/>
        </w:tabs>
        <w:ind w:left="1260" w:right="1267" w:firstLine="0"/>
        <w:jc w:val="both"/>
        <w:rPr>
          <w:rFonts w:ascii="Times New Roman" w:hAnsi="Times New Roman"/>
          <w:b w:val="0"/>
          <w:sz w:val="20"/>
        </w:rPr>
      </w:pPr>
      <w:r w:rsidRPr="000D4F37">
        <w:rPr>
          <w:rFonts w:ascii="Times New Roman" w:hAnsi="Times New Roman"/>
          <w:b w:val="0"/>
          <w:sz w:val="20"/>
        </w:rPr>
        <w:t xml:space="preserve">Zambia has acceded to most international and regional human rights instruments. However, there are challenges in their domestication. </w:t>
      </w:r>
      <w:r>
        <w:rPr>
          <w:rFonts w:ascii="Times New Roman" w:hAnsi="Times New Roman"/>
          <w:b w:val="0"/>
          <w:sz w:val="20"/>
        </w:rPr>
        <w:t xml:space="preserve">UNDP support will combine upstream and downstream interventions to promote gender equality and access to justice, particularly for women and </w:t>
      </w:r>
      <w:r w:rsidR="00F73277">
        <w:rPr>
          <w:rFonts w:ascii="Times New Roman" w:hAnsi="Times New Roman"/>
          <w:b w:val="0"/>
          <w:sz w:val="20"/>
        </w:rPr>
        <w:t xml:space="preserve">marginalized </w:t>
      </w:r>
      <w:r>
        <w:rPr>
          <w:rFonts w:ascii="Times New Roman" w:hAnsi="Times New Roman"/>
          <w:b w:val="0"/>
          <w:sz w:val="20"/>
        </w:rPr>
        <w:t>populations. It will seek to strengthen the institutions and the environment as well as stimulate demand and access by rights holders.  This work will extend as required across all areas of intervention by the UNCT to bring about fulfilment of human rights and respect for the rule of law</w:t>
      </w:r>
      <w:r w:rsidR="00FB00AD" w:rsidRPr="000D4F37">
        <w:rPr>
          <w:rFonts w:ascii="Times New Roman" w:hAnsi="Times New Roman"/>
          <w:b w:val="0"/>
          <w:sz w:val="20"/>
        </w:rPr>
        <w:t xml:space="preserve">. </w:t>
      </w:r>
      <w:r w:rsidR="001B1050" w:rsidRPr="000D4F37">
        <w:rPr>
          <w:rFonts w:ascii="Times New Roman" w:hAnsi="Times New Roman"/>
          <w:b w:val="0"/>
          <w:sz w:val="20"/>
        </w:rPr>
        <w:t xml:space="preserve"> </w:t>
      </w:r>
    </w:p>
    <w:p w14:paraId="24C27F02" w14:textId="77777777" w:rsidR="001B1050" w:rsidRDefault="001B1050" w:rsidP="005777DC">
      <w:pPr>
        <w:shd w:val="clear" w:color="auto" w:fill="FFFFFF"/>
        <w:ind w:left="1260" w:right="1210"/>
        <w:jc w:val="both"/>
      </w:pPr>
    </w:p>
    <w:p w14:paraId="548F2DC4" w14:textId="77777777" w:rsidR="00A27C7D" w:rsidRPr="004F4B82" w:rsidRDefault="00497E0F" w:rsidP="00415C1B">
      <w:pPr>
        <w:shd w:val="clear" w:color="auto" w:fill="FFFFFF"/>
        <w:spacing w:after="120"/>
        <w:ind w:left="1260" w:right="1267" w:hanging="450"/>
        <w:jc w:val="both"/>
        <w:rPr>
          <w:b/>
          <w:sz w:val="24"/>
          <w:szCs w:val="24"/>
        </w:rPr>
      </w:pPr>
      <w:r w:rsidRPr="004F4B82">
        <w:rPr>
          <w:b/>
          <w:sz w:val="24"/>
          <w:szCs w:val="24"/>
        </w:rPr>
        <w:t>III.</w:t>
      </w:r>
      <w:r w:rsidRPr="0080487C">
        <w:rPr>
          <w:b/>
        </w:rPr>
        <w:t xml:space="preserve"> </w:t>
      </w:r>
      <w:r w:rsidR="00415C1B">
        <w:rPr>
          <w:b/>
        </w:rPr>
        <w:tab/>
      </w:r>
      <w:r w:rsidR="00415C1B">
        <w:rPr>
          <w:b/>
          <w:sz w:val="24"/>
          <w:szCs w:val="24"/>
        </w:rPr>
        <w:t>Programme and risk ma</w:t>
      </w:r>
      <w:r w:rsidRPr="004F4B82">
        <w:rPr>
          <w:b/>
          <w:sz w:val="24"/>
          <w:szCs w:val="24"/>
        </w:rPr>
        <w:t xml:space="preserve">nagement </w:t>
      </w:r>
    </w:p>
    <w:p w14:paraId="13DBA155" w14:textId="19053138" w:rsidR="00B20330" w:rsidRPr="000D4F37" w:rsidRDefault="00B20330" w:rsidP="00415C1B">
      <w:pPr>
        <w:pStyle w:val="Heading2"/>
        <w:numPr>
          <w:ilvl w:val="0"/>
          <w:numId w:val="20"/>
        </w:numPr>
        <w:tabs>
          <w:tab w:val="left" w:pos="1620"/>
        </w:tabs>
        <w:spacing w:after="120"/>
        <w:ind w:left="1260" w:right="1267" w:firstLine="0"/>
        <w:jc w:val="both"/>
        <w:rPr>
          <w:rFonts w:ascii="Times New Roman" w:hAnsi="Times New Roman"/>
          <w:b w:val="0"/>
          <w:sz w:val="20"/>
        </w:rPr>
      </w:pPr>
      <w:r w:rsidRPr="000D4F37">
        <w:rPr>
          <w:rFonts w:ascii="Times New Roman" w:hAnsi="Times New Roman"/>
          <w:b w:val="0"/>
          <w:sz w:val="20"/>
        </w:rPr>
        <w:t xml:space="preserve">The </w:t>
      </w:r>
      <w:r w:rsidR="00F73277">
        <w:rPr>
          <w:rFonts w:ascii="Times New Roman" w:hAnsi="Times New Roman"/>
          <w:b w:val="0"/>
          <w:sz w:val="20"/>
        </w:rPr>
        <w:t>country programme</w:t>
      </w:r>
      <w:r w:rsidR="00F73277" w:rsidRPr="000D4F37">
        <w:rPr>
          <w:rFonts w:ascii="Times New Roman" w:hAnsi="Times New Roman"/>
          <w:b w:val="0"/>
          <w:sz w:val="20"/>
        </w:rPr>
        <w:t xml:space="preserve"> </w:t>
      </w:r>
      <w:r w:rsidR="003E18D7" w:rsidRPr="000D4F37">
        <w:rPr>
          <w:rFonts w:ascii="Times New Roman" w:hAnsi="Times New Roman"/>
          <w:b w:val="0"/>
          <w:sz w:val="20"/>
        </w:rPr>
        <w:t>responds to the agreed Partnership Fram</w:t>
      </w:r>
      <w:r w:rsidR="00455320" w:rsidRPr="000D4F37">
        <w:rPr>
          <w:rFonts w:ascii="Times New Roman" w:hAnsi="Times New Roman"/>
          <w:b w:val="0"/>
          <w:sz w:val="20"/>
        </w:rPr>
        <w:t>e</w:t>
      </w:r>
      <w:r w:rsidR="003E18D7" w:rsidRPr="000D4F37">
        <w:rPr>
          <w:rFonts w:ascii="Times New Roman" w:hAnsi="Times New Roman"/>
          <w:b w:val="0"/>
          <w:sz w:val="20"/>
        </w:rPr>
        <w:t xml:space="preserve">work and </w:t>
      </w:r>
      <w:r w:rsidRPr="000D4F37">
        <w:rPr>
          <w:rFonts w:ascii="Times New Roman" w:hAnsi="Times New Roman"/>
          <w:b w:val="0"/>
          <w:sz w:val="20"/>
        </w:rPr>
        <w:t>will be nationally executed within the framework of the 1983 Standard Basic Assistance Agreement to enhance national ownership and leadership</w:t>
      </w:r>
      <w:r w:rsidR="00D55018" w:rsidRPr="000D4F37">
        <w:rPr>
          <w:rFonts w:ascii="Times New Roman" w:hAnsi="Times New Roman"/>
          <w:b w:val="0"/>
          <w:sz w:val="20"/>
        </w:rPr>
        <w:t>.</w:t>
      </w:r>
      <w:r w:rsidRPr="000D4F37">
        <w:rPr>
          <w:rFonts w:ascii="Times New Roman" w:hAnsi="Times New Roman"/>
          <w:b w:val="0"/>
          <w:sz w:val="20"/>
        </w:rPr>
        <w:t xml:space="preserve">  Implementation will be mainly through the </w:t>
      </w:r>
      <w:r w:rsidR="00F73277">
        <w:rPr>
          <w:rFonts w:ascii="Times New Roman" w:hAnsi="Times New Roman"/>
          <w:b w:val="0"/>
          <w:sz w:val="20"/>
        </w:rPr>
        <w:t>n</w:t>
      </w:r>
      <w:r w:rsidR="00F73277" w:rsidRPr="000D4F37">
        <w:rPr>
          <w:rFonts w:ascii="Times New Roman" w:hAnsi="Times New Roman"/>
          <w:b w:val="0"/>
          <w:sz w:val="20"/>
        </w:rPr>
        <w:t xml:space="preserve">ational </w:t>
      </w:r>
      <w:r w:rsidR="00F73277">
        <w:rPr>
          <w:rFonts w:ascii="Times New Roman" w:hAnsi="Times New Roman"/>
          <w:b w:val="0"/>
          <w:sz w:val="20"/>
        </w:rPr>
        <w:t>i</w:t>
      </w:r>
      <w:r w:rsidR="00F73277" w:rsidRPr="000D4F37">
        <w:rPr>
          <w:rFonts w:ascii="Times New Roman" w:hAnsi="Times New Roman"/>
          <w:b w:val="0"/>
          <w:sz w:val="20"/>
        </w:rPr>
        <w:t xml:space="preserve">mplementation </w:t>
      </w:r>
      <w:r w:rsidR="00F73277">
        <w:rPr>
          <w:rFonts w:ascii="Times New Roman" w:hAnsi="Times New Roman"/>
          <w:b w:val="0"/>
          <w:sz w:val="20"/>
        </w:rPr>
        <w:t>m</w:t>
      </w:r>
      <w:r w:rsidR="00F73277" w:rsidRPr="000D4F37">
        <w:rPr>
          <w:rFonts w:ascii="Times New Roman" w:hAnsi="Times New Roman"/>
          <w:b w:val="0"/>
          <w:sz w:val="20"/>
        </w:rPr>
        <w:t>odality</w:t>
      </w:r>
      <w:r w:rsidRPr="000D4F37">
        <w:rPr>
          <w:rFonts w:ascii="Times New Roman" w:hAnsi="Times New Roman"/>
          <w:b w:val="0"/>
          <w:sz w:val="20"/>
        </w:rPr>
        <w:t xml:space="preserve">. However, programme components of a sensitive nature or where independence of opinion </w:t>
      </w:r>
      <w:r w:rsidR="00A05939" w:rsidRPr="000D4F37">
        <w:rPr>
          <w:rFonts w:ascii="Times New Roman" w:hAnsi="Times New Roman"/>
          <w:b w:val="0"/>
          <w:sz w:val="20"/>
        </w:rPr>
        <w:t>is</w:t>
      </w:r>
      <w:r w:rsidRPr="000D4F37">
        <w:rPr>
          <w:rFonts w:ascii="Times New Roman" w:hAnsi="Times New Roman"/>
          <w:b w:val="0"/>
          <w:sz w:val="20"/>
        </w:rPr>
        <w:t xml:space="preserve"> critical will be implemented </w:t>
      </w:r>
      <w:r w:rsidR="00455320" w:rsidRPr="000D4F37">
        <w:rPr>
          <w:rFonts w:ascii="Times New Roman" w:hAnsi="Times New Roman"/>
          <w:b w:val="0"/>
          <w:sz w:val="20"/>
        </w:rPr>
        <w:t xml:space="preserve">through </w:t>
      </w:r>
      <w:r w:rsidR="00F73277">
        <w:rPr>
          <w:rFonts w:ascii="Times New Roman" w:hAnsi="Times New Roman"/>
          <w:b w:val="0"/>
          <w:sz w:val="20"/>
        </w:rPr>
        <w:t>d</w:t>
      </w:r>
      <w:r w:rsidR="00F73277" w:rsidRPr="000D4F37">
        <w:rPr>
          <w:rFonts w:ascii="Times New Roman" w:hAnsi="Times New Roman"/>
          <w:b w:val="0"/>
          <w:sz w:val="20"/>
        </w:rPr>
        <w:t xml:space="preserve">irect </w:t>
      </w:r>
      <w:r w:rsidR="00F73277">
        <w:rPr>
          <w:rFonts w:ascii="Times New Roman" w:hAnsi="Times New Roman"/>
          <w:b w:val="0"/>
          <w:sz w:val="20"/>
        </w:rPr>
        <w:t>i</w:t>
      </w:r>
      <w:r w:rsidR="00F73277" w:rsidRPr="000D4F37">
        <w:rPr>
          <w:rFonts w:ascii="Times New Roman" w:hAnsi="Times New Roman"/>
          <w:b w:val="0"/>
          <w:sz w:val="20"/>
        </w:rPr>
        <w:t xml:space="preserve">mplementation </w:t>
      </w:r>
      <w:r w:rsidR="00F73277">
        <w:rPr>
          <w:rFonts w:ascii="Times New Roman" w:hAnsi="Times New Roman"/>
          <w:b w:val="0"/>
          <w:sz w:val="20"/>
        </w:rPr>
        <w:t>m</w:t>
      </w:r>
      <w:r w:rsidR="00F73277" w:rsidRPr="000D4F37">
        <w:rPr>
          <w:rFonts w:ascii="Times New Roman" w:hAnsi="Times New Roman"/>
          <w:b w:val="0"/>
          <w:sz w:val="20"/>
        </w:rPr>
        <w:t>odality</w:t>
      </w:r>
      <w:r w:rsidRPr="000D4F37">
        <w:rPr>
          <w:rFonts w:ascii="Times New Roman" w:hAnsi="Times New Roman"/>
          <w:b w:val="0"/>
          <w:sz w:val="20"/>
        </w:rPr>
        <w:t>.</w:t>
      </w:r>
    </w:p>
    <w:p w14:paraId="6BC8E748" w14:textId="557D1443" w:rsidR="00B20330" w:rsidRPr="000D4F37" w:rsidRDefault="00F73277" w:rsidP="00415C1B">
      <w:pPr>
        <w:pStyle w:val="Heading2"/>
        <w:numPr>
          <w:ilvl w:val="0"/>
          <w:numId w:val="20"/>
        </w:numPr>
        <w:tabs>
          <w:tab w:val="left" w:pos="1710"/>
        </w:tabs>
        <w:spacing w:after="120"/>
        <w:ind w:left="1260" w:right="1267" w:firstLine="0"/>
        <w:jc w:val="both"/>
        <w:rPr>
          <w:rFonts w:ascii="Times New Roman" w:hAnsi="Times New Roman"/>
          <w:b w:val="0"/>
          <w:sz w:val="20"/>
        </w:rPr>
      </w:pPr>
      <w:r>
        <w:rPr>
          <w:rFonts w:ascii="Times New Roman" w:hAnsi="Times New Roman"/>
          <w:b w:val="0"/>
          <w:sz w:val="20"/>
        </w:rPr>
        <w:t xml:space="preserve">The </w:t>
      </w:r>
      <w:r w:rsidR="00B20330" w:rsidRPr="000D4F37">
        <w:rPr>
          <w:rFonts w:ascii="Times New Roman" w:hAnsi="Times New Roman"/>
          <w:b w:val="0"/>
          <w:sz w:val="20"/>
        </w:rPr>
        <w:t xml:space="preserve">Government and UNDP will coordinate the financial/procurement capacity assessments through the </w:t>
      </w:r>
      <w:r>
        <w:rPr>
          <w:rFonts w:ascii="Times New Roman" w:hAnsi="Times New Roman"/>
          <w:b w:val="0"/>
          <w:sz w:val="20"/>
        </w:rPr>
        <w:t>h</w:t>
      </w:r>
      <w:r w:rsidRPr="000D4F37">
        <w:rPr>
          <w:rFonts w:ascii="Times New Roman" w:hAnsi="Times New Roman"/>
          <w:b w:val="0"/>
          <w:sz w:val="20"/>
        </w:rPr>
        <w:t>armoni</w:t>
      </w:r>
      <w:r>
        <w:rPr>
          <w:rFonts w:ascii="Times New Roman" w:hAnsi="Times New Roman"/>
          <w:b w:val="0"/>
          <w:sz w:val="20"/>
        </w:rPr>
        <w:t>z</w:t>
      </w:r>
      <w:r w:rsidRPr="000D4F37">
        <w:rPr>
          <w:rFonts w:ascii="Times New Roman" w:hAnsi="Times New Roman"/>
          <w:b w:val="0"/>
          <w:sz w:val="20"/>
        </w:rPr>
        <w:t xml:space="preserve">ed </w:t>
      </w:r>
      <w:r>
        <w:rPr>
          <w:rFonts w:ascii="Times New Roman" w:hAnsi="Times New Roman"/>
          <w:b w:val="0"/>
          <w:sz w:val="20"/>
        </w:rPr>
        <w:t>a</w:t>
      </w:r>
      <w:r w:rsidRPr="000D4F37">
        <w:rPr>
          <w:rFonts w:ascii="Times New Roman" w:hAnsi="Times New Roman"/>
          <w:b w:val="0"/>
          <w:sz w:val="20"/>
        </w:rPr>
        <w:t xml:space="preserve">pproach </w:t>
      </w:r>
      <w:r w:rsidR="00B20330" w:rsidRPr="000D4F37">
        <w:rPr>
          <w:rFonts w:ascii="Times New Roman" w:hAnsi="Times New Roman"/>
          <w:b w:val="0"/>
          <w:sz w:val="20"/>
        </w:rPr>
        <w:t xml:space="preserve">to </w:t>
      </w:r>
      <w:r>
        <w:rPr>
          <w:rFonts w:ascii="Times New Roman" w:hAnsi="Times New Roman"/>
          <w:b w:val="0"/>
          <w:sz w:val="20"/>
        </w:rPr>
        <w:t>c</w:t>
      </w:r>
      <w:r w:rsidRPr="000D4F37">
        <w:rPr>
          <w:rFonts w:ascii="Times New Roman" w:hAnsi="Times New Roman"/>
          <w:b w:val="0"/>
          <w:sz w:val="20"/>
        </w:rPr>
        <w:t xml:space="preserve">ash </w:t>
      </w:r>
      <w:r>
        <w:rPr>
          <w:rFonts w:ascii="Times New Roman" w:hAnsi="Times New Roman"/>
          <w:b w:val="0"/>
          <w:sz w:val="20"/>
        </w:rPr>
        <w:t>t</w:t>
      </w:r>
      <w:r w:rsidRPr="000D4F37">
        <w:rPr>
          <w:rFonts w:ascii="Times New Roman" w:hAnsi="Times New Roman"/>
          <w:b w:val="0"/>
          <w:sz w:val="20"/>
        </w:rPr>
        <w:t>ransfer</w:t>
      </w:r>
      <w:r>
        <w:rPr>
          <w:rFonts w:ascii="Times New Roman" w:hAnsi="Times New Roman"/>
          <w:b w:val="0"/>
          <w:sz w:val="20"/>
        </w:rPr>
        <w:t>s</w:t>
      </w:r>
      <w:r w:rsidRPr="000D4F37">
        <w:rPr>
          <w:rFonts w:ascii="Times New Roman" w:hAnsi="Times New Roman"/>
          <w:b w:val="0"/>
          <w:sz w:val="20"/>
        </w:rPr>
        <w:t xml:space="preserve"> </w:t>
      </w:r>
      <w:r w:rsidR="00B20330" w:rsidRPr="000D4F37">
        <w:rPr>
          <w:rFonts w:ascii="Times New Roman" w:hAnsi="Times New Roman"/>
          <w:b w:val="0"/>
          <w:sz w:val="20"/>
        </w:rPr>
        <w:t>while working with other U</w:t>
      </w:r>
      <w:r>
        <w:rPr>
          <w:rFonts w:ascii="Times New Roman" w:hAnsi="Times New Roman"/>
          <w:b w:val="0"/>
          <w:sz w:val="20"/>
        </w:rPr>
        <w:t xml:space="preserve">nited </w:t>
      </w:r>
      <w:r w:rsidR="00B20330" w:rsidRPr="000D4F37">
        <w:rPr>
          <w:rFonts w:ascii="Times New Roman" w:hAnsi="Times New Roman"/>
          <w:b w:val="0"/>
          <w:sz w:val="20"/>
        </w:rPr>
        <w:t>N</w:t>
      </w:r>
      <w:r>
        <w:rPr>
          <w:rFonts w:ascii="Times New Roman" w:hAnsi="Times New Roman"/>
          <w:b w:val="0"/>
          <w:sz w:val="20"/>
        </w:rPr>
        <w:t>ations</w:t>
      </w:r>
      <w:r w:rsidR="00B20330" w:rsidRPr="000D4F37">
        <w:rPr>
          <w:rFonts w:ascii="Times New Roman" w:hAnsi="Times New Roman"/>
          <w:b w:val="0"/>
          <w:sz w:val="20"/>
        </w:rPr>
        <w:t xml:space="preserve"> </w:t>
      </w:r>
      <w:r>
        <w:rPr>
          <w:rFonts w:ascii="Times New Roman" w:hAnsi="Times New Roman"/>
          <w:b w:val="0"/>
          <w:sz w:val="20"/>
        </w:rPr>
        <w:t>a</w:t>
      </w:r>
      <w:r w:rsidRPr="000D4F37">
        <w:rPr>
          <w:rFonts w:ascii="Times New Roman" w:hAnsi="Times New Roman"/>
          <w:b w:val="0"/>
          <w:sz w:val="20"/>
        </w:rPr>
        <w:t xml:space="preserve">gencies </w:t>
      </w:r>
      <w:r w:rsidR="005548D9" w:rsidRPr="000D4F37">
        <w:rPr>
          <w:rFonts w:ascii="Times New Roman" w:hAnsi="Times New Roman"/>
          <w:b w:val="0"/>
          <w:sz w:val="20"/>
        </w:rPr>
        <w:t>in the context of</w:t>
      </w:r>
      <w:r w:rsidR="00B20330" w:rsidRPr="000D4F37">
        <w:rPr>
          <w:rFonts w:ascii="Times New Roman" w:hAnsi="Times New Roman"/>
          <w:b w:val="0"/>
          <w:sz w:val="20"/>
        </w:rPr>
        <w:t xml:space="preserve"> D</w:t>
      </w:r>
      <w:r w:rsidR="00751E6F" w:rsidRPr="000D4F37">
        <w:rPr>
          <w:rFonts w:ascii="Times New Roman" w:hAnsi="Times New Roman"/>
          <w:b w:val="0"/>
          <w:sz w:val="20"/>
        </w:rPr>
        <w:t>a</w:t>
      </w:r>
      <w:r w:rsidR="00B20330" w:rsidRPr="000D4F37">
        <w:rPr>
          <w:rFonts w:ascii="Times New Roman" w:hAnsi="Times New Roman"/>
          <w:b w:val="0"/>
          <w:sz w:val="20"/>
        </w:rPr>
        <w:t xml:space="preserve">O. UNDP will </w:t>
      </w:r>
      <w:r w:rsidR="00455320" w:rsidRPr="000D4F37">
        <w:rPr>
          <w:rFonts w:ascii="Times New Roman" w:hAnsi="Times New Roman"/>
          <w:b w:val="0"/>
          <w:sz w:val="20"/>
        </w:rPr>
        <w:t xml:space="preserve">support </w:t>
      </w:r>
      <w:r w:rsidRPr="000D4F37">
        <w:rPr>
          <w:rFonts w:ascii="Times New Roman" w:hAnsi="Times New Roman"/>
          <w:b w:val="0"/>
          <w:sz w:val="20"/>
        </w:rPr>
        <w:t>capacity</w:t>
      </w:r>
      <w:r>
        <w:rPr>
          <w:rFonts w:ascii="Times New Roman" w:hAnsi="Times New Roman"/>
          <w:b w:val="0"/>
          <w:sz w:val="20"/>
        </w:rPr>
        <w:t>-</w:t>
      </w:r>
      <w:r w:rsidR="00455320" w:rsidRPr="000D4F37">
        <w:rPr>
          <w:rFonts w:ascii="Times New Roman" w:hAnsi="Times New Roman"/>
          <w:b w:val="0"/>
          <w:sz w:val="20"/>
        </w:rPr>
        <w:t xml:space="preserve">building efforts to address the </w:t>
      </w:r>
      <w:r w:rsidR="005500B2" w:rsidRPr="000D4F37">
        <w:rPr>
          <w:rFonts w:ascii="Times New Roman" w:hAnsi="Times New Roman"/>
          <w:b w:val="0"/>
          <w:sz w:val="20"/>
        </w:rPr>
        <w:t>identified constraints</w:t>
      </w:r>
      <w:r w:rsidR="00455320" w:rsidRPr="000D4F37">
        <w:rPr>
          <w:rFonts w:ascii="Times New Roman" w:hAnsi="Times New Roman"/>
          <w:b w:val="0"/>
          <w:sz w:val="20"/>
        </w:rPr>
        <w:t xml:space="preserve"> among implementing partners</w:t>
      </w:r>
      <w:r w:rsidR="00B20330" w:rsidRPr="000D4F37">
        <w:rPr>
          <w:rFonts w:ascii="Times New Roman" w:hAnsi="Times New Roman"/>
          <w:b w:val="0"/>
          <w:sz w:val="20"/>
        </w:rPr>
        <w:t xml:space="preserve">. </w:t>
      </w:r>
    </w:p>
    <w:p w14:paraId="155DB835" w14:textId="0DD01548" w:rsidR="00D55018" w:rsidRPr="000D4F37" w:rsidRDefault="00D55018"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0D4F37">
        <w:rPr>
          <w:rFonts w:ascii="Times New Roman" w:hAnsi="Times New Roman"/>
          <w:b w:val="0"/>
          <w:sz w:val="20"/>
        </w:rPr>
        <w:t xml:space="preserve">This country programme document outlines </w:t>
      </w:r>
      <w:r w:rsidR="00F73277">
        <w:rPr>
          <w:rFonts w:ascii="Times New Roman" w:hAnsi="Times New Roman"/>
          <w:b w:val="0"/>
          <w:sz w:val="20"/>
        </w:rPr>
        <w:t>the</w:t>
      </w:r>
      <w:r w:rsidR="00F73277" w:rsidRPr="000D4F37">
        <w:rPr>
          <w:rFonts w:ascii="Times New Roman" w:hAnsi="Times New Roman"/>
          <w:b w:val="0"/>
          <w:sz w:val="20"/>
        </w:rPr>
        <w:t xml:space="preserve"> </w:t>
      </w:r>
      <w:r w:rsidRPr="000D4F37">
        <w:rPr>
          <w:rFonts w:ascii="Times New Roman" w:hAnsi="Times New Roman"/>
          <w:b w:val="0"/>
          <w:sz w:val="20"/>
        </w:rPr>
        <w:t xml:space="preserve">contributions </w:t>
      </w:r>
      <w:r w:rsidR="00F73277">
        <w:rPr>
          <w:rFonts w:ascii="Times New Roman" w:hAnsi="Times New Roman"/>
          <w:b w:val="0"/>
          <w:sz w:val="20"/>
        </w:rPr>
        <w:t xml:space="preserve">of UNDP </w:t>
      </w:r>
      <w:r w:rsidRPr="000D4F37">
        <w:rPr>
          <w:rFonts w:ascii="Times New Roman" w:hAnsi="Times New Roman"/>
          <w:b w:val="0"/>
          <w:sz w:val="20"/>
        </w:rPr>
        <w:t xml:space="preserve">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w:t>
      </w:r>
      <w:r w:rsidR="00574DF4" w:rsidRPr="000D4F37">
        <w:rPr>
          <w:rFonts w:ascii="Times New Roman" w:hAnsi="Times New Roman"/>
          <w:b w:val="0"/>
          <w:sz w:val="20"/>
        </w:rPr>
        <w:t>organi</w:t>
      </w:r>
      <w:r w:rsidR="00574DF4">
        <w:rPr>
          <w:rFonts w:ascii="Times New Roman" w:hAnsi="Times New Roman"/>
          <w:b w:val="0"/>
          <w:sz w:val="20"/>
        </w:rPr>
        <w:t>z</w:t>
      </w:r>
      <w:r w:rsidR="00574DF4" w:rsidRPr="000D4F37">
        <w:rPr>
          <w:rFonts w:ascii="Times New Roman" w:hAnsi="Times New Roman"/>
          <w:b w:val="0"/>
          <w:sz w:val="20"/>
        </w:rPr>
        <w:t xml:space="preserve">ation’s </w:t>
      </w:r>
      <w:r w:rsidRPr="000D4F37">
        <w:rPr>
          <w:rFonts w:ascii="Times New Roman" w:hAnsi="Times New Roman"/>
          <w:b w:val="0"/>
          <w:sz w:val="20"/>
        </w:rPr>
        <w:t>programme and operations policies and procedures and the internal controls framework.</w:t>
      </w:r>
    </w:p>
    <w:p w14:paraId="47709741" w14:textId="7085C505" w:rsidR="002A36D2" w:rsidRPr="000D4F37" w:rsidRDefault="00853521" w:rsidP="00415C1B">
      <w:pPr>
        <w:pStyle w:val="Heading2"/>
        <w:numPr>
          <w:ilvl w:val="0"/>
          <w:numId w:val="20"/>
        </w:numPr>
        <w:tabs>
          <w:tab w:val="left" w:pos="1710"/>
        </w:tabs>
        <w:spacing w:after="120"/>
        <w:ind w:left="1260" w:right="1267" w:firstLine="0"/>
        <w:jc w:val="both"/>
        <w:rPr>
          <w:rFonts w:ascii="Times New Roman" w:hAnsi="Times New Roman"/>
          <w:b w:val="0"/>
          <w:sz w:val="20"/>
        </w:rPr>
      </w:pPr>
      <w:r w:rsidRPr="000D4F37">
        <w:rPr>
          <w:rFonts w:ascii="Times New Roman" w:hAnsi="Times New Roman"/>
          <w:b w:val="0"/>
          <w:sz w:val="20"/>
        </w:rPr>
        <w:t xml:space="preserve">The </w:t>
      </w:r>
      <w:r w:rsidR="00885FA4" w:rsidRPr="000D4F37">
        <w:rPr>
          <w:rFonts w:ascii="Times New Roman" w:hAnsi="Times New Roman"/>
          <w:b w:val="0"/>
          <w:sz w:val="20"/>
        </w:rPr>
        <w:t>ongoing</w:t>
      </w:r>
      <w:r w:rsidRPr="000D4F37">
        <w:rPr>
          <w:rFonts w:ascii="Times New Roman" w:hAnsi="Times New Roman"/>
          <w:b w:val="0"/>
          <w:sz w:val="20"/>
        </w:rPr>
        <w:t xml:space="preserve"> handover of </w:t>
      </w:r>
      <w:r w:rsidR="00F73277">
        <w:rPr>
          <w:rFonts w:ascii="Times New Roman" w:hAnsi="Times New Roman"/>
          <w:b w:val="0"/>
          <w:sz w:val="20"/>
        </w:rPr>
        <w:t xml:space="preserve">the role of </w:t>
      </w:r>
      <w:r w:rsidRPr="000D4F37">
        <w:rPr>
          <w:rFonts w:ascii="Times New Roman" w:hAnsi="Times New Roman"/>
          <w:b w:val="0"/>
          <w:sz w:val="20"/>
        </w:rPr>
        <w:t>Glo</w:t>
      </w:r>
      <w:r w:rsidR="00747EDA" w:rsidRPr="000D4F37">
        <w:rPr>
          <w:rFonts w:ascii="Times New Roman" w:hAnsi="Times New Roman"/>
          <w:b w:val="0"/>
          <w:sz w:val="20"/>
        </w:rPr>
        <w:t xml:space="preserve">bal Fund Principal Recipient </w:t>
      </w:r>
      <w:r w:rsidR="00885FA4" w:rsidRPr="000D4F37">
        <w:rPr>
          <w:rFonts w:ascii="Times New Roman" w:hAnsi="Times New Roman"/>
          <w:b w:val="0"/>
          <w:sz w:val="20"/>
        </w:rPr>
        <w:t xml:space="preserve">to </w:t>
      </w:r>
      <w:r w:rsidR="000E452C">
        <w:rPr>
          <w:rFonts w:ascii="Times New Roman" w:hAnsi="Times New Roman"/>
          <w:b w:val="0"/>
          <w:sz w:val="20"/>
        </w:rPr>
        <w:t xml:space="preserve">the </w:t>
      </w:r>
      <w:r w:rsidR="00885FA4" w:rsidRPr="000D4F37">
        <w:rPr>
          <w:rFonts w:ascii="Times New Roman" w:hAnsi="Times New Roman"/>
          <w:b w:val="0"/>
          <w:sz w:val="20"/>
        </w:rPr>
        <w:t xml:space="preserve">Government </w:t>
      </w:r>
      <w:r w:rsidR="00B84D47" w:rsidRPr="000D4F37">
        <w:rPr>
          <w:rFonts w:ascii="Times New Roman" w:hAnsi="Times New Roman"/>
          <w:b w:val="0"/>
          <w:sz w:val="20"/>
        </w:rPr>
        <w:t>will lead to a reduction in</w:t>
      </w:r>
      <w:r w:rsidR="00885FA4" w:rsidRPr="000D4F37">
        <w:rPr>
          <w:rFonts w:ascii="Times New Roman" w:hAnsi="Times New Roman"/>
          <w:b w:val="0"/>
          <w:sz w:val="20"/>
        </w:rPr>
        <w:t xml:space="preserve"> the</w:t>
      </w:r>
      <w:r w:rsidR="00B84D47" w:rsidRPr="000D4F37">
        <w:rPr>
          <w:rFonts w:ascii="Times New Roman" w:hAnsi="Times New Roman"/>
          <w:b w:val="0"/>
          <w:sz w:val="20"/>
        </w:rPr>
        <w:t xml:space="preserve"> volume of resources </w:t>
      </w:r>
      <w:r w:rsidR="00885FA4" w:rsidRPr="000D4F37">
        <w:rPr>
          <w:rFonts w:ascii="Times New Roman" w:hAnsi="Times New Roman"/>
          <w:b w:val="0"/>
          <w:sz w:val="20"/>
        </w:rPr>
        <w:t>delivered by UNDP to the country. T</w:t>
      </w:r>
      <w:r w:rsidR="00B84D47" w:rsidRPr="000D4F37">
        <w:rPr>
          <w:rFonts w:ascii="Times New Roman" w:hAnsi="Times New Roman"/>
          <w:b w:val="0"/>
          <w:sz w:val="20"/>
        </w:rPr>
        <w:t>he programme may face the following</w:t>
      </w:r>
      <w:r w:rsidR="005A59F7" w:rsidRPr="000D4F37">
        <w:rPr>
          <w:rFonts w:ascii="Times New Roman" w:hAnsi="Times New Roman"/>
          <w:b w:val="0"/>
          <w:sz w:val="20"/>
        </w:rPr>
        <w:t xml:space="preserve"> </w:t>
      </w:r>
      <w:r w:rsidR="00877097" w:rsidRPr="000D4F37">
        <w:rPr>
          <w:rFonts w:ascii="Times New Roman" w:hAnsi="Times New Roman"/>
          <w:b w:val="0"/>
          <w:sz w:val="20"/>
        </w:rPr>
        <w:t>risks:</w:t>
      </w:r>
    </w:p>
    <w:p w14:paraId="456775D3" w14:textId="56AE3C7F" w:rsidR="002A36D2" w:rsidRPr="000D4F37" w:rsidRDefault="000E452C" w:rsidP="00415C1B">
      <w:pPr>
        <w:pStyle w:val="Heading2"/>
        <w:spacing w:after="120"/>
        <w:ind w:left="1260" w:right="1267"/>
        <w:jc w:val="both"/>
        <w:rPr>
          <w:rFonts w:ascii="Times New Roman" w:hAnsi="Times New Roman"/>
          <w:b w:val="0"/>
          <w:sz w:val="20"/>
        </w:rPr>
      </w:pPr>
      <w:r w:rsidRPr="000E452C">
        <w:rPr>
          <w:rFonts w:ascii="Times New Roman" w:hAnsi="Times New Roman"/>
          <w:b w:val="0"/>
          <w:sz w:val="20"/>
        </w:rPr>
        <w:t>(a)</w:t>
      </w:r>
      <w:r>
        <w:rPr>
          <w:rFonts w:ascii="Times New Roman" w:hAnsi="Times New Roman"/>
          <w:sz w:val="20"/>
        </w:rPr>
        <w:t xml:space="preserve"> </w:t>
      </w:r>
      <w:r w:rsidR="00591B1D" w:rsidRPr="00C76E9C">
        <w:rPr>
          <w:rFonts w:ascii="Times New Roman" w:hAnsi="Times New Roman"/>
          <w:sz w:val="20"/>
        </w:rPr>
        <w:t>Financial</w:t>
      </w:r>
      <w:r>
        <w:rPr>
          <w:rFonts w:ascii="Times New Roman" w:hAnsi="Times New Roman"/>
          <w:sz w:val="20"/>
        </w:rPr>
        <w:t>.</w:t>
      </w:r>
      <w:r w:rsidRPr="000D4F37">
        <w:rPr>
          <w:rFonts w:ascii="Times New Roman" w:hAnsi="Times New Roman"/>
          <w:b w:val="0"/>
          <w:sz w:val="20"/>
        </w:rPr>
        <w:t xml:space="preserve"> </w:t>
      </w:r>
      <w:r w:rsidR="008D638C" w:rsidRPr="000D4F37">
        <w:rPr>
          <w:rFonts w:ascii="Times New Roman" w:hAnsi="Times New Roman"/>
          <w:b w:val="0"/>
          <w:sz w:val="20"/>
        </w:rPr>
        <w:t>Reduced grant financing for development programmes due to Zambia’s LMIC status.</w:t>
      </w:r>
      <w:r w:rsidR="00431F4D" w:rsidRPr="000D4F37">
        <w:rPr>
          <w:rFonts w:ascii="Times New Roman" w:hAnsi="Times New Roman"/>
          <w:b w:val="0"/>
          <w:sz w:val="20"/>
        </w:rPr>
        <w:t xml:space="preserve"> </w:t>
      </w:r>
      <w:r w:rsidR="008D638C" w:rsidRPr="000D4F37">
        <w:rPr>
          <w:rFonts w:ascii="Times New Roman" w:hAnsi="Times New Roman"/>
          <w:b w:val="0"/>
          <w:sz w:val="20"/>
        </w:rPr>
        <w:t>T</w:t>
      </w:r>
      <w:r w:rsidR="00266145" w:rsidRPr="000D4F37">
        <w:rPr>
          <w:rFonts w:ascii="Times New Roman" w:hAnsi="Times New Roman"/>
          <w:b w:val="0"/>
          <w:sz w:val="20"/>
        </w:rPr>
        <w:t xml:space="preserve">his risk will be mitigated by supporting </w:t>
      </w:r>
      <w:r>
        <w:rPr>
          <w:rFonts w:ascii="Times New Roman" w:hAnsi="Times New Roman"/>
          <w:b w:val="0"/>
          <w:sz w:val="20"/>
        </w:rPr>
        <w:t>the G</w:t>
      </w:r>
      <w:r w:rsidR="00266145" w:rsidRPr="000D4F37">
        <w:rPr>
          <w:rFonts w:ascii="Times New Roman" w:hAnsi="Times New Roman"/>
          <w:b w:val="0"/>
          <w:sz w:val="20"/>
        </w:rPr>
        <w:t xml:space="preserve">overnment to access </w:t>
      </w:r>
      <w:r w:rsidR="00885FA4" w:rsidRPr="000D4F37">
        <w:rPr>
          <w:rFonts w:ascii="Times New Roman" w:hAnsi="Times New Roman"/>
          <w:b w:val="0"/>
          <w:sz w:val="20"/>
        </w:rPr>
        <w:t xml:space="preserve">new and emerging </w:t>
      </w:r>
      <w:r w:rsidR="00853521" w:rsidRPr="000D4F37">
        <w:rPr>
          <w:rFonts w:ascii="Times New Roman" w:hAnsi="Times New Roman"/>
          <w:b w:val="0"/>
          <w:sz w:val="20"/>
        </w:rPr>
        <w:t>funds</w:t>
      </w:r>
      <w:r w:rsidR="008D638C" w:rsidRPr="000D4F37">
        <w:rPr>
          <w:rFonts w:ascii="Times New Roman" w:hAnsi="Times New Roman"/>
          <w:b w:val="0"/>
          <w:sz w:val="20"/>
        </w:rPr>
        <w:t xml:space="preserve"> </w:t>
      </w:r>
      <w:r w:rsidR="00610DF8" w:rsidRPr="000D4F37">
        <w:rPr>
          <w:rFonts w:ascii="Times New Roman" w:hAnsi="Times New Roman"/>
          <w:b w:val="0"/>
          <w:sz w:val="20"/>
        </w:rPr>
        <w:t xml:space="preserve">and </w:t>
      </w:r>
      <w:r w:rsidR="00853521" w:rsidRPr="000D4F37">
        <w:rPr>
          <w:rFonts w:ascii="Times New Roman" w:hAnsi="Times New Roman"/>
          <w:b w:val="0"/>
          <w:sz w:val="20"/>
        </w:rPr>
        <w:t xml:space="preserve">through the </w:t>
      </w:r>
      <w:r w:rsidR="00610DF8" w:rsidRPr="000D4F37">
        <w:rPr>
          <w:rFonts w:ascii="Times New Roman" w:hAnsi="Times New Roman"/>
          <w:b w:val="0"/>
          <w:sz w:val="20"/>
        </w:rPr>
        <w:t xml:space="preserve">development of national capacities for </w:t>
      </w:r>
      <w:r w:rsidRPr="000D4F37">
        <w:rPr>
          <w:rFonts w:ascii="Times New Roman" w:hAnsi="Times New Roman"/>
          <w:b w:val="0"/>
          <w:sz w:val="20"/>
        </w:rPr>
        <w:t>mobili</w:t>
      </w:r>
      <w:r>
        <w:rPr>
          <w:rFonts w:ascii="Times New Roman" w:hAnsi="Times New Roman"/>
          <w:b w:val="0"/>
          <w:sz w:val="20"/>
        </w:rPr>
        <w:t>z</w:t>
      </w:r>
      <w:r w:rsidRPr="000D4F37">
        <w:rPr>
          <w:rFonts w:ascii="Times New Roman" w:hAnsi="Times New Roman"/>
          <w:b w:val="0"/>
          <w:sz w:val="20"/>
        </w:rPr>
        <w:t xml:space="preserve">ation </w:t>
      </w:r>
      <w:r w:rsidR="00610DF8" w:rsidRPr="000D4F37">
        <w:rPr>
          <w:rFonts w:ascii="Times New Roman" w:hAnsi="Times New Roman"/>
          <w:b w:val="0"/>
          <w:sz w:val="20"/>
        </w:rPr>
        <w:t>and better targeting of internal resources</w:t>
      </w:r>
      <w:r w:rsidR="00877097" w:rsidRPr="000D4F37">
        <w:rPr>
          <w:rFonts w:ascii="Times New Roman" w:hAnsi="Times New Roman"/>
          <w:b w:val="0"/>
          <w:sz w:val="20"/>
        </w:rPr>
        <w:t xml:space="preserve"> such as the Green Climate Fund</w:t>
      </w:r>
      <w:r>
        <w:rPr>
          <w:rFonts w:ascii="Times New Roman" w:hAnsi="Times New Roman"/>
          <w:b w:val="0"/>
          <w:sz w:val="20"/>
        </w:rPr>
        <w:t>;</w:t>
      </w:r>
      <w:r w:rsidRPr="000D4F37">
        <w:rPr>
          <w:rFonts w:ascii="Times New Roman" w:hAnsi="Times New Roman"/>
          <w:b w:val="0"/>
          <w:sz w:val="20"/>
        </w:rPr>
        <w:t xml:space="preserve"> </w:t>
      </w:r>
    </w:p>
    <w:p w14:paraId="2D1FF7FF" w14:textId="1CBF9542" w:rsidR="00862314" w:rsidRPr="000D4F37" w:rsidRDefault="000E452C" w:rsidP="000857DD">
      <w:pPr>
        <w:pStyle w:val="Heading2"/>
        <w:spacing w:after="120"/>
        <w:ind w:left="1260" w:right="1267"/>
        <w:jc w:val="both"/>
        <w:rPr>
          <w:rFonts w:ascii="Times New Roman" w:hAnsi="Times New Roman"/>
          <w:b w:val="0"/>
          <w:sz w:val="20"/>
        </w:rPr>
      </w:pPr>
      <w:r w:rsidRPr="000E452C">
        <w:rPr>
          <w:rFonts w:ascii="Times New Roman" w:hAnsi="Times New Roman"/>
          <w:b w:val="0"/>
          <w:sz w:val="20"/>
        </w:rPr>
        <w:t xml:space="preserve">(b) </w:t>
      </w:r>
      <w:r w:rsidR="00862314" w:rsidRPr="00C76E9C">
        <w:rPr>
          <w:rFonts w:ascii="Times New Roman" w:hAnsi="Times New Roman"/>
          <w:sz w:val="20"/>
        </w:rPr>
        <w:t>Poli</w:t>
      </w:r>
      <w:r w:rsidR="003E18D7" w:rsidRPr="00C76E9C">
        <w:rPr>
          <w:rFonts w:ascii="Times New Roman" w:hAnsi="Times New Roman"/>
          <w:sz w:val="20"/>
        </w:rPr>
        <w:t>tical</w:t>
      </w:r>
      <w:r>
        <w:rPr>
          <w:rFonts w:ascii="Times New Roman" w:hAnsi="Times New Roman"/>
          <w:sz w:val="20"/>
        </w:rPr>
        <w:t>.</w:t>
      </w:r>
      <w:r w:rsidRPr="000D4F37">
        <w:rPr>
          <w:rFonts w:ascii="Times New Roman" w:hAnsi="Times New Roman"/>
          <w:b w:val="0"/>
          <w:sz w:val="20"/>
        </w:rPr>
        <w:t xml:space="preserve"> </w:t>
      </w:r>
      <w:r w:rsidR="0099339A" w:rsidRPr="000D4F37">
        <w:rPr>
          <w:rFonts w:ascii="Times New Roman" w:hAnsi="Times New Roman"/>
          <w:b w:val="0"/>
          <w:sz w:val="20"/>
        </w:rPr>
        <w:t>Poor coherence of policies and program</w:t>
      </w:r>
      <w:r w:rsidR="003E18D7" w:rsidRPr="000D4F37">
        <w:rPr>
          <w:rFonts w:ascii="Times New Roman" w:hAnsi="Times New Roman"/>
          <w:b w:val="0"/>
          <w:sz w:val="20"/>
        </w:rPr>
        <w:t>me</w:t>
      </w:r>
      <w:r w:rsidR="0099339A" w:rsidRPr="000D4F37">
        <w:rPr>
          <w:rFonts w:ascii="Times New Roman" w:hAnsi="Times New Roman"/>
          <w:b w:val="0"/>
          <w:sz w:val="20"/>
        </w:rPr>
        <w:t>s due to s</w:t>
      </w:r>
      <w:r w:rsidR="00F97056" w:rsidRPr="000D4F37">
        <w:rPr>
          <w:rFonts w:ascii="Times New Roman" w:hAnsi="Times New Roman"/>
          <w:b w:val="0"/>
          <w:sz w:val="20"/>
        </w:rPr>
        <w:t xml:space="preserve">ectoral approaches to </w:t>
      </w:r>
      <w:r w:rsidR="0099339A" w:rsidRPr="000D4F37">
        <w:rPr>
          <w:rFonts w:ascii="Times New Roman" w:hAnsi="Times New Roman"/>
          <w:b w:val="0"/>
          <w:sz w:val="20"/>
        </w:rPr>
        <w:t>policy/program</w:t>
      </w:r>
      <w:r w:rsidR="003E18D7" w:rsidRPr="000D4F37">
        <w:rPr>
          <w:rFonts w:ascii="Times New Roman" w:hAnsi="Times New Roman"/>
          <w:b w:val="0"/>
          <w:sz w:val="20"/>
        </w:rPr>
        <w:t>me</w:t>
      </w:r>
      <w:r w:rsidR="0099339A" w:rsidRPr="000D4F37">
        <w:rPr>
          <w:rFonts w:ascii="Times New Roman" w:hAnsi="Times New Roman"/>
          <w:b w:val="0"/>
          <w:sz w:val="20"/>
        </w:rPr>
        <w:t xml:space="preserve"> formulation and funding. </w:t>
      </w:r>
      <w:r w:rsidR="003E18D7" w:rsidRPr="000D4F37">
        <w:rPr>
          <w:rFonts w:ascii="Times New Roman" w:hAnsi="Times New Roman"/>
          <w:b w:val="0"/>
          <w:sz w:val="20"/>
        </w:rPr>
        <w:t xml:space="preserve">Across the DaO context, </w:t>
      </w:r>
      <w:r w:rsidR="00862314" w:rsidRPr="000D4F37">
        <w:rPr>
          <w:rFonts w:ascii="Times New Roman" w:hAnsi="Times New Roman"/>
          <w:b w:val="0"/>
          <w:sz w:val="20"/>
        </w:rPr>
        <w:t xml:space="preserve">UNDP will promote integrated approaches to policy </w:t>
      </w:r>
      <w:r w:rsidR="0099339A" w:rsidRPr="000D4F37">
        <w:rPr>
          <w:rFonts w:ascii="Times New Roman" w:hAnsi="Times New Roman"/>
          <w:b w:val="0"/>
          <w:sz w:val="20"/>
        </w:rPr>
        <w:t>formulation</w:t>
      </w:r>
      <w:r w:rsidR="00862314" w:rsidRPr="000D4F37">
        <w:rPr>
          <w:rFonts w:ascii="Times New Roman" w:hAnsi="Times New Roman"/>
          <w:b w:val="0"/>
          <w:sz w:val="20"/>
        </w:rPr>
        <w:t xml:space="preserve"> and implementation to support greater policy impact</w:t>
      </w:r>
      <w:r>
        <w:rPr>
          <w:rFonts w:ascii="Times New Roman" w:hAnsi="Times New Roman"/>
          <w:b w:val="0"/>
          <w:sz w:val="20"/>
        </w:rPr>
        <w:t>;</w:t>
      </w:r>
      <w:r w:rsidRPr="000D4F37">
        <w:rPr>
          <w:rFonts w:ascii="Times New Roman" w:hAnsi="Times New Roman"/>
          <w:b w:val="0"/>
          <w:sz w:val="20"/>
        </w:rPr>
        <w:t xml:space="preserve"> </w:t>
      </w:r>
    </w:p>
    <w:p w14:paraId="3E79AB08" w14:textId="532A2171" w:rsidR="00AC7DB0" w:rsidRPr="000D4F37" w:rsidRDefault="000E452C" w:rsidP="005777DC">
      <w:pPr>
        <w:pStyle w:val="Heading2"/>
        <w:ind w:left="1260" w:right="1267"/>
        <w:jc w:val="both"/>
        <w:rPr>
          <w:rFonts w:ascii="Times New Roman" w:hAnsi="Times New Roman"/>
          <w:b w:val="0"/>
          <w:sz w:val="20"/>
        </w:rPr>
      </w:pPr>
      <w:r w:rsidRPr="000E452C">
        <w:rPr>
          <w:rFonts w:ascii="Times New Roman" w:hAnsi="Times New Roman"/>
          <w:b w:val="0"/>
          <w:sz w:val="20"/>
        </w:rPr>
        <w:t xml:space="preserve">(c) </w:t>
      </w:r>
      <w:r w:rsidR="00336F1D" w:rsidRPr="00C76E9C">
        <w:rPr>
          <w:rFonts w:ascii="Times New Roman" w:hAnsi="Times New Roman"/>
          <w:sz w:val="20"/>
        </w:rPr>
        <w:t>Data</w:t>
      </w:r>
      <w:r>
        <w:rPr>
          <w:rFonts w:ascii="Times New Roman" w:hAnsi="Times New Roman"/>
          <w:sz w:val="20"/>
        </w:rPr>
        <w:t>.</w:t>
      </w:r>
      <w:r w:rsidRPr="000D4F37">
        <w:rPr>
          <w:rFonts w:ascii="Times New Roman" w:hAnsi="Times New Roman"/>
          <w:b w:val="0"/>
          <w:sz w:val="20"/>
        </w:rPr>
        <w:t xml:space="preserve"> </w:t>
      </w:r>
      <w:r w:rsidR="00DB7B0C" w:rsidRPr="000D4F37">
        <w:rPr>
          <w:rFonts w:ascii="Times New Roman" w:hAnsi="Times New Roman"/>
          <w:b w:val="0"/>
          <w:sz w:val="20"/>
        </w:rPr>
        <w:t>Limited availability of empirical evidence for more accurate targeting of interventions</w:t>
      </w:r>
      <w:r w:rsidR="00336F1D" w:rsidRPr="000D4F37">
        <w:rPr>
          <w:rFonts w:ascii="Times New Roman" w:hAnsi="Times New Roman"/>
          <w:b w:val="0"/>
          <w:sz w:val="20"/>
        </w:rPr>
        <w:t>.</w:t>
      </w:r>
      <w:r w:rsidR="00DB7B0C" w:rsidRPr="000D4F37">
        <w:rPr>
          <w:rFonts w:ascii="Times New Roman" w:hAnsi="Times New Roman"/>
          <w:b w:val="0"/>
          <w:sz w:val="20"/>
        </w:rPr>
        <w:t xml:space="preserve"> This will be mitigated by a strong research agenda and collaboration with </w:t>
      </w:r>
      <w:r>
        <w:rPr>
          <w:rFonts w:ascii="Times New Roman" w:hAnsi="Times New Roman"/>
          <w:b w:val="0"/>
          <w:sz w:val="20"/>
        </w:rPr>
        <w:t>the Regional Service Centre for Africa</w:t>
      </w:r>
      <w:r w:rsidR="00DB7B0C" w:rsidRPr="000D4F37">
        <w:rPr>
          <w:rFonts w:ascii="Times New Roman" w:hAnsi="Times New Roman"/>
          <w:b w:val="0"/>
          <w:sz w:val="20"/>
        </w:rPr>
        <w:t xml:space="preserve">, </w:t>
      </w:r>
      <w:r>
        <w:rPr>
          <w:rFonts w:ascii="Times New Roman" w:hAnsi="Times New Roman"/>
          <w:b w:val="0"/>
          <w:sz w:val="20"/>
        </w:rPr>
        <w:t>headquarters</w:t>
      </w:r>
      <w:r w:rsidRPr="000D4F37">
        <w:rPr>
          <w:rFonts w:ascii="Times New Roman" w:hAnsi="Times New Roman"/>
          <w:b w:val="0"/>
          <w:sz w:val="20"/>
        </w:rPr>
        <w:t xml:space="preserve"> </w:t>
      </w:r>
      <w:r w:rsidR="00DB7B0C" w:rsidRPr="000D4F37">
        <w:rPr>
          <w:rFonts w:ascii="Times New Roman" w:hAnsi="Times New Roman"/>
          <w:b w:val="0"/>
          <w:sz w:val="20"/>
        </w:rPr>
        <w:t xml:space="preserve">units, </w:t>
      </w:r>
      <w:r>
        <w:rPr>
          <w:rFonts w:ascii="Times New Roman" w:hAnsi="Times New Roman"/>
          <w:b w:val="0"/>
          <w:sz w:val="20"/>
        </w:rPr>
        <w:t>United Nations</w:t>
      </w:r>
      <w:r w:rsidRPr="000D4F37">
        <w:rPr>
          <w:rFonts w:ascii="Times New Roman" w:hAnsi="Times New Roman"/>
          <w:b w:val="0"/>
          <w:sz w:val="20"/>
        </w:rPr>
        <w:t xml:space="preserve"> </w:t>
      </w:r>
      <w:r w:rsidR="00DB7B0C" w:rsidRPr="000D4F37">
        <w:rPr>
          <w:rFonts w:ascii="Times New Roman" w:hAnsi="Times New Roman"/>
          <w:b w:val="0"/>
          <w:sz w:val="20"/>
        </w:rPr>
        <w:t xml:space="preserve">agencies and national research agencies. </w:t>
      </w:r>
    </w:p>
    <w:p w14:paraId="5CA330FD" w14:textId="77777777" w:rsidR="002D4972" w:rsidRDefault="002D4972" w:rsidP="005777DC">
      <w:pPr>
        <w:shd w:val="clear" w:color="auto" w:fill="FFFFFF"/>
        <w:ind w:left="1260" w:right="1210"/>
        <w:jc w:val="both"/>
      </w:pPr>
    </w:p>
    <w:p w14:paraId="7B9B4701" w14:textId="77777777" w:rsidR="00497E0F" w:rsidRPr="004F4B82" w:rsidRDefault="00497E0F" w:rsidP="000857DD">
      <w:pPr>
        <w:shd w:val="clear" w:color="auto" w:fill="FFFFFF"/>
        <w:spacing w:after="120"/>
        <w:ind w:left="1260" w:right="1267" w:hanging="540"/>
        <w:jc w:val="both"/>
        <w:rPr>
          <w:b/>
          <w:sz w:val="24"/>
          <w:szCs w:val="24"/>
        </w:rPr>
      </w:pPr>
      <w:r w:rsidRPr="004F4B82">
        <w:rPr>
          <w:b/>
          <w:sz w:val="24"/>
          <w:szCs w:val="24"/>
        </w:rPr>
        <w:t xml:space="preserve">IV. </w:t>
      </w:r>
      <w:r w:rsidR="000857DD">
        <w:rPr>
          <w:b/>
          <w:sz w:val="24"/>
          <w:szCs w:val="24"/>
        </w:rPr>
        <w:tab/>
        <w:t>Monitoring and e</w:t>
      </w:r>
      <w:r w:rsidRPr="004F4B82">
        <w:rPr>
          <w:b/>
          <w:sz w:val="24"/>
          <w:szCs w:val="24"/>
        </w:rPr>
        <w:t>valuation</w:t>
      </w:r>
    </w:p>
    <w:p w14:paraId="0EFFDD30" w14:textId="7A844E60" w:rsidR="00C139AF" w:rsidRPr="00E5135C" w:rsidRDefault="00C139AF" w:rsidP="001252E8">
      <w:pPr>
        <w:pStyle w:val="Heading2"/>
        <w:numPr>
          <w:ilvl w:val="0"/>
          <w:numId w:val="20"/>
        </w:numPr>
        <w:tabs>
          <w:tab w:val="left" w:pos="1620"/>
        </w:tabs>
        <w:spacing w:after="120"/>
        <w:ind w:left="1260" w:right="1267" w:firstLine="0"/>
        <w:jc w:val="both"/>
        <w:rPr>
          <w:rFonts w:ascii="Times New Roman" w:hAnsi="Times New Roman"/>
          <w:b w:val="0"/>
          <w:sz w:val="20"/>
        </w:rPr>
      </w:pPr>
      <w:r w:rsidRPr="00E5135C">
        <w:rPr>
          <w:rFonts w:ascii="Times New Roman" w:hAnsi="Times New Roman"/>
          <w:b w:val="0"/>
          <w:sz w:val="20"/>
        </w:rPr>
        <w:t xml:space="preserve">Monitoring and evaluation will be guided by the </w:t>
      </w:r>
      <w:r w:rsidR="00AD1022">
        <w:rPr>
          <w:rFonts w:ascii="Times New Roman" w:hAnsi="Times New Roman"/>
          <w:b w:val="0"/>
          <w:sz w:val="20"/>
        </w:rPr>
        <w:t xml:space="preserve">relevant </w:t>
      </w:r>
      <w:r w:rsidRPr="00E5135C">
        <w:rPr>
          <w:rFonts w:ascii="Times New Roman" w:hAnsi="Times New Roman"/>
          <w:b w:val="0"/>
          <w:sz w:val="20"/>
        </w:rPr>
        <w:t xml:space="preserve">UNDP policies and procedures and the indicators in the </w:t>
      </w:r>
      <w:r w:rsidR="00AD1022">
        <w:rPr>
          <w:rFonts w:ascii="Times New Roman" w:hAnsi="Times New Roman"/>
          <w:b w:val="0"/>
          <w:sz w:val="20"/>
        </w:rPr>
        <w:t>country programme</w:t>
      </w:r>
      <w:r w:rsidR="00AD1022" w:rsidRPr="00E5135C">
        <w:rPr>
          <w:rFonts w:ascii="Times New Roman" w:hAnsi="Times New Roman"/>
          <w:b w:val="0"/>
          <w:sz w:val="20"/>
        </w:rPr>
        <w:t xml:space="preserve"> </w:t>
      </w:r>
      <w:r w:rsidR="00AD1022">
        <w:rPr>
          <w:rFonts w:ascii="Times New Roman" w:hAnsi="Times New Roman"/>
          <w:b w:val="0"/>
          <w:sz w:val="20"/>
        </w:rPr>
        <w:t>r</w:t>
      </w:r>
      <w:r w:rsidR="00AD1022" w:rsidRPr="00E5135C">
        <w:rPr>
          <w:rFonts w:ascii="Times New Roman" w:hAnsi="Times New Roman"/>
          <w:b w:val="0"/>
          <w:sz w:val="20"/>
        </w:rPr>
        <w:t xml:space="preserve">esults </w:t>
      </w:r>
      <w:r w:rsidR="00AD1022">
        <w:rPr>
          <w:rFonts w:ascii="Times New Roman" w:hAnsi="Times New Roman"/>
          <w:b w:val="0"/>
          <w:sz w:val="20"/>
        </w:rPr>
        <w:t>f</w:t>
      </w:r>
      <w:r w:rsidR="00AD1022" w:rsidRPr="00E5135C">
        <w:rPr>
          <w:rFonts w:ascii="Times New Roman" w:hAnsi="Times New Roman"/>
          <w:b w:val="0"/>
          <w:sz w:val="20"/>
        </w:rPr>
        <w:t xml:space="preserve">ramework </w:t>
      </w:r>
      <w:r w:rsidRPr="00E5135C">
        <w:rPr>
          <w:rFonts w:ascii="Times New Roman" w:hAnsi="Times New Roman"/>
          <w:b w:val="0"/>
          <w:sz w:val="20"/>
        </w:rPr>
        <w:t>(</w:t>
      </w:r>
      <w:r w:rsidR="00AD1022">
        <w:rPr>
          <w:rFonts w:ascii="Times New Roman" w:hAnsi="Times New Roman"/>
          <w:b w:val="0"/>
          <w:sz w:val="20"/>
        </w:rPr>
        <w:t>see a</w:t>
      </w:r>
      <w:r w:rsidRPr="00E5135C">
        <w:rPr>
          <w:rFonts w:ascii="Times New Roman" w:hAnsi="Times New Roman"/>
          <w:b w:val="0"/>
          <w:sz w:val="20"/>
        </w:rPr>
        <w:t xml:space="preserve">nnex) which is drawn from the </w:t>
      </w:r>
      <w:r w:rsidR="0014499C" w:rsidRPr="00E5135C">
        <w:rPr>
          <w:rFonts w:ascii="Times New Roman" w:hAnsi="Times New Roman"/>
          <w:b w:val="0"/>
          <w:sz w:val="20"/>
        </w:rPr>
        <w:t>Partnership Framework</w:t>
      </w:r>
      <w:r w:rsidRPr="00E5135C">
        <w:rPr>
          <w:rFonts w:ascii="Times New Roman" w:hAnsi="Times New Roman"/>
          <w:b w:val="0"/>
          <w:sz w:val="20"/>
        </w:rPr>
        <w:t xml:space="preserve"> and the </w:t>
      </w:r>
      <w:r w:rsidR="00AD1022">
        <w:rPr>
          <w:rFonts w:ascii="Times New Roman" w:hAnsi="Times New Roman"/>
          <w:b w:val="0"/>
          <w:sz w:val="20"/>
        </w:rPr>
        <w:t xml:space="preserve">UNDP Strategic Plan, </w:t>
      </w:r>
      <w:r w:rsidRPr="00E5135C">
        <w:rPr>
          <w:rFonts w:ascii="Times New Roman" w:hAnsi="Times New Roman"/>
          <w:b w:val="0"/>
          <w:sz w:val="20"/>
        </w:rPr>
        <w:t xml:space="preserve">2014-2017.  </w:t>
      </w:r>
      <w:r w:rsidRPr="00E5135C">
        <w:rPr>
          <w:rFonts w:ascii="Times New Roman" w:hAnsi="Times New Roman"/>
          <w:b w:val="0"/>
          <w:sz w:val="20"/>
        </w:rPr>
        <w:lastRenderedPageBreak/>
        <w:t xml:space="preserve">UNDP will also ensure that </w:t>
      </w:r>
      <w:r w:rsidR="00AD1022">
        <w:rPr>
          <w:rFonts w:ascii="Times New Roman" w:hAnsi="Times New Roman"/>
          <w:b w:val="0"/>
          <w:sz w:val="20"/>
        </w:rPr>
        <w:t>monitoring and evaluation</w:t>
      </w:r>
      <w:r w:rsidRPr="00E5135C">
        <w:rPr>
          <w:rFonts w:ascii="Times New Roman" w:hAnsi="Times New Roman"/>
          <w:b w:val="0"/>
          <w:sz w:val="20"/>
        </w:rPr>
        <w:t xml:space="preserve"> arrangements for the country programme are based on national arrangements, except where such systems are lacking.  </w:t>
      </w:r>
    </w:p>
    <w:p w14:paraId="08D53C9A" w14:textId="138CEDF9" w:rsidR="0026108A" w:rsidRDefault="00AE10A7" w:rsidP="001252E8">
      <w:pPr>
        <w:pStyle w:val="Heading2"/>
        <w:numPr>
          <w:ilvl w:val="0"/>
          <w:numId w:val="20"/>
        </w:numPr>
        <w:tabs>
          <w:tab w:val="left" w:pos="1620"/>
        </w:tabs>
        <w:spacing w:after="120"/>
        <w:ind w:left="1260" w:right="1267" w:firstLine="0"/>
        <w:jc w:val="both"/>
        <w:rPr>
          <w:rFonts w:ascii="Times New Roman" w:hAnsi="Times New Roman"/>
          <w:b w:val="0"/>
          <w:sz w:val="20"/>
        </w:rPr>
      </w:pPr>
      <w:r w:rsidRPr="00E5135C">
        <w:rPr>
          <w:rFonts w:ascii="Times New Roman" w:hAnsi="Times New Roman"/>
          <w:b w:val="0"/>
          <w:sz w:val="20"/>
        </w:rPr>
        <w:t xml:space="preserve">The </w:t>
      </w:r>
      <w:r w:rsidR="00AD1022">
        <w:rPr>
          <w:rFonts w:ascii="Times New Roman" w:hAnsi="Times New Roman"/>
          <w:b w:val="0"/>
          <w:sz w:val="20"/>
        </w:rPr>
        <w:t>country office</w:t>
      </w:r>
      <w:r w:rsidR="00AD1022" w:rsidRPr="00E5135C">
        <w:rPr>
          <w:rFonts w:ascii="Times New Roman" w:hAnsi="Times New Roman"/>
          <w:b w:val="0"/>
          <w:sz w:val="20"/>
        </w:rPr>
        <w:t xml:space="preserve"> </w:t>
      </w:r>
      <w:r w:rsidRPr="00E5135C">
        <w:rPr>
          <w:rFonts w:ascii="Times New Roman" w:hAnsi="Times New Roman"/>
          <w:b w:val="0"/>
          <w:sz w:val="20"/>
        </w:rPr>
        <w:t>has instituted management arrangements to ensure regular monitoring of progress and risks, with the engagement of implementing partners and stakeholders.  UNDP will complement information and data for monitoring and evaluation with research</w:t>
      </w:r>
      <w:r w:rsidR="005A59F7" w:rsidRPr="00E5135C">
        <w:rPr>
          <w:rFonts w:ascii="Times New Roman" w:hAnsi="Times New Roman"/>
          <w:b w:val="0"/>
          <w:sz w:val="20"/>
        </w:rPr>
        <w:t>,</w:t>
      </w:r>
      <w:r w:rsidR="00F022F4" w:rsidRPr="00E5135C">
        <w:rPr>
          <w:rFonts w:ascii="Times New Roman" w:hAnsi="Times New Roman"/>
          <w:b w:val="0"/>
          <w:sz w:val="20"/>
        </w:rPr>
        <w:t xml:space="preserve"> with</w:t>
      </w:r>
      <w:r w:rsidR="005A59F7" w:rsidRPr="00E5135C">
        <w:rPr>
          <w:rFonts w:ascii="Times New Roman" w:hAnsi="Times New Roman"/>
          <w:b w:val="0"/>
          <w:sz w:val="20"/>
        </w:rPr>
        <w:t>in</w:t>
      </w:r>
      <w:r w:rsidR="00F022F4" w:rsidRPr="00E5135C">
        <w:rPr>
          <w:rFonts w:ascii="Times New Roman" w:hAnsi="Times New Roman"/>
          <w:b w:val="0"/>
          <w:sz w:val="20"/>
        </w:rPr>
        <w:t xml:space="preserve"> the context of the </w:t>
      </w:r>
      <w:r w:rsidR="00574DF4">
        <w:rPr>
          <w:rFonts w:ascii="Times New Roman" w:hAnsi="Times New Roman"/>
          <w:b w:val="0"/>
          <w:sz w:val="20"/>
        </w:rPr>
        <w:t>P</w:t>
      </w:r>
      <w:r w:rsidR="00574DF4" w:rsidRPr="00E5135C">
        <w:rPr>
          <w:rFonts w:ascii="Times New Roman" w:hAnsi="Times New Roman"/>
          <w:b w:val="0"/>
          <w:sz w:val="20"/>
        </w:rPr>
        <w:t xml:space="preserve">artnership </w:t>
      </w:r>
      <w:r w:rsidR="00574DF4">
        <w:rPr>
          <w:rFonts w:ascii="Times New Roman" w:hAnsi="Times New Roman"/>
          <w:b w:val="0"/>
          <w:sz w:val="20"/>
        </w:rPr>
        <w:t>F</w:t>
      </w:r>
      <w:r w:rsidR="00574DF4" w:rsidRPr="00E5135C">
        <w:rPr>
          <w:rFonts w:ascii="Times New Roman" w:hAnsi="Times New Roman"/>
          <w:b w:val="0"/>
          <w:sz w:val="20"/>
        </w:rPr>
        <w:t xml:space="preserve">ramework </w:t>
      </w:r>
      <w:r w:rsidR="00F022F4" w:rsidRPr="00E5135C">
        <w:rPr>
          <w:rFonts w:ascii="Times New Roman" w:hAnsi="Times New Roman"/>
          <w:b w:val="0"/>
          <w:sz w:val="20"/>
        </w:rPr>
        <w:t xml:space="preserve">and in </w:t>
      </w:r>
      <w:r w:rsidR="005A59F7" w:rsidRPr="00E5135C">
        <w:rPr>
          <w:rFonts w:ascii="Times New Roman" w:hAnsi="Times New Roman"/>
          <w:b w:val="0"/>
          <w:sz w:val="20"/>
        </w:rPr>
        <w:t>collaboration</w:t>
      </w:r>
      <w:r w:rsidR="00F022F4" w:rsidRPr="00E5135C">
        <w:rPr>
          <w:rFonts w:ascii="Times New Roman" w:hAnsi="Times New Roman"/>
          <w:b w:val="0"/>
          <w:sz w:val="20"/>
        </w:rPr>
        <w:t xml:space="preserve"> with other </w:t>
      </w:r>
      <w:r w:rsidR="00AD1022">
        <w:rPr>
          <w:rFonts w:ascii="Times New Roman" w:hAnsi="Times New Roman"/>
          <w:b w:val="0"/>
          <w:sz w:val="20"/>
        </w:rPr>
        <w:t>United Nations</w:t>
      </w:r>
      <w:r w:rsidR="00AD1022" w:rsidRPr="00E5135C">
        <w:rPr>
          <w:rFonts w:ascii="Times New Roman" w:hAnsi="Times New Roman"/>
          <w:b w:val="0"/>
          <w:sz w:val="20"/>
        </w:rPr>
        <w:t xml:space="preserve"> </w:t>
      </w:r>
      <w:r w:rsidR="00AD1022">
        <w:rPr>
          <w:rFonts w:ascii="Times New Roman" w:hAnsi="Times New Roman"/>
          <w:b w:val="0"/>
          <w:sz w:val="20"/>
        </w:rPr>
        <w:t>a</w:t>
      </w:r>
      <w:r w:rsidR="00AD1022" w:rsidRPr="00E5135C">
        <w:rPr>
          <w:rFonts w:ascii="Times New Roman" w:hAnsi="Times New Roman"/>
          <w:b w:val="0"/>
          <w:sz w:val="20"/>
        </w:rPr>
        <w:t>gencies</w:t>
      </w:r>
      <w:r w:rsidRPr="00E5135C">
        <w:rPr>
          <w:rFonts w:ascii="Times New Roman" w:hAnsi="Times New Roman"/>
          <w:b w:val="0"/>
          <w:sz w:val="20"/>
        </w:rPr>
        <w:t>.</w:t>
      </w:r>
    </w:p>
    <w:p w14:paraId="7782A254" w14:textId="30A2F172" w:rsidR="0026108A" w:rsidRDefault="00C139AF" w:rsidP="001252E8">
      <w:pPr>
        <w:pStyle w:val="Heading2"/>
        <w:numPr>
          <w:ilvl w:val="0"/>
          <w:numId w:val="20"/>
        </w:numPr>
        <w:tabs>
          <w:tab w:val="left" w:pos="1620"/>
        </w:tabs>
        <w:spacing w:after="120"/>
        <w:ind w:left="1260" w:right="1267" w:firstLine="0"/>
        <w:jc w:val="both"/>
        <w:rPr>
          <w:rFonts w:ascii="Times New Roman" w:hAnsi="Times New Roman"/>
          <w:b w:val="0"/>
          <w:sz w:val="20"/>
        </w:rPr>
      </w:pPr>
      <w:r w:rsidRPr="0026108A">
        <w:rPr>
          <w:rFonts w:ascii="Times New Roman" w:hAnsi="Times New Roman"/>
          <w:b w:val="0"/>
          <w:sz w:val="20"/>
        </w:rPr>
        <w:t xml:space="preserve">Evaluations will be based on the evaluation plan </w:t>
      </w:r>
      <w:r w:rsidR="00AD1022" w:rsidRPr="0026108A">
        <w:rPr>
          <w:rFonts w:ascii="Times New Roman" w:hAnsi="Times New Roman"/>
          <w:b w:val="0"/>
          <w:sz w:val="20"/>
        </w:rPr>
        <w:t xml:space="preserve">approved </w:t>
      </w:r>
      <w:r w:rsidRPr="0026108A">
        <w:rPr>
          <w:rFonts w:ascii="Times New Roman" w:hAnsi="Times New Roman"/>
          <w:b w:val="0"/>
          <w:sz w:val="20"/>
        </w:rPr>
        <w:t>by the E</w:t>
      </w:r>
      <w:r w:rsidR="00093EC1">
        <w:rPr>
          <w:rFonts w:ascii="Times New Roman" w:hAnsi="Times New Roman"/>
          <w:b w:val="0"/>
          <w:sz w:val="20"/>
        </w:rPr>
        <w:t>xecutive Board which includes a</w:t>
      </w:r>
      <w:r w:rsidRPr="0026108A">
        <w:rPr>
          <w:rFonts w:ascii="Times New Roman" w:hAnsi="Times New Roman"/>
          <w:b w:val="0"/>
          <w:sz w:val="20"/>
        </w:rPr>
        <w:t xml:space="preserve"> balanced selection of outcome and programme/project evaluations. Emphasis will be on the utility of the evaluations through analysing the findings and monitoring </w:t>
      </w:r>
      <w:r w:rsidR="0026108A">
        <w:rPr>
          <w:rFonts w:ascii="Times New Roman" w:hAnsi="Times New Roman"/>
          <w:b w:val="0"/>
          <w:sz w:val="20"/>
        </w:rPr>
        <w:t>the recommendations.</w:t>
      </w:r>
    </w:p>
    <w:p w14:paraId="699A6E2B" w14:textId="1DED48C9" w:rsidR="00AE10A7" w:rsidRDefault="00AE10A7" w:rsidP="001252E8">
      <w:pPr>
        <w:pStyle w:val="Heading2"/>
        <w:numPr>
          <w:ilvl w:val="0"/>
          <w:numId w:val="20"/>
        </w:numPr>
        <w:tabs>
          <w:tab w:val="left" w:pos="1620"/>
        </w:tabs>
        <w:ind w:left="1260" w:right="1267" w:firstLine="0"/>
        <w:jc w:val="both"/>
        <w:rPr>
          <w:rFonts w:ascii="Times New Roman" w:hAnsi="Times New Roman"/>
          <w:b w:val="0"/>
          <w:sz w:val="20"/>
        </w:rPr>
      </w:pPr>
      <w:r w:rsidRPr="0026108A">
        <w:rPr>
          <w:rFonts w:ascii="Times New Roman" w:hAnsi="Times New Roman"/>
          <w:b w:val="0"/>
          <w:sz w:val="20"/>
        </w:rPr>
        <w:t xml:space="preserve">Independent </w:t>
      </w:r>
      <w:r w:rsidR="00AD1022">
        <w:rPr>
          <w:rFonts w:ascii="Times New Roman" w:hAnsi="Times New Roman"/>
          <w:b w:val="0"/>
          <w:sz w:val="20"/>
        </w:rPr>
        <w:t>c</w:t>
      </w:r>
      <w:r w:rsidR="00AD1022" w:rsidRPr="0026108A">
        <w:rPr>
          <w:rFonts w:ascii="Times New Roman" w:hAnsi="Times New Roman"/>
          <w:b w:val="0"/>
          <w:sz w:val="20"/>
        </w:rPr>
        <w:t xml:space="preserve">ountry </w:t>
      </w:r>
      <w:r w:rsidR="00AD1022">
        <w:rPr>
          <w:rFonts w:ascii="Times New Roman" w:hAnsi="Times New Roman"/>
          <w:b w:val="0"/>
          <w:sz w:val="20"/>
        </w:rPr>
        <w:t>p</w:t>
      </w:r>
      <w:r w:rsidR="00AD1022" w:rsidRPr="0026108A">
        <w:rPr>
          <w:rFonts w:ascii="Times New Roman" w:hAnsi="Times New Roman"/>
          <w:b w:val="0"/>
          <w:sz w:val="20"/>
        </w:rPr>
        <w:t xml:space="preserve">rogramme </w:t>
      </w:r>
      <w:r w:rsidRPr="0026108A">
        <w:rPr>
          <w:rFonts w:ascii="Times New Roman" w:hAnsi="Times New Roman"/>
          <w:b w:val="0"/>
          <w:sz w:val="20"/>
        </w:rPr>
        <w:t xml:space="preserve">evaluations and the </w:t>
      </w:r>
      <w:r w:rsidR="00AD1022">
        <w:rPr>
          <w:rFonts w:ascii="Times New Roman" w:hAnsi="Times New Roman"/>
          <w:b w:val="0"/>
          <w:sz w:val="20"/>
        </w:rPr>
        <w:t>a</w:t>
      </w:r>
      <w:r w:rsidR="00AD1022" w:rsidRPr="0026108A">
        <w:rPr>
          <w:rFonts w:ascii="Times New Roman" w:hAnsi="Times New Roman"/>
          <w:b w:val="0"/>
          <w:sz w:val="20"/>
        </w:rPr>
        <w:t xml:space="preserve">ssessment </w:t>
      </w:r>
      <w:r w:rsidRPr="0026108A">
        <w:rPr>
          <w:rFonts w:ascii="Times New Roman" w:hAnsi="Times New Roman"/>
          <w:b w:val="0"/>
          <w:sz w:val="20"/>
        </w:rPr>
        <w:t xml:space="preserve">for </w:t>
      </w:r>
      <w:r w:rsidR="00AD1022">
        <w:rPr>
          <w:rFonts w:ascii="Times New Roman" w:hAnsi="Times New Roman"/>
          <w:b w:val="0"/>
          <w:sz w:val="20"/>
        </w:rPr>
        <w:t>d</w:t>
      </w:r>
      <w:r w:rsidR="00AD1022" w:rsidRPr="0026108A">
        <w:rPr>
          <w:rFonts w:ascii="Times New Roman" w:hAnsi="Times New Roman"/>
          <w:b w:val="0"/>
          <w:sz w:val="20"/>
        </w:rPr>
        <w:t xml:space="preserve">evelopment </w:t>
      </w:r>
      <w:r w:rsidR="00AD1022">
        <w:rPr>
          <w:rFonts w:ascii="Times New Roman" w:hAnsi="Times New Roman"/>
          <w:b w:val="0"/>
          <w:sz w:val="20"/>
        </w:rPr>
        <w:t>r</w:t>
      </w:r>
      <w:r w:rsidR="00AD1022" w:rsidRPr="0026108A">
        <w:rPr>
          <w:rFonts w:ascii="Times New Roman" w:hAnsi="Times New Roman"/>
          <w:b w:val="0"/>
          <w:sz w:val="20"/>
        </w:rPr>
        <w:t xml:space="preserve">esults </w:t>
      </w:r>
      <w:r w:rsidRPr="0026108A">
        <w:rPr>
          <w:rFonts w:ascii="Times New Roman" w:hAnsi="Times New Roman"/>
          <w:b w:val="0"/>
          <w:sz w:val="20"/>
        </w:rPr>
        <w:t xml:space="preserve">whenever applicable will be the main instrument for assessment of </w:t>
      </w:r>
      <w:r w:rsidR="00AD1022">
        <w:rPr>
          <w:rFonts w:ascii="Times New Roman" w:hAnsi="Times New Roman"/>
          <w:b w:val="0"/>
          <w:sz w:val="20"/>
        </w:rPr>
        <w:t xml:space="preserve">the </w:t>
      </w:r>
      <w:r w:rsidRPr="0026108A">
        <w:rPr>
          <w:rFonts w:ascii="Times New Roman" w:hAnsi="Times New Roman"/>
          <w:b w:val="0"/>
          <w:sz w:val="20"/>
        </w:rPr>
        <w:t xml:space="preserve">UNDP contribution to national development results. </w:t>
      </w:r>
      <w:r w:rsidR="003E18D7" w:rsidRPr="0026108A">
        <w:rPr>
          <w:rFonts w:ascii="Times New Roman" w:hAnsi="Times New Roman"/>
          <w:b w:val="0"/>
          <w:sz w:val="20"/>
        </w:rPr>
        <w:t xml:space="preserve">Under DaO, </w:t>
      </w:r>
      <w:r w:rsidRPr="0026108A">
        <w:rPr>
          <w:rFonts w:ascii="Times New Roman" w:hAnsi="Times New Roman"/>
          <w:b w:val="0"/>
          <w:sz w:val="20"/>
        </w:rPr>
        <w:t>UNDP will conduct joint</w:t>
      </w:r>
      <w:r w:rsidR="00AD1022">
        <w:rPr>
          <w:rFonts w:ascii="Times New Roman" w:hAnsi="Times New Roman"/>
          <w:b w:val="0"/>
          <w:sz w:val="20"/>
        </w:rPr>
        <w:t xml:space="preserve"> </w:t>
      </w:r>
      <w:r w:rsidRPr="0026108A">
        <w:rPr>
          <w:rFonts w:ascii="Times New Roman" w:hAnsi="Times New Roman"/>
          <w:b w:val="0"/>
          <w:sz w:val="20"/>
        </w:rPr>
        <w:t xml:space="preserve">evaluations where there is collaborative work with other </w:t>
      </w:r>
      <w:r w:rsidR="00AD1022">
        <w:rPr>
          <w:rFonts w:ascii="Times New Roman" w:hAnsi="Times New Roman"/>
          <w:b w:val="0"/>
          <w:sz w:val="20"/>
        </w:rPr>
        <w:t>United Nations</w:t>
      </w:r>
      <w:r w:rsidRPr="0026108A">
        <w:rPr>
          <w:rFonts w:ascii="Times New Roman" w:hAnsi="Times New Roman"/>
          <w:b w:val="0"/>
          <w:sz w:val="20"/>
        </w:rPr>
        <w:t xml:space="preserve"> </w:t>
      </w:r>
      <w:r w:rsidR="00AD1022">
        <w:rPr>
          <w:rFonts w:ascii="Times New Roman" w:hAnsi="Times New Roman"/>
          <w:b w:val="0"/>
          <w:sz w:val="20"/>
        </w:rPr>
        <w:t>a</w:t>
      </w:r>
      <w:r w:rsidR="00AD1022" w:rsidRPr="0026108A">
        <w:rPr>
          <w:rFonts w:ascii="Times New Roman" w:hAnsi="Times New Roman"/>
          <w:b w:val="0"/>
          <w:sz w:val="20"/>
        </w:rPr>
        <w:t>gencies</w:t>
      </w:r>
      <w:r w:rsidRPr="0026108A">
        <w:rPr>
          <w:rFonts w:ascii="Times New Roman" w:hAnsi="Times New Roman"/>
          <w:b w:val="0"/>
          <w:sz w:val="20"/>
        </w:rPr>
        <w:t>.</w:t>
      </w:r>
    </w:p>
    <w:p w14:paraId="648158FC" w14:textId="77777777" w:rsidR="00B15CA1" w:rsidRPr="00B15CA1" w:rsidRDefault="00B15CA1" w:rsidP="00B15CA1"/>
    <w:p w14:paraId="513FB4EE" w14:textId="77777777" w:rsidR="00B94046" w:rsidRPr="0026108A" w:rsidRDefault="00B94046" w:rsidP="005777DC">
      <w:pPr>
        <w:pStyle w:val="Heading2"/>
        <w:ind w:left="1260" w:right="1267"/>
        <w:jc w:val="both"/>
        <w:rPr>
          <w:rFonts w:ascii="Times New Roman" w:hAnsi="Times New Roman"/>
          <w:b w:val="0"/>
          <w:sz w:val="20"/>
        </w:rPr>
        <w:sectPr w:rsidR="00B94046" w:rsidRPr="0026108A" w:rsidSect="00677A8F">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140CF232" w14:textId="6D63A31B" w:rsidR="00C268EC" w:rsidRPr="00C268EC" w:rsidRDefault="00C268EC" w:rsidP="00C268EC">
      <w:pPr>
        <w:tabs>
          <w:tab w:val="left" w:pos="1134"/>
        </w:tabs>
        <w:spacing w:before="120" w:after="120" w:line="276" w:lineRule="auto"/>
        <w:jc w:val="both"/>
        <w:rPr>
          <w:b/>
          <w:sz w:val="22"/>
          <w:szCs w:val="22"/>
          <w:lang w:val="en-US"/>
        </w:rPr>
      </w:pPr>
      <w:r w:rsidRPr="00C268EC">
        <w:rPr>
          <w:b/>
          <w:bCs/>
          <w:sz w:val="24"/>
          <w:szCs w:val="24"/>
          <w:lang w:val="en-US"/>
        </w:rPr>
        <w:lastRenderedPageBreak/>
        <w:t xml:space="preserve">Annex. </w:t>
      </w:r>
      <w:r w:rsidRPr="00C268EC">
        <w:rPr>
          <w:b/>
          <w:spacing w:val="4"/>
          <w:w w:val="103"/>
          <w:kern w:val="14"/>
          <w:sz w:val="24"/>
          <w:szCs w:val="24"/>
        </w:rPr>
        <w:t xml:space="preserve">Results and resources framework for </w:t>
      </w:r>
      <w:r>
        <w:rPr>
          <w:b/>
          <w:spacing w:val="4"/>
          <w:w w:val="103"/>
          <w:kern w:val="14"/>
          <w:sz w:val="24"/>
          <w:szCs w:val="24"/>
        </w:rPr>
        <w:t>Zambia</w:t>
      </w:r>
      <w:r w:rsidRPr="00C268EC">
        <w:rPr>
          <w:b/>
          <w:spacing w:val="4"/>
          <w:w w:val="103"/>
          <w:kern w:val="14"/>
          <w:sz w:val="24"/>
          <w:szCs w:val="24"/>
        </w:rPr>
        <w:t xml:space="preserve"> (2016-202</w:t>
      </w:r>
      <w:r w:rsidR="007053E2">
        <w:rPr>
          <w:b/>
          <w:spacing w:val="4"/>
          <w:w w:val="103"/>
          <w:kern w:val="14"/>
          <w:sz w:val="24"/>
          <w:szCs w:val="24"/>
        </w:rPr>
        <w:t>1</w:t>
      </w:r>
      <w:r w:rsidRPr="00C268EC">
        <w:rPr>
          <w:b/>
          <w:spacing w:val="4"/>
          <w:w w:val="103"/>
          <w:kern w:val="14"/>
          <w:sz w:val="24"/>
          <w:szCs w:val="24"/>
        </w:rPr>
        <w:t>)</w:t>
      </w:r>
    </w:p>
    <w:tbl>
      <w:tblPr>
        <w:tblW w:w="4863" w:type="pct"/>
        <w:tblInd w:w="-306" w:type="dxa"/>
        <w:tblLayout w:type="fixed"/>
        <w:tblCellMar>
          <w:left w:w="29" w:type="dxa"/>
          <w:right w:w="29" w:type="dxa"/>
        </w:tblCellMar>
        <w:tblLook w:val="00A0" w:firstRow="1" w:lastRow="0" w:firstColumn="1" w:lastColumn="0" w:noHBand="0" w:noVBand="0"/>
      </w:tblPr>
      <w:tblGrid>
        <w:gridCol w:w="2433"/>
        <w:gridCol w:w="16"/>
        <w:gridCol w:w="1826"/>
        <w:gridCol w:w="5814"/>
        <w:gridCol w:w="19"/>
        <w:gridCol w:w="1686"/>
        <w:gridCol w:w="1651"/>
      </w:tblGrid>
      <w:tr w:rsidR="00842773" w:rsidRPr="00501E43" w14:paraId="4A3963E6"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B41293" w14:textId="4D4D063E" w:rsidR="00842773" w:rsidRPr="00611454" w:rsidRDefault="00842773" w:rsidP="00AD1022">
            <w:pPr>
              <w:rPr>
                <w:color w:val="000000"/>
                <w:sz w:val="18"/>
                <w:szCs w:val="18"/>
              </w:rPr>
            </w:pPr>
            <w:r w:rsidRPr="00611454">
              <w:rPr>
                <w:b/>
                <w:color w:val="000000"/>
                <w:sz w:val="18"/>
                <w:szCs w:val="18"/>
              </w:rPr>
              <w:t>NATIONAL PRIORITY OR GOAL</w:t>
            </w:r>
            <w:r w:rsidRPr="00611454">
              <w:rPr>
                <w:color w:val="000000"/>
                <w:sz w:val="18"/>
                <w:szCs w:val="18"/>
              </w:rPr>
              <w:t>: To create the environment and investment climate consistent with socioeconomic objectives</w:t>
            </w:r>
            <w:r w:rsidR="00574DF4">
              <w:rPr>
                <w:color w:val="000000"/>
                <w:sz w:val="18"/>
                <w:szCs w:val="18"/>
              </w:rPr>
              <w:t>.</w:t>
            </w:r>
          </w:p>
        </w:tc>
      </w:tr>
      <w:tr w:rsidR="00842773" w:rsidRPr="00501E43" w14:paraId="0363FD46"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6BA47DF" w14:textId="3BF6C395" w:rsidR="00842773" w:rsidRPr="00600D3B" w:rsidRDefault="00AD1022" w:rsidP="003C7485">
            <w:pPr>
              <w:rPr>
                <w:b/>
                <w:bCs/>
                <w:color w:val="000000"/>
                <w:sz w:val="18"/>
                <w:szCs w:val="18"/>
              </w:rPr>
            </w:pPr>
            <w:r>
              <w:rPr>
                <w:b/>
                <w:bCs/>
                <w:color w:val="000000"/>
                <w:sz w:val="18"/>
                <w:szCs w:val="18"/>
              </w:rPr>
              <w:t>PARTNERSHIP FRAMEWORK</w:t>
            </w:r>
            <w:r w:rsidR="00842773">
              <w:rPr>
                <w:b/>
                <w:bCs/>
                <w:color w:val="000000"/>
                <w:sz w:val="18"/>
                <w:szCs w:val="18"/>
              </w:rPr>
              <w:t xml:space="preserve"> </w:t>
            </w:r>
            <w:bookmarkStart w:id="0" w:name="_GoBack"/>
            <w:bookmarkEnd w:id="0"/>
            <w:r w:rsidR="00842773" w:rsidRPr="00600D3B">
              <w:rPr>
                <w:b/>
                <w:bCs/>
                <w:color w:val="000000"/>
                <w:sz w:val="18"/>
                <w:szCs w:val="18"/>
              </w:rPr>
              <w:t xml:space="preserve">OUTCOME INVOLVING UNDP </w:t>
            </w:r>
            <w:r>
              <w:rPr>
                <w:b/>
                <w:bCs/>
                <w:color w:val="000000"/>
                <w:sz w:val="18"/>
                <w:szCs w:val="18"/>
              </w:rPr>
              <w:t xml:space="preserve">No. </w:t>
            </w:r>
            <w:r w:rsidR="00842773" w:rsidRPr="00600D3B">
              <w:rPr>
                <w:b/>
                <w:bCs/>
                <w:color w:val="000000"/>
                <w:sz w:val="18"/>
                <w:szCs w:val="18"/>
              </w:rPr>
              <w:t xml:space="preserve">1: </w:t>
            </w:r>
            <w:r w:rsidR="00842773" w:rsidRPr="00600D3B">
              <w:rPr>
                <w:bCs/>
                <w:color w:val="000000"/>
                <w:sz w:val="18"/>
                <w:szCs w:val="18"/>
              </w:rPr>
              <w:t xml:space="preserve">By 2021, productive </w:t>
            </w:r>
            <w:r w:rsidR="003C7485" w:rsidRPr="00600D3B">
              <w:rPr>
                <w:bCs/>
                <w:color w:val="000000"/>
                <w:sz w:val="18"/>
                <w:szCs w:val="18"/>
              </w:rPr>
              <w:t>sectors expand</w:t>
            </w:r>
            <w:r w:rsidR="00842773" w:rsidRPr="00600D3B">
              <w:rPr>
                <w:bCs/>
                <w:color w:val="000000"/>
                <w:sz w:val="18"/>
                <w:szCs w:val="18"/>
              </w:rPr>
              <w:t xml:space="preserve"> income earning opportunities that are decent and sustainable, especially for youths and women in the poorest areas</w:t>
            </w:r>
            <w:r>
              <w:rPr>
                <w:bCs/>
                <w:color w:val="000000"/>
                <w:sz w:val="18"/>
                <w:szCs w:val="18"/>
              </w:rPr>
              <w:t>.</w:t>
            </w:r>
          </w:p>
        </w:tc>
      </w:tr>
      <w:tr w:rsidR="00842773" w:rsidRPr="00501E43" w14:paraId="2A442893"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DF80FF1" w14:textId="77777777" w:rsidR="004D5F0A" w:rsidRDefault="00842773" w:rsidP="00532502">
            <w:pPr>
              <w:rPr>
                <w:b/>
                <w:bCs/>
                <w:color w:val="000000"/>
                <w:sz w:val="18"/>
                <w:szCs w:val="18"/>
              </w:rPr>
            </w:pPr>
            <w:r w:rsidRPr="00E5135C">
              <w:rPr>
                <w:b/>
                <w:bCs/>
                <w:color w:val="000000"/>
                <w:sz w:val="18"/>
                <w:szCs w:val="18"/>
              </w:rPr>
              <w:t xml:space="preserve">Related Strategic Plan outcome 1: </w:t>
            </w:r>
            <w:r w:rsidRPr="00E5135C">
              <w:rPr>
                <w:bCs/>
                <w:color w:val="000000"/>
                <w:sz w:val="18"/>
                <w:szCs w:val="18"/>
              </w:rPr>
              <w:t xml:space="preserve">Growth and development are  inclusive and sustainable, incorporating productive capacities that create employment and livelihoods for the poor and excluded </w:t>
            </w:r>
          </w:p>
          <w:p w14:paraId="20885C28" w14:textId="39D66B4C" w:rsidR="00842773" w:rsidRPr="00E5135C" w:rsidRDefault="00842773" w:rsidP="00AD1022">
            <w:pPr>
              <w:rPr>
                <w:b/>
                <w:bCs/>
                <w:color w:val="000000"/>
                <w:sz w:val="18"/>
                <w:szCs w:val="18"/>
              </w:rPr>
            </w:pPr>
            <w:r w:rsidRPr="00E5135C">
              <w:rPr>
                <w:b/>
                <w:bCs/>
                <w:color w:val="000000"/>
                <w:sz w:val="18"/>
                <w:szCs w:val="18"/>
              </w:rPr>
              <w:t xml:space="preserve">Related Strategic Plan </w:t>
            </w:r>
            <w:r w:rsidR="00AD1022">
              <w:rPr>
                <w:b/>
                <w:bCs/>
                <w:color w:val="000000"/>
                <w:sz w:val="18"/>
                <w:szCs w:val="18"/>
              </w:rPr>
              <w:t>o</w:t>
            </w:r>
            <w:r w:rsidR="00AD1022" w:rsidRPr="00E5135C">
              <w:rPr>
                <w:b/>
                <w:bCs/>
                <w:color w:val="000000"/>
                <w:sz w:val="18"/>
                <w:szCs w:val="18"/>
              </w:rPr>
              <w:t xml:space="preserve">utcome </w:t>
            </w:r>
            <w:r w:rsidR="00AD1022">
              <w:rPr>
                <w:b/>
                <w:bCs/>
                <w:color w:val="000000"/>
                <w:sz w:val="18"/>
                <w:szCs w:val="18"/>
              </w:rPr>
              <w:t>i</w:t>
            </w:r>
            <w:r w:rsidR="00AD1022" w:rsidRPr="00E5135C">
              <w:rPr>
                <w:b/>
                <w:bCs/>
                <w:color w:val="000000"/>
                <w:sz w:val="18"/>
                <w:szCs w:val="18"/>
              </w:rPr>
              <w:t>ndicator</w:t>
            </w:r>
            <w:r w:rsidRPr="00E5135C">
              <w:rPr>
                <w:b/>
                <w:bCs/>
                <w:color w:val="000000"/>
                <w:sz w:val="18"/>
                <w:szCs w:val="18"/>
              </w:rPr>
              <w:t xml:space="preserve">: </w:t>
            </w:r>
            <w:r w:rsidRPr="00E5135C">
              <w:rPr>
                <w:bCs/>
                <w:color w:val="000000"/>
                <w:sz w:val="18"/>
                <w:szCs w:val="18"/>
              </w:rPr>
              <w:t xml:space="preserve">Hectares of </w:t>
            </w:r>
            <w:r w:rsidR="00AD1022">
              <w:rPr>
                <w:bCs/>
                <w:color w:val="000000"/>
                <w:sz w:val="18"/>
                <w:szCs w:val="18"/>
              </w:rPr>
              <w:t>l</w:t>
            </w:r>
            <w:r w:rsidR="00AD1022" w:rsidRPr="00E5135C">
              <w:rPr>
                <w:bCs/>
                <w:color w:val="000000"/>
                <w:sz w:val="18"/>
                <w:szCs w:val="18"/>
              </w:rPr>
              <w:t xml:space="preserve">and </w:t>
            </w:r>
            <w:r w:rsidRPr="00E5135C">
              <w:rPr>
                <w:bCs/>
                <w:color w:val="000000"/>
                <w:sz w:val="18"/>
                <w:szCs w:val="18"/>
              </w:rPr>
              <w:t>that are managed sustainably under an in-situ conservation regime, a sustainable use regime and an access</w:t>
            </w:r>
            <w:r w:rsidR="00AD1022">
              <w:rPr>
                <w:bCs/>
                <w:color w:val="000000"/>
                <w:sz w:val="18"/>
                <w:szCs w:val="18"/>
              </w:rPr>
              <w:t>-</w:t>
            </w:r>
            <w:r w:rsidRPr="00E5135C">
              <w:rPr>
                <w:bCs/>
                <w:color w:val="000000"/>
                <w:sz w:val="18"/>
                <w:szCs w:val="18"/>
              </w:rPr>
              <w:t xml:space="preserve"> and </w:t>
            </w:r>
            <w:r w:rsidR="00AD1022" w:rsidRPr="00E5135C">
              <w:rPr>
                <w:bCs/>
                <w:color w:val="000000"/>
                <w:sz w:val="18"/>
                <w:szCs w:val="18"/>
              </w:rPr>
              <w:t>benefits</w:t>
            </w:r>
            <w:r w:rsidR="00AD1022">
              <w:rPr>
                <w:bCs/>
                <w:color w:val="000000"/>
                <w:sz w:val="18"/>
                <w:szCs w:val="18"/>
              </w:rPr>
              <w:t>-</w:t>
            </w:r>
            <w:r w:rsidRPr="00E5135C">
              <w:rPr>
                <w:bCs/>
                <w:color w:val="000000"/>
                <w:sz w:val="18"/>
                <w:szCs w:val="18"/>
              </w:rPr>
              <w:t>sharing regime</w:t>
            </w:r>
            <w:r w:rsidR="00AD1022">
              <w:rPr>
                <w:bCs/>
                <w:color w:val="000000"/>
                <w:sz w:val="18"/>
                <w:szCs w:val="18"/>
              </w:rPr>
              <w:t>.</w:t>
            </w:r>
          </w:p>
        </w:tc>
      </w:tr>
      <w:tr w:rsidR="00AE71CA" w:rsidRPr="00501E43" w14:paraId="04B7CFEF" w14:textId="77777777" w:rsidTr="00AE71CA">
        <w:trPr>
          <w:tblHeader/>
        </w:trPr>
        <w:tc>
          <w:tcPr>
            <w:tcW w:w="90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3D5522B" w14:textId="71DF11E1" w:rsidR="00AE71CA" w:rsidRPr="00501E43" w:rsidRDefault="00AD1022" w:rsidP="00634DEC">
            <w:pPr>
              <w:jc w:val="center"/>
              <w:rPr>
                <w:b/>
                <w:bCs/>
                <w:color w:val="000000"/>
                <w:sz w:val="16"/>
                <w:szCs w:val="16"/>
              </w:rPr>
            </w:pPr>
            <w:r>
              <w:rPr>
                <w:b/>
                <w:bCs/>
                <w:color w:val="000000"/>
                <w:sz w:val="16"/>
                <w:szCs w:val="16"/>
              </w:rPr>
              <w:t>PARTNERSHIP FRAMEWORK</w:t>
            </w:r>
            <w:r w:rsidRPr="009A7EF5">
              <w:rPr>
                <w:b/>
                <w:bCs/>
                <w:color w:val="000000"/>
                <w:sz w:val="16"/>
                <w:szCs w:val="16"/>
              </w:rPr>
              <w:t xml:space="preserve"> </w:t>
            </w:r>
            <w:r w:rsidR="00AE71CA" w:rsidRPr="009A7EF5">
              <w:rPr>
                <w:b/>
                <w:bCs/>
                <w:color w:val="000000"/>
                <w:sz w:val="16"/>
                <w:szCs w:val="16"/>
              </w:rPr>
              <w:t>OUTCOME INDICATOR(S), BASELINES, TARGET(S)</w:t>
            </w:r>
          </w:p>
        </w:tc>
        <w:tc>
          <w:tcPr>
            <w:tcW w:w="685" w:type="pct"/>
            <w:gridSpan w:val="2"/>
            <w:tcBorders>
              <w:top w:val="single" w:sz="8" w:space="0" w:color="000000"/>
              <w:left w:val="single" w:sz="8" w:space="0" w:color="000000"/>
              <w:bottom w:val="single" w:sz="8" w:space="0" w:color="000000"/>
              <w:right w:val="single" w:sz="8" w:space="0" w:color="000000"/>
            </w:tcBorders>
          </w:tcPr>
          <w:p w14:paraId="79BDE906" w14:textId="77777777" w:rsidR="00AE71CA" w:rsidRPr="00501E43" w:rsidRDefault="00AE71CA" w:rsidP="00634DEC">
            <w:pPr>
              <w:jc w:val="center"/>
              <w:rPr>
                <w:b/>
                <w:bCs/>
                <w:color w:val="000000"/>
                <w:sz w:val="16"/>
                <w:szCs w:val="16"/>
              </w:rPr>
            </w:pPr>
            <w:r w:rsidRPr="009A7EF5">
              <w:rPr>
                <w:b/>
                <w:bCs/>
                <w:color w:val="000000"/>
                <w:sz w:val="16"/>
                <w:szCs w:val="16"/>
              </w:rPr>
              <w:t>DATA SOURCE AND FREQUENCY OF DATA COLLECTION, AND RESPONSIBILITIES</w:t>
            </w:r>
          </w:p>
        </w:tc>
        <w:tc>
          <w:tcPr>
            <w:tcW w:w="2162" w:type="pct"/>
            <w:tcBorders>
              <w:top w:val="single" w:sz="8" w:space="0" w:color="000000"/>
              <w:left w:val="single" w:sz="8" w:space="0" w:color="000000"/>
              <w:bottom w:val="single" w:sz="8" w:space="0" w:color="000000"/>
              <w:right w:val="single" w:sz="8" w:space="0" w:color="000000"/>
            </w:tcBorders>
          </w:tcPr>
          <w:p w14:paraId="05A18E3C" w14:textId="77777777" w:rsidR="00AE71CA" w:rsidRPr="00501E43" w:rsidRDefault="00AE71CA" w:rsidP="00634DEC">
            <w:pPr>
              <w:jc w:val="center"/>
              <w:rPr>
                <w:b/>
                <w:bCs/>
                <w:color w:val="000000"/>
                <w:sz w:val="16"/>
                <w:szCs w:val="16"/>
              </w:rPr>
            </w:pPr>
            <w:r w:rsidRPr="009A7EF5">
              <w:rPr>
                <w:b/>
                <w:bCs/>
                <w:color w:val="000000"/>
                <w:sz w:val="16"/>
                <w:szCs w:val="16"/>
              </w:rPr>
              <w:t>INDICATIVE COUNTRY PROGRAMME OUTPUTS (including indicators, baselines targets)</w:t>
            </w:r>
          </w:p>
        </w:tc>
        <w:tc>
          <w:tcPr>
            <w:tcW w:w="634" w:type="pct"/>
            <w:gridSpan w:val="2"/>
            <w:tcBorders>
              <w:top w:val="single" w:sz="8" w:space="0" w:color="000000"/>
              <w:left w:val="single" w:sz="8" w:space="0" w:color="000000"/>
              <w:bottom w:val="single" w:sz="8" w:space="0" w:color="000000"/>
              <w:right w:val="single" w:sz="8" w:space="0" w:color="000000"/>
            </w:tcBorders>
          </w:tcPr>
          <w:p w14:paraId="21DA3B70" w14:textId="77777777" w:rsidR="00AD1022" w:rsidRDefault="00AE71CA" w:rsidP="00634DEC">
            <w:pPr>
              <w:jc w:val="center"/>
              <w:rPr>
                <w:b/>
                <w:bCs/>
                <w:color w:val="000000"/>
                <w:sz w:val="16"/>
                <w:szCs w:val="16"/>
              </w:rPr>
            </w:pPr>
            <w:r w:rsidRPr="009A7EF5">
              <w:rPr>
                <w:b/>
                <w:bCs/>
                <w:color w:val="000000"/>
                <w:sz w:val="16"/>
                <w:szCs w:val="16"/>
              </w:rPr>
              <w:t>MAJOR PARTNERS/</w:t>
            </w:r>
          </w:p>
          <w:p w14:paraId="4C26EE89" w14:textId="15BDEBB0" w:rsidR="00AE71CA" w:rsidRPr="009A7EF5" w:rsidRDefault="00AE71CA" w:rsidP="00AD1022">
            <w:pPr>
              <w:jc w:val="center"/>
              <w:rPr>
                <w:b/>
                <w:bCs/>
                <w:color w:val="000000"/>
                <w:sz w:val="16"/>
                <w:szCs w:val="16"/>
              </w:rPr>
            </w:pPr>
            <w:r w:rsidRPr="009A7EF5">
              <w:rPr>
                <w:b/>
                <w:bCs/>
                <w:color w:val="000000"/>
                <w:sz w:val="16"/>
                <w:szCs w:val="16"/>
              </w:rPr>
              <w:t>PARTNERSHIP</w:t>
            </w:r>
            <w:r>
              <w:rPr>
                <w:b/>
                <w:bCs/>
                <w:color w:val="000000"/>
                <w:sz w:val="16"/>
                <w:szCs w:val="16"/>
              </w:rPr>
              <w:t xml:space="preserve"> </w:t>
            </w:r>
            <w:r w:rsidRPr="00113F0C">
              <w:rPr>
                <w:b/>
                <w:bCs/>
                <w:color w:val="000000"/>
                <w:sz w:val="16"/>
                <w:szCs w:val="16"/>
              </w:rPr>
              <w:t>FRAMEWORKS</w:t>
            </w:r>
          </w:p>
        </w:tc>
        <w:tc>
          <w:tcPr>
            <w:tcW w:w="614" w:type="pct"/>
            <w:tcBorders>
              <w:top w:val="single" w:sz="8" w:space="0" w:color="000000"/>
              <w:left w:val="single" w:sz="8" w:space="0" w:color="000000"/>
              <w:bottom w:val="single" w:sz="8" w:space="0" w:color="000000"/>
              <w:right w:val="single" w:sz="8" w:space="0" w:color="000000"/>
            </w:tcBorders>
          </w:tcPr>
          <w:p w14:paraId="0C99D61D" w14:textId="3EC05000" w:rsidR="00AE71CA" w:rsidRPr="00501E43" w:rsidRDefault="00AE71CA" w:rsidP="00142F09">
            <w:pPr>
              <w:jc w:val="center"/>
              <w:rPr>
                <w:b/>
                <w:bCs/>
                <w:color w:val="000000"/>
                <w:sz w:val="16"/>
                <w:szCs w:val="16"/>
              </w:rPr>
            </w:pPr>
            <w:r w:rsidRPr="003E6A5B">
              <w:rPr>
                <w:b/>
                <w:bCs/>
                <w:color w:val="000000"/>
                <w:sz w:val="16"/>
                <w:szCs w:val="16"/>
              </w:rPr>
              <w:t>INDICATIVE RESOURCES BY OUTCOME ($)</w:t>
            </w:r>
          </w:p>
        </w:tc>
      </w:tr>
      <w:tr w:rsidR="00842773" w:rsidRPr="00501E43" w14:paraId="285F38D2" w14:textId="77777777" w:rsidTr="00AE71CA">
        <w:tc>
          <w:tcPr>
            <w:tcW w:w="911" w:type="pct"/>
            <w:gridSpan w:val="2"/>
            <w:vMerge w:val="restart"/>
            <w:tcBorders>
              <w:top w:val="single" w:sz="4" w:space="0" w:color="auto"/>
              <w:left w:val="single" w:sz="4" w:space="0" w:color="auto"/>
              <w:bottom w:val="single" w:sz="4" w:space="0" w:color="auto"/>
              <w:right w:val="single" w:sz="8" w:space="0" w:color="000000"/>
            </w:tcBorders>
            <w:tcMar>
              <w:top w:w="72" w:type="dxa"/>
              <w:left w:w="144" w:type="dxa"/>
              <w:bottom w:w="72" w:type="dxa"/>
              <w:right w:w="144" w:type="dxa"/>
            </w:tcMar>
          </w:tcPr>
          <w:p w14:paraId="1AB0BC8C" w14:textId="77777777" w:rsidR="00842773" w:rsidRPr="0007559A" w:rsidRDefault="00842773" w:rsidP="00532502">
            <w:pPr>
              <w:rPr>
                <w:iCs/>
                <w:sz w:val="16"/>
                <w:szCs w:val="16"/>
              </w:rPr>
            </w:pPr>
            <w:r w:rsidRPr="0007559A">
              <w:rPr>
                <w:iCs/>
                <w:sz w:val="16"/>
                <w:szCs w:val="16"/>
              </w:rPr>
              <w:t>1.1Total  value added (%</w:t>
            </w:r>
            <w:r w:rsidR="00AD1022">
              <w:rPr>
                <w:iCs/>
                <w:sz w:val="16"/>
                <w:szCs w:val="16"/>
              </w:rPr>
              <w:t xml:space="preserve"> </w:t>
            </w:r>
            <w:r w:rsidRPr="0007559A">
              <w:rPr>
                <w:iCs/>
                <w:sz w:val="16"/>
                <w:szCs w:val="16"/>
              </w:rPr>
              <w:t>of GDP) by the productive sectors (agriculture, manufacturing, energy, construction, tourism and mining)</w:t>
            </w:r>
          </w:p>
          <w:p w14:paraId="093E0D98" w14:textId="77777777" w:rsidR="00842773" w:rsidRPr="0007559A" w:rsidRDefault="00842773" w:rsidP="00532502">
            <w:pPr>
              <w:rPr>
                <w:iCs/>
                <w:sz w:val="16"/>
                <w:szCs w:val="16"/>
              </w:rPr>
            </w:pPr>
          </w:p>
          <w:p w14:paraId="2C9C45AE" w14:textId="77777777" w:rsidR="00842773" w:rsidRPr="0007559A" w:rsidRDefault="00AD1022" w:rsidP="00532502">
            <w:pPr>
              <w:rPr>
                <w:iCs/>
                <w:sz w:val="16"/>
                <w:szCs w:val="16"/>
              </w:rPr>
            </w:pPr>
            <w:r>
              <w:rPr>
                <w:iCs/>
                <w:sz w:val="16"/>
                <w:szCs w:val="16"/>
              </w:rPr>
              <w:t>(</w:t>
            </w:r>
            <w:r w:rsidR="00842773" w:rsidRPr="0007559A">
              <w:rPr>
                <w:iCs/>
                <w:sz w:val="16"/>
                <w:szCs w:val="16"/>
              </w:rPr>
              <w:t>i)</w:t>
            </w:r>
            <w:r w:rsidR="00842773" w:rsidRPr="0007559A">
              <w:rPr>
                <w:b/>
                <w:iCs/>
                <w:sz w:val="16"/>
                <w:szCs w:val="16"/>
              </w:rPr>
              <w:t xml:space="preserve">Agriculture </w:t>
            </w:r>
          </w:p>
          <w:p w14:paraId="0229E64D" w14:textId="77777777" w:rsidR="00842773" w:rsidRPr="0007559A" w:rsidRDefault="00842773" w:rsidP="00532502">
            <w:pPr>
              <w:rPr>
                <w:iCs/>
                <w:sz w:val="16"/>
                <w:szCs w:val="16"/>
              </w:rPr>
            </w:pPr>
            <w:r w:rsidRPr="0007559A">
              <w:rPr>
                <w:iCs/>
                <w:sz w:val="16"/>
                <w:szCs w:val="16"/>
              </w:rPr>
              <w:t xml:space="preserve">Baseline (2014): 8.9  </w:t>
            </w:r>
          </w:p>
          <w:p w14:paraId="1C74D365" w14:textId="77777777" w:rsidR="00842773" w:rsidRPr="0007559A" w:rsidRDefault="005734FD" w:rsidP="00532502">
            <w:pPr>
              <w:rPr>
                <w:iCs/>
                <w:sz w:val="16"/>
                <w:szCs w:val="16"/>
              </w:rPr>
            </w:pPr>
            <w:r w:rsidRPr="0007559A">
              <w:rPr>
                <w:iCs/>
                <w:sz w:val="16"/>
                <w:szCs w:val="16"/>
              </w:rPr>
              <w:t>Target (2021): 9.9</w:t>
            </w:r>
            <w:r w:rsidR="00842773" w:rsidRPr="0007559A">
              <w:rPr>
                <w:iCs/>
                <w:sz w:val="16"/>
                <w:szCs w:val="16"/>
              </w:rPr>
              <w:t xml:space="preserve"> </w:t>
            </w:r>
          </w:p>
          <w:p w14:paraId="48DE7EBE" w14:textId="77777777" w:rsidR="00842773" w:rsidRPr="0007559A" w:rsidRDefault="00AD1022" w:rsidP="00532502">
            <w:pPr>
              <w:rPr>
                <w:iCs/>
                <w:sz w:val="16"/>
                <w:szCs w:val="16"/>
              </w:rPr>
            </w:pPr>
            <w:r>
              <w:rPr>
                <w:iCs/>
                <w:sz w:val="16"/>
                <w:szCs w:val="16"/>
              </w:rPr>
              <w:t>(</w:t>
            </w:r>
            <w:r w:rsidR="00842773" w:rsidRPr="0007559A">
              <w:rPr>
                <w:iCs/>
                <w:sz w:val="16"/>
                <w:szCs w:val="16"/>
              </w:rPr>
              <w:t>ii)</w:t>
            </w:r>
            <w:r w:rsidR="00842773" w:rsidRPr="0007559A">
              <w:rPr>
                <w:b/>
                <w:iCs/>
                <w:sz w:val="16"/>
                <w:szCs w:val="16"/>
              </w:rPr>
              <w:t xml:space="preserve">Manufacturing </w:t>
            </w:r>
          </w:p>
          <w:p w14:paraId="1AB12095" w14:textId="77777777" w:rsidR="00842773" w:rsidRPr="0007559A" w:rsidRDefault="00842773" w:rsidP="00532502">
            <w:pPr>
              <w:rPr>
                <w:iCs/>
                <w:sz w:val="16"/>
                <w:szCs w:val="16"/>
              </w:rPr>
            </w:pPr>
            <w:r w:rsidRPr="0007559A">
              <w:rPr>
                <w:iCs/>
                <w:sz w:val="16"/>
                <w:szCs w:val="16"/>
              </w:rPr>
              <w:t>Baseline (2014): 7.5</w:t>
            </w:r>
          </w:p>
          <w:p w14:paraId="183BBAA4" w14:textId="77777777" w:rsidR="00842773" w:rsidRPr="0007559A" w:rsidRDefault="005734FD" w:rsidP="00532502">
            <w:pPr>
              <w:rPr>
                <w:iCs/>
                <w:sz w:val="16"/>
                <w:szCs w:val="16"/>
              </w:rPr>
            </w:pPr>
            <w:r w:rsidRPr="0007559A">
              <w:rPr>
                <w:iCs/>
                <w:sz w:val="16"/>
                <w:szCs w:val="16"/>
              </w:rPr>
              <w:t>Target (2021):  9.12</w:t>
            </w:r>
          </w:p>
          <w:p w14:paraId="4673D622" w14:textId="77777777" w:rsidR="00842773" w:rsidRPr="0007559A" w:rsidRDefault="00AD1022" w:rsidP="00532502">
            <w:pPr>
              <w:rPr>
                <w:b/>
                <w:iCs/>
                <w:sz w:val="16"/>
                <w:szCs w:val="16"/>
              </w:rPr>
            </w:pPr>
            <w:r>
              <w:rPr>
                <w:iCs/>
                <w:sz w:val="16"/>
                <w:szCs w:val="16"/>
              </w:rPr>
              <w:t>(</w:t>
            </w:r>
            <w:r w:rsidR="00842773" w:rsidRPr="0007559A">
              <w:rPr>
                <w:iCs/>
                <w:sz w:val="16"/>
                <w:szCs w:val="16"/>
              </w:rPr>
              <w:t xml:space="preserve">iii) </w:t>
            </w:r>
            <w:r w:rsidR="00842773" w:rsidRPr="0007559A">
              <w:rPr>
                <w:b/>
                <w:iCs/>
                <w:sz w:val="16"/>
                <w:szCs w:val="16"/>
              </w:rPr>
              <w:t xml:space="preserve">Energy </w:t>
            </w:r>
          </w:p>
          <w:p w14:paraId="64EAA4CD" w14:textId="77777777" w:rsidR="00842773" w:rsidRPr="0007559A" w:rsidRDefault="00842773" w:rsidP="00532502">
            <w:pPr>
              <w:rPr>
                <w:iCs/>
                <w:sz w:val="16"/>
                <w:szCs w:val="16"/>
              </w:rPr>
            </w:pPr>
            <w:r w:rsidRPr="0007559A">
              <w:rPr>
                <w:iCs/>
                <w:sz w:val="16"/>
                <w:szCs w:val="16"/>
              </w:rPr>
              <w:t>Baseline (2014): 2.0</w:t>
            </w:r>
          </w:p>
          <w:p w14:paraId="18C12D22" w14:textId="77777777" w:rsidR="00842773" w:rsidRPr="0007559A" w:rsidRDefault="00842773" w:rsidP="00532502">
            <w:pPr>
              <w:rPr>
                <w:iCs/>
                <w:sz w:val="16"/>
                <w:szCs w:val="16"/>
              </w:rPr>
            </w:pPr>
            <w:r w:rsidRPr="0007559A">
              <w:rPr>
                <w:iCs/>
                <w:sz w:val="16"/>
                <w:szCs w:val="16"/>
              </w:rPr>
              <w:t>Target (2</w:t>
            </w:r>
            <w:r w:rsidR="005734FD" w:rsidRPr="0007559A">
              <w:rPr>
                <w:iCs/>
                <w:sz w:val="16"/>
                <w:szCs w:val="16"/>
              </w:rPr>
              <w:t>021): 4.2</w:t>
            </w:r>
          </w:p>
          <w:p w14:paraId="45ED30F7" w14:textId="77777777" w:rsidR="00842773" w:rsidRPr="0007559A" w:rsidRDefault="00AD1022" w:rsidP="00532502">
            <w:pPr>
              <w:rPr>
                <w:b/>
                <w:iCs/>
                <w:sz w:val="16"/>
                <w:szCs w:val="16"/>
              </w:rPr>
            </w:pPr>
            <w:r>
              <w:rPr>
                <w:iCs/>
                <w:sz w:val="16"/>
                <w:szCs w:val="16"/>
              </w:rPr>
              <w:t>(</w:t>
            </w:r>
            <w:r w:rsidR="00842773" w:rsidRPr="0007559A">
              <w:rPr>
                <w:iCs/>
                <w:sz w:val="16"/>
                <w:szCs w:val="16"/>
              </w:rPr>
              <w:t xml:space="preserve">iv) </w:t>
            </w:r>
            <w:r w:rsidR="00842773" w:rsidRPr="0007559A">
              <w:rPr>
                <w:b/>
                <w:iCs/>
                <w:sz w:val="16"/>
                <w:szCs w:val="16"/>
              </w:rPr>
              <w:t xml:space="preserve">Tourism </w:t>
            </w:r>
          </w:p>
          <w:p w14:paraId="377C55BD" w14:textId="77777777" w:rsidR="00842773" w:rsidRPr="0007559A" w:rsidRDefault="00842773" w:rsidP="00532502">
            <w:pPr>
              <w:rPr>
                <w:iCs/>
                <w:sz w:val="16"/>
                <w:szCs w:val="16"/>
              </w:rPr>
            </w:pPr>
            <w:r w:rsidRPr="0007559A">
              <w:rPr>
                <w:iCs/>
                <w:sz w:val="16"/>
                <w:szCs w:val="16"/>
              </w:rPr>
              <w:t xml:space="preserve">Baseline (2014): 1.4 </w:t>
            </w:r>
          </w:p>
          <w:p w14:paraId="37F1FD9D" w14:textId="77777777" w:rsidR="00842773" w:rsidRPr="0007559A" w:rsidRDefault="00EC24C2" w:rsidP="00532502">
            <w:pPr>
              <w:rPr>
                <w:iCs/>
                <w:sz w:val="16"/>
                <w:szCs w:val="16"/>
              </w:rPr>
            </w:pPr>
            <w:r w:rsidRPr="0007559A">
              <w:rPr>
                <w:iCs/>
                <w:sz w:val="16"/>
                <w:szCs w:val="16"/>
              </w:rPr>
              <w:t>Target (2021): 2.0</w:t>
            </w:r>
          </w:p>
          <w:p w14:paraId="599B5496" w14:textId="77777777" w:rsidR="00842773" w:rsidRPr="0007559A" w:rsidRDefault="00AD1022" w:rsidP="00532502">
            <w:pPr>
              <w:rPr>
                <w:b/>
                <w:iCs/>
                <w:sz w:val="16"/>
                <w:szCs w:val="16"/>
              </w:rPr>
            </w:pPr>
            <w:r>
              <w:rPr>
                <w:iCs/>
                <w:sz w:val="16"/>
                <w:szCs w:val="16"/>
              </w:rPr>
              <w:t>(</w:t>
            </w:r>
            <w:r w:rsidR="00842773" w:rsidRPr="0007559A">
              <w:rPr>
                <w:iCs/>
                <w:sz w:val="16"/>
                <w:szCs w:val="16"/>
              </w:rPr>
              <w:t xml:space="preserve">v) </w:t>
            </w:r>
            <w:r w:rsidR="00842773" w:rsidRPr="0007559A">
              <w:rPr>
                <w:b/>
                <w:iCs/>
                <w:sz w:val="16"/>
                <w:szCs w:val="16"/>
              </w:rPr>
              <w:t xml:space="preserve">Mining </w:t>
            </w:r>
          </w:p>
          <w:p w14:paraId="3708F58E" w14:textId="77777777" w:rsidR="00842773" w:rsidRPr="0007559A" w:rsidRDefault="00842773" w:rsidP="00532502">
            <w:pPr>
              <w:rPr>
                <w:iCs/>
                <w:sz w:val="16"/>
                <w:szCs w:val="16"/>
              </w:rPr>
            </w:pPr>
            <w:r w:rsidRPr="0007559A">
              <w:rPr>
                <w:iCs/>
                <w:sz w:val="16"/>
                <w:szCs w:val="16"/>
              </w:rPr>
              <w:t>Baseline (2014):6.5</w:t>
            </w:r>
          </w:p>
          <w:p w14:paraId="6DC1141C" w14:textId="77777777" w:rsidR="00842773" w:rsidRPr="0007559A" w:rsidRDefault="005734FD" w:rsidP="00532502">
            <w:pPr>
              <w:rPr>
                <w:iCs/>
                <w:sz w:val="16"/>
                <w:szCs w:val="16"/>
              </w:rPr>
            </w:pPr>
            <w:r w:rsidRPr="0007559A">
              <w:rPr>
                <w:iCs/>
                <w:sz w:val="16"/>
                <w:szCs w:val="16"/>
              </w:rPr>
              <w:t>Target: (2021 ): 6.6</w:t>
            </w:r>
          </w:p>
          <w:p w14:paraId="232D79F9" w14:textId="77777777" w:rsidR="00842773" w:rsidRPr="0007559A" w:rsidRDefault="00842773" w:rsidP="00532502">
            <w:pPr>
              <w:rPr>
                <w:iCs/>
                <w:sz w:val="16"/>
                <w:szCs w:val="16"/>
              </w:rPr>
            </w:pPr>
          </w:p>
          <w:p w14:paraId="22AD0C6B" w14:textId="77777777" w:rsidR="00842773" w:rsidRPr="0007559A" w:rsidRDefault="00842773" w:rsidP="00532502">
            <w:pPr>
              <w:rPr>
                <w:iCs/>
                <w:sz w:val="16"/>
                <w:szCs w:val="16"/>
              </w:rPr>
            </w:pPr>
            <w:r w:rsidRPr="0007559A">
              <w:rPr>
                <w:iCs/>
                <w:sz w:val="16"/>
                <w:szCs w:val="16"/>
              </w:rPr>
              <w:t>1.2 Number of h</w:t>
            </w:r>
            <w:r w:rsidR="00AE7B47" w:rsidRPr="0007559A">
              <w:rPr>
                <w:iCs/>
                <w:sz w:val="16"/>
                <w:szCs w:val="16"/>
              </w:rPr>
              <w:t>ectares (ha)</w:t>
            </w:r>
            <w:r w:rsidRPr="0007559A">
              <w:rPr>
                <w:iCs/>
                <w:sz w:val="16"/>
                <w:szCs w:val="16"/>
              </w:rPr>
              <w:t xml:space="preserve"> of forest coverage lost due to deforestation annually </w:t>
            </w:r>
          </w:p>
          <w:p w14:paraId="63C218DF" w14:textId="77777777" w:rsidR="00842773" w:rsidRPr="0007559A" w:rsidRDefault="00842773" w:rsidP="00532502">
            <w:pPr>
              <w:rPr>
                <w:iCs/>
                <w:sz w:val="16"/>
                <w:szCs w:val="16"/>
              </w:rPr>
            </w:pPr>
            <w:r w:rsidRPr="0007559A">
              <w:rPr>
                <w:iCs/>
                <w:sz w:val="16"/>
                <w:szCs w:val="16"/>
              </w:rPr>
              <w:t>Baseline (2013): 300,000</w:t>
            </w:r>
          </w:p>
          <w:p w14:paraId="2840FF1A" w14:textId="77777777" w:rsidR="00842773" w:rsidRPr="0007559A" w:rsidRDefault="00842773" w:rsidP="00532502">
            <w:pPr>
              <w:rPr>
                <w:iCs/>
                <w:sz w:val="16"/>
                <w:szCs w:val="16"/>
              </w:rPr>
            </w:pPr>
            <w:r w:rsidRPr="0007559A">
              <w:rPr>
                <w:iCs/>
                <w:sz w:val="16"/>
                <w:szCs w:val="16"/>
              </w:rPr>
              <w:t>Target (2021): 230,000</w:t>
            </w:r>
          </w:p>
          <w:p w14:paraId="608744FC" w14:textId="77777777" w:rsidR="00842773" w:rsidRPr="0007559A" w:rsidRDefault="00842773" w:rsidP="00532502">
            <w:pPr>
              <w:rPr>
                <w:iCs/>
                <w:sz w:val="16"/>
                <w:szCs w:val="16"/>
              </w:rPr>
            </w:pPr>
          </w:p>
          <w:p w14:paraId="406E6EC2" w14:textId="77777777" w:rsidR="00842773" w:rsidRPr="0007559A" w:rsidRDefault="00842773" w:rsidP="00532502">
            <w:pPr>
              <w:rPr>
                <w:iCs/>
                <w:sz w:val="16"/>
                <w:szCs w:val="16"/>
              </w:rPr>
            </w:pPr>
          </w:p>
          <w:p w14:paraId="679BE1F0" w14:textId="77777777" w:rsidR="009E3409" w:rsidRPr="0007559A" w:rsidRDefault="009E3409" w:rsidP="00532502">
            <w:pPr>
              <w:rPr>
                <w:iCs/>
                <w:sz w:val="16"/>
                <w:szCs w:val="16"/>
              </w:rPr>
            </w:pPr>
          </w:p>
          <w:p w14:paraId="6237AFBE" w14:textId="77777777" w:rsidR="009E3409" w:rsidRPr="0007559A" w:rsidRDefault="009E3409" w:rsidP="00532502">
            <w:pPr>
              <w:rPr>
                <w:iCs/>
                <w:sz w:val="16"/>
                <w:szCs w:val="16"/>
              </w:rPr>
            </w:pPr>
          </w:p>
          <w:p w14:paraId="0D5DFA06" w14:textId="116BC215" w:rsidR="0007559A" w:rsidRDefault="00842773" w:rsidP="00532502">
            <w:pPr>
              <w:rPr>
                <w:iCs/>
                <w:sz w:val="16"/>
                <w:szCs w:val="16"/>
              </w:rPr>
            </w:pPr>
            <w:r w:rsidRPr="0007559A">
              <w:rPr>
                <w:iCs/>
                <w:sz w:val="16"/>
                <w:szCs w:val="16"/>
              </w:rPr>
              <w:t xml:space="preserve">1.3 National annual emissions of carbon dioxide with </w:t>
            </w:r>
            <w:r w:rsidR="00076385">
              <w:rPr>
                <w:rStyle w:val="Emphasis"/>
                <w:i w:val="0"/>
                <w:sz w:val="16"/>
                <w:szCs w:val="16"/>
              </w:rPr>
              <w:t>l</w:t>
            </w:r>
            <w:r w:rsidR="00076385" w:rsidRPr="00076385">
              <w:rPr>
                <w:rStyle w:val="Emphasis"/>
                <w:i w:val="0"/>
                <w:sz w:val="16"/>
                <w:szCs w:val="16"/>
              </w:rPr>
              <w:t xml:space="preserve">and </w:t>
            </w:r>
            <w:r w:rsidR="00BF189D" w:rsidRPr="00076385">
              <w:rPr>
                <w:rStyle w:val="Emphasis"/>
                <w:i w:val="0"/>
                <w:sz w:val="16"/>
                <w:szCs w:val="16"/>
              </w:rPr>
              <w:t>use, land-use change and forestry</w:t>
            </w:r>
            <w:r w:rsidR="00BF189D" w:rsidRPr="0007559A" w:rsidDel="00BF189D">
              <w:rPr>
                <w:iCs/>
                <w:sz w:val="16"/>
                <w:szCs w:val="16"/>
              </w:rPr>
              <w:t xml:space="preserve"> </w:t>
            </w:r>
            <w:r w:rsidR="00F00DF5">
              <w:rPr>
                <w:iCs/>
                <w:sz w:val="16"/>
                <w:szCs w:val="16"/>
              </w:rPr>
              <w:t>(</w:t>
            </w:r>
            <w:r w:rsidRPr="0007559A">
              <w:rPr>
                <w:iCs/>
                <w:sz w:val="16"/>
                <w:szCs w:val="16"/>
              </w:rPr>
              <w:t>LULUCF</w:t>
            </w:r>
            <w:r w:rsidR="00F00DF5">
              <w:rPr>
                <w:iCs/>
                <w:sz w:val="16"/>
                <w:szCs w:val="16"/>
              </w:rPr>
              <w:t>)</w:t>
            </w:r>
            <w:r w:rsidR="00BF189D">
              <w:rPr>
                <w:iCs/>
                <w:sz w:val="16"/>
                <w:szCs w:val="16"/>
              </w:rPr>
              <w:t xml:space="preserve"> activities</w:t>
            </w:r>
          </w:p>
          <w:p w14:paraId="694D5E2B" w14:textId="77777777" w:rsidR="00842773" w:rsidRPr="0007559A" w:rsidRDefault="00840D2E" w:rsidP="00532502">
            <w:pPr>
              <w:rPr>
                <w:iCs/>
                <w:sz w:val="16"/>
                <w:szCs w:val="16"/>
              </w:rPr>
            </w:pPr>
            <w:r>
              <w:rPr>
                <w:iCs/>
                <w:sz w:val="16"/>
                <w:szCs w:val="16"/>
              </w:rPr>
              <w:t>(</w:t>
            </w:r>
            <w:r w:rsidR="00842773" w:rsidRPr="0007559A">
              <w:rPr>
                <w:iCs/>
                <w:sz w:val="16"/>
                <w:szCs w:val="16"/>
              </w:rPr>
              <w:t xml:space="preserve">Giga gramme-Gg,  CO2 equivalent) </w:t>
            </w:r>
          </w:p>
          <w:p w14:paraId="582274FB" w14:textId="77777777" w:rsidR="00842773" w:rsidRPr="0007559A" w:rsidRDefault="00843CAB" w:rsidP="00532502">
            <w:pPr>
              <w:rPr>
                <w:iCs/>
                <w:sz w:val="16"/>
                <w:szCs w:val="16"/>
              </w:rPr>
            </w:pPr>
            <w:r w:rsidRPr="0007559A">
              <w:rPr>
                <w:iCs/>
                <w:sz w:val="16"/>
                <w:szCs w:val="16"/>
              </w:rPr>
              <w:t>Baseline (2010):54,715</w:t>
            </w:r>
          </w:p>
          <w:p w14:paraId="3CEEA776" w14:textId="77777777" w:rsidR="00842773" w:rsidRPr="0007559A" w:rsidRDefault="00842773" w:rsidP="00532502">
            <w:pPr>
              <w:rPr>
                <w:iCs/>
                <w:sz w:val="16"/>
                <w:szCs w:val="16"/>
              </w:rPr>
            </w:pPr>
            <w:r w:rsidRPr="0007559A">
              <w:rPr>
                <w:iCs/>
                <w:sz w:val="16"/>
                <w:szCs w:val="16"/>
              </w:rPr>
              <w:t>Target (2021): 51,432</w:t>
            </w:r>
          </w:p>
          <w:p w14:paraId="2A9B3163" w14:textId="77777777" w:rsidR="00842773" w:rsidRPr="0007559A" w:rsidRDefault="00842773" w:rsidP="00532502">
            <w:pPr>
              <w:rPr>
                <w:iCs/>
                <w:sz w:val="16"/>
                <w:szCs w:val="16"/>
              </w:rPr>
            </w:pPr>
          </w:p>
          <w:p w14:paraId="1EC25C70" w14:textId="77777777" w:rsidR="00842773" w:rsidRPr="0007559A" w:rsidRDefault="00842773" w:rsidP="00532502">
            <w:pPr>
              <w:rPr>
                <w:iCs/>
                <w:sz w:val="16"/>
                <w:szCs w:val="16"/>
              </w:rPr>
            </w:pPr>
          </w:p>
          <w:p w14:paraId="2160F461" w14:textId="77777777" w:rsidR="00842773" w:rsidRPr="0007559A" w:rsidRDefault="00842773" w:rsidP="00532502">
            <w:pPr>
              <w:rPr>
                <w:iCs/>
                <w:sz w:val="16"/>
                <w:szCs w:val="16"/>
              </w:rPr>
            </w:pPr>
          </w:p>
          <w:p w14:paraId="1F8BEFDA" w14:textId="77777777" w:rsidR="00842773" w:rsidRPr="0007559A" w:rsidRDefault="00842773" w:rsidP="00532502">
            <w:pPr>
              <w:rPr>
                <w:iCs/>
                <w:sz w:val="16"/>
                <w:szCs w:val="16"/>
              </w:rPr>
            </w:pPr>
          </w:p>
          <w:p w14:paraId="567D4407" w14:textId="77777777" w:rsidR="00842773" w:rsidRPr="0007559A" w:rsidRDefault="00842773" w:rsidP="00532502">
            <w:pPr>
              <w:rPr>
                <w:iCs/>
                <w:sz w:val="16"/>
                <w:szCs w:val="16"/>
              </w:rPr>
            </w:pPr>
          </w:p>
          <w:p w14:paraId="1EA7A579" w14:textId="77777777" w:rsidR="00842773" w:rsidRPr="0007559A" w:rsidRDefault="00842773" w:rsidP="00532502">
            <w:pPr>
              <w:rPr>
                <w:iCs/>
                <w:sz w:val="16"/>
                <w:szCs w:val="16"/>
              </w:rPr>
            </w:pPr>
          </w:p>
          <w:p w14:paraId="2083E023" w14:textId="77777777" w:rsidR="00842773" w:rsidRPr="0007559A" w:rsidRDefault="00842773" w:rsidP="00532502">
            <w:pPr>
              <w:rPr>
                <w:iCs/>
                <w:sz w:val="16"/>
                <w:szCs w:val="16"/>
              </w:rPr>
            </w:pPr>
          </w:p>
          <w:p w14:paraId="7E3A55A2" w14:textId="77777777" w:rsidR="00842773" w:rsidRPr="0007559A" w:rsidRDefault="00842773" w:rsidP="00532502">
            <w:pPr>
              <w:rPr>
                <w:iCs/>
                <w:sz w:val="16"/>
                <w:szCs w:val="16"/>
              </w:rPr>
            </w:pPr>
          </w:p>
          <w:p w14:paraId="1EF42D87" w14:textId="77777777" w:rsidR="009E3409" w:rsidRPr="0007559A" w:rsidRDefault="009E3409" w:rsidP="00532502">
            <w:pPr>
              <w:rPr>
                <w:iCs/>
                <w:sz w:val="16"/>
                <w:szCs w:val="16"/>
              </w:rPr>
            </w:pPr>
          </w:p>
          <w:p w14:paraId="18834952" w14:textId="77777777" w:rsidR="00822C97" w:rsidRPr="0007559A" w:rsidRDefault="00842773" w:rsidP="00532502">
            <w:pPr>
              <w:rPr>
                <w:iCs/>
                <w:sz w:val="16"/>
                <w:szCs w:val="16"/>
              </w:rPr>
            </w:pPr>
            <w:r w:rsidRPr="0007559A">
              <w:rPr>
                <w:iCs/>
                <w:sz w:val="16"/>
                <w:szCs w:val="16"/>
              </w:rPr>
              <w:t xml:space="preserve">1.4 Percentage of renewable and alternative energy in national energy mix </w:t>
            </w:r>
          </w:p>
          <w:p w14:paraId="7FA087E2" w14:textId="77777777" w:rsidR="00842773" w:rsidRPr="0007559A" w:rsidRDefault="00842773" w:rsidP="00532502">
            <w:pPr>
              <w:rPr>
                <w:iCs/>
                <w:sz w:val="16"/>
                <w:szCs w:val="16"/>
              </w:rPr>
            </w:pPr>
            <w:r w:rsidRPr="0007559A">
              <w:rPr>
                <w:iCs/>
                <w:sz w:val="16"/>
                <w:szCs w:val="16"/>
              </w:rPr>
              <w:t>Baseline (2012): 0.03</w:t>
            </w:r>
          </w:p>
          <w:p w14:paraId="4C89D2AD" w14:textId="77777777" w:rsidR="00842773" w:rsidRPr="0007559A" w:rsidRDefault="00842773" w:rsidP="00532502">
            <w:pPr>
              <w:rPr>
                <w:b/>
                <w:bCs/>
                <w:color w:val="000000"/>
                <w:sz w:val="16"/>
                <w:szCs w:val="16"/>
              </w:rPr>
            </w:pPr>
            <w:r w:rsidRPr="0007559A">
              <w:rPr>
                <w:iCs/>
                <w:sz w:val="16"/>
                <w:szCs w:val="16"/>
              </w:rPr>
              <w:t>Target (2021): 2</w:t>
            </w:r>
          </w:p>
        </w:tc>
        <w:tc>
          <w:tcPr>
            <w:tcW w:w="679" w:type="pct"/>
            <w:vMerge w:val="restart"/>
            <w:tcBorders>
              <w:top w:val="single" w:sz="4" w:space="0" w:color="auto"/>
              <w:left w:val="single" w:sz="8" w:space="0" w:color="000000"/>
              <w:bottom w:val="single" w:sz="4" w:space="0" w:color="auto"/>
              <w:right w:val="single" w:sz="4" w:space="0" w:color="auto"/>
            </w:tcBorders>
          </w:tcPr>
          <w:p w14:paraId="5E640E23" w14:textId="77777777" w:rsidR="00842773" w:rsidRPr="0007559A" w:rsidRDefault="00842773" w:rsidP="00532502">
            <w:pPr>
              <w:pStyle w:val="ColorfulList-Accent11"/>
              <w:ind w:left="0"/>
              <w:rPr>
                <w:iCs/>
                <w:sz w:val="16"/>
                <w:szCs w:val="16"/>
              </w:rPr>
            </w:pPr>
            <w:r w:rsidRPr="0007559A">
              <w:rPr>
                <w:iCs/>
                <w:sz w:val="16"/>
                <w:szCs w:val="16"/>
              </w:rPr>
              <w:lastRenderedPageBreak/>
              <w:t xml:space="preserve">Central Statistics Office -National Accounts, </w:t>
            </w:r>
          </w:p>
          <w:p w14:paraId="3F7F4602" w14:textId="77777777" w:rsidR="00842773" w:rsidRPr="0007559A" w:rsidRDefault="00842773" w:rsidP="00532502">
            <w:pPr>
              <w:pStyle w:val="ColorfulList-Accent11"/>
              <w:ind w:left="0"/>
              <w:rPr>
                <w:iCs/>
                <w:sz w:val="16"/>
                <w:szCs w:val="16"/>
              </w:rPr>
            </w:pPr>
            <w:r w:rsidRPr="0007559A">
              <w:rPr>
                <w:iCs/>
                <w:sz w:val="16"/>
                <w:szCs w:val="16"/>
              </w:rPr>
              <w:t>Ministry of Commerce Trade and Industry Reports</w:t>
            </w:r>
          </w:p>
          <w:p w14:paraId="10AD86C8" w14:textId="77777777" w:rsidR="00842773" w:rsidRPr="0007559A" w:rsidRDefault="00842773" w:rsidP="00532502">
            <w:pPr>
              <w:pStyle w:val="ColorfulList-Accent11"/>
              <w:ind w:left="0"/>
              <w:rPr>
                <w:iCs/>
                <w:sz w:val="16"/>
                <w:szCs w:val="16"/>
              </w:rPr>
            </w:pPr>
          </w:p>
          <w:p w14:paraId="6C186824" w14:textId="77777777" w:rsidR="00842773" w:rsidRPr="0007559A" w:rsidRDefault="00842773" w:rsidP="00532502">
            <w:pPr>
              <w:pStyle w:val="ColorfulList-Accent11"/>
              <w:ind w:left="0"/>
              <w:rPr>
                <w:iCs/>
                <w:sz w:val="16"/>
                <w:szCs w:val="16"/>
              </w:rPr>
            </w:pPr>
          </w:p>
          <w:p w14:paraId="7F6023D6" w14:textId="77777777" w:rsidR="00842773" w:rsidRPr="0007559A" w:rsidRDefault="00842773" w:rsidP="00532502">
            <w:pPr>
              <w:pStyle w:val="ColorfulList-Accent11"/>
              <w:ind w:left="0"/>
              <w:rPr>
                <w:iCs/>
                <w:sz w:val="16"/>
                <w:szCs w:val="16"/>
              </w:rPr>
            </w:pPr>
          </w:p>
          <w:p w14:paraId="264BC533" w14:textId="77777777" w:rsidR="00842773" w:rsidRPr="0007559A" w:rsidRDefault="00842773" w:rsidP="00532502">
            <w:pPr>
              <w:pStyle w:val="ColorfulList-Accent11"/>
              <w:ind w:left="0"/>
              <w:rPr>
                <w:iCs/>
                <w:sz w:val="16"/>
                <w:szCs w:val="16"/>
              </w:rPr>
            </w:pPr>
          </w:p>
          <w:p w14:paraId="43D90421" w14:textId="77777777" w:rsidR="00842773" w:rsidRPr="0007559A" w:rsidRDefault="00842773" w:rsidP="00532502">
            <w:pPr>
              <w:pStyle w:val="ColorfulList-Accent11"/>
              <w:ind w:left="0"/>
              <w:rPr>
                <w:iCs/>
                <w:sz w:val="16"/>
                <w:szCs w:val="16"/>
              </w:rPr>
            </w:pPr>
          </w:p>
          <w:p w14:paraId="77802E37" w14:textId="77777777" w:rsidR="00842773" w:rsidRPr="0007559A" w:rsidRDefault="00842773" w:rsidP="00532502">
            <w:pPr>
              <w:pStyle w:val="ColorfulList-Accent11"/>
              <w:ind w:left="0"/>
              <w:rPr>
                <w:iCs/>
                <w:sz w:val="16"/>
                <w:szCs w:val="16"/>
              </w:rPr>
            </w:pPr>
          </w:p>
          <w:p w14:paraId="0B79F815" w14:textId="77777777" w:rsidR="00842773" w:rsidRPr="0007559A" w:rsidRDefault="00842773" w:rsidP="00532502">
            <w:pPr>
              <w:pStyle w:val="ColorfulList-Accent11"/>
              <w:ind w:left="0"/>
              <w:rPr>
                <w:iCs/>
                <w:sz w:val="16"/>
                <w:szCs w:val="16"/>
              </w:rPr>
            </w:pPr>
          </w:p>
          <w:p w14:paraId="612EFA18" w14:textId="77777777" w:rsidR="00842773" w:rsidRPr="0007559A" w:rsidRDefault="00842773" w:rsidP="00532502">
            <w:pPr>
              <w:pStyle w:val="ColorfulList-Accent11"/>
              <w:ind w:left="0"/>
              <w:rPr>
                <w:iCs/>
                <w:sz w:val="16"/>
                <w:szCs w:val="16"/>
              </w:rPr>
            </w:pPr>
          </w:p>
          <w:p w14:paraId="623D5AF6" w14:textId="77777777" w:rsidR="00842773" w:rsidRPr="0007559A" w:rsidRDefault="00842773" w:rsidP="00532502">
            <w:pPr>
              <w:pStyle w:val="ColorfulList-Accent11"/>
              <w:ind w:left="0"/>
              <w:rPr>
                <w:iCs/>
                <w:sz w:val="16"/>
                <w:szCs w:val="16"/>
              </w:rPr>
            </w:pPr>
          </w:p>
          <w:p w14:paraId="66D76CF3" w14:textId="77777777" w:rsidR="00842773" w:rsidRPr="0007559A" w:rsidRDefault="00842773" w:rsidP="00532502">
            <w:pPr>
              <w:pStyle w:val="ColorfulList-Accent11"/>
              <w:ind w:left="0"/>
              <w:rPr>
                <w:iCs/>
                <w:sz w:val="16"/>
                <w:szCs w:val="16"/>
              </w:rPr>
            </w:pPr>
          </w:p>
          <w:p w14:paraId="717BA175" w14:textId="77777777" w:rsidR="00842773" w:rsidRPr="0007559A" w:rsidRDefault="00842773" w:rsidP="00532502">
            <w:pPr>
              <w:pStyle w:val="ColorfulList-Accent11"/>
              <w:ind w:left="0"/>
              <w:rPr>
                <w:iCs/>
                <w:sz w:val="16"/>
                <w:szCs w:val="16"/>
              </w:rPr>
            </w:pPr>
          </w:p>
          <w:p w14:paraId="2EEDF706" w14:textId="77777777" w:rsidR="00842773" w:rsidRPr="0007559A" w:rsidRDefault="00842773" w:rsidP="00532502">
            <w:pPr>
              <w:pStyle w:val="ColorfulList-Accent11"/>
              <w:ind w:left="0"/>
              <w:rPr>
                <w:iCs/>
                <w:sz w:val="16"/>
                <w:szCs w:val="16"/>
              </w:rPr>
            </w:pPr>
          </w:p>
          <w:p w14:paraId="7A2A5BD8" w14:textId="77777777" w:rsidR="00842773" w:rsidRPr="0007559A" w:rsidRDefault="00842773" w:rsidP="00532502">
            <w:pPr>
              <w:pStyle w:val="ColorfulList-Accent11"/>
              <w:ind w:left="0"/>
              <w:rPr>
                <w:iCs/>
                <w:sz w:val="16"/>
                <w:szCs w:val="16"/>
              </w:rPr>
            </w:pPr>
          </w:p>
          <w:p w14:paraId="4612764A" w14:textId="77777777" w:rsidR="00842773" w:rsidRPr="0007559A" w:rsidRDefault="00842773" w:rsidP="00532502">
            <w:pPr>
              <w:pStyle w:val="ColorfulList-Accent11"/>
              <w:ind w:left="0"/>
              <w:rPr>
                <w:iCs/>
                <w:sz w:val="16"/>
                <w:szCs w:val="16"/>
              </w:rPr>
            </w:pPr>
          </w:p>
          <w:p w14:paraId="4D50C26F" w14:textId="77777777" w:rsidR="00842773" w:rsidRPr="0007559A" w:rsidRDefault="00842773" w:rsidP="00532502">
            <w:pPr>
              <w:pStyle w:val="ColorfulList-Accent11"/>
              <w:ind w:left="0"/>
              <w:rPr>
                <w:iCs/>
                <w:sz w:val="16"/>
                <w:szCs w:val="16"/>
              </w:rPr>
            </w:pPr>
          </w:p>
          <w:p w14:paraId="2E3FF617" w14:textId="77777777" w:rsidR="00842773" w:rsidRPr="0007559A" w:rsidRDefault="00842773" w:rsidP="00532502">
            <w:pPr>
              <w:pStyle w:val="ColorfulList-Accent11"/>
              <w:ind w:left="0"/>
              <w:rPr>
                <w:iCs/>
                <w:sz w:val="16"/>
                <w:szCs w:val="16"/>
              </w:rPr>
            </w:pPr>
          </w:p>
          <w:p w14:paraId="66D09B0F" w14:textId="77777777" w:rsidR="00842773" w:rsidRPr="0007559A" w:rsidRDefault="00842773" w:rsidP="00532502">
            <w:pPr>
              <w:pStyle w:val="ColorfulList-Accent11"/>
              <w:ind w:left="0"/>
              <w:rPr>
                <w:iCs/>
                <w:sz w:val="16"/>
                <w:szCs w:val="16"/>
              </w:rPr>
            </w:pPr>
          </w:p>
          <w:p w14:paraId="6BD96BF5" w14:textId="77777777" w:rsidR="00842773" w:rsidRPr="0007559A" w:rsidRDefault="00842773" w:rsidP="00532502">
            <w:pPr>
              <w:pStyle w:val="ColorfulList-Accent11"/>
              <w:ind w:left="0"/>
              <w:rPr>
                <w:iCs/>
                <w:sz w:val="16"/>
                <w:szCs w:val="16"/>
              </w:rPr>
            </w:pPr>
            <w:r w:rsidRPr="0007559A">
              <w:rPr>
                <w:iCs/>
                <w:sz w:val="16"/>
                <w:szCs w:val="16"/>
              </w:rPr>
              <w:t>Integrated Land Use Assessment (ILUA),</w:t>
            </w:r>
          </w:p>
          <w:p w14:paraId="0F0F8A39" w14:textId="73E3CA80" w:rsidR="00842773" w:rsidRPr="0007559A" w:rsidRDefault="00842773" w:rsidP="00532502">
            <w:pPr>
              <w:pStyle w:val="ColorfulList-Accent11"/>
              <w:ind w:left="0"/>
              <w:rPr>
                <w:iCs/>
                <w:sz w:val="16"/>
                <w:szCs w:val="16"/>
              </w:rPr>
            </w:pPr>
            <w:r w:rsidRPr="0007559A">
              <w:rPr>
                <w:iCs/>
                <w:sz w:val="16"/>
                <w:szCs w:val="16"/>
              </w:rPr>
              <w:t xml:space="preserve">State of the Environment Report, </w:t>
            </w:r>
            <w:r w:rsidRPr="00891788">
              <w:rPr>
                <w:iCs/>
                <w:sz w:val="16"/>
                <w:szCs w:val="16"/>
              </w:rPr>
              <w:t xml:space="preserve">Ministry of </w:t>
            </w:r>
            <w:r w:rsidR="00891788" w:rsidRPr="00891788">
              <w:rPr>
                <w:iCs/>
                <w:sz w:val="16"/>
                <w:szCs w:val="16"/>
              </w:rPr>
              <w:t xml:space="preserve">Tourism, </w:t>
            </w:r>
            <w:r w:rsidRPr="00891788">
              <w:rPr>
                <w:iCs/>
                <w:sz w:val="16"/>
                <w:szCs w:val="16"/>
              </w:rPr>
              <w:t>Lands and Environment</w:t>
            </w:r>
            <w:r w:rsidR="00891788">
              <w:rPr>
                <w:iCs/>
                <w:sz w:val="16"/>
                <w:szCs w:val="16"/>
              </w:rPr>
              <w:t xml:space="preserve"> </w:t>
            </w:r>
            <w:r w:rsidR="00072E34">
              <w:rPr>
                <w:iCs/>
                <w:sz w:val="16"/>
                <w:szCs w:val="16"/>
              </w:rPr>
              <w:t>r</w:t>
            </w:r>
            <w:r w:rsidR="00072E34" w:rsidRPr="0007559A">
              <w:rPr>
                <w:iCs/>
                <w:sz w:val="16"/>
                <w:szCs w:val="16"/>
              </w:rPr>
              <w:t>eports</w:t>
            </w:r>
          </w:p>
          <w:p w14:paraId="623655B1" w14:textId="77777777" w:rsidR="00842773" w:rsidRPr="0007559A" w:rsidRDefault="00842773" w:rsidP="00532502">
            <w:pPr>
              <w:pStyle w:val="ColorfulList-Accent11"/>
              <w:ind w:left="0"/>
              <w:rPr>
                <w:iCs/>
                <w:sz w:val="16"/>
                <w:szCs w:val="16"/>
              </w:rPr>
            </w:pPr>
          </w:p>
          <w:p w14:paraId="59824EDA" w14:textId="77777777" w:rsidR="00842773" w:rsidRDefault="00842773" w:rsidP="00532502">
            <w:pPr>
              <w:pStyle w:val="ColorfulList-Accent11"/>
              <w:ind w:left="0"/>
              <w:rPr>
                <w:iCs/>
                <w:sz w:val="16"/>
                <w:szCs w:val="16"/>
              </w:rPr>
            </w:pPr>
          </w:p>
          <w:p w14:paraId="7717DC15" w14:textId="77777777" w:rsidR="0007559A" w:rsidRPr="0007559A" w:rsidRDefault="0007559A" w:rsidP="00532502">
            <w:pPr>
              <w:pStyle w:val="ColorfulList-Accent11"/>
              <w:ind w:left="0"/>
              <w:rPr>
                <w:iCs/>
                <w:sz w:val="16"/>
                <w:szCs w:val="16"/>
              </w:rPr>
            </w:pPr>
          </w:p>
          <w:p w14:paraId="6962F821" w14:textId="5EFD07D0" w:rsidR="00842773" w:rsidRPr="0007559A" w:rsidRDefault="00BF189D" w:rsidP="00532502">
            <w:pPr>
              <w:pStyle w:val="ColorfulList-Accent11"/>
              <w:ind w:left="0"/>
              <w:rPr>
                <w:iCs/>
                <w:sz w:val="16"/>
                <w:szCs w:val="16"/>
              </w:rPr>
            </w:pPr>
            <w:r>
              <w:rPr>
                <w:iCs/>
                <w:sz w:val="16"/>
                <w:szCs w:val="16"/>
              </w:rPr>
              <w:t>ZEMA</w:t>
            </w:r>
            <w:r w:rsidR="00842773" w:rsidRPr="0007559A">
              <w:rPr>
                <w:iCs/>
                <w:sz w:val="16"/>
                <w:szCs w:val="16"/>
              </w:rPr>
              <w:t xml:space="preserve"> </w:t>
            </w:r>
            <w:r>
              <w:rPr>
                <w:iCs/>
                <w:sz w:val="16"/>
                <w:szCs w:val="16"/>
              </w:rPr>
              <w:t>Greenhouse Gas</w:t>
            </w:r>
            <w:r w:rsidRPr="0007559A">
              <w:rPr>
                <w:iCs/>
                <w:sz w:val="16"/>
                <w:szCs w:val="16"/>
              </w:rPr>
              <w:t xml:space="preserve"> </w:t>
            </w:r>
            <w:r w:rsidR="00842773" w:rsidRPr="0007559A">
              <w:rPr>
                <w:iCs/>
                <w:sz w:val="16"/>
                <w:szCs w:val="16"/>
              </w:rPr>
              <w:t>Inventory Unit Reports, National Communication on Climate Reports, UNFCCC reports</w:t>
            </w:r>
          </w:p>
          <w:p w14:paraId="14D5F66A" w14:textId="77777777" w:rsidR="00842773" w:rsidRPr="0007559A" w:rsidRDefault="00842773" w:rsidP="00532502">
            <w:pPr>
              <w:pStyle w:val="ColorfulList-Accent11"/>
              <w:ind w:left="0"/>
              <w:rPr>
                <w:iCs/>
                <w:sz w:val="16"/>
                <w:szCs w:val="16"/>
              </w:rPr>
            </w:pPr>
          </w:p>
          <w:p w14:paraId="6F5AED9D" w14:textId="77777777" w:rsidR="00842773" w:rsidRPr="0007559A" w:rsidRDefault="00842773" w:rsidP="00532502">
            <w:pPr>
              <w:pStyle w:val="ColorfulList-Accent11"/>
              <w:ind w:left="0"/>
              <w:rPr>
                <w:iCs/>
                <w:sz w:val="16"/>
                <w:szCs w:val="16"/>
              </w:rPr>
            </w:pPr>
          </w:p>
          <w:p w14:paraId="0E5A8737" w14:textId="77777777" w:rsidR="00842773" w:rsidRPr="0007559A" w:rsidRDefault="00842773" w:rsidP="00532502">
            <w:pPr>
              <w:pStyle w:val="ColorfulList-Accent11"/>
              <w:ind w:left="0"/>
              <w:rPr>
                <w:iCs/>
                <w:sz w:val="16"/>
                <w:szCs w:val="16"/>
              </w:rPr>
            </w:pPr>
          </w:p>
          <w:p w14:paraId="4202011A" w14:textId="77777777" w:rsidR="00842773" w:rsidRPr="0007559A" w:rsidRDefault="00842773" w:rsidP="00532502">
            <w:pPr>
              <w:pStyle w:val="ColorfulList-Accent11"/>
              <w:ind w:left="0"/>
              <w:rPr>
                <w:iCs/>
                <w:sz w:val="16"/>
                <w:szCs w:val="16"/>
              </w:rPr>
            </w:pPr>
          </w:p>
          <w:p w14:paraId="61F11E28" w14:textId="77777777" w:rsidR="00842773" w:rsidRPr="0007559A" w:rsidRDefault="00842773" w:rsidP="00532502">
            <w:pPr>
              <w:pStyle w:val="ColorfulList-Accent11"/>
              <w:ind w:left="0"/>
              <w:rPr>
                <w:iCs/>
                <w:sz w:val="16"/>
                <w:szCs w:val="16"/>
              </w:rPr>
            </w:pPr>
          </w:p>
          <w:p w14:paraId="7A1ECAF4" w14:textId="77777777" w:rsidR="00842773" w:rsidRPr="0007559A" w:rsidRDefault="00842773" w:rsidP="00532502">
            <w:pPr>
              <w:pStyle w:val="ColorfulList-Accent11"/>
              <w:ind w:left="0"/>
              <w:rPr>
                <w:iCs/>
                <w:sz w:val="16"/>
                <w:szCs w:val="16"/>
              </w:rPr>
            </w:pPr>
          </w:p>
          <w:p w14:paraId="0A5CFE76" w14:textId="77777777" w:rsidR="00842773" w:rsidRPr="0007559A" w:rsidRDefault="00842773" w:rsidP="00532502">
            <w:pPr>
              <w:pStyle w:val="ColorfulList-Accent11"/>
              <w:ind w:left="0"/>
              <w:rPr>
                <w:iCs/>
                <w:sz w:val="16"/>
                <w:szCs w:val="16"/>
              </w:rPr>
            </w:pPr>
          </w:p>
          <w:p w14:paraId="2C9AA63F" w14:textId="77777777" w:rsidR="00842773" w:rsidRPr="0007559A" w:rsidRDefault="00842773" w:rsidP="00532502">
            <w:pPr>
              <w:pStyle w:val="ColorfulList-Accent11"/>
              <w:ind w:left="0"/>
              <w:rPr>
                <w:iCs/>
                <w:sz w:val="16"/>
                <w:szCs w:val="16"/>
              </w:rPr>
            </w:pPr>
          </w:p>
          <w:p w14:paraId="43E88D43" w14:textId="77777777" w:rsidR="00842773" w:rsidRPr="0007559A" w:rsidRDefault="00842773" w:rsidP="00532502">
            <w:pPr>
              <w:pStyle w:val="ColorfulList-Accent11"/>
              <w:ind w:left="0"/>
              <w:rPr>
                <w:iCs/>
                <w:sz w:val="16"/>
                <w:szCs w:val="16"/>
              </w:rPr>
            </w:pPr>
          </w:p>
          <w:p w14:paraId="4B801D07" w14:textId="77777777" w:rsidR="00842773" w:rsidRPr="0007559A" w:rsidRDefault="00842773" w:rsidP="00532502">
            <w:pPr>
              <w:pStyle w:val="ColorfulList-Accent11"/>
              <w:ind w:left="0"/>
              <w:rPr>
                <w:bCs/>
                <w:color w:val="000000"/>
                <w:sz w:val="16"/>
                <w:szCs w:val="16"/>
              </w:rPr>
            </w:pPr>
            <w:r w:rsidRPr="0007559A">
              <w:rPr>
                <w:iCs/>
                <w:sz w:val="16"/>
                <w:szCs w:val="16"/>
              </w:rPr>
              <w:t xml:space="preserve">International Energy Agency Database, Rural Electrification Authority (REA)  and </w:t>
            </w:r>
            <w:r w:rsidR="00EA42B4" w:rsidRPr="00EA42B4">
              <w:rPr>
                <w:iCs/>
                <w:sz w:val="16"/>
                <w:szCs w:val="16"/>
              </w:rPr>
              <w:t xml:space="preserve">Ministry of Mines, Energy and Water and Development </w:t>
            </w:r>
            <w:r w:rsidR="00EA42B4">
              <w:rPr>
                <w:iCs/>
                <w:sz w:val="16"/>
                <w:szCs w:val="16"/>
              </w:rPr>
              <w:t>(</w:t>
            </w:r>
            <w:r w:rsidRPr="0007559A">
              <w:rPr>
                <w:iCs/>
                <w:sz w:val="16"/>
                <w:szCs w:val="16"/>
              </w:rPr>
              <w:t>MMEWD</w:t>
            </w:r>
            <w:r w:rsidR="00EA42B4">
              <w:rPr>
                <w:iCs/>
                <w:sz w:val="16"/>
                <w:szCs w:val="16"/>
              </w:rPr>
              <w:t>)</w:t>
            </w:r>
            <w:r w:rsidRPr="0007559A">
              <w:rPr>
                <w:iCs/>
                <w:sz w:val="16"/>
                <w:szCs w:val="16"/>
              </w:rPr>
              <w:t xml:space="preserve"> Reports</w:t>
            </w:r>
          </w:p>
          <w:p w14:paraId="0CE67FA5" w14:textId="77777777" w:rsidR="00842773" w:rsidRPr="0007559A" w:rsidRDefault="00842773" w:rsidP="00532502">
            <w:pPr>
              <w:pStyle w:val="ColorfulList-Accent11"/>
              <w:ind w:left="0"/>
              <w:rPr>
                <w:b/>
                <w:bCs/>
                <w:color w:val="000000"/>
                <w:sz w:val="16"/>
                <w:szCs w:val="16"/>
              </w:rPr>
            </w:pPr>
          </w:p>
          <w:p w14:paraId="01BB9837" w14:textId="77777777" w:rsidR="00842773" w:rsidRPr="0007559A" w:rsidRDefault="00842773" w:rsidP="00532502">
            <w:pPr>
              <w:rPr>
                <w:b/>
                <w:bCs/>
                <w:color w:val="000000"/>
                <w:sz w:val="16"/>
                <w:szCs w:val="16"/>
              </w:rPr>
            </w:pPr>
          </w:p>
        </w:tc>
        <w:tc>
          <w:tcPr>
            <w:tcW w:w="2162" w:type="pct"/>
            <w:vMerge w:val="restart"/>
            <w:tcBorders>
              <w:top w:val="single" w:sz="8" w:space="0" w:color="000000"/>
              <w:left w:val="single" w:sz="4" w:space="0" w:color="auto"/>
              <w:right w:val="single" w:sz="8" w:space="0" w:color="000000"/>
            </w:tcBorders>
          </w:tcPr>
          <w:p w14:paraId="14CB1D19" w14:textId="77777777" w:rsidR="00842773" w:rsidRPr="00E5135C" w:rsidRDefault="00842773" w:rsidP="00532502">
            <w:pPr>
              <w:rPr>
                <w:b/>
                <w:bCs/>
                <w:color w:val="000000"/>
                <w:sz w:val="16"/>
                <w:szCs w:val="16"/>
              </w:rPr>
            </w:pPr>
            <w:r w:rsidRPr="00E5135C">
              <w:rPr>
                <w:b/>
                <w:bCs/>
                <w:color w:val="000000"/>
                <w:sz w:val="16"/>
                <w:szCs w:val="16"/>
              </w:rPr>
              <w:lastRenderedPageBreak/>
              <w:t>Output 1.1</w:t>
            </w:r>
            <w:r w:rsidRPr="00E5135C">
              <w:rPr>
                <w:bCs/>
                <w:color w:val="000000"/>
                <w:sz w:val="16"/>
                <w:szCs w:val="16"/>
              </w:rPr>
              <w:t>. Government has developed policies, strategies, plans and systems at national and subnational levels to achieve sustainable management of extractives and employment/livelihood intensive productive sectors for reduction of poverty and inequalities.</w:t>
            </w:r>
            <w:r w:rsidRPr="00E5135C">
              <w:rPr>
                <w:b/>
                <w:bCs/>
                <w:color w:val="000000"/>
                <w:sz w:val="16"/>
                <w:szCs w:val="16"/>
              </w:rPr>
              <w:t xml:space="preserve"> </w:t>
            </w:r>
          </w:p>
          <w:p w14:paraId="4F27F484" w14:textId="77777777" w:rsidR="00842773" w:rsidRPr="00E5135C" w:rsidRDefault="00842773" w:rsidP="00532502">
            <w:pPr>
              <w:rPr>
                <w:bCs/>
                <w:color w:val="000000"/>
                <w:sz w:val="16"/>
                <w:szCs w:val="16"/>
              </w:rPr>
            </w:pPr>
          </w:p>
          <w:p w14:paraId="4ADC51C8" w14:textId="77777777" w:rsidR="00842773" w:rsidRPr="00E5135C" w:rsidRDefault="00842773" w:rsidP="00532502">
            <w:pPr>
              <w:rPr>
                <w:bCs/>
                <w:color w:val="000000"/>
                <w:sz w:val="16"/>
                <w:szCs w:val="16"/>
              </w:rPr>
            </w:pPr>
            <w:r w:rsidRPr="00E5135C">
              <w:rPr>
                <w:bCs/>
                <w:color w:val="000000"/>
                <w:sz w:val="16"/>
                <w:szCs w:val="16"/>
              </w:rPr>
              <w:t xml:space="preserve">Indicator:  Number of operational schemes which expand, diversify the productive base and improve livelihoods based on sustainable production strategies and technologies. </w:t>
            </w:r>
          </w:p>
          <w:p w14:paraId="013A39BB" w14:textId="77777777" w:rsidR="00842773" w:rsidRPr="00E5135C" w:rsidRDefault="00842773" w:rsidP="00532502">
            <w:pPr>
              <w:rPr>
                <w:bCs/>
                <w:color w:val="000000"/>
                <w:sz w:val="16"/>
                <w:szCs w:val="16"/>
              </w:rPr>
            </w:pPr>
          </w:p>
          <w:p w14:paraId="31C566C5" w14:textId="77777777" w:rsidR="00842773" w:rsidRPr="00E5135C" w:rsidRDefault="00842773" w:rsidP="00532502">
            <w:pPr>
              <w:rPr>
                <w:bCs/>
                <w:color w:val="000000"/>
                <w:sz w:val="16"/>
                <w:szCs w:val="16"/>
              </w:rPr>
            </w:pPr>
            <w:r w:rsidRPr="00E5135C">
              <w:rPr>
                <w:bCs/>
                <w:color w:val="000000"/>
                <w:sz w:val="16"/>
                <w:szCs w:val="16"/>
              </w:rPr>
              <w:t>Baseline: 3</w:t>
            </w:r>
          </w:p>
          <w:p w14:paraId="7D045101" w14:textId="77777777" w:rsidR="00842773" w:rsidRPr="00E5135C" w:rsidRDefault="00842773" w:rsidP="00532502">
            <w:pPr>
              <w:rPr>
                <w:bCs/>
                <w:color w:val="000000"/>
                <w:sz w:val="16"/>
                <w:szCs w:val="16"/>
              </w:rPr>
            </w:pPr>
            <w:r w:rsidRPr="00E5135C">
              <w:rPr>
                <w:bCs/>
                <w:color w:val="000000"/>
                <w:sz w:val="16"/>
                <w:szCs w:val="16"/>
              </w:rPr>
              <w:t>Target:    5</w:t>
            </w:r>
          </w:p>
          <w:p w14:paraId="29A49CF9" w14:textId="77777777" w:rsidR="00842773" w:rsidRPr="00E5135C" w:rsidRDefault="00842773" w:rsidP="00532502">
            <w:pPr>
              <w:rPr>
                <w:bCs/>
                <w:color w:val="000000"/>
                <w:sz w:val="16"/>
                <w:szCs w:val="16"/>
              </w:rPr>
            </w:pPr>
          </w:p>
          <w:p w14:paraId="2B26B33B" w14:textId="2C21A9A7" w:rsidR="00842773" w:rsidRPr="00E5135C" w:rsidRDefault="00842773" w:rsidP="00532502">
            <w:pPr>
              <w:rPr>
                <w:bCs/>
                <w:color w:val="000000"/>
                <w:sz w:val="16"/>
                <w:szCs w:val="16"/>
              </w:rPr>
            </w:pPr>
            <w:r w:rsidRPr="00E5135C">
              <w:rPr>
                <w:bCs/>
                <w:color w:val="000000"/>
                <w:sz w:val="16"/>
                <w:szCs w:val="16"/>
              </w:rPr>
              <w:t>Indicator: Number of registered artisanal, small</w:t>
            </w:r>
            <w:r w:rsidR="00072E34">
              <w:rPr>
                <w:bCs/>
                <w:color w:val="000000"/>
                <w:sz w:val="16"/>
                <w:szCs w:val="16"/>
              </w:rPr>
              <w:t>-</w:t>
            </w:r>
            <w:r w:rsidRPr="00E5135C">
              <w:rPr>
                <w:bCs/>
                <w:color w:val="000000"/>
                <w:sz w:val="16"/>
                <w:szCs w:val="16"/>
              </w:rPr>
              <w:t xml:space="preserve"> and </w:t>
            </w:r>
            <w:r w:rsidR="00072E34" w:rsidRPr="00E5135C">
              <w:rPr>
                <w:bCs/>
                <w:color w:val="000000"/>
                <w:sz w:val="16"/>
                <w:szCs w:val="16"/>
              </w:rPr>
              <w:t>medium</w:t>
            </w:r>
            <w:r w:rsidR="00072E34">
              <w:rPr>
                <w:bCs/>
                <w:color w:val="000000"/>
                <w:sz w:val="16"/>
                <w:szCs w:val="16"/>
              </w:rPr>
              <w:t>-</w:t>
            </w:r>
            <w:r w:rsidRPr="00E5135C">
              <w:rPr>
                <w:bCs/>
                <w:color w:val="000000"/>
                <w:sz w:val="16"/>
                <w:szCs w:val="16"/>
              </w:rPr>
              <w:t>scale enterprises participating in productive sector value chains.</w:t>
            </w:r>
          </w:p>
          <w:p w14:paraId="06B6AFCF" w14:textId="77777777" w:rsidR="00842773" w:rsidRPr="00E5135C" w:rsidRDefault="00842773" w:rsidP="00532502">
            <w:pPr>
              <w:rPr>
                <w:bCs/>
                <w:color w:val="000000"/>
                <w:sz w:val="16"/>
                <w:szCs w:val="16"/>
              </w:rPr>
            </w:pPr>
          </w:p>
          <w:p w14:paraId="298355B8" w14:textId="77777777" w:rsidR="00842773" w:rsidRPr="00E5135C" w:rsidRDefault="00842773" w:rsidP="00532502">
            <w:pPr>
              <w:rPr>
                <w:bCs/>
                <w:color w:val="000000"/>
                <w:sz w:val="16"/>
                <w:szCs w:val="16"/>
              </w:rPr>
            </w:pPr>
            <w:r w:rsidRPr="00E5135C">
              <w:rPr>
                <w:bCs/>
                <w:color w:val="000000"/>
                <w:sz w:val="16"/>
                <w:szCs w:val="16"/>
              </w:rPr>
              <w:t xml:space="preserve">Baseline: </w:t>
            </w:r>
            <w:r w:rsidR="00EA1A37" w:rsidRPr="00E5135C">
              <w:rPr>
                <w:bCs/>
                <w:color w:val="000000"/>
                <w:sz w:val="16"/>
                <w:szCs w:val="16"/>
              </w:rPr>
              <w:t>300</w:t>
            </w:r>
          </w:p>
          <w:p w14:paraId="2E7C2C31" w14:textId="77777777" w:rsidR="00842773" w:rsidRPr="00E5135C" w:rsidRDefault="00842773" w:rsidP="00532502">
            <w:pPr>
              <w:rPr>
                <w:bCs/>
                <w:color w:val="000000"/>
                <w:sz w:val="16"/>
                <w:szCs w:val="16"/>
              </w:rPr>
            </w:pPr>
            <w:r w:rsidRPr="00E5135C">
              <w:rPr>
                <w:bCs/>
                <w:color w:val="000000"/>
                <w:sz w:val="16"/>
                <w:szCs w:val="16"/>
              </w:rPr>
              <w:t>Target: 1500</w:t>
            </w:r>
          </w:p>
          <w:p w14:paraId="6CB81E0D" w14:textId="77777777" w:rsidR="00842773" w:rsidRPr="00E5135C" w:rsidRDefault="00842773" w:rsidP="00532502">
            <w:pPr>
              <w:rPr>
                <w:bCs/>
                <w:color w:val="000000"/>
                <w:sz w:val="16"/>
                <w:szCs w:val="16"/>
              </w:rPr>
            </w:pPr>
          </w:p>
          <w:p w14:paraId="6E65D926" w14:textId="4AF02724" w:rsidR="00842773" w:rsidRPr="00E5135C" w:rsidRDefault="00842773" w:rsidP="00532502">
            <w:pPr>
              <w:rPr>
                <w:bCs/>
                <w:color w:val="000000"/>
                <w:sz w:val="16"/>
                <w:szCs w:val="16"/>
              </w:rPr>
            </w:pPr>
            <w:r w:rsidRPr="00E5135C">
              <w:rPr>
                <w:bCs/>
                <w:color w:val="000000"/>
                <w:sz w:val="16"/>
                <w:szCs w:val="16"/>
              </w:rPr>
              <w:t>Data source: Ministries of Finance, Commence</w:t>
            </w:r>
            <w:r w:rsidR="00072E34">
              <w:rPr>
                <w:bCs/>
                <w:color w:val="000000"/>
                <w:sz w:val="16"/>
                <w:szCs w:val="16"/>
              </w:rPr>
              <w:t>,</w:t>
            </w:r>
            <w:r w:rsidRPr="00E5135C">
              <w:rPr>
                <w:bCs/>
                <w:color w:val="000000"/>
                <w:sz w:val="16"/>
                <w:szCs w:val="16"/>
              </w:rPr>
              <w:t xml:space="preserve"> and Mines  </w:t>
            </w:r>
            <w:r w:rsidR="00072E34">
              <w:rPr>
                <w:bCs/>
                <w:color w:val="000000"/>
                <w:sz w:val="16"/>
                <w:szCs w:val="16"/>
              </w:rPr>
              <w:t>r</w:t>
            </w:r>
            <w:r w:rsidR="00072E34" w:rsidRPr="00E5135C">
              <w:rPr>
                <w:bCs/>
                <w:color w:val="000000"/>
                <w:sz w:val="16"/>
                <w:szCs w:val="16"/>
              </w:rPr>
              <w:t>eports</w:t>
            </w:r>
            <w:r w:rsidRPr="00E5135C">
              <w:rPr>
                <w:bCs/>
                <w:color w:val="000000"/>
                <w:sz w:val="16"/>
                <w:szCs w:val="16"/>
              </w:rPr>
              <w:t xml:space="preserve">, </w:t>
            </w:r>
            <w:r w:rsidR="00072E34">
              <w:rPr>
                <w:bCs/>
                <w:color w:val="000000"/>
                <w:sz w:val="16"/>
                <w:szCs w:val="16"/>
              </w:rPr>
              <w:t>l</w:t>
            </w:r>
            <w:r w:rsidR="00072E34" w:rsidRPr="00E5135C">
              <w:rPr>
                <w:bCs/>
                <w:color w:val="000000"/>
                <w:sz w:val="16"/>
                <w:szCs w:val="16"/>
              </w:rPr>
              <w:t xml:space="preserve">ine </w:t>
            </w:r>
            <w:r w:rsidR="00072E34">
              <w:rPr>
                <w:bCs/>
                <w:color w:val="000000"/>
                <w:sz w:val="16"/>
                <w:szCs w:val="16"/>
              </w:rPr>
              <w:t>m</w:t>
            </w:r>
            <w:r w:rsidR="00072E34" w:rsidRPr="00E5135C">
              <w:rPr>
                <w:bCs/>
                <w:color w:val="000000"/>
                <w:sz w:val="16"/>
                <w:szCs w:val="16"/>
              </w:rPr>
              <w:t xml:space="preserve">inistry </w:t>
            </w:r>
            <w:r w:rsidR="00072E34">
              <w:rPr>
                <w:bCs/>
                <w:color w:val="000000"/>
                <w:sz w:val="16"/>
                <w:szCs w:val="16"/>
              </w:rPr>
              <w:t>r</w:t>
            </w:r>
            <w:r w:rsidR="00072E34" w:rsidRPr="00E5135C">
              <w:rPr>
                <w:bCs/>
                <w:color w:val="000000"/>
                <w:sz w:val="16"/>
                <w:szCs w:val="16"/>
              </w:rPr>
              <w:t xml:space="preserve">eports </w:t>
            </w:r>
            <w:r w:rsidRPr="00E5135C">
              <w:rPr>
                <w:bCs/>
                <w:color w:val="000000"/>
                <w:sz w:val="16"/>
                <w:szCs w:val="16"/>
              </w:rPr>
              <w:t>Frequency: Annual</w:t>
            </w:r>
          </w:p>
          <w:p w14:paraId="54486D88" w14:textId="77777777" w:rsidR="00842773" w:rsidRPr="00E5135C" w:rsidRDefault="00842773" w:rsidP="00532502">
            <w:pPr>
              <w:rPr>
                <w:bCs/>
                <w:color w:val="000000"/>
                <w:sz w:val="16"/>
                <w:szCs w:val="16"/>
              </w:rPr>
            </w:pPr>
          </w:p>
          <w:p w14:paraId="799ED571" w14:textId="77777777" w:rsidR="00842773" w:rsidRPr="00E5135C" w:rsidRDefault="00842773" w:rsidP="00532502">
            <w:pPr>
              <w:rPr>
                <w:bCs/>
                <w:color w:val="000000"/>
                <w:sz w:val="16"/>
                <w:szCs w:val="16"/>
              </w:rPr>
            </w:pPr>
          </w:p>
        </w:tc>
        <w:tc>
          <w:tcPr>
            <w:tcW w:w="634" w:type="pct"/>
            <w:gridSpan w:val="2"/>
            <w:vMerge w:val="restart"/>
            <w:tcBorders>
              <w:top w:val="single" w:sz="8" w:space="0" w:color="000000"/>
              <w:left w:val="single" w:sz="8" w:space="0" w:color="000000"/>
              <w:right w:val="single" w:sz="8" w:space="0" w:color="000000"/>
            </w:tcBorders>
          </w:tcPr>
          <w:p w14:paraId="52F289A9" w14:textId="3D831CDA" w:rsidR="001313E3" w:rsidRDefault="00842773" w:rsidP="00532502">
            <w:pPr>
              <w:rPr>
                <w:bCs/>
                <w:color w:val="000000"/>
                <w:sz w:val="16"/>
                <w:szCs w:val="16"/>
              </w:rPr>
            </w:pPr>
            <w:r w:rsidRPr="007A2D99">
              <w:rPr>
                <w:bCs/>
                <w:color w:val="000000"/>
                <w:sz w:val="16"/>
                <w:szCs w:val="16"/>
              </w:rPr>
              <w:t>Cabinet Office</w:t>
            </w:r>
            <w:r w:rsidR="001313E3">
              <w:rPr>
                <w:bCs/>
                <w:color w:val="000000"/>
                <w:sz w:val="16"/>
                <w:szCs w:val="16"/>
              </w:rPr>
              <w:t>;</w:t>
            </w:r>
          </w:p>
          <w:p w14:paraId="12F126C2" w14:textId="77777777" w:rsidR="001313E3" w:rsidRDefault="00842773" w:rsidP="00532502">
            <w:pPr>
              <w:rPr>
                <w:bCs/>
                <w:color w:val="000000"/>
                <w:sz w:val="16"/>
                <w:szCs w:val="16"/>
              </w:rPr>
            </w:pPr>
            <w:r w:rsidRPr="007A2D99">
              <w:rPr>
                <w:bCs/>
                <w:color w:val="000000"/>
                <w:sz w:val="16"/>
                <w:szCs w:val="16"/>
              </w:rPr>
              <w:t>Ministr</w:t>
            </w:r>
            <w:r w:rsidR="00C229C2">
              <w:rPr>
                <w:bCs/>
                <w:color w:val="000000"/>
                <w:sz w:val="16"/>
                <w:szCs w:val="16"/>
              </w:rPr>
              <w:t>y</w:t>
            </w:r>
            <w:r w:rsidRPr="007A2D99">
              <w:rPr>
                <w:bCs/>
                <w:color w:val="000000"/>
                <w:sz w:val="16"/>
                <w:szCs w:val="16"/>
              </w:rPr>
              <w:t xml:space="preserve"> of Commerce Trade and Industry;  </w:t>
            </w:r>
            <w:r w:rsidR="00C229C2">
              <w:rPr>
                <w:bCs/>
                <w:color w:val="000000"/>
                <w:sz w:val="16"/>
                <w:szCs w:val="16"/>
              </w:rPr>
              <w:t xml:space="preserve">Ministry </w:t>
            </w:r>
            <w:r w:rsidRPr="007A2D99">
              <w:rPr>
                <w:bCs/>
                <w:color w:val="000000"/>
                <w:sz w:val="16"/>
                <w:szCs w:val="16"/>
              </w:rPr>
              <w:t>Agriculture</w:t>
            </w:r>
            <w:r w:rsidR="00072E34">
              <w:rPr>
                <w:bCs/>
                <w:color w:val="000000"/>
                <w:sz w:val="16"/>
                <w:szCs w:val="16"/>
              </w:rPr>
              <w:t>;</w:t>
            </w:r>
            <w:r w:rsidR="00072E34" w:rsidRPr="007A2D99">
              <w:rPr>
                <w:bCs/>
                <w:color w:val="000000"/>
                <w:sz w:val="16"/>
                <w:szCs w:val="16"/>
              </w:rPr>
              <w:t xml:space="preserve">  </w:t>
            </w:r>
            <w:r w:rsidR="00EA42B4" w:rsidRPr="00EA42B4">
              <w:rPr>
                <w:bCs/>
                <w:color w:val="000000"/>
                <w:sz w:val="16"/>
                <w:szCs w:val="16"/>
              </w:rPr>
              <w:t xml:space="preserve">Ministry of Mines, Energy and Water and Development </w:t>
            </w:r>
          </w:p>
          <w:p w14:paraId="71708D3F" w14:textId="77777777" w:rsidR="001313E3" w:rsidRDefault="00EA42B4" w:rsidP="00532502">
            <w:pPr>
              <w:rPr>
                <w:bCs/>
                <w:color w:val="000000"/>
                <w:sz w:val="16"/>
                <w:szCs w:val="16"/>
              </w:rPr>
            </w:pPr>
            <w:r w:rsidRPr="00EA42B4">
              <w:rPr>
                <w:bCs/>
                <w:color w:val="000000"/>
                <w:sz w:val="16"/>
                <w:szCs w:val="16"/>
              </w:rPr>
              <w:t>(MMEWD</w:t>
            </w:r>
            <w:r w:rsidR="001313E3">
              <w:rPr>
                <w:bCs/>
                <w:color w:val="000000"/>
                <w:sz w:val="16"/>
                <w:szCs w:val="16"/>
              </w:rPr>
              <w:t>);</w:t>
            </w:r>
          </w:p>
          <w:p w14:paraId="1B8E3068" w14:textId="37D2DCEC" w:rsidR="001313E3" w:rsidRDefault="00891788" w:rsidP="00532502">
            <w:pPr>
              <w:rPr>
                <w:bCs/>
                <w:color w:val="000000"/>
                <w:sz w:val="16"/>
                <w:szCs w:val="16"/>
              </w:rPr>
            </w:pPr>
            <w:r w:rsidRPr="00891788">
              <w:rPr>
                <w:bCs/>
                <w:color w:val="000000"/>
                <w:sz w:val="16"/>
                <w:szCs w:val="16"/>
              </w:rPr>
              <w:t xml:space="preserve">Ministry </w:t>
            </w:r>
            <w:r w:rsidR="00EA42B4" w:rsidRPr="00891788">
              <w:rPr>
                <w:bCs/>
                <w:color w:val="000000"/>
                <w:sz w:val="16"/>
                <w:szCs w:val="16"/>
              </w:rPr>
              <w:t>of Tourism Land</w:t>
            </w:r>
            <w:r w:rsidRPr="00891788">
              <w:rPr>
                <w:bCs/>
                <w:color w:val="000000"/>
                <w:sz w:val="16"/>
                <w:szCs w:val="16"/>
              </w:rPr>
              <w:t>s</w:t>
            </w:r>
            <w:r w:rsidR="00EA42B4" w:rsidRPr="00891788">
              <w:rPr>
                <w:bCs/>
                <w:color w:val="000000"/>
                <w:sz w:val="16"/>
                <w:szCs w:val="16"/>
              </w:rPr>
              <w:t xml:space="preserve"> and Environment</w:t>
            </w:r>
            <w:r w:rsidR="00072E34" w:rsidRPr="00891788">
              <w:rPr>
                <w:bCs/>
                <w:color w:val="000000"/>
                <w:sz w:val="16"/>
                <w:szCs w:val="16"/>
              </w:rPr>
              <w:t>;</w:t>
            </w:r>
            <w:r w:rsidR="00072E34" w:rsidRPr="007A2D99">
              <w:rPr>
                <w:bCs/>
                <w:color w:val="000000"/>
                <w:sz w:val="16"/>
                <w:szCs w:val="16"/>
              </w:rPr>
              <w:t xml:space="preserve"> </w:t>
            </w:r>
          </w:p>
          <w:p w14:paraId="5D6F447D" w14:textId="522C511A" w:rsidR="00842773" w:rsidRPr="007A2D99" w:rsidRDefault="00C229C2" w:rsidP="00532502">
            <w:pPr>
              <w:rPr>
                <w:bCs/>
                <w:color w:val="000000"/>
                <w:sz w:val="16"/>
                <w:szCs w:val="16"/>
              </w:rPr>
            </w:pPr>
            <w:r>
              <w:rPr>
                <w:bCs/>
                <w:color w:val="000000"/>
                <w:sz w:val="16"/>
                <w:szCs w:val="16"/>
              </w:rPr>
              <w:t xml:space="preserve">Ministry of </w:t>
            </w:r>
            <w:r w:rsidR="00842773" w:rsidRPr="007A2D99">
              <w:rPr>
                <w:bCs/>
                <w:color w:val="000000"/>
                <w:sz w:val="16"/>
                <w:szCs w:val="16"/>
              </w:rPr>
              <w:t>Finance</w:t>
            </w:r>
          </w:p>
          <w:p w14:paraId="10A353BE" w14:textId="77777777" w:rsidR="00842773" w:rsidRPr="007A2D99" w:rsidRDefault="00842773" w:rsidP="00532502">
            <w:pPr>
              <w:rPr>
                <w:bCs/>
                <w:color w:val="000000"/>
                <w:sz w:val="16"/>
                <w:szCs w:val="16"/>
              </w:rPr>
            </w:pPr>
          </w:p>
        </w:tc>
        <w:tc>
          <w:tcPr>
            <w:tcW w:w="614" w:type="pct"/>
            <w:tcBorders>
              <w:top w:val="single" w:sz="8" w:space="0" w:color="000000"/>
              <w:left w:val="single" w:sz="8" w:space="0" w:color="000000"/>
              <w:bottom w:val="single" w:sz="4" w:space="0" w:color="auto"/>
              <w:right w:val="single" w:sz="8" w:space="0" w:color="000000"/>
            </w:tcBorders>
          </w:tcPr>
          <w:p w14:paraId="64D05BD0" w14:textId="77777777" w:rsidR="00842773" w:rsidRPr="004F59D7" w:rsidRDefault="00842773" w:rsidP="00532502">
            <w:pPr>
              <w:rPr>
                <w:sz w:val="18"/>
                <w:szCs w:val="18"/>
              </w:rPr>
            </w:pPr>
            <w:r w:rsidRPr="004F59D7">
              <w:rPr>
                <w:b/>
                <w:sz w:val="18"/>
                <w:szCs w:val="18"/>
              </w:rPr>
              <w:t>Regular</w:t>
            </w:r>
            <w:r w:rsidRPr="004F59D7">
              <w:rPr>
                <w:sz w:val="18"/>
                <w:szCs w:val="18"/>
              </w:rPr>
              <w:t>: 3,000,000</w:t>
            </w:r>
          </w:p>
        </w:tc>
      </w:tr>
      <w:tr w:rsidR="00842773" w:rsidRPr="00501E43" w14:paraId="3497815F" w14:textId="77777777" w:rsidTr="00AE71CA">
        <w:tc>
          <w:tcPr>
            <w:tcW w:w="911" w:type="pct"/>
            <w:gridSpan w:val="2"/>
            <w:vMerge/>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tcPr>
          <w:p w14:paraId="6813863C" w14:textId="05E79DBB" w:rsidR="00842773" w:rsidRDefault="00842773" w:rsidP="00532502">
            <w:pPr>
              <w:rPr>
                <w:i/>
                <w:iCs/>
                <w:sz w:val="16"/>
                <w:szCs w:val="16"/>
              </w:rPr>
            </w:pPr>
          </w:p>
        </w:tc>
        <w:tc>
          <w:tcPr>
            <w:tcW w:w="679" w:type="pct"/>
            <w:vMerge/>
            <w:tcBorders>
              <w:top w:val="single" w:sz="8" w:space="0" w:color="000000"/>
              <w:left w:val="single" w:sz="8" w:space="0" w:color="000000"/>
              <w:bottom w:val="single" w:sz="4" w:space="0" w:color="auto"/>
              <w:right w:val="single" w:sz="4" w:space="0" w:color="auto"/>
            </w:tcBorders>
          </w:tcPr>
          <w:p w14:paraId="5011A39B" w14:textId="77777777" w:rsidR="00842773" w:rsidRPr="00AB44FB" w:rsidRDefault="00842773" w:rsidP="00532502">
            <w:pPr>
              <w:pStyle w:val="ColorfulList-Accent11"/>
              <w:ind w:left="0"/>
              <w:rPr>
                <w:i/>
                <w:iCs/>
                <w:sz w:val="16"/>
                <w:szCs w:val="16"/>
                <w:highlight w:val="yellow"/>
              </w:rPr>
            </w:pPr>
          </w:p>
        </w:tc>
        <w:tc>
          <w:tcPr>
            <w:tcW w:w="2162" w:type="pct"/>
            <w:vMerge/>
            <w:tcBorders>
              <w:left w:val="single" w:sz="4" w:space="0" w:color="auto"/>
              <w:right w:val="single" w:sz="8" w:space="0" w:color="000000"/>
            </w:tcBorders>
          </w:tcPr>
          <w:p w14:paraId="4FBE5C28" w14:textId="77777777" w:rsidR="00842773" w:rsidRPr="00600D3B" w:rsidRDefault="00842773" w:rsidP="00532502">
            <w:pPr>
              <w:rPr>
                <w:bCs/>
                <w:color w:val="000000"/>
                <w:sz w:val="16"/>
                <w:szCs w:val="16"/>
              </w:rPr>
            </w:pPr>
          </w:p>
        </w:tc>
        <w:tc>
          <w:tcPr>
            <w:tcW w:w="634" w:type="pct"/>
            <w:gridSpan w:val="2"/>
            <w:vMerge/>
            <w:tcBorders>
              <w:left w:val="single" w:sz="8" w:space="0" w:color="000000"/>
              <w:right w:val="single" w:sz="4" w:space="0" w:color="auto"/>
            </w:tcBorders>
          </w:tcPr>
          <w:p w14:paraId="54E2451E" w14:textId="77777777" w:rsidR="00842773" w:rsidRPr="007A2D99" w:rsidRDefault="00842773" w:rsidP="00532502">
            <w:pPr>
              <w:rPr>
                <w:bCs/>
                <w:color w:val="000000"/>
                <w:sz w:val="16"/>
                <w:szCs w:val="16"/>
              </w:rPr>
            </w:pPr>
          </w:p>
        </w:tc>
        <w:tc>
          <w:tcPr>
            <w:tcW w:w="614" w:type="pct"/>
            <w:tcBorders>
              <w:top w:val="single" w:sz="4" w:space="0" w:color="auto"/>
              <w:left w:val="single" w:sz="4" w:space="0" w:color="auto"/>
              <w:right w:val="single" w:sz="4" w:space="0" w:color="auto"/>
            </w:tcBorders>
          </w:tcPr>
          <w:p w14:paraId="078280E5" w14:textId="77777777" w:rsidR="00842773" w:rsidRPr="004F59D7" w:rsidRDefault="00842773" w:rsidP="00532502">
            <w:pPr>
              <w:rPr>
                <w:sz w:val="18"/>
                <w:szCs w:val="18"/>
              </w:rPr>
            </w:pPr>
            <w:r w:rsidRPr="004F59D7">
              <w:rPr>
                <w:b/>
                <w:sz w:val="18"/>
                <w:szCs w:val="18"/>
              </w:rPr>
              <w:t>Other:</w:t>
            </w:r>
            <w:r w:rsidRPr="004F59D7">
              <w:rPr>
                <w:sz w:val="18"/>
                <w:szCs w:val="18"/>
              </w:rPr>
              <w:t xml:space="preserve"> </w:t>
            </w:r>
            <w:r>
              <w:rPr>
                <w:sz w:val="18"/>
                <w:szCs w:val="18"/>
              </w:rPr>
              <w:t>47</w:t>
            </w:r>
            <w:r w:rsidRPr="004F59D7">
              <w:rPr>
                <w:sz w:val="18"/>
                <w:szCs w:val="18"/>
              </w:rPr>
              <w:t>,000,000</w:t>
            </w:r>
          </w:p>
        </w:tc>
      </w:tr>
      <w:tr w:rsidR="00842773" w:rsidRPr="00501E43" w14:paraId="651420A3" w14:textId="77777777" w:rsidTr="00AE71CA">
        <w:tc>
          <w:tcPr>
            <w:tcW w:w="911" w:type="pct"/>
            <w:gridSpan w:val="2"/>
            <w:vMerge/>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tcPr>
          <w:p w14:paraId="334AEB7C" w14:textId="77777777" w:rsidR="00842773" w:rsidRPr="009A7EF5" w:rsidRDefault="00842773" w:rsidP="00532502">
            <w:pPr>
              <w:rPr>
                <w:b/>
                <w:bCs/>
                <w:color w:val="000000"/>
                <w:sz w:val="16"/>
                <w:szCs w:val="16"/>
              </w:rPr>
            </w:pPr>
          </w:p>
        </w:tc>
        <w:tc>
          <w:tcPr>
            <w:tcW w:w="679" w:type="pct"/>
            <w:vMerge/>
            <w:tcBorders>
              <w:top w:val="single" w:sz="8" w:space="0" w:color="000000"/>
              <w:left w:val="single" w:sz="8" w:space="0" w:color="000000"/>
              <w:bottom w:val="single" w:sz="4" w:space="0" w:color="auto"/>
              <w:right w:val="single" w:sz="4" w:space="0" w:color="auto"/>
            </w:tcBorders>
          </w:tcPr>
          <w:p w14:paraId="5C38C2F2" w14:textId="77777777" w:rsidR="00842773" w:rsidRPr="009A7EF5" w:rsidRDefault="00842773" w:rsidP="00532502">
            <w:pPr>
              <w:rPr>
                <w:b/>
                <w:bCs/>
                <w:color w:val="000000"/>
                <w:sz w:val="16"/>
                <w:szCs w:val="16"/>
              </w:rPr>
            </w:pPr>
          </w:p>
        </w:tc>
        <w:tc>
          <w:tcPr>
            <w:tcW w:w="2162" w:type="pct"/>
            <w:tcBorders>
              <w:top w:val="single" w:sz="8" w:space="0" w:color="000000"/>
              <w:left w:val="single" w:sz="4" w:space="0" w:color="auto"/>
              <w:bottom w:val="single" w:sz="8" w:space="0" w:color="000000"/>
              <w:right w:val="single" w:sz="8" w:space="0" w:color="000000"/>
            </w:tcBorders>
          </w:tcPr>
          <w:p w14:paraId="089BA206" w14:textId="60490CB0" w:rsidR="00842773" w:rsidRPr="00BA494A" w:rsidRDefault="00842773" w:rsidP="00532502">
            <w:pPr>
              <w:rPr>
                <w:b/>
                <w:bCs/>
                <w:color w:val="000000"/>
                <w:sz w:val="16"/>
                <w:szCs w:val="16"/>
              </w:rPr>
            </w:pPr>
            <w:r w:rsidRPr="0072499A">
              <w:rPr>
                <w:b/>
                <w:bCs/>
                <w:color w:val="000000"/>
                <w:sz w:val="16"/>
                <w:szCs w:val="16"/>
              </w:rPr>
              <w:t xml:space="preserve">Output 1.2. </w:t>
            </w:r>
            <w:r w:rsidRPr="0072499A">
              <w:rPr>
                <w:bCs/>
                <w:color w:val="000000"/>
                <w:sz w:val="16"/>
                <w:szCs w:val="16"/>
              </w:rPr>
              <w:t>MLNREP and its partners have developed policies, systems and measures  at national and sub-national levels for sustainable management of natural resources, ecosystem  services, chemicals and waste</w:t>
            </w:r>
          </w:p>
          <w:p w14:paraId="55A36711" w14:textId="77777777" w:rsidR="00842773" w:rsidRDefault="00842773" w:rsidP="00532502">
            <w:pPr>
              <w:rPr>
                <w:bCs/>
                <w:color w:val="000000"/>
                <w:sz w:val="16"/>
                <w:szCs w:val="16"/>
              </w:rPr>
            </w:pPr>
          </w:p>
          <w:p w14:paraId="78B5DB6D" w14:textId="77777777" w:rsidR="00842773" w:rsidRPr="0072499A" w:rsidRDefault="00842773" w:rsidP="00532502">
            <w:pPr>
              <w:rPr>
                <w:bCs/>
                <w:color w:val="000000"/>
                <w:sz w:val="16"/>
                <w:szCs w:val="16"/>
              </w:rPr>
            </w:pPr>
          </w:p>
          <w:p w14:paraId="73AFE625" w14:textId="77777777" w:rsidR="00842773" w:rsidRPr="00BA494A" w:rsidRDefault="00842773" w:rsidP="00532502">
            <w:pPr>
              <w:rPr>
                <w:bCs/>
                <w:color w:val="000000"/>
                <w:sz w:val="16"/>
                <w:szCs w:val="16"/>
              </w:rPr>
            </w:pPr>
            <w:r w:rsidRPr="00BA494A">
              <w:rPr>
                <w:bCs/>
                <w:color w:val="000000"/>
                <w:sz w:val="16"/>
                <w:szCs w:val="16"/>
              </w:rPr>
              <w:t xml:space="preserve">Indicator: Number of hectares of forest cover brought under sustainable management. </w:t>
            </w:r>
          </w:p>
          <w:p w14:paraId="3E1D1BE4" w14:textId="77777777" w:rsidR="00842773" w:rsidRPr="00BA494A" w:rsidRDefault="00842773" w:rsidP="00532502">
            <w:pPr>
              <w:rPr>
                <w:bCs/>
                <w:color w:val="000000"/>
                <w:sz w:val="16"/>
                <w:szCs w:val="16"/>
              </w:rPr>
            </w:pPr>
            <w:r w:rsidRPr="00BA494A">
              <w:rPr>
                <w:bCs/>
                <w:color w:val="000000"/>
                <w:sz w:val="16"/>
                <w:szCs w:val="16"/>
              </w:rPr>
              <w:t>Baseline</w:t>
            </w:r>
            <w:r>
              <w:rPr>
                <w:bCs/>
                <w:color w:val="000000"/>
                <w:sz w:val="16"/>
                <w:szCs w:val="16"/>
              </w:rPr>
              <w:t xml:space="preserve"> (2012)</w:t>
            </w:r>
            <w:r w:rsidRPr="00BA494A">
              <w:rPr>
                <w:bCs/>
                <w:color w:val="000000"/>
                <w:sz w:val="16"/>
                <w:szCs w:val="16"/>
              </w:rPr>
              <w:t xml:space="preserve">: 600,000 </w:t>
            </w:r>
          </w:p>
          <w:p w14:paraId="7DC3DCCE" w14:textId="77777777" w:rsidR="00842773" w:rsidRPr="00BA494A" w:rsidRDefault="00842773" w:rsidP="00532502">
            <w:pPr>
              <w:rPr>
                <w:bCs/>
                <w:color w:val="000000"/>
                <w:sz w:val="16"/>
                <w:szCs w:val="16"/>
              </w:rPr>
            </w:pPr>
            <w:r w:rsidRPr="00BA494A">
              <w:rPr>
                <w:bCs/>
                <w:color w:val="000000"/>
                <w:sz w:val="16"/>
                <w:szCs w:val="16"/>
              </w:rPr>
              <w:lastRenderedPageBreak/>
              <w:t>Target</w:t>
            </w:r>
            <w:r>
              <w:rPr>
                <w:bCs/>
                <w:color w:val="000000"/>
                <w:sz w:val="16"/>
                <w:szCs w:val="16"/>
              </w:rPr>
              <w:t xml:space="preserve"> (2021)</w:t>
            </w:r>
            <w:r w:rsidRPr="00BA494A">
              <w:rPr>
                <w:bCs/>
                <w:color w:val="000000"/>
                <w:sz w:val="16"/>
                <w:szCs w:val="16"/>
              </w:rPr>
              <w:t xml:space="preserve">: </w:t>
            </w:r>
            <w:r>
              <w:rPr>
                <w:bCs/>
                <w:color w:val="000000"/>
                <w:sz w:val="16"/>
                <w:szCs w:val="16"/>
              </w:rPr>
              <w:t>660,000</w:t>
            </w:r>
            <w:r w:rsidRPr="00BA494A">
              <w:rPr>
                <w:bCs/>
                <w:color w:val="000000"/>
                <w:sz w:val="16"/>
                <w:szCs w:val="16"/>
              </w:rPr>
              <w:t xml:space="preserve"> </w:t>
            </w:r>
          </w:p>
          <w:p w14:paraId="5DFAC904" w14:textId="6971CA1B" w:rsidR="00842773" w:rsidRPr="00BA494A" w:rsidRDefault="00842773" w:rsidP="00532502">
            <w:pPr>
              <w:rPr>
                <w:b/>
                <w:bCs/>
                <w:color w:val="000000"/>
                <w:sz w:val="16"/>
                <w:szCs w:val="16"/>
              </w:rPr>
            </w:pPr>
            <w:r w:rsidRPr="00BA494A">
              <w:rPr>
                <w:b/>
                <w:bCs/>
                <w:color w:val="000000"/>
                <w:sz w:val="16"/>
                <w:szCs w:val="16"/>
              </w:rPr>
              <w:t xml:space="preserve">Data source: </w:t>
            </w:r>
            <w:r w:rsidRPr="00BA494A">
              <w:rPr>
                <w:bCs/>
                <w:color w:val="000000"/>
                <w:sz w:val="16"/>
                <w:szCs w:val="16"/>
              </w:rPr>
              <w:t xml:space="preserve">MLNREP Records and Reports, </w:t>
            </w:r>
            <w:r>
              <w:rPr>
                <w:bCs/>
                <w:color w:val="000000"/>
                <w:sz w:val="16"/>
                <w:szCs w:val="16"/>
              </w:rPr>
              <w:t>ILUA</w:t>
            </w:r>
            <w:r w:rsidRPr="00BA494A">
              <w:rPr>
                <w:bCs/>
                <w:color w:val="000000"/>
                <w:sz w:val="16"/>
                <w:szCs w:val="16"/>
              </w:rPr>
              <w:t xml:space="preserve">, CBNRMB </w:t>
            </w:r>
            <w:r w:rsidR="0026664C">
              <w:rPr>
                <w:bCs/>
                <w:color w:val="000000"/>
                <w:sz w:val="16"/>
                <w:szCs w:val="16"/>
              </w:rPr>
              <w:t>r</w:t>
            </w:r>
            <w:r w:rsidR="0026664C" w:rsidRPr="00BA494A">
              <w:rPr>
                <w:bCs/>
                <w:color w:val="000000"/>
                <w:sz w:val="16"/>
                <w:szCs w:val="16"/>
              </w:rPr>
              <w:t>eports</w:t>
            </w:r>
            <w:r w:rsidRPr="00BA494A">
              <w:rPr>
                <w:bCs/>
                <w:color w:val="000000"/>
                <w:sz w:val="16"/>
                <w:szCs w:val="16"/>
              </w:rPr>
              <w:t>.</w:t>
            </w:r>
          </w:p>
          <w:p w14:paraId="78FE73CB" w14:textId="77777777" w:rsidR="00842773" w:rsidRPr="009A7EF5" w:rsidRDefault="00842773" w:rsidP="00532502">
            <w:pPr>
              <w:rPr>
                <w:b/>
                <w:bCs/>
                <w:color w:val="000000"/>
                <w:sz w:val="16"/>
                <w:szCs w:val="16"/>
              </w:rPr>
            </w:pPr>
            <w:r w:rsidRPr="0072499A">
              <w:rPr>
                <w:b/>
                <w:bCs/>
                <w:color w:val="000000"/>
                <w:sz w:val="16"/>
                <w:szCs w:val="16"/>
              </w:rPr>
              <w:t>Frequency:</w:t>
            </w:r>
            <w:r w:rsidRPr="0072499A">
              <w:rPr>
                <w:bCs/>
                <w:color w:val="000000"/>
                <w:sz w:val="16"/>
                <w:szCs w:val="16"/>
              </w:rPr>
              <w:t xml:space="preserve"> Annual</w:t>
            </w:r>
          </w:p>
        </w:tc>
        <w:tc>
          <w:tcPr>
            <w:tcW w:w="634" w:type="pct"/>
            <w:gridSpan w:val="2"/>
            <w:tcBorders>
              <w:top w:val="single" w:sz="8" w:space="0" w:color="000000"/>
              <w:left w:val="single" w:sz="8" w:space="0" w:color="000000"/>
              <w:bottom w:val="single" w:sz="8" w:space="0" w:color="000000"/>
              <w:right w:val="single" w:sz="4" w:space="0" w:color="auto"/>
            </w:tcBorders>
          </w:tcPr>
          <w:p w14:paraId="728AB656" w14:textId="093045FD" w:rsidR="001313E3" w:rsidRDefault="00C76E6F" w:rsidP="001313E3">
            <w:pPr>
              <w:rPr>
                <w:bCs/>
                <w:color w:val="000000"/>
                <w:sz w:val="16"/>
                <w:szCs w:val="16"/>
              </w:rPr>
            </w:pPr>
            <w:r>
              <w:rPr>
                <w:bCs/>
                <w:color w:val="000000"/>
                <w:sz w:val="16"/>
                <w:szCs w:val="16"/>
              </w:rPr>
              <w:lastRenderedPageBreak/>
              <w:t>MNLREP</w:t>
            </w:r>
            <w:r w:rsidR="001313E3">
              <w:rPr>
                <w:bCs/>
                <w:color w:val="000000"/>
                <w:sz w:val="16"/>
                <w:szCs w:val="16"/>
              </w:rPr>
              <w:t>;</w:t>
            </w:r>
            <w:r w:rsidR="001313E3" w:rsidRPr="007A2D99">
              <w:rPr>
                <w:bCs/>
                <w:color w:val="000000"/>
                <w:sz w:val="16"/>
                <w:szCs w:val="16"/>
              </w:rPr>
              <w:t xml:space="preserve"> </w:t>
            </w:r>
          </w:p>
          <w:p w14:paraId="320F9654" w14:textId="552817B0" w:rsidR="001313E3" w:rsidRDefault="00072E34" w:rsidP="001313E3">
            <w:pPr>
              <w:rPr>
                <w:bCs/>
                <w:color w:val="000000"/>
                <w:sz w:val="16"/>
                <w:szCs w:val="16"/>
              </w:rPr>
            </w:pPr>
            <w:r>
              <w:rPr>
                <w:bCs/>
                <w:color w:val="000000"/>
                <w:sz w:val="16"/>
                <w:szCs w:val="16"/>
              </w:rPr>
              <w:t xml:space="preserve">Zambia Environmental </w:t>
            </w:r>
            <w:r w:rsidR="0026664C">
              <w:rPr>
                <w:bCs/>
                <w:color w:val="000000"/>
                <w:sz w:val="16"/>
                <w:szCs w:val="16"/>
              </w:rPr>
              <w:t xml:space="preserve">Management </w:t>
            </w:r>
            <w:r>
              <w:rPr>
                <w:bCs/>
                <w:color w:val="000000"/>
                <w:sz w:val="16"/>
                <w:szCs w:val="16"/>
              </w:rPr>
              <w:t>Agency (</w:t>
            </w:r>
            <w:r w:rsidR="00842773" w:rsidRPr="007A2D99">
              <w:rPr>
                <w:bCs/>
                <w:color w:val="000000"/>
                <w:sz w:val="16"/>
                <w:szCs w:val="16"/>
              </w:rPr>
              <w:t>ZEMA</w:t>
            </w:r>
            <w:r w:rsidR="001313E3">
              <w:rPr>
                <w:bCs/>
                <w:color w:val="000000"/>
                <w:sz w:val="16"/>
                <w:szCs w:val="16"/>
              </w:rPr>
              <w:t>);</w:t>
            </w:r>
          </w:p>
          <w:p w14:paraId="54AD2EAD" w14:textId="1B06EDD5" w:rsidR="00842773" w:rsidRPr="007A2D99" w:rsidRDefault="001313E3" w:rsidP="001313E3">
            <w:pPr>
              <w:rPr>
                <w:bCs/>
                <w:color w:val="000000"/>
                <w:sz w:val="16"/>
                <w:szCs w:val="16"/>
              </w:rPr>
            </w:pPr>
            <w:r w:rsidRPr="007A2D99">
              <w:rPr>
                <w:bCs/>
                <w:color w:val="000000"/>
                <w:sz w:val="16"/>
                <w:szCs w:val="16"/>
              </w:rPr>
              <w:t xml:space="preserve"> </w:t>
            </w:r>
            <w:r w:rsidR="00842773" w:rsidRPr="007A2D99">
              <w:rPr>
                <w:bCs/>
                <w:color w:val="000000"/>
                <w:sz w:val="16"/>
                <w:szCs w:val="16"/>
              </w:rPr>
              <w:t xml:space="preserve">Community Based Natural Resources Management Board </w:t>
            </w:r>
            <w:r w:rsidR="00EA42B4">
              <w:rPr>
                <w:bCs/>
                <w:color w:val="000000"/>
                <w:sz w:val="16"/>
                <w:szCs w:val="16"/>
              </w:rPr>
              <w:lastRenderedPageBreak/>
              <w:t>(CBNRMB)</w:t>
            </w:r>
          </w:p>
        </w:tc>
        <w:tc>
          <w:tcPr>
            <w:tcW w:w="614" w:type="pct"/>
            <w:tcBorders>
              <w:left w:val="single" w:sz="4" w:space="0" w:color="auto"/>
              <w:right w:val="single" w:sz="4" w:space="0" w:color="auto"/>
            </w:tcBorders>
          </w:tcPr>
          <w:p w14:paraId="12E48D79" w14:textId="77777777" w:rsidR="00842773" w:rsidRDefault="00842773" w:rsidP="00532502"/>
        </w:tc>
      </w:tr>
      <w:tr w:rsidR="00842773" w:rsidRPr="00501E43" w14:paraId="718F5128" w14:textId="77777777" w:rsidTr="00AE71CA">
        <w:tc>
          <w:tcPr>
            <w:tcW w:w="911" w:type="pct"/>
            <w:gridSpan w:val="2"/>
            <w:vMerge/>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tcPr>
          <w:p w14:paraId="50350A92" w14:textId="77777777" w:rsidR="00842773" w:rsidRPr="009A7EF5" w:rsidRDefault="00842773" w:rsidP="00532502">
            <w:pPr>
              <w:rPr>
                <w:b/>
                <w:bCs/>
                <w:color w:val="000000"/>
                <w:sz w:val="16"/>
                <w:szCs w:val="16"/>
              </w:rPr>
            </w:pPr>
          </w:p>
        </w:tc>
        <w:tc>
          <w:tcPr>
            <w:tcW w:w="679" w:type="pct"/>
            <w:vMerge/>
            <w:tcBorders>
              <w:top w:val="single" w:sz="8" w:space="0" w:color="000000"/>
              <w:left w:val="single" w:sz="8" w:space="0" w:color="000000"/>
              <w:bottom w:val="single" w:sz="4" w:space="0" w:color="auto"/>
              <w:right w:val="single" w:sz="4" w:space="0" w:color="auto"/>
            </w:tcBorders>
          </w:tcPr>
          <w:p w14:paraId="1DE35876" w14:textId="77777777" w:rsidR="00842773" w:rsidRPr="009A7EF5" w:rsidRDefault="00842773" w:rsidP="00532502">
            <w:pPr>
              <w:rPr>
                <w:b/>
                <w:bCs/>
                <w:color w:val="000000"/>
                <w:sz w:val="16"/>
                <w:szCs w:val="16"/>
              </w:rPr>
            </w:pPr>
          </w:p>
        </w:tc>
        <w:tc>
          <w:tcPr>
            <w:tcW w:w="2162" w:type="pct"/>
            <w:tcBorders>
              <w:top w:val="single" w:sz="8" w:space="0" w:color="000000"/>
              <w:left w:val="single" w:sz="4" w:space="0" w:color="auto"/>
              <w:bottom w:val="single" w:sz="8" w:space="0" w:color="000000"/>
              <w:right w:val="single" w:sz="8" w:space="0" w:color="000000"/>
            </w:tcBorders>
          </w:tcPr>
          <w:p w14:paraId="35C55D0B" w14:textId="77777777" w:rsidR="00842773" w:rsidRPr="004F59D7" w:rsidRDefault="00842773" w:rsidP="00532502">
            <w:pPr>
              <w:rPr>
                <w:b/>
                <w:bCs/>
                <w:color w:val="000000"/>
                <w:sz w:val="16"/>
                <w:szCs w:val="16"/>
              </w:rPr>
            </w:pPr>
            <w:r w:rsidRPr="004F59D7">
              <w:rPr>
                <w:b/>
                <w:bCs/>
                <w:color w:val="000000"/>
                <w:sz w:val="16"/>
                <w:szCs w:val="16"/>
              </w:rPr>
              <w:t xml:space="preserve">Output 1.3. </w:t>
            </w:r>
            <w:r w:rsidRPr="00165008">
              <w:rPr>
                <w:bCs/>
                <w:color w:val="000000"/>
                <w:sz w:val="16"/>
                <w:szCs w:val="16"/>
              </w:rPr>
              <w:t>Government has scaled up action on climate change adaptation and mitigation across sectors with increased funding and implementation status.</w:t>
            </w:r>
          </w:p>
          <w:p w14:paraId="6F8F2EFB" w14:textId="77777777" w:rsidR="00842773" w:rsidRPr="00B37740" w:rsidRDefault="00842773" w:rsidP="00532502">
            <w:pPr>
              <w:rPr>
                <w:bCs/>
                <w:color w:val="000000"/>
                <w:sz w:val="16"/>
                <w:szCs w:val="16"/>
              </w:rPr>
            </w:pPr>
          </w:p>
          <w:p w14:paraId="630A5808" w14:textId="77777777" w:rsidR="00842773" w:rsidRDefault="00842773" w:rsidP="00532502">
            <w:pPr>
              <w:rPr>
                <w:bCs/>
                <w:color w:val="000000"/>
                <w:sz w:val="16"/>
                <w:szCs w:val="16"/>
              </w:rPr>
            </w:pPr>
            <w:r w:rsidRPr="00B37740">
              <w:rPr>
                <w:bCs/>
                <w:color w:val="000000"/>
                <w:sz w:val="16"/>
                <w:szCs w:val="16"/>
              </w:rPr>
              <w:t xml:space="preserve">Indicator:  </w:t>
            </w:r>
            <w:r>
              <w:rPr>
                <w:bCs/>
                <w:color w:val="000000"/>
                <w:sz w:val="16"/>
                <w:szCs w:val="16"/>
              </w:rPr>
              <w:t xml:space="preserve">Annual emissions of </w:t>
            </w:r>
            <w:r w:rsidRPr="002410B1">
              <w:rPr>
                <w:bCs/>
                <w:color w:val="000000"/>
                <w:sz w:val="16"/>
                <w:szCs w:val="16"/>
              </w:rPr>
              <w:t>carbon dioxide (</w:t>
            </w:r>
            <w:r>
              <w:rPr>
                <w:bCs/>
                <w:color w:val="000000"/>
                <w:sz w:val="16"/>
                <w:szCs w:val="16"/>
              </w:rPr>
              <w:t xml:space="preserve">Gg </w:t>
            </w:r>
            <w:r w:rsidRPr="002410B1">
              <w:rPr>
                <w:bCs/>
                <w:color w:val="000000"/>
                <w:sz w:val="16"/>
                <w:szCs w:val="16"/>
              </w:rPr>
              <w:t>CO2 equivalent)</w:t>
            </w:r>
            <w:r>
              <w:rPr>
                <w:bCs/>
                <w:color w:val="000000"/>
                <w:sz w:val="16"/>
                <w:szCs w:val="16"/>
              </w:rPr>
              <w:t xml:space="preserve"> in Agriculture, Industry, Energy, Transport and Waste Management sectors.  </w:t>
            </w:r>
          </w:p>
          <w:p w14:paraId="1EE006B2" w14:textId="77777777" w:rsidR="00842773" w:rsidRPr="00D200DB" w:rsidRDefault="00842773" w:rsidP="00532502">
            <w:pPr>
              <w:numPr>
                <w:ilvl w:val="0"/>
                <w:numId w:val="43"/>
              </w:numPr>
              <w:rPr>
                <w:bCs/>
                <w:color w:val="000000"/>
                <w:sz w:val="16"/>
                <w:szCs w:val="16"/>
              </w:rPr>
            </w:pPr>
            <w:r w:rsidRPr="00D200DB">
              <w:rPr>
                <w:bCs/>
                <w:color w:val="000000"/>
                <w:sz w:val="16"/>
                <w:szCs w:val="16"/>
              </w:rPr>
              <w:t>Agriculture                  Baseline</w:t>
            </w:r>
            <w:r w:rsidR="00F00DF5">
              <w:rPr>
                <w:bCs/>
                <w:color w:val="000000"/>
                <w:sz w:val="16"/>
                <w:szCs w:val="16"/>
              </w:rPr>
              <w:t xml:space="preserve"> </w:t>
            </w:r>
            <w:r w:rsidRPr="00D200DB">
              <w:rPr>
                <w:bCs/>
                <w:color w:val="000000"/>
                <w:sz w:val="16"/>
                <w:szCs w:val="16"/>
              </w:rPr>
              <w:t xml:space="preserve">(2000):   10,359       Target (2021):  </w:t>
            </w:r>
            <w:r>
              <w:rPr>
                <w:bCs/>
                <w:color w:val="000000"/>
                <w:sz w:val="16"/>
                <w:szCs w:val="16"/>
              </w:rPr>
              <w:t xml:space="preserve"> </w:t>
            </w:r>
            <w:r w:rsidRPr="00D200DB">
              <w:rPr>
                <w:bCs/>
                <w:color w:val="000000"/>
                <w:sz w:val="16"/>
                <w:szCs w:val="16"/>
              </w:rPr>
              <w:t>10,319</w:t>
            </w:r>
          </w:p>
          <w:p w14:paraId="136DA1B3" w14:textId="77777777" w:rsidR="00842773" w:rsidRPr="00D200DB" w:rsidRDefault="00842773" w:rsidP="00532502">
            <w:pPr>
              <w:numPr>
                <w:ilvl w:val="0"/>
                <w:numId w:val="43"/>
              </w:numPr>
              <w:rPr>
                <w:bCs/>
                <w:color w:val="000000"/>
                <w:sz w:val="16"/>
                <w:szCs w:val="16"/>
              </w:rPr>
            </w:pPr>
            <w:r w:rsidRPr="00D200DB">
              <w:rPr>
                <w:bCs/>
                <w:color w:val="000000"/>
                <w:sz w:val="16"/>
                <w:szCs w:val="16"/>
              </w:rPr>
              <w:t>Industry                       Baseline</w:t>
            </w:r>
            <w:r w:rsidR="00F00DF5">
              <w:rPr>
                <w:bCs/>
                <w:color w:val="000000"/>
                <w:sz w:val="16"/>
                <w:szCs w:val="16"/>
              </w:rPr>
              <w:t xml:space="preserve"> </w:t>
            </w:r>
            <w:r w:rsidRPr="00D200DB">
              <w:rPr>
                <w:bCs/>
                <w:color w:val="000000"/>
                <w:sz w:val="16"/>
                <w:szCs w:val="16"/>
              </w:rPr>
              <w:t xml:space="preserve">(2000):     1,006        Target (2021):     </w:t>
            </w:r>
            <w:r>
              <w:rPr>
                <w:bCs/>
                <w:color w:val="000000"/>
                <w:sz w:val="16"/>
                <w:szCs w:val="16"/>
              </w:rPr>
              <w:t xml:space="preserve"> </w:t>
            </w:r>
            <w:r w:rsidRPr="00D200DB">
              <w:rPr>
                <w:bCs/>
                <w:color w:val="000000"/>
                <w:sz w:val="16"/>
                <w:szCs w:val="16"/>
              </w:rPr>
              <w:t xml:space="preserve"> 946</w:t>
            </w:r>
          </w:p>
          <w:p w14:paraId="6FE10AFE" w14:textId="77777777" w:rsidR="00842773" w:rsidRPr="00D200DB" w:rsidRDefault="00842773" w:rsidP="00532502">
            <w:pPr>
              <w:numPr>
                <w:ilvl w:val="0"/>
                <w:numId w:val="43"/>
              </w:numPr>
              <w:rPr>
                <w:bCs/>
                <w:color w:val="000000"/>
                <w:sz w:val="16"/>
                <w:szCs w:val="16"/>
              </w:rPr>
            </w:pPr>
            <w:r w:rsidRPr="00D200DB">
              <w:rPr>
                <w:bCs/>
                <w:color w:val="000000"/>
                <w:sz w:val="16"/>
                <w:szCs w:val="16"/>
              </w:rPr>
              <w:t>Energy</w:t>
            </w:r>
            <w:r w:rsidRPr="00D200DB">
              <w:t xml:space="preserve">                    </w:t>
            </w:r>
            <w:r w:rsidRPr="00D200DB">
              <w:rPr>
                <w:bCs/>
                <w:color w:val="000000"/>
                <w:sz w:val="16"/>
                <w:szCs w:val="16"/>
              </w:rPr>
              <w:t>Baseline</w:t>
            </w:r>
            <w:r w:rsidR="00F00DF5">
              <w:rPr>
                <w:bCs/>
                <w:color w:val="000000"/>
                <w:sz w:val="16"/>
                <w:szCs w:val="16"/>
              </w:rPr>
              <w:t xml:space="preserve"> </w:t>
            </w:r>
            <w:r w:rsidRPr="00D200DB">
              <w:rPr>
                <w:bCs/>
                <w:color w:val="000000"/>
                <w:sz w:val="16"/>
                <w:szCs w:val="16"/>
              </w:rPr>
              <w:t xml:space="preserve">(2000):     2,629        Target (2021):  </w:t>
            </w:r>
            <w:r>
              <w:rPr>
                <w:bCs/>
                <w:color w:val="000000"/>
                <w:sz w:val="16"/>
                <w:szCs w:val="16"/>
              </w:rPr>
              <w:t xml:space="preserve"> </w:t>
            </w:r>
            <w:r w:rsidRPr="00D200DB">
              <w:rPr>
                <w:bCs/>
                <w:color w:val="000000"/>
                <w:sz w:val="16"/>
                <w:szCs w:val="16"/>
              </w:rPr>
              <w:t xml:space="preserve"> 2,550</w:t>
            </w:r>
          </w:p>
          <w:p w14:paraId="276FB09B" w14:textId="77777777" w:rsidR="00842773" w:rsidRPr="00D200DB" w:rsidRDefault="00842773" w:rsidP="00532502">
            <w:pPr>
              <w:numPr>
                <w:ilvl w:val="0"/>
                <w:numId w:val="43"/>
              </w:numPr>
              <w:rPr>
                <w:bCs/>
                <w:color w:val="000000"/>
                <w:sz w:val="16"/>
                <w:szCs w:val="16"/>
              </w:rPr>
            </w:pPr>
            <w:r w:rsidRPr="00D200DB">
              <w:rPr>
                <w:bCs/>
                <w:color w:val="000000"/>
                <w:sz w:val="16"/>
                <w:szCs w:val="16"/>
              </w:rPr>
              <w:t>Waste Management     Baseline</w:t>
            </w:r>
            <w:r w:rsidR="00F00DF5">
              <w:rPr>
                <w:bCs/>
                <w:color w:val="000000"/>
                <w:sz w:val="16"/>
                <w:szCs w:val="16"/>
              </w:rPr>
              <w:t xml:space="preserve"> </w:t>
            </w:r>
            <w:r w:rsidRPr="00D200DB">
              <w:rPr>
                <w:bCs/>
                <w:color w:val="000000"/>
                <w:sz w:val="16"/>
                <w:szCs w:val="16"/>
              </w:rPr>
              <w:t xml:space="preserve">(2000):        412        Target (2021):   </w:t>
            </w:r>
            <w:r>
              <w:rPr>
                <w:bCs/>
                <w:color w:val="000000"/>
                <w:sz w:val="16"/>
                <w:szCs w:val="16"/>
              </w:rPr>
              <w:t xml:space="preserve"> </w:t>
            </w:r>
            <w:r w:rsidRPr="00D200DB">
              <w:rPr>
                <w:bCs/>
                <w:color w:val="000000"/>
                <w:sz w:val="16"/>
                <w:szCs w:val="16"/>
              </w:rPr>
              <w:t xml:space="preserve">  250</w:t>
            </w:r>
          </w:p>
          <w:p w14:paraId="02D6E761" w14:textId="77777777" w:rsidR="00842773" w:rsidRPr="00D200DB" w:rsidRDefault="00842773" w:rsidP="00532502">
            <w:pPr>
              <w:numPr>
                <w:ilvl w:val="0"/>
                <w:numId w:val="43"/>
              </w:numPr>
              <w:rPr>
                <w:bCs/>
                <w:color w:val="000000"/>
                <w:sz w:val="16"/>
                <w:szCs w:val="16"/>
              </w:rPr>
            </w:pPr>
            <w:r w:rsidRPr="00D200DB">
              <w:rPr>
                <w:bCs/>
                <w:color w:val="000000"/>
                <w:sz w:val="16"/>
                <w:szCs w:val="16"/>
              </w:rPr>
              <w:t xml:space="preserve">LULUCF                    </w:t>
            </w:r>
            <w:r>
              <w:rPr>
                <w:bCs/>
                <w:color w:val="000000"/>
                <w:sz w:val="16"/>
                <w:szCs w:val="16"/>
              </w:rPr>
              <w:t xml:space="preserve"> </w:t>
            </w:r>
            <w:r w:rsidRPr="00D200DB">
              <w:rPr>
                <w:bCs/>
                <w:color w:val="000000"/>
                <w:sz w:val="16"/>
                <w:szCs w:val="16"/>
              </w:rPr>
              <w:t xml:space="preserve"> Baseline</w:t>
            </w:r>
            <w:r w:rsidR="00F00DF5">
              <w:rPr>
                <w:bCs/>
                <w:color w:val="000000"/>
                <w:sz w:val="16"/>
                <w:szCs w:val="16"/>
              </w:rPr>
              <w:t xml:space="preserve"> </w:t>
            </w:r>
            <w:r w:rsidRPr="00D200DB">
              <w:rPr>
                <w:bCs/>
                <w:color w:val="000000"/>
                <w:sz w:val="16"/>
                <w:szCs w:val="16"/>
              </w:rPr>
              <w:t>(2000):   40,310        Target (2021): 37,891</w:t>
            </w:r>
          </w:p>
          <w:p w14:paraId="09772924" w14:textId="77777777" w:rsidR="00842773" w:rsidRDefault="00842773" w:rsidP="00532502">
            <w:pPr>
              <w:rPr>
                <w:b/>
                <w:bCs/>
                <w:color w:val="000000"/>
                <w:sz w:val="16"/>
                <w:szCs w:val="16"/>
              </w:rPr>
            </w:pPr>
          </w:p>
          <w:p w14:paraId="3B7206B3" w14:textId="401CBED0" w:rsidR="00842773" w:rsidRDefault="00842773" w:rsidP="00532502">
            <w:pPr>
              <w:rPr>
                <w:bCs/>
                <w:color w:val="000000"/>
                <w:sz w:val="16"/>
                <w:szCs w:val="16"/>
              </w:rPr>
            </w:pPr>
            <w:r w:rsidRPr="004F59D7">
              <w:rPr>
                <w:b/>
                <w:bCs/>
                <w:color w:val="000000"/>
                <w:sz w:val="16"/>
                <w:szCs w:val="16"/>
              </w:rPr>
              <w:t>Data source:</w:t>
            </w:r>
            <w:r>
              <w:rPr>
                <w:b/>
                <w:bCs/>
                <w:color w:val="000000"/>
                <w:sz w:val="16"/>
                <w:szCs w:val="16"/>
              </w:rPr>
              <w:t xml:space="preserve"> </w:t>
            </w:r>
            <w:r w:rsidRPr="009A59D5">
              <w:rPr>
                <w:bCs/>
                <w:color w:val="000000"/>
                <w:sz w:val="16"/>
                <w:szCs w:val="16"/>
              </w:rPr>
              <w:t>ZEMA G</w:t>
            </w:r>
            <w:r w:rsidR="00F00DF5">
              <w:rPr>
                <w:bCs/>
                <w:color w:val="000000"/>
                <w:sz w:val="16"/>
                <w:szCs w:val="16"/>
              </w:rPr>
              <w:t>reenhouse Gas</w:t>
            </w:r>
            <w:r w:rsidRPr="009A59D5">
              <w:rPr>
                <w:bCs/>
                <w:color w:val="000000"/>
                <w:sz w:val="16"/>
                <w:szCs w:val="16"/>
              </w:rPr>
              <w:t xml:space="preserve"> Inventory Unit Reports, Zambia National Climate Change Secretariat</w:t>
            </w:r>
            <w:r w:rsidR="00EA42B4">
              <w:rPr>
                <w:bCs/>
                <w:color w:val="000000"/>
                <w:sz w:val="16"/>
                <w:szCs w:val="16"/>
              </w:rPr>
              <w:t xml:space="preserve"> (ZCCS)</w:t>
            </w:r>
            <w:r w:rsidRPr="009A59D5">
              <w:rPr>
                <w:bCs/>
                <w:color w:val="000000"/>
                <w:sz w:val="16"/>
                <w:szCs w:val="16"/>
              </w:rPr>
              <w:t xml:space="preserve">, </w:t>
            </w:r>
            <w:r w:rsidRPr="004F59D7">
              <w:rPr>
                <w:bCs/>
                <w:color w:val="000000"/>
                <w:sz w:val="16"/>
                <w:szCs w:val="16"/>
              </w:rPr>
              <w:t>MLNREP</w:t>
            </w:r>
            <w:r>
              <w:rPr>
                <w:bCs/>
                <w:color w:val="000000"/>
                <w:sz w:val="16"/>
                <w:szCs w:val="16"/>
              </w:rPr>
              <w:t xml:space="preserve"> Reports</w:t>
            </w:r>
          </w:p>
          <w:p w14:paraId="2077C97A" w14:textId="77777777" w:rsidR="00842773" w:rsidRPr="009A7EF5" w:rsidRDefault="00842773" w:rsidP="00532502">
            <w:pPr>
              <w:rPr>
                <w:b/>
                <w:bCs/>
                <w:color w:val="000000"/>
                <w:sz w:val="16"/>
                <w:szCs w:val="16"/>
              </w:rPr>
            </w:pPr>
            <w:r w:rsidRPr="004F59D7">
              <w:rPr>
                <w:b/>
                <w:bCs/>
                <w:color w:val="000000"/>
                <w:sz w:val="16"/>
                <w:szCs w:val="16"/>
              </w:rPr>
              <w:t>Frequency:</w:t>
            </w:r>
            <w:r w:rsidRPr="00000A1B">
              <w:rPr>
                <w:bCs/>
                <w:color w:val="000000"/>
                <w:sz w:val="16"/>
                <w:szCs w:val="16"/>
              </w:rPr>
              <w:t xml:space="preserve"> </w:t>
            </w:r>
            <w:r>
              <w:rPr>
                <w:bCs/>
                <w:color w:val="000000"/>
                <w:sz w:val="16"/>
                <w:szCs w:val="16"/>
              </w:rPr>
              <w:t>Annual</w:t>
            </w:r>
          </w:p>
        </w:tc>
        <w:tc>
          <w:tcPr>
            <w:tcW w:w="634" w:type="pct"/>
            <w:gridSpan w:val="2"/>
            <w:tcBorders>
              <w:top w:val="single" w:sz="8" w:space="0" w:color="000000"/>
              <w:left w:val="single" w:sz="8" w:space="0" w:color="000000"/>
              <w:bottom w:val="single" w:sz="8" w:space="0" w:color="000000"/>
              <w:right w:val="single" w:sz="4" w:space="0" w:color="auto"/>
            </w:tcBorders>
          </w:tcPr>
          <w:p w14:paraId="61FFF3FD" w14:textId="699A64DC" w:rsidR="001313E3" w:rsidRDefault="00842773" w:rsidP="001313E3">
            <w:pPr>
              <w:rPr>
                <w:bCs/>
                <w:color w:val="000000"/>
                <w:sz w:val="16"/>
                <w:szCs w:val="16"/>
              </w:rPr>
            </w:pPr>
            <w:r w:rsidRPr="007A2D99">
              <w:rPr>
                <w:bCs/>
                <w:color w:val="000000"/>
                <w:sz w:val="16"/>
                <w:szCs w:val="16"/>
              </w:rPr>
              <w:t>M</w:t>
            </w:r>
            <w:r w:rsidR="00EA42B4">
              <w:rPr>
                <w:bCs/>
                <w:color w:val="000000"/>
                <w:sz w:val="16"/>
                <w:szCs w:val="16"/>
              </w:rPr>
              <w:t>LNREP</w:t>
            </w:r>
            <w:r w:rsidR="001313E3">
              <w:rPr>
                <w:bCs/>
                <w:color w:val="000000"/>
                <w:sz w:val="16"/>
                <w:szCs w:val="16"/>
              </w:rPr>
              <w:t xml:space="preserve">; </w:t>
            </w:r>
          </w:p>
          <w:p w14:paraId="616F7C6D" w14:textId="631C35A5" w:rsidR="001313E3" w:rsidRDefault="00EA42B4" w:rsidP="001313E3">
            <w:pPr>
              <w:rPr>
                <w:bCs/>
                <w:color w:val="000000"/>
                <w:sz w:val="16"/>
                <w:szCs w:val="16"/>
              </w:rPr>
            </w:pPr>
            <w:r>
              <w:rPr>
                <w:bCs/>
                <w:color w:val="000000"/>
                <w:sz w:val="16"/>
                <w:szCs w:val="16"/>
              </w:rPr>
              <w:t>MMEWD</w:t>
            </w:r>
            <w:r w:rsidR="001313E3">
              <w:rPr>
                <w:bCs/>
                <w:color w:val="000000"/>
                <w:sz w:val="16"/>
                <w:szCs w:val="16"/>
              </w:rPr>
              <w:t>;</w:t>
            </w:r>
            <w:r w:rsidR="001313E3" w:rsidRPr="007A2D99">
              <w:rPr>
                <w:bCs/>
                <w:color w:val="000000"/>
                <w:sz w:val="16"/>
                <w:szCs w:val="16"/>
              </w:rPr>
              <w:t xml:space="preserve"> </w:t>
            </w:r>
          </w:p>
          <w:p w14:paraId="39249E54" w14:textId="4C42E018" w:rsidR="001313E3" w:rsidRDefault="00EA42B4" w:rsidP="001313E3">
            <w:pPr>
              <w:rPr>
                <w:bCs/>
                <w:color w:val="000000"/>
                <w:sz w:val="16"/>
                <w:szCs w:val="16"/>
              </w:rPr>
            </w:pPr>
            <w:r>
              <w:rPr>
                <w:bCs/>
                <w:color w:val="000000"/>
                <w:sz w:val="16"/>
                <w:szCs w:val="16"/>
              </w:rPr>
              <w:t>Z</w:t>
            </w:r>
            <w:r w:rsidR="00842773" w:rsidRPr="007A2D99">
              <w:rPr>
                <w:bCs/>
                <w:color w:val="000000"/>
                <w:sz w:val="16"/>
                <w:szCs w:val="16"/>
              </w:rPr>
              <w:t>CCS</w:t>
            </w:r>
            <w:r w:rsidR="001313E3">
              <w:rPr>
                <w:bCs/>
                <w:color w:val="000000"/>
                <w:sz w:val="16"/>
                <w:szCs w:val="16"/>
              </w:rPr>
              <w:t>;</w:t>
            </w:r>
          </w:p>
          <w:p w14:paraId="60195067" w14:textId="3C9BDACD" w:rsidR="001313E3" w:rsidRDefault="00842773" w:rsidP="001313E3">
            <w:pPr>
              <w:rPr>
                <w:bCs/>
                <w:color w:val="000000"/>
                <w:sz w:val="16"/>
                <w:szCs w:val="16"/>
              </w:rPr>
            </w:pPr>
            <w:r w:rsidRPr="007A2D99">
              <w:rPr>
                <w:bCs/>
                <w:color w:val="000000"/>
                <w:sz w:val="16"/>
                <w:szCs w:val="16"/>
              </w:rPr>
              <w:t>ZEMA</w:t>
            </w:r>
            <w:r w:rsidR="001313E3">
              <w:rPr>
                <w:bCs/>
                <w:color w:val="000000"/>
                <w:sz w:val="16"/>
                <w:szCs w:val="16"/>
              </w:rPr>
              <w:t>;</w:t>
            </w:r>
          </w:p>
          <w:p w14:paraId="2E790A50" w14:textId="7B6DC748" w:rsidR="00842773" w:rsidRPr="007A2D99" w:rsidRDefault="00842773" w:rsidP="001313E3">
            <w:pPr>
              <w:rPr>
                <w:bCs/>
                <w:color w:val="000000"/>
                <w:sz w:val="16"/>
                <w:szCs w:val="16"/>
              </w:rPr>
            </w:pPr>
            <w:r w:rsidRPr="007A2D99">
              <w:rPr>
                <w:bCs/>
                <w:color w:val="000000"/>
                <w:sz w:val="16"/>
                <w:szCs w:val="16"/>
              </w:rPr>
              <w:t xml:space="preserve">Zambia Metrological Department </w:t>
            </w:r>
          </w:p>
        </w:tc>
        <w:tc>
          <w:tcPr>
            <w:tcW w:w="614" w:type="pct"/>
            <w:tcBorders>
              <w:left w:val="single" w:sz="4" w:space="0" w:color="auto"/>
              <w:right w:val="single" w:sz="4" w:space="0" w:color="auto"/>
            </w:tcBorders>
          </w:tcPr>
          <w:p w14:paraId="748D735B" w14:textId="77777777" w:rsidR="00842773" w:rsidRDefault="00842773" w:rsidP="00532502"/>
        </w:tc>
      </w:tr>
      <w:tr w:rsidR="00842773" w:rsidRPr="00501E43" w14:paraId="5778DAD1" w14:textId="77777777" w:rsidTr="00AE71CA">
        <w:tc>
          <w:tcPr>
            <w:tcW w:w="911" w:type="pct"/>
            <w:gridSpan w:val="2"/>
            <w:vMerge/>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tcPr>
          <w:p w14:paraId="22296957" w14:textId="77777777" w:rsidR="00842773" w:rsidRPr="009A7EF5" w:rsidRDefault="00842773" w:rsidP="00532502">
            <w:pPr>
              <w:rPr>
                <w:b/>
                <w:bCs/>
                <w:color w:val="000000"/>
                <w:sz w:val="16"/>
                <w:szCs w:val="16"/>
              </w:rPr>
            </w:pPr>
          </w:p>
        </w:tc>
        <w:tc>
          <w:tcPr>
            <w:tcW w:w="679" w:type="pct"/>
            <w:vMerge/>
            <w:tcBorders>
              <w:top w:val="single" w:sz="8" w:space="0" w:color="000000"/>
              <w:left w:val="single" w:sz="8" w:space="0" w:color="000000"/>
              <w:bottom w:val="single" w:sz="4" w:space="0" w:color="auto"/>
              <w:right w:val="single" w:sz="4" w:space="0" w:color="auto"/>
            </w:tcBorders>
          </w:tcPr>
          <w:p w14:paraId="29BAE12F" w14:textId="77777777" w:rsidR="00842773" w:rsidRPr="009A7EF5" w:rsidRDefault="00842773" w:rsidP="00532502">
            <w:pPr>
              <w:rPr>
                <w:b/>
                <w:bCs/>
                <w:color w:val="000000"/>
                <w:sz w:val="16"/>
                <w:szCs w:val="16"/>
              </w:rPr>
            </w:pPr>
          </w:p>
        </w:tc>
        <w:tc>
          <w:tcPr>
            <w:tcW w:w="2162" w:type="pct"/>
            <w:tcBorders>
              <w:top w:val="single" w:sz="8" w:space="0" w:color="000000"/>
              <w:left w:val="single" w:sz="4" w:space="0" w:color="auto"/>
              <w:bottom w:val="single" w:sz="8" w:space="0" w:color="000000"/>
              <w:right w:val="single" w:sz="8" w:space="0" w:color="000000"/>
            </w:tcBorders>
          </w:tcPr>
          <w:p w14:paraId="015D92DB" w14:textId="3DC573A5" w:rsidR="00842773" w:rsidRPr="00165008" w:rsidRDefault="00842773" w:rsidP="00532502">
            <w:pPr>
              <w:rPr>
                <w:bCs/>
                <w:color w:val="000000"/>
                <w:sz w:val="16"/>
                <w:szCs w:val="16"/>
              </w:rPr>
            </w:pPr>
            <w:r w:rsidRPr="00B33C68">
              <w:rPr>
                <w:b/>
                <w:bCs/>
                <w:color w:val="000000"/>
                <w:sz w:val="16"/>
                <w:szCs w:val="16"/>
              </w:rPr>
              <w:t>Output 1.</w:t>
            </w:r>
            <w:r>
              <w:rPr>
                <w:b/>
                <w:bCs/>
                <w:color w:val="000000"/>
                <w:sz w:val="16"/>
                <w:szCs w:val="16"/>
              </w:rPr>
              <w:t>4</w:t>
            </w:r>
            <w:r w:rsidRPr="00B33C68">
              <w:rPr>
                <w:b/>
                <w:bCs/>
                <w:color w:val="000000"/>
                <w:sz w:val="16"/>
                <w:szCs w:val="16"/>
              </w:rPr>
              <w:t>.</w:t>
            </w:r>
            <w:r>
              <w:rPr>
                <w:b/>
                <w:bCs/>
                <w:color w:val="000000"/>
                <w:sz w:val="16"/>
                <w:szCs w:val="16"/>
              </w:rPr>
              <w:t xml:space="preserve"> </w:t>
            </w:r>
            <w:r w:rsidRPr="00165008">
              <w:rPr>
                <w:bCs/>
                <w:color w:val="000000"/>
                <w:sz w:val="16"/>
                <w:szCs w:val="16"/>
              </w:rPr>
              <w:t>M</w:t>
            </w:r>
            <w:r w:rsidR="00EA42B4">
              <w:rPr>
                <w:bCs/>
                <w:color w:val="000000"/>
                <w:sz w:val="16"/>
                <w:szCs w:val="16"/>
              </w:rPr>
              <w:t>MEWD</w:t>
            </w:r>
            <w:r w:rsidRPr="00165008">
              <w:rPr>
                <w:bCs/>
                <w:color w:val="000000"/>
                <w:sz w:val="16"/>
                <w:szCs w:val="16"/>
              </w:rPr>
              <w:t xml:space="preserve"> has developed inclusive and sustainable solutions to achieve increased energy efficiency and universal modern energy access (especially off-grid sources of renewable energy) </w:t>
            </w:r>
          </w:p>
          <w:p w14:paraId="7DD799AC" w14:textId="77777777" w:rsidR="00842773" w:rsidRPr="00B33C68" w:rsidRDefault="00842773" w:rsidP="00532502">
            <w:pPr>
              <w:rPr>
                <w:b/>
                <w:bCs/>
                <w:color w:val="000000"/>
                <w:sz w:val="16"/>
                <w:szCs w:val="16"/>
              </w:rPr>
            </w:pPr>
          </w:p>
          <w:p w14:paraId="532F4B94" w14:textId="77777777" w:rsidR="00842773" w:rsidRDefault="00842773" w:rsidP="00532502">
            <w:pPr>
              <w:rPr>
                <w:bCs/>
                <w:color w:val="000000"/>
                <w:sz w:val="16"/>
                <w:szCs w:val="16"/>
              </w:rPr>
            </w:pPr>
            <w:r w:rsidRPr="004F59D7">
              <w:rPr>
                <w:bCs/>
                <w:color w:val="000000"/>
                <w:sz w:val="16"/>
                <w:szCs w:val="16"/>
              </w:rPr>
              <w:t xml:space="preserve">Indicator : </w:t>
            </w:r>
            <w:r>
              <w:rPr>
                <w:bCs/>
                <w:color w:val="000000"/>
                <w:sz w:val="16"/>
                <w:szCs w:val="16"/>
              </w:rPr>
              <w:t xml:space="preserve">Megawatts of electricity generated from  renewable sources of energy </w:t>
            </w:r>
          </w:p>
          <w:p w14:paraId="587347F4" w14:textId="77777777" w:rsidR="00842773" w:rsidRPr="000E79EC" w:rsidRDefault="00842773" w:rsidP="00532502">
            <w:pPr>
              <w:rPr>
                <w:bCs/>
                <w:color w:val="000000"/>
                <w:sz w:val="16"/>
                <w:szCs w:val="16"/>
              </w:rPr>
            </w:pPr>
            <w:r w:rsidRPr="004F59D7">
              <w:rPr>
                <w:bCs/>
                <w:color w:val="000000"/>
                <w:sz w:val="16"/>
                <w:szCs w:val="16"/>
              </w:rPr>
              <w:t>Baseline</w:t>
            </w:r>
            <w:r>
              <w:rPr>
                <w:bCs/>
                <w:color w:val="000000"/>
                <w:sz w:val="16"/>
                <w:szCs w:val="16"/>
              </w:rPr>
              <w:t xml:space="preserve"> (2012)</w:t>
            </w:r>
            <w:r w:rsidRPr="004F59D7">
              <w:rPr>
                <w:bCs/>
                <w:color w:val="000000"/>
                <w:sz w:val="16"/>
                <w:szCs w:val="16"/>
              </w:rPr>
              <w:t xml:space="preserve">: </w:t>
            </w:r>
            <w:r>
              <w:rPr>
                <w:bCs/>
                <w:color w:val="000000"/>
                <w:sz w:val="16"/>
                <w:szCs w:val="16"/>
              </w:rPr>
              <w:t xml:space="preserve"> 23.75</w:t>
            </w:r>
          </w:p>
          <w:p w14:paraId="599C37A7" w14:textId="77777777" w:rsidR="00842773" w:rsidRDefault="00842773" w:rsidP="00532502">
            <w:pPr>
              <w:rPr>
                <w:bCs/>
                <w:color w:val="000000"/>
                <w:sz w:val="16"/>
                <w:szCs w:val="16"/>
              </w:rPr>
            </w:pPr>
            <w:r w:rsidRPr="000E79EC">
              <w:rPr>
                <w:bCs/>
                <w:color w:val="000000"/>
                <w:sz w:val="16"/>
                <w:szCs w:val="16"/>
              </w:rPr>
              <w:t>Target (2021):</w:t>
            </w:r>
            <w:r>
              <w:rPr>
                <w:bCs/>
                <w:color w:val="000000"/>
                <w:sz w:val="16"/>
                <w:szCs w:val="16"/>
              </w:rPr>
              <w:t xml:space="preserve">    120.00 </w:t>
            </w:r>
            <w:r w:rsidRPr="004F59D7">
              <w:rPr>
                <w:bCs/>
                <w:color w:val="000000"/>
                <w:sz w:val="16"/>
                <w:szCs w:val="16"/>
              </w:rPr>
              <w:t xml:space="preserve"> </w:t>
            </w:r>
          </w:p>
          <w:p w14:paraId="590FDD9B" w14:textId="77777777" w:rsidR="00842773" w:rsidRPr="009A7EF5" w:rsidRDefault="00842773" w:rsidP="00532502">
            <w:pPr>
              <w:rPr>
                <w:b/>
                <w:bCs/>
                <w:color w:val="000000"/>
                <w:sz w:val="16"/>
                <w:szCs w:val="16"/>
              </w:rPr>
            </w:pPr>
            <w:r w:rsidRPr="00000A1B">
              <w:rPr>
                <w:b/>
                <w:bCs/>
                <w:color w:val="000000"/>
                <w:sz w:val="16"/>
                <w:szCs w:val="16"/>
              </w:rPr>
              <w:t>Data source:</w:t>
            </w:r>
            <w:r>
              <w:rPr>
                <w:b/>
                <w:bCs/>
                <w:color w:val="000000"/>
                <w:sz w:val="16"/>
                <w:szCs w:val="16"/>
              </w:rPr>
              <w:t xml:space="preserve"> </w:t>
            </w:r>
            <w:r w:rsidRPr="004F59D7">
              <w:rPr>
                <w:bCs/>
                <w:color w:val="000000"/>
                <w:sz w:val="16"/>
                <w:szCs w:val="16"/>
              </w:rPr>
              <w:t xml:space="preserve">MMEWD </w:t>
            </w:r>
            <w:r>
              <w:rPr>
                <w:bCs/>
                <w:color w:val="000000"/>
                <w:sz w:val="16"/>
                <w:szCs w:val="16"/>
              </w:rPr>
              <w:t xml:space="preserve"> and REA Reports</w:t>
            </w:r>
          </w:p>
        </w:tc>
        <w:tc>
          <w:tcPr>
            <w:tcW w:w="634" w:type="pct"/>
            <w:gridSpan w:val="2"/>
            <w:tcBorders>
              <w:top w:val="single" w:sz="8" w:space="0" w:color="000000"/>
              <w:left w:val="single" w:sz="8" w:space="0" w:color="000000"/>
              <w:bottom w:val="single" w:sz="8" w:space="0" w:color="000000"/>
              <w:right w:val="single" w:sz="4" w:space="0" w:color="auto"/>
            </w:tcBorders>
          </w:tcPr>
          <w:p w14:paraId="5C7B7046" w14:textId="573EBA6E" w:rsidR="001313E3" w:rsidRDefault="00EA42B4" w:rsidP="001313E3">
            <w:pPr>
              <w:rPr>
                <w:bCs/>
                <w:color w:val="000000"/>
                <w:sz w:val="16"/>
                <w:szCs w:val="16"/>
              </w:rPr>
            </w:pPr>
            <w:r>
              <w:rPr>
                <w:bCs/>
                <w:color w:val="000000"/>
                <w:sz w:val="16"/>
                <w:szCs w:val="16"/>
              </w:rPr>
              <w:t>MNLREP</w:t>
            </w:r>
            <w:r w:rsidR="001313E3">
              <w:rPr>
                <w:bCs/>
                <w:color w:val="000000"/>
                <w:sz w:val="16"/>
                <w:szCs w:val="16"/>
              </w:rPr>
              <w:t>;</w:t>
            </w:r>
          </w:p>
          <w:p w14:paraId="1A145639" w14:textId="662E67B1" w:rsidR="001313E3" w:rsidRDefault="00842773" w:rsidP="001313E3">
            <w:pPr>
              <w:rPr>
                <w:bCs/>
                <w:color w:val="000000"/>
                <w:sz w:val="16"/>
                <w:szCs w:val="16"/>
              </w:rPr>
            </w:pPr>
            <w:r w:rsidRPr="007A2D99">
              <w:rPr>
                <w:bCs/>
                <w:color w:val="000000"/>
                <w:sz w:val="16"/>
                <w:szCs w:val="16"/>
              </w:rPr>
              <w:t xml:space="preserve">Civil </w:t>
            </w:r>
            <w:r w:rsidR="001313E3">
              <w:rPr>
                <w:bCs/>
                <w:color w:val="000000"/>
                <w:sz w:val="16"/>
                <w:szCs w:val="16"/>
              </w:rPr>
              <w:t>s</w:t>
            </w:r>
            <w:r w:rsidR="001313E3" w:rsidRPr="007A2D99">
              <w:rPr>
                <w:bCs/>
                <w:color w:val="000000"/>
                <w:sz w:val="16"/>
                <w:szCs w:val="16"/>
              </w:rPr>
              <w:t>ociety</w:t>
            </w:r>
            <w:r w:rsidR="001313E3">
              <w:rPr>
                <w:bCs/>
                <w:color w:val="000000"/>
                <w:sz w:val="16"/>
                <w:szCs w:val="16"/>
              </w:rPr>
              <w:t>;</w:t>
            </w:r>
            <w:r w:rsidR="001313E3" w:rsidRPr="007A2D99">
              <w:rPr>
                <w:bCs/>
                <w:color w:val="000000"/>
                <w:sz w:val="16"/>
                <w:szCs w:val="16"/>
              </w:rPr>
              <w:t xml:space="preserve"> </w:t>
            </w:r>
          </w:p>
          <w:p w14:paraId="60E78B23" w14:textId="2ACB7FB2" w:rsidR="001313E3" w:rsidRDefault="00842773" w:rsidP="001313E3">
            <w:pPr>
              <w:rPr>
                <w:bCs/>
                <w:color w:val="000000"/>
                <w:sz w:val="16"/>
                <w:szCs w:val="16"/>
              </w:rPr>
            </w:pPr>
            <w:r w:rsidRPr="007A2D99">
              <w:rPr>
                <w:bCs/>
                <w:color w:val="000000"/>
                <w:sz w:val="16"/>
                <w:szCs w:val="16"/>
              </w:rPr>
              <w:t xml:space="preserve">Private </w:t>
            </w:r>
            <w:r w:rsidR="001313E3">
              <w:rPr>
                <w:bCs/>
                <w:color w:val="000000"/>
                <w:sz w:val="16"/>
                <w:szCs w:val="16"/>
              </w:rPr>
              <w:t>s</w:t>
            </w:r>
            <w:r w:rsidR="001313E3" w:rsidRPr="007A2D99">
              <w:rPr>
                <w:bCs/>
                <w:color w:val="000000"/>
                <w:sz w:val="16"/>
                <w:szCs w:val="16"/>
              </w:rPr>
              <w:t>ector</w:t>
            </w:r>
            <w:r w:rsidR="001313E3">
              <w:rPr>
                <w:bCs/>
                <w:color w:val="000000"/>
                <w:sz w:val="16"/>
                <w:szCs w:val="16"/>
              </w:rPr>
              <w:t>;</w:t>
            </w:r>
            <w:r w:rsidR="001313E3" w:rsidRPr="007A2D99">
              <w:rPr>
                <w:bCs/>
                <w:color w:val="000000"/>
                <w:sz w:val="16"/>
                <w:szCs w:val="16"/>
              </w:rPr>
              <w:t xml:space="preserve"> </w:t>
            </w:r>
          </w:p>
          <w:p w14:paraId="50B55847" w14:textId="1AE14B55" w:rsidR="00842773" w:rsidRPr="007A2D99" w:rsidRDefault="001313E3" w:rsidP="001313E3">
            <w:pPr>
              <w:rPr>
                <w:bCs/>
                <w:color w:val="000000"/>
                <w:sz w:val="16"/>
                <w:szCs w:val="16"/>
              </w:rPr>
            </w:pPr>
            <w:r>
              <w:rPr>
                <w:bCs/>
                <w:color w:val="000000"/>
                <w:sz w:val="16"/>
                <w:szCs w:val="16"/>
              </w:rPr>
              <w:t>u</w:t>
            </w:r>
            <w:r w:rsidRPr="007A2D99">
              <w:rPr>
                <w:bCs/>
                <w:color w:val="000000"/>
                <w:sz w:val="16"/>
                <w:szCs w:val="16"/>
              </w:rPr>
              <w:t xml:space="preserve">tility </w:t>
            </w:r>
            <w:r>
              <w:rPr>
                <w:bCs/>
                <w:color w:val="000000"/>
                <w:sz w:val="16"/>
                <w:szCs w:val="16"/>
              </w:rPr>
              <w:t>c</w:t>
            </w:r>
            <w:r w:rsidRPr="007A2D99">
              <w:rPr>
                <w:bCs/>
                <w:color w:val="000000"/>
                <w:sz w:val="16"/>
                <w:szCs w:val="16"/>
              </w:rPr>
              <w:t>ompanies</w:t>
            </w:r>
            <w:r w:rsidR="00842773" w:rsidRPr="007A2D99">
              <w:rPr>
                <w:bCs/>
                <w:color w:val="000000"/>
                <w:sz w:val="16"/>
                <w:szCs w:val="16"/>
              </w:rPr>
              <w:t xml:space="preserve">, </w:t>
            </w:r>
            <w:r>
              <w:rPr>
                <w:bCs/>
                <w:color w:val="000000"/>
                <w:sz w:val="16"/>
                <w:szCs w:val="16"/>
              </w:rPr>
              <w:t>r</w:t>
            </w:r>
            <w:r w:rsidRPr="007A2D99">
              <w:rPr>
                <w:bCs/>
                <w:color w:val="000000"/>
                <w:sz w:val="16"/>
                <w:szCs w:val="16"/>
              </w:rPr>
              <w:t xml:space="preserve">egulatory </w:t>
            </w:r>
            <w:r w:rsidR="00842773" w:rsidRPr="007A2D99">
              <w:rPr>
                <w:bCs/>
                <w:color w:val="000000"/>
                <w:sz w:val="16"/>
                <w:szCs w:val="16"/>
              </w:rPr>
              <w:t xml:space="preserve">bodies and ZEMA </w:t>
            </w:r>
          </w:p>
        </w:tc>
        <w:tc>
          <w:tcPr>
            <w:tcW w:w="614" w:type="pct"/>
            <w:tcBorders>
              <w:left w:val="single" w:sz="4" w:space="0" w:color="auto"/>
              <w:right w:val="single" w:sz="4" w:space="0" w:color="auto"/>
            </w:tcBorders>
          </w:tcPr>
          <w:p w14:paraId="580874E2" w14:textId="77777777" w:rsidR="00842773" w:rsidRDefault="00842773" w:rsidP="00532502"/>
        </w:tc>
      </w:tr>
      <w:tr w:rsidR="00842773" w:rsidRPr="00501E43" w14:paraId="15C8F5BD"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26F6029" w14:textId="1EC0DC7F" w:rsidR="00842773" w:rsidRPr="004F59D7" w:rsidRDefault="00842773" w:rsidP="00982EE8">
            <w:pPr>
              <w:rPr>
                <w:b/>
                <w:bCs/>
                <w:color w:val="000000"/>
                <w:sz w:val="18"/>
                <w:szCs w:val="18"/>
              </w:rPr>
            </w:pPr>
            <w:r w:rsidRPr="004F59D7">
              <w:rPr>
                <w:b/>
                <w:bCs/>
                <w:color w:val="000000"/>
                <w:sz w:val="18"/>
                <w:szCs w:val="18"/>
              </w:rPr>
              <w:t xml:space="preserve">NATIONAL PRIORITY OR GOAL: </w:t>
            </w:r>
            <w:r>
              <w:rPr>
                <w:bCs/>
                <w:color w:val="000000"/>
                <w:sz w:val="18"/>
                <w:szCs w:val="18"/>
              </w:rPr>
              <w:t>Equity and equality in socioeconomic development and service delivery</w:t>
            </w:r>
            <w:r w:rsidR="00F00DF5">
              <w:rPr>
                <w:bCs/>
                <w:color w:val="000000"/>
                <w:sz w:val="18"/>
                <w:szCs w:val="18"/>
              </w:rPr>
              <w:t>.</w:t>
            </w:r>
          </w:p>
        </w:tc>
      </w:tr>
      <w:tr w:rsidR="00842773" w:rsidRPr="00501E43" w14:paraId="55B136EA"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9881C44" w14:textId="1BE01F34" w:rsidR="00842773" w:rsidRPr="004F59D7" w:rsidRDefault="00F00DF5" w:rsidP="00F00DF5">
            <w:pPr>
              <w:rPr>
                <w:b/>
                <w:bCs/>
                <w:color w:val="000000"/>
                <w:sz w:val="18"/>
                <w:szCs w:val="18"/>
              </w:rPr>
            </w:pPr>
            <w:r>
              <w:rPr>
                <w:b/>
                <w:bCs/>
                <w:color w:val="000000"/>
                <w:sz w:val="18"/>
                <w:szCs w:val="18"/>
              </w:rPr>
              <w:t>PARTNERSHIP FRAMEWORK</w:t>
            </w:r>
            <w:r w:rsidR="00842773" w:rsidRPr="00A273B4">
              <w:rPr>
                <w:b/>
                <w:bCs/>
                <w:color w:val="000000"/>
                <w:sz w:val="18"/>
                <w:szCs w:val="18"/>
              </w:rPr>
              <w:t xml:space="preserve"> OUTCOME INVOLVING UNDP </w:t>
            </w:r>
            <w:r>
              <w:rPr>
                <w:b/>
                <w:bCs/>
                <w:color w:val="000000"/>
                <w:sz w:val="18"/>
                <w:szCs w:val="18"/>
              </w:rPr>
              <w:t xml:space="preserve">No. </w:t>
            </w:r>
            <w:r w:rsidR="00842773" w:rsidRPr="00A273B4">
              <w:rPr>
                <w:b/>
                <w:bCs/>
                <w:color w:val="000000"/>
                <w:sz w:val="18"/>
                <w:szCs w:val="18"/>
              </w:rPr>
              <w:t>2:</w:t>
            </w:r>
            <w:r w:rsidR="00842773" w:rsidRPr="004F59D7">
              <w:rPr>
                <w:b/>
                <w:bCs/>
                <w:color w:val="000000"/>
                <w:sz w:val="18"/>
                <w:szCs w:val="18"/>
              </w:rPr>
              <w:t xml:space="preserve"> </w:t>
            </w:r>
            <w:r w:rsidR="00842773" w:rsidRPr="004F59D7">
              <w:rPr>
                <w:bCs/>
                <w:color w:val="000000"/>
                <w:sz w:val="18"/>
                <w:szCs w:val="18"/>
              </w:rPr>
              <w:t>By 2021 national institutions at all levels target, manage, coordinate and account for resources for equitable service delivery</w:t>
            </w:r>
            <w:r w:rsidR="00842773">
              <w:rPr>
                <w:bCs/>
                <w:color w:val="000000"/>
                <w:sz w:val="18"/>
                <w:szCs w:val="18"/>
              </w:rPr>
              <w:t xml:space="preserve"> and economic growth</w:t>
            </w:r>
            <w:r w:rsidR="00842773" w:rsidRPr="004F59D7">
              <w:rPr>
                <w:bCs/>
                <w:color w:val="000000"/>
                <w:sz w:val="18"/>
                <w:szCs w:val="18"/>
              </w:rPr>
              <w:t xml:space="preserve"> that is based on reliable data</w:t>
            </w:r>
            <w:r>
              <w:rPr>
                <w:bCs/>
                <w:color w:val="000000"/>
                <w:sz w:val="18"/>
                <w:szCs w:val="18"/>
              </w:rPr>
              <w:t>.</w:t>
            </w:r>
          </w:p>
        </w:tc>
      </w:tr>
      <w:tr w:rsidR="00842773" w:rsidRPr="00501E43" w14:paraId="7E4E7553"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A94A386" w14:textId="79C2664C" w:rsidR="00842773" w:rsidRPr="004F59D7" w:rsidRDefault="00842773" w:rsidP="00532502">
            <w:pPr>
              <w:rPr>
                <w:sz w:val="18"/>
                <w:szCs w:val="18"/>
              </w:rPr>
            </w:pPr>
            <w:r w:rsidRPr="004F59D7">
              <w:rPr>
                <w:b/>
                <w:bCs/>
                <w:color w:val="000000"/>
                <w:sz w:val="18"/>
                <w:szCs w:val="18"/>
              </w:rPr>
              <w:t xml:space="preserve">Related Strategic Plan </w:t>
            </w:r>
            <w:r w:rsidR="008E7A9D">
              <w:rPr>
                <w:b/>
                <w:bCs/>
                <w:color w:val="000000"/>
                <w:sz w:val="18"/>
                <w:szCs w:val="18"/>
              </w:rPr>
              <w:t>o</w:t>
            </w:r>
            <w:r w:rsidR="008E7A9D" w:rsidRPr="004F59D7">
              <w:rPr>
                <w:b/>
                <w:bCs/>
                <w:color w:val="000000"/>
                <w:sz w:val="18"/>
                <w:szCs w:val="18"/>
              </w:rPr>
              <w:t>utcome</w:t>
            </w:r>
            <w:r w:rsidR="008E7A9D">
              <w:rPr>
                <w:b/>
                <w:bCs/>
                <w:color w:val="000000"/>
                <w:sz w:val="18"/>
                <w:szCs w:val="18"/>
              </w:rPr>
              <w:t xml:space="preserve"> </w:t>
            </w:r>
            <w:r>
              <w:rPr>
                <w:b/>
                <w:bCs/>
                <w:color w:val="000000"/>
                <w:sz w:val="18"/>
                <w:szCs w:val="18"/>
              </w:rPr>
              <w:t>3</w:t>
            </w:r>
            <w:r w:rsidRPr="004F59D7">
              <w:rPr>
                <w:b/>
                <w:bCs/>
                <w:color w:val="000000"/>
                <w:sz w:val="18"/>
                <w:szCs w:val="18"/>
              </w:rPr>
              <w:t>:</w:t>
            </w:r>
            <w:r w:rsidRPr="004F59D7">
              <w:rPr>
                <w:sz w:val="18"/>
                <w:szCs w:val="18"/>
              </w:rPr>
              <w:t xml:space="preserve"> Countries have strengthened institutions to progressively deliver universal access to basic services</w:t>
            </w:r>
            <w:r w:rsidR="008E7A9D">
              <w:rPr>
                <w:sz w:val="18"/>
                <w:szCs w:val="18"/>
              </w:rPr>
              <w:t>.</w:t>
            </w:r>
          </w:p>
          <w:p w14:paraId="03521078" w14:textId="77777777" w:rsidR="00842773" w:rsidRPr="004F59D7" w:rsidRDefault="00842773" w:rsidP="00532502">
            <w:pPr>
              <w:rPr>
                <w:color w:val="000000"/>
                <w:sz w:val="18"/>
                <w:szCs w:val="18"/>
              </w:rPr>
            </w:pPr>
            <w:r w:rsidRPr="004F59D7">
              <w:rPr>
                <w:b/>
                <w:color w:val="000000"/>
                <w:sz w:val="18"/>
                <w:szCs w:val="18"/>
              </w:rPr>
              <w:t>Related Strategic Plan outcome indicator:</w:t>
            </w:r>
            <w:r w:rsidRPr="004F59D7">
              <w:rPr>
                <w:color w:val="000000"/>
                <w:sz w:val="18"/>
                <w:szCs w:val="18"/>
              </w:rPr>
              <w:t xml:space="preserve"> </w:t>
            </w:r>
            <w:r w:rsidRPr="002F5300">
              <w:rPr>
                <w:color w:val="000000"/>
                <w:sz w:val="18"/>
                <w:szCs w:val="18"/>
              </w:rPr>
              <w:t xml:space="preserve">Level of public confidence in the delivery of basic services. </w:t>
            </w:r>
          </w:p>
        </w:tc>
      </w:tr>
      <w:tr w:rsidR="00842773" w:rsidRPr="00E5135C" w14:paraId="4D5CE7A7" w14:textId="77777777" w:rsidTr="00AE71CA">
        <w:tc>
          <w:tcPr>
            <w:tcW w:w="905"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22F7F807" w14:textId="77777777" w:rsidR="00842773" w:rsidRPr="0026664C" w:rsidRDefault="00842773" w:rsidP="00532502">
            <w:pPr>
              <w:pStyle w:val="ListParagraph"/>
              <w:ind w:left="0"/>
              <w:contextualSpacing/>
              <w:rPr>
                <w:iCs/>
                <w:sz w:val="16"/>
                <w:szCs w:val="16"/>
              </w:rPr>
            </w:pPr>
            <w:r w:rsidRPr="0026664C">
              <w:rPr>
                <w:iCs/>
                <w:sz w:val="16"/>
                <w:szCs w:val="16"/>
              </w:rPr>
              <w:t>2.1.1 Mo-Ibrahim score for Public Management</w:t>
            </w:r>
          </w:p>
          <w:p w14:paraId="1DF2ED4D" w14:textId="77777777" w:rsidR="00842773" w:rsidRPr="0026664C" w:rsidRDefault="00842773" w:rsidP="00532502">
            <w:pPr>
              <w:pStyle w:val="ListParagraph"/>
              <w:ind w:left="0"/>
              <w:contextualSpacing/>
              <w:rPr>
                <w:iCs/>
                <w:sz w:val="16"/>
                <w:szCs w:val="16"/>
              </w:rPr>
            </w:pPr>
            <w:r w:rsidRPr="0026664C">
              <w:rPr>
                <w:iCs/>
                <w:sz w:val="16"/>
                <w:szCs w:val="16"/>
              </w:rPr>
              <w:t>Baseline (2013: 47.6</w:t>
            </w:r>
          </w:p>
          <w:p w14:paraId="0B8664C3" w14:textId="77777777" w:rsidR="00842773" w:rsidRPr="0026664C" w:rsidRDefault="00842773" w:rsidP="00532502">
            <w:pPr>
              <w:pStyle w:val="ListParagraph"/>
              <w:ind w:left="0"/>
              <w:contextualSpacing/>
              <w:rPr>
                <w:iCs/>
                <w:sz w:val="16"/>
                <w:szCs w:val="16"/>
              </w:rPr>
            </w:pPr>
            <w:r w:rsidRPr="0026664C">
              <w:rPr>
                <w:iCs/>
                <w:sz w:val="16"/>
                <w:szCs w:val="16"/>
              </w:rPr>
              <w:t>Target: (2021): 53</w:t>
            </w:r>
          </w:p>
          <w:p w14:paraId="3DD452C0" w14:textId="77777777" w:rsidR="00842773" w:rsidRPr="0026664C" w:rsidRDefault="00842773" w:rsidP="00532502">
            <w:pPr>
              <w:pStyle w:val="ListParagraph"/>
              <w:ind w:left="0"/>
              <w:contextualSpacing/>
              <w:rPr>
                <w:iCs/>
                <w:sz w:val="16"/>
                <w:szCs w:val="16"/>
              </w:rPr>
            </w:pPr>
            <w:r w:rsidRPr="0026664C">
              <w:rPr>
                <w:iCs/>
                <w:sz w:val="16"/>
                <w:szCs w:val="16"/>
              </w:rPr>
              <w:t>2.1.2 Percentage population with access to basic services disaggregated by type of service and geographical location</w:t>
            </w:r>
          </w:p>
          <w:p w14:paraId="15775549" w14:textId="59826A59" w:rsidR="00842773" w:rsidRPr="0026664C" w:rsidRDefault="0026664C" w:rsidP="00532502">
            <w:pPr>
              <w:pStyle w:val="ListParagraph"/>
              <w:ind w:left="0"/>
              <w:contextualSpacing/>
              <w:rPr>
                <w:iCs/>
                <w:sz w:val="16"/>
                <w:szCs w:val="16"/>
              </w:rPr>
            </w:pPr>
            <w:r>
              <w:rPr>
                <w:iCs/>
                <w:sz w:val="16"/>
                <w:szCs w:val="16"/>
              </w:rPr>
              <w:t>(</w:t>
            </w:r>
            <w:r w:rsidR="00842773" w:rsidRPr="0026664C">
              <w:rPr>
                <w:iCs/>
                <w:sz w:val="16"/>
                <w:szCs w:val="16"/>
              </w:rPr>
              <w:t xml:space="preserve">i) % of </w:t>
            </w:r>
            <w:r w:rsidR="00941834" w:rsidRPr="0026664C">
              <w:rPr>
                <w:iCs/>
                <w:sz w:val="16"/>
                <w:szCs w:val="16"/>
              </w:rPr>
              <w:t xml:space="preserve">children in Zambia with </w:t>
            </w:r>
            <w:r w:rsidR="00941834" w:rsidRPr="0026664C">
              <w:rPr>
                <w:iCs/>
                <w:sz w:val="16"/>
                <w:szCs w:val="16"/>
              </w:rPr>
              <w:lastRenderedPageBreak/>
              <w:t>birth registration records.</w:t>
            </w:r>
            <w:r w:rsidR="00941834" w:rsidRPr="0026664C" w:rsidDel="00941834">
              <w:rPr>
                <w:iCs/>
                <w:sz w:val="16"/>
                <w:szCs w:val="16"/>
              </w:rPr>
              <w:t xml:space="preserve"> </w:t>
            </w:r>
            <w:r w:rsidR="00842773" w:rsidRPr="0026664C">
              <w:rPr>
                <w:iCs/>
                <w:sz w:val="16"/>
                <w:szCs w:val="16"/>
              </w:rPr>
              <w:t>Baseline (20</w:t>
            </w:r>
            <w:r w:rsidR="00941834" w:rsidRPr="0026664C">
              <w:rPr>
                <w:iCs/>
                <w:sz w:val="16"/>
                <w:szCs w:val="16"/>
              </w:rPr>
              <w:t>10</w:t>
            </w:r>
            <w:r w:rsidR="00842773" w:rsidRPr="0026664C">
              <w:rPr>
                <w:iCs/>
                <w:sz w:val="16"/>
                <w:szCs w:val="16"/>
              </w:rPr>
              <w:t xml:space="preserve">): </w:t>
            </w:r>
            <w:r w:rsidR="00707B9D" w:rsidRPr="0026664C">
              <w:rPr>
                <w:iCs/>
                <w:sz w:val="16"/>
                <w:szCs w:val="16"/>
              </w:rPr>
              <w:t>17</w:t>
            </w:r>
          </w:p>
          <w:p w14:paraId="1E0F9A94" w14:textId="77777777" w:rsidR="00842773" w:rsidRPr="0026664C" w:rsidRDefault="00842773" w:rsidP="00532502">
            <w:pPr>
              <w:pStyle w:val="ListParagraph"/>
              <w:ind w:left="0"/>
              <w:contextualSpacing/>
              <w:rPr>
                <w:iCs/>
                <w:sz w:val="16"/>
                <w:szCs w:val="16"/>
              </w:rPr>
            </w:pPr>
            <w:r w:rsidRPr="0026664C">
              <w:rPr>
                <w:iCs/>
                <w:sz w:val="16"/>
                <w:szCs w:val="16"/>
              </w:rPr>
              <w:t xml:space="preserve">Target (2021): </w:t>
            </w:r>
            <w:r w:rsidR="00707B9D" w:rsidRPr="0026664C">
              <w:rPr>
                <w:iCs/>
                <w:sz w:val="16"/>
                <w:szCs w:val="16"/>
              </w:rPr>
              <w:t xml:space="preserve"> 30</w:t>
            </w:r>
          </w:p>
          <w:p w14:paraId="57A9D710" w14:textId="7B36D0D0" w:rsidR="00842773" w:rsidRPr="0026664C" w:rsidRDefault="0026664C" w:rsidP="00532502">
            <w:pPr>
              <w:rPr>
                <w:iCs/>
                <w:sz w:val="16"/>
                <w:szCs w:val="16"/>
              </w:rPr>
            </w:pPr>
            <w:r>
              <w:rPr>
                <w:iCs/>
                <w:sz w:val="16"/>
                <w:szCs w:val="16"/>
              </w:rPr>
              <w:t>(</w:t>
            </w:r>
            <w:r w:rsidR="00842773" w:rsidRPr="0026664C">
              <w:rPr>
                <w:iCs/>
                <w:sz w:val="16"/>
                <w:szCs w:val="16"/>
              </w:rPr>
              <w:t xml:space="preserve">ii) % of </w:t>
            </w:r>
            <w:r w:rsidR="00D61E2C" w:rsidRPr="0026664C">
              <w:rPr>
                <w:iCs/>
                <w:sz w:val="16"/>
                <w:szCs w:val="16"/>
              </w:rPr>
              <w:t xml:space="preserve">prison population on </w:t>
            </w:r>
            <w:r w:rsidR="007A0B67" w:rsidRPr="0026664C">
              <w:rPr>
                <w:iCs/>
                <w:sz w:val="16"/>
                <w:szCs w:val="16"/>
              </w:rPr>
              <w:t>remand</w:t>
            </w:r>
          </w:p>
          <w:p w14:paraId="29AC5C9A" w14:textId="77777777" w:rsidR="00842773" w:rsidRPr="0026664C" w:rsidRDefault="00842773" w:rsidP="00532502">
            <w:pPr>
              <w:rPr>
                <w:iCs/>
                <w:sz w:val="16"/>
                <w:szCs w:val="16"/>
              </w:rPr>
            </w:pPr>
            <w:r w:rsidRPr="0026664C">
              <w:rPr>
                <w:iCs/>
                <w:sz w:val="16"/>
                <w:szCs w:val="16"/>
              </w:rPr>
              <w:t>Baseline (20</w:t>
            </w:r>
            <w:r w:rsidR="007A0B67" w:rsidRPr="0026664C">
              <w:rPr>
                <w:iCs/>
                <w:sz w:val="16"/>
                <w:szCs w:val="16"/>
              </w:rPr>
              <w:t>13</w:t>
            </w:r>
            <w:r w:rsidRPr="0026664C">
              <w:rPr>
                <w:iCs/>
                <w:sz w:val="16"/>
                <w:szCs w:val="16"/>
              </w:rPr>
              <w:t>):</w:t>
            </w:r>
            <w:r w:rsidR="00707B9D" w:rsidRPr="0026664C">
              <w:rPr>
                <w:iCs/>
                <w:sz w:val="16"/>
                <w:szCs w:val="16"/>
              </w:rPr>
              <w:t>33</w:t>
            </w:r>
          </w:p>
          <w:p w14:paraId="546946FA" w14:textId="77777777" w:rsidR="00842773" w:rsidRPr="0026664C" w:rsidRDefault="00842773" w:rsidP="00532502">
            <w:pPr>
              <w:rPr>
                <w:iCs/>
                <w:sz w:val="16"/>
                <w:szCs w:val="16"/>
              </w:rPr>
            </w:pPr>
            <w:r w:rsidRPr="0026664C">
              <w:rPr>
                <w:iCs/>
                <w:sz w:val="16"/>
                <w:szCs w:val="16"/>
              </w:rPr>
              <w:t>Target (2021)</w:t>
            </w:r>
            <w:r w:rsidR="00707B9D" w:rsidRPr="0026664C">
              <w:rPr>
                <w:iCs/>
                <w:sz w:val="16"/>
                <w:szCs w:val="16"/>
              </w:rPr>
              <w:t>: 15</w:t>
            </w:r>
          </w:p>
          <w:p w14:paraId="65D4C626" w14:textId="77777777" w:rsidR="00110116" w:rsidRPr="0026664C" w:rsidRDefault="00110116" w:rsidP="00532502">
            <w:pPr>
              <w:rPr>
                <w:iCs/>
                <w:sz w:val="16"/>
                <w:szCs w:val="16"/>
              </w:rPr>
            </w:pPr>
          </w:p>
          <w:p w14:paraId="2EC29E23" w14:textId="77777777" w:rsidR="00842773" w:rsidRPr="0026664C" w:rsidRDefault="00842773" w:rsidP="00532502">
            <w:pPr>
              <w:rPr>
                <w:iCs/>
                <w:sz w:val="16"/>
                <w:szCs w:val="16"/>
              </w:rPr>
            </w:pPr>
            <w:r w:rsidRPr="0026664C">
              <w:rPr>
                <w:iCs/>
                <w:sz w:val="16"/>
                <w:szCs w:val="16"/>
              </w:rPr>
              <w:t>2.2 .1 Number of new HIV cases per year, disaggregated by gender and age group</w:t>
            </w:r>
          </w:p>
          <w:p w14:paraId="7B3961A1" w14:textId="77777777" w:rsidR="00842773" w:rsidRPr="0026664C" w:rsidRDefault="00842773" w:rsidP="00532502">
            <w:pPr>
              <w:rPr>
                <w:iCs/>
                <w:sz w:val="16"/>
                <w:szCs w:val="16"/>
              </w:rPr>
            </w:pPr>
            <w:r w:rsidRPr="0026664C">
              <w:rPr>
                <w:iCs/>
                <w:sz w:val="16"/>
                <w:szCs w:val="16"/>
              </w:rPr>
              <w:t>Baseline (2012):40,000</w:t>
            </w:r>
          </w:p>
          <w:p w14:paraId="6363512D" w14:textId="77777777" w:rsidR="00842773" w:rsidRPr="0026664C" w:rsidRDefault="00842773" w:rsidP="00532502">
            <w:pPr>
              <w:rPr>
                <w:iCs/>
                <w:sz w:val="16"/>
                <w:szCs w:val="16"/>
              </w:rPr>
            </w:pPr>
            <w:r w:rsidRPr="0026664C">
              <w:rPr>
                <w:iCs/>
                <w:sz w:val="16"/>
                <w:szCs w:val="16"/>
              </w:rPr>
              <w:t>Target (2021):20,000</w:t>
            </w:r>
          </w:p>
          <w:p w14:paraId="742E1691" w14:textId="77777777" w:rsidR="00842773" w:rsidRPr="0026664C" w:rsidRDefault="00842773" w:rsidP="00532502">
            <w:pPr>
              <w:rPr>
                <w:iCs/>
                <w:sz w:val="16"/>
                <w:szCs w:val="16"/>
              </w:rPr>
            </w:pPr>
          </w:p>
          <w:p w14:paraId="2724B61C" w14:textId="31DB63E1" w:rsidR="00842773" w:rsidRPr="0026664C" w:rsidRDefault="00842773" w:rsidP="00532502">
            <w:pPr>
              <w:rPr>
                <w:iCs/>
                <w:sz w:val="16"/>
                <w:szCs w:val="16"/>
              </w:rPr>
            </w:pPr>
            <w:r w:rsidRPr="0026664C">
              <w:rPr>
                <w:iCs/>
                <w:sz w:val="16"/>
                <w:szCs w:val="16"/>
              </w:rPr>
              <w:t xml:space="preserve">2.2.2 Percentage of </w:t>
            </w:r>
            <w:r w:rsidR="008E7A9D" w:rsidRPr="0026664C">
              <w:rPr>
                <w:iCs/>
                <w:sz w:val="16"/>
                <w:szCs w:val="16"/>
              </w:rPr>
              <w:t>persons living with HIV</w:t>
            </w:r>
            <w:r w:rsidRPr="0026664C">
              <w:rPr>
                <w:iCs/>
                <w:sz w:val="16"/>
                <w:szCs w:val="16"/>
              </w:rPr>
              <w:t xml:space="preserve"> who are alive at 36 months after initiation of antiretroviral therapy </w:t>
            </w:r>
          </w:p>
          <w:p w14:paraId="466B0658" w14:textId="77777777" w:rsidR="00842773" w:rsidRPr="0026664C" w:rsidRDefault="00842773" w:rsidP="00532502">
            <w:pPr>
              <w:rPr>
                <w:iCs/>
                <w:sz w:val="16"/>
                <w:szCs w:val="16"/>
              </w:rPr>
            </w:pPr>
            <w:r w:rsidRPr="0026664C">
              <w:rPr>
                <w:iCs/>
                <w:sz w:val="16"/>
                <w:szCs w:val="16"/>
              </w:rPr>
              <w:t>Baseline (2013): 80</w:t>
            </w:r>
          </w:p>
          <w:p w14:paraId="12DF4453" w14:textId="77777777" w:rsidR="00842773" w:rsidRPr="0026664C" w:rsidRDefault="00842773" w:rsidP="00532502">
            <w:pPr>
              <w:rPr>
                <w:iCs/>
                <w:sz w:val="16"/>
                <w:szCs w:val="16"/>
              </w:rPr>
            </w:pPr>
            <w:r w:rsidRPr="0026664C">
              <w:rPr>
                <w:iCs/>
                <w:sz w:val="16"/>
                <w:szCs w:val="16"/>
              </w:rPr>
              <w:t>Target (2021: 90</w:t>
            </w:r>
          </w:p>
          <w:p w14:paraId="1A4CDC47" w14:textId="77777777" w:rsidR="00842773" w:rsidRPr="0026664C" w:rsidRDefault="00842773" w:rsidP="00532502">
            <w:pPr>
              <w:rPr>
                <w:iCs/>
                <w:sz w:val="16"/>
                <w:szCs w:val="16"/>
              </w:rPr>
            </w:pPr>
          </w:p>
          <w:p w14:paraId="11AB4525" w14:textId="77777777" w:rsidR="00842773" w:rsidRPr="0026664C" w:rsidRDefault="00842773" w:rsidP="00532502">
            <w:pPr>
              <w:rPr>
                <w:iCs/>
                <w:sz w:val="16"/>
                <w:szCs w:val="16"/>
              </w:rPr>
            </w:pPr>
            <w:r w:rsidRPr="0026664C">
              <w:rPr>
                <w:iCs/>
                <w:sz w:val="16"/>
                <w:szCs w:val="16"/>
              </w:rPr>
              <w:t>2.3 Number of legal cases  brought forward to the following year (case back log)</w:t>
            </w:r>
          </w:p>
          <w:p w14:paraId="72885C81" w14:textId="77777777" w:rsidR="00842773" w:rsidRPr="0026664C" w:rsidRDefault="00842773" w:rsidP="00532502">
            <w:pPr>
              <w:rPr>
                <w:iCs/>
                <w:sz w:val="16"/>
                <w:szCs w:val="16"/>
              </w:rPr>
            </w:pPr>
            <w:r w:rsidRPr="0026664C">
              <w:rPr>
                <w:b/>
                <w:iCs/>
                <w:sz w:val="16"/>
                <w:szCs w:val="16"/>
              </w:rPr>
              <w:t>Total</w:t>
            </w:r>
            <w:r w:rsidRPr="0026664C">
              <w:rPr>
                <w:iCs/>
                <w:sz w:val="16"/>
                <w:szCs w:val="16"/>
              </w:rPr>
              <w:t xml:space="preserve"> Baseline (2012): 4,592 Target (2021): 2,755</w:t>
            </w:r>
          </w:p>
          <w:p w14:paraId="7451A650" w14:textId="77777777" w:rsidR="00842773" w:rsidRPr="0026664C" w:rsidRDefault="00842773" w:rsidP="00532502">
            <w:pPr>
              <w:rPr>
                <w:b/>
                <w:iCs/>
                <w:sz w:val="16"/>
                <w:szCs w:val="16"/>
              </w:rPr>
            </w:pPr>
            <w:r w:rsidRPr="0026664C">
              <w:rPr>
                <w:b/>
                <w:iCs/>
                <w:sz w:val="16"/>
                <w:szCs w:val="16"/>
              </w:rPr>
              <w:t>Magistrate Court</w:t>
            </w:r>
          </w:p>
          <w:p w14:paraId="7B66492A" w14:textId="77777777" w:rsidR="00842773" w:rsidRPr="0026664C" w:rsidRDefault="00842773" w:rsidP="00532502">
            <w:pPr>
              <w:rPr>
                <w:iCs/>
                <w:sz w:val="16"/>
                <w:szCs w:val="16"/>
              </w:rPr>
            </w:pPr>
            <w:r w:rsidRPr="0026664C">
              <w:rPr>
                <w:iCs/>
                <w:sz w:val="16"/>
                <w:szCs w:val="16"/>
              </w:rPr>
              <w:t>Baseline (2012): 2,117</w:t>
            </w:r>
          </w:p>
          <w:p w14:paraId="1E11C513" w14:textId="77777777" w:rsidR="00842773" w:rsidRPr="0026664C" w:rsidRDefault="00842773" w:rsidP="00532502">
            <w:pPr>
              <w:rPr>
                <w:iCs/>
                <w:sz w:val="16"/>
                <w:szCs w:val="16"/>
              </w:rPr>
            </w:pPr>
            <w:r w:rsidRPr="0026664C">
              <w:rPr>
                <w:iCs/>
                <w:sz w:val="16"/>
                <w:szCs w:val="16"/>
              </w:rPr>
              <w:t>Target (2021): 1,270</w:t>
            </w:r>
          </w:p>
          <w:p w14:paraId="2AC22446" w14:textId="77777777" w:rsidR="00842773" w:rsidRPr="0026664C" w:rsidRDefault="00842773" w:rsidP="00532502">
            <w:pPr>
              <w:rPr>
                <w:b/>
                <w:iCs/>
                <w:sz w:val="16"/>
                <w:szCs w:val="16"/>
              </w:rPr>
            </w:pPr>
            <w:r w:rsidRPr="0026664C">
              <w:rPr>
                <w:b/>
                <w:iCs/>
                <w:sz w:val="16"/>
                <w:szCs w:val="16"/>
              </w:rPr>
              <w:t>High Court</w:t>
            </w:r>
          </w:p>
          <w:p w14:paraId="74F65802" w14:textId="77777777" w:rsidR="00842773" w:rsidRPr="0026664C" w:rsidRDefault="00842773" w:rsidP="00532502">
            <w:pPr>
              <w:rPr>
                <w:iCs/>
                <w:sz w:val="16"/>
                <w:szCs w:val="16"/>
              </w:rPr>
            </w:pPr>
            <w:r w:rsidRPr="0026664C">
              <w:rPr>
                <w:iCs/>
                <w:sz w:val="16"/>
                <w:szCs w:val="16"/>
              </w:rPr>
              <w:t>Baseline (2012): 2,475</w:t>
            </w:r>
          </w:p>
          <w:p w14:paraId="299B48FA" w14:textId="77777777" w:rsidR="00842773" w:rsidRPr="0026664C" w:rsidRDefault="00842773" w:rsidP="00532502">
            <w:pPr>
              <w:rPr>
                <w:iCs/>
                <w:sz w:val="16"/>
                <w:szCs w:val="16"/>
              </w:rPr>
            </w:pPr>
            <w:r w:rsidRPr="0026664C">
              <w:rPr>
                <w:iCs/>
                <w:sz w:val="16"/>
                <w:szCs w:val="16"/>
              </w:rPr>
              <w:t>Target (2021): 1,485</w:t>
            </w:r>
          </w:p>
          <w:p w14:paraId="454B6939" w14:textId="77777777" w:rsidR="004741ED" w:rsidRPr="0026664C" w:rsidRDefault="004741ED" w:rsidP="00532502">
            <w:pPr>
              <w:rPr>
                <w:iCs/>
                <w:sz w:val="16"/>
                <w:szCs w:val="16"/>
              </w:rPr>
            </w:pPr>
          </w:p>
          <w:p w14:paraId="791097B4" w14:textId="48937000" w:rsidR="00842773" w:rsidRPr="0026664C" w:rsidRDefault="00842773" w:rsidP="00532502">
            <w:pPr>
              <w:rPr>
                <w:iCs/>
                <w:sz w:val="16"/>
                <w:szCs w:val="16"/>
              </w:rPr>
            </w:pPr>
            <w:r w:rsidRPr="0026664C">
              <w:rPr>
                <w:iCs/>
                <w:sz w:val="16"/>
                <w:szCs w:val="16"/>
              </w:rPr>
              <w:t xml:space="preserve">2.4 Percentage of </w:t>
            </w:r>
            <w:r w:rsidR="007877A7" w:rsidRPr="0026664C">
              <w:rPr>
                <w:iCs/>
                <w:sz w:val="16"/>
                <w:szCs w:val="16"/>
              </w:rPr>
              <w:t>gender-based violence</w:t>
            </w:r>
            <w:r w:rsidRPr="0026664C">
              <w:rPr>
                <w:iCs/>
                <w:sz w:val="16"/>
                <w:szCs w:val="16"/>
              </w:rPr>
              <w:t xml:space="preserve"> cases adjudicated </w:t>
            </w:r>
          </w:p>
          <w:p w14:paraId="0C98D918" w14:textId="77777777" w:rsidR="00842773" w:rsidRPr="0026664C" w:rsidRDefault="00842773" w:rsidP="00532502">
            <w:pPr>
              <w:shd w:val="clear" w:color="auto" w:fill="FFFFFF"/>
              <w:rPr>
                <w:iCs/>
                <w:sz w:val="16"/>
                <w:szCs w:val="16"/>
              </w:rPr>
            </w:pPr>
            <w:r w:rsidRPr="0026664C">
              <w:rPr>
                <w:iCs/>
                <w:sz w:val="16"/>
                <w:szCs w:val="16"/>
              </w:rPr>
              <w:t xml:space="preserve">Baseline (2014): </w:t>
            </w:r>
            <w:r w:rsidR="00727000" w:rsidRPr="0026664C">
              <w:rPr>
                <w:iCs/>
                <w:sz w:val="16"/>
                <w:szCs w:val="16"/>
              </w:rPr>
              <w:t>31</w:t>
            </w:r>
          </w:p>
          <w:p w14:paraId="5ECD1534" w14:textId="77777777" w:rsidR="00842773" w:rsidRPr="0026664C" w:rsidRDefault="00842773" w:rsidP="00AE71CA">
            <w:pPr>
              <w:rPr>
                <w:iCs/>
                <w:sz w:val="16"/>
                <w:szCs w:val="16"/>
              </w:rPr>
            </w:pPr>
            <w:r w:rsidRPr="0026664C">
              <w:rPr>
                <w:iCs/>
                <w:sz w:val="16"/>
                <w:szCs w:val="16"/>
              </w:rPr>
              <w:t xml:space="preserve">Target (2021):  </w:t>
            </w:r>
            <w:r w:rsidR="00727000" w:rsidRPr="0026664C">
              <w:rPr>
                <w:iCs/>
                <w:sz w:val="16"/>
                <w:szCs w:val="16"/>
              </w:rPr>
              <w:t>45</w:t>
            </w:r>
          </w:p>
        </w:tc>
        <w:tc>
          <w:tcPr>
            <w:tcW w:w="685" w:type="pct"/>
            <w:gridSpan w:val="2"/>
            <w:vMerge w:val="restart"/>
            <w:tcBorders>
              <w:top w:val="single" w:sz="4" w:space="0" w:color="auto"/>
              <w:left w:val="single" w:sz="4" w:space="0" w:color="auto"/>
              <w:bottom w:val="single" w:sz="4" w:space="0" w:color="auto"/>
              <w:right w:val="single" w:sz="4" w:space="0" w:color="auto"/>
            </w:tcBorders>
          </w:tcPr>
          <w:p w14:paraId="7CB36186" w14:textId="77777777" w:rsidR="00842773" w:rsidRPr="0026664C" w:rsidRDefault="00842773" w:rsidP="00532502">
            <w:pPr>
              <w:pStyle w:val="ColorfulList-Accent11"/>
              <w:ind w:left="0"/>
              <w:rPr>
                <w:iCs/>
                <w:sz w:val="16"/>
                <w:szCs w:val="16"/>
              </w:rPr>
            </w:pPr>
            <w:r w:rsidRPr="0026664C">
              <w:rPr>
                <w:iCs/>
                <w:sz w:val="16"/>
                <w:szCs w:val="16"/>
              </w:rPr>
              <w:lastRenderedPageBreak/>
              <w:t>Mo-Ibrahim Index Reports</w:t>
            </w:r>
          </w:p>
          <w:p w14:paraId="08B158A1" w14:textId="77777777" w:rsidR="00842773" w:rsidRPr="0026664C" w:rsidRDefault="00842773" w:rsidP="00532502">
            <w:pPr>
              <w:pStyle w:val="ColorfulList-Accent11"/>
              <w:rPr>
                <w:iCs/>
                <w:sz w:val="16"/>
                <w:szCs w:val="16"/>
              </w:rPr>
            </w:pPr>
          </w:p>
          <w:p w14:paraId="16A1D136" w14:textId="77777777" w:rsidR="00842773" w:rsidRPr="0026664C" w:rsidRDefault="00842773" w:rsidP="00532502">
            <w:pPr>
              <w:pStyle w:val="ColorfulList-Accent11"/>
              <w:ind w:left="0"/>
              <w:rPr>
                <w:iCs/>
                <w:color w:val="000000"/>
                <w:sz w:val="16"/>
                <w:szCs w:val="16"/>
              </w:rPr>
            </w:pPr>
          </w:p>
          <w:p w14:paraId="58E3CB59" w14:textId="77777777" w:rsidR="00842773" w:rsidRPr="0026664C" w:rsidRDefault="00842773" w:rsidP="00532502">
            <w:pPr>
              <w:pStyle w:val="ColorfulList-Accent11"/>
              <w:ind w:left="0"/>
              <w:rPr>
                <w:iCs/>
                <w:color w:val="000000"/>
                <w:sz w:val="16"/>
                <w:szCs w:val="16"/>
              </w:rPr>
            </w:pPr>
          </w:p>
          <w:p w14:paraId="35FD0128" w14:textId="3DB460F1" w:rsidR="00842773" w:rsidRPr="0026664C" w:rsidRDefault="00CC6134" w:rsidP="00532502">
            <w:pPr>
              <w:pStyle w:val="ColorfulList-Accent11"/>
              <w:ind w:left="0"/>
              <w:rPr>
                <w:iCs/>
                <w:color w:val="000000"/>
                <w:sz w:val="16"/>
                <w:szCs w:val="16"/>
              </w:rPr>
            </w:pPr>
            <w:r w:rsidRPr="0026664C">
              <w:rPr>
                <w:iCs/>
                <w:color w:val="000000"/>
                <w:sz w:val="16"/>
                <w:szCs w:val="16"/>
              </w:rPr>
              <w:t xml:space="preserve">Census Reports, </w:t>
            </w:r>
            <w:r w:rsidR="00A03A23" w:rsidRPr="0026664C">
              <w:rPr>
                <w:iCs/>
                <w:color w:val="000000"/>
                <w:sz w:val="16"/>
                <w:szCs w:val="16"/>
              </w:rPr>
              <w:t>Ministries</w:t>
            </w:r>
            <w:r w:rsidRPr="0026664C">
              <w:rPr>
                <w:iCs/>
                <w:color w:val="000000"/>
                <w:sz w:val="16"/>
                <w:szCs w:val="16"/>
              </w:rPr>
              <w:t xml:space="preserve"> of Home Affairs and Justice </w:t>
            </w:r>
            <w:r w:rsidR="00F00DF5" w:rsidRPr="0026664C">
              <w:rPr>
                <w:iCs/>
                <w:color w:val="000000"/>
                <w:sz w:val="16"/>
                <w:szCs w:val="16"/>
              </w:rPr>
              <w:t xml:space="preserve">reports </w:t>
            </w:r>
            <w:r w:rsidRPr="0026664C">
              <w:rPr>
                <w:iCs/>
                <w:color w:val="000000"/>
                <w:sz w:val="16"/>
                <w:szCs w:val="16"/>
              </w:rPr>
              <w:t xml:space="preserve">and </w:t>
            </w:r>
            <w:r w:rsidR="00F00DF5" w:rsidRPr="0026664C">
              <w:rPr>
                <w:iCs/>
                <w:color w:val="000000"/>
                <w:sz w:val="16"/>
                <w:szCs w:val="16"/>
              </w:rPr>
              <w:t>records</w:t>
            </w:r>
            <w:r w:rsidRPr="0026664C">
              <w:rPr>
                <w:iCs/>
                <w:color w:val="000000"/>
                <w:sz w:val="16"/>
                <w:szCs w:val="16"/>
              </w:rPr>
              <w:t>.</w:t>
            </w:r>
          </w:p>
          <w:p w14:paraId="46221D9E" w14:textId="77777777" w:rsidR="00842773" w:rsidRPr="0026664C" w:rsidRDefault="00842773" w:rsidP="00532502">
            <w:pPr>
              <w:pStyle w:val="ColorfulList-Accent11"/>
              <w:ind w:left="0"/>
              <w:rPr>
                <w:iCs/>
                <w:color w:val="000000"/>
                <w:sz w:val="16"/>
                <w:szCs w:val="16"/>
              </w:rPr>
            </w:pPr>
          </w:p>
          <w:p w14:paraId="25D7182F" w14:textId="77777777" w:rsidR="00842773" w:rsidRPr="0026664C" w:rsidRDefault="00842773" w:rsidP="00532502">
            <w:pPr>
              <w:pStyle w:val="ColorfulList-Accent11"/>
              <w:ind w:left="0"/>
              <w:rPr>
                <w:iCs/>
                <w:color w:val="000000"/>
                <w:sz w:val="16"/>
                <w:szCs w:val="16"/>
              </w:rPr>
            </w:pPr>
          </w:p>
          <w:p w14:paraId="47C77820" w14:textId="77777777" w:rsidR="00842773" w:rsidRPr="0026664C" w:rsidRDefault="00842773" w:rsidP="00532502">
            <w:pPr>
              <w:pStyle w:val="ColorfulList-Accent11"/>
              <w:ind w:left="0"/>
              <w:rPr>
                <w:iCs/>
                <w:color w:val="000000"/>
                <w:sz w:val="16"/>
                <w:szCs w:val="16"/>
              </w:rPr>
            </w:pPr>
          </w:p>
          <w:p w14:paraId="4A582E2E" w14:textId="77777777" w:rsidR="00842773" w:rsidRPr="0026664C" w:rsidRDefault="00842773" w:rsidP="00532502">
            <w:pPr>
              <w:pStyle w:val="ColorfulList-Accent11"/>
              <w:ind w:left="0"/>
              <w:rPr>
                <w:iCs/>
                <w:color w:val="000000"/>
                <w:sz w:val="16"/>
                <w:szCs w:val="16"/>
              </w:rPr>
            </w:pPr>
          </w:p>
          <w:p w14:paraId="33F06A49" w14:textId="77777777" w:rsidR="00842773" w:rsidRPr="0026664C" w:rsidRDefault="00842773" w:rsidP="00532502">
            <w:pPr>
              <w:pStyle w:val="ColorfulList-Accent11"/>
              <w:ind w:left="0"/>
              <w:rPr>
                <w:iCs/>
                <w:color w:val="000000"/>
                <w:sz w:val="16"/>
                <w:szCs w:val="16"/>
              </w:rPr>
            </w:pPr>
          </w:p>
          <w:p w14:paraId="292A489D" w14:textId="77777777" w:rsidR="00842773" w:rsidRPr="0026664C" w:rsidRDefault="00842773" w:rsidP="00532502">
            <w:pPr>
              <w:pStyle w:val="ColorfulList-Accent11"/>
              <w:ind w:left="0"/>
              <w:rPr>
                <w:iCs/>
                <w:color w:val="000000"/>
                <w:sz w:val="16"/>
                <w:szCs w:val="16"/>
              </w:rPr>
            </w:pPr>
          </w:p>
          <w:p w14:paraId="56307D8F" w14:textId="77777777" w:rsidR="00CC6134" w:rsidRPr="0026664C" w:rsidRDefault="00CC6134" w:rsidP="00532502">
            <w:pPr>
              <w:pStyle w:val="ColorfulList-Accent11"/>
              <w:ind w:left="0"/>
              <w:rPr>
                <w:iCs/>
                <w:color w:val="000000"/>
                <w:sz w:val="16"/>
                <w:szCs w:val="16"/>
              </w:rPr>
            </w:pPr>
          </w:p>
          <w:p w14:paraId="1D4DBE94" w14:textId="77777777" w:rsidR="00CC6134" w:rsidRPr="0026664C" w:rsidRDefault="00CC6134" w:rsidP="00532502">
            <w:pPr>
              <w:pStyle w:val="ColorfulList-Accent11"/>
              <w:ind w:left="0"/>
              <w:rPr>
                <w:iCs/>
                <w:color w:val="000000"/>
                <w:sz w:val="16"/>
                <w:szCs w:val="16"/>
              </w:rPr>
            </w:pPr>
          </w:p>
          <w:p w14:paraId="4A94EF42" w14:textId="77777777" w:rsidR="00CC6134" w:rsidRPr="0026664C" w:rsidRDefault="00CC6134" w:rsidP="00532502">
            <w:pPr>
              <w:pStyle w:val="ColorfulList-Accent11"/>
              <w:ind w:left="0"/>
              <w:rPr>
                <w:iCs/>
                <w:color w:val="000000"/>
                <w:sz w:val="16"/>
                <w:szCs w:val="16"/>
              </w:rPr>
            </w:pPr>
          </w:p>
          <w:p w14:paraId="4EAB995B" w14:textId="77777777" w:rsidR="00110116" w:rsidRPr="0026664C" w:rsidRDefault="00110116" w:rsidP="00532502">
            <w:pPr>
              <w:pStyle w:val="ColorfulList-Accent11"/>
              <w:ind w:left="0"/>
              <w:rPr>
                <w:iCs/>
                <w:color w:val="000000"/>
                <w:sz w:val="16"/>
                <w:szCs w:val="16"/>
              </w:rPr>
            </w:pPr>
          </w:p>
          <w:p w14:paraId="282724DB" w14:textId="6D638686" w:rsidR="00842773" w:rsidRPr="0026664C" w:rsidRDefault="008E7A9D" w:rsidP="00532502">
            <w:pPr>
              <w:pStyle w:val="ColorfulList-Accent11"/>
              <w:ind w:left="0"/>
              <w:rPr>
                <w:iCs/>
                <w:color w:val="000000"/>
                <w:sz w:val="16"/>
                <w:szCs w:val="16"/>
              </w:rPr>
            </w:pPr>
            <w:r w:rsidRPr="0026664C">
              <w:rPr>
                <w:iCs/>
                <w:color w:val="000000"/>
                <w:sz w:val="16"/>
                <w:szCs w:val="16"/>
              </w:rPr>
              <w:t xml:space="preserve">UNAIDS </w:t>
            </w:r>
            <w:r w:rsidR="00007A88" w:rsidRPr="0026664C">
              <w:rPr>
                <w:iCs/>
                <w:color w:val="000000"/>
                <w:sz w:val="16"/>
                <w:szCs w:val="16"/>
              </w:rPr>
              <w:t>M</w:t>
            </w:r>
            <w:r w:rsidRPr="0026664C">
              <w:rPr>
                <w:iCs/>
                <w:color w:val="000000"/>
                <w:sz w:val="16"/>
                <w:szCs w:val="16"/>
              </w:rPr>
              <w:t xml:space="preserve">inistry </w:t>
            </w:r>
            <w:r w:rsidR="003C7485" w:rsidRPr="0026664C">
              <w:rPr>
                <w:iCs/>
                <w:color w:val="000000"/>
                <w:sz w:val="16"/>
                <w:szCs w:val="16"/>
              </w:rPr>
              <w:t>of</w:t>
            </w:r>
            <w:r w:rsidRPr="0026664C">
              <w:rPr>
                <w:iCs/>
                <w:color w:val="000000"/>
                <w:sz w:val="16"/>
                <w:szCs w:val="16"/>
              </w:rPr>
              <w:t xml:space="preserve"> Health (M</w:t>
            </w:r>
            <w:r w:rsidR="00007A88" w:rsidRPr="0026664C">
              <w:rPr>
                <w:iCs/>
                <w:color w:val="000000"/>
                <w:sz w:val="16"/>
                <w:szCs w:val="16"/>
              </w:rPr>
              <w:t>oH</w:t>
            </w:r>
            <w:r w:rsidRPr="0026664C">
              <w:rPr>
                <w:iCs/>
                <w:color w:val="000000"/>
                <w:sz w:val="16"/>
                <w:szCs w:val="16"/>
              </w:rPr>
              <w:t>)</w:t>
            </w:r>
            <w:r w:rsidR="00007A88" w:rsidRPr="0026664C">
              <w:rPr>
                <w:iCs/>
                <w:color w:val="000000"/>
                <w:sz w:val="16"/>
                <w:szCs w:val="16"/>
              </w:rPr>
              <w:t xml:space="preserve"> and</w:t>
            </w:r>
            <w:r w:rsidR="00842773" w:rsidRPr="0026664C">
              <w:rPr>
                <w:iCs/>
                <w:color w:val="000000"/>
                <w:sz w:val="16"/>
                <w:szCs w:val="16"/>
              </w:rPr>
              <w:t xml:space="preserve"> </w:t>
            </w:r>
            <w:r w:rsidR="001313E3">
              <w:rPr>
                <w:iCs/>
                <w:color w:val="000000"/>
                <w:sz w:val="16"/>
                <w:szCs w:val="16"/>
              </w:rPr>
              <w:t>National AIDS Council (</w:t>
            </w:r>
            <w:r w:rsidR="00842773" w:rsidRPr="0026664C">
              <w:rPr>
                <w:iCs/>
                <w:color w:val="000000"/>
                <w:sz w:val="16"/>
                <w:szCs w:val="16"/>
              </w:rPr>
              <w:t>NAC</w:t>
            </w:r>
            <w:r w:rsidR="001313E3">
              <w:rPr>
                <w:iCs/>
                <w:color w:val="000000"/>
                <w:sz w:val="16"/>
                <w:szCs w:val="16"/>
              </w:rPr>
              <w:t>)</w:t>
            </w:r>
            <w:r w:rsidR="00842773" w:rsidRPr="0026664C">
              <w:rPr>
                <w:iCs/>
                <w:color w:val="000000"/>
                <w:sz w:val="16"/>
                <w:szCs w:val="16"/>
              </w:rPr>
              <w:t xml:space="preserve"> </w:t>
            </w:r>
            <w:r w:rsidR="001313E3">
              <w:rPr>
                <w:iCs/>
                <w:color w:val="000000"/>
                <w:sz w:val="16"/>
                <w:szCs w:val="16"/>
              </w:rPr>
              <w:t>r</w:t>
            </w:r>
            <w:r w:rsidR="001313E3" w:rsidRPr="0026664C">
              <w:rPr>
                <w:iCs/>
                <w:color w:val="000000"/>
                <w:sz w:val="16"/>
                <w:szCs w:val="16"/>
              </w:rPr>
              <w:t>eports</w:t>
            </w:r>
            <w:r w:rsidR="00842773" w:rsidRPr="0026664C">
              <w:rPr>
                <w:iCs/>
                <w:color w:val="000000"/>
                <w:sz w:val="16"/>
                <w:szCs w:val="16"/>
              </w:rPr>
              <w:t xml:space="preserve">. </w:t>
            </w:r>
          </w:p>
          <w:p w14:paraId="00BDB583" w14:textId="77777777" w:rsidR="00842773" w:rsidRPr="0026664C" w:rsidRDefault="00842773" w:rsidP="00532502">
            <w:pPr>
              <w:pStyle w:val="ColorfulList-Accent11"/>
              <w:ind w:left="0"/>
              <w:rPr>
                <w:iCs/>
                <w:color w:val="000000"/>
                <w:sz w:val="16"/>
                <w:szCs w:val="16"/>
              </w:rPr>
            </w:pPr>
          </w:p>
          <w:p w14:paraId="08E90ECD" w14:textId="77777777" w:rsidR="00842773" w:rsidRPr="0026664C" w:rsidRDefault="00842773" w:rsidP="00532502">
            <w:pPr>
              <w:pStyle w:val="ColorfulList-Accent11"/>
              <w:ind w:left="0"/>
              <w:rPr>
                <w:iCs/>
                <w:color w:val="000000"/>
                <w:sz w:val="16"/>
                <w:szCs w:val="16"/>
              </w:rPr>
            </w:pPr>
          </w:p>
          <w:p w14:paraId="6FE98864" w14:textId="77777777" w:rsidR="00842773" w:rsidRPr="0026664C" w:rsidRDefault="00842773" w:rsidP="00532502">
            <w:pPr>
              <w:pStyle w:val="ColorfulList-Accent11"/>
              <w:ind w:left="0"/>
              <w:rPr>
                <w:iCs/>
                <w:color w:val="000000"/>
                <w:sz w:val="16"/>
                <w:szCs w:val="16"/>
              </w:rPr>
            </w:pPr>
          </w:p>
          <w:p w14:paraId="6D225954" w14:textId="5013B439" w:rsidR="00842773" w:rsidRPr="0026664C" w:rsidRDefault="008E7A9D" w:rsidP="00532502">
            <w:pPr>
              <w:pStyle w:val="ColorfulList-Accent11"/>
              <w:ind w:left="0"/>
              <w:rPr>
                <w:iCs/>
                <w:color w:val="000000"/>
                <w:sz w:val="16"/>
                <w:szCs w:val="16"/>
              </w:rPr>
            </w:pPr>
            <w:r w:rsidRPr="0026664C">
              <w:rPr>
                <w:iCs/>
                <w:color w:val="000000"/>
                <w:sz w:val="16"/>
                <w:szCs w:val="16"/>
              </w:rPr>
              <w:t xml:space="preserve">UNAIDS </w:t>
            </w:r>
            <w:r w:rsidR="00007A88" w:rsidRPr="0026664C">
              <w:rPr>
                <w:iCs/>
                <w:color w:val="000000"/>
                <w:sz w:val="16"/>
                <w:szCs w:val="16"/>
              </w:rPr>
              <w:t>MoH and</w:t>
            </w:r>
            <w:r w:rsidR="00FF28D2" w:rsidRPr="0026664C">
              <w:rPr>
                <w:iCs/>
                <w:color w:val="000000"/>
                <w:sz w:val="16"/>
                <w:szCs w:val="16"/>
              </w:rPr>
              <w:t xml:space="preserve"> NAC </w:t>
            </w:r>
            <w:r w:rsidR="001313E3">
              <w:rPr>
                <w:iCs/>
                <w:color w:val="000000"/>
                <w:sz w:val="16"/>
                <w:szCs w:val="16"/>
              </w:rPr>
              <w:t>r</w:t>
            </w:r>
            <w:r w:rsidR="001313E3" w:rsidRPr="0026664C">
              <w:rPr>
                <w:iCs/>
                <w:color w:val="000000"/>
                <w:sz w:val="16"/>
                <w:szCs w:val="16"/>
              </w:rPr>
              <w:t>eports</w:t>
            </w:r>
            <w:r w:rsidR="00FF28D2" w:rsidRPr="0026664C">
              <w:rPr>
                <w:iCs/>
                <w:color w:val="000000"/>
                <w:sz w:val="16"/>
                <w:szCs w:val="16"/>
              </w:rPr>
              <w:t>.</w:t>
            </w:r>
          </w:p>
          <w:p w14:paraId="59C9CA73" w14:textId="77777777" w:rsidR="00842773" w:rsidRPr="0026664C" w:rsidRDefault="00842773" w:rsidP="00532502">
            <w:pPr>
              <w:pStyle w:val="ColorfulList-Accent11"/>
              <w:ind w:left="0"/>
              <w:rPr>
                <w:iCs/>
                <w:color w:val="000000"/>
                <w:sz w:val="16"/>
                <w:szCs w:val="16"/>
              </w:rPr>
            </w:pPr>
          </w:p>
          <w:p w14:paraId="2D687D03" w14:textId="77777777" w:rsidR="00842773" w:rsidRPr="0026664C" w:rsidRDefault="00842773" w:rsidP="00532502">
            <w:pPr>
              <w:pStyle w:val="ColorfulList-Accent11"/>
              <w:ind w:left="0"/>
              <w:rPr>
                <w:iCs/>
                <w:color w:val="000000"/>
                <w:sz w:val="16"/>
                <w:szCs w:val="16"/>
              </w:rPr>
            </w:pPr>
          </w:p>
          <w:p w14:paraId="1C90B0C3" w14:textId="77777777" w:rsidR="00842773" w:rsidRPr="0026664C" w:rsidRDefault="00842773" w:rsidP="00532502">
            <w:pPr>
              <w:pStyle w:val="ColorfulList-Accent11"/>
              <w:ind w:left="0"/>
              <w:rPr>
                <w:iCs/>
                <w:color w:val="000000"/>
                <w:sz w:val="16"/>
                <w:szCs w:val="16"/>
              </w:rPr>
            </w:pPr>
          </w:p>
          <w:p w14:paraId="75D9E60E" w14:textId="77777777" w:rsidR="00842773" w:rsidRPr="0026664C" w:rsidRDefault="00842773" w:rsidP="00532502">
            <w:pPr>
              <w:pStyle w:val="ColorfulList-Accent11"/>
              <w:ind w:left="0"/>
              <w:rPr>
                <w:iCs/>
                <w:color w:val="000000"/>
                <w:sz w:val="16"/>
                <w:szCs w:val="16"/>
              </w:rPr>
            </w:pPr>
          </w:p>
          <w:p w14:paraId="435B9049" w14:textId="77777777" w:rsidR="00FF28D2" w:rsidRPr="0026664C" w:rsidRDefault="00FF28D2" w:rsidP="00532502">
            <w:pPr>
              <w:pStyle w:val="ColorfulList-Accent11"/>
              <w:ind w:left="0"/>
              <w:rPr>
                <w:iCs/>
                <w:color w:val="000000"/>
                <w:sz w:val="16"/>
                <w:szCs w:val="16"/>
              </w:rPr>
            </w:pPr>
          </w:p>
          <w:p w14:paraId="2ABB1B42" w14:textId="53816C30" w:rsidR="00842773" w:rsidRPr="0026664C" w:rsidRDefault="00842773" w:rsidP="00532502">
            <w:pPr>
              <w:rPr>
                <w:iCs/>
                <w:color w:val="000000"/>
                <w:sz w:val="16"/>
                <w:szCs w:val="16"/>
              </w:rPr>
            </w:pPr>
            <w:r w:rsidRPr="0026664C">
              <w:rPr>
                <w:iCs/>
                <w:color w:val="000000"/>
                <w:sz w:val="16"/>
                <w:szCs w:val="16"/>
              </w:rPr>
              <w:t xml:space="preserve">Judiciary and Ministry of Justice Reports, Zambia Police </w:t>
            </w:r>
            <w:r w:rsidR="008E7A9D" w:rsidRPr="0026664C">
              <w:rPr>
                <w:iCs/>
                <w:color w:val="000000"/>
                <w:sz w:val="16"/>
                <w:szCs w:val="16"/>
              </w:rPr>
              <w:t xml:space="preserve">reports </w:t>
            </w:r>
            <w:r w:rsidRPr="0026664C">
              <w:rPr>
                <w:iCs/>
                <w:color w:val="000000"/>
                <w:sz w:val="16"/>
                <w:szCs w:val="16"/>
              </w:rPr>
              <w:t xml:space="preserve">and </w:t>
            </w:r>
            <w:r w:rsidR="008E7A9D" w:rsidRPr="0026664C">
              <w:rPr>
                <w:iCs/>
                <w:color w:val="000000"/>
                <w:sz w:val="16"/>
                <w:szCs w:val="16"/>
              </w:rPr>
              <w:t xml:space="preserve">records  </w:t>
            </w:r>
          </w:p>
          <w:p w14:paraId="67118B8A" w14:textId="77777777" w:rsidR="00842773" w:rsidRPr="0026664C" w:rsidRDefault="00842773" w:rsidP="00532502">
            <w:pPr>
              <w:rPr>
                <w:iCs/>
                <w:color w:val="000000"/>
                <w:sz w:val="16"/>
                <w:szCs w:val="16"/>
              </w:rPr>
            </w:pPr>
          </w:p>
          <w:p w14:paraId="272321CC" w14:textId="77777777" w:rsidR="00842773" w:rsidRPr="0026664C" w:rsidRDefault="00842773" w:rsidP="00532502">
            <w:pPr>
              <w:rPr>
                <w:iCs/>
                <w:color w:val="000000"/>
                <w:sz w:val="16"/>
                <w:szCs w:val="16"/>
              </w:rPr>
            </w:pPr>
          </w:p>
          <w:p w14:paraId="09D461D5" w14:textId="77777777" w:rsidR="00842773" w:rsidRPr="0026664C" w:rsidRDefault="00842773" w:rsidP="00532502">
            <w:pPr>
              <w:rPr>
                <w:iCs/>
                <w:color w:val="000000"/>
                <w:sz w:val="16"/>
                <w:szCs w:val="16"/>
              </w:rPr>
            </w:pPr>
          </w:p>
          <w:p w14:paraId="33B9F03C" w14:textId="77777777" w:rsidR="00842773" w:rsidRPr="0026664C" w:rsidRDefault="00842773" w:rsidP="00532502">
            <w:pPr>
              <w:rPr>
                <w:iCs/>
                <w:color w:val="000000"/>
                <w:sz w:val="16"/>
                <w:szCs w:val="16"/>
              </w:rPr>
            </w:pPr>
          </w:p>
          <w:p w14:paraId="7F420F0D" w14:textId="77777777" w:rsidR="00842773" w:rsidRPr="0026664C" w:rsidRDefault="00842773" w:rsidP="00532502">
            <w:pPr>
              <w:rPr>
                <w:iCs/>
                <w:color w:val="000000"/>
                <w:sz w:val="16"/>
                <w:szCs w:val="16"/>
              </w:rPr>
            </w:pPr>
          </w:p>
          <w:p w14:paraId="24485D16" w14:textId="77777777" w:rsidR="00842773" w:rsidRPr="0026664C" w:rsidRDefault="00842773" w:rsidP="00532502">
            <w:pPr>
              <w:rPr>
                <w:iCs/>
                <w:color w:val="000000"/>
                <w:sz w:val="16"/>
                <w:szCs w:val="16"/>
              </w:rPr>
            </w:pPr>
          </w:p>
          <w:p w14:paraId="0727D61C" w14:textId="77777777" w:rsidR="00842773" w:rsidRPr="0026664C" w:rsidRDefault="00842773" w:rsidP="00532502">
            <w:pPr>
              <w:rPr>
                <w:iCs/>
                <w:color w:val="000000"/>
                <w:sz w:val="16"/>
                <w:szCs w:val="16"/>
              </w:rPr>
            </w:pPr>
          </w:p>
          <w:p w14:paraId="1E4D9DBB" w14:textId="77777777" w:rsidR="004D5F0A" w:rsidRPr="0026664C" w:rsidRDefault="004D5F0A" w:rsidP="00532502">
            <w:pPr>
              <w:rPr>
                <w:iCs/>
                <w:color w:val="000000"/>
                <w:sz w:val="16"/>
                <w:szCs w:val="16"/>
              </w:rPr>
            </w:pPr>
          </w:p>
          <w:p w14:paraId="22A8D332" w14:textId="27203E83" w:rsidR="00842773" w:rsidRPr="0026664C" w:rsidRDefault="00842773" w:rsidP="00532502">
            <w:pPr>
              <w:rPr>
                <w:iCs/>
                <w:color w:val="000000"/>
                <w:sz w:val="16"/>
                <w:szCs w:val="16"/>
              </w:rPr>
            </w:pPr>
            <w:r w:rsidRPr="0026664C">
              <w:rPr>
                <w:iCs/>
                <w:color w:val="000000"/>
                <w:sz w:val="16"/>
                <w:szCs w:val="16"/>
              </w:rPr>
              <w:t xml:space="preserve">Ministry of Justice Reports, Zambia Police Records, CSO </w:t>
            </w:r>
            <w:r w:rsidR="008E7A9D" w:rsidRPr="0026664C">
              <w:rPr>
                <w:iCs/>
                <w:color w:val="000000"/>
                <w:sz w:val="16"/>
                <w:szCs w:val="16"/>
              </w:rPr>
              <w:t>reports</w:t>
            </w:r>
          </w:p>
          <w:p w14:paraId="41BAEAD9" w14:textId="77777777" w:rsidR="00842773" w:rsidRPr="0026664C" w:rsidRDefault="00842773" w:rsidP="00532502">
            <w:r w:rsidRPr="0026664C">
              <w:rPr>
                <w:iCs/>
                <w:color w:val="000000"/>
                <w:sz w:val="16"/>
                <w:szCs w:val="16"/>
              </w:rPr>
              <w:t>missions reports</w:t>
            </w:r>
          </w:p>
        </w:tc>
        <w:tc>
          <w:tcPr>
            <w:tcW w:w="2162" w:type="pct"/>
            <w:vMerge w:val="restart"/>
            <w:tcBorders>
              <w:top w:val="single" w:sz="4" w:space="0" w:color="auto"/>
              <w:left w:val="single" w:sz="4" w:space="0" w:color="auto"/>
              <w:right w:val="single" w:sz="8" w:space="0" w:color="000000"/>
            </w:tcBorders>
            <w:tcMar>
              <w:top w:w="72" w:type="dxa"/>
              <w:left w:w="144" w:type="dxa"/>
              <w:bottom w:w="72" w:type="dxa"/>
              <w:right w:w="144" w:type="dxa"/>
            </w:tcMar>
          </w:tcPr>
          <w:p w14:paraId="3AD05DD3" w14:textId="3B39A27E" w:rsidR="00842773" w:rsidRPr="00E5135C" w:rsidRDefault="00842773" w:rsidP="00532502">
            <w:pPr>
              <w:rPr>
                <w:iCs/>
                <w:color w:val="000000"/>
                <w:sz w:val="16"/>
                <w:szCs w:val="16"/>
              </w:rPr>
            </w:pPr>
            <w:r w:rsidRPr="00E5135C">
              <w:rPr>
                <w:b/>
                <w:iCs/>
                <w:color w:val="000000"/>
                <w:sz w:val="16"/>
                <w:szCs w:val="16"/>
              </w:rPr>
              <w:lastRenderedPageBreak/>
              <w:t xml:space="preserve">Output 2.1. </w:t>
            </w:r>
            <w:r w:rsidRPr="00E5135C">
              <w:rPr>
                <w:iCs/>
                <w:color w:val="000000"/>
                <w:sz w:val="16"/>
                <w:szCs w:val="16"/>
              </w:rPr>
              <w:t xml:space="preserve">Planning, </w:t>
            </w:r>
            <w:r w:rsidR="00F00DF5">
              <w:rPr>
                <w:iCs/>
                <w:color w:val="000000"/>
                <w:sz w:val="16"/>
                <w:szCs w:val="16"/>
              </w:rPr>
              <w:t>c</w:t>
            </w:r>
            <w:r w:rsidR="00F00DF5" w:rsidRPr="00E5135C">
              <w:rPr>
                <w:iCs/>
                <w:color w:val="000000"/>
                <w:sz w:val="16"/>
                <w:szCs w:val="16"/>
              </w:rPr>
              <w:t>oordination</w:t>
            </w:r>
            <w:r w:rsidRPr="00E5135C">
              <w:rPr>
                <w:iCs/>
                <w:color w:val="000000"/>
                <w:sz w:val="16"/>
                <w:szCs w:val="16"/>
              </w:rPr>
              <w:t xml:space="preserve">, </w:t>
            </w:r>
            <w:r w:rsidR="00F00DF5">
              <w:rPr>
                <w:iCs/>
                <w:color w:val="000000"/>
                <w:sz w:val="16"/>
                <w:szCs w:val="16"/>
              </w:rPr>
              <w:t>a</w:t>
            </w:r>
            <w:r w:rsidR="00F00DF5" w:rsidRPr="00E5135C">
              <w:rPr>
                <w:iCs/>
                <w:color w:val="000000"/>
                <w:sz w:val="16"/>
                <w:szCs w:val="16"/>
              </w:rPr>
              <w:t xml:space="preserve">ccountability </w:t>
            </w:r>
            <w:r w:rsidRPr="00E5135C">
              <w:rPr>
                <w:iCs/>
                <w:color w:val="000000"/>
                <w:sz w:val="16"/>
                <w:szCs w:val="16"/>
              </w:rPr>
              <w:t xml:space="preserve">and </w:t>
            </w:r>
            <w:r w:rsidR="00F00DF5">
              <w:rPr>
                <w:iCs/>
                <w:color w:val="000000"/>
                <w:sz w:val="16"/>
                <w:szCs w:val="16"/>
              </w:rPr>
              <w:t>i</w:t>
            </w:r>
            <w:r w:rsidR="00F00DF5" w:rsidRPr="00E5135C">
              <w:rPr>
                <w:iCs/>
                <w:color w:val="000000"/>
                <w:sz w:val="16"/>
                <w:szCs w:val="16"/>
              </w:rPr>
              <w:t xml:space="preserve">mplementing </w:t>
            </w:r>
            <w:r w:rsidR="00F00DF5">
              <w:rPr>
                <w:iCs/>
                <w:color w:val="000000"/>
                <w:sz w:val="16"/>
                <w:szCs w:val="16"/>
              </w:rPr>
              <w:t>m</w:t>
            </w:r>
            <w:r w:rsidR="00F00DF5" w:rsidRPr="00E5135C">
              <w:rPr>
                <w:iCs/>
                <w:color w:val="000000"/>
                <w:sz w:val="16"/>
                <w:szCs w:val="16"/>
              </w:rPr>
              <w:t xml:space="preserve">inistries </w:t>
            </w:r>
            <w:r w:rsidRPr="00E5135C">
              <w:rPr>
                <w:iCs/>
                <w:color w:val="000000"/>
                <w:sz w:val="16"/>
                <w:szCs w:val="16"/>
              </w:rPr>
              <w:t>have reviewed policies, plans, functions, financing, systems  and implementation procedures at national and sub-national levels to deliver improved basic services and respond to priorities voiced by the public</w:t>
            </w:r>
          </w:p>
          <w:p w14:paraId="66AC3D12" w14:textId="77777777" w:rsidR="00842773" w:rsidRPr="00E5135C" w:rsidRDefault="00842773" w:rsidP="00532502">
            <w:pPr>
              <w:rPr>
                <w:iCs/>
                <w:color w:val="000000"/>
                <w:sz w:val="16"/>
                <w:szCs w:val="16"/>
              </w:rPr>
            </w:pPr>
            <w:r w:rsidRPr="00E5135C">
              <w:rPr>
                <w:b/>
                <w:iCs/>
                <w:color w:val="000000"/>
                <w:sz w:val="16"/>
                <w:szCs w:val="16"/>
              </w:rPr>
              <w:t>Indicator:</w:t>
            </w:r>
            <w:r w:rsidRPr="00E5135C">
              <w:rPr>
                <w:iCs/>
                <w:color w:val="000000"/>
                <w:sz w:val="16"/>
                <w:szCs w:val="16"/>
              </w:rPr>
              <w:t xml:space="preserve"> Percentage of qualified</w:t>
            </w:r>
            <w:r w:rsidR="00F00DF5">
              <w:rPr>
                <w:iCs/>
                <w:color w:val="000000"/>
                <w:sz w:val="16"/>
                <w:szCs w:val="16"/>
              </w:rPr>
              <w:t xml:space="preserve"> Ministries, provinces and government spending agencies</w:t>
            </w:r>
            <w:r w:rsidRPr="00E5135C">
              <w:rPr>
                <w:iCs/>
                <w:color w:val="000000"/>
                <w:sz w:val="16"/>
                <w:szCs w:val="16"/>
              </w:rPr>
              <w:t xml:space="preserve"> </w:t>
            </w:r>
            <w:r w:rsidR="00F00DF5">
              <w:rPr>
                <w:iCs/>
                <w:color w:val="000000"/>
                <w:sz w:val="16"/>
                <w:szCs w:val="16"/>
              </w:rPr>
              <w:t>(</w:t>
            </w:r>
            <w:r w:rsidRPr="00E5135C">
              <w:rPr>
                <w:iCs/>
                <w:color w:val="000000"/>
                <w:sz w:val="16"/>
                <w:szCs w:val="16"/>
              </w:rPr>
              <w:t>MPSA</w:t>
            </w:r>
            <w:r w:rsidR="00F00DF5">
              <w:rPr>
                <w:iCs/>
                <w:color w:val="000000"/>
                <w:sz w:val="16"/>
                <w:szCs w:val="16"/>
              </w:rPr>
              <w:t>)</w:t>
            </w:r>
            <w:r w:rsidRPr="00E5135C">
              <w:rPr>
                <w:iCs/>
                <w:color w:val="000000"/>
                <w:sz w:val="16"/>
                <w:szCs w:val="16"/>
              </w:rPr>
              <w:t xml:space="preserve"> audits by the Office of the Auditor General (OAG) per year</w:t>
            </w:r>
          </w:p>
          <w:p w14:paraId="78AFB813" w14:textId="77777777" w:rsidR="00842773" w:rsidRPr="00E5135C" w:rsidRDefault="00707B9D" w:rsidP="00532502">
            <w:pPr>
              <w:rPr>
                <w:iCs/>
                <w:color w:val="000000"/>
                <w:sz w:val="16"/>
                <w:szCs w:val="16"/>
              </w:rPr>
            </w:pPr>
            <w:r>
              <w:rPr>
                <w:iCs/>
                <w:color w:val="000000"/>
                <w:sz w:val="16"/>
                <w:szCs w:val="16"/>
              </w:rPr>
              <w:t>Baseline (2014): 56</w:t>
            </w:r>
            <w:r w:rsidR="00F00DF5">
              <w:rPr>
                <w:iCs/>
                <w:color w:val="000000"/>
                <w:sz w:val="16"/>
                <w:szCs w:val="16"/>
              </w:rPr>
              <w:t xml:space="preserve"> </w:t>
            </w:r>
          </w:p>
          <w:p w14:paraId="08359742" w14:textId="77777777" w:rsidR="00842773" w:rsidRPr="00E5135C" w:rsidRDefault="00707B9D" w:rsidP="00532502">
            <w:pPr>
              <w:rPr>
                <w:iCs/>
                <w:color w:val="000000"/>
                <w:sz w:val="16"/>
                <w:szCs w:val="16"/>
              </w:rPr>
            </w:pPr>
            <w:r>
              <w:rPr>
                <w:iCs/>
                <w:color w:val="000000"/>
                <w:sz w:val="16"/>
                <w:szCs w:val="16"/>
              </w:rPr>
              <w:t>Target (2021): 30</w:t>
            </w:r>
          </w:p>
          <w:p w14:paraId="0AF87740" w14:textId="77777777" w:rsidR="00842773" w:rsidRPr="00E5135C" w:rsidRDefault="00842773" w:rsidP="00532502">
            <w:pPr>
              <w:rPr>
                <w:iCs/>
                <w:color w:val="000000"/>
                <w:sz w:val="16"/>
                <w:szCs w:val="16"/>
              </w:rPr>
            </w:pPr>
          </w:p>
          <w:p w14:paraId="79039588" w14:textId="77777777" w:rsidR="00842773" w:rsidRPr="00E5135C" w:rsidRDefault="00842773" w:rsidP="00532502">
            <w:pPr>
              <w:rPr>
                <w:iCs/>
                <w:color w:val="000000"/>
                <w:sz w:val="16"/>
                <w:szCs w:val="16"/>
              </w:rPr>
            </w:pPr>
          </w:p>
          <w:p w14:paraId="198C86F5" w14:textId="77777777" w:rsidR="00842773" w:rsidRPr="00E5135C" w:rsidRDefault="00842773" w:rsidP="00532502">
            <w:pPr>
              <w:rPr>
                <w:iCs/>
                <w:color w:val="000000"/>
                <w:sz w:val="16"/>
                <w:szCs w:val="16"/>
              </w:rPr>
            </w:pPr>
            <w:r w:rsidRPr="00E5135C">
              <w:rPr>
                <w:iCs/>
                <w:color w:val="000000"/>
                <w:sz w:val="16"/>
                <w:szCs w:val="16"/>
              </w:rPr>
              <w:t>Indicator: Percentage of targeted ministries</w:t>
            </w:r>
            <w:r w:rsidRPr="00E5135C">
              <w:rPr>
                <w:rStyle w:val="FootnoteReference"/>
                <w:iCs/>
                <w:color w:val="000000"/>
                <w:sz w:val="16"/>
                <w:szCs w:val="16"/>
              </w:rPr>
              <w:footnoteReference w:id="17"/>
            </w:r>
            <w:r w:rsidRPr="00E5135C">
              <w:rPr>
                <w:iCs/>
                <w:color w:val="000000"/>
                <w:sz w:val="16"/>
                <w:szCs w:val="16"/>
              </w:rPr>
              <w:t xml:space="preserve">  that have adopted </w:t>
            </w:r>
            <w:r w:rsidR="00F27D3D" w:rsidRPr="00E5135C">
              <w:rPr>
                <w:iCs/>
                <w:color w:val="000000"/>
                <w:sz w:val="16"/>
                <w:szCs w:val="16"/>
              </w:rPr>
              <w:t>at least</w:t>
            </w:r>
            <w:r w:rsidRPr="00E5135C">
              <w:rPr>
                <w:iCs/>
                <w:color w:val="000000"/>
                <w:sz w:val="16"/>
                <w:szCs w:val="16"/>
              </w:rPr>
              <w:t xml:space="preserve">  3 out of 5 public service management reform areas</w:t>
            </w:r>
            <w:r w:rsidRPr="00E5135C">
              <w:rPr>
                <w:rStyle w:val="FootnoteReference"/>
                <w:iCs/>
                <w:color w:val="000000"/>
                <w:sz w:val="16"/>
                <w:szCs w:val="16"/>
              </w:rPr>
              <w:footnoteReference w:id="18"/>
            </w:r>
          </w:p>
          <w:p w14:paraId="3F2224EB" w14:textId="77777777" w:rsidR="00842773" w:rsidRPr="00E5135C" w:rsidRDefault="00842773" w:rsidP="00532502">
            <w:pPr>
              <w:rPr>
                <w:iCs/>
                <w:color w:val="000000"/>
                <w:sz w:val="16"/>
                <w:szCs w:val="16"/>
              </w:rPr>
            </w:pPr>
          </w:p>
          <w:p w14:paraId="1BEF22E4" w14:textId="77777777" w:rsidR="00842773" w:rsidRPr="00E5135C" w:rsidRDefault="00842773" w:rsidP="00532502">
            <w:pPr>
              <w:rPr>
                <w:iCs/>
                <w:color w:val="000000"/>
                <w:sz w:val="16"/>
                <w:szCs w:val="16"/>
              </w:rPr>
            </w:pPr>
            <w:r w:rsidRPr="00E5135C">
              <w:rPr>
                <w:iCs/>
                <w:color w:val="000000"/>
                <w:sz w:val="16"/>
                <w:szCs w:val="16"/>
              </w:rPr>
              <w:t>Baseline (2014): 40</w:t>
            </w:r>
          </w:p>
          <w:p w14:paraId="401A3E4C" w14:textId="77777777" w:rsidR="00842773" w:rsidRPr="00E5135C" w:rsidRDefault="00707B9D" w:rsidP="00532502">
            <w:pPr>
              <w:rPr>
                <w:iCs/>
                <w:color w:val="000000"/>
                <w:sz w:val="16"/>
                <w:szCs w:val="16"/>
              </w:rPr>
            </w:pPr>
            <w:r>
              <w:rPr>
                <w:iCs/>
                <w:color w:val="000000"/>
                <w:sz w:val="16"/>
                <w:szCs w:val="16"/>
              </w:rPr>
              <w:t>Target (2021):   80</w:t>
            </w:r>
          </w:p>
          <w:p w14:paraId="49D4CFA9" w14:textId="77777777" w:rsidR="00842773" w:rsidRPr="00E5135C" w:rsidRDefault="00842773" w:rsidP="00532502">
            <w:pPr>
              <w:rPr>
                <w:iCs/>
                <w:color w:val="000000"/>
                <w:sz w:val="16"/>
                <w:szCs w:val="16"/>
              </w:rPr>
            </w:pPr>
          </w:p>
          <w:p w14:paraId="042F6F5F" w14:textId="77777777" w:rsidR="00842773" w:rsidRPr="00E5135C" w:rsidRDefault="00842773" w:rsidP="00532502">
            <w:pPr>
              <w:rPr>
                <w:iCs/>
                <w:color w:val="000000"/>
                <w:sz w:val="16"/>
                <w:szCs w:val="16"/>
              </w:rPr>
            </w:pPr>
            <w:r w:rsidRPr="00E5135C">
              <w:rPr>
                <w:iCs/>
                <w:color w:val="000000"/>
                <w:sz w:val="16"/>
                <w:szCs w:val="16"/>
              </w:rPr>
              <w:t xml:space="preserve"> </w:t>
            </w:r>
            <w:r w:rsidRPr="00E5135C">
              <w:rPr>
                <w:b/>
                <w:iCs/>
                <w:color w:val="000000"/>
                <w:sz w:val="16"/>
                <w:szCs w:val="16"/>
              </w:rPr>
              <w:t xml:space="preserve">Data source: </w:t>
            </w:r>
            <w:r w:rsidRPr="00E5135C">
              <w:rPr>
                <w:iCs/>
                <w:color w:val="000000"/>
                <w:sz w:val="16"/>
                <w:szCs w:val="16"/>
              </w:rPr>
              <w:t xml:space="preserve">OAG Reports, Cabinet Office Reports, Public Sector Reform Programme Annual and Evaluation </w:t>
            </w:r>
          </w:p>
          <w:p w14:paraId="2AD05559" w14:textId="77777777" w:rsidR="00842773" w:rsidRPr="00E5135C" w:rsidRDefault="00842773" w:rsidP="00532502">
            <w:pPr>
              <w:rPr>
                <w:iCs/>
                <w:color w:val="000000"/>
                <w:sz w:val="16"/>
                <w:szCs w:val="16"/>
              </w:rPr>
            </w:pPr>
            <w:r w:rsidRPr="00E5135C">
              <w:rPr>
                <w:b/>
                <w:iCs/>
                <w:color w:val="000000"/>
                <w:sz w:val="16"/>
                <w:szCs w:val="16"/>
              </w:rPr>
              <w:t>Frequency:</w:t>
            </w:r>
            <w:r w:rsidRPr="00E5135C">
              <w:rPr>
                <w:iCs/>
                <w:color w:val="000000"/>
                <w:sz w:val="16"/>
                <w:szCs w:val="16"/>
              </w:rPr>
              <w:t xml:space="preserve"> Annual</w:t>
            </w:r>
          </w:p>
        </w:tc>
        <w:tc>
          <w:tcPr>
            <w:tcW w:w="634" w:type="pct"/>
            <w:gridSpan w:val="2"/>
            <w:vMerge w:val="restart"/>
            <w:tcBorders>
              <w:top w:val="single" w:sz="4" w:space="0" w:color="auto"/>
              <w:left w:val="single" w:sz="8" w:space="0" w:color="000000"/>
              <w:right w:val="single" w:sz="4" w:space="0" w:color="auto"/>
            </w:tcBorders>
          </w:tcPr>
          <w:p w14:paraId="66721283" w14:textId="77777777" w:rsidR="001313E3" w:rsidRDefault="00842773" w:rsidP="00532502">
            <w:pPr>
              <w:rPr>
                <w:iCs/>
                <w:color w:val="000000"/>
                <w:sz w:val="16"/>
                <w:szCs w:val="16"/>
              </w:rPr>
            </w:pPr>
            <w:r w:rsidRPr="007A2D99">
              <w:rPr>
                <w:iCs/>
                <w:color w:val="000000"/>
                <w:sz w:val="16"/>
                <w:szCs w:val="16"/>
              </w:rPr>
              <w:lastRenderedPageBreak/>
              <w:t>Cabinet Office;</w:t>
            </w:r>
          </w:p>
          <w:p w14:paraId="2CA6F090" w14:textId="59854D37" w:rsidR="001313E3" w:rsidRDefault="00842773" w:rsidP="00532502">
            <w:pPr>
              <w:rPr>
                <w:iCs/>
                <w:color w:val="000000"/>
                <w:sz w:val="16"/>
                <w:szCs w:val="16"/>
              </w:rPr>
            </w:pPr>
            <w:r w:rsidRPr="007A2D99">
              <w:rPr>
                <w:iCs/>
                <w:color w:val="000000"/>
                <w:sz w:val="16"/>
                <w:szCs w:val="16"/>
              </w:rPr>
              <w:t>Ministry of Finance</w:t>
            </w:r>
            <w:r w:rsidR="001313E3">
              <w:rPr>
                <w:iCs/>
                <w:color w:val="000000"/>
                <w:sz w:val="16"/>
                <w:szCs w:val="16"/>
              </w:rPr>
              <w:t>;</w:t>
            </w:r>
          </w:p>
          <w:p w14:paraId="1566F5E6" w14:textId="212D1D2C" w:rsidR="00842773" w:rsidRPr="007A2D99" w:rsidRDefault="001313E3" w:rsidP="00532502">
            <w:pPr>
              <w:rPr>
                <w:iCs/>
                <w:color w:val="000000"/>
                <w:sz w:val="16"/>
                <w:szCs w:val="16"/>
              </w:rPr>
            </w:pPr>
            <w:r>
              <w:rPr>
                <w:iCs/>
                <w:color w:val="000000"/>
                <w:sz w:val="16"/>
                <w:szCs w:val="16"/>
              </w:rPr>
              <w:t>l</w:t>
            </w:r>
            <w:r w:rsidR="00842773" w:rsidRPr="007A2D99">
              <w:rPr>
                <w:iCs/>
                <w:color w:val="000000"/>
                <w:sz w:val="16"/>
                <w:szCs w:val="16"/>
              </w:rPr>
              <w:t xml:space="preserve">ine </w:t>
            </w:r>
            <w:r w:rsidRPr="007A2D99">
              <w:rPr>
                <w:iCs/>
                <w:color w:val="000000"/>
                <w:sz w:val="16"/>
                <w:szCs w:val="16"/>
              </w:rPr>
              <w:t>ministries</w:t>
            </w:r>
            <w:r>
              <w:rPr>
                <w:iCs/>
                <w:color w:val="000000"/>
                <w:sz w:val="16"/>
                <w:szCs w:val="16"/>
              </w:rPr>
              <w:t>;</w:t>
            </w:r>
            <w:r w:rsidR="00842773" w:rsidRPr="007A2D99">
              <w:rPr>
                <w:iCs/>
                <w:color w:val="000000"/>
                <w:sz w:val="16"/>
                <w:szCs w:val="16"/>
              </w:rPr>
              <w:t xml:space="preserve"> Provinces, districts and  spending </w:t>
            </w:r>
            <w:r w:rsidR="00F00DF5">
              <w:rPr>
                <w:iCs/>
                <w:color w:val="000000"/>
                <w:sz w:val="16"/>
                <w:szCs w:val="16"/>
              </w:rPr>
              <w:t>a</w:t>
            </w:r>
            <w:r w:rsidR="00F00DF5" w:rsidRPr="007A2D99">
              <w:rPr>
                <w:iCs/>
                <w:color w:val="000000"/>
                <w:sz w:val="16"/>
                <w:szCs w:val="16"/>
              </w:rPr>
              <w:t>gencies</w:t>
            </w:r>
            <w:r w:rsidR="00F00DF5">
              <w:rPr>
                <w:iCs/>
                <w:color w:val="000000"/>
                <w:sz w:val="16"/>
                <w:szCs w:val="16"/>
              </w:rPr>
              <w:t xml:space="preserve"> </w:t>
            </w:r>
            <w:r w:rsidR="00842773" w:rsidRPr="007A2D99">
              <w:rPr>
                <w:iCs/>
                <w:color w:val="000000"/>
                <w:sz w:val="16"/>
                <w:szCs w:val="16"/>
              </w:rPr>
              <w:t>(MPSAs)</w:t>
            </w:r>
            <w:r>
              <w:rPr>
                <w:iCs/>
                <w:color w:val="000000"/>
                <w:sz w:val="16"/>
                <w:szCs w:val="16"/>
              </w:rPr>
              <w:t>;</w:t>
            </w:r>
          </w:p>
          <w:p w14:paraId="7E2E9FCE" w14:textId="5AC4E22C" w:rsidR="001313E3" w:rsidRDefault="00842773" w:rsidP="001313E3">
            <w:pPr>
              <w:rPr>
                <w:iCs/>
                <w:color w:val="000000"/>
                <w:sz w:val="16"/>
                <w:szCs w:val="16"/>
              </w:rPr>
            </w:pPr>
            <w:r w:rsidRPr="007A2D99">
              <w:rPr>
                <w:iCs/>
                <w:color w:val="000000"/>
                <w:sz w:val="16"/>
                <w:szCs w:val="16"/>
              </w:rPr>
              <w:t>Public Accounts &amp;</w:t>
            </w:r>
            <w:r w:rsidR="00F00DF5">
              <w:rPr>
                <w:iCs/>
                <w:color w:val="000000"/>
                <w:sz w:val="16"/>
                <w:szCs w:val="16"/>
              </w:rPr>
              <w:t xml:space="preserve"> </w:t>
            </w:r>
            <w:r w:rsidRPr="007A2D99">
              <w:rPr>
                <w:iCs/>
                <w:color w:val="000000"/>
                <w:sz w:val="16"/>
                <w:szCs w:val="16"/>
              </w:rPr>
              <w:t xml:space="preserve">Reforms Committees of the National Assembly; </w:t>
            </w:r>
            <w:r w:rsidRPr="007A2D99">
              <w:rPr>
                <w:iCs/>
                <w:color w:val="000000"/>
                <w:sz w:val="16"/>
                <w:szCs w:val="16"/>
              </w:rPr>
              <w:lastRenderedPageBreak/>
              <w:t>Office of the Auditor General</w:t>
            </w:r>
            <w:r w:rsidR="001313E3">
              <w:rPr>
                <w:iCs/>
                <w:color w:val="000000"/>
                <w:sz w:val="16"/>
                <w:szCs w:val="16"/>
              </w:rPr>
              <w:t>;</w:t>
            </w:r>
            <w:r w:rsidR="001313E3" w:rsidRPr="007A2D99">
              <w:rPr>
                <w:iCs/>
                <w:color w:val="000000"/>
                <w:sz w:val="16"/>
                <w:szCs w:val="16"/>
              </w:rPr>
              <w:t xml:space="preserve"> </w:t>
            </w:r>
          </w:p>
          <w:p w14:paraId="32AC255B" w14:textId="4E258CDF" w:rsidR="001313E3" w:rsidRDefault="00842773" w:rsidP="001313E3">
            <w:pPr>
              <w:rPr>
                <w:iCs/>
                <w:color w:val="000000"/>
                <w:sz w:val="16"/>
                <w:szCs w:val="16"/>
              </w:rPr>
            </w:pPr>
            <w:r w:rsidRPr="007A2D99">
              <w:rPr>
                <w:iCs/>
                <w:color w:val="000000"/>
                <w:sz w:val="16"/>
                <w:szCs w:val="16"/>
              </w:rPr>
              <w:t>Zambia Revenue Authority</w:t>
            </w:r>
            <w:r w:rsidR="001313E3">
              <w:rPr>
                <w:iCs/>
                <w:color w:val="000000"/>
                <w:sz w:val="16"/>
                <w:szCs w:val="16"/>
              </w:rPr>
              <w:t>;</w:t>
            </w:r>
            <w:r w:rsidR="001313E3" w:rsidRPr="007A2D99">
              <w:rPr>
                <w:iCs/>
                <w:color w:val="000000"/>
                <w:sz w:val="16"/>
                <w:szCs w:val="16"/>
              </w:rPr>
              <w:t xml:space="preserve"> </w:t>
            </w:r>
          </w:p>
          <w:p w14:paraId="29F445BC" w14:textId="10E92221" w:rsidR="00842773" w:rsidRPr="007A2D99" w:rsidRDefault="001313E3" w:rsidP="001313E3">
            <w:pPr>
              <w:rPr>
                <w:iCs/>
                <w:color w:val="000000"/>
                <w:sz w:val="16"/>
                <w:szCs w:val="16"/>
              </w:rPr>
            </w:pPr>
            <w:r>
              <w:rPr>
                <w:iCs/>
                <w:color w:val="000000"/>
                <w:sz w:val="16"/>
                <w:szCs w:val="16"/>
              </w:rPr>
              <w:t>c</w:t>
            </w:r>
            <w:r w:rsidRPr="007A2D99">
              <w:rPr>
                <w:iCs/>
                <w:color w:val="000000"/>
                <w:sz w:val="16"/>
                <w:szCs w:val="16"/>
              </w:rPr>
              <w:t xml:space="preserve">ivil </w:t>
            </w:r>
            <w:r>
              <w:rPr>
                <w:iCs/>
                <w:color w:val="000000"/>
                <w:sz w:val="16"/>
                <w:szCs w:val="16"/>
              </w:rPr>
              <w:t>s</w:t>
            </w:r>
            <w:r w:rsidRPr="007A2D99">
              <w:rPr>
                <w:iCs/>
                <w:color w:val="000000"/>
                <w:sz w:val="16"/>
                <w:szCs w:val="16"/>
              </w:rPr>
              <w:t>ociety</w:t>
            </w:r>
            <w:r w:rsidR="00842773" w:rsidRPr="007A2D99">
              <w:rPr>
                <w:iCs/>
                <w:color w:val="000000"/>
                <w:sz w:val="16"/>
                <w:szCs w:val="16"/>
              </w:rPr>
              <w:t xml:space="preserve">, </w:t>
            </w:r>
            <w:r>
              <w:rPr>
                <w:iCs/>
                <w:color w:val="000000"/>
                <w:sz w:val="16"/>
                <w:szCs w:val="16"/>
              </w:rPr>
              <w:t>p</w:t>
            </w:r>
            <w:r w:rsidRPr="007A2D99">
              <w:rPr>
                <w:iCs/>
                <w:color w:val="000000"/>
                <w:sz w:val="16"/>
                <w:szCs w:val="16"/>
              </w:rPr>
              <w:t xml:space="preserve">rivate </w:t>
            </w:r>
            <w:r>
              <w:rPr>
                <w:iCs/>
                <w:color w:val="000000"/>
                <w:sz w:val="16"/>
                <w:szCs w:val="16"/>
              </w:rPr>
              <w:t>s</w:t>
            </w:r>
            <w:r w:rsidRPr="007A2D99">
              <w:rPr>
                <w:iCs/>
                <w:color w:val="000000"/>
                <w:sz w:val="16"/>
                <w:szCs w:val="16"/>
              </w:rPr>
              <w:t>ector</w:t>
            </w:r>
          </w:p>
        </w:tc>
        <w:tc>
          <w:tcPr>
            <w:tcW w:w="614" w:type="pct"/>
            <w:tcBorders>
              <w:top w:val="single" w:sz="4" w:space="0" w:color="auto"/>
              <w:left w:val="single" w:sz="4" w:space="0" w:color="auto"/>
              <w:bottom w:val="single" w:sz="4" w:space="0" w:color="auto"/>
              <w:right w:val="single" w:sz="8" w:space="0" w:color="000000"/>
            </w:tcBorders>
            <w:tcMar>
              <w:top w:w="15" w:type="dxa"/>
              <w:left w:w="108" w:type="dxa"/>
              <w:bottom w:w="0" w:type="dxa"/>
              <w:right w:w="108" w:type="dxa"/>
            </w:tcMar>
          </w:tcPr>
          <w:p w14:paraId="1B23F439" w14:textId="77777777" w:rsidR="00842773" w:rsidRPr="00E5135C" w:rsidRDefault="00842773" w:rsidP="00532502">
            <w:pPr>
              <w:rPr>
                <w:b/>
                <w:color w:val="000000"/>
                <w:sz w:val="16"/>
                <w:szCs w:val="16"/>
              </w:rPr>
            </w:pPr>
            <w:r w:rsidRPr="00E5135C">
              <w:rPr>
                <w:b/>
                <w:color w:val="000000"/>
                <w:sz w:val="16"/>
                <w:szCs w:val="16"/>
              </w:rPr>
              <w:lastRenderedPageBreak/>
              <w:t xml:space="preserve">Regular: </w:t>
            </w:r>
            <w:r w:rsidR="00AE59C0">
              <w:rPr>
                <w:color w:val="000000"/>
                <w:sz w:val="16"/>
                <w:szCs w:val="16"/>
              </w:rPr>
              <w:t>6,0</w:t>
            </w:r>
            <w:r w:rsidRPr="00E5135C">
              <w:rPr>
                <w:color w:val="000000"/>
                <w:sz w:val="16"/>
                <w:szCs w:val="16"/>
              </w:rPr>
              <w:t>00,000</w:t>
            </w:r>
          </w:p>
        </w:tc>
      </w:tr>
      <w:tr w:rsidR="00842773" w:rsidRPr="00E5135C" w14:paraId="75D0851D"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02FCD4F" w14:textId="77777777" w:rsidR="00842773" w:rsidRPr="00E5135C" w:rsidRDefault="00842773" w:rsidP="00532502">
            <w:pPr>
              <w:pStyle w:val="ListParagraph"/>
              <w:ind w:left="0"/>
              <w:contextualSpacing/>
              <w:rPr>
                <w:i/>
                <w:iCs/>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tcPr>
          <w:p w14:paraId="44E408CB" w14:textId="77777777" w:rsidR="00842773" w:rsidRPr="00E5135C" w:rsidRDefault="00842773" w:rsidP="00532502">
            <w:pPr>
              <w:pStyle w:val="ColorfulList-Accent11"/>
              <w:ind w:left="0"/>
              <w:rPr>
                <w:i/>
                <w:iCs/>
                <w:sz w:val="16"/>
                <w:szCs w:val="16"/>
              </w:rPr>
            </w:pPr>
          </w:p>
        </w:tc>
        <w:tc>
          <w:tcPr>
            <w:tcW w:w="2162" w:type="pct"/>
            <w:vMerge/>
            <w:tcBorders>
              <w:left w:val="single" w:sz="4" w:space="0" w:color="auto"/>
              <w:right w:val="single" w:sz="8" w:space="0" w:color="000000"/>
            </w:tcBorders>
            <w:tcMar>
              <w:top w:w="72" w:type="dxa"/>
              <w:left w:w="144" w:type="dxa"/>
              <w:bottom w:w="72" w:type="dxa"/>
              <w:right w:w="144" w:type="dxa"/>
            </w:tcMar>
          </w:tcPr>
          <w:p w14:paraId="7B323D51" w14:textId="77777777" w:rsidR="00842773" w:rsidRPr="00E5135C" w:rsidRDefault="00842773" w:rsidP="00532502">
            <w:pPr>
              <w:rPr>
                <w:b/>
                <w:iCs/>
                <w:color w:val="000000"/>
                <w:sz w:val="16"/>
                <w:szCs w:val="16"/>
              </w:rPr>
            </w:pPr>
          </w:p>
        </w:tc>
        <w:tc>
          <w:tcPr>
            <w:tcW w:w="634" w:type="pct"/>
            <w:gridSpan w:val="2"/>
            <w:vMerge/>
            <w:tcBorders>
              <w:left w:val="single" w:sz="8" w:space="0" w:color="000000"/>
              <w:right w:val="single" w:sz="4" w:space="0" w:color="auto"/>
            </w:tcBorders>
          </w:tcPr>
          <w:p w14:paraId="51675864" w14:textId="77777777" w:rsidR="00842773" w:rsidRPr="007A2D99" w:rsidRDefault="00842773" w:rsidP="00532502">
            <w:pPr>
              <w:rPr>
                <w:iCs/>
                <w:color w:val="000000"/>
                <w:sz w:val="16"/>
                <w:szCs w:val="16"/>
              </w:rPr>
            </w:pPr>
          </w:p>
        </w:tc>
        <w:tc>
          <w:tcPr>
            <w:tcW w:w="614" w:type="pct"/>
            <w:tcBorders>
              <w:top w:val="single" w:sz="4" w:space="0" w:color="auto"/>
              <w:left w:val="single" w:sz="4" w:space="0" w:color="auto"/>
              <w:bottom w:val="single" w:sz="4" w:space="0" w:color="auto"/>
              <w:right w:val="single" w:sz="8" w:space="0" w:color="000000"/>
            </w:tcBorders>
            <w:tcMar>
              <w:top w:w="15" w:type="dxa"/>
              <w:left w:w="108" w:type="dxa"/>
              <w:bottom w:w="0" w:type="dxa"/>
              <w:right w:w="108" w:type="dxa"/>
            </w:tcMar>
          </w:tcPr>
          <w:p w14:paraId="04B6D9DC" w14:textId="77777777" w:rsidR="00842773" w:rsidRPr="00E5135C" w:rsidRDefault="00842773" w:rsidP="00532502">
            <w:pPr>
              <w:rPr>
                <w:b/>
                <w:color w:val="000000"/>
                <w:sz w:val="16"/>
                <w:szCs w:val="16"/>
              </w:rPr>
            </w:pPr>
            <w:r w:rsidRPr="00E5135C">
              <w:rPr>
                <w:b/>
                <w:color w:val="000000"/>
                <w:sz w:val="16"/>
                <w:szCs w:val="16"/>
              </w:rPr>
              <w:t xml:space="preserve">Other: </w:t>
            </w:r>
            <w:r w:rsidR="00AE59C0">
              <w:rPr>
                <w:color w:val="000000"/>
                <w:sz w:val="16"/>
                <w:szCs w:val="16"/>
              </w:rPr>
              <w:t>36</w:t>
            </w:r>
            <w:r w:rsidRPr="00E5135C">
              <w:rPr>
                <w:color w:val="000000"/>
                <w:sz w:val="16"/>
                <w:szCs w:val="16"/>
              </w:rPr>
              <w:t>,000,000</w:t>
            </w:r>
          </w:p>
        </w:tc>
      </w:tr>
      <w:tr w:rsidR="00842773" w:rsidRPr="00E5135C" w14:paraId="633F732D" w14:textId="77777777" w:rsidTr="00AE71CA">
        <w:trPr>
          <w:trHeight w:val="210"/>
        </w:trPr>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8FB294" w14:textId="77777777" w:rsidR="00842773" w:rsidRPr="00E5135C" w:rsidRDefault="00842773" w:rsidP="00532502">
            <w:pPr>
              <w:pStyle w:val="ListParagraph"/>
              <w:ind w:left="0"/>
              <w:contextualSpacing/>
              <w:rPr>
                <w:i/>
                <w:iCs/>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tcPr>
          <w:p w14:paraId="32C2BA26" w14:textId="77777777" w:rsidR="00842773" w:rsidRPr="00E5135C" w:rsidRDefault="00842773" w:rsidP="00532502">
            <w:pPr>
              <w:pStyle w:val="ColorfulList-Accent11"/>
              <w:ind w:left="0"/>
              <w:rPr>
                <w:i/>
                <w:iCs/>
                <w:sz w:val="16"/>
                <w:szCs w:val="16"/>
              </w:rPr>
            </w:pPr>
          </w:p>
        </w:tc>
        <w:tc>
          <w:tcPr>
            <w:tcW w:w="2162" w:type="pct"/>
            <w:vMerge/>
            <w:tcBorders>
              <w:left w:val="single" w:sz="4" w:space="0" w:color="auto"/>
              <w:bottom w:val="nil"/>
              <w:right w:val="single" w:sz="8" w:space="0" w:color="000000"/>
            </w:tcBorders>
            <w:tcMar>
              <w:top w:w="72" w:type="dxa"/>
              <w:left w:w="144" w:type="dxa"/>
              <w:bottom w:w="72" w:type="dxa"/>
              <w:right w:w="144" w:type="dxa"/>
            </w:tcMar>
          </w:tcPr>
          <w:p w14:paraId="736C0A3C" w14:textId="77777777" w:rsidR="00842773" w:rsidRPr="00E5135C" w:rsidRDefault="00842773" w:rsidP="00532502">
            <w:pPr>
              <w:rPr>
                <w:b/>
                <w:iCs/>
                <w:color w:val="000000"/>
                <w:sz w:val="16"/>
                <w:szCs w:val="16"/>
              </w:rPr>
            </w:pPr>
          </w:p>
        </w:tc>
        <w:tc>
          <w:tcPr>
            <w:tcW w:w="634" w:type="pct"/>
            <w:gridSpan w:val="2"/>
            <w:vMerge/>
            <w:tcBorders>
              <w:left w:val="single" w:sz="8" w:space="0" w:color="000000"/>
              <w:bottom w:val="nil"/>
              <w:right w:val="single" w:sz="4" w:space="0" w:color="auto"/>
            </w:tcBorders>
          </w:tcPr>
          <w:p w14:paraId="12D1961D" w14:textId="77777777" w:rsidR="00842773" w:rsidRPr="007A2D99" w:rsidRDefault="00842773" w:rsidP="00532502">
            <w:pPr>
              <w:rPr>
                <w:iCs/>
                <w:color w:val="000000"/>
                <w:sz w:val="16"/>
                <w:szCs w:val="16"/>
              </w:rPr>
            </w:pPr>
          </w:p>
        </w:tc>
        <w:tc>
          <w:tcPr>
            <w:tcW w:w="614" w:type="pct"/>
            <w:vMerge w:val="restart"/>
            <w:tcBorders>
              <w:top w:val="single" w:sz="4" w:space="0" w:color="auto"/>
              <w:left w:val="single" w:sz="4" w:space="0" w:color="auto"/>
              <w:bottom w:val="nil"/>
              <w:right w:val="single" w:sz="8" w:space="0" w:color="000000"/>
            </w:tcBorders>
            <w:tcMar>
              <w:top w:w="15" w:type="dxa"/>
              <w:left w:w="108" w:type="dxa"/>
              <w:bottom w:w="0" w:type="dxa"/>
              <w:right w:w="108" w:type="dxa"/>
            </w:tcMar>
          </w:tcPr>
          <w:p w14:paraId="0D7882D2" w14:textId="77777777" w:rsidR="00842773" w:rsidRPr="00E5135C" w:rsidRDefault="00842773" w:rsidP="00532502">
            <w:pPr>
              <w:rPr>
                <w:b/>
                <w:color w:val="000000"/>
                <w:sz w:val="16"/>
                <w:szCs w:val="16"/>
              </w:rPr>
            </w:pPr>
          </w:p>
        </w:tc>
      </w:tr>
      <w:tr w:rsidR="00842773" w:rsidRPr="00E5135C" w14:paraId="63F71399"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4326ABB" w14:textId="77777777" w:rsidR="00842773" w:rsidRPr="00E5135C" w:rsidRDefault="00842773" w:rsidP="00532502">
            <w:pPr>
              <w:rPr>
                <w:i/>
                <w:iCs/>
                <w:color w:val="000000"/>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tcPr>
          <w:p w14:paraId="6D353231" w14:textId="77777777" w:rsidR="00842773" w:rsidRPr="00E5135C" w:rsidRDefault="00842773" w:rsidP="00532502">
            <w:pPr>
              <w:rPr>
                <w:i/>
                <w:iCs/>
                <w:color w:val="000000"/>
                <w:sz w:val="16"/>
                <w:szCs w:val="16"/>
              </w:rPr>
            </w:pPr>
          </w:p>
        </w:tc>
        <w:tc>
          <w:tcPr>
            <w:tcW w:w="2162" w:type="pct"/>
            <w:tcBorders>
              <w:top w:val="single" w:sz="4" w:space="0" w:color="auto"/>
              <w:left w:val="single" w:sz="4" w:space="0" w:color="auto"/>
              <w:bottom w:val="single" w:sz="4" w:space="0" w:color="auto"/>
              <w:right w:val="single" w:sz="8" w:space="0" w:color="000000"/>
            </w:tcBorders>
            <w:tcMar>
              <w:top w:w="72" w:type="dxa"/>
              <w:left w:w="144" w:type="dxa"/>
              <w:bottom w:w="72" w:type="dxa"/>
              <w:right w:w="144" w:type="dxa"/>
            </w:tcMar>
          </w:tcPr>
          <w:p w14:paraId="2CD36CBA" w14:textId="77777777" w:rsidR="00842773" w:rsidRPr="00E5135C" w:rsidRDefault="00842773" w:rsidP="00532502">
            <w:pPr>
              <w:rPr>
                <w:b/>
                <w:iCs/>
                <w:color w:val="000000"/>
                <w:sz w:val="16"/>
                <w:szCs w:val="16"/>
              </w:rPr>
            </w:pPr>
            <w:r w:rsidRPr="00E5135C">
              <w:rPr>
                <w:b/>
                <w:iCs/>
                <w:color w:val="000000"/>
                <w:sz w:val="16"/>
                <w:szCs w:val="16"/>
              </w:rPr>
              <w:t xml:space="preserve">Output 2.2. </w:t>
            </w:r>
            <w:r w:rsidRPr="00E5135C">
              <w:rPr>
                <w:iCs/>
                <w:color w:val="000000"/>
                <w:sz w:val="16"/>
                <w:szCs w:val="16"/>
              </w:rPr>
              <w:t>MoH  and partner organisations have revised policies, laws, systems and institutional arrangements for equitable, accountable and effective delivery of HIV and related services</w:t>
            </w:r>
            <w:r w:rsidRPr="00E5135C">
              <w:rPr>
                <w:b/>
                <w:iCs/>
                <w:color w:val="000000"/>
                <w:sz w:val="16"/>
                <w:szCs w:val="16"/>
              </w:rPr>
              <w:t xml:space="preserve">  </w:t>
            </w:r>
          </w:p>
          <w:p w14:paraId="45FED6D7" w14:textId="77777777" w:rsidR="00842773" w:rsidRPr="00E5135C" w:rsidRDefault="00842773" w:rsidP="00532502">
            <w:pPr>
              <w:rPr>
                <w:iCs/>
                <w:color w:val="000000"/>
                <w:sz w:val="16"/>
                <w:szCs w:val="16"/>
              </w:rPr>
            </w:pPr>
          </w:p>
          <w:p w14:paraId="5C84C394" w14:textId="77777777" w:rsidR="00842773" w:rsidRPr="00E5135C" w:rsidRDefault="00842773" w:rsidP="00532502">
            <w:pPr>
              <w:rPr>
                <w:iCs/>
                <w:color w:val="000000"/>
                <w:sz w:val="16"/>
                <w:szCs w:val="16"/>
              </w:rPr>
            </w:pPr>
            <w:r w:rsidRPr="00E5135C">
              <w:rPr>
                <w:iCs/>
                <w:color w:val="000000"/>
                <w:sz w:val="16"/>
                <w:szCs w:val="16"/>
              </w:rPr>
              <w:t xml:space="preserve">Indicator: Number of people who have access to HIV and related drugs and services.  </w:t>
            </w:r>
          </w:p>
          <w:p w14:paraId="6C4FFDEC" w14:textId="77777777" w:rsidR="00842773" w:rsidRPr="00E5135C" w:rsidRDefault="00842773" w:rsidP="00532502">
            <w:pPr>
              <w:rPr>
                <w:iCs/>
                <w:color w:val="000000"/>
                <w:sz w:val="16"/>
                <w:szCs w:val="16"/>
              </w:rPr>
            </w:pPr>
            <w:r w:rsidRPr="00E5135C">
              <w:rPr>
                <w:iCs/>
                <w:color w:val="000000"/>
                <w:sz w:val="16"/>
                <w:szCs w:val="16"/>
              </w:rPr>
              <w:t xml:space="preserve">Baseline  (2014): 677,000 </w:t>
            </w:r>
          </w:p>
          <w:p w14:paraId="53CD3BEC" w14:textId="77777777" w:rsidR="00842773" w:rsidRPr="00E5135C" w:rsidRDefault="00842773" w:rsidP="00532502">
            <w:pPr>
              <w:rPr>
                <w:iCs/>
                <w:color w:val="000000"/>
                <w:sz w:val="16"/>
                <w:szCs w:val="16"/>
              </w:rPr>
            </w:pPr>
            <w:r w:rsidRPr="00E5135C">
              <w:rPr>
                <w:iCs/>
                <w:color w:val="000000"/>
                <w:sz w:val="16"/>
                <w:szCs w:val="16"/>
              </w:rPr>
              <w:t xml:space="preserve">Target (2021):  875,000 </w:t>
            </w:r>
          </w:p>
          <w:p w14:paraId="0380A9E0" w14:textId="77777777" w:rsidR="00842773" w:rsidRPr="00E5135C" w:rsidRDefault="00842773" w:rsidP="00532502">
            <w:pPr>
              <w:rPr>
                <w:iCs/>
                <w:color w:val="000000"/>
                <w:sz w:val="16"/>
                <w:szCs w:val="16"/>
              </w:rPr>
            </w:pPr>
          </w:p>
          <w:p w14:paraId="7A01A161" w14:textId="134ADC1C" w:rsidR="00842773" w:rsidRPr="00E5135C" w:rsidRDefault="00842773" w:rsidP="00532502">
            <w:pPr>
              <w:rPr>
                <w:b/>
                <w:iCs/>
                <w:color w:val="000000"/>
                <w:sz w:val="16"/>
                <w:szCs w:val="16"/>
              </w:rPr>
            </w:pPr>
            <w:r w:rsidRPr="00E5135C">
              <w:rPr>
                <w:b/>
                <w:iCs/>
                <w:color w:val="000000"/>
                <w:sz w:val="16"/>
                <w:szCs w:val="16"/>
              </w:rPr>
              <w:t xml:space="preserve">Data source: </w:t>
            </w:r>
            <w:r w:rsidRPr="00E5135C">
              <w:rPr>
                <w:iCs/>
                <w:color w:val="000000"/>
                <w:sz w:val="16"/>
                <w:szCs w:val="16"/>
              </w:rPr>
              <w:t xml:space="preserve">HMIS, NAC Information Systems, </w:t>
            </w:r>
            <w:r w:rsidR="008E7A9D">
              <w:rPr>
                <w:iCs/>
                <w:color w:val="000000"/>
                <w:sz w:val="16"/>
                <w:szCs w:val="16"/>
              </w:rPr>
              <w:t>UNAIDS</w:t>
            </w:r>
            <w:r w:rsidRPr="00E5135C">
              <w:rPr>
                <w:iCs/>
                <w:color w:val="000000"/>
                <w:sz w:val="16"/>
                <w:szCs w:val="16"/>
              </w:rPr>
              <w:t xml:space="preserve">, </w:t>
            </w:r>
            <w:r w:rsidR="00FA126D" w:rsidRPr="00E5135C">
              <w:rPr>
                <w:iCs/>
                <w:color w:val="000000"/>
                <w:sz w:val="16"/>
                <w:szCs w:val="16"/>
              </w:rPr>
              <w:t>Mo</w:t>
            </w:r>
            <w:r w:rsidR="00DF7FA3">
              <w:rPr>
                <w:iCs/>
                <w:color w:val="000000"/>
                <w:sz w:val="16"/>
                <w:szCs w:val="16"/>
              </w:rPr>
              <w:t>H</w:t>
            </w:r>
            <w:r w:rsidRPr="00E5135C">
              <w:rPr>
                <w:iCs/>
                <w:color w:val="000000"/>
                <w:sz w:val="16"/>
                <w:szCs w:val="16"/>
              </w:rPr>
              <w:t xml:space="preserve"> and NAC Reports</w:t>
            </w:r>
          </w:p>
          <w:p w14:paraId="2B99107C" w14:textId="77777777" w:rsidR="00842773" w:rsidRPr="00E5135C" w:rsidRDefault="00842773" w:rsidP="00532502">
            <w:pPr>
              <w:rPr>
                <w:iCs/>
                <w:color w:val="000000"/>
                <w:sz w:val="16"/>
                <w:szCs w:val="16"/>
              </w:rPr>
            </w:pPr>
            <w:r w:rsidRPr="00E5135C">
              <w:rPr>
                <w:b/>
                <w:iCs/>
                <w:color w:val="000000"/>
                <w:sz w:val="16"/>
                <w:szCs w:val="16"/>
              </w:rPr>
              <w:t xml:space="preserve">Frequency: </w:t>
            </w:r>
            <w:r w:rsidRPr="00E5135C">
              <w:rPr>
                <w:iCs/>
                <w:color w:val="000000"/>
                <w:sz w:val="16"/>
                <w:szCs w:val="16"/>
              </w:rPr>
              <w:t>Annual</w:t>
            </w:r>
          </w:p>
        </w:tc>
        <w:tc>
          <w:tcPr>
            <w:tcW w:w="634" w:type="pct"/>
            <w:gridSpan w:val="2"/>
            <w:tcBorders>
              <w:top w:val="single" w:sz="4" w:space="0" w:color="auto"/>
              <w:left w:val="single" w:sz="8" w:space="0" w:color="000000"/>
              <w:bottom w:val="single" w:sz="4" w:space="0" w:color="auto"/>
              <w:right w:val="single" w:sz="4" w:space="0" w:color="auto"/>
            </w:tcBorders>
          </w:tcPr>
          <w:p w14:paraId="05955E16" w14:textId="1C320013" w:rsidR="001313E3" w:rsidRDefault="00842773" w:rsidP="00532502">
            <w:pPr>
              <w:rPr>
                <w:iCs/>
                <w:color w:val="000000"/>
                <w:sz w:val="16"/>
                <w:szCs w:val="16"/>
              </w:rPr>
            </w:pPr>
            <w:r w:rsidRPr="007A2D99">
              <w:rPr>
                <w:iCs/>
                <w:color w:val="000000"/>
                <w:sz w:val="16"/>
                <w:szCs w:val="16"/>
              </w:rPr>
              <w:t>Cabinet Office, Ministries of Health, Community Development, Gender</w:t>
            </w:r>
            <w:r w:rsidR="00345A68">
              <w:rPr>
                <w:iCs/>
                <w:color w:val="000000"/>
                <w:sz w:val="16"/>
                <w:szCs w:val="16"/>
              </w:rPr>
              <w:t xml:space="preserve"> and Child Development, </w:t>
            </w:r>
            <w:r w:rsidRPr="007A2D99">
              <w:rPr>
                <w:iCs/>
                <w:color w:val="000000"/>
                <w:sz w:val="16"/>
                <w:szCs w:val="16"/>
              </w:rPr>
              <w:t xml:space="preserve"> Local Government</w:t>
            </w:r>
            <w:r w:rsidR="00345A68">
              <w:rPr>
                <w:iCs/>
                <w:color w:val="000000"/>
                <w:sz w:val="16"/>
                <w:szCs w:val="16"/>
              </w:rPr>
              <w:t>,</w:t>
            </w:r>
            <w:r w:rsidRPr="007A2D99">
              <w:rPr>
                <w:iCs/>
                <w:color w:val="000000"/>
                <w:sz w:val="16"/>
                <w:szCs w:val="16"/>
              </w:rPr>
              <w:t xml:space="preserve"> and Justice; </w:t>
            </w:r>
          </w:p>
          <w:p w14:paraId="2A1A1D78" w14:textId="45398C74" w:rsidR="00842773" w:rsidRPr="007A2D99" w:rsidRDefault="00842773" w:rsidP="00532502">
            <w:pPr>
              <w:rPr>
                <w:iCs/>
                <w:color w:val="000000"/>
                <w:sz w:val="16"/>
                <w:szCs w:val="16"/>
              </w:rPr>
            </w:pPr>
            <w:r w:rsidRPr="007A2D99">
              <w:rPr>
                <w:iCs/>
                <w:color w:val="000000"/>
                <w:sz w:val="16"/>
                <w:szCs w:val="16"/>
              </w:rPr>
              <w:t xml:space="preserve">National Assembly, National AIDS Council </w:t>
            </w:r>
            <w:r w:rsidR="008E7A9D">
              <w:rPr>
                <w:iCs/>
                <w:color w:val="000000"/>
                <w:sz w:val="16"/>
                <w:szCs w:val="16"/>
              </w:rPr>
              <w:t>(NAC)</w:t>
            </w:r>
          </w:p>
          <w:p w14:paraId="46E955D1" w14:textId="77777777" w:rsidR="00842773" w:rsidRPr="007A2D99" w:rsidRDefault="00842773" w:rsidP="00532502">
            <w:pPr>
              <w:rPr>
                <w:iCs/>
                <w:color w:val="000000"/>
                <w:sz w:val="16"/>
                <w:szCs w:val="16"/>
              </w:rPr>
            </w:pPr>
          </w:p>
        </w:tc>
        <w:tc>
          <w:tcPr>
            <w:tcW w:w="614" w:type="pct"/>
            <w:vMerge/>
            <w:tcBorders>
              <w:left w:val="single" w:sz="4" w:space="0" w:color="auto"/>
              <w:right w:val="single" w:sz="8" w:space="0" w:color="000000"/>
            </w:tcBorders>
            <w:tcMar>
              <w:top w:w="15" w:type="dxa"/>
              <w:left w:w="108" w:type="dxa"/>
              <w:bottom w:w="0" w:type="dxa"/>
              <w:right w:w="108" w:type="dxa"/>
            </w:tcMar>
          </w:tcPr>
          <w:p w14:paraId="008E08DF" w14:textId="77777777" w:rsidR="00842773" w:rsidRPr="00E5135C" w:rsidRDefault="00842773" w:rsidP="00532502">
            <w:pPr>
              <w:rPr>
                <w:b/>
                <w:color w:val="000000"/>
                <w:sz w:val="16"/>
                <w:szCs w:val="16"/>
              </w:rPr>
            </w:pPr>
          </w:p>
        </w:tc>
      </w:tr>
      <w:tr w:rsidR="00842773" w:rsidRPr="00E5135C" w14:paraId="0E9DF5FA"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8B7C474" w14:textId="77777777" w:rsidR="00842773" w:rsidRPr="00E5135C" w:rsidRDefault="00842773" w:rsidP="00532502">
            <w:pPr>
              <w:rPr>
                <w:i/>
                <w:iCs/>
                <w:color w:val="000000"/>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tcPr>
          <w:p w14:paraId="5CF85C59" w14:textId="77777777" w:rsidR="00842773" w:rsidRPr="00E5135C" w:rsidRDefault="00842773" w:rsidP="00532502">
            <w:pPr>
              <w:rPr>
                <w:i/>
                <w:iCs/>
                <w:color w:val="000000"/>
                <w:sz w:val="16"/>
                <w:szCs w:val="16"/>
              </w:rPr>
            </w:pPr>
          </w:p>
        </w:tc>
        <w:tc>
          <w:tcPr>
            <w:tcW w:w="2162" w:type="pct"/>
            <w:tcBorders>
              <w:left w:val="single" w:sz="4" w:space="0" w:color="auto"/>
              <w:bottom w:val="single" w:sz="4" w:space="0" w:color="auto"/>
              <w:right w:val="single" w:sz="8" w:space="0" w:color="000000"/>
            </w:tcBorders>
            <w:tcMar>
              <w:top w:w="72" w:type="dxa"/>
              <w:left w:w="144" w:type="dxa"/>
              <w:bottom w:w="72" w:type="dxa"/>
              <w:right w:w="144" w:type="dxa"/>
            </w:tcMar>
          </w:tcPr>
          <w:p w14:paraId="3EFBA3BD" w14:textId="77777777" w:rsidR="00842773" w:rsidRPr="00E5135C" w:rsidRDefault="00842773" w:rsidP="00532502">
            <w:pPr>
              <w:rPr>
                <w:iCs/>
                <w:color w:val="000000"/>
                <w:sz w:val="16"/>
                <w:szCs w:val="16"/>
              </w:rPr>
            </w:pPr>
            <w:r w:rsidRPr="00E5135C">
              <w:rPr>
                <w:b/>
                <w:iCs/>
                <w:color w:val="000000"/>
                <w:sz w:val="16"/>
                <w:szCs w:val="16"/>
              </w:rPr>
              <w:t>Output 2.3</w:t>
            </w:r>
            <w:r w:rsidRPr="00E5135C">
              <w:rPr>
                <w:iCs/>
                <w:color w:val="000000"/>
                <w:sz w:val="16"/>
                <w:szCs w:val="16"/>
              </w:rPr>
              <w:t xml:space="preserve">. The Judiciary, Ministry of Justice and related national institutions have reviewed laws, strategies, procedures, functions and financing to improve access to justice and redress </w:t>
            </w:r>
          </w:p>
          <w:p w14:paraId="56C56898" w14:textId="77777777" w:rsidR="00842773" w:rsidRPr="00E5135C" w:rsidRDefault="00842773" w:rsidP="00532502">
            <w:pPr>
              <w:rPr>
                <w:iCs/>
                <w:color w:val="000000"/>
                <w:sz w:val="16"/>
                <w:szCs w:val="16"/>
              </w:rPr>
            </w:pPr>
            <w:r w:rsidRPr="00E5135C">
              <w:rPr>
                <w:iCs/>
                <w:color w:val="000000"/>
                <w:sz w:val="16"/>
                <w:szCs w:val="16"/>
              </w:rPr>
              <w:t xml:space="preserve"> </w:t>
            </w:r>
          </w:p>
          <w:p w14:paraId="6E4A6E60" w14:textId="77777777" w:rsidR="00842773" w:rsidRPr="00E5135C" w:rsidRDefault="00842773" w:rsidP="00532502">
            <w:pPr>
              <w:rPr>
                <w:sz w:val="16"/>
                <w:szCs w:val="16"/>
              </w:rPr>
            </w:pPr>
            <w:r w:rsidRPr="00E5135C">
              <w:rPr>
                <w:iCs/>
                <w:color w:val="000000"/>
                <w:sz w:val="16"/>
                <w:szCs w:val="16"/>
              </w:rPr>
              <w:t>Indicator:</w:t>
            </w:r>
            <w:r w:rsidRPr="00E5135C">
              <w:t xml:space="preserve"> </w:t>
            </w:r>
            <w:r w:rsidRPr="00E5135C">
              <w:rPr>
                <w:sz w:val="16"/>
                <w:szCs w:val="16"/>
              </w:rPr>
              <w:t>Percentage of registered legal aid applicants that have received support from the Legal Aid Board</w:t>
            </w:r>
          </w:p>
          <w:p w14:paraId="38794CF1" w14:textId="77777777" w:rsidR="00842773" w:rsidRPr="00E5135C" w:rsidRDefault="00842773" w:rsidP="00532502">
            <w:pPr>
              <w:rPr>
                <w:sz w:val="16"/>
                <w:szCs w:val="16"/>
              </w:rPr>
            </w:pPr>
          </w:p>
          <w:p w14:paraId="20897AF7" w14:textId="77777777" w:rsidR="00842773" w:rsidRPr="00E5135C" w:rsidRDefault="00842773" w:rsidP="00532502">
            <w:pPr>
              <w:rPr>
                <w:iCs/>
                <w:color w:val="000000"/>
                <w:sz w:val="16"/>
                <w:szCs w:val="16"/>
              </w:rPr>
            </w:pPr>
            <w:r w:rsidRPr="00E5135C">
              <w:rPr>
                <w:sz w:val="16"/>
                <w:szCs w:val="16"/>
              </w:rPr>
              <w:t xml:space="preserve">Baseline (2011):  </w:t>
            </w:r>
            <w:r w:rsidR="00707B9D">
              <w:rPr>
                <w:sz w:val="16"/>
                <w:szCs w:val="16"/>
              </w:rPr>
              <w:t>76</w:t>
            </w:r>
          </w:p>
          <w:p w14:paraId="553F1F29" w14:textId="77777777" w:rsidR="00842773" w:rsidRPr="00E5135C" w:rsidRDefault="00707B9D" w:rsidP="00532502">
            <w:pPr>
              <w:rPr>
                <w:iCs/>
                <w:color w:val="000000"/>
                <w:sz w:val="16"/>
                <w:szCs w:val="16"/>
              </w:rPr>
            </w:pPr>
            <w:r>
              <w:rPr>
                <w:iCs/>
                <w:color w:val="000000"/>
                <w:sz w:val="16"/>
                <w:szCs w:val="16"/>
              </w:rPr>
              <w:t>Target (2021):  80</w:t>
            </w:r>
          </w:p>
          <w:p w14:paraId="719B4208" w14:textId="77777777" w:rsidR="00842773" w:rsidRPr="00E5135C" w:rsidRDefault="00842773" w:rsidP="00532502">
            <w:pPr>
              <w:rPr>
                <w:iCs/>
                <w:color w:val="000000"/>
                <w:sz w:val="16"/>
                <w:szCs w:val="16"/>
              </w:rPr>
            </w:pPr>
          </w:p>
          <w:p w14:paraId="6C411A73" w14:textId="77777777" w:rsidR="00842773" w:rsidRPr="00E5135C" w:rsidRDefault="00842773" w:rsidP="00532502">
            <w:pPr>
              <w:rPr>
                <w:iCs/>
                <w:color w:val="000000"/>
                <w:sz w:val="16"/>
                <w:szCs w:val="16"/>
              </w:rPr>
            </w:pPr>
            <w:r w:rsidRPr="00E5135C">
              <w:rPr>
                <w:b/>
                <w:iCs/>
                <w:color w:val="000000"/>
                <w:sz w:val="16"/>
                <w:szCs w:val="16"/>
              </w:rPr>
              <w:t>Data source:</w:t>
            </w:r>
            <w:r w:rsidRPr="00E5135C">
              <w:rPr>
                <w:iCs/>
                <w:color w:val="000000"/>
                <w:sz w:val="16"/>
                <w:szCs w:val="16"/>
              </w:rPr>
              <w:t xml:space="preserve"> Judiciary,  Legal AID Board &amp; National Prosecution Authority reports</w:t>
            </w:r>
          </w:p>
          <w:p w14:paraId="18A09D33" w14:textId="77777777" w:rsidR="00842773" w:rsidRPr="00E5135C" w:rsidRDefault="00842773" w:rsidP="00532502">
            <w:pPr>
              <w:rPr>
                <w:iCs/>
                <w:color w:val="000000"/>
                <w:sz w:val="16"/>
                <w:szCs w:val="16"/>
              </w:rPr>
            </w:pPr>
            <w:r w:rsidRPr="00E5135C">
              <w:rPr>
                <w:b/>
                <w:iCs/>
                <w:color w:val="000000"/>
                <w:sz w:val="16"/>
                <w:szCs w:val="16"/>
              </w:rPr>
              <w:t>Frequency:</w:t>
            </w:r>
            <w:r w:rsidRPr="00E5135C">
              <w:rPr>
                <w:iCs/>
                <w:color w:val="000000"/>
                <w:sz w:val="16"/>
                <w:szCs w:val="16"/>
              </w:rPr>
              <w:t xml:space="preserve"> Annual</w:t>
            </w:r>
          </w:p>
        </w:tc>
        <w:tc>
          <w:tcPr>
            <w:tcW w:w="634" w:type="pct"/>
            <w:gridSpan w:val="2"/>
            <w:tcBorders>
              <w:left w:val="single" w:sz="8" w:space="0" w:color="000000"/>
              <w:bottom w:val="single" w:sz="4" w:space="0" w:color="auto"/>
              <w:right w:val="single" w:sz="4" w:space="0" w:color="auto"/>
            </w:tcBorders>
          </w:tcPr>
          <w:p w14:paraId="206C1CD7" w14:textId="77777777" w:rsidR="001313E3" w:rsidRDefault="00842773" w:rsidP="00532502">
            <w:pPr>
              <w:rPr>
                <w:iCs/>
                <w:color w:val="000000"/>
                <w:sz w:val="16"/>
                <w:szCs w:val="16"/>
              </w:rPr>
            </w:pPr>
            <w:r w:rsidRPr="007A2D99">
              <w:rPr>
                <w:iCs/>
                <w:color w:val="000000"/>
                <w:sz w:val="16"/>
                <w:szCs w:val="16"/>
              </w:rPr>
              <w:t xml:space="preserve">Judiciary, Academia, Zambia Law Development Commission, </w:t>
            </w:r>
          </w:p>
          <w:p w14:paraId="475B4A8D" w14:textId="4EE8CE55" w:rsidR="00345A68" w:rsidRDefault="00842773" w:rsidP="001313E3">
            <w:pPr>
              <w:rPr>
                <w:iCs/>
                <w:color w:val="000000"/>
                <w:sz w:val="16"/>
                <w:szCs w:val="16"/>
              </w:rPr>
            </w:pPr>
            <w:r w:rsidRPr="007A2D99">
              <w:rPr>
                <w:iCs/>
                <w:color w:val="000000"/>
                <w:sz w:val="16"/>
                <w:szCs w:val="16"/>
              </w:rPr>
              <w:t>Ministries of Finance, Gender</w:t>
            </w:r>
            <w:r w:rsidR="00345A68">
              <w:rPr>
                <w:iCs/>
                <w:color w:val="000000"/>
                <w:sz w:val="16"/>
                <w:szCs w:val="16"/>
              </w:rPr>
              <w:t xml:space="preserve"> and Child Development</w:t>
            </w:r>
            <w:r w:rsidRPr="007A2D99">
              <w:rPr>
                <w:iCs/>
                <w:color w:val="000000"/>
                <w:sz w:val="16"/>
                <w:szCs w:val="16"/>
              </w:rPr>
              <w:t>, and Justice</w:t>
            </w:r>
            <w:r w:rsidR="001313E3">
              <w:rPr>
                <w:iCs/>
                <w:color w:val="000000"/>
                <w:sz w:val="16"/>
                <w:szCs w:val="16"/>
              </w:rPr>
              <w:t>;</w:t>
            </w:r>
            <w:r w:rsidR="001313E3" w:rsidRPr="007A2D99">
              <w:rPr>
                <w:iCs/>
                <w:color w:val="000000"/>
                <w:sz w:val="16"/>
                <w:szCs w:val="16"/>
              </w:rPr>
              <w:t xml:space="preserve">  </w:t>
            </w:r>
          </w:p>
          <w:p w14:paraId="73AF0323" w14:textId="544073E9" w:rsidR="001313E3" w:rsidRDefault="00842773" w:rsidP="001313E3">
            <w:pPr>
              <w:rPr>
                <w:iCs/>
                <w:color w:val="000000"/>
                <w:sz w:val="16"/>
                <w:szCs w:val="16"/>
              </w:rPr>
            </w:pPr>
            <w:r w:rsidRPr="007A2D99">
              <w:rPr>
                <w:iCs/>
                <w:color w:val="000000"/>
                <w:sz w:val="16"/>
                <w:szCs w:val="16"/>
              </w:rPr>
              <w:t>civil society</w:t>
            </w:r>
            <w:r w:rsidR="001313E3">
              <w:rPr>
                <w:iCs/>
                <w:color w:val="000000"/>
                <w:sz w:val="16"/>
                <w:szCs w:val="16"/>
              </w:rPr>
              <w:t>;</w:t>
            </w:r>
            <w:r w:rsidRPr="007A2D99">
              <w:rPr>
                <w:iCs/>
                <w:color w:val="000000"/>
                <w:sz w:val="16"/>
                <w:szCs w:val="16"/>
              </w:rPr>
              <w:t xml:space="preserve"> </w:t>
            </w:r>
          </w:p>
          <w:p w14:paraId="64BB64E6" w14:textId="48A52EA9" w:rsidR="00842773" w:rsidRPr="007A2D99" w:rsidRDefault="007877A7" w:rsidP="00345A68">
            <w:pPr>
              <w:rPr>
                <w:iCs/>
                <w:color w:val="000000"/>
                <w:sz w:val="16"/>
                <w:szCs w:val="16"/>
              </w:rPr>
            </w:pPr>
            <w:r>
              <w:rPr>
                <w:iCs/>
                <w:color w:val="000000"/>
                <w:sz w:val="16"/>
                <w:szCs w:val="16"/>
              </w:rPr>
              <w:t>Human Rights Commission (</w:t>
            </w:r>
            <w:r w:rsidR="00842773" w:rsidRPr="007A2D99">
              <w:rPr>
                <w:iCs/>
                <w:color w:val="000000"/>
                <w:sz w:val="16"/>
                <w:szCs w:val="16"/>
              </w:rPr>
              <w:t>HRC</w:t>
            </w:r>
            <w:r>
              <w:rPr>
                <w:iCs/>
                <w:color w:val="000000"/>
                <w:sz w:val="16"/>
                <w:szCs w:val="16"/>
              </w:rPr>
              <w:t>)</w:t>
            </w:r>
            <w:r w:rsidR="00842773" w:rsidRPr="007A2D99">
              <w:rPr>
                <w:iCs/>
                <w:color w:val="000000"/>
                <w:sz w:val="16"/>
                <w:szCs w:val="16"/>
              </w:rPr>
              <w:t xml:space="preserve">, Cabinet Office. </w:t>
            </w:r>
          </w:p>
        </w:tc>
        <w:tc>
          <w:tcPr>
            <w:tcW w:w="614" w:type="pct"/>
            <w:vMerge/>
            <w:tcBorders>
              <w:left w:val="single" w:sz="4" w:space="0" w:color="auto"/>
              <w:right w:val="single" w:sz="8" w:space="0" w:color="000000"/>
            </w:tcBorders>
            <w:tcMar>
              <w:top w:w="15" w:type="dxa"/>
              <w:left w:w="108" w:type="dxa"/>
              <w:bottom w:w="0" w:type="dxa"/>
              <w:right w:w="108" w:type="dxa"/>
            </w:tcMar>
          </w:tcPr>
          <w:p w14:paraId="041AAE50" w14:textId="77777777" w:rsidR="00842773" w:rsidRPr="00E5135C" w:rsidRDefault="00842773" w:rsidP="00532502">
            <w:pPr>
              <w:rPr>
                <w:b/>
                <w:color w:val="000000"/>
                <w:sz w:val="16"/>
                <w:szCs w:val="16"/>
              </w:rPr>
            </w:pPr>
          </w:p>
        </w:tc>
      </w:tr>
      <w:tr w:rsidR="00842773" w:rsidRPr="00E5135C" w14:paraId="45348929"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CF23329" w14:textId="77777777" w:rsidR="00842773" w:rsidRPr="00E5135C" w:rsidRDefault="00842773" w:rsidP="00532502">
            <w:pPr>
              <w:rPr>
                <w:i/>
                <w:iCs/>
                <w:color w:val="000000"/>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tcPr>
          <w:p w14:paraId="52A1A6B4" w14:textId="77777777" w:rsidR="00842773" w:rsidRPr="00E5135C" w:rsidRDefault="00842773" w:rsidP="00532502">
            <w:pPr>
              <w:rPr>
                <w:i/>
                <w:iCs/>
                <w:color w:val="000000"/>
                <w:sz w:val="16"/>
                <w:szCs w:val="16"/>
              </w:rPr>
            </w:pPr>
          </w:p>
        </w:tc>
        <w:tc>
          <w:tcPr>
            <w:tcW w:w="2162" w:type="pct"/>
            <w:tcBorders>
              <w:left w:val="single" w:sz="4" w:space="0" w:color="auto"/>
              <w:bottom w:val="single" w:sz="4" w:space="0" w:color="auto"/>
              <w:right w:val="single" w:sz="8" w:space="0" w:color="000000"/>
            </w:tcBorders>
            <w:tcMar>
              <w:top w:w="72" w:type="dxa"/>
              <w:left w:w="144" w:type="dxa"/>
              <w:bottom w:w="72" w:type="dxa"/>
              <w:right w:w="144" w:type="dxa"/>
            </w:tcMar>
          </w:tcPr>
          <w:p w14:paraId="1E851611" w14:textId="35393E3D" w:rsidR="00842773" w:rsidRPr="00E5135C" w:rsidRDefault="00842773" w:rsidP="00532502">
            <w:pPr>
              <w:rPr>
                <w:iCs/>
                <w:color w:val="000000"/>
                <w:sz w:val="16"/>
                <w:szCs w:val="16"/>
              </w:rPr>
            </w:pPr>
            <w:r w:rsidRPr="00E5135C">
              <w:rPr>
                <w:b/>
                <w:iCs/>
                <w:color w:val="000000"/>
                <w:sz w:val="16"/>
                <w:szCs w:val="16"/>
              </w:rPr>
              <w:t>Output 2.4.</w:t>
            </w:r>
            <w:r w:rsidRPr="00E5135C">
              <w:rPr>
                <w:iCs/>
                <w:color w:val="000000"/>
                <w:sz w:val="16"/>
                <w:szCs w:val="16"/>
              </w:rPr>
              <w:t xml:space="preserve"> Government has revised institutional arrangements, put measures in place and systems for implementation of across sector strategies to prevent and respond to </w:t>
            </w:r>
            <w:r w:rsidR="007877A7">
              <w:rPr>
                <w:iCs/>
                <w:color w:val="000000"/>
                <w:sz w:val="16"/>
                <w:szCs w:val="16"/>
              </w:rPr>
              <w:t>s</w:t>
            </w:r>
            <w:r w:rsidR="007877A7" w:rsidRPr="00E5135C">
              <w:rPr>
                <w:iCs/>
                <w:color w:val="000000"/>
                <w:sz w:val="16"/>
                <w:szCs w:val="16"/>
              </w:rPr>
              <w:t xml:space="preserve">exual </w:t>
            </w:r>
            <w:r w:rsidRPr="00E5135C">
              <w:rPr>
                <w:iCs/>
                <w:color w:val="000000"/>
                <w:sz w:val="16"/>
                <w:szCs w:val="16"/>
              </w:rPr>
              <w:t xml:space="preserve">and </w:t>
            </w:r>
            <w:r w:rsidR="007877A7">
              <w:rPr>
                <w:iCs/>
                <w:color w:val="000000"/>
                <w:sz w:val="16"/>
                <w:szCs w:val="16"/>
              </w:rPr>
              <w:t>g</w:t>
            </w:r>
            <w:r w:rsidR="007877A7" w:rsidRPr="00E5135C">
              <w:rPr>
                <w:iCs/>
                <w:color w:val="000000"/>
                <w:sz w:val="16"/>
                <w:szCs w:val="16"/>
              </w:rPr>
              <w:t>ender</w:t>
            </w:r>
            <w:r w:rsidR="007877A7">
              <w:rPr>
                <w:iCs/>
                <w:color w:val="000000"/>
                <w:sz w:val="16"/>
                <w:szCs w:val="16"/>
              </w:rPr>
              <w:t>-b</w:t>
            </w:r>
            <w:r w:rsidRPr="00E5135C">
              <w:rPr>
                <w:iCs/>
                <w:color w:val="000000"/>
                <w:sz w:val="16"/>
                <w:szCs w:val="16"/>
              </w:rPr>
              <w:t xml:space="preserve">ased </w:t>
            </w:r>
            <w:r w:rsidR="007877A7">
              <w:rPr>
                <w:iCs/>
                <w:color w:val="000000"/>
                <w:sz w:val="16"/>
                <w:szCs w:val="16"/>
              </w:rPr>
              <w:t>v</w:t>
            </w:r>
            <w:r w:rsidR="007877A7" w:rsidRPr="00E5135C">
              <w:rPr>
                <w:iCs/>
                <w:color w:val="000000"/>
                <w:sz w:val="16"/>
                <w:szCs w:val="16"/>
              </w:rPr>
              <w:t xml:space="preserve">iolence </w:t>
            </w:r>
          </w:p>
          <w:p w14:paraId="72AC595F" w14:textId="77777777" w:rsidR="00842773" w:rsidRPr="00E5135C" w:rsidRDefault="00842773" w:rsidP="00532502">
            <w:pPr>
              <w:rPr>
                <w:iCs/>
                <w:color w:val="000000"/>
                <w:sz w:val="16"/>
                <w:szCs w:val="16"/>
              </w:rPr>
            </w:pPr>
          </w:p>
          <w:p w14:paraId="58ED917D" w14:textId="77777777" w:rsidR="00842773" w:rsidRPr="00E5135C" w:rsidRDefault="00842773" w:rsidP="00532502">
            <w:pPr>
              <w:rPr>
                <w:iCs/>
                <w:color w:val="000000"/>
                <w:sz w:val="16"/>
                <w:szCs w:val="16"/>
              </w:rPr>
            </w:pPr>
            <w:r w:rsidRPr="00E5135C">
              <w:rPr>
                <w:iCs/>
                <w:color w:val="000000"/>
                <w:sz w:val="16"/>
                <w:szCs w:val="16"/>
              </w:rPr>
              <w:t xml:space="preserve">Indicator: Number of multi-sectorial and cross sectoral services in place (including justice and security services) to prevent and address Sexual and Gender based violence </w:t>
            </w:r>
          </w:p>
          <w:p w14:paraId="2CF34B8B" w14:textId="77777777" w:rsidR="00842773" w:rsidRPr="00E5135C" w:rsidRDefault="00842773" w:rsidP="00532502">
            <w:pPr>
              <w:rPr>
                <w:iCs/>
                <w:color w:val="000000"/>
                <w:sz w:val="16"/>
                <w:szCs w:val="16"/>
              </w:rPr>
            </w:pPr>
          </w:p>
          <w:p w14:paraId="0CA5D2E4" w14:textId="77777777" w:rsidR="00842773" w:rsidRPr="00E5135C" w:rsidRDefault="00842773" w:rsidP="00532502">
            <w:pPr>
              <w:rPr>
                <w:iCs/>
                <w:color w:val="000000"/>
                <w:sz w:val="16"/>
                <w:szCs w:val="16"/>
              </w:rPr>
            </w:pPr>
            <w:r w:rsidRPr="00E5135C">
              <w:rPr>
                <w:iCs/>
                <w:color w:val="000000"/>
                <w:sz w:val="16"/>
                <w:szCs w:val="16"/>
              </w:rPr>
              <w:t xml:space="preserve">Baseline: 1 </w:t>
            </w:r>
          </w:p>
          <w:p w14:paraId="50981B91" w14:textId="77777777" w:rsidR="00842773" w:rsidRPr="00E5135C" w:rsidRDefault="00842773" w:rsidP="00532502">
            <w:pPr>
              <w:rPr>
                <w:iCs/>
                <w:color w:val="000000"/>
                <w:sz w:val="16"/>
                <w:szCs w:val="16"/>
              </w:rPr>
            </w:pPr>
            <w:r w:rsidRPr="00E5135C">
              <w:rPr>
                <w:iCs/>
                <w:color w:val="000000"/>
                <w:sz w:val="16"/>
                <w:szCs w:val="16"/>
              </w:rPr>
              <w:t xml:space="preserve">Target:   2 </w:t>
            </w:r>
          </w:p>
          <w:p w14:paraId="76665FFD" w14:textId="77777777" w:rsidR="00842773" w:rsidRPr="00E5135C" w:rsidRDefault="00842773" w:rsidP="00532502">
            <w:pPr>
              <w:rPr>
                <w:iCs/>
                <w:color w:val="000000"/>
                <w:sz w:val="16"/>
                <w:szCs w:val="16"/>
              </w:rPr>
            </w:pPr>
            <w:r w:rsidRPr="00E5135C">
              <w:rPr>
                <w:b/>
                <w:iCs/>
                <w:color w:val="000000"/>
                <w:sz w:val="16"/>
                <w:szCs w:val="16"/>
              </w:rPr>
              <w:t>Data Source:</w:t>
            </w:r>
            <w:r w:rsidRPr="00E5135C">
              <w:rPr>
                <w:iCs/>
                <w:color w:val="000000"/>
                <w:sz w:val="16"/>
                <w:szCs w:val="16"/>
              </w:rPr>
              <w:t xml:space="preserve"> Judiciary reports, Ministry of Gender Report, Zambia Police &amp; Ministry of Community Development reports</w:t>
            </w:r>
          </w:p>
          <w:p w14:paraId="507D76B4" w14:textId="77777777" w:rsidR="00842773" w:rsidRPr="00E5135C" w:rsidRDefault="00842773" w:rsidP="00532502">
            <w:pPr>
              <w:rPr>
                <w:i/>
                <w:iCs/>
                <w:color w:val="000000"/>
                <w:sz w:val="16"/>
                <w:szCs w:val="16"/>
              </w:rPr>
            </w:pPr>
            <w:r w:rsidRPr="00E5135C">
              <w:rPr>
                <w:b/>
                <w:iCs/>
                <w:color w:val="000000"/>
                <w:sz w:val="16"/>
                <w:szCs w:val="16"/>
              </w:rPr>
              <w:t>Frequency:</w:t>
            </w:r>
            <w:r w:rsidRPr="00E5135C">
              <w:rPr>
                <w:iCs/>
                <w:color w:val="000000"/>
                <w:sz w:val="16"/>
                <w:szCs w:val="16"/>
              </w:rPr>
              <w:t xml:space="preserve"> Annual</w:t>
            </w:r>
          </w:p>
        </w:tc>
        <w:tc>
          <w:tcPr>
            <w:tcW w:w="634" w:type="pct"/>
            <w:gridSpan w:val="2"/>
            <w:tcBorders>
              <w:left w:val="single" w:sz="8" w:space="0" w:color="000000"/>
              <w:bottom w:val="single" w:sz="4" w:space="0" w:color="auto"/>
              <w:right w:val="single" w:sz="4" w:space="0" w:color="auto"/>
            </w:tcBorders>
          </w:tcPr>
          <w:p w14:paraId="01D09473" w14:textId="35A1F0D5" w:rsidR="001313E3" w:rsidRDefault="00842773" w:rsidP="00532502">
            <w:pPr>
              <w:rPr>
                <w:iCs/>
                <w:color w:val="000000"/>
                <w:sz w:val="16"/>
                <w:szCs w:val="16"/>
              </w:rPr>
            </w:pPr>
            <w:r w:rsidRPr="007A2D99">
              <w:rPr>
                <w:iCs/>
                <w:color w:val="000000"/>
                <w:sz w:val="16"/>
                <w:szCs w:val="16"/>
              </w:rPr>
              <w:lastRenderedPageBreak/>
              <w:t>Cabinet Office</w:t>
            </w:r>
            <w:r w:rsidR="001313E3">
              <w:rPr>
                <w:iCs/>
                <w:color w:val="000000"/>
                <w:sz w:val="16"/>
                <w:szCs w:val="16"/>
              </w:rPr>
              <w:t>;</w:t>
            </w:r>
            <w:r w:rsidR="001313E3" w:rsidRPr="007A2D99">
              <w:rPr>
                <w:iCs/>
                <w:color w:val="000000"/>
                <w:sz w:val="16"/>
                <w:szCs w:val="16"/>
              </w:rPr>
              <w:t xml:space="preserve"> </w:t>
            </w:r>
            <w:r w:rsidRPr="007A2D99">
              <w:rPr>
                <w:iCs/>
                <w:color w:val="000000"/>
                <w:sz w:val="16"/>
                <w:szCs w:val="16"/>
              </w:rPr>
              <w:t>Ministries of Gender</w:t>
            </w:r>
            <w:r w:rsidR="00345A68">
              <w:rPr>
                <w:iCs/>
                <w:color w:val="000000"/>
                <w:sz w:val="16"/>
                <w:szCs w:val="16"/>
              </w:rPr>
              <w:t xml:space="preserve"> </w:t>
            </w:r>
            <w:r w:rsidR="003C7485">
              <w:rPr>
                <w:iCs/>
                <w:color w:val="000000"/>
                <w:sz w:val="16"/>
                <w:szCs w:val="16"/>
              </w:rPr>
              <w:t>and</w:t>
            </w:r>
            <w:r w:rsidR="00345A68">
              <w:rPr>
                <w:iCs/>
                <w:color w:val="000000"/>
                <w:sz w:val="16"/>
                <w:szCs w:val="16"/>
              </w:rPr>
              <w:t xml:space="preserve"> Child Development</w:t>
            </w:r>
            <w:r w:rsidRPr="007A2D99">
              <w:rPr>
                <w:iCs/>
                <w:color w:val="000000"/>
                <w:sz w:val="16"/>
                <w:szCs w:val="16"/>
              </w:rPr>
              <w:t>, Justice &amp; Chiefs</w:t>
            </w:r>
            <w:r w:rsidR="001313E3">
              <w:rPr>
                <w:iCs/>
                <w:color w:val="000000"/>
                <w:sz w:val="16"/>
                <w:szCs w:val="16"/>
              </w:rPr>
              <w:t>;</w:t>
            </w:r>
            <w:r w:rsidR="001313E3" w:rsidRPr="007A2D99">
              <w:rPr>
                <w:iCs/>
                <w:color w:val="000000"/>
                <w:sz w:val="16"/>
                <w:szCs w:val="16"/>
              </w:rPr>
              <w:t xml:space="preserve"> </w:t>
            </w:r>
          </w:p>
          <w:p w14:paraId="030B7791" w14:textId="01D3350C" w:rsidR="001313E3" w:rsidRDefault="00842773" w:rsidP="001313E3">
            <w:pPr>
              <w:rPr>
                <w:iCs/>
                <w:color w:val="000000"/>
                <w:sz w:val="16"/>
                <w:szCs w:val="16"/>
              </w:rPr>
            </w:pPr>
            <w:r w:rsidRPr="007A2D99">
              <w:rPr>
                <w:iCs/>
                <w:color w:val="000000"/>
                <w:sz w:val="16"/>
                <w:szCs w:val="16"/>
              </w:rPr>
              <w:t>Zambia Law Development Commission</w:t>
            </w:r>
            <w:r w:rsidR="001313E3">
              <w:rPr>
                <w:iCs/>
                <w:color w:val="000000"/>
                <w:sz w:val="16"/>
                <w:szCs w:val="16"/>
              </w:rPr>
              <w:t>;</w:t>
            </w:r>
            <w:r w:rsidR="001313E3" w:rsidRPr="007A2D99">
              <w:rPr>
                <w:iCs/>
                <w:color w:val="000000"/>
                <w:sz w:val="16"/>
                <w:szCs w:val="16"/>
              </w:rPr>
              <w:t xml:space="preserve"> </w:t>
            </w:r>
          </w:p>
          <w:p w14:paraId="25FC785D" w14:textId="1EA6B932" w:rsidR="001313E3" w:rsidRDefault="00842773" w:rsidP="001313E3">
            <w:pPr>
              <w:rPr>
                <w:iCs/>
                <w:color w:val="000000"/>
                <w:sz w:val="16"/>
                <w:szCs w:val="16"/>
              </w:rPr>
            </w:pPr>
            <w:r w:rsidRPr="007A2D99">
              <w:rPr>
                <w:iCs/>
                <w:color w:val="000000"/>
                <w:sz w:val="16"/>
                <w:szCs w:val="16"/>
              </w:rPr>
              <w:lastRenderedPageBreak/>
              <w:t>Judiciary</w:t>
            </w:r>
            <w:r w:rsidR="001313E3">
              <w:rPr>
                <w:iCs/>
                <w:color w:val="000000"/>
                <w:sz w:val="16"/>
                <w:szCs w:val="16"/>
              </w:rPr>
              <w:t>;</w:t>
            </w:r>
            <w:r w:rsidR="001313E3" w:rsidRPr="007A2D99">
              <w:rPr>
                <w:iCs/>
                <w:color w:val="000000"/>
                <w:sz w:val="16"/>
                <w:szCs w:val="16"/>
              </w:rPr>
              <w:t xml:space="preserve"> </w:t>
            </w:r>
          </w:p>
          <w:p w14:paraId="783FB2BA" w14:textId="61A245D3" w:rsidR="00842773" w:rsidRPr="007A2D99" w:rsidRDefault="001313E3" w:rsidP="001313E3">
            <w:pPr>
              <w:rPr>
                <w:iCs/>
                <w:color w:val="000000"/>
                <w:sz w:val="16"/>
                <w:szCs w:val="16"/>
              </w:rPr>
            </w:pPr>
            <w:r w:rsidRPr="007A2D99">
              <w:rPr>
                <w:iCs/>
                <w:color w:val="000000"/>
                <w:sz w:val="16"/>
                <w:szCs w:val="16"/>
              </w:rPr>
              <w:t xml:space="preserve"> </w:t>
            </w:r>
            <w:r w:rsidR="00842773" w:rsidRPr="007A2D99">
              <w:rPr>
                <w:iCs/>
                <w:color w:val="000000"/>
                <w:sz w:val="16"/>
                <w:szCs w:val="16"/>
              </w:rPr>
              <w:t>CSOs</w:t>
            </w:r>
          </w:p>
        </w:tc>
        <w:tc>
          <w:tcPr>
            <w:tcW w:w="614" w:type="pct"/>
            <w:vMerge/>
            <w:tcBorders>
              <w:left w:val="single" w:sz="4" w:space="0" w:color="auto"/>
              <w:right w:val="single" w:sz="8" w:space="0" w:color="000000"/>
            </w:tcBorders>
            <w:tcMar>
              <w:top w:w="15" w:type="dxa"/>
              <w:left w:w="108" w:type="dxa"/>
              <w:bottom w:w="0" w:type="dxa"/>
              <w:right w:w="108" w:type="dxa"/>
            </w:tcMar>
          </w:tcPr>
          <w:p w14:paraId="3EB87385" w14:textId="77777777" w:rsidR="00842773" w:rsidRPr="00E5135C" w:rsidRDefault="00842773" w:rsidP="00532502">
            <w:pPr>
              <w:rPr>
                <w:b/>
                <w:color w:val="000000"/>
                <w:sz w:val="16"/>
                <w:szCs w:val="16"/>
              </w:rPr>
            </w:pPr>
          </w:p>
        </w:tc>
      </w:tr>
      <w:tr w:rsidR="00842773" w:rsidRPr="00501E43" w14:paraId="1AA06408"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B7ECD8D" w14:textId="77777777" w:rsidR="00842773" w:rsidRPr="004F59D7" w:rsidRDefault="00842773" w:rsidP="00532502">
            <w:pPr>
              <w:rPr>
                <w:color w:val="000000"/>
                <w:sz w:val="18"/>
                <w:szCs w:val="18"/>
              </w:rPr>
            </w:pPr>
            <w:r w:rsidRPr="004F59D7">
              <w:rPr>
                <w:b/>
                <w:bCs/>
                <w:color w:val="000000"/>
                <w:sz w:val="18"/>
                <w:szCs w:val="18"/>
              </w:rPr>
              <w:lastRenderedPageBreak/>
              <w:t xml:space="preserve">NATIONAL PRIORITY OR GOAL: </w:t>
            </w:r>
            <w:r>
              <w:rPr>
                <w:b/>
                <w:bCs/>
                <w:color w:val="000000"/>
                <w:sz w:val="18"/>
                <w:szCs w:val="18"/>
              </w:rPr>
              <w:t>Total adherence to good governance</w:t>
            </w:r>
          </w:p>
        </w:tc>
      </w:tr>
      <w:tr w:rsidR="00842773" w:rsidRPr="00501E43" w14:paraId="6C92F8D5"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62A372A" w14:textId="11763CFC" w:rsidR="00842773" w:rsidRPr="007F0B0A" w:rsidRDefault="007877A7" w:rsidP="00891788">
            <w:pPr>
              <w:rPr>
                <w:bCs/>
                <w:color w:val="000000"/>
                <w:sz w:val="18"/>
                <w:szCs w:val="18"/>
              </w:rPr>
            </w:pPr>
            <w:r>
              <w:rPr>
                <w:b/>
                <w:bCs/>
                <w:color w:val="000000"/>
                <w:sz w:val="18"/>
                <w:szCs w:val="18"/>
              </w:rPr>
              <w:t>PARTNERSHIP FRAMEWORK</w:t>
            </w:r>
            <w:r w:rsidR="00842773">
              <w:rPr>
                <w:b/>
                <w:bCs/>
                <w:color w:val="000000"/>
                <w:sz w:val="18"/>
                <w:szCs w:val="18"/>
              </w:rPr>
              <w:t xml:space="preserve"> </w:t>
            </w:r>
            <w:r w:rsidR="00EC02E7">
              <w:rPr>
                <w:b/>
                <w:bCs/>
                <w:color w:val="000000"/>
                <w:sz w:val="18"/>
                <w:szCs w:val="18"/>
              </w:rPr>
              <w:t>O</w:t>
            </w:r>
            <w:r w:rsidR="00EC02E7" w:rsidRPr="00472149">
              <w:rPr>
                <w:b/>
                <w:bCs/>
                <w:color w:val="000000"/>
                <w:sz w:val="18"/>
                <w:szCs w:val="18"/>
              </w:rPr>
              <w:t>UTCOME INVOLVING</w:t>
            </w:r>
            <w:r w:rsidR="00842773" w:rsidRPr="004F59D7">
              <w:rPr>
                <w:b/>
                <w:bCs/>
                <w:color w:val="000000"/>
                <w:sz w:val="18"/>
                <w:szCs w:val="18"/>
              </w:rPr>
              <w:t xml:space="preserve"> UNDP #</w:t>
            </w:r>
            <w:r w:rsidR="00842773" w:rsidRPr="00472149">
              <w:rPr>
                <w:b/>
                <w:bCs/>
                <w:color w:val="000000"/>
                <w:sz w:val="18"/>
                <w:szCs w:val="18"/>
              </w:rPr>
              <w:t>3</w:t>
            </w:r>
            <w:r w:rsidR="00842773">
              <w:rPr>
                <w:b/>
                <w:bCs/>
                <w:color w:val="000000"/>
                <w:sz w:val="18"/>
                <w:szCs w:val="18"/>
              </w:rPr>
              <w:t>:</w:t>
            </w:r>
            <w:r w:rsidR="00842773" w:rsidRPr="004F59D7">
              <w:rPr>
                <w:b/>
                <w:bCs/>
                <w:color w:val="000000"/>
                <w:sz w:val="18"/>
                <w:szCs w:val="18"/>
              </w:rPr>
              <w:t xml:space="preserve"> </w:t>
            </w:r>
            <w:r w:rsidR="00842773" w:rsidRPr="004F59D7">
              <w:rPr>
                <w:bCs/>
                <w:color w:val="000000"/>
                <w:sz w:val="18"/>
                <w:szCs w:val="18"/>
              </w:rPr>
              <w:t>By 2021</w:t>
            </w:r>
            <w:r w:rsidR="00475A30" w:rsidRPr="004F59D7">
              <w:rPr>
                <w:bCs/>
                <w:color w:val="000000"/>
                <w:sz w:val="18"/>
                <w:szCs w:val="18"/>
              </w:rPr>
              <w:t xml:space="preserve">, </w:t>
            </w:r>
            <w:r w:rsidR="00475A30">
              <w:rPr>
                <w:bCs/>
                <w:color w:val="000000"/>
                <w:sz w:val="18"/>
                <w:szCs w:val="18"/>
              </w:rPr>
              <w:t>All</w:t>
            </w:r>
            <w:r w:rsidR="00842773">
              <w:rPr>
                <w:bCs/>
                <w:color w:val="000000"/>
                <w:sz w:val="18"/>
                <w:szCs w:val="18"/>
              </w:rPr>
              <w:t xml:space="preserve"> people in Zambia, including women, youth and </w:t>
            </w:r>
            <w:r w:rsidR="00891788">
              <w:rPr>
                <w:bCs/>
                <w:color w:val="000000"/>
                <w:sz w:val="18"/>
                <w:szCs w:val="18"/>
              </w:rPr>
              <w:t>marginalized</w:t>
            </w:r>
            <w:r w:rsidR="00842773">
              <w:rPr>
                <w:bCs/>
                <w:color w:val="000000"/>
                <w:sz w:val="18"/>
                <w:szCs w:val="18"/>
              </w:rPr>
              <w:t xml:space="preserve">, have equitable and effective </w:t>
            </w:r>
            <w:r w:rsidR="00842773" w:rsidRPr="004F59D7">
              <w:rPr>
                <w:bCs/>
                <w:color w:val="000000"/>
                <w:sz w:val="18"/>
                <w:szCs w:val="18"/>
              </w:rPr>
              <w:t xml:space="preserve">participation in national and democratic processes, especially women, youth and </w:t>
            </w:r>
            <w:r w:rsidRPr="004F59D7">
              <w:rPr>
                <w:bCs/>
                <w:color w:val="000000"/>
                <w:sz w:val="18"/>
                <w:szCs w:val="18"/>
              </w:rPr>
              <w:t>marginali</w:t>
            </w:r>
            <w:r>
              <w:rPr>
                <w:bCs/>
                <w:color w:val="000000"/>
                <w:sz w:val="18"/>
                <w:szCs w:val="18"/>
              </w:rPr>
              <w:t>z</w:t>
            </w:r>
            <w:r w:rsidRPr="004F59D7">
              <w:rPr>
                <w:bCs/>
                <w:color w:val="000000"/>
                <w:sz w:val="18"/>
                <w:szCs w:val="18"/>
              </w:rPr>
              <w:t xml:space="preserve">ed </w:t>
            </w:r>
            <w:r w:rsidR="00842773" w:rsidRPr="004F59D7">
              <w:rPr>
                <w:bCs/>
                <w:color w:val="000000"/>
                <w:sz w:val="18"/>
                <w:szCs w:val="18"/>
              </w:rPr>
              <w:t>groups</w:t>
            </w:r>
            <w:r>
              <w:rPr>
                <w:bCs/>
                <w:color w:val="000000"/>
                <w:sz w:val="18"/>
                <w:szCs w:val="18"/>
              </w:rPr>
              <w:t>.</w:t>
            </w:r>
          </w:p>
        </w:tc>
      </w:tr>
      <w:tr w:rsidR="00842773" w:rsidRPr="00501E43" w14:paraId="468CF995" w14:textId="77777777" w:rsidTr="00AE71CA">
        <w:tc>
          <w:tcPr>
            <w:tcW w:w="5000" w:type="pct"/>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D60F485" w14:textId="77777777" w:rsidR="00842773" w:rsidRPr="004F59D7" w:rsidRDefault="00842773" w:rsidP="00532502">
            <w:pPr>
              <w:rPr>
                <w:b/>
                <w:bCs/>
                <w:color w:val="000000"/>
                <w:sz w:val="18"/>
                <w:szCs w:val="18"/>
              </w:rPr>
            </w:pPr>
            <w:r w:rsidRPr="004F59D7">
              <w:rPr>
                <w:b/>
                <w:bCs/>
                <w:color w:val="000000"/>
                <w:sz w:val="18"/>
                <w:szCs w:val="18"/>
              </w:rPr>
              <w:t xml:space="preserve">Related Strategic Plan outcome 2: </w:t>
            </w:r>
            <w:r w:rsidRPr="004F59D7">
              <w:rPr>
                <w:bCs/>
                <w:color w:val="000000"/>
                <w:sz w:val="18"/>
                <w:szCs w:val="18"/>
              </w:rPr>
              <w:t>Citizen expectations for voice, development, the rule of law and accountability are met by stronger systems of democratic governance</w:t>
            </w:r>
            <w:r w:rsidR="007877A7">
              <w:rPr>
                <w:bCs/>
                <w:color w:val="000000"/>
                <w:sz w:val="18"/>
                <w:szCs w:val="18"/>
              </w:rPr>
              <w:t>.</w:t>
            </w:r>
            <w:r w:rsidRPr="004F59D7">
              <w:rPr>
                <w:color w:val="000000"/>
                <w:sz w:val="18"/>
                <w:szCs w:val="18"/>
              </w:rPr>
              <w:t xml:space="preserve"> </w:t>
            </w:r>
          </w:p>
          <w:p w14:paraId="6B9176F1" w14:textId="00A27D6D" w:rsidR="00842773" w:rsidRPr="004F59D7" w:rsidRDefault="00842773" w:rsidP="007877A7">
            <w:pPr>
              <w:rPr>
                <w:color w:val="000000"/>
                <w:sz w:val="18"/>
                <w:szCs w:val="18"/>
              </w:rPr>
            </w:pPr>
            <w:r w:rsidRPr="004F59D7">
              <w:rPr>
                <w:b/>
                <w:color w:val="000000"/>
                <w:sz w:val="18"/>
                <w:szCs w:val="18"/>
              </w:rPr>
              <w:t xml:space="preserve">Related Strategic Plan </w:t>
            </w:r>
            <w:r w:rsidR="007877A7">
              <w:rPr>
                <w:b/>
                <w:color w:val="000000"/>
                <w:sz w:val="18"/>
                <w:szCs w:val="18"/>
              </w:rPr>
              <w:t>o</w:t>
            </w:r>
            <w:r w:rsidR="007877A7" w:rsidRPr="004F59D7">
              <w:rPr>
                <w:b/>
                <w:color w:val="000000"/>
                <w:sz w:val="18"/>
                <w:szCs w:val="18"/>
              </w:rPr>
              <w:t xml:space="preserve">utcome </w:t>
            </w:r>
            <w:r w:rsidR="007877A7">
              <w:rPr>
                <w:b/>
                <w:color w:val="000000"/>
                <w:sz w:val="18"/>
                <w:szCs w:val="18"/>
              </w:rPr>
              <w:t>i</w:t>
            </w:r>
            <w:r w:rsidR="007877A7" w:rsidRPr="004F59D7">
              <w:rPr>
                <w:b/>
                <w:color w:val="000000"/>
                <w:sz w:val="18"/>
                <w:szCs w:val="18"/>
              </w:rPr>
              <w:t>ndicator</w:t>
            </w:r>
            <w:r w:rsidRPr="004F59D7">
              <w:rPr>
                <w:b/>
                <w:color w:val="000000"/>
                <w:sz w:val="18"/>
                <w:szCs w:val="18"/>
              </w:rPr>
              <w:t>:</w:t>
            </w:r>
            <w:r w:rsidRPr="004F59D7">
              <w:rPr>
                <w:color w:val="000000"/>
                <w:sz w:val="18"/>
                <w:szCs w:val="18"/>
              </w:rPr>
              <w:t xml:space="preserve"> </w:t>
            </w:r>
            <w:r w:rsidRPr="00401BC6">
              <w:rPr>
                <w:color w:val="000000"/>
                <w:sz w:val="18"/>
                <w:szCs w:val="18"/>
              </w:rPr>
              <w:t>Voter turnout</w:t>
            </w:r>
          </w:p>
        </w:tc>
      </w:tr>
      <w:tr w:rsidR="00842773" w:rsidRPr="00501E43" w14:paraId="295E3277" w14:textId="77777777" w:rsidTr="00AE71CA">
        <w:tc>
          <w:tcPr>
            <w:tcW w:w="905"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294F90B0" w14:textId="77777777" w:rsidR="00F002AF" w:rsidRPr="001313E3" w:rsidRDefault="00842773" w:rsidP="00532502">
            <w:pPr>
              <w:pStyle w:val="ListParagraph"/>
              <w:ind w:left="0"/>
              <w:contextualSpacing/>
              <w:rPr>
                <w:iCs/>
                <w:sz w:val="16"/>
                <w:szCs w:val="16"/>
              </w:rPr>
            </w:pPr>
            <w:r w:rsidRPr="001313E3">
              <w:rPr>
                <w:iCs/>
                <w:sz w:val="16"/>
                <w:szCs w:val="16"/>
              </w:rPr>
              <w:t xml:space="preserve">3.1.1. </w:t>
            </w:r>
            <w:r w:rsidR="00F002AF" w:rsidRPr="001313E3">
              <w:rPr>
                <w:iCs/>
                <w:sz w:val="16"/>
                <w:szCs w:val="16"/>
              </w:rPr>
              <w:t xml:space="preserve">African </w:t>
            </w:r>
            <w:r w:rsidR="008947C3" w:rsidRPr="001313E3">
              <w:rPr>
                <w:iCs/>
                <w:sz w:val="16"/>
                <w:szCs w:val="16"/>
              </w:rPr>
              <w:t>Parliamentary</w:t>
            </w:r>
            <w:r w:rsidR="00F002AF" w:rsidRPr="001313E3">
              <w:rPr>
                <w:iCs/>
                <w:sz w:val="16"/>
                <w:szCs w:val="16"/>
              </w:rPr>
              <w:t xml:space="preserve"> Index</w:t>
            </w:r>
            <w:r w:rsidR="00BC4FCD" w:rsidRPr="001313E3">
              <w:rPr>
                <w:iCs/>
                <w:sz w:val="16"/>
                <w:szCs w:val="16"/>
              </w:rPr>
              <w:t xml:space="preserve"> (API)</w:t>
            </w:r>
          </w:p>
          <w:p w14:paraId="6C6E7552" w14:textId="77777777" w:rsidR="00842773" w:rsidRPr="001313E3" w:rsidRDefault="00842773" w:rsidP="00532502">
            <w:pPr>
              <w:pStyle w:val="ListParagraph"/>
              <w:ind w:left="0"/>
              <w:contextualSpacing/>
              <w:rPr>
                <w:iCs/>
                <w:sz w:val="16"/>
                <w:szCs w:val="16"/>
              </w:rPr>
            </w:pPr>
            <w:r w:rsidRPr="001313E3">
              <w:rPr>
                <w:iCs/>
                <w:sz w:val="16"/>
                <w:szCs w:val="16"/>
              </w:rPr>
              <w:t>Baseline (201</w:t>
            </w:r>
            <w:r w:rsidR="00BC4FCD" w:rsidRPr="001313E3">
              <w:rPr>
                <w:iCs/>
                <w:sz w:val="16"/>
                <w:szCs w:val="16"/>
              </w:rPr>
              <w:t>2</w:t>
            </w:r>
            <w:r w:rsidRPr="001313E3">
              <w:rPr>
                <w:iCs/>
                <w:sz w:val="16"/>
                <w:szCs w:val="16"/>
              </w:rPr>
              <w:t xml:space="preserve">): </w:t>
            </w:r>
            <w:r w:rsidR="00BC4FCD" w:rsidRPr="001313E3">
              <w:rPr>
                <w:iCs/>
                <w:sz w:val="16"/>
                <w:szCs w:val="16"/>
              </w:rPr>
              <w:t>64.82</w:t>
            </w:r>
            <w:r w:rsidRPr="001313E3">
              <w:rPr>
                <w:iCs/>
                <w:sz w:val="16"/>
                <w:szCs w:val="16"/>
              </w:rPr>
              <w:t xml:space="preserve"> </w:t>
            </w:r>
          </w:p>
          <w:p w14:paraId="6497AC45" w14:textId="77777777" w:rsidR="00842773" w:rsidRPr="001313E3" w:rsidRDefault="00842773" w:rsidP="00532502">
            <w:pPr>
              <w:pStyle w:val="ListParagraph"/>
              <w:ind w:left="0"/>
              <w:contextualSpacing/>
              <w:rPr>
                <w:iCs/>
                <w:sz w:val="16"/>
                <w:szCs w:val="16"/>
              </w:rPr>
            </w:pPr>
            <w:r w:rsidRPr="001313E3">
              <w:rPr>
                <w:iCs/>
                <w:sz w:val="16"/>
                <w:szCs w:val="16"/>
              </w:rPr>
              <w:t xml:space="preserve">Target (2021): </w:t>
            </w:r>
            <w:r w:rsidR="00BC4FCD" w:rsidRPr="001313E3">
              <w:rPr>
                <w:iCs/>
                <w:sz w:val="16"/>
                <w:szCs w:val="16"/>
              </w:rPr>
              <w:t>80</w:t>
            </w:r>
          </w:p>
          <w:p w14:paraId="29B8B90C" w14:textId="77777777" w:rsidR="00842773" w:rsidRPr="001313E3" w:rsidRDefault="00842773" w:rsidP="00532502">
            <w:pPr>
              <w:rPr>
                <w:iCs/>
                <w:sz w:val="16"/>
                <w:szCs w:val="16"/>
              </w:rPr>
            </w:pPr>
          </w:p>
          <w:p w14:paraId="2E9FBD01" w14:textId="77777777" w:rsidR="00842773" w:rsidRPr="001313E3" w:rsidRDefault="00842773" w:rsidP="00532502">
            <w:pPr>
              <w:rPr>
                <w:bCs/>
                <w:color w:val="000000"/>
                <w:sz w:val="16"/>
                <w:szCs w:val="16"/>
              </w:rPr>
            </w:pPr>
            <w:r w:rsidRPr="001313E3">
              <w:rPr>
                <w:bCs/>
                <w:color w:val="000000"/>
                <w:sz w:val="16"/>
                <w:szCs w:val="16"/>
              </w:rPr>
              <w:t>3.1.2 Voter turnout in general elections</w:t>
            </w:r>
          </w:p>
          <w:p w14:paraId="41229951" w14:textId="77777777" w:rsidR="00842773" w:rsidRPr="001313E3" w:rsidRDefault="00707B9D" w:rsidP="00532502">
            <w:pPr>
              <w:rPr>
                <w:bCs/>
                <w:color w:val="000000"/>
                <w:sz w:val="16"/>
                <w:szCs w:val="16"/>
              </w:rPr>
            </w:pPr>
            <w:r w:rsidRPr="001313E3">
              <w:rPr>
                <w:bCs/>
                <w:color w:val="000000"/>
                <w:sz w:val="16"/>
                <w:szCs w:val="16"/>
              </w:rPr>
              <w:t>Baseline (2011): 53%</w:t>
            </w:r>
          </w:p>
          <w:p w14:paraId="67609CFA" w14:textId="77777777" w:rsidR="00842773" w:rsidRPr="001313E3" w:rsidRDefault="00842773" w:rsidP="00532502">
            <w:pPr>
              <w:rPr>
                <w:bCs/>
                <w:color w:val="000000"/>
                <w:sz w:val="16"/>
                <w:szCs w:val="16"/>
              </w:rPr>
            </w:pPr>
            <w:r w:rsidRPr="001313E3">
              <w:rPr>
                <w:bCs/>
                <w:color w:val="000000"/>
                <w:sz w:val="16"/>
                <w:szCs w:val="16"/>
              </w:rPr>
              <w:t>Target (2021):   70%</w:t>
            </w:r>
          </w:p>
          <w:p w14:paraId="007319E3" w14:textId="77777777" w:rsidR="00842773" w:rsidRPr="001313E3" w:rsidRDefault="00842773" w:rsidP="00532502">
            <w:pPr>
              <w:rPr>
                <w:iCs/>
                <w:sz w:val="16"/>
                <w:szCs w:val="16"/>
              </w:rPr>
            </w:pPr>
          </w:p>
          <w:p w14:paraId="5AB4BEA1" w14:textId="77777777" w:rsidR="00842773" w:rsidRPr="001313E3" w:rsidRDefault="00842773" w:rsidP="00532502">
            <w:pPr>
              <w:rPr>
                <w:iCs/>
                <w:sz w:val="16"/>
                <w:szCs w:val="16"/>
              </w:rPr>
            </w:pPr>
          </w:p>
          <w:p w14:paraId="630203EC" w14:textId="77777777" w:rsidR="00842773" w:rsidRPr="001313E3" w:rsidRDefault="00842773" w:rsidP="00532502">
            <w:pPr>
              <w:rPr>
                <w:iCs/>
                <w:sz w:val="16"/>
                <w:szCs w:val="16"/>
              </w:rPr>
            </w:pPr>
          </w:p>
          <w:p w14:paraId="5F5D6D71" w14:textId="77777777" w:rsidR="00842773" w:rsidRPr="001313E3" w:rsidRDefault="00842773" w:rsidP="00532502">
            <w:pPr>
              <w:rPr>
                <w:iCs/>
                <w:sz w:val="16"/>
                <w:szCs w:val="16"/>
              </w:rPr>
            </w:pPr>
          </w:p>
          <w:p w14:paraId="1E3C79CB" w14:textId="77777777" w:rsidR="00842773" w:rsidRPr="001313E3" w:rsidRDefault="00842773" w:rsidP="00532502">
            <w:pPr>
              <w:rPr>
                <w:iCs/>
                <w:sz w:val="16"/>
                <w:szCs w:val="16"/>
              </w:rPr>
            </w:pPr>
          </w:p>
          <w:p w14:paraId="11193040" w14:textId="77777777" w:rsidR="00842773" w:rsidRPr="001313E3" w:rsidRDefault="00842773" w:rsidP="00532502">
            <w:pPr>
              <w:rPr>
                <w:iCs/>
                <w:sz w:val="16"/>
                <w:szCs w:val="16"/>
              </w:rPr>
            </w:pPr>
          </w:p>
          <w:p w14:paraId="0E5CB004" w14:textId="77777777" w:rsidR="00842773" w:rsidRPr="001313E3" w:rsidRDefault="00842773" w:rsidP="00532502">
            <w:pPr>
              <w:rPr>
                <w:iCs/>
                <w:sz w:val="16"/>
                <w:szCs w:val="16"/>
              </w:rPr>
            </w:pPr>
          </w:p>
          <w:p w14:paraId="14D935BD" w14:textId="77777777" w:rsidR="00842773" w:rsidRPr="001313E3" w:rsidRDefault="00842773" w:rsidP="00532502">
            <w:pPr>
              <w:rPr>
                <w:iCs/>
                <w:sz w:val="16"/>
                <w:szCs w:val="16"/>
              </w:rPr>
            </w:pPr>
          </w:p>
          <w:p w14:paraId="6BEF548C" w14:textId="77777777" w:rsidR="00842773" w:rsidRPr="001313E3" w:rsidRDefault="00842773" w:rsidP="00532502">
            <w:pPr>
              <w:rPr>
                <w:iCs/>
                <w:sz w:val="16"/>
                <w:szCs w:val="16"/>
              </w:rPr>
            </w:pPr>
          </w:p>
          <w:p w14:paraId="578B643C" w14:textId="77777777" w:rsidR="00842773" w:rsidRPr="001313E3" w:rsidRDefault="00842773" w:rsidP="00532502">
            <w:pPr>
              <w:rPr>
                <w:iCs/>
                <w:sz w:val="16"/>
                <w:szCs w:val="16"/>
              </w:rPr>
            </w:pPr>
            <w:r w:rsidRPr="001313E3">
              <w:rPr>
                <w:iCs/>
                <w:sz w:val="16"/>
                <w:szCs w:val="16"/>
              </w:rPr>
              <w:t xml:space="preserve">3.2.1 Mo Ibrahim Index for accountability  </w:t>
            </w:r>
          </w:p>
          <w:p w14:paraId="199148DC" w14:textId="77777777" w:rsidR="00842773" w:rsidRPr="001313E3" w:rsidRDefault="00842773" w:rsidP="00532502">
            <w:pPr>
              <w:rPr>
                <w:iCs/>
                <w:sz w:val="16"/>
                <w:szCs w:val="16"/>
              </w:rPr>
            </w:pPr>
            <w:r w:rsidRPr="001313E3">
              <w:rPr>
                <w:iCs/>
                <w:sz w:val="16"/>
                <w:szCs w:val="16"/>
              </w:rPr>
              <w:t>Baseline (2013): 44.9</w:t>
            </w:r>
          </w:p>
          <w:p w14:paraId="75A4EB72" w14:textId="77777777" w:rsidR="00842773" w:rsidRPr="001313E3" w:rsidRDefault="00842773" w:rsidP="00532502">
            <w:pPr>
              <w:rPr>
                <w:iCs/>
                <w:sz w:val="16"/>
                <w:szCs w:val="16"/>
              </w:rPr>
            </w:pPr>
            <w:r w:rsidRPr="001313E3">
              <w:rPr>
                <w:iCs/>
                <w:sz w:val="16"/>
                <w:szCs w:val="16"/>
              </w:rPr>
              <w:t>Target (2021): 55:0</w:t>
            </w:r>
          </w:p>
          <w:p w14:paraId="52E97836" w14:textId="77777777" w:rsidR="00842773" w:rsidRPr="001313E3" w:rsidRDefault="00842773" w:rsidP="00532502">
            <w:pPr>
              <w:rPr>
                <w:iCs/>
                <w:sz w:val="16"/>
                <w:szCs w:val="16"/>
              </w:rPr>
            </w:pPr>
          </w:p>
          <w:p w14:paraId="61B59CF0" w14:textId="77777777" w:rsidR="00842773" w:rsidRPr="001313E3" w:rsidRDefault="00842773" w:rsidP="00532502">
            <w:pPr>
              <w:rPr>
                <w:iCs/>
                <w:sz w:val="16"/>
                <w:szCs w:val="16"/>
              </w:rPr>
            </w:pPr>
            <w:r w:rsidRPr="001313E3">
              <w:rPr>
                <w:iCs/>
                <w:sz w:val="16"/>
                <w:szCs w:val="16"/>
              </w:rPr>
              <w:t>3.2.2 Corruption Perception Index (CPI)e</w:t>
            </w:r>
          </w:p>
          <w:p w14:paraId="0F527D8E" w14:textId="77777777" w:rsidR="00842773" w:rsidRPr="001313E3" w:rsidRDefault="00842773" w:rsidP="00532502">
            <w:pPr>
              <w:rPr>
                <w:iCs/>
                <w:sz w:val="16"/>
                <w:szCs w:val="16"/>
              </w:rPr>
            </w:pPr>
            <w:r w:rsidRPr="001313E3">
              <w:rPr>
                <w:iCs/>
                <w:sz w:val="16"/>
                <w:szCs w:val="16"/>
              </w:rPr>
              <w:t>Baseline (2012):37</w:t>
            </w:r>
          </w:p>
          <w:p w14:paraId="6AA7664F" w14:textId="77777777" w:rsidR="00842773" w:rsidRPr="001313E3" w:rsidRDefault="00842773" w:rsidP="00532502">
            <w:pPr>
              <w:rPr>
                <w:iCs/>
                <w:sz w:val="16"/>
                <w:szCs w:val="16"/>
              </w:rPr>
            </w:pPr>
            <w:r w:rsidRPr="001313E3">
              <w:rPr>
                <w:iCs/>
                <w:sz w:val="16"/>
                <w:szCs w:val="16"/>
              </w:rPr>
              <w:t>Target (2021): 48</w:t>
            </w:r>
          </w:p>
          <w:p w14:paraId="330CC79B" w14:textId="77777777" w:rsidR="00842773" w:rsidRPr="001313E3" w:rsidRDefault="00842773" w:rsidP="00532502">
            <w:pPr>
              <w:rPr>
                <w:iCs/>
                <w:sz w:val="16"/>
                <w:szCs w:val="16"/>
              </w:rPr>
            </w:pPr>
          </w:p>
          <w:p w14:paraId="0C525629" w14:textId="77777777" w:rsidR="00842773" w:rsidRPr="001313E3" w:rsidRDefault="00842773" w:rsidP="00532502">
            <w:pPr>
              <w:rPr>
                <w:iCs/>
                <w:sz w:val="16"/>
                <w:szCs w:val="16"/>
              </w:rPr>
            </w:pPr>
          </w:p>
          <w:p w14:paraId="4DC015FF" w14:textId="77777777" w:rsidR="00842773" w:rsidRPr="001313E3" w:rsidRDefault="00842773" w:rsidP="00532502">
            <w:pPr>
              <w:rPr>
                <w:iCs/>
                <w:sz w:val="16"/>
                <w:szCs w:val="16"/>
              </w:rPr>
            </w:pPr>
          </w:p>
          <w:p w14:paraId="5D18ACD4" w14:textId="77777777" w:rsidR="00842773" w:rsidRPr="001313E3" w:rsidRDefault="00842773" w:rsidP="00532502">
            <w:pPr>
              <w:rPr>
                <w:iCs/>
                <w:sz w:val="16"/>
                <w:szCs w:val="16"/>
              </w:rPr>
            </w:pPr>
          </w:p>
          <w:p w14:paraId="16AB2F03" w14:textId="77777777" w:rsidR="00842773" w:rsidRPr="001313E3" w:rsidRDefault="00842773" w:rsidP="00532502">
            <w:pPr>
              <w:rPr>
                <w:iCs/>
                <w:sz w:val="16"/>
                <w:szCs w:val="16"/>
              </w:rPr>
            </w:pPr>
          </w:p>
          <w:p w14:paraId="40375271" w14:textId="77777777" w:rsidR="00842773" w:rsidRPr="001313E3" w:rsidRDefault="00842773" w:rsidP="00532502">
            <w:pPr>
              <w:rPr>
                <w:iCs/>
                <w:sz w:val="16"/>
                <w:szCs w:val="16"/>
              </w:rPr>
            </w:pPr>
          </w:p>
          <w:p w14:paraId="2562966A" w14:textId="77777777" w:rsidR="00842773" w:rsidRPr="001313E3" w:rsidRDefault="00842773" w:rsidP="00532502">
            <w:pPr>
              <w:rPr>
                <w:iCs/>
                <w:sz w:val="16"/>
                <w:szCs w:val="16"/>
              </w:rPr>
            </w:pPr>
          </w:p>
          <w:p w14:paraId="5231206C" w14:textId="77777777" w:rsidR="00842773" w:rsidRPr="001313E3" w:rsidRDefault="00842773" w:rsidP="00532502">
            <w:pPr>
              <w:rPr>
                <w:iCs/>
                <w:sz w:val="16"/>
                <w:szCs w:val="16"/>
              </w:rPr>
            </w:pPr>
          </w:p>
          <w:p w14:paraId="41B5A6C0" w14:textId="77777777" w:rsidR="00842773" w:rsidRPr="001313E3" w:rsidRDefault="00842773" w:rsidP="00532502">
            <w:pPr>
              <w:rPr>
                <w:iCs/>
                <w:sz w:val="16"/>
                <w:szCs w:val="16"/>
              </w:rPr>
            </w:pPr>
          </w:p>
          <w:p w14:paraId="70CAF395" w14:textId="77777777" w:rsidR="00842773" w:rsidRPr="001313E3" w:rsidRDefault="00842773" w:rsidP="00532502">
            <w:pPr>
              <w:rPr>
                <w:iCs/>
                <w:sz w:val="16"/>
                <w:szCs w:val="16"/>
              </w:rPr>
            </w:pPr>
          </w:p>
          <w:p w14:paraId="34EF812F" w14:textId="77777777" w:rsidR="00842773" w:rsidRPr="001313E3" w:rsidRDefault="00842773" w:rsidP="00532502">
            <w:pPr>
              <w:rPr>
                <w:iCs/>
                <w:sz w:val="16"/>
                <w:szCs w:val="16"/>
              </w:rPr>
            </w:pPr>
            <w:r w:rsidRPr="001313E3">
              <w:rPr>
                <w:iCs/>
                <w:sz w:val="16"/>
                <w:szCs w:val="16"/>
              </w:rPr>
              <w:t xml:space="preserve">3.1.1 Mo Ibrahim Index for participation and human rights </w:t>
            </w:r>
          </w:p>
          <w:p w14:paraId="633BAAD5" w14:textId="77777777" w:rsidR="00842773" w:rsidRPr="001313E3" w:rsidRDefault="00842773" w:rsidP="00532502">
            <w:pPr>
              <w:rPr>
                <w:iCs/>
                <w:sz w:val="16"/>
                <w:szCs w:val="16"/>
              </w:rPr>
            </w:pPr>
            <w:r w:rsidRPr="001313E3">
              <w:rPr>
                <w:iCs/>
                <w:sz w:val="16"/>
                <w:szCs w:val="16"/>
              </w:rPr>
              <w:t>Baseline (2013): 60.4</w:t>
            </w:r>
          </w:p>
          <w:p w14:paraId="0315A784" w14:textId="77777777" w:rsidR="00842773" w:rsidRPr="001313E3" w:rsidRDefault="00842773" w:rsidP="00532502">
            <w:pPr>
              <w:rPr>
                <w:iCs/>
                <w:sz w:val="16"/>
                <w:szCs w:val="16"/>
              </w:rPr>
            </w:pPr>
            <w:r w:rsidRPr="001313E3">
              <w:rPr>
                <w:iCs/>
                <w:sz w:val="16"/>
                <w:szCs w:val="16"/>
              </w:rPr>
              <w:t>Target (2021): 65.0</w:t>
            </w:r>
          </w:p>
          <w:p w14:paraId="70C82946" w14:textId="77777777" w:rsidR="00842773" w:rsidRPr="001313E3" w:rsidRDefault="00842773" w:rsidP="00532502">
            <w:pPr>
              <w:rPr>
                <w:iCs/>
                <w:sz w:val="16"/>
                <w:szCs w:val="16"/>
              </w:rPr>
            </w:pPr>
          </w:p>
          <w:p w14:paraId="49E456B8" w14:textId="77777777" w:rsidR="00842773" w:rsidRPr="001313E3" w:rsidRDefault="00842773" w:rsidP="00532502">
            <w:pPr>
              <w:rPr>
                <w:iCs/>
                <w:sz w:val="16"/>
                <w:szCs w:val="16"/>
              </w:rPr>
            </w:pPr>
          </w:p>
          <w:p w14:paraId="57DFBE2A" w14:textId="77777777" w:rsidR="00842773" w:rsidRPr="001313E3" w:rsidRDefault="00842773" w:rsidP="00532502">
            <w:pPr>
              <w:rPr>
                <w:iCs/>
                <w:sz w:val="16"/>
                <w:szCs w:val="16"/>
              </w:rPr>
            </w:pPr>
          </w:p>
          <w:p w14:paraId="3D8F2B9F" w14:textId="77777777" w:rsidR="00842773" w:rsidRPr="001313E3" w:rsidRDefault="00842773" w:rsidP="00532502">
            <w:pPr>
              <w:rPr>
                <w:iCs/>
                <w:sz w:val="16"/>
                <w:szCs w:val="16"/>
              </w:rPr>
            </w:pPr>
          </w:p>
          <w:p w14:paraId="38894ED9" w14:textId="77777777" w:rsidR="00842773" w:rsidRPr="001313E3" w:rsidRDefault="00E964D1" w:rsidP="00532502">
            <w:pPr>
              <w:rPr>
                <w:iCs/>
                <w:sz w:val="16"/>
                <w:szCs w:val="16"/>
              </w:rPr>
            </w:pPr>
            <w:r w:rsidRPr="001313E3">
              <w:rPr>
                <w:iCs/>
                <w:sz w:val="16"/>
                <w:szCs w:val="16"/>
              </w:rPr>
              <w:t>3.</w:t>
            </w:r>
            <w:r w:rsidR="00842773" w:rsidRPr="001313E3">
              <w:rPr>
                <w:iCs/>
                <w:sz w:val="16"/>
                <w:szCs w:val="16"/>
              </w:rPr>
              <w:t>4</w:t>
            </w:r>
            <w:r w:rsidR="00707B9D" w:rsidRPr="001313E3">
              <w:rPr>
                <w:iCs/>
                <w:sz w:val="16"/>
                <w:szCs w:val="16"/>
              </w:rPr>
              <w:t xml:space="preserve"> Percentage</w:t>
            </w:r>
            <w:r w:rsidR="00842773" w:rsidRPr="001313E3">
              <w:rPr>
                <w:iCs/>
                <w:sz w:val="16"/>
                <w:szCs w:val="16"/>
              </w:rPr>
              <w:t xml:space="preserve"> </w:t>
            </w:r>
            <w:r w:rsidR="00D8677B" w:rsidRPr="001313E3">
              <w:rPr>
                <w:iCs/>
                <w:sz w:val="16"/>
                <w:szCs w:val="16"/>
              </w:rPr>
              <w:t>of land</w:t>
            </w:r>
            <w:r w:rsidR="00842773" w:rsidRPr="001313E3">
              <w:rPr>
                <w:iCs/>
                <w:sz w:val="16"/>
                <w:szCs w:val="16"/>
              </w:rPr>
              <w:t xml:space="preserve"> brought under protected area management system.</w:t>
            </w:r>
          </w:p>
          <w:p w14:paraId="06A2BDBE" w14:textId="77777777" w:rsidR="00842773" w:rsidRPr="001313E3" w:rsidRDefault="00842773" w:rsidP="00532502">
            <w:pPr>
              <w:rPr>
                <w:iCs/>
                <w:sz w:val="16"/>
                <w:szCs w:val="16"/>
              </w:rPr>
            </w:pPr>
            <w:r w:rsidRPr="001313E3">
              <w:rPr>
                <w:iCs/>
                <w:sz w:val="16"/>
                <w:szCs w:val="16"/>
              </w:rPr>
              <w:t xml:space="preserve">Baseline (2014): </w:t>
            </w:r>
            <w:r w:rsidR="00707B9D" w:rsidRPr="001313E3">
              <w:rPr>
                <w:iCs/>
                <w:sz w:val="16"/>
                <w:szCs w:val="16"/>
              </w:rPr>
              <w:t>19</w:t>
            </w:r>
          </w:p>
          <w:p w14:paraId="2C55CC82" w14:textId="77777777" w:rsidR="00842773" w:rsidRPr="001313E3" w:rsidRDefault="00842773" w:rsidP="00D8677B">
            <w:pPr>
              <w:rPr>
                <w:b/>
                <w:bCs/>
                <w:color w:val="000000"/>
                <w:sz w:val="16"/>
                <w:szCs w:val="16"/>
              </w:rPr>
            </w:pPr>
            <w:r w:rsidRPr="001313E3">
              <w:rPr>
                <w:iCs/>
                <w:sz w:val="16"/>
                <w:szCs w:val="16"/>
              </w:rPr>
              <w:t xml:space="preserve">Target (2021):  </w:t>
            </w:r>
            <w:r w:rsidR="00D8677B" w:rsidRPr="001313E3">
              <w:rPr>
                <w:iCs/>
                <w:sz w:val="16"/>
                <w:szCs w:val="16"/>
              </w:rPr>
              <w:t>25</w:t>
            </w:r>
          </w:p>
        </w:tc>
        <w:tc>
          <w:tcPr>
            <w:tcW w:w="685" w:type="pct"/>
            <w:gridSpan w:val="2"/>
            <w:vMerge w:val="restart"/>
            <w:tcBorders>
              <w:top w:val="single" w:sz="4" w:space="0" w:color="auto"/>
              <w:left w:val="single" w:sz="4" w:space="0" w:color="auto"/>
              <w:bottom w:val="single" w:sz="4" w:space="0" w:color="auto"/>
              <w:right w:val="single" w:sz="4" w:space="0" w:color="auto"/>
            </w:tcBorders>
            <w:vAlign w:val="center"/>
          </w:tcPr>
          <w:p w14:paraId="729370B0" w14:textId="77777777" w:rsidR="00842773" w:rsidRPr="001313E3" w:rsidRDefault="00843CAB" w:rsidP="00532502">
            <w:pPr>
              <w:pStyle w:val="ColorfulList-Accent11"/>
              <w:ind w:left="0"/>
              <w:rPr>
                <w:iCs/>
                <w:sz w:val="16"/>
                <w:szCs w:val="16"/>
              </w:rPr>
            </w:pPr>
            <w:r w:rsidRPr="001313E3">
              <w:rPr>
                <w:iCs/>
                <w:sz w:val="16"/>
                <w:szCs w:val="16"/>
              </w:rPr>
              <w:lastRenderedPageBreak/>
              <w:t>African Parliamentary Index Reports</w:t>
            </w:r>
          </w:p>
          <w:p w14:paraId="1D570B7F" w14:textId="77777777" w:rsidR="00842773" w:rsidRPr="001313E3" w:rsidRDefault="00842773" w:rsidP="00532502">
            <w:pPr>
              <w:pStyle w:val="ColorfulList-Accent11"/>
              <w:ind w:left="0"/>
              <w:rPr>
                <w:iCs/>
                <w:sz w:val="16"/>
                <w:szCs w:val="16"/>
              </w:rPr>
            </w:pPr>
          </w:p>
          <w:p w14:paraId="2F60CED8" w14:textId="77777777" w:rsidR="00842773" w:rsidRPr="001313E3" w:rsidRDefault="00842773" w:rsidP="00532502">
            <w:pPr>
              <w:pStyle w:val="ColorfulList-Accent11"/>
              <w:ind w:left="0"/>
              <w:rPr>
                <w:iCs/>
                <w:sz w:val="16"/>
                <w:szCs w:val="16"/>
              </w:rPr>
            </w:pPr>
          </w:p>
          <w:p w14:paraId="2FEC07CA" w14:textId="77777777" w:rsidR="00842773" w:rsidRPr="001313E3" w:rsidRDefault="00842773" w:rsidP="00532502">
            <w:pPr>
              <w:pStyle w:val="ColorfulList-Accent11"/>
              <w:ind w:left="0"/>
              <w:rPr>
                <w:iCs/>
                <w:sz w:val="16"/>
                <w:szCs w:val="16"/>
              </w:rPr>
            </w:pPr>
          </w:p>
          <w:p w14:paraId="0CF3A9A0" w14:textId="77777777" w:rsidR="00842773" w:rsidRPr="001313E3" w:rsidRDefault="00842773" w:rsidP="00532502">
            <w:pPr>
              <w:pStyle w:val="ColorfulList-Accent11"/>
              <w:ind w:left="0"/>
              <w:rPr>
                <w:iCs/>
                <w:sz w:val="16"/>
                <w:szCs w:val="16"/>
              </w:rPr>
            </w:pPr>
            <w:r w:rsidRPr="001313E3">
              <w:rPr>
                <w:iCs/>
                <w:sz w:val="16"/>
                <w:szCs w:val="16"/>
              </w:rPr>
              <w:t>Electoral Commission of Zambia (ECZ) Reports</w:t>
            </w:r>
          </w:p>
          <w:p w14:paraId="7ABF1F69" w14:textId="77777777" w:rsidR="00842773" w:rsidRPr="001313E3" w:rsidRDefault="00842773" w:rsidP="00532502">
            <w:pPr>
              <w:pStyle w:val="ColorfulList-Accent11"/>
              <w:ind w:left="0"/>
              <w:rPr>
                <w:iCs/>
                <w:sz w:val="16"/>
                <w:szCs w:val="16"/>
              </w:rPr>
            </w:pPr>
          </w:p>
          <w:p w14:paraId="1124F981" w14:textId="77777777" w:rsidR="00842773" w:rsidRPr="001313E3" w:rsidRDefault="00842773" w:rsidP="00532502">
            <w:pPr>
              <w:pStyle w:val="ColorfulList-Accent11"/>
              <w:ind w:left="0"/>
              <w:rPr>
                <w:iCs/>
                <w:sz w:val="16"/>
                <w:szCs w:val="16"/>
              </w:rPr>
            </w:pPr>
          </w:p>
          <w:p w14:paraId="5284952A" w14:textId="77777777" w:rsidR="00842773" w:rsidRPr="001313E3" w:rsidRDefault="00842773" w:rsidP="00532502">
            <w:pPr>
              <w:pStyle w:val="ColorfulList-Accent11"/>
              <w:ind w:left="0"/>
              <w:rPr>
                <w:iCs/>
                <w:sz w:val="16"/>
                <w:szCs w:val="16"/>
              </w:rPr>
            </w:pPr>
          </w:p>
          <w:p w14:paraId="435B5B27" w14:textId="77777777" w:rsidR="00842773" w:rsidRPr="001313E3" w:rsidRDefault="00842773" w:rsidP="00532502">
            <w:pPr>
              <w:pStyle w:val="ColorfulList-Accent11"/>
              <w:ind w:left="0"/>
              <w:rPr>
                <w:iCs/>
                <w:sz w:val="16"/>
                <w:szCs w:val="16"/>
              </w:rPr>
            </w:pPr>
          </w:p>
          <w:p w14:paraId="22C4BA6A" w14:textId="77777777" w:rsidR="00842773" w:rsidRPr="001313E3" w:rsidRDefault="00842773" w:rsidP="00532502">
            <w:pPr>
              <w:pStyle w:val="ColorfulList-Accent11"/>
              <w:ind w:left="0"/>
              <w:rPr>
                <w:iCs/>
                <w:sz w:val="16"/>
                <w:szCs w:val="16"/>
              </w:rPr>
            </w:pPr>
          </w:p>
          <w:p w14:paraId="703046C7" w14:textId="77777777" w:rsidR="00842773" w:rsidRPr="001313E3" w:rsidRDefault="00842773" w:rsidP="00532502">
            <w:pPr>
              <w:pStyle w:val="ColorfulList-Accent11"/>
              <w:ind w:left="0"/>
              <w:rPr>
                <w:iCs/>
                <w:sz w:val="16"/>
                <w:szCs w:val="16"/>
              </w:rPr>
            </w:pPr>
          </w:p>
          <w:p w14:paraId="07182B12" w14:textId="77777777" w:rsidR="00842773" w:rsidRPr="001313E3" w:rsidRDefault="00842773" w:rsidP="00532502">
            <w:pPr>
              <w:pStyle w:val="ColorfulList-Accent11"/>
              <w:ind w:left="0"/>
              <w:rPr>
                <w:iCs/>
                <w:sz w:val="16"/>
                <w:szCs w:val="16"/>
              </w:rPr>
            </w:pPr>
          </w:p>
          <w:p w14:paraId="4538FEDF" w14:textId="77777777" w:rsidR="00842773" w:rsidRPr="001313E3" w:rsidRDefault="00842773" w:rsidP="00532502">
            <w:pPr>
              <w:pStyle w:val="ColorfulList-Accent11"/>
              <w:ind w:left="0"/>
              <w:rPr>
                <w:iCs/>
                <w:sz w:val="16"/>
                <w:szCs w:val="16"/>
              </w:rPr>
            </w:pPr>
          </w:p>
          <w:p w14:paraId="369686BB" w14:textId="77777777" w:rsidR="00842773" w:rsidRPr="001313E3" w:rsidRDefault="00842773" w:rsidP="00532502">
            <w:pPr>
              <w:pStyle w:val="ColorfulList-Accent11"/>
              <w:ind w:left="360"/>
              <w:rPr>
                <w:iCs/>
                <w:sz w:val="16"/>
                <w:szCs w:val="16"/>
              </w:rPr>
            </w:pPr>
          </w:p>
          <w:p w14:paraId="47BB85FB" w14:textId="77777777" w:rsidR="00842773" w:rsidRPr="001313E3" w:rsidRDefault="00842773" w:rsidP="00532502">
            <w:pPr>
              <w:pStyle w:val="ColorfulList-Accent11"/>
              <w:ind w:left="360"/>
              <w:rPr>
                <w:iCs/>
                <w:sz w:val="16"/>
                <w:szCs w:val="16"/>
              </w:rPr>
            </w:pPr>
          </w:p>
          <w:p w14:paraId="000FC40E" w14:textId="77777777" w:rsidR="00842773" w:rsidRPr="001313E3" w:rsidRDefault="00842773" w:rsidP="00532502">
            <w:pPr>
              <w:pStyle w:val="ColorfulList-Accent11"/>
              <w:ind w:left="0"/>
              <w:rPr>
                <w:iCs/>
                <w:sz w:val="16"/>
                <w:szCs w:val="16"/>
              </w:rPr>
            </w:pPr>
            <w:r w:rsidRPr="001313E3">
              <w:rPr>
                <w:iCs/>
                <w:sz w:val="16"/>
                <w:szCs w:val="16"/>
              </w:rPr>
              <w:t>Mo-Ibrahim Index Reports</w:t>
            </w:r>
          </w:p>
          <w:p w14:paraId="77E106B4" w14:textId="77777777" w:rsidR="00842773" w:rsidRPr="001313E3" w:rsidRDefault="00842773" w:rsidP="00532502">
            <w:pPr>
              <w:pStyle w:val="ColorfulList-Accent11"/>
              <w:rPr>
                <w:iCs/>
                <w:sz w:val="16"/>
                <w:szCs w:val="16"/>
              </w:rPr>
            </w:pPr>
          </w:p>
          <w:p w14:paraId="0ECB1B62" w14:textId="77777777" w:rsidR="00842773" w:rsidRPr="001313E3" w:rsidRDefault="00842773" w:rsidP="00532502">
            <w:pPr>
              <w:pStyle w:val="ColorfulList-Accent11"/>
              <w:rPr>
                <w:iCs/>
                <w:sz w:val="16"/>
                <w:szCs w:val="16"/>
              </w:rPr>
            </w:pPr>
          </w:p>
          <w:p w14:paraId="20E646C2" w14:textId="77777777" w:rsidR="00842773" w:rsidRPr="001313E3" w:rsidRDefault="00842773" w:rsidP="00532502">
            <w:pPr>
              <w:pStyle w:val="ColorfulList-Accent11"/>
              <w:rPr>
                <w:iCs/>
                <w:sz w:val="16"/>
                <w:szCs w:val="16"/>
              </w:rPr>
            </w:pPr>
          </w:p>
          <w:p w14:paraId="3D35573E" w14:textId="77777777" w:rsidR="00842773" w:rsidRPr="001313E3" w:rsidRDefault="00842773" w:rsidP="00532502">
            <w:pPr>
              <w:pStyle w:val="ColorfulList-Accent11"/>
              <w:rPr>
                <w:iCs/>
                <w:sz w:val="16"/>
                <w:szCs w:val="16"/>
              </w:rPr>
            </w:pPr>
          </w:p>
          <w:p w14:paraId="4260CC66" w14:textId="77777777" w:rsidR="00842773" w:rsidRPr="001313E3" w:rsidRDefault="00842773" w:rsidP="00532502">
            <w:pPr>
              <w:pStyle w:val="ColorfulList-Accent11"/>
              <w:ind w:left="0"/>
              <w:rPr>
                <w:iCs/>
                <w:sz w:val="16"/>
                <w:szCs w:val="16"/>
              </w:rPr>
            </w:pPr>
            <w:r w:rsidRPr="001313E3">
              <w:rPr>
                <w:iCs/>
                <w:sz w:val="16"/>
                <w:szCs w:val="16"/>
              </w:rPr>
              <w:t>Transparency International CPI Reports</w:t>
            </w:r>
          </w:p>
          <w:p w14:paraId="168E4DF5" w14:textId="77777777" w:rsidR="00842773" w:rsidRPr="001313E3" w:rsidRDefault="00842773" w:rsidP="00532502">
            <w:pPr>
              <w:pStyle w:val="ColorfulList-Accent11"/>
              <w:rPr>
                <w:iCs/>
                <w:sz w:val="16"/>
                <w:szCs w:val="16"/>
              </w:rPr>
            </w:pPr>
          </w:p>
          <w:p w14:paraId="6C516EDE" w14:textId="77777777" w:rsidR="00842773" w:rsidRPr="001313E3" w:rsidRDefault="00842773" w:rsidP="00532502">
            <w:pPr>
              <w:pStyle w:val="ColorfulList-Accent11"/>
              <w:rPr>
                <w:iCs/>
                <w:sz w:val="16"/>
                <w:szCs w:val="16"/>
              </w:rPr>
            </w:pPr>
          </w:p>
          <w:p w14:paraId="0B1723B4" w14:textId="77777777" w:rsidR="00842773" w:rsidRPr="001313E3" w:rsidRDefault="00842773" w:rsidP="00532502">
            <w:pPr>
              <w:pStyle w:val="ColorfulList-Accent11"/>
              <w:rPr>
                <w:iCs/>
                <w:sz w:val="16"/>
                <w:szCs w:val="16"/>
              </w:rPr>
            </w:pPr>
          </w:p>
          <w:p w14:paraId="11C156FB" w14:textId="77777777" w:rsidR="00842773" w:rsidRPr="001313E3" w:rsidRDefault="00842773" w:rsidP="00532502">
            <w:pPr>
              <w:pStyle w:val="ColorfulList-Accent11"/>
              <w:rPr>
                <w:iCs/>
                <w:sz w:val="16"/>
                <w:szCs w:val="16"/>
              </w:rPr>
            </w:pPr>
          </w:p>
          <w:p w14:paraId="4132A391" w14:textId="77777777" w:rsidR="00842773" w:rsidRPr="001313E3" w:rsidRDefault="00842773" w:rsidP="00532502">
            <w:pPr>
              <w:pStyle w:val="ColorfulList-Accent11"/>
              <w:rPr>
                <w:iCs/>
                <w:sz w:val="16"/>
                <w:szCs w:val="16"/>
              </w:rPr>
            </w:pPr>
          </w:p>
          <w:p w14:paraId="4EB9B6FC" w14:textId="77777777" w:rsidR="00842773" w:rsidRPr="001313E3" w:rsidRDefault="00842773" w:rsidP="00532502">
            <w:pPr>
              <w:pStyle w:val="ColorfulList-Accent11"/>
              <w:rPr>
                <w:iCs/>
                <w:sz w:val="16"/>
                <w:szCs w:val="16"/>
              </w:rPr>
            </w:pPr>
          </w:p>
          <w:p w14:paraId="45ADBC0F" w14:textId="77777777" w:rsidR="00842773" w:rsidRPr="001313E3" w:rsidRDefault="00842773" w:rsidP="00532502">
            <w:pPr>
              <w:pStyle w:val="ColorfulList-Accent11"/>
              <w:rPr>
                <w:iCs/>
                <w:sz w:val="16"/>
                <w:szCs w:val="16"/>
              </w:rPr>
            </w:pPr>
          </w:p>
          <w:p w14:paraId="35147579" w14:textId="77777777" w:rsidR="00842773" w:rsidRPr="001313E3" w:rsidRDefault="00842773" w:rsidP="00532502">
            <w:pPr>
              <w:pStyle w:val="ColorfulList-Accent11"/>
              <w:rPr>
                <w:iCs/>
                <w:sz w:val="16"/>
                <w:szCs w:val="16"/>
              </w:rPr>
            </w:pPr>
          </w:p>
          <w:p w14:paraId="6CEB7D9E" w14:textId="77777777" w:rsidR="00842773" w:rsidRPr="001313E3" w:rsidRDefault="00842773" w:rsidP="00532502">
            <w:pPr>
              <w:pStyle w:val="ColorfulList-Accent11"/>
              <w:rPr>
                <w:iCs/>
                <w:sz w:val="16"/>
                <w:szCs w:val="16"/>
              </w:rPr>
            </w:pPr>
          </w:p>
          <w:p w14:paraId="213F0E5C" w14:textId="77777777" w:rsidR="00842773" w:rsidRPr="001313E3" w:rsidRDefault="00842773" w:rsidP="00532502">
            <w:pPr>
              <w:pStyle w:val="ColorfulList-Accent11"/>
              <w:rPr>
                <w:iCs/>
                <w:sz w:val="16"/>
                <w:szCs w:val="16"/>
              </w:rPr>
            </w:pPr>
          </w:p>
          <w:p w14:paraId="0B16B1EC" w14:textId="77777777" w:rsidR="00842773" w:rsidRPr="001313E3" w:rsidRDefault="00842773" w:rsidP="00532502">
            <w:pPr>
              <w:pStyle w:val="ColorfulList-Accent11"/>
              <w:rPr>
                <w:iCs/>
                <w:sz w:val="16"/>
                <w:szCs w:val="16"/>
              </w:rPr>
            </w:pPr>
          </w:p>
          <w:p w14:paraId="00B45DB1" w14:textId="77777777" w:rsidR="00842773" w:rsidRPr="001313E3" w:rsidRDefault="00842773" w:rsidP="00532502">
            <w:pPr>
              <w:pStyle w:val="ColorfulList-Accent11"/>
              <w:rPr>
                <w:iCs/>
                <w:sz w:val="16"/>
                <w:szCs w:val="16"/>
              </w:rPr>
            </w:pPr>
          </w:p>
          <w:p w14:paraId="227AF032" w14:textId="77777777" w:rsidR="00E149E7" w:rsidRPr="001313E3" w:rsidRDefault="00E149E7" w:rsidP="00532502">
            <w:pPr>
              <w:pStyle w:val="ColorfulList-Accent11"/>
              <w:rPr>
                <w:iCs/>
                <w:sz w:val="16"/>
                <w:szCs w:val="16"/>
              </w:rPr>
            </w:pPr>
          </w:p>
          <w:p w14:paraId="615D7E09" w14:textId="77777777" w:rsidR="00842773" w:rsidRPr="001313E3" w:rsidRDefault="00842773" w:rsidP="00532502">
            <w:pPr>
              <w:pStyle w:val="ColorfulList-Accent11"/>
              <w:ind w:left="0"/>
              <w:rPr>
                <w:iCs/>
                <w:sz w:val="16"/>
                <w:szCs w:val="16"/>
              </w:rPr>
            </w:pPr>
            <w:r w:rsidRPr="001313E3">
              <w:rPr>
                <w:iCs/>
                <w:sz w:val="16"/>
                <w:szCs w:val="16"/>
              </w:rPr>
              <w:t>Mo-Ibrahim Index Reports</w:t>
            </w:r>
          </w:p>
          <w:p w14:paraId="5AB91CBC" w14:textId="77777777" w:rsidR="00842773" w:rsidRPr="001313E3" w:rsidRDefault="00842773" w:rsidP="00532502">
            <w:pPr>
              <w:pStyle w:val="ColorfulList-Accent11"/>
              <w:rPr>
                <w:iCs/>
                <w:sz w:val="16"/>
                <w:szCs w:val="16"/>
              </w:rPr>
            </w:pPr>
          </w:p>
          <w:p w14:paraId="0A904B64" w14:textId="77777777" w:rsidR="00842773" w:rsidRPr="001313E3" w:rsidRDefault="00842773" w:rsidP="00532502">
            <w:pPr>
              <w:pStyle w:val="ColorfulList-Accent11"/>
              <w:rPr>
                <w:iCs/>
                <w:sz w:val="16"/>
                <w:szCs w:val="16"/>
              </w:rPr>
            </w:pPr>
          </w:p>
          <w:p w14:paraId="5CA8EECD" w14:textId="77777777" w:rsidR="00842773" w:rsidRPr="001313E3" w:rsidRDefault="00842773" w:rsidP="00532502">
            <w:pPr>
              <w:rPr>
                <w:bCs/>
                <w:color w:val="000000"/>
                <w:sz w:val="16"/>
                <w:szCs w:val="16"/>
              </w:rPr>
            </w:pPr>
          </w:p>
          <w:p w14:paraId="57DE2682" w14:textId="77777777" w:rsidR="00842773" w:rsidRPr="001313E3" w:rsidRDefault="00842773" w:rsidP="00532502">
            <w:pPr>
              <w:rPr>
                <w:bCs/>
                <w:color w:val="000000"/>
                <w:sz w:val="16"/>
                <w:szCs w:val="16"/>
              </w:rPr>
            </w:pPr>
          </w:p>
          <w:p w14:paraId="0078229F" w14:textId="77777777" w:rsidR="00842773" w:rsidRPr="001313E3" w:rsidRDefault="00842773" w:rsidP="00532502">
            <w:pPr>
              <w:rPr>
                <w:bCs/>
                <w:color w:val="000000"/>
                <w:sz w:val="16"/>
                <w:szCs w:val="16"/>
              </w:rPr>
            </w:pPr>
          </w:p>
          <w:p w14:paraId="1BD4D5A0" w14:textId="77777777" w:rsidR="00842773" w:rsidRPr="001313E3" w:rsidRDefault="00842773" w:rsidP="00532502">
            <w:pPr>
              <w:rPr>
                <w:bCs/>
                <w:color w:val="000000"/>
                <w:sz w:val="16"/>
                <w:szCs w:val="16"/>
              </w:rPr>
            </w:pPr>
          </w:p>
          <w:p w14:paraId="4F1426E1" w14:textId="77777777" w:rsidR="00842773" w:rsidRPr="001313E3" w:rsidRDefault="00842773" w:rsidP="00532502">
            <w:pPr>
              <w:rPr>
                <w:bCs/>
                <w:color w:val="000000"/>
                <w:sz w:val="16"/>
                <w:szCs w:val="16"/>
              </w:rPr>
            </w:pPr>
          </w:p>
          <w:p w14:paraId="53245D37" w14:textId="77777777" w:rsidR="00842773" w:rsidRPr="001313E3" w:rsidRDefault="00842773" w:rsidP="00532502">
            <w:pPr>
              <w:rPr>
                <w:bCs/>
                <w:color w:val="000000"/>
                <w:sz w:val="16"/>
                <w:szCs w:val="16"/>
              </w:rPr>
            </w:pPr>
            <w:r w:rsidRPr="001313E3">
              <w:rPr>
                <w:bCs/>
                <w:color w:val="000000"/>
                <w:sz w:val="16"/>
                <w:szCs w:val="16"/>
              </w:rPr>
              <w:t>Integrated Land Use Assessments, State of the Environment Report, MLNREP Reports,</w:t>
            </w:r>
          </w:p>
          <w:p w14:paraId="3518F67A" w14:textId="77777777" w:rsidR="00842773" w:rsidRPr="001313E3" w:rsidRDefault="00842773" w:rsidP="00532502">
            <w:pPr>
              <w:rPr>
                <w:bCs/>
                <w:color w:val="000000"/>
                <w:sz w:val="16"/>
                <w:szCs w:val="16"/>
              </w:rPr>
            </w:pPr>
          </w:p>
          <w:p w14:paraId="19B46497" w14:textId="77777777" w:rsidR="00842773" w:rsidRPr="001313E3" w:rsidRDefault="00842773" w:rsidP="00532502">
            <w:pPr>
              <w:rPr>
                <w:bCs/>
                <w:color w:val="000000"/>
                <w:sz w:val="16"/>
                <w:szCs w:val="16"/>
              </w:rPr>
            </w:pPr>
          </w:p>
          <w:p w14:paraId="3883A629" w14:textId="77777777" w:rsidR="00842773" w:rsidRPr="001313E3" w:rsidRDefault="00842773" w:rsidP="00532502">
            <w:pPr>
              <w:rPr>
                <w:color w:val="000000"/>
                <w:sz w:val="16"/>
                <w:szCs w:val="16"/>
              </w:rPr>
            </w:pPr>
          </w:p>
        </w:tc>
        <w:tc>
          <w:tcPr>
            <w:tcW w:w="2169" w:type="pct"/>
            <w:gridSpan w:val="2"/>
            <w:vMerge w:val="restart"/>
            <w:tcBorders>
              <w:top w:val="single" w:sz="8" w:space="0" w:color="000000"/>
              <w:left w:val="single" w:sz="4" w:space="0" w:color="auto"/>
              <w:right w:val="single" w:sz="8" w:space="0" w:color="000000"/>
            </w:tcBorders>
            <w:tcMar>
              <w:top w:w="72" w:type="dxa"/>
              <w:left w:w="144" w:type="dxa"/>
              <w:bottom w:w="72" w:type="dxa"/>
              <w:right w:w="144" w:type="dxa"/>
            </w:tcMar>
          </w:tcPr>
          <w:p w14:paraId="2D8A3A4D" w14:textId="77777777" w:rsidR="00842773" w:rsidRPr="004D5F0A" w:rsidRDefault="00842773" w:rsidP="00532502">
            <w:pPr>
              <w:rPr>
                <w:b/>
                <w:bCs/>
                <w:color w:val="000000"/>
                <w:sz w:val="16"/>
                <w:szCs w:val="16"/>
              </w:rPr>
            </w:pPr>
            <w:r w:rsidRPr="004D5F0A">
              <w:rPr>
                <w:b/>
                <w:bCs/>
                <w:color w:val="000000"/>
                <w:sz w:val="16"/>
                <w:szCs w:val="16"/>
              </w:rPr>
              <w:lastRenderedPageBreak/>
              <w:t xml:space="preserve">Output 3.1. </w:t>
            </w:r>
            <w:r w:rsidRPr="004D5F0A">
              <w:rPr>
                <w:bCs/>
                <w:color w:val="000000"/>
                <w:sz w:val="16"/>
                <w:szCs w:val="16"/>
              </w:rPr>
              <w:t>Parliament, constitution making body and Electoral Commission of Zambia have developed strategies, laws, systems and institutional mechanisms to enable then to perform core functions for improved accountability, participation and representation.</w:t>
            </w:r>
            <w:r w:rsidRPr="004D5F0A">
              <w:rPr>
                <w:b/>
                <w:bCs/>
                <w:color w:val="000000"/>
                <w:sz w:val="16"/>
                <w:szCs w:val="16"/>
              </w:rPr>
              <w:t xml:space="preserve"> </w:t>
            </w:r>
          </w:p>
          <w:p w14:paraId="2AEB79C9" w14:textId="77777777" w:rsidR="00842773" w:rsidRPr="004D5F0A" w:rsidRDefault="00842773" w:rsidP="00532502">
            <w:pPr>
              <w:rPr>
                <w:b/>
                <w:bCs/>
                <w:color w:val="000000"/>
                <w:sz w:val="16"/>
                <w:szCs w:val="16"/>
              </w:rPr>
            </w:pPr>
          </w:p>
          <w:p w14:paraId="26ABD762" w14:textId="77777777" w:rsidR="00842773" w:rsidRPr="004D5F0A" w:rsidRDefault="00842773" w:rsidP="00532502">
            <w:pPr>
              <w:rPr>
                <w:bCs/>
                <w:color w:val="000000"/>
                <w:sz w:val="16"/>
                <w:szCs w:val="16"/>
              </w:rPr>
            </w:pPr>
            <w:r w:rsidRPr="004D5F0A">
              <w:rPr>
                <w:bCs/>
                <w:color w:val="000000"/>
                <w:sz w:val="16"/>
                <w:szCs w:val="16"/>
              </w:rPr>
              <w:t>Indicator: Percentage of the recommendations of the Accounts Committee of the National Assembly that have been implemented.</w:t>
            </w:r>
          </w:p>
          <w:p w14:paraId="29728965" w14:textId="77777777" w:rsidR="00842773" w:rsidRPr="004D5F0A" w:rsidRDefault="00842773" w:rsidP="00532502">
            <w:pPr>
              <w:rPr>
                <w:bCs/>
                <w:color w:val="000000"/>
                <w:sz w:val="16"/>
                <w:szCs w:val="16"/>
              </w:rPr>
            </w:pPr>
            <w:r w:rsidRPr="004D5F0A">
              <w:rPr>
                <w:bCs/>
                <w:color w:val="000000"/>
                <w:sz w:val="16"/>
                <w:szCs w:val="16"/>
              </w:rPr>
              <w:t xml:space="preserve">Baseline (2014): </w:t>
            </w:r>
            <w:r w:rsidR="00707B9D">
              <w:rPr>
                <w:bCs/>
                <w:color w:val="000000"/>
                <w:sz w:val="16"/>
                <w:szCs w:val="16"/>
              </w:rPr>
              <w:t>60</w:t>
            </w:r>
          </w:p>
          <w:p w14:paraId="2A0DA369" w14:textId="77777777" w:rsidR="00842773" w:rsidRPr="004D5F0A" w:rsidRDefault="00842773" w:rsidP="00532502">
            <w:pPr>
              <w:rPr>
                <w:bCs/>
                <w:color w:val="000000"/>
                <w:sz w:val="16"/>
                <w:szCs w:val="16"/>
              </w:rPr>
            </w:pPr>
            <w:r w:rsidRPr="004D5F0A">
              <w:rPr>
                <w:bCs/>
                <w:color w:val="000000"/>
                <w:sz w:val="16"/>
                <w:szCs w:val="16"/>
              </w:rPr>
              <w:t xml:space="preserve">Target (2021): </w:t>
            </w:r>
            <w:r w:rsidR="00707B9D">
              <w:rPr>
                <w:bCs/>
                <w:color w:val="000000"/>
                <w:sz w:val="16"/>
                <w:szCs w:val="16"/>
              </w:rPr>
              <w:t>75</w:t>
            </w:r>
          </w:p>
          <w:p w14:paraId="6842C411" w14:textId="77777777" w:rsidR="00842773" w:rsidRPr="004D5F0A" w:rsidRDefault="00842773" w:rsidP="00532502">
            <w:pPr>
              <w:rPr>
                <w:bCs/>
                <w:color w:val="000000"/>
                <w:sz w:val="16"/>
                <w:szCs w:val="16"/>
              </w:rPr>
            </w:pPr>
          </w:p>
          <w:p w14:paraId="6468A09B" w14:textId="77777777" w:rsidR="00842773" w:rsidRPr="004D5F0A" w:rsidRDefault="00842773" w:rsidP="00532502">
            <w:pPr>
              <w:rPr>
                <w:sz w:val="16"/>
                <w:szCs w:val="16"/>
                <w:lang w:val="en-US"/>
              </w:rPr>
            </w:pPr>
            <w:r w:rsidRPr="004D5F0A">
              <w:rPr>
                <w:b/>
                <w:sz w:val="16"/>
                <w:szCs w:val="16"/>
                <w:lang w:val="en-US"/>
              </w:rPr>
              <w:t>Indicator:</w:t>
            </w:r>
            <w:r w:rsidRPr="004D5F0A">
              <w:rPr>
                <w:sz w:val="16"/>
                <w:szCs w:val="16"/>
                <w:lang w:val="en-US"/>
              </w:rPr>
              <w:t xml:space="preserve"> Percentage  of eligible voters registered as voters, disaggregated by gender and disability</w:t>
            </w:r>
          </w:p>
          <w:p w14:paraId="1CE651BF" w14:textId="77777777" w:rsidR="00842773" w:rsidRPr="004D5F0A" w:rsidRDefault="00842773" w:rsidP="00532502">
            <w:pPr>
              <w:rPr>
                <w:sz w:val="16"/>
                <w:szCs w:val="16"/>
                <w:lang w:val="en-US"/>
              </w:rPr>
            </w:pPr>
            <w:r w:rsidRPr="004D5F0A">
              <w:rPr>
                <w:sz w:val="16"/>
                <w:szCs w:val="16"/>
                <w:lang w:val="en-US"/>
              </w:rPr>
              <w:t>Baseline (2011):</w:t>
            </w:r>
            <w:r w:rsidRPr="004D5F0A">
              <w:rPr>
                <w:b/>
                <w:sz w:val="16"/>
                <w:szCs w:val="16"/>
                <w:lang w:val="en-US"/>
              </w:rPr>
              <w:t xml:space="preserve"> </w:t>
            </w:r>
            <w:r w:rsidRPr="004D5F0A">
              <w:rPr>
                <w:sz w:val="16"/>
                <w:szCs w:val="16"/>
                <w:lang w:val="en-US"/>
              </w:rPr>
              <w:t>83</w:t>
            </w:r>
          </w:p>
          <w:p w14:paraId="4ADAD464" w14:textId="77777777" w:rsidR="00842773" w:rsidRPr="004D5F0A" w:rsidRDefault="00842773" w:rsidP="00532502">
            <w:pPr>
              <w:rPr>
                <w:bCs/>
                <w:color w:val="000000"/>
                <w:sz w:val="16"/>
                <w:szCs w:val="16"/>
              </w:rPr>
            </w:pPr>
            <w:r w:rsidRPr="004D5F0A">
              <w:rPr>
                <w:sz w:val="16"/>
                <w:szCs w:val="16"/>
                <w:lang w:val="en-US"/>
              </w:rPr>
              <w:t>Target</w:t>
            </w:r>
            <w:r w:rsidRPr="004D5F0A">
              <w:rPr>
                <w:b/>
                <w:sz w:val="16"/>
                <w:szCs w:val="16"/>
                <w:lang w:val="en-US"/>
              </w:rPr>
              <w:t xml:space="preserve"> </w:t>
            </w:r>
            <w:r w:rsidRPr="004D5F0A">
              <w:rPr>
                <w:sz w:val="16"/>
                <w:szCs w:val="16"/>
                <w:lang w:val="en-US"/>
              </w:rPr>
              <w:t xml:space="preserve">(2021): </w:t>
            </w:r>
            <w:r w:rsidR="00D8677B" w:rsidRPr="004D5F0A">
              <w:rPr>
                <w:sz w:val="16"/>
                <w:szCs w:val="16"/>
                <w:lang w:val="en-US"/>
              </w:rPr>
              <w:t xml:space="preserve">   85</w:t>
            </w:r>
          </w:p>
          <w:p w14:paraId="4812EF86" w14:textId="77777777" w:rsidR="00842773" w:rsidRPr="004D5F0A" w:rsidRDefault="00842773" w:rsidP="00532502">
            <w:pPr>
              <w:rPr>
                <w:bCs/>
                <w:color w:val="000000"/>
                <w:sz w:val="16"/>
                <w:szCs w:val="16"/>
              </w:rPr>
            </w:pPr>
          </w:p>
          <w:p w14:paraId="197BB070" w14:textId="77777777" w:rsidR="00842773" w:rsidRPr="004D5F0A" w:rsidRDefault="00842773" w:rsidP="00532502">
            <w:pPr>
              <w:rPr>
                <w:bCs/>
                <w:color w:val="000000"/>
                <w:sz w:val="16"/>
                <w:szCs w:val="16"/>
              </w:rPr>
            </w:pPr>
            <w:r w:rsidRPr="004D5F0A">
              <w:rPr>
                <w:b/>
                <w:bCs/>
                <w:color w:val="000000"/>
                <w:sz w:val="16"/>
                <w:szCs w:val="16"/>
              </w:rPr>
              <w:t xml:space="preserve">Data Source: </w:t>
            </w:r>
            <w:r w:rsidRPr="004D5F0A">
              <w:rPr>
                <w:bCs/>
                <w:color w:val="000000"/>
                <w:sz w:val="16"/>
                <w:szCs w:val="16"/>
              </w:rPr>
              <w:t xml:space="preserve">National Assembly of Zambia, MoJ, Constitution Making Bodies  and ECZ Reports </w:t>
            </w:r>
          </w:p>
          <w:p w14:paraId="392C7A7A" w14:textId="77777777" w:rsidR="00842773" w:rsidRPr="004D5F0A" w:rsidRDefault="00842773" w:rsidP="00532502">
            <w:pPr>
              <w:rPr>
                <w:b/>
                <w:bCs/>
                <w:color w:val="000000"/>
                <w:sz w:val="16"/>
                <w:szCs w:val="16"/>
              </w:rPr>
            </w:pPr>
            <w:r w:rsidRPr="004D5F0A">
              <w:rPr>
                <w:b/>
                <w:bCs/>
                <w:color w:val="000000"/>
                <w:sz w:val="16"/>
                <w:szCs w:val="16"/>
              </w:rPr>
              <w:t xml:space="preserve">Frequency:  </w:t>
            </w:r>
            <w:r w:rsidRPr="004D5F0A">
              <w:rPr>
                <w:bCs/>
                <w:color w:val="000000"/>
                <w:sz w:val="16"/>
                <w:szCs w:val="16"/>
              </w:rPr>
              <w:t>Annual</w:t>
            </w:r>
          </w:p>
        </w:tc>
        <w:tc>
          <w:tcPr>
            <w:tcW w:w="627" w:type="pct"/>
            <w:vMerge w:val="restart"/>
            <w:tcBorders>
              <w:top w:val="single" w:sz="8" w:space="0" w:color="000000"/>
              <w:left w:val="single" w:sz="8" w:space="0" w:color="000000"/>
              <w:right w:val="single" w:sz="8" w:space="0" w:color="000000"/>
            </w:tcBorders>
          </w:tcPr>
          <w:p w14:paraId="00C4A214" w14:textId="7D1B709B" w:rsidR="001313E3" w:rsidRDefault="00842773" w:rsidP="00532502">
            <w:pPr>
              <w:rPr>
                <w:iCs/>
                <w:color w:val="000000"/>
                <w:sz w:val="16"/>
                <w:szCs w:val="16"/>
              </w:rPr>
            </w:pPr>
            <w:r w:rsidRPr="007A2D99">
              <w:rPr>
                <w:iCs/>
                <w:color w:val="000000"/>
                <w:sz w:val="16"/>
                <w:szCs w:val="16"/>
              </w:rPr>
              <w:t>Cabinet Office</w:t>
            </w:r>
            <w:r w:rsidR="001313E3">
              <w:rPr>
                <w:iCs/>
                <w:color w:val="000000"/>
                <w:sz w:val="16"/>
                <w:szCs w:val="16"/>
              </w:rPr>
              <w:t>;</w:t>
            </w:r>
          </w:p>
          <w:p w14:paraId="773B1108" w14:textId="4D2E1427" w:rsidR="001313E3" w:rsidRDefault="001313E3" w:rsidP="00532502">
            <w:pPr>
              <w:rPr>
                <w:iCs/>
                <w:color w:val="000000"/>
                <w:sz w:val="16"/>
                <w:szCs w:val="16"/>
              </w:rPr>
            </w:pPr>
            <w:r>
              <w:rPr>
                <w:iCs/>
                <w:color w:val="000000"/>
                <w:sz w:val="16"/>
                <w:szCs w:val="16"/>
              </w:rPr>
              <w:t>p</w:t>
            </w:r>
            <w:r w:rsidRPr="007A2D99">
              <w:rPr>
                <w:iCs/>
                <w:color w:val="000000"/>
                <w:sz w:val="16"/>
                <w:szCs w:val="16"/>
              </w:rPr>
              <w:t xml:space="preserve">olitical </w:t>
            </w:r>
            <w:r>
              <w:rPr>
                <w:iCs/>
                <w:color w:val="000000"/>
                <w:sz w:val="16"/>
                <w:szCs w:val="16"/>
              </w:rPr>
              <w:t>p</w:t>
            </w:r>
            <w:r w:rsidRPr="007A2D99">
              <w:rPr>
                <w:iCs/>
                <w:color w:val="000000"/>
                <w:sz w:val="16"/>
                <w:szCs w:val="16"/>
              </w:rPr>
              <w:t>arties</w:t>
            </w:r>
            <w:r>
              <w:rPr>
                <w:iCs/>
                <w:color w:val="000000"/>
                <w:sz w:val="16"/>
                <w:szCs w:val="16"/>
              </w:rPr>
              <w:t>;</w:t>
            </w:r>
            <w:r w:rsidRPr="007A2D99">
              <w:rPr>
                <w:iCs/>
                <w:color w:val="000000"/>
                <w:sz w:val="16"/>
                <w:szCs w:val="16"/>
              </w:rPr>
              <w:t xml:space="preserve"> </w:t>
            </w:r>
            <w:r w:rsidR="00842773" w:rsidRPr="007A2D99">
              <w:rPr>
                <w:iCs/>
                <w:color w:val="000000"/>
                <w:sz w:val="16"/>
                <w:szCs w:val="16"/>
              </w:rPr>
              <w:t>Ministries of Justice &amp; Gender</w:t>
            </w:r>
            <w:r w:rsidR="0052463A">
              <w:rPr>
                <w:iCs/>
                <w:color w:val="000000"/>
                <w:sz w:val="16"/>
                <w:szCs w:val="16"/>
              </w:rPr>
              <w:t xml:space="preserve"> and Child Development</w:t>
            </w:r>
            <w:r>
              <w:rPr>
                <w:iCs/>
                <w:color w:val="000000"/>
                <w:sz w:val="16"/>
                <w:szCs w:val="16"/>
              </w:rPr>
              <w:t>;</w:t>
            </w:r>
            <w:r w:rsidRPr="007A2D99">
              <w:rPr>
                <w:iCs/>
                <w:color w:val="000000"/>
                <w:sz w:val="16"/>
                <w:szCs w:val="16"/>
              </w:rPr>
              <w:t xml:space="preserve"> </w:t>
            </w:r>
          </w:p>
          <w:p w14:paraId="23B9894F" w14:textId="131FFCB3" w:rsidR="001313E3" w:rsidRDefault="00842773" w:rsidP="00532502">
            <w:pPr>
              <w:rPr>
                <w:iCs/>
                <w:color w:val="000000"/>
                <w:sz w:val="16"/>
                <w:szCs w:val="16"/>
              </w:rPr>
            </w:pPr>
            <w:r w:rsidRPr="007A2D99">
              <w:rPr>
                <w:iCs/>
                <w:color w:val="000000"/>
                <w:sz w:val="16"/>
                <w:szCs w:val="16"/>
              </w:rPr>
              <w:t>CSO</w:t>
            </w:r>
            <w:r w:rsidR="001313E3">
              <w:rPr>
                <w:iCs/>
                <w:color w:val="000000"/>
                <w:sz w:val="16"/>
                <w:szCs w:val="16"/>
              </w:rPr>
              <w:t>s;</w:t>
            </w:r>
            <w:r w:rsidR="001313E3" w:rsidRPr="007A2D99">
              <w:rPr>
                <w:iCs/>
                <w:color w:val="000000"/>
                <w:sz w:val="16"/>
                <w:szCs w:val="16"/>
              </w:rPr>
              <w:t xml:space="preserve"> </w:t>
            </w:r>
          </w:p>
          <w:p w14:paraId="7A63603A" w14:textId="1FD55F36" w:rsidR="00842773" w:rsidRPr="007A2D99" w:rsidRDefault="007877A7" w:rsidP="00532502">
            <w:pPr>
              <w:rPr>
                <w:iCs/>
                <w:color w:val="000000"/>
                <w:sz w:val="16"/>
                <w:szCs w:val="16"/>
              </w:rPr>
            </w:pPr>
            <w:r>
              <w:rPr>
                <w:iCs/>
                <w:color w:val="000000"/>
                <w:sz w:val="16"/>
                <w:szCs w:val="16"/>
              </w:rPr>
              <w:t>National Assembly of Zambia</w:t>
            </w:r>
          </w:p>
          <w:p w14:paraId="516F7CF7" w14:textId="77777777" w:rsidR="00842773" w:rsidRPr="007A2D99" w:rsidRDefault="00842773" w:rsidP="00532502">
            <w:pPr>
              <w:jc w:val="center"/>
              <w:rPr>
                <w:b/>
                <w:bCs/>
                <w:color w:val="000000"/>
                <w:sz w:val="16"/>
                <w:szCs w:val="16"/>
              </w:rPr>
            </w:pPr>
          </w:p>
        </w:tc>
        <w:tc>
          <w:tcPr>
            <w:tcW w:w="614"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3D19FF26" w14:textId="77777777" w:rsidR="00842773" w:rsidRPr="00501E43" w:rsidRDefault="00842773" w:rsidP="00532502">
            <w:pPr>
              <w:jc w:val="center"/>
              <w:rPr>
                <w:b/>
                <w:bCs/>
                <w:color w:val="000000"/>
                <w:sz w:val="16"/>
                <w:szCs w:val="16"/>
              </w:rPr>
            </w:pPr>
            <w:r>
              <w:rPr>
                <w:b/>
                <w:bCs/>
                <w:color w:val="000000"/>
                <w:sz w:val="16"/>
                <w:szCs w:val="16"/>
              </w:rPr>
              <w:t>Regular:</w:t>
            </w:r>
            <w:r w:rsidRPr="006652E1">
              <w:rPr>
                <w:b/>
                <w:bCs/>
                <w:color w:val="000000"/>
                <w:sz w:val="16"/>
                <w:szCs w:val="16"/>
              </w:rPr>
              <w:t xml:space="preserve"> </w:t>
            </w:r>
            <w:r w:rsidR="00AE59C0">
              <w:rPr>
                <w:bCs/>
                <w:color w:val="000000"/>
                <w:sz w:val="16"/>
                <w:szCs w:val="16"/>
              </w:rPr>
              <w:t>6,523</w:t>
            </w:r>
            <w:r w:rsidRPr="004F59D7">
              <w:rPr>
                <w:bCs/>
                <w:color w:val="000000"/>
                <w:sz w:val="16"/>
                <w:szCs w:val="16"/>
              </w:rPr>
              <w:t>,000</w:t>
            </w:r>
          </w:p>
        </w:tc>
      </w:tr>
      <w:tr w:rsidR="00842773" w:rsidRPr="00501E43" w14:paraId="78C6EE3C"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DC2DB05" w14:textId="77777777" w:rsidR="00842773" w:rsidRPr="00CC14CA" w:rsidRDefault="00842773" w:rsidP="00532502">
            <w:pPr>
              <w:rPr>
                <w:i/>
                <w:iCs/>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14:paraId="575915D9" w14:textId="77777777" w:rsidR="00842773" w:rsidRPr="00501E43" w:rsidRDefault="00842773" w:rsidP="00532502">
            <w:pPr>
              <w:pStyle w:val="ColorfulList-Accent11"/>
              <w:ind w:left="0"/>
              <w:rPr>
                <w:i/>
                <w:iCs/>
                <w:sz w:val="16"/>
                <w:szCs w:val="16"/>
              </w:rPr>
            </w:pPr>
          </w:p>
        </w:tc>
        <w:tc>
          <w:tcPr>
            <w:tcW w:w="2169" w:type="pct"/>
            <w:gridSpan w:val="2"/>
            <w:vMerge/>
            <w:tcBorders>
              <w:left w:val="single" w:sz="4" w:space="0" w:color="auto"/>
              <w:right w:val="single" w:sz="8" w:space="0" w:color="000000"/>
            </w:tcBorders>
            <w:tcMar>
              <w:top w:w="72" w:type="dxa"/>
              <w:left w:w="144" w:type="dxa"/>
              <w:bottom w:w="72" w:type="dxa"/>
              <w:right w:w="144" w:type="dxa"/>
            </w:tcMar>
            <w:vAlign w:val="center"/>
          </w:tcPr>
          <w:p w14:paraId="0FA8072B" w14:textId="77777777" w:rsidR="00842773" w:rsidRPr="004D5F0A" w:rsidRDefault="00842773" w:rsidP="00532502">
            <w:pPr>
              <w:rPr>
                <w:b/>
                <w:bCs/>
                <w:color w:val="000000"/>
                <w:sz w:val="16"/>
                <w:szCs w:val="16"/>
              </w:rPr>
            </w:pPr>
          </w:p>
        </w:tc>
        <w:tc>
          <w:tcPr>
            <w:tcW w:w="627" w:type="pct"/>
            <w:vMerge/>
            <w:tcBorders>
              <w:left w:val="single" w:sz="8" w:space="0" w:color="000000"/>
              <w:right w:val="single" w:sz="8" w:space="0" w:color="000000"/>
            </w:tcBorders>
          </w:tcPr>
          <w:p w14:paraId="3C27AE39" w14:textId="77777777" w:rsidR="00842773" w:rsidRPr="007A2D99" w:rsidRDefault="00842773" w:rsidP="00532502">
            <w:pPr>
              <w:rPr>
                <w:iCs/>
                <w:color w:val="000000"/>
                <w:sz w:val="16"/>
                <w:szCs w:val="16"/>
              </w:rPr>
            </w:pPr>
          </w:p>
        </w:tc>
        <w:tc>
          <w:tcPr>
            <w:tcW w:w="614"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5953A3FC" w14:textId="77777777" w:rsidR="00842773" w:rsidRPr="00501E43" w:rsidRDefault="00842773" w:rsidP="00532502">
            <w:pPr>
              <w:jc w:val="center"/>
              <w:rPr>
                <w:b/>
                <w:bCs/>
                <w:color w:val="000000"/>
                <w:sz w:val="16"/>
                <w:szCs w:val="16"/>
              </w:rPr>
            </w:pPr>
            <w:r w:rsidRPr="006652E1">
              <w:rPr>
                <w:b/>
                <w:bCs/>
                <w:color w:val="000000"/>
                <w:sz w:val="16"/>
                <w:szCs w:val="16"/>
              </w:rPr>
              <w:t xml:space="preserve">Other: </w:t>
            </w:r>
            <w:r w:rsidRPr="00AE59C0">
              <w:rPr>
                <w:bCs/>
                <w:color w:val="000000"/>
                <w:sz w:val="16"/>
                <w:szCs w:val="16"/>
              </w:rPr>
              <w:t>16</w:t>
            </w:r>
            <w:r w:rsidRPr="004F59D7">
              <w:rPr>
                <w:bCs/>
                <w:color w:val="000000"/>
                <w:sz w:val="16"/>
                <w:szCs w:val="16"/>
              </w:rPr>
              <w:t xml:space="preserve">, </w:t>
            </w:r>
            <w:r>
              <w:rPr>
                <w:bCs/>
                <w:color w:val="000000"/>
                <w:sz w:val="16"/>
                <w:szCs w:val="16"/>
              </w:rPr>
              <w:t>0</w:t>
            </w:r>
            <w:r w:rsidRPr="004F59D7">
              <w:rPr>
                <w:bCs/>
                <w:color w:val="000000"/>
                <w:sz w:val="16"/>
                <w:szCs w:val="16"/>
              </w:rPr>
              <w:t>00,000</w:t>
            </w:r>
          </w:p>
        </w:tc>
      </w:tr>
      <w:tr w:rsidR="00842773" w:rsidRPr="00501E43" w14:paraId="518C68E5"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2AE5F06" w14:textId="77777777" w:rsidR="00842773" w:rsidRPr="00CC14CA" w:rsidRDefault="00842773" w:rsidP="00532502">
            <w:pPr>
              <w:rPr>
                <w:i/>
                <w:iCs/>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14:paraId="768019F4" w14:textId="77777777" w:rsidR="00842773" w:rsidRPr="00501E43" w:rsidRDefault="00842773" w:rsidP="00532502">
            <w:pPr>
              <w:pStyle w:val="ColorfulList-Accent11"/>
              <w:ind w:left="0"/>
              <w:rPr>
                <w:i/>
                <w:iCs/>
                <w:sz w:val="16"/>
                <w:szCs w:val="16"/>
              </w:rPr>
            </w:pPr>
          </w:p>
        </w:tc>
        <w:tc>
          <w:tcPr>
            <w:tcW w:w="2169" w:type="pct"/>
            <w:gridSpan w:val="2"/>
            <w:vMerge/>
            <w:tcBorders>
              <w:left w:val="single" w:sz="4" w:space="0" w:color="auto"/>
              <w:right w:val="single" w:sz="8" w:space="0" w:color="000000"/>
            </w:tcBorders>
            <w:tcMar>
              <w:top w:w="72" w:type="dxa"/>
              <w:left w:w="144" w:type="dxa"/>
              <w:bottom w:w="72" w:type="dxa"/>
              <w:right w:w="144" w:type="dxa"/>
            </w:tcMar>
            <w:vAlign w:val="center"/>
          </w:tcPr>
          <w:p w14:paraId="2B70AF5D" w14:textId="77777777" w:rsidR="00842773" w:rsidRPr="004D5F0A" w:rsidRDefault="00842773" w:rsidP="00532502">
            <w:pPr>
              <w:rPr>
                <w:b/>
                <w:bCs/>
                <w:color w:val="000000"/>
                <w:sz w:val="16"/>
                <w:szCs w:val="16"/>
              </w:rPr>
            </w:pPr>
          </w:p>
        </w:tc>
        <w:tc>
          <w:tcPr>
            <w:tcW w:w="627" w:type="pct"/>
            <w:vMerge/>
            <w:tcBorders>
              <w:left w:val="single" w:sz="8" w:space="0" w:color="000000"/>
              <w:right w:val="single" w:sz="4" w:space="0" w:color="auto"/>
            </w:tcBorders>
          </w:tcPr>
          <w:p w14:paraId="1D0447CC" w14:textId="77777777" w:rsidR="00842773" w:rsidRPr="007A2D99" w:rsidRDefault="00842773" w:rsidP="00532502">
            <w:pPr>
              <w:rPr>
                <w:iCs/>
                <w:color w:val="000000"/>
                <w:sz w:val="16"/>
                <w:szCs w:val="16"/>
              </w:rPr>
            </w:pPr>
          </w:p>
        </w:tc>
        <w:tc>
          <w:tcPr>
            <w:tcW w:w="614" w:type="pct"/>
            <w:tcBorders>
              <w:top w:val="single" w:sz="4" w:space="0" w:color="auto"/>
              <w:left w:val="single" w:sz="4" w:space="0" w:color="auto"/>
              <w:right w:val="single" w:sz="4" w:space="0" w:color="auto"/>
            </w:tcBorders>
            <w:tcMar>
              <w:top w:w="15" w:type="dxa"/>
              <w:left w:w="108" w:type="dxa"/>
              <w:bottom w:w="0" w:type="dxa"/>
              <w:right w:w="108" w:type="dxa"/>
            </w:tcMar>
            <w:vAlign w:val="center"/>
          </w:tcPr>
          <w:p w14:paraId="48431BC0" w14:textId="77777777" w:rsidR="00842773" w:rsidRPr="00501E43" w:rsidRDefault="00842773" w:rsidP="00532502">
            <w:pPr>
              <w:jc w:val="center"/>
              <w:rPr>
                <w:b/>
                <w:bCs/>
                <w:color w:val="000000"/>
                <w:sz w:val="16"/>
                <w:szCs w:val="16"/>
              </w:rPr>
            </w:pPr>
          </w:p>
        </w:tc>
      </w:tr>
      <w:tr w:rsidR="00842773" w:rsidRPr="00501E43" w14:paraId="66E2A597"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2A0F25C" w14:textId="77777777" w:rsidR="00842773" w:rsidRDefault="00842773" w:rsidP="00532502">
            <w:pPr>
              <w:jc w:val="center"/>
              <w:rPr>
                <w:b/>
                <w:bCs/>
                <w:color w:val="000000"/>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14:paraId="437E6CBE" w14:textId="77777777" w:rsidR="00842773" w:rsidRPr="00501E43" w:rsidRDefault="00842773" w:rsidP="00532502">
            <w:pPr>
              <w:jc w:val="center"/>
              <w:rPr>
                <w:b/>
                <w:color w:val="000000"/>
                <w:sz w:val="16"/>
                <w:szCs w:val="16"/>
              </w:rPr>
            </w:pPr>
          </w:p>
        </w:tc>
        <w:tc>
          <w:tcPr>
            <w:tcW w:w="2169" w:type="pct"/>
            <w:gridSpan w:val="2"/>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vAlign w:val="center"/>
          </w:tcPr>
          <w:p w14:paraId="641E8D23" w14:textId="77777777" w:rsidR="00842773" w:rsidRPr="004D5F0A" w:rsidRDefault="00842773" w:rsidP="00532502">
            <w:pPr>
              <w:jc w:val="both"/>
              <w:rPr>
                <w:b/>
                <w:iCs/>
                <w:color w:val="000000"/>
                <w:sz w:val="16"/>
                <w:szCs w:val="16"/>
              </w:rPr>
            </w:pPr>
            <w:r w:rsidRPr="004D5F0A">
              <w:rPr>
                <w:b/>
                <w:iCs/>
                <w:color w:val="000000"/>
                <w:sz w:val="16"/>
                <w:szCs w:val="16"/>
              </w:rPr>
              <w:t>Output 3.2</w:t>
            </w:r>
            <w:r w:rsidRPr="004D5F0A">
              <w:rPr>
                <w:iCs/>
                <w:color w:val="000000"/>
                <w:sz w:val="16"/>
                <w:szCs w:val="16"/>
              </w:rPr>
              <w:t>. National Assembly of Zambia has developed strategies, policies and legal frameworks to address awareness, prevention and enforcement of anti-corruption measures across sectors and  stakeholders</w:t>
            </w:r>
          </w:p>
          <w:p w14:paraId="031968EF" w14:textId="77777777" w:rsidR="00842773" w:rsidRPr="004D5F0A" w:rsidRDefault="00842773" w:rsidP="00532502">
            <w:pPr>
              <w:jc w:val="both"/>
              <w:rPr>
                <w:iCs/>
                <w:color w:val="000000"/>
                <w:sz w:val="16"/>
                <w:szCs w:val="16"/>
              </w:rPr>
            </w:pPr>
          </w:p>
          <w:p w14:paraId="00DB5DEA" w14:textId="77777777" w:rsidR="00842773" w:rsidRPr="004D5F0A" w:rsidRDefault="00842773" w:rsidP="00532502">
            <w:pPr>
              <w:jc w:val="both"/>
              <w:rPr>
                <w:iCs/>
                <w:color w:val="000000"/>
                <w:sz w:val="16"/>
                <w:szCs w:val="16"/>
              </w:rPr>
            </w:pPr>
            <w:r w:rsidRPr="004D5F0A">
              <w:rPr>
                <w:iCs/>
                <w:color w:val="000000"/>
                <w:sz w:val="16"/>
                <w:szCs w:val="16"/>
              </w:rPr>
              <w:t>Indicator: Number of proposals adopted to mitigate sector and cross sector specific corruption risks (e.g. extractive industries, and public procurement in the health and other sectors)</w:t>
            </w:r>
            <w:r w:rsidRPr="004D5F0A">
              <w:rPr>
                <w:iCs/>
                <w:color w:val="000000"/>
                <w:sz w:val="16"/>
                <w:szCs w:val="16"/>
              </w:rPr>
              <w:tab/>
            </w:r>
          </w:p>
          <w:p w14:paraId="7AAE7941" w14:textId="77777777" w:rsidR="00842773" w:rsidRPr="004D5F0A" w:rsidRDefault="00842773" w:rsidP="00532502">
            <w:pPr>
              <w:jc w:val="both"/>
              <w:rPr>
                <w:iCs/>
                <w:color w:val="000000"/>
                <w:sz w:val="16"/>
                <w:szCs w:val="16"/>
              </w:rPr>
            </w:pPr>
            <w:r w:rsidRPr="004D5F0A">
              <w:rPr>
                <w:iCs/>
                <w:color w:val="000000"/>
                <w:sz w:val="16"/>
                <w:szCs w:val="16"/>
              </w:rPr>
              <w:t>Baseline:  0</w:t>
            </w:r>
          </w:p>
          <w:p w14:paraId="126E99A3" w14:textId="77777777" w:rsidR="00842773" w:rsidRPr="004D5F0A" w:rsidRDefault="00842773" w:rsidP="00532502">
            <w:pPr>
              <w:jc w:val="both"/>
              <w:rPr>
                <w:iCs/>
                <w:color w:val="000000"/>
                <w:sz w:val="16"/>
                <w:szCs w:val="16"/>
              </w:rPr>
            </w:pPr>
            <w:r w:rsidRPr="004D5F0A">
              <w:rPr>
                <w:iCs/>
                <w:color w:val="000000"/>
                <w:sz w:val="16"/>
                <w:szCs w:val="16"/>
              </w:rPr>
              <w:t>Target:     4</w:t>
            </w:r>
          </w:p>
          <w:p w14:paraId="3808BF95" w14:textId="799BD96E" w:rsidR="00842773" w:rsidRPr="004D5F0A" w:rsidRDefault="00842773" w:rsidP="00532502">
            <w:pPr>
              <w:jc w:val="both"/>
              <w:rPr>
                <w:iCs/>
                <w:color w:val="000000"/>
                <w:sz w:val="16"/>
                <w:szCs w:val="16"/>
              </w:rPr>
            </w:pPr>
            <w:r w:rsidRPr="004D5F0A">
              <w:rPr>
                <w:b/>
                <w:iCs/>
                <w:color w:val="000000"/>
                <w:sz w:val="16"/>
                <w:szCs w:val="16"/>
              </w:rPr>
              <w:t>Data Source:</w:t>
            </w:r>
            <w:r w:rsidRPr="004D5F0A">
              <w:rPr>
                <w:iCs/>
                <w:color w:val="000000"/>
                <w:sz w:val="16"/>
                <w:szCs w:val="16"/>
              </w:rPr>
              <w:t xml:space="preserve"> National Assembly of Zambia, </w:t>
            </w:r>
            <w:r w:rsidR="007877A7">
              <w:rPr>
                <w:iCs/>
                <w:color w:val="000000"/>
                <w:sz w:val="16"/>
                <w:szCs w:val="16"/>
              </w:rPr>
              <w:t>O</w:t>
            </w:r>
            <w:r w:rsidR="00DF7FA3">
              <w:rPr>
                <w:iCs/>
                <w:color w:val="000000"/>
                <w:sz w:val="16"/>
                <w:szCs w:val="16"/>
              </w:rPr>
              <w:t xml:space="preserve">ffice of </w:t>
            </w:r>
            <w:r w:rsidR="007877A7">
              <w:rPr>
                <w:iCs/>
                <w:color w:val="000000"/>
                <w:sz w:val="16"/>
                <w:szCs w:val="16"/>
              </w:rPr>
              <w:t>A</w:t>
            </w:r>
            <w:r w:rsidR="00DF7FA3">
              <w:rPr>
                <w:iCs/>
                <w:color w:val="000000"/>
                <w:sz w:val="16"/>
                <w:szCs w:val="16"/>
              </w:rPr>
              <w:t xml:space="preserve">uditor </w:t>
            </w:r>
            <w:r w:rsidR="007877A7">
              <w:rPr>
                <w:iCs/>
                <w:color w:val="000000"/>
                <w:sz w:val="16"/>
                <w:szCs w:val="16"/>
              </w:rPr>
              <w:t>G</w:t>
            </w:r>
            <w:r w:rsidR="00DF7FA3">
              <w:rPr>
                <w:iCs/>
                <w:color w:val="000000"/>
                <w:sz w:val="16"/>
                <w:szCs w:val="16"/>
              </w:rPr>
              <w:t>eneral (OAG)</w:t>
            </w:r>
            <w:r w:rsidRPr="004D5F0A">
              <w:rPr>
                <w:iCs/>
                <w:color w:val="000000"/>
                <w:sz w:val="16"/>
                <w:szCs w:val="16"/>
              </w:rPr>
              <w:t xml:space="preserve"> Report, Parliamentary Committee &amp; Cabinet Office reports</w:t>
            </w:r>
          </w:p>
          <w:p w14:paraId="42AA87E7" w14:textId="77777777" w:rsidR="00842773" w:rsidRPr="004D5F0A" w:rsidRDefault="00842773" w:rsidP="00532502">
            <w:pPr>
              <w:jc w:val="both"/>
              <w:rPr>
                <w:b/>
                <w:iCs/>
                <w:color w:val="000000"/>
                <w:sz w:val="16"/>
                <w:szCs w:val="16"/>
              </w:rPr>
            </w:pPr>
            <w:r w:rsidRPr="004D5F0A">
              <w:rPr>
                <w:b/>
                <w:iCs/>
                <w:color w:val="000000"/>
                <w:sz w:val="16"/>
                <w:szCs w:val="16"/>
              </w:rPr>
              <w:t>Frequency: Annual</w:t>
            </w:r>
          </w:p>
        </w:tc>
        <w:tc>
          <w:tcPr>
            <w:tcW w:w="627" w:type="pct"/>
            <w:tcBorders>
              <w:top w:val="single" w:sz="8" w:space="0" w:color="000000"/>
              <w:left w:val="single" w:sz="8" w:space="0" w:color="000000"/>
              <w:bottom w:val="single" w:sz="4" w:space="0" w:color="auto"/>
              <w:right w:val="single" w:sz="4" w:space="0" w:color="auto"/>
            </w:tcBorders>
          </w:tcPr>
          <w:p w14:paraId="4E1662EB" w14:textId="7BC7EDB0" w:rsidR="001313E3" w:rsidRDefault="00842773" w:rsidP="00532502">
            <w:pPr>
              <w:rPr>
                <w:iCs/>
                <w:color w:val="000000"/>
                <w:sz w:val="16"/>
                <w:szCs w:val="16"/>
              </w:rPr>
            </w:pPr>
            <w:r w:rsidRPr="007A2D99">
              <w:rPr>
                <w:iCs/>
                <w:color w:val="000000"/>
                <w:sz w:val="16"/>
                <w:szCs w:val="16"/>
              </w:rPr>
              <w:t>Cabinet Office</w:t>
            </w:r>
            <w:r w:rsidR="001313E3">
              <w:rPr>
                <w:iCs/>
                <w:color w:val="000000"/>
                <w:sz w:val="16"/>
                <w:szCs w:val="16"/>
              </w:rPr>
              <w:t>;</w:t>
            </w:r>
            <w:r w:rsidR="001313E3" w:rsidRPr="007A2D99">
              <w:rPr>
                <w:iCs/>
                <w:color w:val="000000"/>
                <w:sz w:val="16"/>
                <w:szCs w:val="16"/>
              </w:rPr>
              <w:t xml:space="preserve"> </w:t>
            </w:r>
          </w:p>
          <w:p w14:paraId="474657A1" w14:textId="2257FC6A" w:rsidR="00345A68" w:rsidRDefault="00842773" w:rsidP="00532502">
            <w:pPr>
              <w:rPr>
                <w:iCs/>
                <w:color w:val="000000"/>
                <w:sz w:val="16"/>
                <w:szCs w:val="16"/>
              </w:rPr>
            </w:pPr>
            <w:r w:rsidRPr="007A2D99">
              <w:rPr>
                <w:iCs/>
                <w:color w:val="000000"/>
                <w:sz w:val="16"/>
                <w:szCs w:val="16"/>
              </w:rPr>
              <w:t>Ministry of Justice</w:t>
            </w:r>
            <w:r w:rsidR="001313E3">
              <w:rPr>
                <w:iCs/>
                <w:color w:val="000000"/>
                <w:sz w:val="16"/>
                <w:szCs w:val="16"/>
              </w:rPr>
              <w:t>;</w:t>
            </w:r>
            <w:r w:rsidR="001313E3" w:rsidRPr="007A2D99">
              <w:rPr>
                <w:iCs/>
                <w:color w:val="000000"/>
                <w:sz w:val="16"/>
                <w:szCs w:val="16"/>
              </w:rPr>
              <w:t xml:space="preserve"> </w:t>
            </w:r>
            <w:r w:rsidRPr="007A2D99">
              <w:rPr>
                <w:iCs/>
                <w:color w:val="000000"/>
                <w:sz w:val="16"/>
                <w:szCs w:val="16"/>
              </w:rPr>
              <w:t>Judiciary</w:t>
            </w:r>
            <w:r w:rsidR="00DF7FA3">
              <w:rPr>
                <w:iCs/>
                <w:color w:val="000000"/>
                <w:sz w:val="16"/>
                <w:szCs w:val="16"/>
              </w:rPr>
              <w:t xml:space="preserve"> Committees</w:t>
            </w:r>
            <w:r w:rsidR="001313E3">
              <w:rPr>
                <w:iCs/>
                <w:color w:val="000000"/>
                <w:sz w:val="16"/>
                <w:szCs w:val="16"/>
              </w:rPr>
              <w:t>;</w:t>
            </w:r>
            <w:r w:rsidR="001313E3" w:rsidRPr="007A2D99">
              <w:rPr>
                <w:iCs/>
                <w:color w:val="000000"/>
                <w:sz w:val="16"/>
                <w:szCs w:val="16"/>
              </w:rPr>
              <w:t xml:space="preserve"> </w:t>
            </w:r>
            <w:r w:rsidR="00DF7FA3">
              <w:rPr>
                <w:iCs/>
                <w:color w:val="000000"/>
                <w:sz w:val="16"/>
                <w:szCs w:val="16"/>
              </w:rPr>
              <w:t>Accounts Committee of the National Assembly</w:t>
            </w:r>
            <w:r w:rsidR="00345A68">
              <w:rPr>
                <w:iCs/>
                <w:color w:val="000000"/>
                <w:sz w:val="16"/>
                <w:szCs w:val="16"/>
              </w:rPr>
              <w:t>;</w:t>
            </w:r>
            <w:r w:rsidRPr="007A2D99">
              <w:rPr>
                <w:iCs/>
                <w:color w:val="000000"/>
                <w:sz w:val="16"/>
                <w:szCs w:val="16"/>
              </w:rPr>
              <w:t xml:space="preserve"> </w:t>
            </w:r>
            <w:r w:rsidR="00DF7FA3">
              <w:rPr>
                <w:iCs/>
                <w:color w:val="000000"/>
                <w:sz w:val="16"/>
                <w:szCs w:val="16"/>
              </w:rPr>
              <w:t>OAG</w:t>
            </w:r>
            <w:r w:rsidR="00345A68">
              <w:rPr>
                <w:iCs/>
                <w:color w:val="000000"/>
                <w:sz w:val="16"/>
                <w:szCs w:val="16"/>
              </w:rPr>
              <w:t>;</w:t>
            </w:r>
            <w:r w:rsidR="00345A68" w:rsidRPr="007A2D99">
              <w:rPr>
                <w:iCs/>
                <w:color w:val="000000"/>
                <w:sz w:val="16"/>
                <w:szCs w:val="16"/>
              </w:rPr>
              <w:t xml:space="preserve"> </w:t>
            </w:r>
          </w:p>
          <w:p w14:paraId="2C405757" w14:textId="26740873" w:rsidR="00345A68" w:rsidRDefault="00842773" w:rsidP="00532502">
            <w:pPr>
              <w:rPr>
                <w:iCs/>
                <w:color w:val="000000"/>
                <w:sz w:val="16"/>
                <w:szCs w:val="16"/>
              </w:rPr>
            </w:pPr>
            <w:r w:rsidRPr="007A2D99">
              <w:rPr>
                <w:iCs/>
                <w:color w:val="000000"/>
                <w:sz w:val="16"/>
                <w:szCs w:val="16"/>
              </w:rPr>
              <w:t>Z</w:t>
            </w:r>
            <w:r w:rsidR="00DF7FA3">
              <w:rPr>
                <w:iCs/>
                <w:color w:val="000000"/>
                <w:sz w:val="16"/>
                <w:szCs w:val="16"/>
              </w:rPr>
              <w:t xml:space="preserve">ambia </w:t>
            </w:r>
            <w:r w:rsidRPr="007A2D99">
              <w:rPr>
                <w:iCs/>
                <w:color w:val="000000"/>
                <w:sz w:val="16"/>
                <w:szCs w:val="16"/>
              </w:rPr>
              <w:t>P</w:t>
            </w:r>
            <w:r w:rsidR="00DF7FA3">
              <w:rPr>
                <w:iCs/>
                <w:color w:val="000000"/>
                <w:sz w:val="16"/>
                <w:szCs w:val="16"/>
              </w:rPr>
              <w:t xml:space="preserve">ublic </w:t>
            </w:r>
            <w:r w:rsidRPr="007A2D99">
              <w:rPr>
                <w:iCs/>
                <w:color w:val="000000"/>
                <w:sz w:val="16"/>
                <w:szCs w:val="16"/>
              </w:rPr>
              <w:t>P</w:t>
            </w:r>
            <w:r w:rsidR="00DF7FA3">
              <w:rPr>
                <w:iCs/>
                <w:color w:val="000000"/>
                <w:sz w:val="16"/>
                <w:szCs w:val="16"/>
              </w:rPr>
              <w:t xml:space="preserve">rocurement </w:t>
            </w:r>
            <w:r w:rsidRPr="007A2D99">
              <w:rPr>
                <w:iCs/>
                <w:color w:val="000000"/>
                <w:sz w:val="16"/>
                <w:szCs w:val="16"/>
              </w:rPr>
              <w:t>A</w:t>
            </w:r>
            <w:r w:rsidR="00DF7FA3">
              <w:rPr>
                <w:iCs/>
                <w:color w:val="000000"/>
                <w:sz w:val="16"/>
                <w:szCs w:val="16"/>
              </w:rPr>
              <w:t>uthority (ZPPA</w:t>
            </w:r>
            <w:r w:rsidR="00345A68">
              <w:rPr>
                <w:iCs/>
                <w:color w:val="000000"/>
                <w:sz w:val="16"/>
                <w:szCs w:val="16"/>
              </w:rPr>
              <w:t>);</w:t>
            </w:r>
            <w:r w:rsidR="00345A68" w:rsidRPr="007A2D99">
              <w:rPr>
                <w:iCs/>
                <w:color w:val="000000"/>
                <w:sz w:val="16"/>
                <w:szCs w:val="16"/>
              </w:rPr>
              <w:t xml:space="preserve"> </w:t>
            </w:r>
          </w:p>
          <w:p w14:paraId="5C91A68C" w14:textId="4C74E26B" w:rsidR="00345A68" w:rsidRDefault="00842773" w:rsidP="00532502">
            <w:pPr>
              <w:rPr>
                <w:iCs/>
                <w:color w:val="000000"/>
                <w:sz w:val="16"/>
                <w:szCs w:val="16"/>
              </w:rPr>
            </w:pPr>
            <w:r w:rsidRPr="007A2D99">
              <w:rPr>
                <w:iCs/>
                <w:color w:val="000000"/>
                <w:sz w:val="16"/>
                <w:szCs w:val="16"/>
              </w:rPr>
              <w:t>CSO</w:t>
            </w:r>
            <w:r w:rsidR="00345A68">
              <w:rPr>
                <w:iCs/>
                <w:color w:val="000000"/>
                <w:sz w:val="16"/>
                <w:szCs w:val="16"/>
              </w:rPr>
              <w:t>s;</w:t>
            </w:r>
            <w:r w:rsidR="00345A68" w:rsidRPr="007A2D99">
              <w:rPr>
                <w:iCs/>
                <w:color w:val="000000"/>
                <w:sz w:val="16"/>
                <w:szCs w:val="16"/>
              </w:rPr>
              <w:t xml:space="preserve"> </w:t>
            </w:r>
          </w:p>
          <w:p w14:paraId="232C7B6B" w14:textId="5AAF3D12" w:rsidR="00842773" w:rsidRPr="007A2D99" w:rsidRDefault="00842773" w:rsidP="00532502">
            <w:pPr>
              <w:rPr>
                <w:iCs/>
                <w:color w:val="000000"/>
                <w:sz w:val="16"/>
                <w:szCs w:val="16"/>
              </w:rPr>
            </w:pPr>
            <w:r w:rsidRPr="007A2D99">
              <w:rPr>
                <w:iCs/>
                <w:color w:val="000000"/>
                <w:sz w:val="16"/>
                <w:szCs w:val="16"/>
              </w:rPr>
              <w:t xml:space="preserve">Investigator General, Officers of the Court </w:t>
            </w:r>
          </w:p>
          <w:p w14:paraId="7C876AD2" w14:textId="77777777" w:rsidR="00842773" w:rsidRPr="007A2D99" w:rsidRDefault="00842773" w:rsidP="00532502">
            <w:pPr>
              <w:jc w:val="center"/>
              <w:rPr>
                <w:b/>
                <w:bCs/>
                <w:color w:val="000000"/>
                <w:sz w:val="16"/>
                <w:szCs w:val="16"/>
              </w:rPr>
            </w:pPr>
          </w:p>
        </w:tc>
        <w:tc>
          <w:tcPr>
            <w:tcW w:w="614" w:type="pct"/>
            <w:tcBorders>
              <w:left w:val="single" w:sz="4" w:space="0" w:color="auto"/>
              <w:right w:val="single" w:sz="4" w:space="0" w:color="auto"/>
            </w:tcBorders>
            <w:tcMar>
              <w:top w:w="15" w:type="dxa"/>
              <w:left w:w="108" w:type="dxa"/>
              <w:bottom w:w="0" w:type="dxa"/>
              <w:right w:w="108" w:type="dxa"/>
            </w:tcMar>
            <w:vAlign w:val="center"/>
          </w:tcPr>
          <w:p w14:paraId="7219E7E8" w14:textId="77777777" w:rsidR="00842773" w:rsidRPr="00501E43" w:rsidRDefault="00842773" w:rsidP="00532502">
            <w:pPr>
              <w:jc w:val="center"/>
              <w:rPr>
                <w:b/>
                <w:bCs/>
                <w:color w:val="000000"/>
                <w:sz w:val="16"/>
                <w:szCs w:val="16"/>
              </w:rPr>
            </w:pPr>
          </w:p>
        </w:tc>
      </w:tr>
      <w:tr w:rsidR="00842773" w:rsidRPr="00501E43" w14:paraId="645AA88C"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1FF78ADE" w14:textId="77777777" w:rsidR="00842773" w:rsidRDefault="00842773" w:rsidP="00532502">
            <w:pPr>
              <w:jc w:val="center"/>
              <w:rPr>
                <w:b/>
                <w:bCs/>
                <w:color w:val="000000"/>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14:paraId="76972789" w14:textId="77777777" w:rsidR="00842773" w:rsidRPr="00501E43" w:rsidRDefault="00842773" w:rsidP="00532502">
            <w:pPr>
              <w:jc w:val="center"/>
              <w:rPr>
                <w:b/>
                <w:color w:val="000000"/>
                <w:sz w:val="16"/>
                <w:szCs w:val="16"/>
              </w:rPr>
            </w:pPr>
          </w:p>
        </w:tc>
        <w:tc>
          <w:tcPr>
            <w:tcW w:w="2169" w:type="pct"/>
            <w:gridSpan w:val="2"/>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vAlign w:val="center"/>
          </w:tcPr>
          <w:p w14:paraId="1FD49826" w14:textId="295E4E0C" w:rsidR="00842773" w:rsidRPr="004F59D7" w:rsidRDefault="00842773" w:rsidP="00532502">
            <w:pPr>
              <w:rPr>
                <w:b/>
                <w:iCs/>
                <w:color w:val="000000"/>
                <w:sz w:val="16"/>
                <w:szCs w:val="16"/>
              </w:rPr>
            </w:pPr>
            <w:r w:rsidRPr="00472149">
              <w:rPr>
                <w:b/>
                <w:iCs/>
                <w:color w:val="000000"/>
                <w:sz w:val="16"/>
                <w:szCs w:val="16"/>
              </w:rPr>
              <w:t>Output 3</w:t>
            </w:r>
            <w:r>
              <w:rPr>
                <w:b/>
                <w:iCs/>
                <w:color w:val="000000"/>
                <w:sz w:val="16"/>
                <w:szCs w:val="16"/>
              </w:rPr>
              <w:t>.3</w:t>
            </w:r>
            <w:r w:rsidRPr="004F59D7">
              <w:rPr>
                <w:b/>
                <w:iCs/>
                <w:color w:val="000000"/>
                <w:sz w:val="16"/>
                <w:szCs w:val="16"/>
              </w:rPr>
              <w:t xml:space="preserve">. </w:t>
            </w:r>
            <w:r w:rsidR="007877A7">
              <w:rPr>
                <w:iCs/>
                <w:color w:val="000000"/>
                <w:sz w:val="16"/>
                <w:szCs w:val="16"/>
              </w:rPr>
              <w:t>CSOs</w:t>
            </w:r>
            <w:r w:rsidRPr="00165008">
              <w:rPr>
                <w:iCs/>
                <w:color w:val="000000"/>
                <w:sz w:val="16"/>
                <w:szCs w:val="16"/>
              </w:rPr>
              <w:t xml:space="preserve"> have developed frameworks, strategic Plans, and platforms for effective engagement with government on national development and parallel reporting </w:t>
            </w:r>
            <w:r w:rsidRPr="00165008">
              <w:rPr>
                <w:iCs/>
                <w:color w:val="000000"/>
                <w:sz w:val="16"/>
                <w:szCs w:val="16"/>
              </w:rPr>
              <w:lastRenderedPageBreak/>
              <w:t>on regional and international conventions.</w:t>
            </w:r>
            <w:r w:rsidRPr="004F59D7">
              <w:rPr>
                <w:b/>
                <w:iCs/>
                <w:color w:val="000000"/>
                <w:sz w:val="16"/>
                <w:szCs w:val="16"/>
              </w:rPr>
              <w:t xml:space="preserve"> </w:t>
            </w:r>
          </w:p>
          <w:p w14:paraId="39DDBA81" w14:textId="77777777" w:rsidR="00842773" w:rsidRPr="004F59D7" w:rsidRDefault="00842773" w:rsidP="00532502">
            <w:pPr>
              <w:rPr>
                <w:iCs/>
                <w:color w:val="000000"/>
                <w:sz w:val="16"/>
                <w:szCs w:val="16"/>
              </w:rPr>
            </w:pPr>
          </w:p>
          <w:p w14:paraId="0A48B265" w14:textId="77777777" w:rsidR="00842773" w:rsidRPr="004F59D7" w:rsidRDefault="00842773" w:rsidP="00532502">
            <w:pPr>
              <w:rPr>
                <w:iCs/>
                <w:color w:val="000000"/>
                <w:sz w:val="16"/>
                <w:szCs w:val="16"/>
              </w:rPr>
            </w:pPr>
            <w:r w:rsidRPr="004F59D7">
              <w:rPr>
                <w:iCs/>
                <w:color w:val="000000"/>
                <w:sz w:val="16"/>
                <w:szCs w:val="16"/>
              </w:rPr>
              <w:t xml:space="preserve">Indicator: Number of </w:t>
            </w:r>
            <w:r>
              <w:rPr>
                <w:iCs/>
                <w:color w:val="000000"/>
                <w:sz w:val="16"/>
                <w:szCs w:val="16"/>
              </w:rPr>
              <w:t>functional civil society engagement platforms and mechanisms in place to engage national institutions and communities o</w:t>
            </w:r>
            <w:r w:rsidRPr="004F59D7">
              <w:rPr>
                <w:iCs/>
                <w:color w:val="000000"/>
                <w:sz w:val="16"/>
                <w:szCs w:val="16"/>
              </w:rPr>
              <w:t>n critical development issues</w:t>
            </w:r>
            <w:r>
              <w:rPr>
                <w:iCs/>
                <w:color w:val="000000"/>
                <w:sz w:val="16"/>
                <w:szCs w:val="16"/>
              </w:rPr>
              <w:t xml:space="preserve">. </w:t>
            </w:r>
          </w:p>
          <w:p w14:paraId="21F083C4" w14:textId="77777777" w:rsidR="00842773" w:rsidRPr="004F59D7" w:rsidRDefault="00842773" w:rsidP="00532502">
            <w:pPr>
              <w:rPr>
                <w:iCs/>
                <w:color w:val="000000"/>
                <w:sz w:val="16"/>
                <w:szCs w:val="16"/>
              </w:rPr>
            </w:pPr>
          </w:p>
          <w:p w14:paraId="22FBBD16" w14:textId="77777777" w:rsidR="00842773" w:rsidRDefault="00842773" w:rsidP="00532502">
            <w:pPr>
              <w:rPr>
                <w:iCs/>
                <w:color w:val="000000"/>
                <w:sz w:val="16"/>
                <w:szCs w:val="16"/>
              </w:rPr>
            </w:pPr>
            <w:r w:rsidRPr="004F59D7">
              <w:rPr>
                <w:iCs/>
                <w:color w:val="000000"/>
                <w:sz w:val="16"/>
                <w:szCs w:val="16"/>
              </w:rPr>
              <w:t xml:space="preserve">Baseline (2014): 4 </w:t>
            </w:r>
          </w:p>
          <w:p w14:paraId="2E91C864" w14:textId="77777777" w:rsidR="00842773" w:rsidRPr="004F59D7" w:rsidRDefault="00842773" w:rsidP="00532502">
            <w:pPr>
              <w:rPr>
                <w:iCs/>
                <w:color w:val="000000"/>
                <w:sz w:val="16"/>
                <w:szCs w:val="16"/>
              </w:rPr>
            </w:pPr>
            <w:r w:rsidRPr="004F59D7">
              <w:rPr>
                <w:iCs/>
                <w:color w:val="000000"/>
                <w:sz w:val="16"/>
                <w:szCs w:val="16"/>
              </w:rPr>
              <w:t>Target:    8</w:t>
            </w:r>
          </w:p>
          <w:p w14:paraId="29C15E2D" w14:textId="77777777" w:rsidR="00842773" w:rsidRPr="004F59D7" w:rsidRDefault="00842773" w:rsidP="00532502">
            <w:pPr>
              <w:rPr>
                <w:iCs/>
                <w:color w:val="000000"/>
                <w:sz w:val="16"/>
                <w:szCs w:val="16"/>
              </w:rPr>
            </w:pPr>
            <w:r w:rsidRPr="004F59D7">
              <w:rPr>
                <w:b/>
                <w:iCs/>
                <w:color w:val="000000"/>
                <w:sz w:val="16"/>
                <w:szCs w:val="16"/>
              </w:rPr>
              <w:t>Data Source:</w:t>
            </w:r>
            <w:r w:rsidRPr="004F59D7">
              <w:rPr>
                <w:iCs/>
                <w:color w:val="000000"/>
                <w:sz w:val="16"/>
                <w:szCs w:val="16"/>
              </w:rPr>
              <w:t xml:space="preserve"> NGO Governing Council Reports &amp; Ministry of Community Development Reports</w:t>
            </w:r>
          </w:p>
          <w:p w14:paraId="7A46A083" w14:textId="77777777" w:rsidR="00842773" w:rsidRPr="004F59D7" w:rsidRDefault="00842773" w:rsidP="00532502">
            <w:pPr>
              <w:rPr>
                <w:iCs/>
                <w:color w:val="000000"/>
                <w:sz w:val="16"/>
                <w:szCs w:val="16"/>
              </w:rPr>
            </w:pPr>
            <w:r w:rsidRPr="004F59D7">
              <w:rPr>
                <w:b/>
                <w:iCs/>
                <w:color w:val="000000"/>
                <w:sz w:val="16"/>
                <w:szCs w:val="16"/>
              </w:rPr>
              <w:t>Frequency:</w:t>
            </w:r>
            <w:r w:rsidRPr="004F59D7">
              <w:rPr>
                <w:iCs/>
                <w:color w:val="000000"/>
                <w:sz w:val="16"/>
                <w:szCs w:val="16"/>
              </w:rPr>
              <w:t xml:space="preserve"> Annual</w:t>
            </w:r>
          </w:p>
        </w:tc>
        <w:tc>
          <w:tcPr>
            <w:tcW w:w="627" w:type="pct"/>
            <w:tcBorders>
              <w:top w:val="single" w:sz="8" w:space="0" w:color="000000"/>
              <w:left w:val="single" w:sz="8" w:space="0" w:color="000000"/>
              <w:bottom w:val="single" w:sz="4" w:space="0" w:color="auto"/>
              <w:right w:val="single" w:sz="4" w:space="0" w:color="auto"/>
            </w:tcBorders>
          </w:tcPr>
          <w:p w14:paraId="0AB11467" w14:textId="3B1EF704" w:rsidR="00345A68" w:rsidRDefault="00842773" w:rsidP="00532502">
            <w:pPr>
              <w:rPr>
                <w:iCs/>
                <w:color w:val="000000"/>
                <w:sz w:val="16"/>
                <w:szCs w:val="16"/>
              </w:rPr>
            </w:pPr>
            <w:r w:rsidRPr="007A2D99">
              <w:rPr>
                <w:iCs/>
                <w:color w:val="000000"/>
                <w:sz w:val="16"/>
                <w:szCs w:val="16"/>
              </w:rPr>
              <w:lastRenderedPageBreak/>
              <w:t>CSOs</w:t>
            </w:r>
            <w:r w:rsidR="00345A68">
              <w:rPr>
                <w:iCs/>
                <w:color w:val="000000"/>
                <w:sz w:val="16"/>
                <w:szCs w:val="16"/>
              </w:rPr>
              <w:t>;</w:t>
            </w:r>
            <w:r w:rsidR="00345A68" w:rsidRPr="007A2D99">
              <w:rPr>
                <w:iCs/>
                <w:color w:val="000000"/>
                <w:sz w:val="16"/>
                <w:szCs w:val="16"/>
              </w:rPr>
              <w:t xml:space="preserve"> </w:t>
            </w:r>
          </w:p>
          <w:p w14:paraId="0288BC54" w14:textId="46685FED" w:rsidR="00842773" w:rsidRPr="007A2D99" w:rsidRDefault="00842773" w:rsidP="00532502">
            <w:pPr>
              <w:rPr>
                <w:iCs/>
                <w:color w:val="000000"/>
                <w:sz w:val="16"/>
                <w:szCs w:val="16"/>
              </w:rPr>
            </w:pPr>
            <w:r w:rsidRPr="007A2D99">
              <w:rPr>
                <w:iCs/>
                <w:color w:val="000000"/>
                <w:sz w:val="16"/>
                <w:szCs w:val="16"/>
              </w:rPr>
              <w:t xml:space="preserve">Ministry of Community </w:t>
            </w:r>
            <w:r w:rsidRPr="007A2D99">
              <w:rPr>
                <w:iCs/>
                <w:color w:val="000000"/>
                <w:sz w:val="16"/>
                <w:szCs w:val="16"/>
              </w:rPr>
              <w:lastRenderedPageBreak/>
              <w:t xml:space="preserve">Development and Youth </w:t>
            </w:r>
          </w:p>
          <w:p w14:paraId="52AD8402" w14:textId="77777777" w:rsidR="00842773" w:rsidRPr="007A2D99" w:rsidRDefault="00842773" w:rsidP="00532502">
            <w:pPr>
              <w:jc w:val="center"/>
              <w:rPr>
                <w:b/>
                <w:bCs/>
                <w:color w:val="000000"/>
                <w:sz w:val="16"/>
                <w:szCs w:val="16"/>
              </w:rPr>
            </w:pPr>
          </w:p>
        </w:tc>
        <w:tc>
          <w:tcPr>
            <w:tcW w:w="614" w:type="pct"/>
            <w:tcBorders>
              <w:left w:val="single" w:sz="4" w:space="0" w:color="auto"/>
              <w:right w:val="single" w:sz="4" w:space="0" w:color="auto"/>
            </w:tcBorders>
            <w:tcMar>
              <w:top w:w="15" w:type="dxa"/>
              <w:left w:w="108" w:type="dxa"/>
              <w:bottom w:w="0" w:type="dxa"/>
              <w:right w:w="108" w:type="dxa"/>
            </w:tcMar>
            <w:vAlign w:val="center"/>
          </w:tcPr>
          <w:p w14:paraId="65AE21FC" w14:textId="77777777" w:rsidR="00842773" w:rsidRPr="00501E43" w:rsidRDefault="00842773" w:rsidP="00532502">
            <w:pPr>
              <w:jc w:val="center"/>
              <w:rPr>
                <w:b/>
                <w:bCs/>
                <w:color w:val="000000"/>
                <w:sz w:val="16"/>
                <w:szCs w:val="16"/>
              </w:rPr>
            </w:pPr>
          </w:p>
        </w:tc>
      </w:tr>
      <w:tr w:rsidR="00842773" w:rsidRPr="00501E43" w14:paraId="5E5D138E" w14:textId="77777777" w:rsidTr="00AE71CA">
        <w:tc>
          <w:tcPr>
            <w:tcW w:w="905"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14:paraId="0500E133" w14:textId="77777777" w:rsidR="00842773" w:rsidRDefault="00842773" w:rsidP="00532502">
            <w:pPr>
              <w:jc w:val="center"/>
              <w:rPr>
                <w:b/>
                <w:bCs/>
                <w:color w:val="000000"/>
                <w:sz w:val="16"/>
                <w:szCs w:val="16"/>
              </w:rPr>
            </w:pPr>
          </w:p>
        </w:tc>
        <w:tc>
          <w:tcPr>
            <w:tcW w:w="685" w:type="pct"/>
            <w:gridSpan w:val="2"/>
            <w:vMerge/>
            <w:tcBorders>
              <w:top w:val="single" w:sz="4" w:space="0" w:color="auto"/>
              <w:left w:val="single" w:sz="4" w:space="0" w:color="auto"/>
              <w:bottom w:val="single" w:sz="4" w:space="0" w:color="auto"/>
              <w:right w:val="single" w:sz="4" w:space="0" w:color="auto"/>
            </w:tcBorders>
            <w:vAlign w:val="center"/>
          </w:tcPr>
          <w:p w14:paraId="0DCC08F1" w14:textId="77777777" w:rsidR="00842773" w:rsidRPr="00501E43" w:rsidRDefault="00842773" w:rsidP="00532502">
            <w:pPr>
              <w:jc w:val="center"/>
              <w:rPr>
                <w:b/>
                <w:color w:val="000000"/>
                <w:sz w:val="16"/>
                <w:szCs w:val="16"/>
              </w:rPr>
            </w:pPr>
          </w:p>
        </w:tc>
        <w:tc>
          <w:tcPr>
            <w:tcW w:w="2169" w:type="pct"/>
            <w:gridSpan w:val="2"/>
            <w:tcBorders>
              <w:top w:val="single" w:sz="8" w:space="0" w:color="000000"/>
              <w:left w:val="single" w:sz="4" w:space="0" w:color="auto"/>
              <w:bottom w:val="single" w:sz="4" w:space="0" w:color="auto"/>
              <w:right w:val="single" w:sz="8" w:space="0" w:color="000000"/>
            </w:tcBorders>
            <w:tcMar>
              <w:top w:w="72" w:type="dxa"/>
              <w:left w:w="144" w:type="dxa"/>
              <w:bottom w:w="72" w:type="dxa"/>
              <w:right w:w="144" w:type="dxa"/>
            </w:tcMar>
            <w:vAlign w:val="center"/>
          </w:tcPr>
          <w:p w14:paraId="677FCDDB" w14:textId="77777777" w:rsidR="00842773" w:rsidRPr="00301A48" w:rsidRDefault="00842773" w:rsidP="00532502">
            <w:pPr>
              <w:rPr>
                <w:b/>
                <w:bCs/>
                <w:color w:val="000000"/>
                <w:sz w:val="16"/>
                <w:szCs w:val="16"/>
              </w:rPr>
            </w:pPr>
            <w:r w:rsidRPr="00472149">
              <w:rPr>
                <w:b/>
                <w:bCs/>
                <w:color w:val="000000"/>
                <w:sz w:val="16"/>
                <w:szCs w:val="16"/>
              </w:rPr>
              <w:t>Output 3</w:t>
            </w:r>
            <w:r>
              <w:rPr>
                <w:b/>
                <w:bCs/>
                <w:color w:val="000000"/>
                <w:sz w:val="16"/>
                <w:szCs w:val="16"/>
              </w:rPr>
              <w:t>.4</w:t>
            </w:r>
            <w:r w:rsidRPr="00472149">
              <w:rPr>
                <w:b/>
                <w:bCs/>
                <w:color w:val="000000"/>
                <w:sz w:val="16"/>
                <w:szCs w:val="16"/>
              </w:rPr>
              <w:t>.</w:t>
            </w:r>
            <w:r>
              <w:rPr>
                <w:b/>
                <w:bCs/>
                <w:color w:val="000000"/>
                <w:sz w:val="16"/>
                <w:szCs w:val="16"/>
              </w:rPr>
              <w:t xml:space="preserve"> </w:t>
            </w:r>
            <w:r w:rsidRPr="00165008">
              <w:rPr>
                <w:bCs/>
                <w:color w:val="000000"/>
                <w:sz w:val="16"/>
                <w:szCs w:val="16"/>
              </w:rPr>
              <w:t xml:space="preserve">National institutions have revised legal and regulatory frameworks, policies, strategies and systems  to ensure conservation and sustainable use  </w:t>
            </w:r>
            <w:r>
              <w:rPr>
                <w:bCs/>
                <w:color w:val="000000"/>
                <w:sz w:val="16"/>
                <w:szCs w:val="16"/>
              </w:rPr>
              <w:t>of</w:t>
            </w:r>
            <w:r w:rsidRPr="00165008">
              <w:rPr>
                <w:bCs/>
                <w:color w:val="000000"/>
                <w:sz w:val="16"/>
                <w:szCs w:val="16"/>
              </w:rPr>
              <w:t xml:space="preserve"> natural resources</w:t>
            </w:r>
            <w:r>
              <w:rPr>
                <w:bCs/>
                <w:color w:val="000000"/>
                <w:sz w:val="16"/>
                <w:szCs w:val="16"/>
              </w:rPr>
              <w:t xml:space="preserve"> and biodiversity</w:t>
            </w:r>
            <w:r w:rsidRPr="00165008">
              <w:rPr>
                <w:bCs/>
                <w:color w:val="000000"/>
                <w:sz w:val="16"/>
                <w:szCs w:val="16"/>
              </w:rPr>
              <w:t xml:space="preserve"> in line with international conventions and national legislation</w:t>
            </w:r>
            <w:r w:rsidRPr="00301A48">
              <w:rPr>
                <w:b/>
                <w:bCs/>
                <w:color w:val="000000"/>
                <w:sz w:val="16"/>
                <w:szCs w:val="16"/>
              </w:rPr>
              <w:t xml:space="preserve">  </w:t>
            </w:r>
          </w:p>
          <w:p w14:paraId="2D092F44" w14:textId="77777777" w:rsidR="00842773" w:rsidRPr="004F59D7" w:rsidRDefault="00842773" w:rsidP="00532502">
            <w:pPr>
              <w:rPr>
                <w:b/>
                <w:bCs/>
                <w:color w:val="000000"/>
                <w:sz w:val="16"/>
                <w:szCs w:val="16"/>
              </w:rPr>
            </w:pPr>
          </w:p>
          <w:p w14:paraId="5466FBF9" w14:textId="77777777" w:rsidR="00842773" w:rsidRDefault="00842773" w:rsidP="00532502">
            <w:pPr>
              <w:rPr>
                <w:bCs/>
                <w:color w:val="000000"/>
                <w:sz w:val="16"/>
                <w:szCs w:val="16"/>
              </w:rPr>
            </w:pPr>
            <w:r w:rsidRPr="004F59D7">
              <w:rPr>
                <w:bCs/>
                <w:color w:val="000000"/>
                <w:sz w:val="16"/>
                <w:szCs w:val="16"/>
              </w:rPr>
              <w:t>Indicator:</w:t>
            </w:r>
            <w:r>
              <w:rPr>
                <w:bCs/>
                <w:color w:val="000000"/>
                <w:sz w:val="16"/>
                <w:szCs w:val="16"/>
              </w:rPr>
              <w:t xml:space="preserve"> Number</w:t>
            </w:r>
            <w:r w:rsidRPr="004F59D7">
              <w:rPr>
                <w:bCs/>
                <w:color w:val="000000"/>
                <w:sz w:val="16"/>
                <w:szCs w:val="16"/>
              </w:rPr>
              <w:t xml:space="preserve"> of  new and or revised policy, legal  and institutional frameworks in place for conservation, sustainable use, and access  and benefit sharing  of natural resources</w:t>
            </w:r>
          </w:p>
          <w:p w14:paraId="0DDD691C" w14:textId="77777777" w:rsidR="00842773" w:rsidRDefault="00842773" w:rsidP="00532502">
            <w:pPr>
              <w:rPr>
                <w:b/>
                <w:bCs/>
                <w:color w:val="000000"/>
                <w:sz w:val="16"/>
                <w:szCs w:val="16"/>
              </w:rPr>
            </w:pPr>
            <w:r w:rsidRPr="00472149">
              <w:rPr>
                <w:b/>
                <w:bCs/>
                <w:color w:val="000000"/>
                <w:sz w:val="16"/>
                <w:szCs w:val="16"/>
              </w:rPr>
              <w:t>Baseline (2014):</w:t>
            </w:r>
            <w:r w:rsidRPr="00793AE4">
              <w:rPr>
                <w:b/>
                <w:bCs/>
                <w:color w:val="000000"/>
                <w:sz w:val="16"/>
                <w:szCs w:val="16"/>
              </w:rPr>
              <w:t xml:space="preserve"> </w:t>
            </w:r>
            <w:r>
              <w:rPr>
                <w:b/>
                <w:bCs/>
                <w:color w:val="000000"/>
                <w:sz w:val="16"/>
                <w:szCs w:val="16"/>
              </w:rPr>
              <w:t xml:space="preserve"> </w:t>
            </w:r>
            <w:r w:rsidRPr="004F59D7">
              <w:rPr>
                <w:bCs/>
                <w:color w:val="000000"/>
                <w:sz w:val="16"/>
                <w:szCs w:val="16"/>
              </w:rPr>
              <w:t xml:space="preserve">3 </w:t>
            </w:r>
          </w:p>
          <w:p w14:paraId="02160EFF" w14:textId="77777777" w:rsidR="00842773" w:rsidRDefault="00842773" w:rsidP="00532502">
            <w:pPr>
              <w:rPr>
                <w:bCs/>
                <w:color w:val="000000"/>
                <w:sz w:val="16"/>
                <w:szCs w:val="16"/>
              </w:rPr>
            </w:pPr>
            <w:r w:rsidRPr="00472149">
              <w:rPr>
                <w:b/>
                <w:bCs/>
                <w:color w:val="000000"/>
                <w:sz w:val="16"/>
                <w:szCs w:val="16"/>
              </w:rPr>
              <w:t>Target</w:t>
            </w:r>
            <w:r w:rsidRPr="004F59D7">
              <w:rPr>
                <w:b/>
                <w:bCs/>
                <w:color w:val="000000"/>
                <w:sz w:val="16"/>
                <w:szCs w:val="16"/>
              </w:rPr>
              <w:t xml:space="preserve"> (2021)</w:t>
            </w:r>
            <w:r w:rsidRPr="00472149">
              <w:rPr>
                <w:b/>
                <w:bCs/>
                <w:color w:val="000000"/>
                <w:sz w:val="16"/>
                <w:szCs w:val="16"/>
              </w:rPr>
              <w:t>:</w:t>
            </w:r>
            <w:r>
              <w:rPr>
                <w:bCs/>
                <w:color w:val="000000"/>
                <w:sz w:val="16"/>
                <w:szCs w:val="16"/>
              </w:rPr>
              <w:t xml:space="preserve">  6 </w:t>
            </w:r>
          </w:p>
          <w:p w14:paraId="234A0C7A" w14:textId="77777777" w:rsidR="00842773" w:rsidRDefault="00842773" w:rsidP="00532502">
            <w:pPr>
              <w:rPr>
                <w:b/>
                <w:bCs/>
                <w:color w:val="000000"/>
                <w:sz w:val="16"/>
                <w:szCs w:val="16"/>
              </w:rPr>
            </w:pPr>
          </w:p>
          <w:p w14:paraId="6ACD74DE" w14:textId="77777777" w:rsidR="00842773" w:rsidRPr="004F59D7" w:rsidRDefault="00842773" w:rsidP="00532502">
            <w:pPr>
              <w:rPr>
                <w:bCs/>
                <w:color w:val="000000"/>
                <w:sz w:val="16"/>
                <w:szCs w:val="16"/>
              </w:rPr>
            </w:pPr>
            <w:r w:rsidRPr="0039401F">
              <w:rPr>
                <w:b/>
                <w:bCs/>
                <w:color w:val="000000"/>
                <w:sz w:val="16"/>
                <w:szCs w:val="16"/>
              </w:rPr>
              <w:t xml:space="preserve">Data Source: </w:t>
            </w:r>
            <w:r w:rsidRPr="004F59D7">
              <w:rPr>
                <w:bCs/>
                <w:color w:val="000000"/>
                <w:sz w:val="16"/>
                <w:szCs w:val="16"/>
              </w:rPr>
              <w:t>NGO Governing Council Reports &amp; Ministry of Community Development Reports</w:t>
            </w:r>
          </w:p>
          <w:p w14:paraId="6709639B" w14:textId="77777777" w:rsidR="00842773" w:rsidRPr="00472149" w:rsidRDefault="00842773" w:rsidP="00532502">
            <w:pPr>
              <w:rPr>
                <w:b/>
                <w:bCs/>
                <w:color w:val="000000"/>
                <w:sz w:val="16"/>
                <w:szCs w:val="16"/>
              </w:rPr>
            </w:pPr>
            <w:r w:rsidRPr="0039401F">
              <w:rPr>
                <w:b/>
                <w:bCs/>
                <w:color w:val="000000"/>
                <w:sz w:val="16"/>
                <w:szCs w:val="16"/>
              </w:rPr>
              <w:t xml:space="preserve">Frequency: </w:t>
            </w:r>
            <w:r w:rsidRPr="004F59D7">
              <w:rPr>
                <w:bCs/>
                <w:color w:val="000000"/>
                <w:sz w:val="16"/>
                <w:szCs w:val="16"/>
              </w:rPr>
              <w:t>Annual</w:t>
            </w:r>
          </w:p>
        </w:tc>
        <w:tc>
          <w:tcPr>
            <w:tcW w:w="627" w:type="pct"/>
            <w:tcBorders>
              <w:top w:val="single" w:sz="8" w:space="0" w:color="000000"/>
              <w:left w:val="single" w:sz="8" w:space="0" w:color="000000"/>
              <w:bottom w:val="single" w:sz="4" w:space="0" w:color="auto"/>
              <w:right w:val="single" w:sz="4" w:space="0" w:color="auto"/>
            </w:tcBorders>
          </w:tcPr>
          <w:p w14:paraId="7C247D6C" w14:textId="3E06081C" w:rsidR="00891788" w:rsidRDefault="00842773" w:rsidP="00891788">
            <w:pPr>
              <w:rPr>
                <w:iCs/>
                <w:color w:val="000000"/>
                <w:sz w:val="16"/>
                <w:szCs w:val="16"/>
              </w:rPr>
            </w:pPr>
            <w:r w:rsidRPr="00891788">
              <w:rPr>
                <w:iCs/>
                <w:color w:val="000000"/>
                <w:sz w:val="16"/>
                <w:szCs w:val="16"/>
              </w:rPr>
              <w:t xml:space="preserve">Ministry of Tourism, Lands </w:t>
            </w:r>
            <w:r w:rsidR="00891788" w:rsidRPr="00891788">
              <w:rPr>
                <w:iCs/>
                <w:color w:val="000000"/>
                <w:sz w:val="16"/>
                <w:szCs w:val="16"/>
              </w:rPr>
              <w:t xml:space="preserve">and </w:t>
            </w:r>
            <w:r w:rsidRPr="00891788">
              <w:rPr>
                <w:iCs/>
                <w:color w:val="000000"/>
                <w:sz w:val="16"/>
                <w:szCs w:val="16"/>
              </w:rPr>
              <w:t>Environment</w:t>
            </w:r>
            <w:r w:rsidR="00345A68">
              <w:rPr>
                <w:iCs/>
                <w:color w:val="000000"/>
                <w:sz w:val="16"/>
                <w:szCs w:val="16"/>
              </w:rPr>
              <w:t>;</w:t>
            </w:r>
            <w:r w:rsidR="00345A68" w:rsidRPr="0007559A">
              <w:rPr>
                <w:iCs/>
                <w:color w:val="000000"/>
                <w:sz w:val="16"/>
                <w:szCs w:val="16"/>
              </w:rPr>
              <w:t xml:space="preserve"> </w:t>
            </w:r>
          </w:p>
          <w:p w14:paraId="6E3F0DFE" w14:textId="1EEC8A94" w:rsidR="00842773" w:rsidRPr="0007559A" w:rsidRDefault="00842773" w:rsidP="00891788">
            <w:pPr>
              <w:rPr>
                <w:b/>
                <w:bCs/>
                <w:color w:val="000000"/>
                <w:sz w:val="16"/>
                <w:szCs w:val="16"/>
              </w:rPr>
            </w:pPr>
            <w:r w:rsidRPr="0007559A">
              <w:rPr>
                <w:iCs/>
                <w:color w:val="000000"/>
                <w:sz w:val="16"/>
                <w:szCs w:val="16"/>
              </w:rPr>
              <w:t xml:space="preserve">ZEMA </w:t>
            </w:r>
          </w:p>
        </w:tc>
        <w:tc>
          <w:tcPr>
            <w:tcW w:w="614" w:type="pct"/>
            <w:tcBorders>
              <w:left w:val="single" w:sz="4" w:space="0" w:color="auto"/>
              <w:right w:val="single" w:sz="4" w:space="0" w:color="auto"/>
            </w:tcBorders>
            <w:tcMar>
              <w:top w:w="15" w:type="dxa"/>
              <w:left w:w="108" w:type="dxa"/>
              <w:bottom w:w="0" w:type="dxa"/>
              <w:right w:w="108" w:type="dxa"/>
            </w:tcMar>
            <w:vAlign w:val="center"/>
          </w:tcPr>
          <w:p w14:paraId="0408BD91" w14:textId="77777777" w:rsidR="00842773" w:rsidRPr="00501E43" w:rsidRDefault="00842773" w:rsidP="00532502">
            <w:pPr>
              <w:jc w:val="center"/>
              <w:rPr>
                <w:b/>
                <w:bCs/>
                <w:color w:val="000000"/>
                <w:sz w:val="16"/>
                <w:szCs w:val="16"/>
              </w:rPr>
            </w:pPr>
          </w:p>
        </w:tc>
      </w:tr>
      <w:tr w:rsidR="00842773" w:rsidRPr="00501E43" w14:paraId="02E8AABF" w14:textId="77777777" w:rsidTr="00AE71CA">
        <w:tc>
          <w:tcPr>
            <w:tcW w:w="5000" w:type="pct"/>
            <w:gridSpan w:val="7"/>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33C40B0C" w14:textId="77777777" w:rsidR="00842773" w:rsidRPr="00501E43" w:rsidRDefault="00842773" w:rsidP="00532502">
            <w:pPr>
              <w:rPr>
                <w:b/>
                <w:bCs/>
                <w:color w:val="000000"/>
                <w:sz w:val="16"/>
                <w:szCs w:val="16"/>
              </w:rPr>
            </w:pPr>
            <w:r w:rsidRPr="001975F1">
              <w:rPr>
                <w:b/>
                <w:bCs/>
                <w:color w:val="000000"/>
                <w:sz w:val="18"/>
                <w:szCs w:val="18"/>
              </w:rPr>
              <w:t>NATIONAL PRIORITY OR GOAL</w:t>
            </w:r>
            <w:r w:rsidRPr="008F005F">
              <w:rPr>
                <w:b/>
                <w:bCs/>
                <w:color w:val="000000"/>
                <w:sz w:val="18"/>
                <w:szCs w:val="18"/>
              </w:rPr>
              <w:t xml:space="preserve">: </w:t>
            </w:r>
            <w:r w:rsidRPr="008F005F">
              <w:rPr>
                <w:bCs/>
                <w:color w:val="0000FF"/>
                <w:sz w:val="18"/>
                <w:szCs w:val="18"/>
              </w:rPr>
              <w:t xml:space="preserve"> </w:t>
            </w:r>
            <w:r w:rsidRPr="008F005F">
              <w:rPr>
                <w:b/>
                <w:bCs/>
                <w:color w:val="000000"/>
                <w:sz w:val="18"/>
                <w:szCs w:val="18"/>
              </w:rPr>
              <w:t xml:space="preserve"> T</w:t>
            </w:r>
            <w:r>
              <w:rPr>
                <w:b/>
                <w:bCs/>
                <w:color w:val="000000"/>
                <w:sz w:val="18"/>
                <w:szCs w:val="18"/>
              </w:rPr>
              <w:t>otal adherence to good governance</w:t>
            </w:r>
          </w:p>
        </w:tc>
      </w:tr>
      <w:tr w:rsidR="00842773" w:rsidRPr="00501E43" w14:paraId="00DC84D5" w14:textId="77777777" w:rsidTr="00AE71CA">
        <w:tc>
          <w:tcPr>
            <w:tcW w:w="5000" w:type="pct"/>
            <w:gridSpan w:val="7"/>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32EB1DA1" w14:textId="0D4B2836" w:rsidR="00842773" w:rsidRPr="00501E43" w:rsidRDefault="00EC02E7" w:rsidP="00EC02E7">
            <w:pPr>
              <w:rPr>
                <w:b/>
                <w:bCs/>
                <w:color w:val="000000"/>
                <w:sz w:val="16"/>
                <w:szCs w:val="16"/>
              </w:rPr>
            </w:pPr>
            <w:r>
              <w:rPr>
                <w:b/>
                <w:bCs/>
                <w:color w:val="000000"/>
                <w:sz w:val="18"/>
                <w:szCs w:val="18"/>
              </w:rPr>
              <w:t>PARTNERSHIP FRAMEWORK</w:t>
            </w:r>
            <w:r w:rsidR="00842773">
              <w:rPr>
                <w:b/>
                <w:bCs/>
                <w:color w:val="000000"/>
                <w:sz w:val="18"/>
                <w:szCs w:val="18"/>
              </w:rPr>
              <w:t xml:space="preserve"> </w:t>
            </w:r>
            <w:r w:rsidRPr="001975F1">
              <w:rPr>
                <w:b/>
                <w:bCs/>
                <w:color w:val="000000"/>
                <w:sz w:val="18"/>
                <w:szCs w:val="18"/>
              </w:rPr>
              <w:t xml:space="preserve">OUTCOME INVOLVING </w:t>
            </w:r>
            <w:r w:rsidR="00842773" w:rsidRPr="001975F1">
              <w:rPr>
                <w:b/>
                <w:bCs/>
                <w:color w:val="000000"/>
                <w:sz w:val="18"/>
                <w:szCs w:val="18"/>
              </w:rPr>
              <w:t>UNDP #</w:t>
            </w:r>
            <w:r w:rsidR="00842773">
              <w:rPr>
                <w:b/>
                <w:bCs/>
                <w:color w:val="000000"/>
                <w:sz w:val="18"/>
                <w:szCs w:val="18"/>
              </w:rPr>
              <w:t>4:</w:t>
            </w:r>
            <w:r w:rsidR="00842773" w:rsidRPr="006A302B">
              <w:rPr>
                <w:b/>
                <w:bCs/>
                <w:color w:val="000000"/>
                <w:sz w:val="18"/>
                <w:szCs w:val="18"/>
              </w:rPr>
              <w:t xml:space="preserve"> </w:t>
            </w:r>
            <w:r w:rsidR="00842773">
              <w:rPr>
                <w:b/>
                <w:bCs/>
                <w:color w:val="000000"/>
                <w:sz w:val="18"/>
                <w:szCs w:val="18"/>
              </w:rPr>
              <w:t xml:space="preserve">By 2021, All people in Zambia, including the large number of </w:t>
            </w:r>
            <w:r>
              <w:rPr>
                <w:b/>
                <w:bCs/>
                <w:color w:val="000000"/>
                <w:sz w:val="18"/>
                <w:szCs w:val="18"/>
              </w:rPr>
              <w:t xml:space="preserve">marginalized </w:t>
            </w:r>
            <w:r w:rsidR="00842773">
              <w:rPr>
                <w:b/>
                <w:bCs/>
                <w:color w:val="000000"/>
                <w:sz w:val="18"/>
                <w:szCs w:val="18"/>
              </w:rPr>
              <w:t xml:space="preserve">and vulnerable people, have greater understanding of their rights and are able to claim them, have greater human security, have access to justice and have equal opportunity under the law. </w:t>
            </w:r>
          </w:p>
        </w:tc>
      </w:tr>
      <w:tr w:rsidR="00842773" w:rsidRPr="00501E43" w14:paraId="4FB8B83B" w14:textId="77777777" w:rsidTr="00AE71CA">
        <w:tc>
          <w:tcPr>
            <w:tcW w:w="5000" w:type="pct"/>
            <w:gridSpan w:val="7"/>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26E0939B" w14:textId="77777777" w:rsidR="00842773" w:rsidRPr="001975F1" w:rsidRDefault="00842773" w:rsidP="00532502">
            <w:pPr>
              <w:rPr>
                <w:b/>
                <w:bCs/>
                <w:color w:val="000000"/>
                <w:sz w:val="18"/>
                <w:szCs w:val="18"/>
              </w:rPr>
            </w:pPr>
            <w:r w:rsidRPr="001975F1">
              <w:rPr>
                <w:b/>
                <w:bCs/>
                <w:color w:val="000000"/>
                <w:sz w:val="18"/>
                <w:szCs w:val="18"/>
              </w:rPr>
              <w:t xml:space="preserve">Related Strategic Plan outcome 2: </w:t>
            </w:r>
            <w:r w:rsidRPr="001975F1">
              <w:rPr>
                <w:bCs/>
                <w:color w:val="000000"/>
                <w:sz w:val="18"/>
                <w:szCs w:val="18"/>
              </w:rPr>
              <w:t>Citizen expectations for voice, development, the rule of law and accountability are met by stronger systems of democratic governance</w:t>
            </w:r>
            <w:r w:rsidRPr="001975F1">
              <w:rPr>
                <w:color w:val="000000"/>
                <w:sz w:val="18"/>
                <w:szCs w:val="18"/>
              </w:rPr>
              <w:t xml:space="preserve"> </w:t>
            </w:r>
          </w:p>
          <w:p w14:paraId="108B6BF1" w14:textId="0EA82217" w:rsidR="00842773" w:rsidRPr="00501E43" w:rsidRDefault="00842773" w:rsidP="00EC02E7">
            <w:pPr>
              <w:rPr>
                <w:b/>
                <w:bCs/>
                <w:color w:val="000000"/>
                <w:sz w:val="16"/>
                <w:szCs w:val="16"/>
              </w:rPr>
            </w:pPr>
            <w:r w:rsidRPr="001975F1">
              <w:rPr>
                <w:b/>
                <w:color w:val="000000"/>
                <w:sz w:val="18"/>
                <w:szCs w:val="18"/>
              </w:rPr>
              <w:t xml:space="preserve">Related Strategic Plan </w:t>
            </w:r>
            <w:r w:rsidR="00EC02E7">
              <w:rPr>
                <w:b/>
                <w:color w:val="000000"/>
                <w:sz w:val="18"/>
                <w:szCs w:val="18"/>
              </w:rPr>
              <w:t>o</w:t>
            </w:r>
            <w:r w:rsidR="00EC02E7" w:rsidRPr="001975F1">
              <w:rPr>
                <w:b/>
                <w:color w:val="000000"/>
                <w:sz w:val="18"/>
                <w:szCs w:val="18"/>
              </w:rPr>
              <w:t xml:space="preserve">utcome </w:t>
            </w:r>
            <w:r>
              <w:rPr>
                <w:b/>
                <w:color w:val="000000"/>
                <w:sz w:val="18"/>
                <w:szCs w:val="18"/>
              </w:rPr>
              <w:t>I</w:t>
            </w:r>
            <w:r w:rsidRPr="001975F1">
              <w:rPr>
                <w:b/>
                <w:color w:val="000000"/>
                <w:sz w:val="18"/>
                <w:szCs w:val="18"/>
              </w:rPr>
              <w:t>ndicator:</w:t>
            </w:r>
            <w:r w:rsidRPr="001975F1">
              <w:rPr>
                <w:color w:val="000000"/>
                <w:sz w:val="18"/>
                <w:szCs w:val="18"/>
              </w:rPr>
              <w:t xml:space="preserve"> </w:t>
            </w:r>
            <w:r w:rsidRPr="001915EE">
              <w:rPr>
                <w:color w:val="000000"/>
                <w:sz w:val="18"/>
                <w:szCs w:val="18"/>
              </w:rPr>
              <w:t xml:space="preserve">Percentage of women in national </w:t>
            </w:r>
            <w:r w:rsidR="00EC02E7">
              <w:rPr>
                <w:color w:val="000000"/>
                <w:sz w:val="18"/>
                <w:szCs w:val="18"/>
              </w:rPr>
              <w:t>P</w:t>
            </w:r>
            <w:r w:rsidR="00EC02E7" w:rsidRPr="001915EE">
              <w:rPr>
                <w:color w:val="000000"/>
                <w:sz w:val="18"/>
                <w:szCs w:val="18"/>
              </w:rPr>
              <w:t>arliament</w:t>
            </w:r>
            <w:r w:rsidR="00EC02E7">
              <w:rPr>
                <w:color w:val="000000"/>
                <w:sz w:val="18"/>
                <w:szCs w:val="18"/>
              </w:rPr>
              <w:t>.</w:t>
            </w:r>
          </w:p>
        </w:tc>
      </w:tr>
      <w:tr w:rsidR="00842773" w:rsidRPr="00501E43" w14:paraId="77112ADC" w14:textId="77777777" w:rsidTr="00AE71CA">
        <w:tc>
          <w:tcPr>
            <w:tcW w:w="905" w:type="pct"/>
            <w:vMerge w:val="restart"/>
            <w:tcBorders>
              <w:top w:val="single" w:sz="8" w:space="0" w:color="000000"/>
              <w:left w:val="single" w:sz="8" w:space="0" w:color="000000"/>
              <w:right w:val="single" w:sz="4" w:space="0" w:color="auto"/>
            </w:tcBorders>
            <w:tcMar>
              <w:top w:w="72" w:type="dxa"/>
              <w:left w:w="144" w:type="dxa"/>
              <w:bottom w:w="72" w:type="dxa"/>
              <w:right w:w="144" w:type="dxa"/>
            </w:tcMar>
          </w:tcPr>
          <w:p w14:paraId="7C80900D" w14:textId="77777777" w:rsidR="00842773" w:rsidRPr="001313E3" w:rsidRDefault="00842773" w:rsidP="0098184F">
            <w:pPr>
              <w:rPr>
                <w:iCs/>
                <w:sz w:val="16"/>
                <w:szCs w:val="16"/>
              </w:rPr>
            </w:pPr>
            <w:r w:rsidRPr="001313E3">
              <w:rPr>
                <w:iCs/>
                <w:sz w:val="16"/>
                <w:szCs w:val="16"/>
              </w:rPr>
              <w:t xml:space="preserve">4.1 Percentage of human right cases reported to the Human Rights Commission that have been </w:t>
            </w:r>
            <w:r w:rsidR="004741ED" w:rsidRPr="001313E3">
              <w:rPr>
                <w:iCs/>
                <w:sz w:val="16"/>
                <w:szCs w:val="16"/>
              </w:rPr>
              <w:t xml:space="preserve">investigated and </w:t>
            </w:r>
            <w:r w:rsidRPr="001313E3">
              <w:rPr>
                <w:iCs/>
                <w:sz w:val="16"/>
                <w:szCs w:val="16"/>
              </w:rPr>
              <w:t>concluded.</w:t>
            </w:r>
          </w:p>
          <w:p w14:paraId="6B23385C" w14:textId="77777777" w:rsidR="00842773" w:rsidRPr="001313E3" w:rsidRDefault="00842773" w:rsidP="00DF3B82">
            <w:pPr>
              <w:rPr>
                <w:iCs/>
                <w:sz w:val="16"/>
                <w:szCs w:val="16"/>
              </w:rPr>
            </w:pPr>
            <w:r w:rsidRPr="001313E3">
              <w:rPr>
                <w:iCs/>
                <w:sz w:val="16"/>
                <w:szCs w:val="16"/>
              </w:rPr>
              <w:t>Baseline (2014):</w:t>
            </w:r>
            <w:r w:rsidR="004741ED" w:rsidRPr="001313E3">
              <w:rPr>
                <w:iCs/>
                <w:sz w:val="16"/>
                <w:szCs w:val="16"/>
              </w:rPr>
              <w:t>79</w:t>
            </w:r>
          </w:p>
          <w:p w14:paraId="41360228" w14:textId="77777777" w:rsidR="00842773" w:rsidRPr="001313E3" w:rsidRDefault="00842773" w:rsidP="00CD3A76">
            <w:pPr>
              <w:rPr>
                <w:iCs/>
                <w:sz w:val="16"/>
                <w:szCs w:val="16"/>
              </w:rPr>
            </w:pPr>
            <w:r w:rsidRPr="001313E3">
              <w:rPr>
                <w:iCs/>
                <w:sz w:val="16"/>
                <w:szCs w:val="16"/>
              </w:rPr>
              <w:t xml:space="preserve">Target (2021): </w:t>
            </w:r>
            <w:r w:rsidR="00C809EB" w:rsidRPr="001313E3">
              <w:rPr>
                <w:iCs/>
                <w:sz w:val="16"/>
                <w:szCs w:val="16"/>
              </w:rPr>
              <w:t xml:space="preserve"> </w:t>
            </w:r>
            <w:r w:rsidR="004741ED" w:rsidRPr="001313E3">
              <w:rPr>
                <w:iCs/>
                <w:sz w:val="16"/>
                <w:szCs w:val="16"/>
              </w:rPr>
              <w:t>85</w:t>
            </w:r>
          </w:p>
          <w:p w14:paraId="4FFD7F30" w14:textId="77777777" w:rsidR="00842773" w:rsidRPr="001313E3" w:rsidRDefault="00842773" w:rsidP="008C51DE">
            <w:pPr>
              <w:rPr>
                <w:iCs/>
                <w:sz w:val="16"/>
                <w:szCs w:val="16"/>
              </w:rPr>
            </w:pPr>
          </w:p>
          <w:p w14:paraId="4B05394A" w14:textId="77777777" w:rsidR="00842773" w:rsidRPr="001313E3" w:rsidRDefault="00842773" w:rsidP="005D5DF3">
            <w:pPr>
              <w:rPr>
                <w:iCs/>
                <w:sz w:val="16"/>
                <w:szCs w:val="16"/>
              </w:rPr>
            </w:pPr>
          </w:p>
          <w:p w14:paraId="2273B875" w14:textId="77777777" w:rsidR="00842773" w:rsidRPr="001313E3" w:rsidRDefault="00842773" w:rsidP="00A12B94">
            <w:pPr>
              <w:rPr>
                <w:iCs/>
                <w:sz w:val="16"/>
                <w:szCs w:val="16"/>
              </w:rPr>
            </w:pPr>
          </w:p>
          <w:p w14:paraId="4C781B8C" w14:textId="77777777" w:rsidR="00842773" w:rsidRPr="001313E3" w:rsidRDefault="00842773" w:rsidP="00C72A0E">
            <w:pPr>
              <w:rPr>
                <w:iCs/>
                <w:sz w:val="16"/>
                <w:szCs w:val="16"/>
              </w:rPr>
            </w:pPr>
          </w:p>
          <w:p w14:paraId="36C5A8CB" w14:textId="77777777" w:rsidR="00842773" w:rsidRPr="001313E3" w:rsidRDefault="00842773" w:rsidP="00C81552">
            <w:pPr>
              <w:rPr>
                <w:iCs/>
                <w:sz w:val="16"/>
                <w:szCs w:val="16"/>
              </w:rPr>
            </w:pPr>
          </w:p>
          <w:p w14:paraId="57E952E7" w14:textId="77777777" w:rsidR="00842773" w:rsidRPr="001313E3" w:rsidRDefault="00842773" w:rsidP="00C809EB">
            <w:pPr>
              <w:rPr>
                <w:iCs/>
                <w:sz w:val="16"/>
                <w:szCs w:val="16"/>
              </w:rPr>
            </w:pPr>
          </w:p>
          <w:p w14:paraId="2D1E5BFC" w14:textId="77777777" w:rsidR="00842773" w:rsidRPr="001313E3" w:rsidRDefault="00842773" w:rsidP="00C809EB">
            <w:pPr>
              <w:rPr>
                <w:iCs/>
                <w:sz w:val="16"/>
                <w:szCs w:val="16"/>
              </w:rPr>
            </w:pPr>
          </w:p>
          <w:p w14:paraId="00BB93E3" w14:textId="77777777" w:rsidR="00842773" w:rsidRPr="001313E3" w:rsidRDefault="00842773" w:rsidP="008205F6">
            <w:pPr>
              <w:rPr>
                <w:iCs/>
                <w:sz w:val="16"/>
                <w:szCs w:val="16"/>
              </w:rPr>
            </w:pPr>
          </w:p>
          <w:p w14:paraId="37252DED" w14:textId="77777777" w:rsidR="00842773" w:rsidRPr="001313E3" w:rsidRDefault="00842773" w:rsidP="0018668C">
            <w:pPr>
              <w:rPr>
                <w:iCs/>
                <w:sz w:val="16"/>
                <w:szCs w:val="16"/>
              </w:rPr>
            </w:pPr>
            <w:r w:rsidRPr="001313E3">
              <w:rPr>
                <w:iCs/>
                <w:sz w:val="16"/>
                <w:szCs w:val="16"/>
              </w:rPr>
              <w:t>4.2.Mo Ibrahim index for participation and h</w:t>
            </w:r>
            <w:r w:rsidR="00843CAB" w:rsidRPr="001313E3">
              <w:rPr>
                <w:iCs/>
                <w:sz w:val="16"/>
                <w:szCs w:val="16"/>
              </w:rPr>
              <w:t>uman rights</w:t>
            </w:r>
          </w:p>
          <w:p w14:paraId="285FBB5C" w14:textId="77777777" w:rsidR="00842773" w:rsidRPr="001313E3" w:rsidRDefault="00842773" w:rsidP="0018668C">
            <w:pPr>
              <w:rPr>
                <w:iCs/>
                <w:sz w:val="16"/>
                <w:szCs w:val="16"/>
              </w:rPr>
            </w:pPr>
            <w:r w:rsidRPr="001313E3">
              <w:rPr>
                <w:iCs/>
                <w:sz w:val="16"/>
                <w:szCs w:val="16"/>
              </w:rPr>
              <w:t>Baseline (2014): 60.4</w:t>
            </w:r>
          </w:p>
          <w:p w14:paraId="7BA38AB1" w14:textId="77777777" w:rsidR="00842773" w:rsidRPr="001313E3" w:rsidRDefault="00842773" w:rsidP="0018668C">
            <w:pPr>
              <w:shd w:val="clear" w:color="auto" w:fill="FFFFFF"/>
              <w:rPr>
                <w:iCs/>
                <w:sz w:val="16"/>
                <w:szCs w:val="16"/>
              </w:rPr>
            </w:pPr>
            <w:r w:rsidRPr="001313E3">
              <w:rPr>
                <w:iCs/>
                <w:sz w:val="16"/>
                <w:szCs w:val="16"/>
              </w:rPr>
              <w:t>Target (2021): 65</w:t>
            </w:r>
          </w:p>
          <w:p w14:paraId="4C0C9313" w14:textId="77777777" w:rsidR="00842773" w:rsidRPr="001313E3" w:rsidRDefault="00842773" w:rsidP="0018668C">
            <w:pPr>
              <w:rPr>
                <w:iCs/>
                <w:sz w:val="16"/>
                <w:szCs w:val="16"/>
              </w:rPr>
            </w:pPr>
          </w:p>
          <w:p w14:paraId="1973139A" w14:textId="77777777" w:rsidR="00842773" w:rsidRPr="001313E3" w:rsidRDefault="00842773" w:rsidP="0018668C">
            <w:pPr>
              <w:rPr>
                <w:iCs/>
                <w:sz w:val="16"/>
                <w:szCs w:val="16"/>
              </w:rPr>
            </w:pPr>
          </w:p>
          <w:p w14:paraId="6EC3AA4C" w14:textId="77777777" w:rsidR="00842773" w:rsidRPr="001313E3" w:rsidRDefault="00842773" w:rsidP="0018668C">
            <w:pPr>
              <w:rPr>
                <w:iCs/>
                <w:sz w:val="16"/>
                <w:szCs w:val="16"/>
                <w:highlight w:val="yellow"/>
              </w:rPr>
            </w:pPr>
          </w:p>
          <w:p w14:paraId="63691E04" w14:textId="77777777" w:rsidR="00842773" w:rsidRPr="001313E3" w:rsidRDefault="00842773" w:rsidP="0018668C">
            <w:pPr>
              <w:rPr>
                <w:iCs/>
                <w:sz w:val="16"/>
                <w:szCs w:val="16"/>
                <w:highlight w:val="yellow"/>
              </w:rPr>
            </w:pPr>
          </w:p>
          <w:p w14:paraId="52B17BC2" w14:textId="77777777" w:rsidR="00842773" w:rsidRPr="001313E3" w:rsidRDefault="00842773" w:rsidP="0018668C">
            <w:pPr>
              <w:rPr>
                <w:iCs/>
                <w:sz w:val="16"/>
                <w:szCs w:val="16"/>
                <w:highlight w:val="yellow"/>
              </w:rPr>
            </w:pPr>
          </w:p>
          <w:p w14:paraId="7DE5A86D" w14:textId="77777777" w:rsidR="00842773" w:rsidRPr="001313E3" w:rsidRDefault="00842773" w:rsidP="0018668C">
            <w:pPr>
              <w:rPr>
                <w:iCs/>
                <w:sz w:val="16"/>
                <w:szCs w:val="16"/>
                <w:highlight w:val="yellow"/>
              </w:rPr>
            </w:pPr>
          </w:p>
          <w:p w14:paraId="6E7B4D77" w14:textId="77777777" w:rsidR="00842773" w:rsidRPr="001313E3" w:rsidRDefault="00842773" w:rsidP="0018668C">
            <w:pPr>
              <w:rPr>
                <w:iCs/>
                <w:sz w:val="16"/>
                <w:szCs w:val="16"/>
                <w:highlight w:val="yellow"/>
              </w:rPr>
            </w:pPr>
          </w:p>
          <w:p w14:paraId="0B57AF6A" w14:textId="77777777" w:rsidR="00842773" w:rsidRPr="001313E3" w:rsidRDefault="00842773" w:rsidP="0018668C">
            <w:pPr>
              <w:rPr>
                <w:bCs/>
                <w:color w:val="000000"/>
                <w:sz w:val="16"/>
                <w:szCs w:val="16"/>
              </w:rPr>
            </w:pPr>
            <w:r w:rsidRPr="001313E3">
              <w:rPr>
                <w:bCs/>
                <w:color w:val="000000"/>
                <w:sz w:val="16"/>
                <w:szCs w:val="16"/>
              </w:rPr>
              <w:t>4.3 Gender Inequality Index (GII))</w:t>
            </w:r>
          </w:p>
          <w:p w14:paraId="3DF13F9D" w14:textId="77777777" w:rsidR="00842773" w:rsidRPr="001313E3" w:rsidRDefault="00842773" w:rsidP="0018668C">
            <w:pPr>
              <w:rPr>
                <w:bCs/>
                <w:color w:val="000000"/>
                <w:sz w:val="16"/>
                <w:szCs w:val="16"/>
              </w:rPr>
            </w:pPr>
            <w:r w:rsidRPr="001313E3">
              <w:rPr>
                <w:bCs/>
                <w:color w:val="000000"/>
                <w:sz w:val="16"/>
                <w:szCs w:val="16"/>
              </w:rPr>
              <w:t>Baseline (2014): 0.617</w:t>
            </w:r>
          </w:p>
          <w:p w14:paraId="6B223629" w14:textId="77777777" w:rsidR="00842773" w:rsidRPr="001313E3" w:rsidRDefault="00842773" w:rsidP="0018668C">
            <w:pPr>
              <w:rPr>
                <w:bCs/>
                <w:color w:val="000000"/>
                <w:sz w:val="16"/>
                <w:szCs w:val="16"/>
              </w:rPr>
            </w:pPr>
            <w:r w:rsidRPr="001313E3">
              <w:rPr>
                <w:bCs/>
                <w:color w:val="000000"/>
                <w:sz w:val="16"/>
                <w:szCs w:val="16"/>
              </w:rPr>
              <w:t>Target (2021)</w:t>
            </w:r>
            <w:r w:rsidR="00007A88" w:rsidRPr="001313E3">
              <w:rPr>
                <w:bCs/>
                <w:color w:val="000000"/>
                <w:sz w:val="16"/>
                <w:szCs w:val="16"/>
              </w:rPr>
              <w:t>:</w:t>
            </w:r>
            <w:r w:rsidRPr="001313E3">
              <w:rPr>
                <w:bCs/>
                <w:color w:val="000000"/>
                <w:sz w:val="16"/>
                <w:szCs w:val="16"/>
              </w:rPr>
              <w:t xml:space="preserve"> </w:t>
            </w:r>
            <w:r w:rsidR="00007A88" w:rsidRPr="001313E3">
              <w:rPr>
                <w:bCs/>
                <w:color w:val="000000"/>
                <w:sz w:val="16"/>
                <w:szCs w:val="16"/>
              </w:rPr>
              <w:t>0.550</w:t>
            </w:r>
          </w:p>
          <w:p w14:paraId="1A84B1B7" w14:textId="77777777" w:rsidR="00842773" w:rsidRPr="001313E3" w:rsidRDefault="00842773" w:rsidP="00F002AF">
            <w:pPr>
              <w:rPr>
                <w:bCs/>
                <w:color w:val="000000"/>
                <w:sz w:val="16"/>
                <w:szCs w:val="16"/>
              </w:rPr>
            </w:pPr>
          </w:p>
          <w:p w14:paraId="6FA285D4" w14:textId="77777777" w:rsidR="00842773" w:rsidRPr="001313E3" w:rsidRDefault="00842773" w:rsidP="00F002AF">
            <w:pPr>
              <w:rPr>
                <w:bCs/>
                <w:color w:val="000000"/>
                <w:sz w:val="16"/>
                <w:szCs w:val="16"/>
              </w:rPr>
            </w:pPr>
          </w:p>
          <w:p w14:paraId="48F519BD" w14:textId="77777777" w:rsidR="00842773" w:rsidRPr="001313E3" w:rsidRDefault="00842773" w:rsidP="00F002AF">
            <w:pPr>
              <w:rPr>
                <w:b/>
                <w:bCs/>
                <w:color w:val="000000"/>
                <w:sz w:val="16"/>
                <w:szCs w:val="16"/>
              </w:rPr>
            </w:pPr>
          </w:p>
        </w:tc>
        <w:tc>
          <w:tcPr>
            <w:tcW w:w="685" w:type="pct"/>
            <w:gridSpan w:val="2"/>
            <w:vMerge w:val="restart"/>
            <w:tcBorders>
              <w:top w:val="single" w:sz="8" w:space="0" w:color="000000"/>
              <w:left w:val="single" w:sz="4" w:space="0" w:color="auto"/>
              <w:right w:val="single" w:sz="8" w:space="0" w:color="000000"/>
            </w:tcBorders>
          </w:tcPr>
          <w:p w14:paraId="7DE94E15" w14:textId="77777777" w:rsidR="00842773" w:rsidRPr="001313E3" w:rsidRDefault="00842773" w:rsidP="00843CAB">
            <w:pPr>
              <w:rPr>
                <w:iCs/>
                <w:sz w:val="16"/>
                <w:szCs w:val="16"/>
              </w:rPr>
            </w:pPr>
            <w:r w:rsidRPr="001313E3">
              <w:rPr>
                <w:iCs/>
                <w:sz w:val="16"/>
                <w:szCs w:val="16"/>
              </w:rPr>
              <w:lastRenderedPageBreak/>
              <w:t>HRC Annual State of Rights Reports</w:t>
            </w:r>
          </w:p>
          <w:p w14:paraId="7A658771" w14:textId="77777777" w:rsidR="00842773" w:rsidRPr="001313E3" w:rsidRDefault="00842773" w:rsidP="00843CAB">
            <w:pPr>
              <w:rPr>
                <w:iCs/>
                <w:sz w:val="16"/>
                <w:szCs w:val="16"/>
              </w:rPr>
            </w:pPr>
          </w:p>
          <w:p w14:paraId="2409F828" w14:textId="77777777" w:rsidR="00842773" w:rsidRPr="001313E3" w:rsidRDefault="00842773" w:rsidP="00843CAB">
            <w:pPr>
              <w:rPr>
                <w:iCs/>
                <w:sz w:val="16"/>
                <w:szCs w:val="16"/>
              </w:rPr>
            </w:pPr>
          </w:p>
          <w:p w14:paraId="2D81E4FC" w14:textId="77777777" w:rsidR="00842773" w:rsidRPr="001313E3" w:rsidRDefault="00842773" w:rsidP="00843CAB">
            <w:pPr>
              <w:rPr>
                <w:iCs/>
                <w:sz w:val="16"/>
                <w:szCs w:val="16"/>
              </w:rPr>
            </w:pPr>
          </w:p>
          <w:p w14:paraId="6B3A51D7" w14:textId="77777777" w:rsidR="00842773" w:rsidRPr="001313E3" w:rsidRDefault="00842773" w:rsidP="00843CAB">
            <w:pPr>
              <w:rPr>
                <w:iCs/>
                <w:sz w:val="16"/>
                <w:szCs w:val="16"/>
              </w:rPr>
            </w:pPr>
          </w:p>
          <w:p w14:paraId="37628B15" w14:textId="77777777" w:rsidR="00842773" w:rsidRPr="001313E3" w:rsidRDefault="00842773" w:rsidP="00843CAB">
            <w:pPr>
              <w:rPr>
                <w:iCs/>
                <w:sz w:val="16"/>
                <w:szCs w:val="16"/>
              </w:rPr>
            </w:pPr>
          </w:p>
          <w:p w14:paraId="5A7E86B5" w14:textId="77777777" w:rsidR="00842773" w:rsidRPr="001313E3" w:rsidRDefault="00842773" w:rsidP="00843CAB">
            <w:pPr>
              <w:rPr>
                <w:iCs/>
                <w:sz w:val="16"/>
                <w:szCs w:val="16"/>
              </w:rPr>
            </w:pPr>
          </w:p>
          <w:p w14:paraId="4302C50A" w14:textId="77777777" w:rsidR="00842773" w:rsidRPr="001313E3" w:rsidRDefault="00842773" w:rsidP="00843CAB">
            <w:pPr>
              <w:rPr>
                <w:iCs/>
                <w:sz w:val="16"/>
                <w:szCs w:val="16"/>
              </w:rPr>
            </w:pPr>
          </w:p>
          <w:p w14:paraId="5C4DF110" w14:textId="77777777" w:rsidR="00842773" w:rsidRPr="001313E3" w:rsidRDefault="00842773" w:rsidP="00843CAB">
            <w:pPr>
              <w:rPr>
                <w:iCs/>
                <w:sz w:val="16"/>
                <w:szCs w:val="16"/>
              </w:rPr>
            </w:pPr>
          </w:p>
          <w:p w14:paraId="3525EA40" w14:textId="77777777" w:rsidR="00842773" w:rsidRPr="001313E3" w:rsidRDefault="00842773" w:rsidP="00843CAB">
            <w:pPr>
              <w:rPr>
                <w:iCs/>
                <w:sz w:val="16"/>
                <w:szCs w:val="16"/>
              </w:rPr>
            </w:pPr>
          </w:p>
          <w:p w14:paraId="0A986142" w14:textId="77777777" w:rsidR="00842773" w:rsidRPr="001313E3" w:rsidRDefault="00842773" w:rsidP="00843CAB">
            <w:pPr>
              <w:rPr>
                <w:iCs/>
                <w:sz w:val="16"/>
                <w:szCs w:val="16"/>
              </w:rPr>
            </w:pPr>
          </w:p>
          <w:p w14:paraId="12D7E9CF" w14:textId="77777777" w:rsidR="00842773" w:rsidRPr="001313E3" w:rsidRDefault="00842773" w:rsidP="00843CAB">
            <w:pPr>
              <w:rPr>
                <w:iCs/>
                <w:sz w:val="16"/>
                <w:szCs w:val="16"/>
              </w:rPr>
            </w:pPr>
          </w:p>
          <w:p w14:paraId="003172F5" w14:textId="77777777" w:rsidR="00842773" w:rsidRPr="001313E3" w:rsidRDefault="00842773" w:rsidP="00843CAB">
            <w:pPr>
              <w:rPr>
                <w:iCs/>
                <w:sz w:val="16"/>
                <w:szCs w:val="16"/>
              </w:rPr>
            </w:pPr>
          </w:p>
          <w:p w14:paraId="0413E2CC" w14:textId="77777777" w:rsidR="00842773" w:rsidRPr="001313E3" w:rsidRDefault="00842773" w:rsidP="00843CAB">
            <w:pPr>
              <w:rPr>
                <w:iCs/>
                <w:sz w:val="16"/>
                <w:szCs w:val="16"/>
              </w:rPr>
            </w:pPr>
            <w:r w:rsidRPr="001313E3">
              <w:rPr>
                <w:iCs/>
                <w:sz w:val="16"/>
                <w:szCs w:val="16"/>
              </w:rPr>
              <w:t>Mo-Ibrahim Index Reports</w:t>
            </w:r>
          </w:p>
          <w:p w14:paraId="09F04BA9" w14:textId="77777777" w:rsidR="00842773" w:rsidRPr="001313E3" w:rsidRDefault="00842773" w:rsidP="00843CAB">
            <w:pPr>
              <w:rPr>
                <w:iCs/>
                <w:sz w:val="16"/>
                <w:szCs w:val="16"/>
              </w:rPr>
            </w:pPr>
          </w:p>
          <w:p w14:paraId="62933FEF" w14:textId="77777777" w:rsidR="00842773" w:rsidRPr="001313E3" w:rsidRDefault="00842773" w:rsidP="00843CAB">
            <w:pPr>
              <w:rPr>
                <w:iCs/>
                <w:sz w:val="16"/>
                <w:szCs w:val="16"/>
              </w:rPr>
            </w:pPr>
          </w:p>
          <w:p w14:paraId="4608ADEB" w14:textId="77777777" w:rsidR="00842773" w:rsidRPr="001313E3" w:rsidRDefault="00842773" w:rsidP="00843CAB">
            <w:pPr>
              <w:rPr>
                <w:iCs/>
                <w:sz w:val="16"/>
                <w:szCs w:val="16"/>
              </w:rPr>
            </w:pPr>
          </w:p>
          <w:p w14:paraId="5604FCB7" w14:textId="77777777" w:rsidR="00842773" w:rsidRPr="001313E3" w:rsidRDefault="00842773" w:rsidP="00843CAB">
            <w:pPr>
              <w:rPr>
                <w:iCs/>
                <w:sz w:val="16"/>
                <w:szCs w:val="16"/>
              </w:rPr>
            </w:pPr>
          </w:p>
          <w:p w14:paraId="185FEB59" w14:textId="77777777" w:rsidR="00842773" w:rsidRPr="001313E3" w:rsidRDefault="00842773" w:rsidP="00843CAB">
            <w:pPr>
              <w:rPr>
                <w:iCs/>
                <w:sz w:val="16"/>
                <w:szCs w:val="16"/>
              </w:rPr>
            </w:pPr>
          </w:p>
          <w:p w14:paraId="32D47A44" w14:textId="77777777" w:rsidR="00842773" w:rsidRPr="001313E3" w:rsidRDefault="00842773" w:rsidP="00843CAB">
            <w:pPr>
              <w:rPr>
                <w:iCs/>
                <w:sz w:val="16"/>
                <w:szCs w:val="16"/>
              </w:rPr>
            </w:pPr>
          </w:p>
          <w:p w14:paraId="1C6360BE" w14:textId="77777777" w:rsidR="00842773" w:rsidRPr="001313E3" w:rsidRDefault="00842773" w:rsidP="00843CAB">
            <w:pPr>
              <w:rPr>
                <w:iCs/>
                <w:sz w:val="16"/>
                <w:szCs w:val="16"/>
              </w:rPr>
            </w:pPr>
          </w:p>
          <w:p w14:paraId="2B830AED" w14:textId="77777777" w:rsidR="00842773" w:rsidRPr="001313E3" w:rsidRDefault="00842773" w:rsidP="00843CAB">
            <w:pPr>
              <w:rPr>
                <w:iCs/>
                <w:sz w:val="16"/>
                <w:szCs w:val="16"/>
              </w:rPr>
            </w:pPr>
          </w:p>
          <w:p w14:paraId="5D46FEE3" w14:textId="77777777" w:rsidR="00842773" w:rsidRPr="001313E3" w:rsidRDefault="00842773" w:rsidP="00843CAB">
            <w:pPr>
              <w:rPr>
                <w:iCs/>
                <w:sz w:val="16"/>
                <w:szCs w:val="16"/>
              </w:rPr>
            </w:pPr>
          </w:p>
          <w:p w14:paraId="07AD2DAC" w14:textId="77777777" w:rsidR="00842773" w:rsidRPr="001313E3" w:rsidRDefault="00842773" w:rsidP="00843CAB">
            <w:pPr>
              <w:rPr>
                <w:iCs/>
                <w:sz w:val="16"/>
                <w:szCs w:val="16"/>
              </w:rPr>
            </w:pPr>
          </w:p>
          <w:p w14:paraId="19BDE5D8" w14:textId="77777777" w:rsidR="00842773" w:rsidRPr="001313E3" w:rsidRDefault="00842773" w:rsidP="00843CAB">
            <w:pPr>
              <w:rPr>
                <w:iCs/>
                <w:sz w:val="16"/>
                <w:szCs w:val="16"/>
              </w:rPr>
            </w:pPr>
            <w:r w:rsidRPr="001313E3">
              <w:rPr>
                <w:iCs/>
                <w:sz w:val="16"/>
                <w:szCs w:val="16"/>
              </w:rPr>
              <w:t>HDRs</w:t>
            </w:r>
          </w:p>
          <w:p w14:paraId="25275873" w14:textId="77777777" w:rsidR="00842773" w:rsidRPr="001313E3" w:rsidRDefault="00842773" w:rsidP="00843CAB">
            <w:pPr>
              <w:rPr>
                <w:iCs/>
                <w:sz w:val="16"/>
                <w:szCs w:val="16"/>
              </w:rPr>
            </w:pPr>
          </w:p>
          <w:p w14:paraId="71790A77" w14:textId="77777777" w:rsidR="00842773" w:rsidRPr="001313E3" w:rsidRDefault="00842773" w:rsidP="00843CAB">
            <w:pPr>
              <w:rPr>
                <w:iCs/>
                <w:sz w:val="16"/>
                <w:szCs w:val="16"/>
              </w:rPr>
            </w:pPr>
          </w:p>
          <w:p w14:paraId="4B937D80" w14:textId="77777777" w:rsidR="00842773" w:rsidRPr="001313E3" w:rsidRDefault="00842773" w:rsidP="00843CAB">
            <w:pPr>
              <w:rPr>
                <w:iCs/>
                <w:sz w:val="16"/>
                <w:szCs w:val="16"/>
              </w:rPr>
            </w:pPr>
          </w:p>
          <w:p w14:paraId="74428485" w14:textId="77777777" w:rsidR="00842773" w:rsidRPr="001313E3" w:rsidRDefault="00842773" w:rsidP="00843CAB">
            <w:pPr>
              <w:rPr>
                <w:iCs/>
                <w:sz w:val="16"/>
                <w:szCs w:val="16"/>
              </w:rPr>
            </w:pPr>
          </w:p>
          <w:p w14:paraId="36E2C72C" w14:textId="77777777" w:rsidR="00842773" w:rsidRPr="001313E3" w:rsidRDefault="00842773" w:rsidP="00843CAB">
            <w:pPr>
              <w:rPr>
                <w:iCs/>
                <w:sz w:val="16"/>
                <w:szCs w:val="16"/>
              </w:rPr>
            </w:pPr>
          </w:p>
          <w:p w14:paraId="34FFA958" w14:textId="77777777" w:rsidR="00842773" w:rsidRPr="001313E3" w:rsidRDefault="00842773" w:rsidP="00843CAB">
            <w:pPr>
              <w:rPr>
                <w:iCs/>
                <w:sz w:val="16"/>
                <w:szCs w:val="16"/>
              </w:rPr>
            </w:pPr>
          </w:p>
          <w:p w14:paraId="4F105DF3" w14:textId="77777777" w:rsidR="00842773" w:rsidRPr="001313E3" w:rsidRDefault="00842773" w:rsidP="00843CAB">
            <w:pPr>
              <w:rPr>
                <w:iCs/>
                <w:sz w:val="16"/>
                <w:szCs w:val="16"/>
              </w:rPr>
            </w:pPr>
          </w:p>
        </w:tc>
        <w:tc>
          <w:tcPr>
            <w:tcW w:w="2162"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14:paraId="41F109F8" w14:textId="77777777" w:rsidR="00842773" w:rsidRDefault="00842773" w:rsidP="00532502">
            <w:pPr>
              <w:rPr>
                <w:b/>
                <w:iCs/>
                <w:color w:val="000000"/>
                <w:sz w:val="16"/>
                <w:szCs w:val="16"/>
              </w:rPr>
            </w:pPr>
            <w:r>
              <w:rPr>
                <w:b/>
                <w:iCs/>
                <w:color w:val="000000"/>
                <w:sz w:val="16"/>
                <w:szCs w:val="16"/>
              </w:rPr>
              <w:lastRenderedPageBreak/>
              <w:t>Output 4.1</w:t>
            </w:r>
            <w:r w:rsidRPr="001975F1">
              <w:rPr>
                <w:b/>
                <w:iCs/>
                <w:color w:val="000000"/>
                <w:sz w:val="16"/>
                <w:szCs w:val="16"/>
              </w:rPr>
              <w:t xml:space="preserve"> </w:t>
            </w:r>
            <w:r w:rsidRPr="00165008">
              <w:rPr>
                <w:iCs/>
                <w:color w:val="000000"/>
                <w:sz w:val="16"/>
                <w:szCs w:val="16"/>
              </w:rPr>
              <w:t>Human Rights Commission has developed strategies, procedures, and systems</w:t>
            </w:r>
            <w:r w:rsidRPr="009E25E7">
              <w:t xml:space="preserve"> </w:t>
            </w:r>
            <w:r w:rsidRPr="00165008">
              <w:rPr>
                <w:iCs/>
                <w:color w:val="000000"/>
                <w:sz w:val="16"/>
                <w:szCs w:val="16"/>
              </w:rPr>
              <w:t>to perform core functions for advocating the domestication and fulfilment of human rights in line with regional and international treaties and conventions.</w:t>
            </w:r>
            <w:r>
              <w:rPr>
                <w:b/>
                <w:iCs/>
                <w:color w:val="000000"/>
                <w:sz w:val="16"/>
                <w:szCs w:val="16"/>
              </w:rPr>
              <w:t xml:space="preserve">  </w:t>
            </w:r>
          </w:p>
          <w:p w14:paraId="57184F00" w14:textId="77777777" w:rsidR="00842773" w:rsidRPr="001975F1" w:rsidRDefault="00842773" w:rsidP="00532502">
            <w:pPr>
              <w:rPr>
                <w:b/>
                <w:iCs/>
                <w:color w:val="000000"/>
                <w:sz w:val="16"/>
                <w:szCs w:val="16"/>
              </w:rPr>
            </w:pPr>
          </w:p>
          <w:p w14:paraId="5A9BA005" w14:textId="77777777" w:rsidR="00842773" w:rsidRPr="004F59D7" w:rsidRDefault="00842773" w:rsidP="00532502">
            <w:pPr>
              <w:rPr>
                <w:iCs/>
                <w:color w:val="000000"/>
                <w:sz w:val="16"/>
                <w:szCs w:val="16"/>
              </w:rPr>
            </w:pPr>
            <w:r w:rsidRPr="00BA5ECA">
              <w:rPr>
                <w:iCs/>
                <w:color w:val="000000"/>
                <w:sz w:val="16"/>
                <w:szCs w:val="16"/>
              </w:rPr>
              <w:t xml:space="preserve">Indicator: Number of </w:t>
            </w:r>
            <w:r>
              <w:rPr>
                <w:iCs/>
                <w:color w:val="000000"/>
                <w:sz w:val="16"/>
                <w:szCs w:val="16"/>
              </w:rPr>
              <w:t xml:space="preserve">functional </w:t>
            </w:r>
            <w:r w:rsidRPr="00ED7013">
              <w:rPr>
                <w:b/>
                <w:iCs/>
                <w:color w:val="000000"/>
                <w:sz w:val="16"/>
                <w:szCs w:val="16"/>
              </w:rPr>
              <w:t>service provider-media- community level</w:t>
            </w:r>
            <w:r>
              <w:rPr>
                <w:iCs/>
                <w:color w:val="000000"/>
                <w:sz w:val="16"/>
                <w:szCs w:val="16"/>
              </w:rPr>
              <w:t xml:space="preserve"> engagement forums for </w:t>
            </w:r>
            <w:r w:rsidRPr="004F59D7">
              <w:rPr>
                <w:iCs/>
                <w:color w:val="000000"/>
                <w:sz w:val="16"/>
                <w:szCs w:val="16"/>
              </w:rPr>
              <w:t xml:space="preserve">the fulfilment of ratified regional and international human rights obligations </w:t>
            </w:r>
          </w:p>
          <w:p w14:paraId="1F56C4AC" w14:textId="77777777" w:rsidR="00842773" w:rsidRPr="004F59D7" w:rsidRDefault="00842773" w:rsidP="00532502">
            <w:pPr>
              <w:ind w:left="360"/>
              <w:rPr>
                <w:iCs/>
                <w:color w:val="000000"/>
                <w:sz w:val="16"/>
                <w:szCs w:val="16"/>
              </w:rPr>
            </w:pPr>
          </w:p>
          <w:p w14:paraId="5EC3C0B1" w14:textId="77777777" w:rsidR="00842773" w:rsidRPr="001975F1" w:rsidRDefault="00842773" w:rsidP="00532502">
            <w:pPr>
              <w:rPr>
                <w:iCs/>
                <w:color w:val="000000"/>
                <w:sz w:val="16"/>
                <w:szCs w:val="16"/>
                <w:highlight w:val="yellow"/>
              </w:rPr>
            </w:pPr>
            <w:r w:rsidRPr="004F59D7">
              <w:rPr>
                <w:iCs/>
                <w:color w:val="000000"/>
                <w:sz w:val="16"/>
                <w:szCs w:val="16"/>
              </w:rPr>
              <w:t>B</w:t>
            </w:r>
            <w:r>
              <w:rPr>
                <w:iCs/>
                <w:color w:val="000000"/>
                <w:sz w:val="16"/>
                <w:szCs w:val="16"/>
              </w:rPr>
              <w:t>aseline (2014): 0</w:t>
            </w:r>
          </w:p>
          <w:p w14:paraId="16C427B6" w14:textId="77777777" w:rsidR="00842773" w:rsidRPr="001975F1" w:rsidRDefault="00842773" w:rsidP="00532502">
            <w:pPr>
              <w:rPr>
                <w:iCs/>
                <w:color w:val="000000"/>
                <w:sz w:val="16"/>
                <w:szCs w:val="16"/>
              </w:rPr>
            </w:pPr>
            <w:r w:rsidRPr="004F59D7">
              <w:rPr>
                <w:iCs/>
                <w:color w:val="000000"/>
                <w:sz w:val="16"/>
                <w:szCs w:val="16"/>
              </w:rPr>
              <w:t xml:space="preserve">Target (2021):    </w:t>
            </w:r>
            <w:r>
              <w:rPr>
                <w:iCs/>
                <w:color w:val="000000"/>
                <w:sz w:val="16"/>
                <w:szCs w:val="16"/>
              </w:rPr>
              <w:t>3</w:t>
            </w:r>
          </w:p>
          <w:p w14:paraId="7E3429AF" w14:textId="77777777" w:rsidR="00842773" w:rsidRPr="001975F1" w:rsidRDefault="00842773" w:rsidP="00532502">
            <w:pPr>
              <w:rPr>
                <w:iCs/>
                <w:color w:val="000000"/>
                <w:sz w:val="16"/>
                <w:szCs w:val="16"/>
              </w:rPr>
            </w:pPr>
          </w:p>
          <w:p w14:paraId="32302419" w14:textId="77777777" w:rsidR="00842773" w:rsidRPr="001975F1" w:rsidRDefault="00842773" w:rsidP="00532502">
            <w:pPr>
              <w:rPr>
                <w:iCs/>
                <w:color w:val="000000"/>
                <w:sz w:val="16"/>
                <w:szCs w:val="16"/>
              </w:rPr>
            </w:pPr>
            <w:r w:rsidRPr="001975F1">
              <w:rPr>
                <w:b/>
                <w:iCs/>
                <w:color w:val="000000"/>
                <w:sz w:val="16"/>
                <w:szCs w:val="16"/>
              </w:rPr>
              <w:t>Data Source:</w:t>
            </w:r>
            <w:r w:rsidRPr="001975F1">
              <w:rPr>
                <w:iCs/>
                <w:color w:val="000000"/>
                <w:sz w:val="16"/>
                <w:szCs w:val="16"/>
              </w:rPr>
              <w:t xml:space="preserve"> Annual Human Rights Report</w:t>
            </w:r>
            <w:r>
              <w:rPr>
                <w:iCs/>
                <w:color w:val="000000"/>
                <w:sz w:val="16"/>
                <w:szCs w:val="16"/>
              </w:rPr>
              <w:t xml:space="preserve">, Human Rights Commission Records, </w:t>
            </w:r>
            <w:r>
              <w:rPr>
                <w:iCs/>
                <w:color w:val="000000"/>
                <w:sz w:val="16"/>
                <w:szCs w:val="16"/>
              </w:rPr>
              <w:lastRenderedPageBreak/>
              <w:t>CSO Reports</w:t>
            </w:r>
          </w:p>
          <w:p w14:paraId="7BE5A0EE" w14:textId="77777777" w:rsidR="00842773" w:rsidRPr="00501E43" w:rsidRDefault="00842773" w:rsidP="00532502">
            <w:pPr>
              <w:rPr>
                <w:b/>
                <w:bCs/>
                <w:color w:val="000000"/>
                <w:sz w:val="16"/>
                <w:szCs w:val="16"/>
              </w:rPr>
            </w:pPr>
            <w:r w:rsidRPr="001975F1">
              <w:rPr>
                <w:b/>
                <w:iCs/>
                <w:color w:val="000000"/>
                <w:sz w:val="16"/>
                <w:szCs w:val="16"/>
              </w:rPr>
              <w:t>Frequency:</w:t>
            </w:r>
            <w:r w:rsidRPr="001975F1">
              <w:rPr>
                <w:iCs/>
                <w:color w:val="000000"/>
                <w:sz w:val="16"/>
                <w:szCs w:val="16"/>
              </w:rPr>
              <w:t xml:space="preserve"> Annual</w:t>
            </w:r>
          </w:p>
        </w:tc>
        <w:tc>
          <w:tcPr>
            <w:tcW w:w="634" w:type="pct"/>
            <w:gridSpan w:val="2"/>
            <w:vMerge w:val="restart"/>
            <w:tcBorders>
              <w:top w:val="single" w:sz="8" w:space="0" w:color="000000"/>
              <w:left w:val="single" w:sz="8" w:space="0" w:color="000000"/>
              <w:right w:val="single" w:sz="8" w:space="0" w:color="000000"/>
            </w:tcBorders>
          </w:tcPr>
          <w:p w14:paraId="32465185" w14:textId="0A908BC0" w:rsidR="00345A68" w:rsidRDefault="00842773" w:rsidP="00532502">
            <w:pPr>
              <w:rPr>
                <w:iCs/>
                <w:color w:val="000000"/>
                <w:sz w:val="16"/>
                <w:szCs w:val="16"/>
              </w:rPr>
            </w:pPr>
            <w:r w:rsidRPr="0007559A">
              <w:rPr>
                <w:iCs/>
                <w:color w:val="000000"/>
                <w:sz w:val="16"/>
                <w:szCs w:val="16"/>
              </w:rPr>
              <w:lastRenderedPageBreak/>
              <w:t>Cabinet Office</w:t>
            </w:r>
            <w:r w:rsidR="00345A68">
              <w:rPr>
                <w:iCs/>
                <w:color w:val="000000"/>
                <w:sz w:val="16"/>
                <w:szCs w:val="16"/>
              </w:rPr>
              <w:t>;</w:t>
            </w:r>
            <w:r w:rsidR="00345A68" w:rsidRPr="0007559A">
              <w:rPr>
                <w:iCs/>
                <w:color w:val="000000"/>
                <w:sz w:val="16"/>
                <w:szCs w:val="16"/>
              </w:rPr>
              <w:t xml:space="preserve"> </w:t>
            </w:r>
          </w:p>
          <w:p w14:paraId="74047495" w14:textId="664DE93D" w:rsidR="00345A68" w:rsidRDefault="00842773" w:rsidP="00532502">
            <w:pPr>
              <w:rPr>
                <w:iCs/>
                <w:color w:val="000000"/>
                <w:sz w:val="16"/>
                <w:szCs w:val="16"/>
              </w:rPr>
            </w:pPr>
            <w:r w:rsidRPr="0007559A">
              <w:rPr>
                <w:iCs/>
                <w:color w:val="000000"/>
                <w:sz w:val="16"/>
                <w:szCs w:val="16"/>
              </w:rPr>
              <w:t>HRC</w:t>
            </w:r>
            <w:r w:rsidR="00345A68">
              <w:rPr>
                <w:iCs/>
                <w:color w:val="000000"/>
                <w:sz w:val="16"/>
                <w:szCs w:val="16"/>
              </w:rPr>
              <w:t>;</w:t>
            </w:r>
            <w:r w:rsidR="00345A68" w:rsidRPr="0007559A">
              <w:rPr>
                <w:iCs/>
                <w:color w:val="000000"/>
                <w:sz w:val="16"/>
                <w:szCs w:val="16"/>
              </w:rPr>
              <w:t xml:space="preserve"> </w:t>
            </w:r>
          </w:p>
          <w:p w14:paraId="6766DDE9" w14:textId="55F9B49B" w:rsidR="00345A68" w:rsidRDefault="00842773" w:rsidP="00532502">
            <w:pPr>
              <w:rPr>
                <w:iCs/>
                <w:color w:val="000000"/>
                <w:sz w:val="16"/>
                <w:szCs w:val="16"/>
              </w:rPr>
            </w:pPr>
            <w:r w:rsidRPr="0007559A">
              <w:rPr>
                <w:iCs/>
                <w:color w:val="000000"/>
                <w:sz w:val="16"/>
                <w:szCs w:val="16"/>
              </w:rPr>
              <w:t>CSO</w:t>
            </w:r>
            <w:r w:rsidR="00345A68">
              <w:rPr>
                <w:iCs/>
                <w:color w:val="000000"/>
                <w:sz w:val="16"/>
                <w:szCs w:val="16"/>
              </w:rPr>
              <w:t>;</w:t>
            </w:r>
            <w:r w:rsidR="00345A68" w:rsidRPr="0007559A">
              <w:rPr>
                <w:iCs/>
                <w:color w:val="000000"/>
                <w:sz w:val="16"/>
                <w:szCs w:val="16"/>
              </w:rPr>
              <w:t xml:space="preserve"> </w:t>
            </w:r>
          </w:p>
          <w:p w14:paraId="335BC019" w14:textId="16DCFB74" w:rsidR="00842773" w:rsidRPr="0007559A" w:rsidRDefault="00842773" w:rsidP="00532502">
            <w:pPr>
              <w:rPr>
                <w:iCs/>
                <w:color w:val="000000"/>
                <w:sz w:val="16"/>
                <w:szCs w:val="16"/>
              </w:rPr>
            </w:pPr>
            <w:r w:rsidRPr="0007559A">
              <w:rPr>
                <w:iCs/>
                <w:color w:val="000000"/>
                <w:sz w:val="16"/>
                <w:szCs w:val="16"/>
              </w:rPr>
              <w:t>National Assembly</w:t>
            </w:r>
            <w:r w:rsidR="00345A68">
              <w:rPr>
                <w:iCs/>
                <w:color w:val="000000"/>
                <w:sz w:val="16"/>
                <w:szCs w:val="16"/>
              </w:rPr>
              <w:t>;</w:t>
            </w:r>
          </w:p>
          <w:p w14:paraId="3C359996" w14:textId="67928A47" w:rsidR="00345A68" w:rsidRDefault="00842773" w:rsidP="00532502">
            <w:pPr>
              <w:rPr>
                <w:iCs/>
                <w:color w:val="000000"/>
                <w:sz w:val="16"/>
                <w:szCs w:val="16"/>
              </w:rPr>
            </w:pPr>
            <w:r w:rsidRPr="0007559A">
              <w:rPr>
                <w:iCs/>
                <w:color w:val="000000"/>
                <w:sz w:val="16"/>
                <w:szCs w:val="16"/>
              </w:rPr>
              <w:t>Judiciary</w:t>
            </w:r>
            <w:r w:rsidR="00345A68">
              <w:rPr>
                <w:iCs/>
                <w:color w:val="000000"/>
                <w:sz w:val="16"/>
                <w:szCs w:val="16"/>
              </w:rPr>
              <w:t>;</w:t>
            </w:r>
            <w:r w:rsidR="00345A68" w:rsidRPr="0007559A">
              <w:rPr>
                <w:iCs/>
                <w:color w:val="000000"/>
                <w:sz w:val="16"/>
                <w:szCs w:val="16"/>
              </w:rPr>
              <w:t xml:space="preserve"> </w:t>
            </w:r>
          </w:p>
          <w:p w14:paraId="61E55FD0" w14:textId="6B730A3F" w:rsidR="00842773" w:rsidRPr="0007559A" w:rsidRDefault="00842773" w:rsidP="00532502">
            <w:pPr>
              <w:rPr>
                <w:iCs/>
                <w:color w:val="000000"/>
                <w:sz w:val="16"/>
                <w:szCs w:val="16"/>
              </w:rPr>
            </w:pPr>
            <w:r w:rsidRPr="0007559A">
              <w:rPr>
                <w:iCs/>
                <w:color w:val="000000"/>
                <w:sz w:val="16"/>
                <w:szCs w:val="16"/>
              </w:rPr>
              <w:t xml:space="preserve">law </w:t>
            </w:r>
            <w:r w:rsidR="00345A68">
              <w:rPr>
                <w:iCs/>
                <w:color w:val="000000"/>
                <w:sz w:val="16"/>
                <w:szCs w:val="16"/>
              </w:rPr>
              <w:t>e</w:t>
            </w:r>
            <w:r w:rsidR="00345A68" w:rsidRPr="0007559A">
              <w:rPr>
                <w:iCs/>
                <w:color w:val="000000"/>
                <w:sz w:val="16"/>
                <w:szCs w:val="16"/>
              </w:rPr>
              <w:t xml:space="preserve">nforcement </w:t>
            </w:r>
            <w:r w:rsidR="00345A68">
              <w:rPr>
                <w:iCs/>
                <w:color w:val="000000"/>
                <w:sz w:val="16"/>
                <w:szCs w:val="16"/>
              </w:rPr>
              <w:t>a</w:t>
            </w:r>
            <w:r w:rsidR="00345A68" w:rsidRPr="0007559A">
              <w:rPr>
                <w:iCs/>
                <w:color w:val="000000"/>
                <w:sz w:val="16"/>
                <w:szCs w:val="16"/>
              </w:rPr>
              <w:t>gencies</w:t>
            </w:r>
          </w:p>
          <w:p w14:paraId="37999B82" w14:textId="77777777" w:rsidR="00842773" w:rsidRPr="0007559A" w:rsidRDefault="00842773" w:rsidP="00532502">
            <w:pPr>
              <w:jc w:val="center"/>
              <w:rPr>
                <w:b/>
                <w:bCs/>
                <w:color w:val="000000"/>
                <w:sz w:val="16"/>
                <w:szCs w:val="16"/>
              </w:rPr>
            </w:pPr>
          </w:p>
        </w:tc>
        <w:tc>
          <w:tcPr>
            <w:tcW w:w="614"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1AEFA81D" w14:textId="77777777" w:rsidR="00842773" w:rsidRPr="00E0617B" w:rsidRDefault="00842773" w:rsidP="00532502">
            <w:pPr>
              <w:jc w:val="center"/>
              <w:rPr>
                <w:b/>
                <w:bCs/>
                <w:color w:val="000000"/>
                <w:sz w:val="16"/>
                <w:szCs w:val="16"/>
                <w:highlight w:val="yellow"/>
              </w:rPr>
            </w:pPr>
            <w:r w:rsidRPr="00E0617B">
              <w:rPr>
                <w:b/>
                <w:bCs/>
                <w:color w:val="000000"/>
                <w:sz w:val="16"/>
                <w:szCs w:val="16"/>
              </w:rPr>
              <w:t xml:space="preserve">Regular: </w:t>
            </w:r>
            <w:r w:rsidRPr="00E0617B">
              <w:rPr>
                <w:bCs/>
                <w:color w:val="000000"/>
                <w:sz w:val="16"/>
                <w:szCs w:val="16"/>
              </w:rPr>
              <w:t xml:space="preserve">1,000,000 </w:t>
            </w:r>
          </w:p>
        </w:tc>
      </w:tr>
      <w:tr w:rsidR="00842773" w:rsidRPr="00501E43" w14:paraId="20A93305" w14:textId="77777777" w:rsidTr="00AE71CA">
        <w:tc>
          <w:tcPr>
            <w:tcW w:w="905" w:type="pct"/>
            <w:vMerge/>
            <w:tcBorders>
              <w:left w:val="single" w:sz="8" w:space="0" w:color="000000"/>
              <w:right w:val="single" w:sz="4" w:space="0" w:color="auto"/>
            </w:tcBorders>
            <w:tcMar>
              <w:top w:w="72" w:type="dxa"/>
              <w:left w:w="144" w:type="dxa"/>
              <w:bottom w:w="72" w:type="dxa"/>
              <w:right w:w="144" w:type="dxa"/>
            </w:tcMar>
            <w:vAlign w:val="center"/>
          </w:tcPr>
          <w:p w14:paraId="68A64151" w14:textId="77777777" w:rsidR="00842773" w:rsidRPr="00CC14CA" w:rsidRDefault="00842773" w:rsidP="00532502">
            <w:pPr>
              <w:rPr>
                <w:i/>
                <w:iCs/>
                <w:sz w:val="16"/>
                <w:szCs w:val="16"/>
              </w:rPr>
            </w:pPr>
          </w:p>
        </w:tc>
        <w:tc>
          <w:tcPr>
            <w:tcW w:w="685" w:type="pct"/>
            <w:gridSpan w:val="2"/>
            <w:vMerge/>
            <w:tcBorders>
              <w:left w:val="single" w:sz="4" w:space="0" w:color="auto"/>
              <w:right w:val="single" w:sz="8" w:space="0" w:color="000000"/>
            </w:tcBorders>
            <w:vAlign w:val="center"/>
          </w:tcPr>
          <w:p w14:paraId="4D24A2F5" w14:textId="77777777" w:rsidR="00842773" w:rsidRDefault="00842773" w:rsidP="00532502">
            <w:pPr>
              <w:jc w:val="center"/>
              <w:rPr>
                <w:i/>
                <w:iCs/>
                <w:sz w:val="16"/>
                <w:szCs w:val="16"/>
              </w:rPr>
            </w:pPr>
          </w:p>
        </w:tc>
        <w:tc>
          <w:tcPr>
            <w:tcW w:w="2162" w:type="pct"/>
            <w:vMerge/>
            <w:tcBorders>
              <w:left w:val="single" w:sz="8" w:space="0" w:color="000000"/>
              <w:right w:val="single" w:sz="8" w:space="0" w:color="000000"/>
            </w:tcBorders>
            <w:tcMar>
              <w:top w:w="72" w:type="dxa"/>
              <w:left w:w="144" w:type="dxa"/>
              <w:bottom w:w="72" w:type="dxa"/>
              <w:right w:w="144" w:type="dxa"/>
            </w:tcMar>
            <w:vAlign w:val="center"/>
          </w:tcPr>
          <w:p w14:paraId="118C6560" w14:textId="77777777" w:rsidR="00842773" w:rsidRDefault="00842773" w:rsidP="00532502">
            <w:pPr>
              <w:rPr>
                <w:b/>
                <w:iCs/>
                <w:color w:val="000000"/>
                <w:sz w:val="16"/>
                <w:szCs w:val="16"/>
              </w:rPr>
            </w:pPr>
          </w:p>
        </w:tc>
        <w:tc>
          <w:tcPr>
            <w:tcW w:w="634" w:type="pct"/>
            <w:gridSpan w:val="2"/>
            <w:vMerge/>
            <w:tcBorders>
              <w:left w:val="single" w:sz="8" w:space="0" w:color="000000"/>
              <w:right w:val="single" w:sz="8" w:space="0" w:color="000000"/>
            </w:tcBorders>
          </w:tcPr>
          <w:p w14:paraId="5219DB95" w14:textId="77777777" w:rsidR="00842773" w:rsidRPr="0007559A" w:rsidRDefault="00842773" w:rsidP="00532502">
            <w:pPr>
              <w:rPr>
                <w:iCs/>
                <w:color w:val="000000"/>
                <w:sz w:val="16"/>
                <w:szCs w:val="16"/>
              </w:rPr>
            </w:pPr>
          </w:p>
        </w:tc>
        <w:tc>
          <w:tcPr>
            <w:tcW w:w="614"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4509B673" w14:textId="77777777" w:rsidR="00842773" w:rsidRPr="00E0617B" w:rsidRDefault="00842773" w:rsidP="00532502">
            <w:pPr>
              <w:jc w:val="center"/>
              <w:rPr>
                <w:b/>
                <w:bCs/>
                <w:color w:val="000000"/>
                <w:sz w:val="16"/>
                <w:szCs w:val="16"/>
                <w:highlight w:val="yellow"/>
              </w:rPr>
            </w:pPr>
            <w:r w:rsidRPr="00E0617B">
              <w:rPr>
                <w:b/>
                <w:bCs/>
                <w:color w:val="000000"/>
                <w:sz w:val="16"/>
                <w:szCs w:val="16"/>
              </w:rPr>
              <w:t>Other:</w:t>
            </w:r>
            <w:r>
              <w:rPr>
                <w:b/>
                <w:bCs/>
                <w:color w:val="000000"/>
                <w:sz w:val="16"/>
                <w:szCs w:val="16"/>
              </w:rPr>
              <w:t xml:space="preserve"> 4</w:t>
            </w:r>
            <w:r w:rsidRPr="00E0617B">
              <w:rPr>
                <w:bCs/>
                <w:color w:val="000000"/>
                <w:sz w:val="16"/>
                <w:szCs w:val="16"/>
              </w:rPr>
              <w:t>,</w:t>
            </w:r>
            <w:r>
              <w:rPr>
                <w:bCs/>
                <w:color w:val="000000"/>
                <w:sz w:val="16"/>
                <w:szCs w:val="16"/>
              </w:rPr>
              <w:t>4</w:t>
            </w:r>
            <w:r w:rsidR="006B28B9">
              <w:rPr>
                <w:bCs/>
                <w:color w:val="000000"/>
                <w:sz w:val="16"/>
                <w:szCs w:val="16"/>
              </w:rPr>
              <w:t>77</w:t>
            </w:r>
            <w:r w:rsidRPr="00E0617B">
              <w:rPr>
                <w:bCs/>
                <w:color w:val="000000"/>
                <w:sz w:val="16"/>
                <w:szCs w:val="16"/>
              </w:rPr>
              <w:t>,000</w:t>
            </w:r>
          </w:p>
        </w:tc>
      </w:tr>
      <w:tr w:rsidR="00842773" w:rsidRPr="00501E43" w14:paraId="36B98872" w14:textId="77777777" w:rsidTr="00AE71CA">
        <w:tc>
          <w:tcPr>
            <w:tcW w:w="905" w:type="pct"/>
            <w:vMerge/>
            <w:tcBorders>
              <w:left w:val="single" w:sz="8" w:space="0" w:color="000000"/>
              <w:right w:val="single" w:sz="4" w:space="0" w:color="auto"/>
            </w:tcBorders>
            <w:tcMar>
              <w:top w:w="72" w:type="dxa"/>
              <w:left w:w="144" w:type="dxa"/>
              <w:bottom w:w="72" w:type="dxa"/>
              <w:right w:w="144" w:type="dxa"/>
            </w:tcMar>
            <w:vAlign w:val="center"/>
          </w:tcPr>
          <w:p w14:paraId="1617071C" w14:textId="77777777" w:rsidR="00842773" w:rsidRPr="00CC14CA" w:rsidRDefault="00842773" w:rsidP="00532502">
            <w:pPr>
              <w:rPr>
                <w:i/>
                <w:iCs/>
                <w:sz w:val="16"/>
                <w:szCs w:val="16"/>
              </w:rPr>
            </w:pPr>
          </w:p>
        </w:tc>
        <w:tc>
          <w:tcPr>
            <w:tcW w:w="685" w:type="pct"/>
            <w:gridSpan w:val="2"/>
            <w:vMerge/>
            <w:tcBorders>
              <w:left w:val="single" w:sz="4" w:space="0" w:color="auto"/>
              <w:right w:val="single" w:sz="8" w:space="0" w:color="000000"/>
            </w:tcBorders>
            <w:vAlign w:val="center"/>
          </w:tcPr>
          <w:p w14:paraId="0C786ACF" w14:textId="77777777" w:rsidR="00842773" w:rsidRDefault="00842773" w:rsidP="00532502">
            <w:pPr>
              <w:jc w:val="center"/>
              <w:rPr>
                <w:i/>
                <w:iCs/>
                <w:sz w:val="16"/>
                <w:szCs w:val="16"/>
              </w:rPr>
            </w:pPr>
          </w:p>
        </w:tc>
        <w:tc>
          <w:tcPr>
            <w:tcW w:w="2162" w:type="pct"/>
            <w:vMerge/>
            <w:tcBorders>
              <w:left w:val="single" w:sz="8" w:space="0" w:color="000000"/>
              <w:right w:val="single" w:sz="8" w:space="0" w:color="000000"/>
            </w:tcBorders>
            <w:tcMar>
              <w:top w:w="72" w:type="dxa"/>
              <w:left w:w="144" w:type="dxa"/>
              <w:bottom w:w="72" w:type="dxa"/>
              <w:right w:w="144" w:type="dxa"/>
            </w:tcMar>
            <w:vAlign w:val="center"/>
          </w:tcPr>
          <w:p w14:paraId="02A62C11" w14:textId="77777777" w:rsidR="00842773" w:rsidRDefault="00842773" w:rsidP="00532502">
            <w:pPr>
              <w:rPr>
                <w:b/>
                <w:iCs/>
                <w:color w:val="000000"/>
                <w:sz w:val="16"/>
                <w:szCs w:val="16"/>
              </w:rPr>
            </w:pPr>
          </w:p>
        </w:tc>
        <w:tc>
          <w:tcPr>
            <w:tcW w:w="634" w:type="pct"/>
            <w:gridSpan w:val="2"/>
            <w:vMerge/>
            <w:tcBorders>
              <w:left w:val="single" w:sz="8" w:space="0" w:color="000000"/>
              <w:right w:val="single" w:sz="8" w:space="0" w:color="000000"/>
            </w:tcBorders>
          </w:tcPr>
          <w:p w14:paraId="3BF549BD" w14:textId="77777777" w:rsidR="00842773" w:rsidRPr="0007559A" w:rsidRDefault="00842773" w:rsidP="00532502">
            <w:pPr>
              <w:rPr>
                <w:iCs/>
                <w:color w:val="000000"/>
                <w:sz w:val="16"/>
                <w:szCs w:val="16"/>
              </w:rPr>
            </w:pPr>
          </w:p>
        </w:tc>
        <w:tc>
          <w:tcPr>
            <w:tcW w:w="614" w:type="pct"/>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4C1AAF07" w14:textId="77777777" w:rsidR="00842773" w:rsidRPr="00501E43" w:rsidRDefault="00842773" w:rsidP="00532502">
            <w:pPr>
              <w:jc w:val="center"/>
              <w:rPr>
                <w:b/>
                <w:bCs/>
                <w:color w:val="000000"/>
                <w:sz w:val="16"/>
                <w:szCs w:val="16"/>
              </w:rPr>
            </w:pPr>
          </w:p>
        </w:tc>
      </w:tr>
      <w:tr w:rsidR="00842773" w:rsidRPr="00501E43" w14:paraId="65391566" w14:textId="77777777" w:rsidTr="00AE71CA">
        <w:tc>
          <w:tcPr>
            <w:tcW w:w="905" w:type="pct"/>
            <w:vMerge/>
            <w:tcBorders>
              <w:left w:val="single" w:sz="8" w:space="0" w:color="000000"/>
              <w:right w:val="single" w:sz="4" w:space="0" w:color="auto"/>
            </w:tcBorders>
            <w:tcMar>
              <w:top w:w="72" w:type="dxa"/>
              <w:left w:w="144" w:type="dxa"/>
              <w:bottom w:w="72" w:type="dxa"/>
              <w:right w:w="144" w:type="dxa"/>
            </w:tcMar>
            <w:vAlign w:val="center"/>
          </w:tcPr>
          <w:p w14:paraId="06B43C48" w14:textId="77777777" w:rsidR="00842773" w:rsidRDefault="00842773" w:rsidP="00532502">
            <w:pPr>
              <w:jc w:val="center"/>
              <w:rPr>
                <w:b/>
                <w:bCs/>
                <w:color w:val="000000"/>
                <w:sz w:val="16"/>
                <w:szCs w:val="16"/>
              </w:rPr>
            </w:pPr>
          </w:p>
        </w:tc>
        <w:tc>
          <w:tcPr>
            <w:tcW w:w="685" w:type="pct"/>
            <w:gridSpan w:val="2"/>
            <w:vMerge/>
            <w:tcBorders>
              <w:left w:val="single" w:sz="4" w:space="0" w:color="auto"/>
              <w:right w:val="single" w:sz="8" w:space="0" w:color="000000"/>
            </w:tcBorders>
            <w:vAlign w:val="center"/>
          </w:tcPr>
          <w:p w14:paraId="4B7958D8" w14:textId="77777777" w:rsidR="00842773" w:rsidRPr="00501E43" w:rsidRDefault="00842773" w:rsidP="00532502">
            <w:pPr>
              <w:jc w:val="center"/>
              <w:rPr>
                <w:b/>
                <w:color w:val="000000"/>
                <w:sz w:val="16"/>
                <w:szCs w:val="16"/>
              </w:rPr>
            </w:pPr>
          </w:p>
        </w:tc>
        <w:tc>
          <w:tcPr>
            <w:tcW w:w="2162"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09522346" w14:textId="41AD7541" w:rsidR="00842773" w:rsidRPr="0029773A" w:rsidRDefault="00842773" w:rsidP="00532502">
            <w:pPr>
              <w:rPr>
                <w:b/>
                <w:bCs/>
                <w:color w:val="000000"/>
                <w:sz w:val="16"/>
                <w:szCs w:val="16"/>
              </w:rPr>
            </w:pPr>
            <w:r>
              <w:rPr>
                <w:b/>
                <w:bCs/>
                <w:color w:val="000000"/>
                <w:sz w:val="16"/>
                <w:szCs w:val="16"/>
              </w:rPr>
              <w:t>Output 4.2</w:t>
            </w:r>
            <w:r w:rsidRPr="0029773A">
              <w:rPr>
                <w:b/>
                <w:bCs/>
                <w:color w:val="000000"/>
                <w:sz w:val="16"/>
                <w:szCs w:val="16"/>
              </w:rPr>
              <w:t xml:space="preserve">. </w:t>
            </w:r>
            <w:r w:rsidRPr="00165008">
              <w:rPr>
                <w:bCs/>
                <w:color w:val="000000"/>
                <w:sz w:val="16"/>
                <w:szCs w:val="16"/>
              </w:rPr>
              <w:t xml:space="preserve">Communities, CSOs and </w:t>
            </w:r>
            <w:r w:rsidR="00891788" w:rsidRPr="00165008">
              <w:rPr>
                <w:bCs/>
                <w:color w:val="000000"/>
                <w:sz w:val="16"/>
                <w:szCs w:val="16"/>
              </w:rPr>
              <w:t>marginali</w:t>
            </w:r>
            <w:r w:rsidR="00891788">
              <w:rPr>
                <w:bCs/>
                <w:color w:val="000000"/>
                <w:sz w:val="16"/>
                <w:szCs w:val="16"/>
              </w:rPr>
              <w:t>z</w:t>
            </w:r>
            <w:r w:rsidR="00891788" w:rsidRPr="00165008">
              <w:rPr>
                <w:bCs/>
                <w:color w:val="000000"/>
                <w:sz w:val="16"/>
                <w:szCs w:val="16"/>
              </w:rPr>
              <w:t xml:space="preserve">ed </w:t>
            </w:r>
            <w:r w:rsidRPr="00165008">
              <w:rPr>
                <w:bCs/>
                <w:color w:val="000000"/>
                <w:sz w:val="16"/>
                <w:szCs w:val="16"/>
              </w:rPr>
              <w:t>groups have developed networks, coalitions to fight discrimination and address emergin</w:t>
            </w:r>
            <w:r w:rsidR="007A2D99">
              <w:rPr>
                <w:bCs/>
                <w:color w:val="000000"/>
                <w:sz w:val="16"/>
                <w:szCs w:val="16"/>
              </w:rPr>
              <w:t>g issues (such as environmental</w:t>
            </w:r>
            <w:r w:rsidRPr="00165008">
              <w:rPr>
                <w:bCs/>
                <w:color w:val="000000"/>
                <w:sz w:val="16"/>
                <w:szCs w:val="16"/>
              </w:rPr>
              <w:t xml:space="preserve">, electoral justice, people affected by HIV, </w:t>
            </w:r>
            <w:r w:rsidR="00EC02E7">
              <w:rPr>
                <w:bCs/>
                <w:color w:val="000000"/>
                <w:sz w:val="16"/>
                <w:szCs w:val="16"/>
              </w:rPr>
              <w:t>people living with a disability</w:t>
            </w:r>
            <w:r w:rsidRPr="00165008">
              <w:rPr>
                <w:bCs/>
                <w:color w:val="000000"/>
                <w:sz w:val="16"/>
                <w:szCs w:val="16"/>
              </w:rPr>
              <w:t>, women, minorities and migrants)</w:t>
            </w:r>
          </w:p>
          <w:p w14:paraId="2F1FEEE0" w14:textId="77777777" w:rsidR="00842773" w:rsidRPr="0029773A" w:rsidRDefault="00842773" w:rsidP="00532502">
            <w:pPr>
              <w:rPr>
                <w:b/>
                <w:bCs/>
                <w:color w:val="000000"/>
                <w:sz w:val="16"/>
                <w:szCs w:val="16"/>
              </w:rPr>
            </w:pPr>
          </w:p>
          <w:p w14:paraId="771BD4EC" w14:textId="5506F2AC" w:rsidR="00842773" w:rsidRPr="0099339A" w:rsidRDefault="00842773" w:rsidP="00532502">
            <w:pPr>
              <w:rPr>
                <w:bCs/>
                <w:color w:val="000000"/>
                <w:sz w:val="16"/>
                <w:szCs w:val="16"/>
              </w:rPr>
            </w:pPr>
            <w:r w:rsidRPr="0099339A">
              <w:rPr>
                <w:bCs/>
                <w:color w:val="000000"/>
                <w:sz w:val="16"/>
                <w:szCs w:val="16"/>
              </w:rPr>
              <w:t xml:space="preserve">Indicator: Number of networks and coalitions established to fight (e.g. people affected by HIV, </w:t>
            </w:r>
            <w:r w:rsidR="00EC02E7">
              <w:rPr>
                <w:bCs/>
                <w:color w:val="000000"/>
                <w:sz w:val="16"/>
                <w:szCs w:val="16"/>
              </w:rPr>
              <w:t>people living with a disability</w:t>
            </w:r>
            <w:r w:rsidRPr="0099339A">
              <w:rPr>
                <w:bCs/>
                <w:color w:val="000000"/>
                <w:sz w:val="16"/>
                <w:szCs w:val="16"/>
              </w:rPr>
              <w:t>, women, minorities and migrants).</w:t>
            </w:r>
          </w:p>
          <w:p w14:paraId="01C461DE" w14:textId="77777777" w:rsidR="00842773" w:rsidRPr="0029773A" w:rsidRDefault="00842773" w:rsidP="00532502">
            <w:pPr>
              <w:rPr>
                <w:b/>
                <w:bCs/>
                <w:color w:val="000000"/>
                <w:sz w:val="16"/>
                <w:szCs w:val="16"/>
              </w:rPr>
            </w:pPr>
          </w:p>
          <w:p w14:paraId="65EB2623" w14:textId="77777777" w:rsidR="00842773" w:rsidRPr="0029773A" w:rsidRDefault="00842773" w:rsidP="00532502">
            <w:pPr>
              <w:rPr>
                <w:b/>
                <w:bCs/>
                <w:color w:val="000000"/>
                <w:sz w:val="16"/>
                <w:szCs w:val="16"/>
              </w:rPr>
            </w:pPr>
            <w:r>
              <w:rPr>
                <w:b/>
                <w:bCs/>
                <w:color w:val="000000"/>
                <w:sz w:val="16"/>
                <w:szCs w:val="16"/>
              </w:rPr>
              <w:t xml:space="preserve">Baseline: </w:t>
            </w:r>
            <w:r w:rsidRPr="00E964D1">
              <w:rPr>
                <w:bCs/>
                <w:color w:val="000000"/>
                <w:sz w:val="16"/>
                <w:szCs w:val="16"/>
              </w:rPr>
              <w:t xml:space="preserve">3 </w:t>
            </w:r>
          </w:p>
          <w:p w14:paraId="0922F82B" w14:textId="77777777" w:rsidR="00842773" w:rsidRPr="00E964D1" w:rsidRDefault="00842773" w:rsidP="00532502">
            <w:pPr>
              <w:rPr>
                <w:bCs/>
                <w:color w:val="000000"/>
                <w:sz w:val="16"/>
                <w:szCs w:val="16"/>
              </w:rPr>
            </w:pPr>
            <w:r w:rsidRPr="0029773A">
              <w:rPr>
                <w:b/>
                <w:bCs/>
                <w:color w:val="000000"/>
                <w:sz w:val="16"/>
                <w:szCs w:val="16"/>
              </w:rPr>
              <w:t xml:space="preserve">Target: </w:t>
            </w:r>
            <w:r>
              <w:rPr>
                <w:b/>
                <w:bCs/>
                <w:color w:val="000000"/>
                <w:sz w:val="16"/>
                <w:szCs w:val="16"/>
              </w:rPr>
              <w:t xml:space="preserve">  </w:t>
            </w:r>
            <w:r w:rsidRPr="00E964D1">
              <w:rPr>
                <w:bCs/>
                <w:color w:val="000000"/>
                <w:sz w:val="16"/>
                <w:szCs w:val="16"/>
              </w:rPr>
              <w:t>5</w:t>
            </w:r>
          </w:p>
          <w:p w14:paraId="1D973FDF" w14:textId="77777777" w:rsidR="00842773" w:rsidRPr="004F59D7" w:rsidRDefault="00842773" w:rsidP="00532502">
            <w:pPr>
              <w:rPr>
                <w:bCs/>
                <w:color w:val="000000"/>
                <w:sz w:val="16"/>
                <w:szCs w:val="16"/>
              </w:rPr>
            </w:pPr>
            <w:r w:rsidRPr="0029773A">
              <w:rPr>
                <w:b/>
                <w:bCs/>
                <w:color w:val="000000"/>
                <w:sz w:val="16"/>
                <w:szCs w:val="16"/>
              </w:rPr>
              <w:t xml:space="preserve">Data Source: </w:t>
            </w:r>
            <w:r w:rsidRPr="004F59D7">
              <w:rPr>
                <w:bCs/>
                <w:color w:val="000000"/>
                <w:sz w:val="16"/>
                <w:szCs w:val="16"/>
              </w:rPr>
              <w:t>Governance Secretariat &amp; Cabinet Office Reports, HRC Report, NAC</w:t>
            </w:r>
          </w:p>
          <w:p w14:paraId="4E7A14F8" w14:textId="77777777" w:rsidR="00842773" w:rsidRPr="00501E43" w:rsidRDefault="00842773" w:rsidP="00532502">
            <w:pPr>
              <w:rPr>
                <w:b/>
                <w:bCs/>
                <w:color w:val="000000"/>
                <w:sz w:val="16"/>
                <w:szCs w:val="16"/>
              </w:rPr>
            </w:pPr>
            <w:r w:rsidRPr="0029773A">
              <w:rPr>
                <w:b/>
                <w:bCs/>
                <w:color w:val="000000"/>
                <w:sz w:val="16"/>
                <w:szCs w:val="16"/>
              </w:rPr>
              <w:t>Frequency :</w:t>
            </w:r>
            <w:r w:rsidRPr="004F59D7">
              <w:rPr>
                <w:bCs/>
                <w:color w:val="000000"/>
                <w:sz w:val="16"/>
                <w:szCs w:val="16"/>
              </w:rPr>
              <w:t>Every two years</w:t>
            </w:r>
          </w:p>
        </w:tc>
        <w:tc>
          <w:tcPr>
            <w:tcW w:w="634" w:type="pct"/>
            <w:gridSpan w:val="2"/>
            <w:tcBorders>
              <w:top w:val="single" w:sz="8" w:space="0" w:color="000000"/>
              <w:left w:val="single" w:sz="8" w:space="0" w:color="000000"/>
              <w:bottom w:val="single" w:sz="4" w:space="0" w:color="auto"/>
              <w:right w:val="single" w:sz="8" w:space="0" w:color="000000"/>
            </w:tcBorders>
          </w:tcPr>
          <w:p w14:paraId="6A23A189" w14:textId="090E26F8" w:rsidR="00345A68" w:rsidRDefault="00842773" w:rsidP="00532502">
            <w:pPr>
              <w:rPr>
                <w:iCs/>
                <w:color w:val="000000"/>
                <w:sz w:val="16"/>
                <w:szCs w:val="16"/>
              </w:rPr>
            </w:pPr>
            <w:r w:rsidRPr="0007559A">
              <w:rPr>
                <w:iCs/>
                <w:color w:val="000000"/>
                <w:sz w:val="16"/>
                <w:szCs w:val="16"/>
              </w:rPr>
              <w:t xml:space="preserve">Cabinet </w:t>
            </w:r>
            <w:r w:rsidR="00345A68">
              <w:rPr>
                <w:iCs/>
                <w:color w:val="000000"/>
                <w:sz w:val="16"/>
                <w:szCs w:val="16"/>
              </w:rPr>
              <w:t>O</w:t>
            </w:r>
            <w:r w:rsidR="00345A68" w:rsidRPr="0007559A">
              <w:rPr>
                <w:iCs/>
                <w:color w:val="000000"/>
                <w:sz w:val="16"/>
                <w:szCs w:val="16"/>
              </w:rPr>
              <w:t>ffice</w:t>
            </w:r>
            <w:r w:rsidR="00345A68">
              <w:rPr>
                <w:iCs/>
                <w:color w:val="000000"/>
                <w:sz w:val="16"/>
                <w:szCs w:val="16"/>
              </w:rPr>
              <w:t>;</w:t>
            </w:r>
            <w:r w:rsidR="00345A68" w:rsidRPr="0007559A">
              <w:rPr>
                <w:iCs/>
                <w:color w:val="000000"/>
                <w:sz w:val="16"/>
                <w:szCs w:val="16"/>
              </w:rPr>
              <w:t xml:space="preserve"> </w:t>
            </w:r>
          </w:p>
          <w:p w14:paraId="4595494D" w14:textId="49AE036E" w:rsidR="00345A68" w:rsidRDefault="00842773" w:rsidP="00532502">
            <w:pPr>
              <w:rPr>
                <w:iCs/>
                <w:color w:val="000000"/>
                <w:sz w:val="16"/>
                <w:szCs w:val="16"/>
              </w:rPr>
            </w:pPr>
            <w:r w:rsidRPr="0007559A">
              <w:rPr>
                <w:iCs/>
                <w:color w:val="000000"/>
                <w:sz w:val="16"/>
                <w:szCs w:val="16"/>
              </w:rPr>
              <w:t>National AIDS Council</w:t>
            </w:r>
            <w:r w:rsidR="00345A68">
              <w:rPr>
                <w:iCs/>
                <w:color w:val="000000"/>
                <w:sz w:val="16"/>
                <w:szCs w:val="16"/>
              </w:rPr>
              <w:t>;</w:t>
            </w:r>
            <w:r w:rsidR="00345A68" w:rsidRPr="0007559A">
              <w:rPr>
                <w:iCs/>
                <w:color w:val="000000"/>
                <w:sz w:val="16"/>
                <w:szCs w:val="16"/>
              </w:rPr>
              <w:t xml:space="preserve"> </w:t>
            </w:r>
            <w:r w:rsidRPr="0007559A">
              <w:rPr>
                <w:iCs/>
                <w:color w:val="000000"/>
                <w:sz w:val="16"/>
                <w:szCs w:val="16"/>
              </w:rPr>
              <w:t xml:space="preserve">Human Rights Commission </w:t>
            </w:r>
            <w:r w:rsidR="00345A68">
              <w:rPr>
                <w:iCs/>
                <w:color w:val="000000"/>
                <w:sz w:val="16"/>
                <w:szCs w:val="16"/>
              </w:rPr>
              <w:t>;</w:t>
            </w:r>
            <w:r w:rsidR="00345A68" w:rsidRPr="0007559A">
              <w:rPr>
                <w:iCs/>
                <w:color w:val="000000"/>
                <w:sz w:val="16"/>
                <w:szCs w:val="16"/>
              </w:rPr>
              <w:t xml:space="preserve"> </w:t>
            </w:r>
          </w:p>
          <w:p w14:paraId="3C834875" w14:textId="33C66190" w:rsidR="00842773" w:rsidRPr="0007559A" w:rsidRDefault="00842773" w:rsidP="00532502">
            <w:pPr>
              <w:rPr>
                <w:iCs/>
                <w:color w:val="000000"/>
                <w:sz w:val="16"/>
                <w:szCs w:val="16"/>
              </w:rPr>
            </w:pPr>
            <w:r w:rsidRPr="0007559A">
              <w:rPr>
                <w:iCs/>
                <w:color w:val="000000"/>
                <w:sz w:val="16"/>
                <w:szCs w:val="16"/>
              </w:rPr>
              <w:t>Ministry of Gender and Child Development</w:t>
            </w:r>
            <w:r w:rsidR="00345A68">
              <w:rPr>
                <w:iCs/>
                <w:color w:val="000000"/>
                <w:sz w:val="16"/>
                <w:szCs w:val="16"/>
              </w:rPr>
              <w:t>;</w:t>
            </w:r>
            <w:r w:rsidR="00345A68" w:rsidRPr="0007559A">
              <w:rPr>
                <w:iCs/>
                <w:color w:val="000000"/>
                <w:sz w:val="16"/>
                <w:szCs w:val="16"/>
              </w:rPr>
              <w:t xml:space="preserve"> </w:t>
            </w:r>
            <w:r w:rsidRPr="0007559A">
              <w:rPr>
                <w:iCs/>
                <w:color w:val="000000"/>
                <w:sz w:val="16"/>
                <w:szCs w:val="16"/>
              </w:rPr>
              <w:t>CSOs</w:t>
            </w:r>
          </w:p>
          <w:p w14:paraId="137F8C98" w14:textId="77777777" w:rsidR="00842773" w:rsidRPr="0007559A" w:rsidRDefault="00842773" w:rsidP="00532502">
            <w:pPr>
              <w:rPr>
                <w:iCs/>
                <w:color w:val="000000"/>
                <w:sz w:val="16"/>
                <w:szCs w:val="16"/>
              </w:rPr>
            </w:pPr>
          </w:p>
          <w:p w14:paraId="1F415FC3" w14:textId="77777777" w:rsidR="00842773" w:rsidRPr="0007559A" w:rsidRDefault="00842773" w:rsidP="00532502">
            <w:pPr>
              <w:jc w:val="center"/>
              <w:rPr>
                <w:b/>
                <w:bCs/>
                <w:color w:val="000000"/>
                <w:sz w:val="16"/>
                <w:szCs w:val="16"/>
              </w:rPr>
            </w:pPr>
          </w:p>
        </w:tc>
        <w:tc>
          <w:tcPr>
            <w:tcW w:w="614"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2A038CB0" w14:textId="77777777" w:rsidR="00842773" w:rsidRPr="00501E43" w:rsidRDefault="00842773" w:rsidP="00532502">
            <w:pPr>
              <w:jc w:val="center"/>
              <w:rPr>
                <w:b/>
                <w:bCs/>
                <w:color w:val="000000"/>
                <w:sz w:val="16"/>
                <w:szCs w:val="16"/>
              </w:rPr>
            </w:pPr>
          </w:p>
        </w:tc>
      </w:tr>
      <w:tr w:rsidR="00842773" w:rsidRPr="00501E43" w14:paraId="5FAA4EC9" w14:textId="77777777" w:rsidTr="00AE71CA">
        <w:tc>
          <w:tcPr>
            <w:tcW w:w="905" w:type="pct"/>
            <w:vMerge/>
            <w:tcBorders>
              <w:left w:val="single" w:sz="8" w:space="0" w:color="000000"/>
              <w:bottom w:val="single" w:sz="4" w:space="0" w:color="auto"/>
              <w:right w:val="single" w:sz="4" w:space="0" w:color="auto"/>
            </w:tcBorders>
            <w:tcMar>
              <w:top w:w="72" w:type="dxa"/>
              <w:left w:w="144" w:type="dxa"/>
              <w:bottom w:w="72" w:type="dxa"/>
              <w:right w:w="144" w:type="dxa"/>
            </w:tcMar>
            <w:vAlign w:val="center"/>
          </w:tcPr>
          <w:p w14:paraId="59F6E59C" w14:textId="77777777" w:rsidR="00842773" w:rsidRDefault="00842773" w:rsidP="00532502">
            <w:pPr>
              <w:jc w:val="center"/>
              <w:rPr>
                <w:b/>
                <w:bCs/>
                <w:color w:val="000000"/>
                <w:sz w:val="16"/>
                <w:szCs w:val="16"/>
              </w:rPr>
            </w:pPr>
          </w:p>
        </w:tc>
        <w:tc>
          <w:tcPr>
            <w:tcW w:w="685" w:type="pct"/>
            <w:gridSpan w:val="2"/>
            <w:vMerge/>
            <w:tcBorders>
              <w:left w:val="single" w:sz="4" w:space="0" w:color="auto"/>
              <w:bottom w:val="single" w:sz="4" w:space="0" w:color="auto"/>
              <w:right w:val="single" w:sz="8" w:space="0" w:color="000000"/>
            </w:tcBorders>
            <w:vAlign w:val="center"/>
          </w:tcPr>
          <w:p w14:paraId="6FD37FAA" w14:textId="77777777" w:rsidR="00842773" w:rsidRPr="00501E43" w:rsidRDefault="00842773" w:rsidP="00532502">
            <w:pPr>
              <w:jc w:val="center"/>
              <w:rPr>
                <w:b/>
                <w:color w:val="000000"/>
                <w:sz w:val="16"/>
                <w:szCs w:val="16"/>
              </w:rPr>
            </w:pPr>
          </w:p>
        </w:tc>
        <w:tc>
          <w:tcPr>
            <w:tcW w:w="2162"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1FD58F7A" w14:textId="77777777" w:rsidR="00842773" w:rsidRPr="004F59D7" w:rsidRDefault="00842773" w:rsidP="00532502">
            <w:pPr>
              <w:rPr>
                <w:b/>
                <w:iCs/>
                <w:color w:val="000000"/>
                <w:sz w:val="16"/>
                <w:szCs w:val="16"/>
              </w:rPr>
            </w:pPr>
            <w:r>
              <w:rPr>
                <w:b/>
                <w:iCs/>
                <w:color w:val="000000"/>
                <w:sz w:val="16"/>
                <w:szCs w:val="16"/>
              </w:rPr>
              <w:t>Output 4.3</w:t>
            </w:r>
            <w:r w:rsidRPr="001975F1">
              <w:rPr>
                <w:b/>
                <w:iCs/>
                <w:color w:val="000000"/>
                <w:sz w:val="16"/>
                <w:szCs w:val="16"/>
              </w:rPr>
              <w:t>.</w:t>
            </w:r>
            <w:r>
              <w:rPr>
                <w:b/>
                <w:iCs/>
                <w:color w:val="000000"/>
                <w:sz w:val="16"/>
                <w:szCs w:val="16"/>
              </w:rPr>
              <w:t xml:space="preserve"> </w:t>
            </w:r>
            <w:r w:rsidRPr="00165008">
              <w:rPr>
                <w:iCs/>
                <w:color w:val="000000"/>
                <w:sz w:val="16"/>
                <w:szCs w:val="16"/>
              </w:rPr>
              <w:t>Line ministries driving national economic growth have developed evidence-informed national strategies and partnerships to advance gender equality and women’s empowerment</w:t>
            </w:r>
            <w:r w:rsidRPr="004F59D7" w:rsidDel="000D1EA7">
              <w:rPr>
                <w:b/>
                <w:iCs/>
                <w:color w:val="000000"/>
                <w:sz w:val="16"/>
                <w:szCs w:val="16"/>
              </w:rPr>
              <w:t xml:space="preserve"> </w:t>
            </w:r>
          </w:p>
          <w:p w14:paraId="5EEDF264" w14:textId="77777777" w:rsidR="00842773" w:rsidRDefault="00842773" w:rsidP="00532502">
            <w:pPr>
              <w:rPr>
                <w:iCs/>
                <w:color w:val="000000"/>
                <w:sz w:val="16"/>
                <w:szCs w:val="16"/>
              </w:rPr>
            </w:pPr>
          </w:p>
          <w:p w14:paraId="6978D392" w14:textId="77777777" w:rsidR="00842773" w:rsidRPr="00345A68" w:rsidRDefault="00842773" w:rsidP="00532502">
            <w:pPr>
              <w:rPr>
                <w:iCs/>
                <w:color w:val="000000"/>
                <w:sz w:val="16"/>
                <w:szCs w:val="16"/>
              </w:rPr>
            </w:pPr>
            <w:r w:rsidRPr="001975F1">
              <w:rPr>
                <w:iCs/>
                <w:color w:val="000000"/>
                <w:sz w:val="16"/>
                <w:szCs w:val="16"/>
              </w:rPr>
              <w:t>Indicator</w:t>
            </w:r>
            <w:r w:rsidR="00ED7BDF">
              <w:rPr>
                <w:iCs/>
                <w:color w:val="000000"/>
                <w:sz w:val="16"/>
                <w:szCs w:val="16"/>
              </w:rPr>
              <w:t>:</w:t>
            </w:r>
            <w:r w:rsidR="004D6B18" w:rsidRPr="001975F1">
              <w:rPr>
                <w:iCs/>
                <w:color w:val="000000"/>
                <w:sz w:val="16"/>
                <w:szCs w:val="16"/>
              </w:rPr>
              <w:t xml:space="preserve"> </w:t>
            </w:r>
            <w:r w:rsidR="00ED7BDF" w:rsidRPr="00345A68">
              <w:rPr>
                <w:iCs/>
                <w:color w:val="000000"/>
                <w:sz w:val="16"/>
                <w:szCs w:val="16"/>
              </w:rPr>
              <w:t xml:space="preserve">Number of </w:t>
            </w:r>
            <w:r w:rsidR="00ED7BDF" w:rsidRPr="00345A68">
              <w:rPr>
                <w:iCs/>
                <w:sz w:val="16"/>
                <w:szCs w:val="16"/>
              </w:rPr>
              <w:t>line</w:t>
            </w:r>
            <w:r w:rsidRPr="00345A68">
              <w:rPr>
                <w:iCs/>
                <w:sz w:val="16"/>
                <w:szCs w:val="16"/>
              </w:rPr>
              <w:t xml:space="preserve"> ministries driving economic growth that have adopted at least 50% of the gender mainstreaming tools</w:t>
            </w:r>
            <w:r w:rsidRPr="00345A68">
              <w:rPr>
                <w:iCs/>
                <w:color w:val="000000"/>
                <w:sz w:val="16"/>
                <w:szCs w:val="16"/>
              </w:rPr>
              <w:t>.</w:t>
            </w:r>
          </w:p>
          <w:p w14:paraId="5B5981CC" w14:textId="77777777" w:rsidR="00842773" w:rsidRPr="004F59D7" w:rsidRDefault="00842773" w:rsidP="00532502">
            <w:pPr>
              <w:rPr>
                <w:iCs/>
                <w:color w:val="000000"/>
                <w:sz w:val="16"/>
                <w:szCs w:val="16"/>
              </w:rPr>
            </w:pPr>
            <w:r w:rsidRPr="004F59D7">
              <w:rPr>
                <w:iCs/>
                <w:color w:val="000000"/>
                <w:sz w:val="16"/>
                <w:szCs w:val="16"/>
              </w:rPr>
              <w:t>Baseline (2014): 0</w:t>
            </w:r>
          </w:p>
          <w:p w14:paraId="13D54F52" w14:textId="77777777" w:rsidR="00842773" w:rsidRDefault="00842773" w:rsidP="00532502">
            <w:pPr>
              <w:rPr>
                <w:iCs/>
                <w:color w:val="000000"/>
                <w:sz w:val="16"/>
                <w:szCs w:val="16"/>
              </w:rPr>
            </w:pPr>
            <w:r w:rsidRPr="004F59D7">
              <w:rPr>
                <w:iCs/>
                <w:color w:val="000000"/>
                <w:sz w:val="16"/>
                <w:szCs w:val="16"/>
              </w:rPr>
              <w:t xml:space="preserve">Target (2021):   8 </w:t>
            </w:r>
          </w:p>
          <w:p w14:paraId="7950B8F4" w14:textId="77777777" w:rsidR="00842773" w:rsidRDefault="00842773" w:rsidP="00532502">
            <w:pPr>
              <w:rPr>
                <w:b/>
                <w:iCs/>
                <w:color w:val="000000"/>
                <w:sz w:val="16"/>
                <w:szCs w:val="16"/>
              </w:rPr>
            </w:pPr>
          </w:p>
          <w:p w14:paraId="28D46360" w14:textId="77777777" w:rsidR="00842773" w:rsidRPr="008262A1" w:rsidRDefault="00842773" w:rsidP="00532502">
            <w:pPr>
              <w:rPr>
                <w:iCs/>
                <w:color w:val="000000"/>
                <w:sz w:val="16"/>
                <w:szCs w:val="16"/>
              </w:rPr>
            </w:pPr>
            <w:r w:rsidRPr="008262A1">
              <w:rPr>
                <w:iCs/>
                <w:color w:val="000000"/>
                <w:sz w:val="16"/>
                <w:szCs w:val="16"/>
              </w:rPr>
              <w:t>Indicator: Percentage of members of parliament  and councillors who are women</w:t>
            </w:r>
          </w:p>
          <w:p w14:paraId="76F521BA" w14:textId="77777777" w:rsidR="00842773" w:rsidRPr="008262A1" w:rsidRDefault="00842773" w:rsidP="00842773">
            <w:pPr>
              <w:numPr>
                <w:ilvl w:val="0"/>
                <w:numId w:val="44"/>
              </w:numPr>
              <w:rPr>
                <w:iCs/>
                <w:color w:val="000000"/>
                <w:sz w:val="16"/>
                <w:szCs w:val="16"/>
              </w:rPr>
            </w:pPr>
            <w:r w:rsidRPr="008262A1">
              <w:rPr>
                <w:iCs/>
                <w:color w:val="000000"/>
                <w:sz w:val="16"/>
                <w:szCs w:val="16"/>
              </w:rPr>
              <w:t xml:space="preserve">Parliament: Baseline (2014): </w:t>
            </w:r>
            <w:r w:rsidRPr="005D5DF3">
              <w:rPr>
                <w:iCs/>
                <w:color w:val="000000"/>
                <w:sz w:val="16"/>
                <w:szCs w:val="16"/>
              </w:rPr>
              <w:t>1</w:t>
            </w:r>
            <w:r w:rsidR="005D5DF3" w:rsidRPr="005D5DF3">
              <w:rPr>
                <w:iCs/>
                <w:color w:val="000000"/>
                <w:sz w:val="16"/>
                <w:szCs w:val="16"/>
              </w:rPr>
              <w:t>3</w:t>
            </w:r>
            <w:r w:rsidR="00E964D1">
              <w:rPr>
                <w:iCs/>
                <w:color w:val="000000"/>
                <w:sz w:val="16"/>
                <w:szCs w:val="16"/>
              </w:rPr>
              <w:t xml:space="preserve">      Target (2021):</w:t>
            </w:r>
            <w:r w:rsidR="00822C97">
              <w:rPr>
                <w:iCs/>
                <w:color w:val="000000"/>
                <w:sz w:val="16"/>
                <w:szCs w:val="16"/>
              </w:rPr>
              <w:t xml:space="preserve"> </w:t>
            </w:r>
            <w:r w:rsidR="00E964D1">
              <w:rPr>
                <w:iCs/>
                <w:color w:val="000000"/>
                <w:sz w:val="16"/>
                <w:szCs w:val="16"/>
              </w:rPr>
              <w:t>30</w:t>
            </w:r>
          </w:p>
          <w:p w14:paraId="351BE431" w14:textId="77777777" w:rsidR="00842773" w:rsidRPr="008262A1" w:rsidRDefault="00842773" w:rsidP="00842773">
            <w:pPr>
              <w:numPr>
                <w:ilvl w:val="0"/>
                <w:numId w:val="44"/>
              </w:numPr>
              <w:rPr>
                <w:iCs/>
                <w:color w:val="000000"/>
                <w:sz w:val="16"/>
                <w:szCs w:val="16"/>
              </w:rPr>
            </w:pPr>
            <w:r w:rsidRPr="008262A1">
              <w:rPr>
                <w:iCs/>
                <w:color w:val="000000"/>
                <w:sz w:val="16"/>
                <w:szCs w:val="16"/>
              </w:rPr>
              <w:t xml:space="preserve">Councillors: Baseline (2014): </w:t>
            </w:r>
            <w:r w:rsidR="00822C97">
              <w:rPr>
                <w:iCs/>
                <w:color w:val="000000"/>
                <w:sz w:val="16"/>
                <w:szCs w:val="16"/>
              </w:rPr>
              <w:t xml:space="preserve"> </w:t>
            </w:r>
            <w:r w:rsidR="005D5DF3" w:rsidRPr="005D5DF3">
              <w:rPr>
                <w:iCs/>
                <w:color w:val="000000"/>
                <w:sz w:val="16"/>
                <w:szCs w:val="16"/>
              </w:rPr>
              <w:t>6</w:t>
            </w:r>
            <w:r w:rsidR="00E964D1">
              <w:rPr>
                <w:iCs/>
                <w:color w:val="000000"/>
                <w:sz w:val="16"/>
                <w:szCs w:val="16"/>
              </w:rPr>
              <w:t xml:space="preserve">      Target(2021): 30</w:t>
            </w:r>
          </w:p>
          <w:p w14:paraId="0A0DFCF4" w14:textId="186006D4" w:rsidR="00842773" w:rsidRPr="001975F1" w:rsidRDefault="00842773" w:rsidP="00532502">
            <w:pPr>
              <w:rPr>
                <w:iCs/>
                <w:color w:val="000000"/>
                <w:sz w:val="16"/>
                <w:szCs w:val="16"/>
              </w:rPr>
            </w:pPr>
            <w:r w:rsidRPr="004F59D7">
              <w:rPr>
                <w:b/>
                <w:iCs/>
                <w:color w:val="000000"/>
                <w:sz w:val="16"/>
                <w:szCs w:val="16"/>
              </w:rPr>
              <w:t>Data Source:</w:t>
            </w:r>
            <w:r w:rsidRPr="001975F1">
              <w:rPr>
                <w:iCs/>
                <w:color w:val="000000"/>
                <w:sz w:val="16"/>
                <w:szCs w:val="16"/>
              </w:rPr>
              <w:t xml:space="preserve"> Central Statistics Office Reports</w:t>
            </w:r>
            <w:r>
              <w:rPr>
                <w:iCs/>
                <w:color w:val="000000"/>
                <w:sz w:val="16"/>
                <w:szCs w:val="16"/>
              </w:rPr>
              <w:t xml:space="preserve">, </w:t>
            </w:r>
            <w:r w:rsidR="00345A68">
              <w:rPr>
                <w:iCs/>
                <w:color w:val="000000"/>
                <w:sz w:val="16"/>
                <w:szCs w:val="16"/>
              </w:rPr>
              <w:t>line ministry reports</w:t>
            </w:r>
            <w:r>
              <w:rPr>
                <w:iCs/>
                <w:color w:val="000000"/>
                <w:sz w:val="16"/>
                <w:szCs w:val="16"/>
              </w:rPr>
              <w:t xml:space="preserve">, </w:t>
            </w:r>
            <w:r w:rsidR="00345A68">
              <w:rPr>
                <w:iCs/>
                <w:color w:val="000000"/>
                <w:sz w:val="16"/>
                <w:szCs w:val="16"/>
              </w:rPr>
              <w:t>Ministry of Gender and Child Development reports</w:t>
            </w:r>
          </w:p>
          <w:p w14:paraId="55ADC540" w14:textId="77777777" w:rsidR="00842773" w:rsidRPr="004F59D7" w:rsidRDefault="00842773" w:rsidP="00532502">
            <w:pPr>
              <w:rPr>
                <w:iCs/>
                <w:color w:val="000000"/>
                <w:sz w:val="16"/>
                <w:szCs w:val="16"/>
              </w:rPr>
            </w:pPr>
            <w:r w:rsidRPr="004F59D7">
              <w:rPr>
                <w:b/>
                <w:iCs/>
                <w:color w:val="000000"/>
                <w:sz w:val="16"/>
                <w:szCs w:val="16"/>
              </w:rPr>
              <w:t xml:space="preserve">Frequency </w:t>
            </w:r>
            <w:r w:rsidRPr="001975F1">
              <w:rPr>
                <w:iCs/>
                <w:color w:val="000000"/>
                <w:sz w:val="16"/>
                <w:szCs w:val="16"/>
              </w:rPr>
              <w:t>Annual</w:t>
            </w:r>
          </w:p>
        </w:tc>
        <w:tc>
          <w:tcPr>
            <w:tcW w:w="634" w:type="pct"/>
            <w:gridSpan w:val="2"/>
            <w:tcBorders>
              <w:top w:val="single" w:sz="8" w:space="0" w:color="000000"/>
              <w:left w:val="single" w:sz="8" w:space="0" w:color="000000"/>
              <w:bottom w:val="single" w:sz="4" w:space="0" w:color="auto"/>
              <w:right w:val="single" w:sz="8" w:space="0" w:color="000000"/>
            </w:tcBorders>
          </w:tcPr>
          <w:p w14:paraId="39DFE6E6" w14:textId="36F2A119" w:rsidR="00345A68" w:rsidRDefault="00842773" w:rsidP="00345A68">
            <w:pPr>
              <w:rPr>
                <w:iCs/>
                <w:color w:val="000000"/>
                <w:sz w:val="16"/>
                <w:szCs w:val="16"/>
              </w:rPr>
            </w:pPr>
            <w:r w:rsidRPr="0007559A">
              <w:rPr>
                <w:iCs/>
                <w:color w:val="000000"/>
                <w:sz w:val="16"/>
                <w:szCs w:val="16"/>
              </w:rPr>
              <w:t>Ministries of Finance</w:t>
            </w:r>
            <w:r w:rsidR="00345A68">
              <w:rPr>
                <w:iCs/>
                <w:color w:val="000000"/>
                <w:sz w:val="16"/>
                <w:szCs w:val="16"/>
              </w:rPr>
              <w:t xml:space="preserve"> &amp; </w:t>
            </w:r>
            <w:r w:rsidR="00345A68" w:rsidRPr="0007559A">
              <w:rPr>
                <w:iCs/>
                <w:color w:val="000000"/>
                <w:sz w:val="16"/>
                <w:szCs w:val="16"/>
              </w:rPr>
              <w:t xml:space="preserve"> </w:t>
            </w:r>
            <w:r w:rsidRPr="0007559A">
              <w:rPr>
                <w:iCs/>
                <w:color w:val="000000"/>
                <w:sz w:val="16"/>
                <w:szCs w:val="16"/>
              </w:rPr>
              <w:t>Gender</w:t>
            </w:r>
            <w:r w:rsidR="00345A68">
              <w:rPr>
                <w:iCs/>
                <w:color w:val="000000"/>
                <w:sz w:val="16"/>
                <w:szCs w:val="16"/>
              </w:rPr>
              <w:t>;</w:t>
            </w:r>
          </w:p>
          <w:p w14:paraId="1BE10F41" w14:textId="2F605D77" w:rsidR="00345A68" w:rsidRDefault="00345A68" w:rsidP="00345A68">
            <w:pPr>
              <w:rPr>
                <w:iCs/>
                <w:color w:val="000000"/>
                <w:sz w:val="16"/>
                <w:szCs w:val="16"/>
              </w:rPr>
            </w:pPr>
            <w:r>
              <w:rPr>
                <w:iCs/>
                <w:color w:val="000000"/>
                <w:sz w:val="16"/>
                <w:szCs w:val="16"/>
              </w:rPr>
              <w:t>l</w:t>
            </w:r>
            <w:r w:rsidR="00842773" w:rsidRPr="0007559A">
              <w:rPr>
                <w:iCs/>
                <w:color w:val="000000"/>
                <w:sz w:val="16"/>
                <w:szCs w:val="16"/>
              </w:rPr>
              <w:t xml:space="preserve">ine </w:t>
            </w:r>
            <w:r>
              <w:rPr>
                <w:iCs/>
                <w:color w:val="000000"/>
                <w:sz w:val="16"/>
                <w:szCs w:val="16"/>
              </w:rPr>
              <w:t>m</w:t>
            </w:r>
            <w:r w:rsidRPr="0007559A">
              <w:rPr>
                <w:iCs/>
                <w:color w:val="000000"/>
                <w:sz w:val="16"/>
                <w:szCs w:val="16"/>
              </w:rPr>
              <w:t>inistries</w:t>
            </w:r>
            <w:r>
              <w:rPr>
                <w:iCs/>
                <w:color w:val="000000"/>
                <w:sz w:val="16"/>
                <w:szCs w:val="16"/>
              </w:rPr>
              <w:t>;</w:t>
            </w:r>
            <w:r w:rsidRPr="0007559A">
              <w:rPr>
                <w:iCs/>
                <w:color w:val="000000"/>
                <w:sz w:val="16"/>
                <w:szCs w:val="16"/>
              </w:rPr>
              <w:t xml:space="preserve"> </w:t>
            </w:r>
          </w:p>
          <w:p w14:paraId="06751354" w14:textId="2413007D" w:rsidR="00842773" w:rsidRPr="0007559A" w:rsidRDefault="00842773" w:rsidP="00345A68">
            <w:pPr>
              <w:rPr>
                <w:b/>
                <w:bCs/>
                <w:color w:val="000000"/>
                <w:sz w:val="16"/>
                <w:szCs w:val="16"/>
              </w:rPr>
            </w:pPr>
            <w:r w:rsidRPr="0007559A">
              <w:rPr>
                <w:iCs/>
                <w:color w:val="000000"/>
                <w:sz w:val="16"/>
                <w:szCs w:val="16"/>
              </w:rPr>
              <w:t xml:space="preserve">Central Statistical Office </w:t>
            </w:r>
          </w:p>
        </w:tc>
        <w:tc>
          <w:tcPr>
            <w:tcW w:w="614" w:type="pct"/>
            <w:tcBorders>
              <w:top w:val="single" w:sz="8" w:space="0" w:color="000000"/>
              <w:left w:val="single" w:sz="8" w:space="0" w:color="000000"/>
              <w:bottom w:val="single" w:sz="4" w:space="0" w:color="auto"/>
              <w:right w:val="single" w:sz="8" w:space="0" w:color="000000"/>
            </w:tcBorders>
            <w:tcMar>
              <w:top w:w="15" w:type="dxa"/>
              <w:left w:w="108" w:type="dxa"/>
              <w:bottom w:w="0" w:type="dxa"/>
              <w:right w:w="108" w:type="dxa"/>
            </w:tcMar>
            <w:vAlign w:val="center"/>
          </w:tcPr>
          <w:p w14:paraId="54732048" w14:textId="77777777" w:rsidR="00842773" w:rsidRPr="00501E43" w:rsidRDefault="00842773" w:rsidP="00532502">
            <w:pPr>
              <w:jc w:val="center"/>
              <w:rPr>
                <w:b/>
                <w:bCs/>
                <w:color w:val="000000"/>
                <w:sz w:val="16"/>
                <w:szCs w:val="16"/>
              </w:rPr>
            </w:pPr>
          </w:p>
        </w:tc>
      </w:tr>
      <w:tr w:rsidR="00842773" w:rsidRPr="00501E43" w14:paraId="5D8A9004" w14:textId="77777777" w:rsidTr="00AE71CA">
        <w:trPr>
          <w:trHeight w:val="18"/>
        </w:trPr>
        <w:tc>
          <w:tcPr>
            <w:tcW w:w="3752" w:type="pct"/>
            <w:gridSpan w:val="4"/>
            <w:vMerge w:val="restart"/>
            <w:tcBorders>
              <w:top w:val="single" w:sz="4" w:space="0" w:color="auto"/>
              <w:left w:val="single" w:sz="4" w:space="0" w:color="auto"/>
              <w:right w:val="single" w:sz="8" w:space="0" w:color="000000"/>
            </w:tcBorders>
            <w:tcMar>
              <w:top w:w="72" w:type="dxa"/>
              <w:left w:w="144" w:type="dxa"/>
              <w:bottom w:w="72" w:type="dxa"/>
              <w:right w:w="144" w:type="dxa"/>
            </w:tcMar>
            <w:vAlign w:val="center"/>
          </w:tcPr>
          <w:p w14:paraId="239D4CB0" w14:textId="1EEE5B00" w:rsidR="00842773" w:rsidRPr="004F59D7" w:rsidRDefault="00842773" w:rsidP="001313E3">
            <w:pPr>
              <w:rPr>
                <w:b/>
                <w:bCs/>
                <w:color w:val="000000"/>
                <w:sz w:val="18"/>
                <w:szCs w:val="18"/>
              </w:rPr>
            </w:pPr>
            <w:r w:rsidRPr="004F59D7">
              <w:rPr>
                <w:b/>
                <w:bCs/>
                <w:color w:val="000000"/>
                <w:sz w:val="18"/>
                <w:szCs w:val="18"/>
              </w:rPr>
              <w:t xml:space="preserve">Total </w:t>
            </w:r>
            <w:r w:rsidR="001313E3">
              <w:rPr>
                <w:b/>
                <w:bCs/>
                <w:color w:val="000000"/>
                <w:sz w:val="18"/>
                <w:szCs w:val="18"/>
              </w:rPr>
              <w:t>r</w:t>
            </w:r>
            <w:r w:rsidR="001313E3" w:rsidRPr="004F59D7">
              <w:rPr>
                <w:b/>
                <w:bCs/>
                <w:color w:val="000000"/>
                <w:sz w:val="18"/>
                <w:szCs w:val="18"/>
              </w:rPr>
              <w:t>esources</w:t>
            </w:r>
          </w:p>
        </w:tc>
        <w:tc>
          <w:tcPr>
            <w:tcW w:w="634" w:type="pct"/>
            <w:gridSpan w:val="2"/>
            <w:tcBorders>
              <w:top w:val="single" w:sz="4" w:space="0" w:color="auto"/>
              <w:left w:val="single" w:sz="8" w:space="0" w:color="000000"/>
              <w:bottom w:val="single" w:sz="4" w:space="0" w:color="auto"/>
              <w:right w:val="single" w:sz="4" w:space="0" w:color="auto"/>
            </w:tcBorders>
          </w:tcPr>
          <w:p w14:paraId="6493C358" w14:textId="77777777" w:rsidR="00842773" w:rsidRPr="00501E43" w:rsidRDefault="00842773" w:rsidP="00611454">
            <w:pPr>
              <w:rPr>
                <w:b/>
                <w:bCs/>
                <w:color w:val="000000"/>
                <w:sz w:val="16"/>
                <w:szCs w:val="16"/>
              </w:rPr>
            </w:pPr>
            <w:r>
              <w:rPr>
                <w:b/>
                <w:bCs/>
                <w:color w:val="000000"/>
                <w:sz w:val="16"/>
                <w:szCs w:val="16"/>
              </w:rPr>
              <w:t>Regular (T</w:t>
            </w:r>
            <w:r w:rsidR="00611454">
              <w:rPr>
                <w:b/>
                <w:bCs/>
                <w:color w:val="000000"/>
                <w:sz w:val="16"/>
                <w:szCs w:val="16"/>
              </w:rPr>
              <w:t>RAC</w:t>
            </w:r>
            <w:r>
              <w:rPr>
                <w:b/>
                <w:bCs/>
                <w:color w:val="000000"/>
                <w:sz w:val="16"/>
                <w:szCs w:val="16"/>
              </w:rPr>
              <w:t>)</w:t>
            </w:r>
          </w:p>
        </w:tc>
        <w:tc>
          <w:tcPr>
            <w:tcW w:w="614" w:type="pct"/>
            <w:tcBorders>
              <w:top w:val="single" w:sz="8" w:space="0" w:color="000000"/>
              <w:left w:val="single" w:sz="4" w:space="0" w:color="auto"/>
              <w:bottom w:val="single" w:sz="4" w:space="0" w:color="auto"/>
              <w:right w:val="single" w:sz="8" w:space="0" w:color="000000"/>
            </w:tcBorders>
            <w:tcMar>
              <w:top w:w="15" w:type="dxa"/>
              <w:left w:w="108" w:type="dxa"/>
              <w:bottom w:w="0" w:type="dxa"/>
              <w:right w:w="108" w:type="dxa"/>
            </w:tcMar>
            <w:vAlign w:val="center"/>
          </w:tcPr>
          <w:p w14:paraId="13B9E4C8" w14:textId="77777777" w:rsidR="00842773" w:rsidRPr="00501E43" w:rsidRDefault="006B28B9" w:rsidP="00532502">
            <w:pPr>
              <w:jc w:val="center"/>
              <w:rPr>
                <w:b/>
                <w:bCs/>
                <w:color w:val="000000"/>
                <w:sz w:val="16"/>
                <w:szCs w:val="16"/>
              </w:rPr>
            </w:pPr>
            <w:r>
              <w:rPr>
                <w:b/>
                <w:bCs/>
                <w:color w:val="000000"/>
                <w:sz w:val="16"/>
                <w:szCs w:val="16"/>
              </w:rPr>
              <w:t>16,523</w:t>
            </w:r>
            <w:r w:rsidR="00842773">
              <w:rPr>
                <w:b/>
                <w:bCs/>
                <w:color w:val="000000"/>
                <w:sz w:val="16"/>
                <w:szCs w:val="16"/>
              </w:rPr>
              <w:t>,000</w:t>
            </w:r>
          </w:p>
        </w:tc>
      </w:tr>
      <w:tr w:rsidR="00842773" w:rsidRPr="00501E43" w14:paraId="7A66F2AE" w14:textId="77777777" w:rsidTr="00AE71CA">
        <w:trPr>
          <w:trHeight w:val="18"/>
        </w:trPr>
        <w:tc>
          <w:tcPr>
            <w:tcW w:w="3752" w:type="pct"/>
            <w:gridSpan w:val="4"/>
            <w:vMerge/>
            <w:tcBorders>
              <w:left w:val="single" w:sz="4" w:space="0" w:color="auto"/>
              <w:bottom w:val="single" w:sz="4" w:space="0" w:color="auto"/>
              <w:right w:val="single" w:sz="8" w:space="0" w:color="000000"/>
            </w:tcBorders>
            <w:tcMar>
              <w:top w:w="72" w:type="dxa"/>
              <w:left w:w="144" w:type="dxa"/>
              <w:bottom w:w="72" w:type="dxa"/>
              <w:right w:w="144" w:type="dxa"/>
            </w:tcMar>
            <w:vAlign w:val="center"/>
          </w:tcPr>
          <w:p w14:paraId="27C3CE9C" w14:textId="77777777" w:rsidR="00842773" w:rsidRPr="004F59D7" w:rsidRDefault="00842773" w:rsidP="00532502">
            <w:pPr>
              <w:rPr>
                <w:b/>
                <w:bCs/>
                <w:color w:val="000000"/>
                <w:sz w:val="18"/>
                <w:szCs w:val="18"/>
              </w:rPr>
            </w:pPr>
          </w:p>
        </w:tc>
        <w:tc>
          <w:tcPr>
            <w:tcW w:w="634" w:type="pct"/>
            <w:gridSpan w:val="2"/>
            <w:tcBorders>
              <w:top w:val="single" w:sz="4" w:space="0" w:color="auto"/>
              <w:left w:val="single" w:sz="8" w:space="0" w:color="000000"/>
              <w:bottom w:val="single" w:sz="4" w:space="0" w:color="auto"/>
              <w:right w:val="single" w:sz="4" w:space="0" w:color="auto"/>
            </w:tcBorders>
          </w:tcPr>
          <w:p w14:paraId="1DD9F264" w14:textId="77777777" w:rsidR="00842773" w:rsidRDefault="00842773" w:rsidP="00532502">
            <w:pPr>
              <w:rPr>
                <w:b/>
                <w:bCs/>
                <w:color w:val="000000"/>
                <w:sz w:val="16"/>
                <w:szCs w:val="16"/>
              </w:rPr>
            </w:pPr>
            <w:r>
              <w:rPr>
                <w:b/>
                <w:bCs/>
                <w:color w:val="000000"/>
                <w:sz w:val="16"/>
                <w:szCs w:val="16"/>
              </w:rPr>
              <w:t>Other</w:t>
            </w:r>
          </w:p>
        </w:tc>
        <w:tc>
          <w:tcPr>
            <w:tcW w:w="614" w:type="pct"/>
            <w:tcBorders>
              <w:top w:val="single" w:sz="8" w:space="0" w:color="000000"/>
              <w:left w:val="single" w:sz="4" w:space="0" w:color="auto"/>
              <w:bottom w:val="single" w:sz="4" w:space="0" w:color="auto"/>
              <w:right w:val="single" w:sz="8" w:space="0" w:color="000000"/>
            </w:tcBorders>
            <w:tcMar>
              <w:top w:w="15" w:type="dxa"/>
              <w:left w:w="108" w:type="dxa"/>
              <w:bottom w:w="0" w:type="dxa"/>
              <w:right w:w="108" w:type="dxa"/>
            </w:tcMar>
            <w:vAlign w:val="center"/>
          </w:tcPr>
          <w:p w14:paraId="4D34B740" w14:textId="27A00590" w:rsidR="00842773" w:rsidRPr="00501E43" w:rsidRDefault="006B28B9" w:rsidP="00DF7FA3">
            <w:pPr>
              <w:jc w:val="center"/>
              <w:rPr>
                <w:b/>
                <w:bCs/>
                <w:color w:val="000000"/>
                <w:sz w:val="16"/>
                <w:szCs w:val="16"/>
              </w:rPr>
            </w:pPr>
            <w:r>
              <w:rPr>
                <w:b/>
                <w:bCs/>
                <w:color w:val="000000"/>
                <w:sz w:val="16"/>
                <w:szCs w:val="16"/>
              </w:rPr>
              <w:t>1</w:t>
            </w:r>
            <w:r w:rsidR="00DF7FA3">
              <w:rPr>
                <w:b/>
                <w:bCs/>
                <w:color w:val="000000"/>
                <w:sz w:val="16"/>
                <w:szCs w:val="16"/>
              </w:rPr>
              <w:t>03,477</w:t>
            </w:r>
            <w:r w:rsidR="00842773">
              <w:rPr>
                <w:b/>
                <w:bCs/>
                <w:color w:val="000000"/>
                <w:sz w:val="16"/>
                <w:szCs w:val="16"/>
              </w:rPr>
              <w:t>,000</w:t>
            </w:r>
          </w:p>
        </w:tc>
      </w:tr>
    </w:tbl>
    <w:p w14:paraId="5A78F4A5" w14:textId="77777777" w:rsidR="004D5F0A" w:rsidRDefault="004D5F0A" w:rsidP="00693074">
      <w:pPr>
        <w:rPr>
          <w:b/>
          <w:color w:val="000000"/>
        </w:rPr>
      </w:pPr>
    </w:p>
    <w:p w14:paraId="6D4E4C75" w14:textId="77777777" w:rsidR="00C268EC" w:rsidRDefault="00DF7FA3" w:rsidP="00D864D9">
      <w:pPr>
        <w:jc w:val="center"/>
        <w:rPr>
          <w:b/>
          <w:color w:val="000000"/>
        </w:rPr>
      </w:pPr>
      <w:r>
        <w:rPr>
          <w:noProof/>
          <w:color w:val="000000"/>
          <w:sz w:val="16"/>
          <w:szCs w:val="16"/>
          <w:lang w:val="en-US"/>
        </w:rPr>
        <w:drawing>
          <wp:inline distT="0" distB="0" distL="0" distR="0" wp14:anchorId="6FD821A2" wp14:editId="518F2AE1">
            <wp:extent cx="942975" cy="28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C268EC" w:rsidSect="00B21B1E">
      <w:headerReference w:type="even" r:id="rId14"/>
      <w:headerReference w:type="default" r:id="rId15"/>
      <w:footerReference w:type="even" r:id="rId16"/>
      <w:footerReference w:type="default" r:id="rId1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1B598" w14:textId="77777777" w:rsidR="00014915" w:rsidRDefault="00014915" w:rsidP="00441061">
      <w:r>
        <w:separator/>
      </w:r>
    </w:p>
  </w:endnote>
  <w:endnote w:type="continuationSeparator" w:id="0">
    <w:p w14:paraId="5DAC6CFD" w14:textId="77777777" w:rsidR="00014915" w:rsidRDefault="00014915"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542D" w14:textId="77777777" w:rsidR="00C03941" w:rsidRPr="00A076AD" w:rsidRDefault="00C03941">
    <w:pPr>
      <w:pStyle w:val="Footer"/>
      <w:rPr>
        <w:b/>
        <w:sz w:val="17"/>
        <w:szCs w:val="17"/>
      </w:rPr>
    </w:pPr>
    <w:r w:rsidRPr="00A076AD">
      <w:rPr>
        <w:b/>
        <w:sz w:val="17"/>
        <w:szCs w:val="17"/>
      </w:rPr>
      <w:fldChar w:fldCharType="begin"/>
    </w:r>
    <w:r w:rsidRPr="00A076AD">
      <w:rPr>
        <w:b/>
        <w:sz w:val="17"/>
        <w:szCs w:val="17"/>
      </w:rPr>
      <w:instrText xml:space="preserve"> PAGE   \* MERGEFORMAT </w:instrText>
    </w:r>
    <w:r w:rsidRPr="00A076AD">
      <w:rPr>
        <w:b/>
        <w:sz w:val="17"/>
        <w:szCs w:val="17"/>
      </w:rPr>
      <w:fldChar w:fldCharType="separate"/>
    </w:r>
    <w:r w:rsidR="00475A30">
      <w:rPr>
        <w:b/>
        <w:noProof/>
        <w:sz w:val="17"/>
        <w:szCs w:val="17"/>
      </w:rPr>
      <w:t>8</w:t>
    </w:r>
    <w:r w:rsidRPr="00A076AD">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5A83" w14:textId="77777777" w:rsidR="00C03941" w:rsidRPr="00A076AD" w:rsidRDefault="00C03941" w:rsidP="00A076AD">
    <w:pPr>
      <w:pStyle w:val="Footer"/>
      <w:jc w:val="right"/>
      <w:rPr>
        <w:b/>
        <w:sz w:val="17"/>
        <w:szCs w:val="17"/>
      </w:rPr>
    </w:pPr>
    <w:r w:rsidRPr="00A076AD">
      <w:rPr>
        <w:b/>
        <w:sz w:val="17"/>
        <w:szCs w:val="17"/>
      </w:rPr>
      <w:fldChar w:fldCharType="begin"/>
    </w:r>
    <w:r w:rsidRPr="00A076AD">
      <w:rPr>
        <w:b/>
        <w:sz w:val="17"/>
        <w:szCs w:val="17"/>
      </w:rPr>
      <w:instrText xml:space="preserve"> PAGE   \* MERGEFORMAT </w:instrText>
    </w:r>
    <w:r w:rsidRPr="00A076AD">
      <w:rPr>
        <w:b/>
        <w:sz w:val="17"/>
        <w:szCs w:val="17"/>
      </w:rPr>
      <w:fldChar w:fldCharType="separate"/>
    </w:r>
    <w:r w:rsidR="00475A30">
      <w:rPr>
        <w:b/>
        <w:noProof/>
        <w:sz w:val="17"/>
        <w:szCs w:val="17"/>
      </w:rPr>
      <w:t>7</w:t>
    </w:r>
    <w:r w:rsidRPr="00A076AD">
      <w:rPr>
        <w:b/>
        <w:noProof/>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3D41" w14:textId="77777777" w:rsidR="00C03941" w:rsidRPr="00A076AD" w:rsidRDefault="00C03941">
    <w:pPr>
      <w:pStyle w:val="Footer"/>
      <w:rPr>
        <w:b/>
        <w:sz w:val="17"/>
        <w:szCs w:val="17"/>
      </w:rPr>
    </w:pPr>
    <w:r w:rsidRPr="00A076AD">
      <w:rPr>
        <w:b/>
        <w:sz w:val="17"/>
        <w:szCs w:val="17"/>
      </w:rPr>
      <w:fldChar w:fldCharType="begin"/>
    </w:r>
    <w:r w:rsidRPr="00A076AD">
      <w:rPr>
        <w:b/>
        <w:sz w:val="17"/>
        <w:szCs w:val="17"/>
      </w:rPr>
      <w:instrText xml:space="preserve"> PAGE   \* MERGEFORMAT </w:instrText>
    </w:r>
    <w:r w:rsidRPr="00A076AD">
      <w:rPr>
        <w:b/>
        <w:sz w:val="17"/>
        <w:szCs w:val="17"/>
      </w:rPr>
      <w:fldChar w:fldCharType="separate"/>
    </w:r>
    <w:r w:rsidR="00475A30">
      <w:rPr>
        <w:b/>
        <w:noProof/>
        <w:sz w:val="17"/>
        <w:szCs w:val="17"/>
      </w:rPr>
      <w:t>10</w:t>
    </w:r>
    <w:r w:rsidRPr="00A076AD">
      <w:rPr>
        <w:b/>
        <w:noProof/>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FE29" w14:textId="77777777" w:rsidR="00C03941" w:rsidRPr="00A076AD" w:rsidRDefault="00C03941" w:rsidP="00E91963">
    <w:pPr>
      <w:pStyle w:val="Footer"/>
      <w:ind w:right="486"/>
      <w:jc w:val="right"/>
      <w:rPr>
        <w:b/>
        <w:sz w:val="17"/>
        <w:szCs w:val="17"/>
      </w:rPr>
    </w:pPr>
    <w:r w:rsidRPr="00A076AD">
      <w:rPr>
        <w:b/>
        <w:sz w:val="17"/>
        <w:szCs w:val="17"/>
      </w:rPr>
      <w:fldChar w:fldCharType="begin"/>
    </w:r>
    <w:r w:rsidRPr="00A076AD">
      <w:rPr>
        <w:b/>
        <w:sz w:val="17"/>
        <w:szCs w:val="17"/>
      </w:rPr>
      <w:instrText xml:space="preserve"> PAGE   \* MERGEFORMAT </w:instrText>
    </w:r>
    <w:r w:rsidRPr="00A076AD">
      <w:rPr>
        <w:b/>
        <w:sz w:val="17"/>
        <w:szCs w:val="17"/>
      </w:rPr>
      <w:fldChar w:fldCharType="separate"/>
    </w:r>
    <w:r w:rsidR="00475A30">
      <w:rPr>
        <w:b/>
        <w:noProof/>
        <w:sz w:val="17"/>
        <w:szCs w:val="17"/>
      </w:rPr>
      <w:t>9</w:t>
    </w:r>
    <w:r w:rsidRPr="00A076AD">
      <w:rPr>
        <w:b/>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DFA3F" w14:textId="77777777" w:rsidR="00014915" w:rsidRDefault="00014915" w:rsidP="00441061">
      <w:r>
        <w:separator/>
      </w:r>
    </w:p>
  </w:footnote>
  <w:footnote w:type="continuationSeparator" w:id="0">
    <w:p w14:paraId="46A4462B" w14:textId="77777777" w:rsidR="00014915" w:rsidRDefault="00014915" w:rsidP="00441061">
      <w:r>
        <w:continuationSeparator/>
      </w:r>
    </w:p>
  </w:footnote>
  <w:footnote w:id="1">
    <w:p w14:paraId="466EDD8D" w14:textId="024C3D89" w:rsidR="00C03941" w:rsidRPr="006D1977" w:rsidRDefault="00C03941">
      <w:pPr>
        <w:pStyle w:val="FootnoteText"/>
        <w:rPr>
          <w:rFonts w:ascii="Times New Roman" w:hAnsi="Times New Roman"/>
          <w:sz w:val="16"/>
          <w:szCs w:val="16"/>
        </w:rPr>
      </w:pPr>
      <w:r w:rsidRPr="0018668C">
        <w:rPr>
          <w:rStyle w:val="FootnoteReference"/>
          <w:rFonts w:ascii="Times New Roman" w:hAnsi="Times New Roman"/>
          <w:sz w:val="16"/>
          <w:szCs w:val="16"/>
        </w:rPr>
        <w:footnoteRef/>
      </w:r>
      <w:r w:rsidRPr="00F74DA4">
        <w:rPr>
          <w:rFonts w:ascii="Times New Roman" w:hAnsi="Times New Roman"/>
          <w:sz w:val="16"/>
          <w:szCs w:val="16"/>
        </w:rPr>
        <w:t>2014</w:t>
      </w:r>
      <w:r w:rsidRPr="006D1977">
        <w:rPr>
          <w:rFonts w:ascii="Times New Roman" w:hAnsi="Times New Roman"/>
          <w:sz w:val="16"/>
          <w:szCs w:val="16"/>
        </w:rPr>
        <w:t xml:space="preserve"> State of the Zambian Economy Brief, Ministry of Finance</w:t>
      </w:r>
      <w:r>
        <w:rPr>
          <w:rFonts w:ascii="Times New Roman" w:hAnsi="Times New Roman"/>
          <w:sz w:val="16"/>
          <w:szCs w:val="16"/>
        </w:rPr>
        <w:t>.</w:t>
      </w:r>
    </w:p>
  </w:footnote>
  <w:footnote w:id="2">
    <w:p w14:paraId="26364749" w14:textId="41023975" w:rsidR="00C03941" w:rsidRPr="006D1977" w:rsidRDefault="00C03941">
      <w:pPr>
        <w:pStyle w:val="FootnoteText"/>
        <w:rPr>
          <w:rFonts w:ascii="Times New Roman" w:hAnsi="Times New Roman"/>
          <w:sz w:val="16"/>
          <w:szCs w:val="16"/>
        </w:rPr>
      </w:pPr>
      <w:r w:rsidRPr="006D1977">
        <w:rPr>
          <w:rStyle w:val="FootnoteReference"/>
          <w:rFonts w:ascii="Times New Roman" w:hAnsi="Times New Roman"/>
          <w:sz w:val="16"/>
          <w:szCs w:val="16"/>
        </w:rPr>
        <w:footnoteRef/>
      </w:r>
      <w:r w:rsidRPr="006D1977">
        <w:rPr>
          <w:rFonts w:ascii="Times New Roman" w:hAnsi="Times New Roman"/>
          <w:sz w:val="16"/>
          <w:szCs w:val="16"/>
        </w:rPr>
        <w:t xml:space="preserve"> 2014 Human Development Report</w:t>
      </w:r>
      <w:r>
        <w:rPr>
          <w:rFonts w:ascii="Times New Roman" w:hAnsi="Times New Roman"/>
          <w:sz w:val="16"/>
          <w:szCs w:val="16"/>
        </w:rPr>
        <w:t>.</w:t>
      </w:r>
    </w:p>
  </w:footnote>
  <w:footnote w:id="3">
    <w:p w14:paraId="0B5985ED" w14:textId="2D697DCE" w:rsidR="00C03941" w:rsidRPr="006D1977" w:rsidRDefault="00C03941">
      <w:pPr>
        <w:pStyle w:val="FootnoteText"/>
        <w:rPr>
          <w:rFonts w:ascii="Times New Roman" w:hAnsi="Times New Roman"/>
          <w:sz w:val="16"/>
          <w:szCs w:val="16"/>
        </w:rPr>
      </w:pPr>
      <w:r w:rsidRPr="006D1977">
        <w:rPr>
          <w:rStyle w:val="FootnoteReference"/>
          <w:rFonts w:ascii="Times New Roman" w:hAnsi="Times New Roman"/>
          <w:sz w:val="16"/>
          <w:szCs w:val="16"/>
        </w:rPr>
        <w:footnoteRef/>
      </w:r>
      <w:r w:rsidRPr="006D1977">
        <w:rPr>
          <w:rFonts w:ascii="Times New Roman" w:hAnsi="Times New Roman"/>
          <w:sz w:val="16"/>
          <w:szCs w:val="16"/>
        </w:rPr>
        <w:t xml:space="preserve"> Zambia’s HIV Prevalence Rate has declined from 14.3</w:t>
      </w:r>
      <w:r>
        <w:rPr>
          <w:rFonts w:ascii="Times New Roman" w:hAnsi="Times New Roman"/>
          <w:sz w:val="16"/>
          <w:szCs w:val="16"/>
        </w:rPr>
        <w:t xml:space="preserve"> per cent</w:t>
      </w:r>
      <w:r w:rsidRPr="006D1977">
        <w:rPr>
          <w:rFonts w:ascii="Times New Roman" w:hAnsi="Times New Roman"/>
          <w:sz w:val="16"/>
          <w:szCs w:val="16"/>
        </w:rPr>
        <w:t xml:space="preserve"> in 2007 to 13.3</w:t>
      </w:r>
      <w:r>
        <w:rPr>
          <w:rFonts w:ascii="Times New Roman" w:hAnsi="Times New Roman"/>
          <w:sz w:val="16"/>
          <w:szCs w:val="16"/>
        </w:rPr>
        <w:t xml:space="preserve"> per cent</w:t>
      </w:r>
      <w:r w:rsidRPr="006D1977">
        <w:rPr>
          <w:rFonts w:ascii="Times New Roman" w:hAnsi="Times New Roman"/>
          <w:sz w:val="16"/>
          <w:szCs w:val="16"/>
        </w:rPr>
        <w:t xml:space="preserve"> in 2014</w:t>
      </w:r>
    </w:p>
  </w:footnote>
  <w:footnote w:id="4">
    <w:p w14:paraId="047396BD" w14:textId="430C1FF4" w:rsidR="00C03941" w:rsidRPr="006D1977" w:rsidRDefault="00C03941">
      <w:pPr>
        <w:pStyle w:val="FootnoteText"/>
        <w:rPr>
          <w:rFonts w:ascii="Times New Roman" w:hAnsi="Times New Roman"/>
          <w:sz w:val="16"/>
          <w:szCs w:val="16"/>
        </w:rPr>
      </w:pPr>
      <w:r w:rsidRPr="006D1977">
        <w:rPr>
          <w:rStyle w:val="FootnoteReference"/>
          <w:rFonts w:ascii="Times New Roman" w:hAnsi="Times New Roman"/>
          <w:sz w:val="16"/>
          <w:szCs w:val="16"/>
        </w:rPr>
        <w:footnoteRef/>
      </w:r>
      <w:r w:rsidRPr="006D1977">
        <w:rPr>
          <w:rFonts w:ascii="Times New Roman" w:hAnsi="Times New Roman"/>
          <w:sz w:val="16"/>
          <w:szCs w:val="16"/>
        </w:rPr>
        <w:t xml:space="preserve"> 2006, 2010 Central Statistics Office, Living Conditions Monitoring Survey</w:t>
      </w:r>
      <w:r>
        <w:rPr>
          <w:rFonts w:ascii="Times New Roman" w:hAnsi="Times New Roman"/>
          <w:sz w:val="16"/>
          <w:szCs w:val="16"/>
        </w:rPr>
        <w:t>.</w:t>
      </w:r>
    </w:p>
  </w:footnote>
  <w:footnote w:id="5">
    <w:p w14:paraId="4F087CA0" w14:textId="77777777" w:rsidR="00C03941" w:rsidRPr="006D1977" w:rsidRDefault="00C03941">
      <w:pPr>
        <w:pStyle w:val="FootnoteText"/>
        <w:rPr>
          <w:rFonts w:ascii="Times New Roman" w:hAnsi="Times New Roman"/>
          <w:sz w:val="16"/>
          <w:szCs w:val="16"/>
          <w:lang w:val="en-US"/>
        </w:rPr>
      </w:pPr>
      <w:r w:rsidRPr="006D1977">
        <w:rPr>
          <w:rStyle w:val="FootnoteReference"/>
          <w:rFonts w:ascii="Times New Roman" w:hAnsi="Times New Roman"/>
          <w:sz w:val="16"/>
          <w:szCs w:val="16"/>
        </w:rPr>
        <w:footnoteRef/>
      </w:r>
      <w:r w:rsidRPr="006D1977">
        <w:rPr>
          <w:rFonts w:ascii="Times New Roman" w:hAnsi="Times New Roman"/>
          <w:sz w:val="16"/>
          <w:szCs w:val="16"/>
        </w:rPr>
        <w:t xml:space="preserve"> 2014 Human Development Report</w:t>
      </w:r>
      <w:r>
        <w:rPr>
          <w:rFonts w:ascii="Times New Roman" w:hAnsi="Times New Roman"/>
          <w:sz w:val="16"/>
          <w:szCs w:val="16"/>
        </w:rPr>
        <w:t>.</w:t>
      </w:r>
    </w:p>
  </w:footnote>
  <w:footnote w:id="6">
    <w:p w14:paraId="13A1F4CC" w14:textId="77777777" w:rsidR="00C03941" w:rsidRPr="006D1977" w:rsidRDefault="00C03941">
      <w:pPr>
        <w:pStyle w:val="FootnoteText"/>
        <w:rPr>
          <w:rFonts w:ascii="Times New Roman" w:hAnsi="Times New Roman"/>
          <w:sz w:val="16"/>
          <w:szCs w:val="16"/>
          <w:lang w:val="en-US"/>
        </w:rPr>
      </w:pPr>
      <w:r w:rsidRPr="006D1977">
        <w:rPr>
          <w:rStyle w:val="FootnoteReference"/>
          <w:rFonts w:ascii="Times New Roman" w:hAnsi="Times New Roman"/>
          <w:sz w:val="16"/>
          <w:szCs w:val="16"/>
        </w:rPr>
        <w:footnoteRef/>
      </w:r>
      <w:r w:rsidRPr="006D1977">
        <w:rPr>
          <w:rFonts w:ascii="Times New Roman" w:hAnsi="Times New Roman"/>
          <w:sz w:val="16"/>
          <w:szCs w:val="16"/>
        </w:rPr>
        <w:t xml:space="preserve"> </w:t>
      </w:r>
      <w:r w:rsidRPr="006D1977">
        <w:rPr>
          <w:rFonts w:ascii="Times New Roman" w:hAnsi="Times New Roman"/>
          <w:sz w:val="16"/>
          <w:szCs w:val="16"/>
          <w:lang w:val="en-US"/>
        </w:rPr>
        <w:t>Ibid.</w:t>
      </w:r>
    </w:p>
  </w:footnote>
  <w:footnote w:id="7">
    <w:p w14:paraId="4738F473" w14:textId="77777777" w:rsidR="00C03941" w:rsidRPr="00077A22" w:rsidRDefault="00C03941">
      <w:pPr>
        <w:pStyle w:val="FootnoteText"/>
        <w:rPr>
          <w:lang w:val="en-US"/>
        </w:rPr>
      </w:pPr>
      <w:r w:rsidRPr="002F6E3F">
        <w:rPr>
          <w:rStyle w:val="FootnoteReference"/>
          <w:sz w:val="16"/>
          <w:szCs w:val="16"/>
        </w:rPr>
        <w:footnoteRef/>
      </w:r>
      <w:r w:rsidRPr="00077A22">
        <w:rPr>
          <w:rFonts w:ascii="Times New Roman" w:hAnsi="Times New Roman"/>
          <w:sz w:val="16"/>
          <w:szCs w:val="16"/>
        </w:rPr>
        <w:t>2015 Africa Scorecard on Violence Against Women &amp; Girls.</w:t>
      </w:r>
      <w:r w:rsidRPr="00077A22">
        <w:t xml:space="preserve"> </w:t>
      </w:r>
    </w:p>
  </w:footnote>
  <w:footnote w:id="8">
    <w:p w14:paraId="6F06BE69" w14:textId="43329E7E" w:rsidR="00C03941" w:rsidRPr="00077A22" w:rsidRDefault="00C03941">
      <w:pPr>
        <w:pStyle w:val="FootnoteText"/>
        <w:rPr>
          <w:rFonts w:ascii="Times New Roman" w:hAnsi="Times New Roman"/>
          <w:sz w:val="16"/>
          <w:szCs w:val="16"/>
        </w:rPr>
      </w:pPr>
      <w:r w:rsidRPr="00077A22">
        <w:rPr>
          <w:rStyle w:val="FootnoteReference"/>
          <w:rFonts w:ascii="Times New Roman" w:hAnsi="Times New Roman"/>
          <w:sz w:val="16"/>
          <w:szCs w:val="16"/>
        </w:rPr>
        <w:footnoteRef/>
      </w:r>
      <w:r w:rsidRPr="00077A22">
        <w:rPr>
          <w:rFonts w:ascii="Times New Roman" w:hAnsi="Times New Roman"/>
          <w:sz w:val="16"/>
          <w:szCs w:val="16"/>
        </w:rPr>
        <w:t xml:space="preserve"> 2014 Zambia Common Country Assessment</w:t>
      </w:r>
      <w:r>
        <w:rPr>
          <w:rFonts w:ascii="Times New Roman" w:hAnsi="Times New Roman"/>
          <w:sz w:val="16"/>
          <w:szCs w:val="16"/>
        </w:rPr>
        <w:t>.</w:t>
      </w:r>
    </w:p>
  </w:footnote>
  <w:footnote w:id="9">
    <w:p w14:paraId="70C3ABCA" w14:textId="77777777" w:rsidR="00C03941" w:rsidRPr="00077A22" w:rsidRDefault="00C03941">
      <w:pPr>
        <w:pStyle w:val="FootnoteText"/>
        <w:rPr>
          <w:rFonts w:ascii="Times New Roman" w:hAnsi="Times New Roman"/>
          <w:sz w:val="16"/>
          <w:szCs w:val="16"/>
          <w:lang w:val="en-US"/>
        </w:rPr>
      </w:pPr>
      <w:r w:rsidRPr="00077A22">
        <w:rPr>
          <w:rStyle w:val="FootnoteReference"/>
          <w:rFonts w:ascii="Times New Roman" w:hAnsi="Times New Roman"/>
          <w:sz w:val="16"/>
          <w:szCs w:val="16"/>
        </w:rPr>
        <w:footnoteRef/>
      </w:r>
      <w:r w:rsidRPr="00077A22">
        <w:rPr>
          <w:rFonts w:ascii="Times New Roman" w:hAnsi="Times New Roman"/>
          <w:sz w:val="16"/>
          <w:szCs w:val="16"/>
        </w:rPr>
        <w:t xml:space="preserve"> 2012 Zambia Labour Force Survey</w:t>
      </w:r>
      <w:r>
        <w:rPr>
          <w:rFonts w:ascii="Times New Roman" w:hAnsi="Times New Roman"/>
          <w:sz w:val="16"/>
          <w:szCs w:val="16"/>
        </w:rPr>
        <w:t>.</w:t>
      </w:r>
    </w:p>
  </w:footnote>
  <w:footnote w:id="10">
    <w:p w14:paraId="1DA26915" w14:textId="77777777" w:rsidR="00C03941" w:rsidRPr="00541652" w:rsidRDefault="00C03941" w:rsidP="0099339A">
      <w:pPr>
        <w:pStyle w:val="FootnoteText"/>
        <w:tabs>
          <w:tab w:val="left" w:pos="3761"/>
        </w:tabs>
        <w:rPr>
          <w:rFonts w:ascii="Times New Roman" w:hAnsi="Times New Roman"/>
          <w:sz w:val="18"/>
          <w:szCs w:val="18"/>
          <w:lang w:val="en-US"/>
        </w:rPr>
      </w:pPr>
      <w:r w:rsidRPr="00077A22">
        <w:rPr>
          <w:rStyle w:val="FootnoteReference"/>
          <w:rFonts w:ascii="Times New Roman" w:hAnsi="Times New Roman"/>
          <w:sz w:val="16"/>
          <w:szCs w:val="16"/>
        </w:rPr>
        <w:footnoteRef/>
      </w:r>
      <w:r w:rsidRPr="00077A22">
        <w:rPr>
          <w:rFonts w:ascii="Times New Roman" w:hAnsi="Times New Roman"/>
          <w:sz w:val="16"/>
          <w:szCs w:val="16"/>
        </w:rPr>
        <w:t xml:space="preserve"> </w:t>
      </w:r>
      <w:r w:rsidRPr="00077A22">
        <w:rPr>
          <w:rFonts w:ascii="Times New Roman" w:hAnsi="Times New Roman"/>
          <w:color w:val="000000"/>
          <w:sz w:val="16"/>
          <w:szCs w:val="16"/>
        </w:rPr>
        <w:t>2015 Presidential National Election report.</w:t>
      </w:r>
      <w:r w:rsidRPr="00F002AF">
        <w:rPr>
          <w:rFonts w:ascii="Times New Roman" w:hAnsi="Times New Roman"/>
          <w:i/>
          <w:color w:val="000000"/>
          <w:sz w:val="16"/>
          <w:szCs w:val="16"/>
        </w:rPr>
        <w:tab/>
      </w:r>
    </w:p>
  </w:footnote>
  <w:footnote w:id="11">
    <w:p w14:paraId="7AA6187A" w14:textId="3174D751" w:rsidR="00C03941" w:rsidRPr="00693074" w:rsidRDefault="00C03941">
      <w:pPr>
        <w:pStyle w:val="FootnoteText"/>
        <w:rPr>
          <w:rFonts w:ascii="Calibri Light" w:hAnsi="Calibri Light"/>
          <w:sz w:val="18"/>
          <w:szCs w:val="18"/>
          <w:lang w:val="en-US"/>
        </w:rPr>
      </w:pPr>
      <w:r w:rsidRPr="00541652">
        <w:rPr>
          <w:rStyle w:val="FootnoteReference"/>
          <w:rFonts w:ascii="Times New Roman" w:hAnsi="Times New Roman"/>
          <w:sz w:val="18"/>
          <w:szCs w:val="18"/>
        </w:rPr>
        <w:footnoteRef/>
      </w:r>
      <w:r w:rsidRPr="00541652">
        <w:rPr>
          <w:rFonts w:ascii="Times New Roman" w:hAnsi="Times New Roman"/>
          <w:sz w:val="18"/>
          <w:szCs w:val="18"/>
        </w:rPr>
        <w:t xml:space="preserve"> </w:t>
      </w:r>
      <w:r w:rsidRPr="002F6E3F">
        <w:rPr>
          <w:rFonts w:ascii="Times New Roman" w:hAnsi="Times New Roman"/>
          <w:sz w:val="16"/>
          <w:szCs w:val="16"/>
        </w:rPr>
        <w:t xml:space="preserve">SNDP </w:t>
      </w:r>
      <w:r>
        <w:rPr>
          <w:rFonts w:ascii="Times New Roman" w:hAnsi="Times New Roman"/>
          <w:sz w:val="16"/>
          <w:szCs w:val="16"/>
        </w:rPr>
        <w:t>m</w:t>
      </w:r>
      <w:r w:rsidRPr="002F6E3F">
        <w:rPr>
          <w:rFonts w:ascii="Times New Roman" w:hAnsi="Times New Roman"/>
          <w:sz w:val="16"/>
          <w:szCs w:val="16"/>
        </w:rPr>
        <w:t xml:space="preserve">idterm </w:t>
      </w:r>
      <w:r>
        <w:rPr>
          <w:rFonts w:ascii="Times New Roman" w:hAnsi="Times New Roman"/>
          <w:sz w:val="16"/>
          <w:szCs w:val="16"/>
        </w:rPr>
        <w:t>r</w:t>
      </w:r>
      <w:r w:rsidRPr="002F6E3F">
        <w:rPr>
          <w:rFonts w:ascii="Times New Roman" w:hAnsi="Times New Roman"/>
          <w:sz w:val="16"/>
          <w:szCs w:val="16"/>
        </w:rPr>
        <w:t>eview</w:t>
      </w:r>
      <w:r w:rsidRPr="002F6E3F">
        <w:rPr>
          <w:rFonts w:ascii="Calibri Light" w:hAnsi="Calibri Light"/>
          <w:sz w:val="16"/>
          <w:szCs w:val="16"/>
        </w:rPr>
        <w:t>.</w:t>
      </w:r>
    </w:p>
  </w:footnote>
  <w:footnote w:id="12">
    <w:p w14:paraId="5105F5F5" w14:textId="3A01B5EB" w:rsidR="00C03941" w:rsidRPr="002F6E3F" w:rsidRDefault="00C03941">
      <w:pPr>
        <w:pStyle w:val="FootnoteText"/>
        <w:rPr>
          <w:rFonts w:ascii="Times New Roman" w:hAnsi="Times New Roman"/>
          <w:sz w:val="16"/>
          <w:szCs w:val="16"/>
        </w:rPr>
      </w:pPr>
      <w:r w:rsidRPr="0061714D">
        <w:rPr>
          <w:rStyle w:val="FootnoteReference"/>
          <w:rFonts w:ascii="Times New Roman" w:hAnsi="Times New Roman"/>
          <w:i/>
          <w:sz w:val="16"/>
          <w:szCs w:val="16"/>
        </w:rPr>
        <w:footnoteRef/>
      </w:r>
      <w:r w:rsidRPr="0061714D">
        <w:rPr>
          <w:rFonts w:ascii="Times New Roman" w:hAnsi="Times New Roman"/>
          <w:i/>
          <w:sz w:val="16"/>
          <w:szCs w:val="16"/>
        </w:rPr>
        <w:t xml:space="preserve"> </w:t>
      </w:r>
      <w:r>
        <w:rPr>
          <w:rFonts w:ascii="Times New Roman" w:hAnsi="Times New Roman"/>
          <w:sz w:val="16"/>
          <w:szCs w:val="16"/>
        </w:rPr>
        <w:t xml:space="preserve">Midterm evaluation of the </w:t>
      </w:r>
      <w:r w:rsidRPr="002F6E3F">
        <w:rPr>
          <w:rFonts w:ascii="Times New Roman" w:hAnsi="Times New Roman"/>
          <w:sz w:val="16"/>
          <w:szCs w:val="16"/>
        </w:rPr>
        <w:t xml:space="preserve">2011-2015 UNDP </w:t>
      </w:r>
      <w:r>
        <w:rPr>
          <w:rFonts w:ascii="Times New Roman" w:hAnsi="Times New Roman"/>
          <w:sz w:val="16"/>
          <w:szCs w:val="16"/>
        </w:rPr>
        <w:t>c</w:t>
      </w:r>
      <w:r w:rsidRPr="002F6E3F">
        <w:rPr>
          <w:rFonts w:ascii="Times New Roman" w:hAnsi="Times New Roman"/>
          <w:sz w:val="16"/>
          <w:szCs w:val="16"/>
        </w:rPr>
        <w:t xml:space="preserve">ountry </w:t>
      </w:r>
      <w:r>
        <w:rPr>
          <w:rFonts w:ascii="Times New Roman" w:hAnsi="Times New Roman"/>
          <w:sz w:val="16"/>
          <w:szCs w:val="16"/>
        </w:rPr>
        <w:t>p</w:t>
      </w:r>
      <w:r w:rsidRPr="002F6E3F">
        <w:rPr>
          <w:rFonts w:ascii="Times New Roman" w:hAnsi="Times New Roman"/>
          <w:sz w:val="16"/>
          <w:szCs w:val="16"/>
        </w:rPr>
        <w:t xml:space="preserve">rogramme and </w:t>
      </w:r>
      <w:r>
        <w:rPr>
          <w:rFonts w:ascii="Times New Roman" w:hAnsi="Times New Roman"/>
          <w:sz w:val="16"/>
          <w:szCs w:val="16"/>
        </w:rPr>
        <w:t>c</w:t>
      </w:r>
      <w:r w:rsidRPr="002F6E3F">
        <w:rPr>
          <w:rFonts w:ascii="Times New Roman" w:hAnsi="Times New Roman"/>
          <w:sz w:val="16"/>
          <w:szCs w:val="16"/>
        </w:rPr>
        <w:t xml:space="preserve">ountry </w:t>
      </w:r>
      <w:r>
        <w:rPr>
          <w:rFonts w:ascii="Times New Roman" w:hAnsi="Times New Roman"/>
          <w:sz w:val="16"/>
          <w:szCs w:val="16"/>
        </w:rPr>
        <w:t>p</w:t>
      </w:r>
      <w:r w:rsidRPr="002F6E3F">
        <w:rPr>
          <w:rFonts w:ascii="Times New Roman" w:hAnsi="Times New Roman"/>
          <w:sz w:val="16"/>
          <w:szCs w:val="16"/>
        </w:rPr>
        <w:t xml:space="preserve">rogramme </w:t>
      </w:r>
      <w:r>
        <w:rPr>
          <w:rFonts w:ascii="Times New Roman" w:hAnsi="Times New Roman"/>
          <w:sz w:val="16"/>
          <w:szCs w:val="16"/>
        </w:rPr>
        <w:t>a</w:t>
      </w:r>
      <w:r w:rsidRPr="002F6E3F">
        <w:rPr>
          <w:rFonts w:ascii="Times New Roman" w:hAnsi="Times New Roman"/>
          <w:sz w:val="16"/>
          <w:szCs w:val="16"/>
        </w:rPr>
        <w:t xml:space="preserve">ction </w:t>
      </w:r>
      <w:r>
        <w:rPr>
          <w:rFonts w:ascii="Times New Roman" w:hAnsi="Times New Roman"/>
          <w:sz w:val="16"/>
          <w:szCs w:val="16"/>
        </w:rPr>
        <w:t>p</w:t>
      </w:r>
      <w:r w:rsidRPr="002F6E3F">
        <w:rPr>
          <w:rFonts w:ascii="Times New Roman" w:hAnsi="Times New Roman"/>
          <w:sz w:val="16"/>
          <w:szCs w:val="16"/>
        </w:rPr>
        <w:t xml:space="preserve">lan (CPAP) and 2014 </w:t>
      </w:r>
      <w:r>
        <w:rPr>
          <w:rFonts w:ascii="Times New Roman" w:hAnsi="Times New Roman"/>
          <w:sz w:val="16"/>
          <w:szCs w:val="16"/>
        </w:rPr>
        <w:t>eva</w:t>
      </w:r>
      <w:r w:rsidRPr="002F6E3F">
        <w:rPr>
          <w:rFonts w:ascii="Times New Roman" w:hAnsi="Times New Roman"/>
          <w:sz w:val="16"/>
          <w:szCs w:val="16"/>
        </w:rPr>
        <w:t xml:space="preserve">luation of the Zambia </w:t>
      </w:r>
      <w:r>
        <w:rPr>
          <w:rFonts w:ascii="Times New Roman" w:hAnsi="Times New Roman"/>
          <w:sz w:val="16"/>
          <w:szCs w:val="16"/>
        </w:rPr>
        <w:t>United Nations Development Assistance Framework.</w:t>
      </w:r>
    </w:p>
  </w:footnote>
  <w:footnote w:id="13">
    <w:p w14:paraId="6CB998BC" w14:textId="631C06EC" w:rsidR="00C03941" w:rsidRPr="002F6E3F" w:rsidRDefault="00C03941">
      <w:pPr>
        <w:pStyle w:val="FootnoteText"/>
        <w:rPr>
          <w:rFonts w:ascii="Times New Roman" w:hAnsi="Times New Roman"/>
          <w:sz w:val="16"/>
          <w:szCs w:val="16"/>
        </w:rPr>
      </w:pPr>
      <w:r w:rsidRPr="002F6E3F">
        <w:rPr>
          <w:rStyle w:val="FootnoteReference"/>
          <w:rFonts w:ascii="Times New Roman" w:hAnsi="Times New Roman"/>
          <w:sz w:val="16"/>
          <w:szCs w:val="16"/>
        </w:rPr>
        <w:footnoteRef/>
      </w:r>
      <w:r w:rsidRPr="002F6E3F">
        <w:rPr>
          <w:rFonts w:ascii="Times New Roman" w:hAnsi="Times New Roman"/>
          <w:sz w:val="16"/>
          <w:szCs w:val="16"/>
        </w:rPr>
        <w:t xml:space="preserve"> Mid</w:t>
      </w:r>
      <w:r>
        <w:rPr>
          <w:rFonts w:ascii="Times New Roman" w:hAnsi="Times New Roman"/>
          <w:sz w:val="16"/>
          <w:szCs w:val="16"/>
        </w:rPr>
        <w:t>t</w:t>
      </w:r>
      <w:r w:rsidRPr="002F6E3F">
        <w:rPr>
          <w:rFonts w:ascii="Times New Roman" w:hAnsi="Times New Roman"/>
          <w:sz w:val="16"/>
          <w:szCs w:val="16"/>
        </w:rPr>
        <w:t xml:space="preserve">erm and </w:t>
      </w:r>
      <w:r>
        <w:rPr>
          <w:rFonts w:ascii="Times New Roman" w:hAnsi="Times New Roman"/>
          <w:sz w:val="16"/>
          <w:szCs w:val="16"/>
        </w:rPr>
        <w:t>f</w:t>
      </w:r>
      <w:r w:rsidRPr="002F6E3F">
        <w:rPr>
          <w:rFonts w:ascii="Times New Roman" w:hAnsi="Times New Roman"/>
          <w:sz w:val="16"/>
          <w:szCs w:val="16"/>
        </w:rPr>
        <w:t xml:space="preserve">inal </w:t>
      </w:r>
      <w:r>
        <w:rPr>
          <w:rFonts w:ascii="Times New Roman" w:hAnsi="Times New Roman"/>
          <w:sz w:val="16"/>
          <w:szCs w:val="16"/>
        </w:rPr>
        <w:t>e</w:t>
      </w:r>
      <w:r w:rsidRPr="002F6E3F">
        <w:rPr>
          <w:rFonts w:ascii="Times New Roman" w:hAnsi="Times New Roman"/>
          <w:sz w:val="16"/>
          <w:szCs w:val="16"/>
        </w:rPr>
        <w:t>valuations</w:t>
      </w:r>
      <w:r>
        <w:rPr>
          <w:rFonts w:ascii="Times New Roman" w:hAnsi="Times New Roman"/>
          <w:sz w:val="16"/>
          <w:szCs w:val="16"/>
        </w:rPr>
        <w:t xml:space="preserve"> of:</w:t>
      </w:r>
      <w:r w:rsidRPr="002F6E3F">
        <w:rPr>
          <w:rFonts w:ascii="Times New Roman" w:hAnsi="Times New Roman"/>
          <w:sz w:val="16"/>
          <w:szCs w:val="16"/>
        </w:rPr>
        <w:t xml:space="preserve"> (</w:t>
      </w:r>
      <w:r>
        <w:rPr>
          <w:rFonts w:ascii="Times New Roman" w:hAnsi="Times New Roman"/>
          <w:sz w:val="16"/>
          <w:szCs w:val="16"/>
        </w:rPr>
        <w:t>a</w:t>
      </w:r>
      <w:r w:rsidRPr="002F6E3F">
        <w:rPr>
          <w:rFonts w:ascii="Times New Roman" w:hAnsi="Times New Roman"/>
          <w:sz w:val="16"/>
          <w:szCs w:val="16"/>
        </w:rPr>
        <w:t>) Lake Tanganyika Integrated Management Programme</w:t>
      </w:r>
      <w:r>
        <w:rPr>
          <w:rFonts w:ascii="Times New Roman" w:hAnsi="Times New Roman"/>
          <w:sz w:val="16"/>
          <w:szCs w:val="16"/>
        </w:rPr>
        <w:t>;</w:t>
      </w:r>
      <w:r w:rsidRPr="002F6E3F">
        <w:rPr>
          <w:rFonts w:ascii="Times New Roman" w:hAnsi="Times New Roman"/>
          <w:sz w:val="16"/>
          <w:szCs w:val="16"/>
        </w:rPr>
        <w:t xml:space="preserve"> </w:t>
      </w:r>
      <w:r>
        <w:rPr>
          <w:rFonts w:ascii="Times New Roman" w:hAnsi="Times New Roman"/>
          <w:sz w:val="16"/>
          <w:szCs w:val="16"/>
        </w:rPr>
        <w:t>(b</w:t>
      </w:r>
      <w:r w:rsidRPr="002F6E3F">
        <w:rPr>
          <w:rFonts w:ascii="Times New Roman" w:hAnsi="Times New Roman"/>
          <w:sz w:val="16"/>
          <w:szCs w:val="16"/>
        </w:rPr>
        <w:t xml:space="preserve">) Reclassification and Effective Management of Protected Areas System </w:t>
      </w:r>
      <w:r>
        <w:rPr>
          <w:rFonts w:ascii="Times New Roman" w:hAnsi="Times New Roman"/>
          <w:sz w:val="16"/>
          <w:szCs w:val="16"/>
        </w:rPr>
        <w:t>P</w:t>
      </w:r>
      <w:r w:rsidRPr="002F6E3F">
        <w:rPr>
          <w:rFonts w:ascii="Times New Roman" w:hAnsi="Times New Roman"/>
          <w:sz w:val="16"/>
          <w:szCs w:val="16"/>
        </w:rPr>
        <w:t>roject</w:t>
      </w:r>
      <w:r>
        <w:rPr>
          <w:rFonts w:ascii="Times New Roman" w:hAnsi="Times New Roman"/>
          <w:sz w:val="16"/>
          <w:szCs w:val="16"/>
        </w:rPr>
        <w:t>;</w:t>
      </w:r>
      <w:r w:rsidRPr="002F6E3F">
        <w:rPr>
          <w:rFonts w:ascii="Times New Roman" w:hAnsi="Times New Roman"/>
          <w:sz w:val="16"/>
          <w:szCs w:val="16"/>
        </w:rPr>
        <w:t xml:space="preserve"> and</w:t>
      </w:r>
      <w:r>
        <w:rPr>
          <w:rFonts w:ascii="Times New Roman" w:hAnsi="Times New Roman"/>
          <w:sz w:val="16"/>
          <w:szCs w:val="16"/>
        </w:rPr>
        <w:t xml:space="preserve"> (c</w:t>
      </w:r>
      <w:r w:rsidRPr="002F6E3F">
        <w:rPr>
          <w:rFonts w:ascii="Times New Roman" w:hAnsi="Times New Roman"/>
          <w:sz w:val="16"/>
          <w:szCs w:val="16"/>
        </w:rPr>
        <w:t>) Adaptation to Climate Change Adaptation Project</w:t>
      </w:r>
      <w:r>
        <w:rPr>
          <w:rFonts w:ascii="Times New Roman" w:hAnsi="Times New Roman"/>
          <w:sz w:val="16"/>
          <w:szCs w:val="16"/>
        </w:rPr>
        <w:t>.</w:t>
      </w:r>
      <w:r w:rsidRPr="002F6E3F">
        <w:rPr>
          <w:rFonts w:ascii="Times New Roman" w:hAnsi="Times New Roman"/>
          <w:sz w:val="16"/>
          <w:szCs w:val="16"/>
        </w:rPr>
        <w:t xml:space="preserve"> </w:t>
      </w:r>
    </w:p>
  </w:footnote>
  <w:footnote w:id="14">
    <w:p w14:paraId="2725513F" w14:textId="0133933D" w:rsidR="00C03941" w:rsidRPr="0061714D" w:rsidRDefault="00C03941">
      <w:pPr>
        <w:pStyle w:val="FootnoteText"/>
        <w:rPr>
          <w:rFonts w:ascii="Times New Roman" w:hAnsi="Times New Roman"/>
          <w:i/>
          <w:sz w:val="16"/>
          <w:szCs w:val="16"/>
        </w:rPr>
      </w:pPr>
      <w:r w:rsidRPr="002F6E3F">
        <w:rPr>
          <w:rStyle w:val="FootnoteReference"/>
          <w:rFonts w:ascii="Times New Roman" w:hAnsi="Times New Roman"/>
          <w:sz w:val="16"/>
          <w:szCs w:val="16"/>
        </w:rPr>
        <w:footnoteRef/>
      </w:r>
      <w:r w:rsidRPr="002F6E3F">
        <w:rPr>
          <w:rFonts w:ascii="Times New Roman" w:hAnsi="Times New Roman"/>
          <w:sz w:val="16"/>
          <w:szCs w:val="16"/>
        </w:rPr>
        <w:t xml:space="preserve"> Final </w:t>
      </w:r>
      <w:r>
        <w:rPr>
          <w:rFonts w:ascii="Times New Roman" w:hAnsi="Times New Roman"/>
          <w:sz w:val="16"/>
          <w:szCs w:val="16"/>
        </w:rPr>
        <w:t>e</w:t>
      </w:r>
      <w:r w:rsidRPr="002F6E3F">
        <w:rPr>
          <w:rFonts w:ascii="Times New Roman" w:hAnsi="Times New Roman"/>
          <w:sz w:val="16"/>
          <w:szCs w:val="16"/>
        </w:rPr>
        <w:t xml:space="preserve">valuation of the </w:t>
      </w:r>
      <w:r>
        <w:rPr>
          <w:rFonts w:ascii="Times New Roman" w:hAnsi="Times New Roman"/>
          <w:sz w:val="16"/>
          <w:szCs w:val="16"/>
        </w:rPr>
        <w:t>United Nations</w:t>
      </w:r>
      <w:r w:rsidRPr="002F6E3F">
        <w:rPr>
          <w:rFonts w:ascii="Times New Roman" w:hAnsi="Times New Roman"/>
          <w:sz w:val="16"/>
          <w:szCs w:val="16"/>
        </w:rPr>
        <w:t xml:space="preserve"> Joint Gender Support Programme and </w:t>
      </w:r>
      <w:r>
        <w:rPr>
          <w:rFonts w:ascii="Times New Roman" w:hAnsi="Times New Roman"/>
          <w:sz w:val="16"/>
          <w:szCs w:val="16"/>
        </w:rPr>
        <w:t>m</w:t>
      </w:r>
      <w:r w:rsidRPr="002F6E3F">
        <w:rPr>
          <w:rFonts w:ascii="Times New Roman" w:hAnsi="Times New Roman"/>
          <w:sz w:val="16"/>
          <w:szCs w:val="16"/>
        </w:rPr>
        <w:t>id</w:t>
      </w:r>
      <w:r>
        <w:rPr>
          <w:rFonts w:ascii="Times New Roman" w:hAnsi="Times New Roman"/>
          <w:sz w:val="16"/>
          <w:szCs w:val="16"/>
        </w:rPr>
        <w:t>t</w:t>
      </w:r>
      <w:r w:rsidRPr="002F6E3F">
        <w:rPr>
          <w:rFonts w:ascii="Times New Roman" w:hAnsi="Times New Roman"/>
          <w:sz w:val="16"/>
          <w:szCs w:val="16"/>
        </w:rPr>
        <w:t xml:space="preserve">erm </w:t>
      </w:r>
      <w:r>
        <w:rPr>
          <w:rFonts w:ascii="Times New Roman" w:hAnsi="Times New Roman"/>
          <w:sz w:val="16"/>
          <w:szCs w:val="16"/>
        </w:rPr>
        <w:t>e</w:t>
      </w:r>
      <w:r w:rsidRPr="002F6E3F">
        <w:rPr>
          <w:rFonts w:ascii="Times New Roman" w:hAnsi="Times New Roman"/>
          <w:sz w:val="16"/>
          <w:szCs w:val="16"/>
        </w:rPr>
        <w:t xml:space="preserve">valuation of the </w:t>
      </w:r>
      <w:r>
        <w:rPr>
          <w:rFonts w:ascii="Times New Roman" w:hAnsi="Times New Roman"/>
          <w:sz w:val="16"/>
          <w:szCs w:val="16"/>
        </w:rPr>
        <w:t>p</w:t>
      </w:r>
      <w:r w:rsidRPr="002F6E3F">
        <w:rPr>
          <w:rFonts w:ascii="Times New Roman" w:hAnsi="Times New Roman"/>
          <w:sz w:val="16"/>
          <w:szCs w:val="16"/>
        </w:rPr>
        <w:t xml:space="preserve">rogramme for the </w:t>
      </w:r>
      <w:r>
        <w:rPr>
          <w:rFonts w:ascii="Times New Roman" w:hAnsi="Times New Roman"/>
          <w:sz w:val="16"/>
          <w:szCs w:val="16"/>
        </w:rPr>
        <w:t>p</w:t>
      </w:r>
      <w:r w:rsidRPr="002F6E3F">
        <w:rPr>
          <w:rFonts w:ascii="Times New Roman" w:hAnsi="Times New Roman"/>
          <w:sz w:val="16"/>
          <w:szCs w:val="16"/>
        </w:rPr>
        <w:t xml:space="preserve">rotection and </w:t>
      </w:r>
      <w:r>
        <w:rPr>
          <w:rFonts w:ascii="Times New Roman" w:hAnsi="Times New Roman"/>
          <w:sz w:val="16"/>
          <w:szCs w:val="16"/>
        </w:rPr>
        <w:t>p</w:t>
      </w:r>
      <w:r w:rsidRPr="002F6E3F">
        <w:rPr>
          <w:rFonts w:ascii="Times New Roman" w:hAnsi="Times New Roman"/>
          <w:sz w:val="16"/>
          <w:szCs w:val="16"/>
        </w:rPr>
        <w:t xml:space="preserve">romotion of </w:t>
      </w:r>
      <w:r>
        <w:rPr>
          <w:rFonts w:ascii="Times New Roman" w:hAnsi="Times New Roman"/>
          <w:sz w:val="16"/>
          <w:szCs w:val="16"/>
        </w:rPr>
        <w:t>w</w:t>
      </w:r>
      <w:r w:rsidRPr="002F6E3F">
        <w:rPr>
          <w:rFonts w:ascii="Times New Roman" w:hAnsi="Times New Roman"/>
          <w:sz w:val="16"/>
          <w:szCs w:val="16"/>
        </w:rPr>
        <w:t>omen</w:t>
      </w:r>
      <w:r>
        <w:rPr>
          <w:rFonts w:ascii="Times New Roman" w:hAnsi="Times New Roman"/>
          <w:sz w:val="16"/>
          <w:szCs w:val="16"/>
        </w:rPr>
        <w:t>'</w:t>
      </w:r>
      <w:r w:rsidRPr="002F6E3F">
        <w:rPr>
          <w:rFonts w:ascii="Times New Roman" w:hAnsi="Times New Roman"/>
          <w:sz w:val="16"/>
          <w:szCs w:val="16"/>
        </w:rPr>
        <w:t xml:space="preserve">s and </w:t>
      </w:r>
      <w:r>
        <w:rPr>
          <w:rFonts w:ascii="Times New Roman" w:hAnsi="Times New Roman"/>
          <w:sz w:val="16"/>
          <w:szCs w:val="16"/>
        </w:rPr>
        <w:t>c</w:t>
      </w:r>
      <w:r w:rsidRPr="002F6E3F">
        <w:rPr>
          <w:rFonts w:ascii="Times New Roman" w:hAnsi="Times New Roman"/>
          <w:sz w:val="16"/>
          <w:szCs w:val="16"/>
        </w:rPr>
        <w:t xml:space="preserve">hildren’s </w:t>
      </w:r>
      <w:r>
        <w:rPr>
          <w:rFonts w:ascii="Times New Roman" w:hAnsi="Times New Roman"/>
          <w:sz w:val="16"/>
          <w:szCs w:val="16"/>
        </w:rPr>
        <w:t>r</w:t>
      </w:r>
      <w:r w:rsidRPr="002F6E3F">
        <w:rPr>
          <w:rFonts w:ascii="Times New Roman" w:hAnsi="Times New Roman"/>
          <w:sz w:val="16"/>
          <w:szCs w:val="16"/>
        </w:rPr>
        <w:t>ights.</w:t>
      </w:r>
    </w:p>
  </w:footnote>
  <w:footnote w:id="15">
    <w:p w14:paraId="5DAA958F" w14:textId="32A4368B" w:rsidR="00C03941" w:rsidRPr="00EF0495" w:rsidRDefault="00C03941">
      <w:pPr>
        <w:pStyle w:val="FootnoteText"/>
        <w:rPr>
          <w:rFonts w:ascii="Times New Roman" w:hAnsi="Times New Roman"/>
          <w:sz w:val="18"/>
          <w:szCs w:val="18"/>
          <w:lang w:val="en-US"/>
        </w:rPr>
      </w:pPr>
      <w:r w:rsidRPr="00693074">
        <w:rPr>
          <w:rStyle w:val="FootnoteReference"/>
          <w:rFonts w:ascii="Calibri Light" w:hAnsi="Calibri Light"/>
          <w:sz w:val="18"/>
          <w:szCs w:val="18"/>
        </w:rPr>
        <w:footnoteRef/>
      </w:r>
      <w:r w:rsidRPr="00693074">
        <w:rPr>
          <w:rFonts w:ascii="Calibri Light" w:hAnsi="Calibri Light"/>
          <w:sz w:val="18"/>
          <w:szCs w:val="18"/>
        </w:rPr>
        <w:t xml:space="preserve"> </w:t>
      </w:r>
      <w:r w:rsidRPr="009A240B">
        <w:rPr>
          <w:rFonts w:ascii="Times New Roman" w:hAnsi="Times New Roman"/>
          <w:sz w:val="18"/>
          <w:szCs w:val="18"/>
        </w:rPr>
        <w:t xml:space="preserve">Finland, Ireland, </w:t>
      </w:r>
      <w:r>
        <w:rPr>
          <w:rFonts w:ascii="Times New Roman" w:hAnsi="Times New Roman"/>
          <w:sz w:val="18"/>
          <w:szCs w:val="18"/>
          <w:lang w:val="en-US"/>
        </w:rPr>
        <w:t xml:space="preserve">Japan, Norway, </w:t>
      </w:r>
      <w:r w:rsidRPr="00EF0495">
        <w:rPr>
          <w:rFonts w:ascii="Times New Roman" w:hAnsi="Times New Roman"/>
          <w:sz w:val="18"/>
          <w:szCs w:val="18"/>
          <w:lang w:val="en-US"/>
        </w:rPr>
        <w:t>Sweden, U</w:t>
      </w:r>
      <w:r>
        <w:rPr>
          <w:rFonts w:ascii="Times New Roman" w:hAnsi="Times New Roman"/>
          <w:sz w:val="18"/>
          <w:szCs w:val="18"/>
          <w:lang w:val="en-US"/>
        </w:rPr>
        <w:t xml:space="preserve">nited </w:t>
      </w:r>
      <w:r w:rsidRPr="00EF0495">
        <w:rPr>
          <w:rFonts w:ascii="Times New Roman" w:hAnsi="Times New Roman"/>
          <w:sz w:val="18"/>
          <w:szCs w:val="18"/>
          <w:lang w:val="en-US"/>
        </w:rPr>
        <w:t>K</w:t>
      </w:r>
      <w:r>
        <w:rPr>
          <w:rFonts w:ascii="Times New Roman" w:hAnsi="Times New Roman"/>
          <w:sz w:val="18"/>
          <w:szCs w:val="18"/>
          <w:lang w:val="en-US"/>
        </w:rPr>
        <w:t>ingdom and United States, and the European Union.</w:t>
      </w:r>
    </w:p>
  </w:footnote>
  <w:footnote w:id="16">
    <w:p w14:paraId="32DC81C6" w14:textId="4EDE1912" w:rsidR="00C03941" w:rsidRPr="00EF0495" w:rsidRDefault="00C03941">
      <w:pPr>
        <w:pStyle w:val="FootnoteText"/>
        <w:rPr>
          <w:rFonts w:ascii="Times New Roman" w:hAnsi="Times New Roman"/>
          <w:lang w:val="en-US"/>
        </w:rPr>
      </w:pPr>
      <w:r w:rsidRPr="00EF0495">
        <w:rPr>
          <w:rStyle w:val="FootnoteReference"/>
          <w:rFonts w:ascii="Times New Roman" w:hAnsi="Times New Roman"/>
          <w:sz w:val="18"/>
          <w:szCs w:val="18"/>
        </w:rPr>
        <w:footnoteRef/>
      </w:r>
      <w:r w:rsidRPr="00EF0495">
        <w:rPr>
          <w:rFonts w:ascii="Times New Roman" w:hAnsi="Times New Roman"/>
          <w:sz w:val="18"/>
          <w:szCs w:val="18"/>
        </w:rPr>
        <w:t xml:space="preserve"> </w:t>
      </w:r>
      <w:r>
        <w:rPr>
          <w:rFonts w:ascii="Times New Roman" w:hAnsi="Times New Roman"/>
          <w:sz w:val="18"/>
          <w:szCs w:val="18"/>
          <w:lang w:val="en-US"/>
        </w:rPr>
        <w:t>Global Environment facility</w:t>
      </w:r>
      <w:r w:rsidRPr="00EF0495">
        <w:rPr>
          <w:rFonts w:ascii="Times New Roman" w:hAnsi="Times New Roman"/>
          <w:sz w:val="18"/>
          <w:szCs w:val="18"/>
          <w:lang w:val="en-US"/>
        </w:rPr>
        <w:t xml:space="preserve">, Green Climate Fund and </w:t>
      </w:r>
      <w:r>
        <w:rPr>
          <w:rFonts w:ascii="Times New Roman" w:hAnsi="Times New Roman"/>
          <w:sz w:val="18"/>
          <w:szCs w:val="18"/>
          <w:lang w:val="en-US"/>
        </w:rPr>
        <w:t xml:space="preserve">the </w:t>
      </w:r>
      <w:r w:rsidRPr="00EF0495">
        <w:rPr>
          <w:rFonts w:ascii="Times New Roman" w:hAnsi="Times New Roman"/>
          <w:sz w:val="18"/>
          <w:szCs w:val="18"/>
          <w:lang w:val="en-US"/>
        </w:rPr>
        <w:t xml:space="preserve">Global Fund </w:t>
      </w:r>
      <w:r>
        <w:rPr>
          <w:rFonts w:ascii="Times New Roman" w:hAnsi="Times New Roman"/>
          <w:sz w:val="18"/>
          <w:szCs w:val="18"/>
          <w:lang w:val="en-US"/>
        </w:rPr>
        <w:t xml:space="preserve">to Fight AIDS, </w:t>
      </w:r>
      <w:r w:rsidRPr="00EF0495">
        <w:rPr>
          <w:rFonts w:ascii="Times New Roman" w:hAnsi="Times New Roman"/>
          <w:sz w:val="18"/>
          <w:szCs w:val="18"/>
          <w:lang w:val="en-US"/>
        </w:rPr>
        <w:t xml:space="preserve">Tuberculosis and </w:t>
      </w:r>
      <w:r>
        <w:rPr>
          <w:rFonts w:ascii="Times New Roman" w:hAnsi="Times New Roman"/>
          <w:sz w:val="18"/>
          <w:szCs w:val="18"/>
          <w:lang w:val="en-US"/>
        </w:rPr>
        <w:t>M</w:t>
      </w:r>
      <w:r w:rsidRPr="00EF0495">
        <w:rPr>
          <w:rFonts w:ascii="Times New Roman" w:hAnsi="Times New Roman"/>
          <w:sz w:val="18"/>
          <w:szCs w:val="18"/>
          <w:lang w:val="en-US"/>
        </w:rPr>
        <w:t>alaria</w:t>
      </w:r>
      <w:r>
        <w:rPr>
          <w:rFonts w:ascii="Times New Roman" w:hAnsi="Times New Roman"/>
          <w:sz w:val="18"/>
          <w:szCs w:val="18"/>
          <w:lang w:val="en-US"/>
        </w:rPr>
        <w:t>.</w:t>
      </w:r>
    </w:p>
  </w:footnote>
  <w:footnote w:id="17">
    <w:p w14:paraId="05DFE0C2" w14:textId="4278FEB2" w:rsidR="00C03941" w:rsidRPr="007C5EA2" w:rsidRDefault="00C03941" w:rsidP="00842773">
      <w:pPr>
        <w:pStyle w:val="FootnoteText"/>
        <w:rPr>
          <w:rFonts w:ascii="Times New Roman" w:hAnsi="Times New Roman"/>
          <w:sz w:val="16"/>
          <w:szCs w:val="16"/>
        </w:rPr>
      </w:pPr>
      <w:r w:rsidRPr="007C5EA2">
        <w:rPr>
          <w:rStyle w:val="FootnoteReference"/>
          <w:rFonts w:ascii="Times New Roman" w:hAnsi="Times New Roman"/>
          <w:sz w:val="16"/>
          <w:szCs w:val="16"/>
        </w:rPr>
        <w:footnoteRef/>
      </w:r>
      <w:r w:rsidRPr="007C5EA2">
        <w:rPr>
          <w:rFonts w:ascii="Times New Roman" w:hAnsi="Times New Roman"/>
          <w:sz w:val="16"/>
          <w:szCs w:val="16"/>
        </w:rPr>
        <w:t xml:space="preserve"> Targeted ministries include: Ministry of Finance (MoF), Ministry of Commerce Trade and Industry (MCTI), Ministry of Community Development, Mother and Child Health (MCDMCH), Ministry of Agriculture and Livestock (MAL), and Ministry of Chiefs and Traditional Affairs (MoCTA)</w:t>
      </w:r>
    </w:p>
  </w:footnote>
  <w:footnote w:id="18">
    <w:p w14:paraId="78BE232D" w14:textId="347DFC3F" w:rsidR="00C03941" w:rsidRPr="009E3409" w:rsidRDefault="00C03941" w:rsidP="00842773">
      <w:pPr>
        <w:pStyle w:val="FootnoteText"/>
        <w:rPr>
          <w:rFonts w:ascii="Times New Roman" w:hAnsi="Times New Roman"/>
          <w:sz w:val="16"/>
          <w:szCs w:val="16"/>
        </w:rPr>
      </w:pPr>
      <w:r w:rsidRPr="007C5EA2">
        <w:rPr>
          <w:rStyle w:val="FootnoteReference"/>
          <w:rFonts w:ascii="Times New Roman" w:hAnsi="Times New Roman"/>
          <w:sz w:val="16"/>
          <w:szCs w:val="16"/>
        </w:rPr>
        <w:footnoteRef/>
      </w:r>
      <w:r w:rsidRPr="007C5EA2">
        <w:rPr>
          <w:rFonts w:ascii="Times New Roman" w:hAnsi="Times New Roman"/>
          <w:sz w:val="16"/>
          <w:szCs w:val="16"/>
        </w:rPr>
        <w:t xml:space="preserve"> The five public service reform areas are:</w:t>
      </w:r>
      <w:r>
        <w:rPr>
          <w:rFonts w:ascii="Times New Roman" w:hAnsi="Times New Roman"/>
          <w:sz w:val="16"/>
          <w:szCs w:val="16"/>
        </w:rPr>
        <w:t>(a</w:t>
      </w:r>
      <w:r w:rsidRPr="007C5EA2">
        <w:rPr>
          <w:rFonts w:ascii="Times New Roman" w:hAnsi="Times New Roman"/>
          <w:sz w:val="16"/>
          <w:szCs w:val="16"/>
        </w:rPr>
        <w:t xml:space="preserve">) </w:t>
      </w:r>
      <w:r>
        <w:rPr>
          <w:rFonts w:ascii="Times New Roman" w:hAnsi="Times New Roman"/>
          <w:sz w:val="16"/>
          <w:szCs w:val="16"/>
        </w:rPr>
        <w:t>h</w:t>
      </w:r>
      <w:r w:rsidRPr="007C5EA2">
        <w:rPr>
          <w:rFonts w:ascii="Times New Roman" w:hAnsi="Times New Roman"/>
          <w:sz w:val="16"/>
          <w:szCs w:val="16"/>
        </w:rPr>
        <w:t xml:space="preserve">uman </w:t>
      </w:r>
      <w:r>
        <w:rPr>
          <w:rFonts w:ascii="Times New Roman" w:hAnsi="Times New Roman"/>
          <w:sz w:val="16"/>
          <w:szCs w:val="16"/>
        </w:rPr>
        <w:t>r</w:t>
      </w:r>
      <w:r w:rsidRPr="007C5EA2">
        <w:rPr>
          <w:rFonts w:ascii="Times New Roman" w:hAnsi="Times New Roman"/>
          <w:sz w:val="16"/>
          <w:szCs w:val="16"/>
        </w:rPr>
        <w:t xml:space="preserve">esource </w:t>
      </w:r>
      <w:r>
        <w:rPr>
          <w:rFonts w:ascii="Times New Roman" w:hAnsi="Times New Roman"/>
          <w:sz w:val="16"/>
          <w:szCs w:val="16"/>
        </w:rPr>
        <w:t>m</w:t>
      </w:r>
      <w:r w:rsidRPr="007C5EA2">
        <w:rPr>
          <w:rFonts w:ascii="Times New Roman" w:hAnsi="Times New Roman"/>
          <w:sz w:val="16"/>
          <w:szCs w:val="16"/>
        </w:rPr>
        <w:t>anagement</w:t>
      </w:r>
      <w:r>
        <w:rPr>
          <w:rFonts w:ascii="Times New Roman" w:hAnsi="Times New Roman"/>
          <w:sz w:val="16"/>
          <w:szCs w:val="16"/>
        </w:rPr>
        <w:t>;</w:t>
      </w:r>
      <w:r w:rsidRPr="007C5EA2">
        <w:rPr>
          <w:rFonts w:ascii="Times New Roman" w:hAnsi="Times New Roman"/>
          <w:sz w:val="16"/>
          <w:szCs w:val="16"/>
        </w:rPr>
        <w:t xml:space="preserve"> </w:t>
      </w:r>
      <w:r>
        <w:rPr>
          <w:rFonts w:ascii="Times New Roman" w:hAnsi="Times New Roman"/>
          <w:sz w:val="16"/>
          <w:szCs w:val="16"/>
        </w:rPr>
        <w:t>(b</w:t>
      </w:r>
      <w:r w:rsidRPr="007C5EA2">
        <w:rPr>
          <w:rFonts w:ascii="Times New Roman" w:hAnsi="Times New Roman"/>
          <w:sz w:val="16"/>
          <w:szCs w:val="16"/>
        </w:rPr>
        <w:t xml:space="preserve">) </w:t>
      </w:r>
      <w:r>
        <w:rPr>
          <w:rFonts w:ascii="Times New Roman" w:hAnsi="Times New Roman"/>
          <w:sz w:val="16"/>
          <w:szCs w:val="16"/>
        </w:rPr>
        <w:t>i</w:t>
      </w:r>
      <w:r w:rsidRPr="007C5EA2">
        <w:rPr>
          <w:rFonts w:ascii="Times New Roman" w:hAnsi="Times New Roman"/>
          <w:sz w:val="16"/>
          <w:szCs w:val="16"/>
        </w:rPr>
        <w:t>nstitutional</w:t>
      </w:r>
      <w:r>
        <w:rPr>
          <w:rFonts w:ascii="Times New Roman" w:hAnsi="Times New Roman"/>
          <w:sz w:val="16"/>
          <w:szCs w:val="16"/>
        </w:rPr>
        <w:t>;</w:t>
      </w:r>
      <w:r w:rsidRPr="007C5EA2">
        <w:rPr>
          <w:rFonts w:ascii="Times New Roman" w:hAnsi="Times New Roman"/>
          <w:sz w:val="16"/>
          <w:szCs w:val="16"/>
        </w:rPr>
        <w:t xml:space="preserve"> </w:t>
      </w:r>
      <w:r>
        <w:rPr>
          <w:rFonts w:ascii="Times New Roman" w:hAnsi="Times New Roman"/>
          <w:sz w:val="16"/>
          <w:szCs w:val="16"/>
        </w:rPr>
        <w:t>(c</w:t>
      </w:r>
      <w:r w:rsidRPr="007C5EA2">
        <w:rPr>
          <w:rFonts w:ascii="Times New Roman" w:hAnsi="Times New Roman"/>
          <w:sz w:val="16"/>
          <w:szCs w:val="16"/>
        </w:rPr>
        <w:t xml:space="preserve">) </w:t>
      </w:r>
      <w:r>
        <w:rPr>
          <w:rFonts w:ascii="Times New Roman" w:hAnsi="Times New Roman"/>
          <w:sz w:val="16"/>
          <w:szCs w:val="16"/>
        </w:rPr>
        <w:t>l</w:t>
      </w:r>
      <w:r w:rsidRPr="007C5EA2">
        <w:rPr>
          <w:rFonts w:ascii="Times New Roman" w:hAnsi="Times New Roman"/>
          <w:sz w:val="16"/>
          <w:szCs w:val="16"/>
        </w:rPr>
        <w:t>eadership and management capacity development</w:t>
      </w:r>
      <w:r>
        <w:rPr>
          <w:rFonts w:ascii="Times New Roman" w:hAnsi="Times New Roman"/>
          <w:sz w:val="16"/>
          <w:szCs w:val="16"/>
        </w:rPr>
        <w:t>; (d</w:t>
      </w:r>
      <w:r w:rsidRPr="007C5EA2">
        <w:rPr>
          <w:rFonts w:ascii="Times New Roman" w:hAnsi="Times New Roman"/>
          <w:sz w:val="16"/>
          <w:szCs w:val="16"/>
        </w:rPr>
        <w:t>)</w:t>
      </w:r>
      <w:r>
        <w:rPr>
          <w:rFonts w:ascii="Times New Roman" w:hAnsi="Times New Roman"/>
          <w:sz w:val="16"/>
          <w:szCs w:val="16"/>
        </w:rPr>
        <w:t xml:space="preserve"> results-based management</w:t>
      </w:r>
      <w:r w:rsidRPr="007C5EA2">
        <w:rPr>
          <w:rFonts w:ascii="Times New Roman" w:hAnsi="Times New Roman"/>
          <w:sz w:val="16"/>
          <w:szCs w:val="16"/>
        </w:rPr>
        <w:t>/</w:t>
      </w:r>
      <w:r>
        <w:rPr>
          <w:rFonts w:ascii="Times New Roman" w:hAnsi="Times New Roman"/>
          <w:sz w:val="16"/>
          <w:szCs w:val="16"/>
        </w:rPr>
        <w:t>p</w:t>
      </w:r>
      <w:r w:rsidRPr="007C5EA2">
        <w:rPr>
          <w:rFonts w:ascii="Times New Roman" w:hAnsi="Times New Roman"/>
          <w:sz w:val="16"/>
          <w:szCs w:val="16"/>
        </w:rPr>
        <w:t xml:space="preserve">erformance </w:t>
      </w:r>
      <w:r>
        <w:rPr>
          <w:rFonts w:ascii="Times New Roman" w:hAnsi="Times New Roman"/>
          <w:sz w:val="16"/>
          <w:szCs w:val="16"/>
        </w:rPr>
        <w:t>m</w:t>
      </w:r>
      <w:r w:rsidRPr="007C5EA2">
        <w:rPr>
          <w:rFonts w:ascii="Times New Roman" w:hAnsi="Times New Roman"/>
          <w:sz w:val="16"/>
          <w:szCs w:val="16"/>
        </w:rPr>
        <w:t xml:space="preserve">anagement </w:t>
      </w:r>
      <w:r>
        <w:rPr>
          <w:rFonts w:ascii="Times New Roman" w:hAnsi="Times New Roman"/>
          <w:sz w:val="16"/>
          <w:szCs w:val="16"/>
        </w:rPr>
        <w:t>s</w:t>
      </w:r>
      <w:r w:rsidRPr="007C5EA2">
        <w:rPr>
          <w:rFonts w:ascii="Times New Roman" w:hAnsi="Times New Roman"/>
          <w:sz w:val="16"/>
          <w:szCs w:val="16"/>
        </w:rPr>
        <w:t>ystems</w:t>
      </w:r>
      <w:r>
        <w:rPr>
          <w:rFonts w:ascii="Times New Roman" w:hAnsi="Times New Roman"/>
          <w:sz w:val="16"/>
          <w:szCs w:val="16"/>
        </w:rPr>
        <w:t>;</w:t>
      </w:r>
      <w:r w:rsidRPr="007C5EA2">
        <w:rPr>
          <w:rFonts w:ascii="Times New Roman" w:hAnsi="Times New Roman"/>
          <w:sz w:val="16"/>
          <w:szCs w:val="16"/>
        </w:rPr>
        <w:t xml:space="preserve"> and </w:t>
      </w:r>
      <w:r>
        <w:rPr>
          <w:rFonts w:ascii="Times New Roman" w:hAnsi="Times New Roman"/>
          <w:sz w:val="16"/>
          <w:szCs w:val="16"/>
        </w:rPr>
        <w:t>(</w:t>
      </w:r>
      <w:r w:rsidRPr="007C5EA2">
        <w:rPr>
          <w:rFonts w:ascii="Times New Roman" w:hAnsi="Times New Roman"/>
          <w:sz w:val="16"/>
          <w:szCs w:val="16"/>
        </w:rPr>
        <w:t xml:space="preserve">v) </w:t>
      </w:r>
      <w:r>
        <w:rPr>
          <w:rFonts w:ascii="Times New Roman" w:hAnsi="Times New Roman"/>
          <w:sz w:val="16"/>
          <w:szCs w:val="16"/>
        </w:rPr>
        <w:t>c</w:t>
      </w:r>
      <w:r w:rsidRPr="007C5EA2">
        <w:rPr>
          <w:rFonts w:ascii="Times New Roman" w:hAnsi="Times New Roman"/>
          <w:sz w:val="16"/>
          <w:szCs w:val="16"/>
        </w:rPr>
        <w:t xml:space="preserve">ultural and </w:t>
      </w:r>
      <w:r>
        <w:rPr>
          <w:rFonts w:ascii="Times New Roman" w:hAnsi="Times New Roman"/>
          <w:sz w:val="16"/>
          <w:szCs w:val="16"/>
        </w:rPr>
        <w:t>b</w:t>
      </w:r>
      <w:r w:rsidRPr="007C5EA2">
        <w:rPr>
          <w:rFonts w:ascii="Times New Roman" w:hAnsi="Times New Roman"/>
          <w:sz w:val="16"/>
          <w:szCs w:val="16"/>
        </w:rPr>
        <w:t>ehavioural</w:t>
      </w:r>
      <w:r w:rsidRPr="009E3409">
        <w:rPr>
          <w:rFonts w:ascii="Times New Roman" w:hAnsi="Times New Roman"/>
          <w:sz w:val="16"/>
          <w:szCs w:val="16"/>
        </w:rPr>
        <w:t xml:space="preserve"> </w:t>
      </w:r>
      <w:r>
        <w:rPr>
          <w:rFonts w:ascii="Times New Roman" w:hAnsi="Times New Roman"/>
          <w:sz w:val="16"/>
          <w:szCs w:val="16"/>
        </w:rPr>
        <w:t xml:space="preserve"> r</w:t>
      </w:r>
      <w:r w:rsidRPr="009E3409">
        <w:rPr>
          <w:rFonts w:ascii="Times New Roman" w:hAnsi="Times New Roman"/>
          <w:sz w:val="16"/>
          <w:szCs w:val="16"/>
        </w:rPr>
        <w:t>emodelling</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03941" w:rsidRPr="00347A36" w14:paraId="2F49F42B" w14:textId="77777777" w:rsidTr="00634DEC">
      <w:trPr>
        <w:trHeight w:hRule="exact" w:val="864"/>
      </w:trPr>
      <w:tc>
        <w:tcPr>
          <w:tcW w:w="4838" w:type="dxa"/>
          <w:tcBorders>
            <w:bottom w:val="single" w:sz="4" w:space="0" w:color="auto"/>
          </w:tcBorders>
          <w:vAlign w:val="bottom"/>
        </w:tcPr>
        <w:p w14:paraId="0B8DC028" w14:textId="77777777" w:rsidR="00C03941" w:rsidRPr="00347A36" w:rsidRDefault="00C03941" w:rsidP="00347A36">
          <w:pPr>
            <w:widowControl w:val="0"/>
            <w:tabs>
              <w:tab w:val="center" w:pos="4320"/>
              <w:tab w:val="right" w:pos="8640"/>
            </w:tabs>
            <w:spacing w:after="80"/>
            <w:ind w:left="270" w:hanging="270"/>
            <w:rPr>
              <w:b/>
              <w:sz w:val="17"/>
              <w:szCs w:val="17"/>
              <w:lang w:val="en-US"/>
            </w:rPr>
          </w:pPr>
          <w:r w:rsidRPr="00347A36">
            <w:rPr>
              <w:b/>
              <w:sz w:val="17"/>
              <w:szCs w:val="17"/>
              <w:lang w:val="en-US"/>
            </w:rPr>
            <w:t>DP/DCP/Z</w:t>
          </w:r>
          <w:r>
            <w:rPr>
              <w:b/>
              <w:sz w:val="17"/>
              <w:szCs w:val="17"/>
              <w:lang w:val="en-US"/>
            </w:rPr>
            <w:t>MB</w:t>
          </w:r>
          <w:r w:rsidRPr="00347A36">
            <w:rPr>
              <w:b/>
              <w:sz w:val="17"/>
              <w:szCs w:val="17"/>
              <w:lang w:val="en-US"/>
            </w:rPr>
            <w:t>/3</w:t>
          </w:r>
        </w:p>
      </w:tc>
      <w:tc>
        <w:tcPr>
          <w:tcW w:w="5047" w:type="dxa"/>
          <w:tcBorders>
            <w:bottom w:val="single" w:sz="4" w:space="0" w:color="auto"/>
          </w:tcBorders>
          <w:vAlign w:val="bottom"/>
        </w:tcPr>
        <w:p w14:paraId="58116B30" w14:textId="77777777" w:rsidR="00C03941" w:rsidRPr="00347A36" w:rsidRDefault="00C03941" w:rsidP="00347A36">
          <w:pPr>
            <w:widowControl w:val="0"/>
            <w:tabs>
              <w:tab w:val="center" w:pos="4320"/>
              <w:tab w:val="right" w:pos="8640"/>
            </w:tabs>
            <w:rPr>
              <w:sz w:val="17"/>
              <w:szCs w:val="17"/>
              <w:lang w:val="en-US"/>
            </w:rPr>
          </w:pPr>
        </w:p>
      </w:tc>
    </w:tr>
  </w:tbl>
  <w:p w14:paraId="4328E665" w14:textId="77777777" w:rsidR="00C03941" w:rsidRPr="00A076AD" w:rsidRDefault="00C03941">
    <w:pPr>
      <w:pStyle w:val="Header"/>
      <w:rPr>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03941" w:rsidRPr="00A076AD" w14:paraId="04D27C64" w14:textId="77777777" w:rsidTr="00634DEC">
      <w:trPr>
        <w:trHeight w:hRule="exact" w:val="864"/>
      </w:trPr>
      <w:tc>
        <w:tcPr>
          <w:tcW w:w="4838" w:type="dxa"/>
          <w:shd w:val="clear" w:color="auto" w:fill="auto"/>
          <w:vAlign w:val="bottom"/>
        </w:tcPr>
        <w:p w14:paraId="2184A1C1" w14:textId="77777777" w:rsidR="00C03941" w:rsidRPr="00A076AD" w:rsidRDefault="00C03941" w:rsidP="00A076AD">
          <w:pPr>
            <w:tabs>
              <w:tab w:val="center" w:pos="4320"/>
              <w:tab w:val="right" w:pos="8640"/>
            </w:tabs>
            <w:spacing w:after="80"/>
            <w:rPr>
              <w:b/>
              <w:noProof/>
              <w:sz w:val="17"/>
              <w:lang w:val="en-US"/>
            </w:rPr>
          </w:pPr>
        </w:p>
      </w:tc>
      <w:tc>
        <w:tcPr>
          <w:tcW w:w="5033" w:type="dxa"/>
          <w:shd w:val="clear" w:color="auto" w:fill="auto"/>
          <w:vAlign w:val="bottom"/>
        </w:tcPr>
        <w:p w14:paraId="783E305E" w14:textId="77777777" w:rsidR="00C03941" w:rsidRPr="00A076AD" w:rsidRDefault="00C03941" w:rsidP="00A076AD">
          <w:pPr>
            <w:tabs>
              <w:tab w:val="center" w:pos="4320"/>
              <w:tab w:val="right" w:pos="8640"/>
            </w:tabs>
            <w:jc w:val="right"/>
            <w:rPr>
              <w:noProof/>
              <w:sz w:val="17"/>
              <w:lang w:val="en-US"/>
            </w:rPr>
          </w:pPr>
          <w:r w:rsidRPr="00A076AD">
            <w:rPr>
              <w:b/>
              <w:noProof/>
              <w:sz w:val="17"/>
              <w:lang w:val="en-US"/>
            </w:rPr>
            <w:t>DP/DCP/Z</w:t>
          </w:r>
          <w:r>
            <w:rPr>
              <w:b/>
              <w:noProof/>
              <w:sz w:val="17"/>
              <w:lang w:val="en-US"/>
            </w:rPr>
            <w:t>MB</w:t>
          </w:r>
          <w:r w:rsidRPr="00A076AD">
            <w:rPr>
              <w:b/>
              <w:noProof/>
              <w:sz w:val="17"/>
              <w:lang w:val="en-US"/>
            </w:rPr>
            <w:t>/</w:t>
          </w:r>
          <w:r w:rsidRPr="00A076AD">
            <w:rPr>
              <w:b/>
              <w:noProof/>
              <w:sz w:val="17"/>
              <w:lang w:val="en-US"/>
            </w:rPr>
            <w:fldChar w:fldCharType="begin"/>
          </w:r>
          <w:r w:rsidRPr="00A076AD">
            <w:rPr>
              <w:b/>
              <w:noProof/>
              <w:sz w:val="17"/>
              <w:lang w:val="en-US"/>
            </w:rPr>
            <w:instrText xml:space="preserve"> DOCVARIABLE "sss1" \* MERGEFORMAT </w:instrText>
          </w:r>
          <w:r w:rsidRPr="00A076AD">
            <w:rPr>
              <w:b/>
              <w:noProof/>
              <w:sz w:val="17"/>
              <w:lang w:val="en-US"/>
            </w:rPr>
            <w:fldChar w:fldCharType="end"/>
          </w:r>
          <w:r w:rsidRPr="00A076AD">
            <w:rPr>
              <w:b/>
              <w:noProof/>
              <w:sz w:val="17"/>
              <w:lang w:val="en-US"/>
            </w:rPr>
            <w:t>3</w:t>
          </w:r>
        </w:p>
      </w:tc>
    </w:tr>
  </w:tbl>
  <w:p w14:paraId="19FAADB8" w14:textId="77777777" w:rsidR="00C03941" w:rsidRPr="00347A36" w:rsidRDefault="00C03941">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03941" w:rsidRPr="00610E49" w14:paraId="44777BDC" w14:textId="77777777" w:rsidTr="00634DEC">
      <w:trPr>
        <w:trHeight w:hRule="exact" w:val="864"/>
      </w:trPr>
      <w:tc>
        <w:tcPr>
          <w:tcW w:w="1267" w:type="dxa"/>
          <w:tcBorders>
            <w:bottom w:val="single" w:sz="4" w:space="0" w:color="auto"/>
          </w:tcBorders>
          <w:shd w:val="clear" w:color="auto" w:fill="auto"/>
          <w:vAlign w:val="bottom"/>
        </w:tcPr>
        <w:p w14:paraId="46676E8A" w14:textId="77777777" w:rsidR="00C03941" w:rsidRPr="00610E49" w:rsidRDefault="00C03941" w:rsidP="00610E49">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09087309" w14:textId="77777777" w:rsidR="00C03941" w:rsidRPr="00610E49" w:rsidRDefault="00C03941" w:rsidP="00610E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10E49">
            <w:rPr>
              <w:spacing w:val="2"/>
              <w:w w:val="96"/>
              <w:kern w:val="14"/>
              <w:sz w:val="28"/>
            </w:rPr>
            <w:t>United Nations</w:t>
          </w:r>
        </w:p>
      </w:tc>
      <w:tc>
        <w:tcPr>
          <w:tcW w:w="245" w:type="dxa"/>
          <w:tcBorders>
            <w:bottom w:val="single" w:sz="4" w:space="0" w:color="auto"/>
          </w:tcBorders>
          <w:shd w:val="clear" w:color="auto" w:fill="auto"/>
          <w:vAlign w:val="bottom"/>
        </w:tcPr>
        <w:p w14:paraId="2431DE03" w14:textId="77777777" w:rsidR="00C03941" w:rsidRPr="00610E49" w:rsidRDefault="00C03941" w:rsidP="00610E49">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281EE658" w14:textId="77777777" w:rsidR="00C03941" w:rsidRPr="00610E49" w:rsidRDefault="00C03941" w:rsidP="00610E49">
          <w:pPr>
            <w:suppressAutoHyphens/>
            <w:spacing w:after="80"/>
            <w:jc w:val="right"/>
            <w:rPr>
              <w:spacing w:val="4"/>
              <w:w w:val="103"/>
              <w:kern w:val="14"/>
              <w:position w:val="-4"/>
            </w:rPr>
          </w:pPr>
          <w:r w:rsidRPr="00610E49">
            <w:rPr>
              <w:spacing w:val="4"/>
              <w:w w:val="103"/>
              <w:kern w:val="14"/>
              <w:position w:val="-4"/>
              <w:sz w:val="40"/>
            </w:rPr>
            <w:t>DP</w:t>
          </w:r>
          <w:r w:rsidRPr="00610E49">
            <w:rPr>
              <w:spacing w:val="4"/>
              <w:w w:val="103"/>
              <w:kern w:val="14"/>
              <w:position w:val="-4"/>
            </w:rPr>
            <w:t>/DCP/Z</w:t>
          </w:r>
          <w:r>
            <w:rPr>
              <w:spacing w:val="4"/>
              <w:w w:val="103"/>
              <w:kern w:val="14"/>
              <w:position w:val="-4"/>
            </w:rPr>
            <w:t>MB</w:t>
          </w:r>
          <w:r w:rsidRPr="00610E49">
            <w:rPr>
              <w:spacing w:val="4"/>
              <w:w w:val="103"/>
              <w:kern w:val="14"/>
              <w:position w:val="-4"/>
            </w:rPr>
            <w:t>/3</w:t>
          </w:r>
        </w:p>
      </w:tc>
    </w:tr>
    <w:tr w:rsidR="00C03941" w:rsidRPr="00610E49" w14:paraId="578A6F6C" w14:textId="77777777" w:rsidTr="00634DEC">
      <w:trPr>
        <w:gridAfter w:val="1"/>
        <w:wAfter w:w="28" w:type="dxa"/>
        <w:trHeight w:hRule="exact" w:val="2880"/>
      </w:trPr>
      <w:tc>
        <w:tcPr>
          <w:tcW w:w="1267" w:type="dxa"/>
          <w:tcBorders>
            <w:top w:val="single" w:sz="4" w:space="0" w:color="auto"/>
            <w:bottom w:val="single" w:sz="12" w:space="0" w:color="auto"/>
          </w:tcBorders>
          <w:shd w:val="clear" w:color="auto" w:fill="auto"/>
        </w:tcPr>
        <w:p w14:paraId="36D7821C" w14:textId="77777777" w:rsidR="00C03941" w:rsidRPr="00610E49" w:rsidRDefault="00C03941" w:rsidP="00610E49">
          <w:pPr>
            <w:tabs>
              <w:tab w:val="center" w:pos="4320"/>
              <w:tab w:val="right" w:pos="8640"/>
            </w:tabs>
            <w:spacing w:before="109"/>
            <w:rPr>
              <w:noProof/>
              <w:sz w:val="17"/>
              <w:lang w:val="en-US"/>
            </w:rPr>
          </w:pPr>
          <w:r w:rsidRPr="00610E49">
            <w:rPr>
              <w:noProof/>
              <w:sz w:val="17"/>
              <w:lang w:val="en-US"/>
            </w:rPr>
            <w:t xml:space="preserve"> </w:t>
          </w:r>
          <w:r>
            <w:rPr>
              <w:noProof/>
              <w:sz w:val="17"/>
              <w:lang w:val="en-US"/>
            </w:rPr>
            <w:drawing>
              <wp:inline distT="0" distB="0" distL="0" distR="0" wp14:anchorId="5B49CBE1" wp14:editId="391F67E1">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4A74830" w14:textId="77777777" w:rsidR="00C03941" w:rsidRPr="00610E49" w:rsidRDefault="00C03941" w:rsidP="00610E49">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p w14:paraId="20890F03" w14:textId="77777777" w:rsidR="00C03941" w:rsidRPr="00610E49" w:rsidRDefault="00C03941" w:rsidP="00610E4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610E49">
            <w:rPr>
              <w:b/>
              <w:sz w:val="34"/>
              <w:lang w:val="en-US"/>
            </w:rPr>
            <w:t>Executive Board of the</w:t>
          </w:r>
          <w:r w:rsidRPr="00610E49">
            <w:rPr>
              <w:b/>
              <w:sz w:val="34"/>
              <w:lang w:val="en-US"/>
            </w:rPr>
            <w:br/>
            <w:t>United Nations Development</w:t>
          </w:r>
          <w:r w:rsidRPr="00610E49">
            <w:rPr>
              <w:b/>
              <w:sz w:val="34"/>
              <w:lang w:val="en-US"/>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11BB0F" w14:textId="77777777" w:rsidR="00C03941" w:rsidRPr="00610E49" w:rsidRDefault="00C03941" w:rsidP="00610E49">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5442078A" w14:textId="77777777" w:rsidR="00C03941" w:rsidRPr="00610E49" w:rsidRDefault="00C03941" w:rsidP="00610E49">
          <w:pPr>
            <w:suppressAutoHyphens/>
            <w:spacing w:before="240" w:line="240" w:lineRule="exact"/>
            <w:rPr>
              <w:spacing w:val="4"/>
              <w:w w:val="103"/>
              <w:kern w:val="14"/>
            </w:rPr>
          </w:pPr>
          <w:r w:rsidRPr="00610E49">
            <w:rPr>
              <w:spacing w:val="4"/>
              <w:w w:val="103"/>
              <w:kern w:val="14"/>
            </w:rPr>
            <w:t>Distr.: General</w:t>
          </w:r>
        </w:p>
        <w:p w14:paraId="042811DA" w14:textId="5DAB77B0" w:rsidR="00C03941" w:rsidRPr="00610E49" w:rsidRDefault="00C03941" w:rsidP="00610E49">
          <w:pPr>
            <w:suppressAutoHyphens/>
            <w:spacing w:line="240" w:lineRule="exact"/>
            <w:rPr>
              <w:spacing w:val="4"/>
              <w:w w:val="103"/>
              <w:kern w:val="14"/>
            </w:rPr>
          </w:pPr>
          <w:r>
            <w:rPr>
              <w:spacing w:val="4"/>
              <w:w w:val="103"/>
              <w:kern w:val="14"/>
            </w:rPr>
            <w:t xml:space="preserve">9 June </w:t>
          </w:r>
          <w:r w:rsidRPr="00610E49">
            <w:rPr>
              <w:spacing w:val="4"/>
              <w:w w:val="103"/>
              <w:kern w:val="14"/>
            </w:rPr>
            <w:t>2015</w:t>
          </w:r>
        </w:p>
        <w:p w14:paraId="10418E12" w14:textId="77777777" w:rsidR="00C03941" w:rsidRPr="00610E49" w:rsidRDefault="00C03941" w:rsidP="00610E49">
          <w:pPr>
            <w:suppressAutoHyphens/>
            <w:spacing w:line="240" w:lineRule="exact"/>
            <w:rPr>
              <w:spacing w:val="4"/>
              <w:w w:val="103"/>
              <w:kern w:val="14"/>
            </w:rPr>
          </w:pPr>
        </w:p>
        <w:p w14:paraId="3DF41305" w14:textId="77777777" w:rsidR="00C03941" w:rsidRPr="00610E49" w:rsidRDefault="00C03941" w:rsidP="00610E49">
          <w:pPr>
            <w:suppressAutoHyphens/>
            <w:spacing w:line="240" w:lineRule="exact"/>
            <w:rPr>
              <w:spacing w:val="4"/>
              <w:w w:val="103"/>
              <w:kern w:val="14"/>
            </w:rPr>
          </w:pPr>
          <w:r w:rsidRPr="00610E49">
            <w:rPr>
              <w:spacing w:val="4"/>
              <w:w w:val="103"/>
              <w:kern w:val="14"/>
            </w:rPr>
            <w:t>Original: English</w:t>
          </w:r>
        </w:p>
      </w:tc>
    </w:tr>
  </w:tbl>
  <w:p w14:paraId="74E15C72" w14:textId="77777777" w:rsidR="00C03941" w:rsidRPr="00610E49" w:rsidRDefault="00C03941">
    <w:pPr>
      <w:pStyle w:val="Header"/>
      <w:rPr>
        <w:lang w:val="en-ZW"/>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CF052" w14:textId="77777777" w:rsidR="00C03941" w:rsidRDefault="00C03941">
    <w:pPr>
      <w:pStyle w:val="Header"/>
    </w:pPr>
    <w:r>
      <w:rPr>
        <w:noProof/>
        <w:lang w:val="en-US"/>
      </w:rPr>
      <mc:AlternateContent>
        <mc:Choice Requires="wps">
          <w:drawing>
            <wp:anchor distT="0" distB="0" distL="114300" distR="114300" simplePos="0" relativeHeight="251657728" behindDoc="0" locked="0" layoutInCell="0" allowOverlap="1" wp14:anchorId="04E10739" wp14:editId="47DEB913">
              <wp:simplePos x="0" y="0"/>
              <wp:positionH relativeFrom="column">
                <wp:posOffset>-73025</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03941" w:rsidRPr="005841A3" w14:paraId="465DC024" w14:textId="77777777">
                            <w:trPr>
                              <w:trHeight w:hRule="exact" w:val="864"/>
                            </w:trPr>
                            <w:tc>
                              <w:tcPr>
                                <w:tcW w:w="4838" w:type="dxa"/>
                                <w:tcBorders>
                                  <w:bottom w:val="single" w:sz="4" w:space="0" w:color="auto"/>
                                </w:tcBorders>
                                <w:vAlign w:val="bottom"/>
                              </w:tcPr>
                              <w:p w14:paraId="2A042F93" w14:textId="77777777" w:rsidR="00C03941" w:rsidRPr="007C6F85" w:rsidRDefault="00C03941" w:rsidP="00E9196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ZMB/3</w:t>
                                </w:r>
                              </w:p>
                            </w:tc>
                            <w:tc>
                              <w:tcPr>
                                <w:tcW w:w="8276" w:type="dxa"/>
                                <w:tcBorders>
                                  <w:bottom w:val="single" w:sz="4" w:space="0" w:color="auto"/>
                                </w:tcBorders>
                                <w:vAlign w:val="bottom"/>
                              </w:tcPr>
                              <w:p w14:paraId="7DA1E1BB" w14:textId="77777777" w:rsidR="00C03941" w:rsidRPr="007C6F85" w:rsidRDefault="00C03941">
                                <w:pPr>
                                  <w:pStyle w:val="Header"/>
                                  <w:rPr>
                                    <w:rFonts w:ascii="Times New Roman" w:hAnsi="Times New Roman"/>
                                    <w:sz w:val="17"/>
                                    <w:szCs w:val="17"/>
                                  </w:rPr>
                                </w:pPr>
                              </w:p>
                            </w:tc>
                          </w:tr>
                        </w:tbl>
                        <w:p w14:paraId="15A0ECA3" w14:textId="77777777" w:rsidR="00C03941" w:rsidRDefault="00C0394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4E10739"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03941" w:rsidRPr="005841A3" w14:paraId="465DC024" w14:textId="77777777">
                      <w:trPr>
                        <w:trHeight w:hRule="exact" w:val="864"/>
                      </w:trPr>
                      <w:tc>
                        <w:tcPr>
                          <w:tcW w:w="4838" w:type="dxa"/>
                          <w:tcBorders>
                            <w:bottom w:val="single" w:sz="4" w:space="0" w:color="auto"/>
                          </w:tcBorders>
                          <w:vAlign w:val="bottom"/>
                        </w:tcPr>
                        <w:p w14:paraId="2A042F93" w14:textId="77777777" w:rsidR="00C03941" w:rsidRPr="007C6F85" w:rsidRDefault="00C03941" w:rsidP="00E9196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ZMB/3</w:t>
                          </w:r>
                        </w:p>
                      </w:tc>
                      <w:tc>
                        <w:tcPr>
                          <w:tcW w:w="8276" w:type="dxa"/>
                          <w:tcBorders>
                            <w:bottom w:val="single" w:sz="4" w:space="0" w:color="auto"/>
                          </w:tcBorders>
                          <w:vAlign w:val="bottom"/>
                        </w:tcPr>
                        <w:p w14:paraId="7DA1E1BB" w14:textId="77777777" w:rsidR="00C03941" w:rsidRPr="007C6F85" w:rsidRDefault="00C03941">
                          <w:pPr>
                            <w:pStyle w:val="Header"/>
                            <w:rPr>
                              <w:rFonts w:ascii="Times New Roman" w:hAnsi="Times New Roman"/>
                              <w:sz w:val="17"/>
                              <w:szCs w:val="17"/>
                            </w:rPr>
                          </w:pPr>
                        </w:p>
                      </w:tc>
                    </w:tr>
                  </w:tbl>
                  <w:p w14:paraId="15A0ECA3" w14:textId="77777777" w:rsidR="00C03941" w:rsidRDefault="00C03941"/>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960" w:type="dxa"/>
      <w:tblInd w:w="-2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122"/>
    </w:tblGrid>
    <w:tr w:rsidR="00C03941" w:rsidRPr="00A076AD" w14:paraId="188C0E3F" w14:textId="77777777" w:rsidTr="00E91963">
      <w:trPr>
        <w:trHeight w:hRule="exact" w:val="864"/>
      </w:trPr>
      <w:tc>
        <w:tcPr>
          <w:tcW w:w="4838" w:type="dxa"/>
          <w:shd w:val="clear" w:color="auto" w:fill="auto"/>
          <w:vAlign w:val="bottom"/>
        </w:tcPr>
        <w:p w14:paraId="1BA6BDF3" w14:textId="77777777" w:rsidR="00C03941" w:rsidRPr="00A076AD" w:rsidRDefault="00C03941" w:rsidP="00E91963">
          <w:pPr>
            <w:tabs>
              <w:tab w:val="center" w:pos="4320"/>
              <w:tab w:val="right" w:pos="8640"/>
            </w:tabs>
            <w:spacing w:after="80"/>
            <w:ind w:left="-180"/>
            <w:rPr>
              <w:b/>
              <w:noProof/>
              <w:sz w:val="17"/>
              <w:lang w:val="en-US"/>
            </w:rPr>
          </w:pPr>
        </w:p>
      </w:tc>
      <w:tc>
        <w:tcPr>
          <w:tcW w:w="8122" w:type="dxa"/>
          <w:shd w:val="clear" w:color="auto" w:fill="auto"/>
          <w:vAlign w:val="bottom"/>
        </w:tcPr>
        <w:p w14:paraId="66D1C554" w14:textId="77777777" w:rsidR="00C03941" w:rsidRPr="00A076AD" w:rsidRDefault="00C03941" w:rsidP="00A076AD">
          <w:pPr>
            <w:tabs>
              <w:tab w:val="center" w:pos="4320"/>
              <w:tab w:val="right" w:pos="8640"/>
            </w:tabs>
            <w:jc w:val="right"/>
            <w:rPr>
              <w:noProof/>
              <w:sz w:val="17"/>
              <w:lang w:val="en-US"/>
            </w:rPr>
          </w:pPr>
          <w:r w:rsidRPr="00A076AD">
            <w:rPr>
              <w:b/>
              <w:noProof/>
              <w:sz w:val="17"/>
              <w:lang w:val="en-US"/>
            </w:rPr>
            <w:t>DP/DCP/Z</w:t>
          </w:r>
          <w:r>
            <w:rPr>
              <w:b/>
              <w:noProof/>
              <w:sz w:val="17"/>
              <w:lang w:val="en-US"/>
            </w:rPr>
            <w:t>MB</w:t>
          </w:r>
          <w:r w:rsidRPr="00A076AD">
            <w:rPr>
              <w:b/>
              <w:noProof/>
              <w:sz w:val="17"/>
              <w:lang w:val="en-US"/>
            </w:rPr>
            <w:t>/</w:t>
          </w:r>
          <w:r w:rsidRPr="00A076AD">
            <w:rPr>
              <w:b/>
              <w:noProof/>
              <w:sz w:val="17"/>
              <w:lang w:val="en-US"/>
            </w:rPr>
            <w:fldChar w:fldCharType="begin"/>
          </w:r>
          <w:r w:rsidRPr="00A076AD">
            <w:rPr>
              <w:b/>
              <w:noProof/>
              <w:sz w:val="17"/>
              <w:lang w:val="en-US"/>
            </w:rPr>
            <w:instrText xml:space="preserve"> DOCVARIABLE "sss1" \* MERGEFORMAT </w:instrText>
          </w:r>
          <w:r w:rsidRPr="00A076AD">
            <w:rPr>
              <w:b/>
              <w:noProof/>
              <w:sz w:val="17"/>
              <w:lang w:val="en-US"/>
            </w:rPr>
            <w:fldChar w:fldCharType="end"/>
          </w:r>
          <w:r w:rsidRPr="00A076AD">
            <w:rPr>
              <w:b/>
              <w:noProof/>
              <w:sz w:val="17"/>
              <w:lang w:val="en-US"/>
            </w:rPr>
            <w:t>3</w:t>
          </w:r>
        </w:p>
      </w:tc>
    </w:tr>
  </w:tbl>
  <w:p w14:paraId="500B3B7C" w14:textId="77777777" w:rsidR="00C03941" w:rsidRPr="00347A36" w:rsidRDefault="00C03941">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235"/>
    <w:multiLevelType w:val="hybridMultilevel"/>
    <w:tmpl w:val="75D2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D5249"/>
    <w:multiLevelType w:val="hybridMultilevel"/>
    <w:tmpl w:val="264C77D2"/>
    <w:lvl w:ilvl="0" w:tplc="1C090001">
      <w:start w:val="1"/>
      <w:numFmt w:val="bullet"/>
      <w:lvlText w:val=""/>
      <w:lvlJc w:val="left"/>
      <w:pPr>
        <w:ind w:left="1987" w:hanging="360"/>
      </w:pPr>
      <w:rPr>
        <w:rFonts w:ascii="Symbol" w:hAnsi="Symbol" w:hint="default"/>
      </w:rPr>
    </w:lvl>
    <w:lvl w:ilvl="1" w:tplc="1C090003" w:tentative="1">
      <w:start w:val="1"/>
      <w:numFmt w:val="bullet"/>
      <w:lvlText w:val="o"/>
      <w:lvlJc w:val="left"/>
      <w:pPr>
        <w:ind w:left="2707" w:hanging="360"/>
      </w:pPr>
      <w:rPr>
        <w:rFonts w:ascii="Courier New" w:hAnsi="Courier New" w:cs="Courier New" w:hint="default"/>
      </w:rPr>
    </w:lvl>
    <w:lvl w:ilvl="2" w:tplc="1C090005" w:tentative="1">
      <w:start w:val="1"/>
      <w:numFmt w:val="bullet"/>
      <w:lvlText w:val=""/>
      <w:lvlJc w:val="left"/>
      <w:pPr>
        <w:ind w:left="3427" w:hanging="360"/>
      </w:pPr>
      <w:rPr>
        <w:rFonts w:ascii="Wingdings" w:hAnsi="Wingdings" w:hint="default"/>
      </w:rPr>
    </w:lvl>
    <w:lvl w:ilvl="3" w:tplc="1C090001" w:tentative="1">
      <w:start w:val="1"/>
      <w:numFmt w:val="bullet"/>
      <w:lvlText w:val=""/>
      <w:lvlJc w:val="left"/>
      <w:pPr>
        <w:ind w:left="4147" w:hanging="360"/>
      </w:pPr>
      <w:rPr>
        <w:rFonts w:ascii="Symbol" w:hAnsi="Symbol" w:hint="default"/>
      </w:rPr>
    </w:lvl>
    <w:lvl w:ilvl="4" w:tplc="1C090003" w:tentative="1">
      <w:start w:val="1"/>
      <w:numFmt w:val="bullet"/>
      <w:lvlText w:val="o"/>
      <w:lvlJc w:val="left"/>
      <w:pPr>
        <w:ind w:left="4867" w:hanging="360"/>
      </w:pPr>
      <w:rPr>
        <w:rFonts w:ascii="Courier New" w:hAnsi="Courier New" w:cs="Courier New" w:hint="default"/>
      </w:rPr>
    </w:lvl>
    <w:lvl w:ilvl="5" w:tplc="1C090005" w:tentative="1">
      <w:start w:val="1"/>
      <w:numFmt w:val="bullet"/>
      <w:lvlText w:val=""/>
      <w:lvlJc w:val="left"/>
      <w:pPr>
        <w:ind w:left="5587" w:hanging="360"/>
      </w:pPr>
      <w:rPr>
        <w:rFonts w:ascii="Wingdings" w:hAnsi="Wingdings" w:hint="default"/>
      </w:rPr>
    </w:lvl>
    <w:lvl w:ilvl="6" w:tplc="1C090001" w:tentative="1">
      <w:start w:val="1"/>
      <w:numFmt w:val="bullet"/>
      <w:lvlText w:val=""/>
      <w:lvlJc w:val="left"/>
      <w:pPr>
        <w:ind w:left="6307" w:hanging="360"/>
      </w:pPr>
      <w:rPr>
        <w:rFonts w:ascii="Symbol" w:hAnsi="Symbol" w:hint="default"/>
      </w:rPr>
    </w:lvl>
    <w:lvl w:ilvl="7" w:tplc="1C090003" w:tentative="1">
      <w:start w:val="1"/>
      <w:numFmt w:val="bullet"/>
      <w:lvlText w:val="o"/>
      <w:lvlJc w:val="left"/>
      <w:pPr>
        <w:ind w:left="7027" w:hanging="360"/>
      </w:pPr>
      <w:rPr>
        <w:rFonts w:ascii="Courier New" w:hAnsi="Courier New" w:cs="Courier New" w:hint="default"/>
      </w:rPr>
    </w:lvl>
    <w:lvl w:ilvl="8" w:tplc="1C090005" w:tentative="1">
      <w:start w:val="1"/>
      <w:numFmt w:val="bullet"/>
      <w:lvlText w:val=""/>
      <w:lvlJc w:val="left"/>
      <w:pPr>
        <w:ind w:left="7747" w:hanging="360"/>
      </w:pPr>
      <w:rPr>
        <w:rFonts w:ascii="Wingdings" w:hAnsi="Wingdings" w:hint="default"/>
      </w:rPr>
    </w:lvl>
  </w:abstractNum>
  <w:abstractNum w:abstractNumId="2" w15:restartNumberingAfterBreak="0">
    <w:nsid w:val="0FF83DB3"/>
    <w:multiLevelType w:val="hybridMultilevel"/>
    <w:tmpl w:val="703E57D0"/>
    <w:lvl w:ilvl="0" w:tplc="45B0DA18">
      <w:start w:val="1"/>
      <w:numFmt w:val="lowerRoman"/>
      <w:lvlText w:val="(%1)"/>
      <w:lvlJc w:val="left"/>
      <w:pPr>
        <w:ind w:left="1987" w:hanging="360"/>
      </w:pPr>
      <w:rPr>
        <w:rFonts w:hint="default"/>
      </w:rPr>
    </w:lvl>
    <w:lvl w:ilvl="1" w:tplc="40090019" w:tentative="1">
      <w:start w:val="1"/>
      <w:numFmt w:val="lowerLetter"/>
      <w:lvlText w:val="%2."/>
      <w:lvlJc w:val="left"/>
      <w:pPr>
        <w:ind w:left="2707" w:hanging="360"/>
      </w:pPr>
    </w:lvl>
    <w:lvl w:ilvl="2" w:tplc="4009001B" w:tentative="1">
      <w:start w:val="1"/>
      <w:numFmt w:val="lowerRoman"/>
      <w:lvlText w:val="%3."/>
      <w:lvlJc w:val="right"/>
      <w:pPr>
        <w:ind w:left="3427" w:hanging="180"/>
      </w:pPr>
    </w:lvl>
    <w:lvl w:ilvl="3" w:tplc="4009000F" w:tentative="1">
      <w:start w:val="1"/>
      <w:numFmt w:val="decimal"/>
      <w:lvlText w:val="%4."/>
      <w:lvlJc w:val="left"/>
      <w:pPr>
        <w:ind w:left="4147" w:hanging="360"/>
      </w:pPr>
    </w:lvl>
    <w:lvl w:ilvl="4" w:tplc="40090019" w:tentative="1">
      <w:start w:val="1"/>
      <w:numFmt w:val="lowerLetter"/>
      <w:lvlText w:val="%5."/>
      <w:lvlJc w:val="left"/>
      <w:pPr>
        <w:ind w:left="4867" w:hanging="360"/>
      </w:pPr>
    </w:lvl>
    <w:lvl w:ilvl="5" w:tplc="4009001B" w:tentative="1">
      <w:start w:val="1"/>
      <w:numFmt w:val="lowerRoman"/>
      <w:lvlText w:val="%6."/>
      <w:lvlJc w:val="right"/>
      <w:pPr>
        <w:ind w:left="5587" w:hanging="180"/>
      </w:pPr>
    </w:lvl>
    <w:lvl w:ilvl="6" w:tplc="4009000F" w:tentative="1">
      <w:start w:val="1"/>
      <w:numFmt w:val="decimal"/>
      <w:lvlText w:val="%7."/>
      <w:lvlJc w:val="left"/>
      <w:pPr>
        <w:ind w:left="6307" w:hanging="360"/>
      </w:pPr>
    </w:lvl>
    <w:lvl w:ilvl="7" w:tplc="40090019" w:tentative="1">
      <w:start w:val="1"/>
      <w:numFmt w:val="lowerLetter"/>
      <w:lvlText w:val="%8."/>
      <w:lvlJc w:val="left"/>
      <w:pPr>
        <w:ind w:left="7027" w:hanging="360"/>
      </w:pPr>
    </w:lvl>
    <w:lvl w:ilvl="8" w:tplc="4009001B" w:tentative="1">
      <w:start w:val="1"/>
      <w:numFmt w:val="lowerRoman"/>
      <w:lvlText w:val="%9."/>
      <w:lvlJc w:val="right"/>
      <w:pPr>
        <w:ind w:left="7747" w:hanging="180"/>
      </w:pPr>
    </w:lvl>
  </w:abstractNum>
  <w:abstractNum w:abstractNumId="3" w15:restartNumberingAfterBreak="0">
    <w:nsid w:val="12132987"/>
    <w:multiLevelType w:val="hybridMultilevel"/>
    <w:tmpl w:val="AAD0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D688D"/>
    <w:multiLevelType w:val="hybridMultilevel"/>
    <w:tmpl w:val="6A547AB6"/>
    <w:lvl w:ilvl="0" w:tplc="45B0DA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D40E92"/>
    <w:multiLevelType w:val="hybridMultilevel"/>
    <w:tmpl w:val="630ACD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6027C57"/>
    <w:multiLevelType w:val="hybridMultilevel"/>
    <w:tmpl w:val="BAC4A0D2"/>
    <w:lvl w:ilvl="0" w:tplc="986621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90A34"/>
    <w:multiLevelType w:val="hybridMultilevel"/>
    <w:tmpl w:val="A5A09B4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4ED5A54"/>
    <w:multiLevelType w:val="hybridMultilevel"/>
    <w:tmpl w:val="1EBC8E24"/>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9" w15:restartNumberingAfterBreak="0">
    <w:nsid w:val="27E81891"/>
    <w:multiLevelType w:val="hybridMultilevel"/>
    <w:tmpl w:val="65443872"/>
    <w:lvl w:ilvl="0" w:tplc="29E8FB5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8C252AC"/>
    <w:multiLevelType w:val="hybridMultilevel"/>
    <w:tmpl w:val="AD4E2E0C"/>
    <w:lvl w:ilvl="0" w:tplc="40090019">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252118"/>
    <w:multiLevelType w:val="hybridMultilevel"/>
    <w:tmpl w:val="864ED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1E2964"/>
    <w:multiLevelType w:val="hybridMultilevel"/>
    <w:tmpl w:val="49D4A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F29F7"/>
    <w:multiLevelType w:val="hybridMultilevel"/>
    <w:tmpl w:val="95EAD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8575E9"/>
    <w:multiLevelType w:val="hybridMultilevel"/>
    <w:tmpl w:val="8D127A6C"/>
    <w:lvl w:ilvl="0" w:tplc="838E45F8">
      <w:start w:val="1"/>
      <w:numFmt w:val="lowerLetter"/>
      <w:lvlText w:val="(%1)"/>
      <w:lvlJc w:val="left"/>
      <w:pPr>
        <w:tabs>
          <w:tab w:val="num" w:pos="2430"/>
        </w:tabs>
        <w:ind w:left="2430" w:hanging="99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6896D5C"/>
    <w:multiLevelType w:val="hybridMultilevel"/>
    <w:tmpl w:val="19729A2E"/>
    <w:lvl w:ilvl="0" w:tplc="9716D19E">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9215593"/>
    <w:multiLevelType w:val="hybridMultilevel"/>
    <w:tmpl w:val="BD1EC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D757D87"/>
    <w:multiLevelType w:val="hybridMultilevel"/>
    <w:tmpl w:val="E514C5DE"/>
    <w:lvl w:ilvl="0" w:tplc="2AAA05AC">
      <w:start w:val="1"/>
      <w:numFmt w:val="decimal"/>
      <w:lvlText w:val="%1."/>
      <w:lvlJc w:val="left"/>
      <w:pPr>
        <w:ind w:left="1080" w:hanging="360"/>
      </w:pPr>
      <w:rPr>
        <w:rFonts w:ascii="Times New Roman" w:hAnsi="Times New Roman" w:cs="Times New Roman" w:hint="default"/>
        <w:i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EEC2132"/>
    <w:multiLevelType w:val="hybridMultilevel"/>
    <w:tmpl w:val="448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030A9"/>
    <w:multiLevelType w:val="hybridMultilevel"/>
    <w:tmpl w:val="78F25174"/>
    <w:lvl w:ilvl="0" w:tplc="F6A0E8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1652E"/>
    <w:multiLevelType w:val="hybridMultilevel"/>
    <w:tmpl w:val="DEB42BB4"/>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015852"/>
    <w:multiLevelType w:val="hybridMultilevel"/>
    <w:tmpl w:val="246829D6"/>
    <w:lvl w:ilvl="0" w:tplc="04090001">
      <w:start w:val="1"/>
      <w:numFmt w:val="bullet"/>
      <w:lvlText w:val=""/>
      <w:lvlJc w:val="left"/>
      <w:pPr>
        <w:ind w:left="1828" w:hanging="360"/>
      </w:pPr>
      <w:rPr>
        <w:rFonts w:ascii="Symbol" w:hAnsi="Symbol" w:hint="default"/>
        <w:i w:val="0"/>
        <w:sz w:val="20"/>
        <w:szCs w:val="20"/>
      </w:rPr>
    </w:lvl>
    <w:lvl w:ilvl="1" w:tplc="4009000F">
      <w:start w:val="1"/>
      <w:numFmt w:val="decimal"/>
      <w:lvlText w:val="%2."/>
      <w:lvlJc w:val="left"/>
      <w:pPr>
        <w:ind w:left="2548" w:hanging="360"/>
      </w:pPr>
    </w:lvl>
    <w:lvl w:ilvl="2" w:tplc="4009001B" w:tentative="1">
      <w:start w:val="1"/>
      <w:numFmt w:val="lowerRoman"/>
      <w:lvlText w:val="%3."/>
      <w:lvlJc w:val="right"/>
      <w:pPr>
        <w:ind w:left="3268" w:hanging="180"/>
      </w:pPr>
    </w:lvl>
    <w:lvl w:ilvl="3" w:tplc="4009000F" w:tentative="1">
      <w:start w:val="1"/>
      <w:numFmt w:val="decimal"/>
      <w:lvlText w:val="%4."/>
      <w:lvlJc w:val="left"/>
      <w:pPr>
        <w:ind w:left="3988" w:hanging="360"/>
      </w:pPr>
    </w:lvl>
    <w:lvl w:ilvl="4" w:tplc="40090019" w:tentative="1">
      <w:start w:val="1"/>
      <w:numFmt w:val="lowerLetter"/>
      <w:lvlText w:val="%5."/>
      <w:lvlJc w:val="left"/>
      <w:pPr>
        <w:ind w:left="4708" w:hanging="360"/>
      </w:pPr>
    </w:lvl>
    <w:lvl w:ilvl="5" w:tplc="4009001B" w:tentative="1">
      <w:start w:val="1"/>
      <w:numFmt w:val="lowerRoman"/>
      <w:lvlText w:val="%6."/>
      <w:lvlJc w:val="right"/>
      <w:pPr>
        <w:ind w:left="5428" w:hanging="180"/>
      </w:pPr>
    </w:lvl>
    <w:lvl w:ilvl="6" w:tplc="4009000F" w:tentative="1">
      <w:start w:val="1"/>
      <w:numFmt w:val="decimal"/>
      <w:lvlText w:val="%7."/>
      <w:lvlJc w:val="left"/>
      <w:pPr>
        <w:ind w:left="6148" w:hanging="360"/>
      </w:pPr>
    </w:lvl>
    <w:lvl w:ilvl="7" w:tplc="40090019" w:tentative="1">
      <w:start w:val="1"/>
      <w:numFmt w:val="lowerLetter"/>
      <w:lvlText w:val="%8."/>
      <w:lvlJc w:val="left"/>
      <w:pPr>
        <w:ind w:left="6868" w:hanging="360"/>
      </w:pPr>
    </w:lvl>
    <w:lvl w:ilvl="8" w:tplc="4009001B" w:tentative="1">
      <w:start w:val="1"/>
      <w:numFmt w:val="lowerRoman"/>
      <w:lvlText w:val="%9."/>
      <w:lvlJc w:val="right"/>
      <w:pPr>
        <w:ind w:left="7588" w:hanging="180"/>
      </w:pPr>
    </w:lvl>
  </w:abstractNum>
  <w:abstractNum w:abstractNumId="2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A8A56C7"/>
    <w:multiLevelType w:val="hybridMultilevel"/>
    <w:tmpl w:val="373C5244"/>
    <w:lvl w:ilvl="0" w:tplc="45B0DA18">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51E45B51"/>
    <w:multiLevelType w:val="hybridMultilevel"/>
    <w:tmpl w:val="FB8CD78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15:restartNumberingAfterBreak="0">
    <w:nsid w:val="543424B9"/>
    <w:multiLevelType w:val="hybridMultilevel"/>
    <w:tmpl w:val="67D4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20360"/>
    <w:multiLevelType w:val="hybridMultilevel"/>
    <w:tmpl w:val="5DEA5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3745FD"/>
    <w:multiLevelType w:val="hybridMultilevel"/>
    <w:tmpl w:val="16F29BD4"/>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D10498"/>
    <w:multiLevelType w:val="hybridMultilevel"/>
    <w:tmpl w:val="DDEC40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0215CB"/>
    <w:multiLevelType w:val="hybridMultilevel"/>
    <w:tmpl w:val="61DA61DC"/>
    <w:lvl w:ilvl="0" w:tplc="3D8805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6B4B51"/>
    <w:multiLevelType w:val="hybridMultilevel"/>
    <w:tmpl w:val="4F049C7C"/>
    <w:lvl w:ilvl="0" w:tplc="60AADE34">
      <w:start w:val="1"/>
      <w:numFmt w:val="decimal"/>
      <w:lvlText w:val="%1."/>
      <w:lvlJc w:val="left"/>
      <w:pPr>
        <w:ind w:left="1080" w:hanging="360"/>
      </w:pPr>
      <w:rPr>
        <w:rFonts w:ascii="Times New Roman" w:hAnsi="Times New Roman" w:cs="Times New Roman" w:hint="default"/>
        <w:i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E2A2FE9"/>
    <w:multiLevelType w:val="hybridMultilevel"/>
    <w:tmpl w:val="986AB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FF7590D"/>
    <w:multiLevelType w:val="hybridMultilevel"/>
    <w:tmpl w:val="4244ACE6"/>
    <w:lvl w:ilvl="0" w:tplc="7D20CDBE">
      <w:start w:val="1"/>
      <w:numFmt w:val="lowerLetter"/>
      <w:lvlText w:val="(%1)"/>
      <w:lvlJc w:val="left"/>
      <w:pPr>
        <w:ind w:left="1987" w:hanging="360"/>
      </w:pPr>
      <w:rPr>
        <w:rFonts w:ascii="Times New Roman" w:hAnsi="Times New Roman"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3" w15:restartNumberingAfterBreak="0">
    <w:nsid w:val="61C4779B"/>
    <w:multiLevelType w:val="hybridMultilevel"/>
    <w:tmpl w:val="3E7EC9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5526AD"/>
    <w:multiLevelType w:val="hybridMultilevel"/>
    <w:tmpl w:val="2990D77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5" w15:restartNumberingAfterBreak="0">
    <w:nsid w:val="6776672A"/>
    <w:multiLevelType w:val="hybridMultilevel"/>
    <w:tmpl w:val="510CC316"/>
    <w:lvl w:ilvl="0" w:tplc="D27681EA">
      <w:start w:val="1"/>
      <w:numFmt w:val="lowerLetter"/>
      <w:lvlText w:val="(%1)"/>
      <w:lvlJc w:val="left"/>
      <w:pPr>
        <w:ind w:left="1620" w:hanging="360"/>
      </w:pPr>
      <w:rPr>
        <w:rFonts w:ascii="Times New Roman" w:hAnsi="Times New Roman" w:cs="Times New Roman" w:hint="default"/>
        <w:b w:val="0"/>
        <w:i w:val="0"/>
        <w:sz w:val="20"/>
      </w:rPr>
    </w:lvl>
    <w:lvl w:ilvl="1" w:tplc="04090019" w:tentative="1">
      <w:start w:val="1"/>
      <w:numFmt w:val="lowerLetter"/>
      <w:lvlText w:val="%2."/>
      <w:lvlJc w:val="left"/>
      <w:pPr>
        <w:ind w:left="1433" w:hanging="360"/>
      </w:pPr>
      <w:rPr>
        <w:rFonts w:cs="Times New Roman"/>
      </w:rPr>
    </w:lvl>
    <w:lvl w:ilvl="2" w:tplc="0409001B" w:tentative="1">
      <w:start w:val="1"/>
      <w:numFmt w:val="lowerRoman"/>
      <w:lvlText w:val="%3."/>
      <w:lvlJc w:val="right"/>
      <w:pPr>
        <w:ind w:left="2153" w:hanging="180"/>
      </w:pPr>
      <w:rPr>
        <w:rFonts w:cs="Times New Roman"/>
      </w:rPr>
    </w:lvl>
    <w:lvl w:ilvl="3" w:tplc="0409000F" w:tentative="1">
      <w:start w:val="1"/>
      <w:numFmt w:val="decimal"/>
      <w:lvlText w:val="%4."/>
      <w:lvlJc w:val="left"/>
      <w:pPr>
        <w:ind w:left="2873" w:hanging="360"/>
      </w:pPr>
      <w:rPr>
        <w:rFonts w:cs="Times New Roman"/>
      </w:rPr>
    </w:lvl>
    <w:lvl w:ilvl="4" w:tplc="04090019" w:tentative="1">
      <w:start w:val="1"/>
      <w:numFmt w:val="lowerLetter"/>
      <w:lvlText w:val="%5."/>
      <w:lvlJc w:val="left"/>
      <w:pPr>
        <w:ind w:left="3593" w:hanging="360"/>
      </w:pPr>
      <w:rPr>
        <w:rFonts w:cs="Times New Roman"/>
      </w:rPr>
    </w:lvl>
    <w:lvl w:ilvl="5" w:tplc="0409001B" w:tentative="1">
      <w:start w:val="1"/>
      <w:numFmt w:val="lowerRoman"/>
      <w:lvlText w:val="%6."/>
      <w:lvlJc w:val="right"/>
      <w:pPr>
        <w:ind w:left="4313" w:hanging="180"/>
      </w:pPr>
      <w:rPr>
        <w:rFonts w:cs="Times New Roman"/>
      </w:rPr>
    </w:lvl>
    <w:lvl w:ilvl="6" w:tplc="0409000F" w:tentative="1">
      <w:start w:val="1"/>
      <w:numFmt w:val="decimal"/>
      <w:lvlText w:val="%7."/>
      <w:lvlJc w:val="left"/>
      <w:pPr>
        <w:ind w:left="5033" w:hanging="360"/>
      </w:pPr>
      <w:rPr>
        <w:rFonts w:cs="Times New Roman"/>
      </w:rPr>
    </w:lvl>
    <w:lvl w:ilvl="7" w:tplc="04090019" w:tentative="1">
      <w:start w:val="1"/>
      <w:numFmt w:val="lowerLetter"/>
      <w:lvlText w:val="%8."/>
      <w:lvlJc w:val="left"/>
      <w:pPr>
        <w:ind w:left="5753" w:hanging="360"/>
      </w:pPr>
      <w:rPr>
        <w:rFonts w:cs="Times New Roman"/>
      </w:rPr>
    </w:lvl>
    <w:lvl w:ilvl="8" w:tplc="0409001B" w:tentative="1">
      <w:start w:val="1"/>
      <w:numFmt w:val="lowerRoman"/>
      <w:lvlText w:val="%9."/>
      <w:lvlJc w:val="right"/>
      <w:pPr>
        <w:ind w:left="6473" w:hanging="180"/>
      </w:pPr>
      <w:rPr>
        <w:rFonts w:cs="Times New Roman"/>
      </w:rPr>
    </w:lvl>
  </w:abstractNum>
  <w:abstractNum w:abstractNumId="36" w15:restartNumberingAfterBreak="0">
    <w:nsid w:val="6AF625E2"/>
    <w:multiLevelType w:val="hybridMultilevel"/>
    <w:tmpl w:val="79180E20"/>
    <w:lvl w:ilvl="0" w:tplc="AD68EEF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0D73FD3"/>
    <w:multiLevelType w:val="hybridMultilevel"/>
    <w:tmpl w:val="894A85A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28811E9"/>
    <w:multiLevelType w:val="hybridMultilevel"/>
    <w:tmpl w:val="98A43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73751"/>
    <w:multiLevelType w:val="hybridMultilevel"/>
    <w:tmpl w:val="9D74D12C"/>
    <w:lvl w:ilvl="0" w:tplc="AD925F0C">
      <w:start w:val="24"/>
      <w:numFmt w:val="decimal"/>
      <w:lvlText w:val="%1."/>
      <w:lvlJc w:val="left"/>
      <w:pPr>
        <w:ind w:left="1627" w:hanging="360"/>
      </w:pPr>
      <w:rPr>
        <w:rFonts w:hint="default"/>
      </w:rPr>
    </w:lvl>
    <w:lvl w:ilvl="1" w:tplc="40090019" w:tentative="1">
      <w:start w:val="1"/>
      <w:numFmt w:val="lowerLetter"/>
      <w:lvlText w:val="%2."/>
      <w:lvlJc w:val="left"/>
      <w:pPr>
        <w:ind w:left="1267" w:hanging="360"/>
      </w:pPr>
    </w:lvl>
    <w:lvl w:ilvl="2" w:tplc="4009001B" w:tentative="1">
      <w:start w:val="1"/>
      <w:numFmt w:val="lowerRoman"/>
      <w:lvlText w:val="%3."/>
      <w:lvlJc w:val="right"/>
      <w:pPr>
        <w:ind w:left="1987" w:hanging="180"/>
      </w:pPr>
    </w:lvl>
    <w:lvl w:ilvl="3" w:tplc="4009000F" w:tentative="1">
      <w:start w:val="1"/>
      <w:numFmt w:val="decimal"/>
      <w:lvlText w:val="%4."/>
      <w:lvlJc w:val="left"/>
      <w:pPr>
        <w:ind w:left="2707" w:hanging="360"/>
      </w:pPr>
    </w:lvl>
    <w:lvl w:ilvl="4" w:tplc="40090019" w:tentative="1">
      <w:start w:val="1"/>
      <w:numFmt w:val="lowerLetter"/>
      <w:lvlText w:val="%5."/>
      <w:lvlJc w:val="left"/>
      <w:pPr>
        <w:ind w:left="3427" w:hanging="360"/>
      </w:pPr>
    </w:lvl>
    <w:lvl w:ilvl="5" w:tplc="4009001B" w:tentative="1">
      <w:start w:val="1"/>
      <w:numFmt w:val="lowerRoman"/>
      <w:lvlText w:val="%6."/>
      <w:lvlJc w:val="right"/>
      <w:pPr>
        <w:ind w:left="4147" w:hanging="180"/>
      </w:pPr>
    </w:lvl>
    <w:lvl w:ilvl="6" w:tplc="4009000F" w:tentative="1">
      <w:start w:val="1"/>
      <w:numFmt w:val="decimal"/>
      <w:lvlText w:val="%7."/>
      <w:lvlJc w:val="left"/>
      <w:pPr>
        <w:ind w:left="4867" w:hanging="360"/>
      </w:pPr>
    </w:lvl>
    <w:lvl w:ilvl="7" w:tplc="40090019" w:tentative="1">
      <w:start w:val="1"/>
      <w:numFmt w:val="lowerLetter"/>
      <w:lvlText w:val="%8."/>
      <w:lvlJc w:val="left"/>
      <w:pPr>
        <w:ind w:left="5587" w:hanging="360"/>
      </w:pPr>
    </w:lvl>
    <w:lvl w:ilvl="8" w:tplc="4009001B" w:tentative="1">
      <w:start w:val="1"/>
      <w:numFmt w:val="lowerRoman"/>
      <w:lvlText w:val="%9."/>
      <w:lvlJc w:val="right"/>
      <w:pPr>
        <w:ind w:left="6307" w:hanging="180"/>
      </w:pPr>
    </w:lvl>
  </w:abstractNum>
  <w:abstractNum w:abstractNumId="40" w15:restartNumberingAfterBreak="0">
    <w:nsid w:val="744C5C7D"/>
    <w:multiLevelType w:val="hybridMultilevel"/>
    <w:tmpl w:val="71D8C5CE"/>
    <w:lvl w:ilvl="0" w:tplc="986621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791075"/>
    <w:multiLevelType w:val="hybridMultilevel"/>
    <w:tmpl w:val="111A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C68C3"/>
    <w:multiLevelType w:val="hybridMultilevel"/>
    <w:tmpl w:val="9434F542"/>
    <w:lvl w:ilvl="0" w:tplc="2AAA05AC">
      <w:start w:val="1"/>
      <w:numFmt w:val="decimal"/>
      <w:lvlText w:val="%1."/>
      <w:lvlJc w:val="left"/>
      <w:pPr>
        <w:ind w:left="1800" w:hanging="360"/>
      </w:pPr>
      <w:rPr>
        <w:rFonts w:ascii="Times New Roman" w:hAnsi="Times New Roman" w:cs="Times New Roman" w:hint="default"/>
        <w:i w:val="0"/>
        <w:sz w:val="20"/>
        <w:szCs w:val="20"/>
      </w:rPr>
    </w:lvl>
    <w:lvl w:ilvl="1" w:tplc="4009000F">
      <w:start w:val="1"/>
      <w:numFmt w:val="decimal"/>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CE47B0C"/>
    <w:multiLevelType w:val="hybridMultilevel"/>
    <w:tmpl w:val="17602F70"/>
    <w:lvl w:ilvl="0" w:tplc="0B0ADD6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182901"/>
    <w:multiLevelType w:val="hybridMultilevel"/>
    <w:tmpl w:val="8566F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F3CDA"/>
    <w:multiLevelType w:val="hybridMultilevel"/>
    <w:tmpl w:val="624A37C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6" w15:restartNumberingAfterBreak="0">
    <w:nsid w:val="7EDF0AAF"/>
    <w:multiLevelType w:val="hybridMultilevel"/>
    <w:tmpl w:val="1A6E33CC"/>
    <w:lvl w:ilvl="0" w:tplc="45B0DA18">
      <w:start w:val="1"/>
      <w:numFmt w:val="lowerRoman"/>
      <w:lvlText w:val="(%1)"/>
      <w:lvlJc w:val="left"/>
      <w:pPr>
        <w:ind w:left="2347" w:hanging="720"/>
      </w:pPr>
      <w:rPr>
        <w:rFonts w:hint="default"/>
      </w:rPr>
    </w:lvl>
    <w:lvl w:ilvl="1" w:tplc="04090019">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35"/>
  </w:num>
  <w:num w:numId="2">
    <w:abstractNumId w:val="27"/>
  </w:num>
  <w:num w:numId="3">
    <w:abstractNumId w:val="37"/>
  </w:num>
  <w:num w:numId="4">
    <w:abstractNumId w:val="28"/>
  </w:num>
  <w:num w:numId="5">
    <w:abstractNumId w:val="14"/>
  </w:num>
  <w:num w:numId="6">
    <w:abstractNumId w:val="7"/>
  </w:num>
  <w:num w:numId="7">
    <w:abstractNumId w:val="18"/>
  </w:num>
  <w:num w:numId="8">
    <w:abstractNumId w:val="25"/>
  </w:num>
  <w:num w:numId="9">
    <w:abstractNumId w:val="0"/>
  </w:num>
  <w:num w:numId="10">
    <w:abstractNumId w:val="41"/>
  </w:num>
  <w:num w:numId="11">
    <w:abstractNumId w:val="3"/>
  </w:num>
  <w:num w:numId="12">
    <w:abstractNumId w:val="31"/>
  </w:num>
  <w:num w:numId="13">
    <w:abstractNumId w:val="4"/>
  </w:num>
  <w:num w:numId="14">
    <w:abstractNumId w:val="46"/>
  </w:num>
  <w:num w:numId="15">
    <w:abstractNumId w:val="12"/>
  </w:num>
  <w:num w:numId="16">
    <w:abstractNumId w:val="11"/>
  </w:num>
  <w:num w:numId="17">
    <w:abstractNumId w:val="8"/>
  </w:num>
  <w:num w:numId="18">
    <w:abstractNumId w:val="45"/>
  </w:num>
  <w:num w:numId="19">
    <w:abstractNumId w:val="1"/>
  </w:num>
  <w:num w:numId="20">
    <w:abstractNumId w:val="42"/>
  </w:num>
  <w:num w:numId="21">
    <w:abstractNumId w:val="30"/>
  </w:num>
  <w:num w:numId="22">
    <w:abstractNumId w:val="23"/>
  </w:num>
  <w:num w:numId="23">
    <w:abstractNumId w:val="5"/>
  </w:num>
  <w:num w:numId="24">
    <w:abstractNumId w:val="17"/>
  </w:num>
  <w:num w:numId="25">
    <w:abstractNumId w:val="39"/>
  </w:num>
  <w:num w:numId="26">
    <w:abstractNumId w:val="10"/>
  </w:num>
  <w:num w:numId="27">
    <w:abstractNumId w:val="2"/>
  </w:num>
  <w:num w:numId="28">
    <w:abstractNumId w:val="15"/>
  </w:num>
  <w:num w:numId="29">
    <w:abstractNumId w:val="16"/>
  </w:num>
  <w:num w:numId="30">
    <w:abstractNumId w:val="44"/>
  </w:num>
  <w:num w:numId="31">
    <w:abstractNumId w:val="38"/>
  </w:num>
  <w:num w:numId="32">
    <w:abstractNumId w:val="24"/>
  </w:num>
  <w:num w:numId="33">
    <w:abstractNumId w:val="21"/>
  </w:num>
  <w:num w:numId="34">
    <w:abstractNumId w:val="19"/>
  </w:num>
  <w:num w:numId="35">
    <w:abstractNumId w:val="26"/>
  </w:num>
  <w:num w:numId="36">
    <w:abstractNumId w:val="34"/>
  </w:num>
  <w:num w:numId="37">
    <w:abstractNumId w:val="36"/>
  </w:num>
  <w:num w:numId="38">
    <w:abstractNumId w:val="29"/>
  </w:num>
  <w:num w:numId="39">
    <w:abstractNumId w:val="32"/>
  </w:num>
  <w:num w:numId="40">
    <w:abstractNumId w:val="13"/>
  </w:num>
  <w:num w:numId="41">
    <w:abstractNumId w:val="33"/>
  </w:num>
  <w:num w:numId="42">
    <w:abstractNumId w:val="43"/>
  </w:num>
  <w:num w:numId="43">
    <w:abstractNumId w:val="6"/>
  </w:num>
  <w:num w:numId="44">
    <w:abstractNumId w:val="40"/>
  </w:num>
  <w:num w:numId="45">
    <w:abstractNumId w:val="20"/>
  </w:num>
  <w:num w:numId="46">
    <w:abstractNumId w:val="9"/>
  </w:num>
  <w:num w:numId="4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63"/>
    <w:rsid w:val="000027D2"/>
    <w:rsid w:val="0000346E"/>
    <w:rsid w:val="000059CF"/>
    <w:rsid w:val="00005E26"/>
    <w:rsid w:val="00007A88"/>
    <w:rsid w:val="00007D9D"/>
    <w:rsid w:val="00012769"/>
    <w:rsid w:val="00013183"/>
    <w:rsid w:val="000135AF"/>
    <w:rsid w:val="00014915"/>
    <w:rsid w:val="0001506F"/>
    <w:rsid w:val="00015730"/>
    <w:rsid w:val="00015FDE"/>
    <w:rsid w:val="00016217"/>
    <w:rsid w:val="000166B6"/>
    <w:rsid w:val="00016861"/>
    <w:rsid w:val="000200CF"/>
    <w:rsid w:val="000205F1"/>
    <w:rsid w:val="00021063"/>
    <w:rsid w:val="00021E0A"/>
    <w:rsid w:val="00022047"/>
    <w:rsid w:val="00023678"/>
    <w:rsid w:val="00024755"/>
    <w:rsid w:val="00024FAF"/>
    <w:rsid w:val="00025015"/>
    <w:rsid w:val="0002503B"/>
    <w:rsid w:val="000274B9"/>
    <w:rsid w:val="0002758B"/>
    <w:rsid w:val="000276A0"/>
    <w:rsid w:val="00027D30"/>
    <w:rsid w:val="00027D5E"/>
    <w:rsid w:val="00030862"/>
    <w:rsid w:val="00032802"/>
    <w:rsid w:val="00032EA0"/>
    <w:rsid w:val="000330DB"/>
    <w:rsid w:val="00033B66"/>
    <w:rsid w:val="0003429F"/>
    <w:rsid w:val="00034FA6"/>
    <w:rsid w:val="00035520"/>
    <w:rsid w:val="0003562A"/>
    <w:rsid w:val="00036095"/>
    <w:rsid w:val="00036AF4"/>
    <w:rsid w:val="000378CB"/>
    <w:rsid w:val="000413E3"/>
    <w:rsid w:val="00041C10"/>
    <w:rsid w:val="000433A1"/>
    <w:rsid w:val="00043804"/>
    <w:rsid w:val="000441A1"/>
    <w:rsid w:val="0004674B"/>
    <w:rsid w:val="00050869"/>
    <w:rsid w:val="00051EA0"/>
    <w:rsid w:val="0005379E"/>
    <w:rsid w:val="00054505"/>
    <w:rsid w:val="000561C1"/>
    <w:rsid w:val="00056204"/>
    <w:rsid w:val="0005626E"/>
    <w:rsid w:val="000570D1"/>
    <w:rsid w:val="000571A9"/>
    <w:rsid w:val="00060290"/>
    <w:rsid w:val="0006053F"/>
    <w:rsid w:val="00060AB3"/>
    <w:rsid w:val="00061AF7"/>
    <w:rsid w:val="00062078"/>
    <w:rsid w:val="00063E24"/>
    <w:rsid w:val="00065D55"/>
    <w:rsid w:val="000672B1"/>
    <w:rsid w:val="0006792C"/>
    <w:rsid w:val="0007009A"/>
    <w:rsid w:val="000705FA"/>
    <w:rsid w:val="0007067B"/>
    <w:rsid w:val="00072229"/>
    <w:rsid w:val="000725E9"/>
    <w:rsid w:val="00072E34"/>
    <w:rsid w:val="00073CF1"/>
    <w:rsid w:val="00074BD0"/>
    <w:rsid w:val="00074D9A"/>
    <w:rsid w:val="00074DB9"/>
    <w:rsid w:val="000753C4"/>
    <w:rsid w:val="0007559A"/>
    <w:rsid w:val="00075DF0"/>
    <w:rsid w:val="000762CA"/>
    <w:rsid w:val="00076385"/>
    <w:rsid w:val="00077A22"/>
    <w:rsid w:val="000803A4"/>
    <w:rsid w:val="00080D77"/>
    <w:rsid w:val="00081984"/>
    <w:rsid w:val="0008339E"/>
    <w:rsid w:val="00083A59"/>
    <w:rsid w:val="000857DD"/>
    <w:rsid w:val="00087003"/>
    <w:rsid w:val="000902B9"/>
    <w:rsid w:val="00090AD1"/>
    <w:rsid w:val="00090F4F"/>
    <w:rsid w:val="000918DB"/>
    <w:rsid w:val="00092879"/>
    <w:rsid w:val="0009344B"/>
    <w:rsid w:val="00093EC1"/>
    <w:rsid w:val="00094A4D"/>
    <w:rsid w:val="00094E87"/>
    <w:rsid w:val="000958BE"/>
    <w:rsid w:val="0009661D"/>
    <w:rsid w:val="00097FB2"/>
    <w:rsid w:val="000A032F"/>
    <w:rsid w:val="000A09BE"/>
    <w:rsid w:val="000A0EBE"/>
    <w:rsid w:val="000A151D"/>
    <w:rsid w:val="000A24C5"/>
    <w:rsid w:val="000A3F7F"/>
    <w:rsid w:val="000A5FE8"/>
    <w:rsid w:val="000B0D3B"/>
    <w:rsid w:val="000B3A13"/>
    <w:rsid w:val="000B4BB2"/>
    <w:rsid w:val="000B4CB5"/>
    <w:rsid w:val="000B6195"/>
    <w:rsid w:val="000B6BEF"/>
    <w:rsid w:val="000B7024"/>
    <w:rsid w:val="000B7BC7"/>
    <w:rsid w:val="000B7DFD"/>
    <w:rsid w:val="000C0662"/>
    <w:rsid w:val="000C0ED6"/>
    <w:rsid w:val="000C2F9B"/>
    <w:rsid w:val="000C3416"/>
    <w:rsid w:val="000C6973"/>
    <w:rsid w:val="000C75C2"/>
    <w:rsid w:val="000C76B0"/>
    <w:rsid w:val="000C7BBE"/>
    <w:rsid w:val="000D06B9"/>
    <w:rsid w:val="000D09BD"/>
    <w:rsid w:val="000D1610"/>
    <w:rsid w:val="000D19B6"/>
    <w:rsid w:val="000D1EA7"/>
    <w:rsid w:val="000D2475"/>
    <w:rsid w:val="000D42BB"/>
    <w:rsid w:val="000D442C"/>
    <w:rsid w:val="000D4F37"/>
    <w:rsid w:val="000D5090"/>
    <w:rsid w:val="000D5F4F"/>
    <w:rsid w:val="000D6318"/>
    <w:rsid w:val="000D6DFB"/>
    <w:rsid w:val="000D7C76"/>
    <w:rsid w:val="000E0E29"/>
    <w:rsid w:val="000E1C0B"/>
    <w:rsid w:val="000E202C"/>
    <w:rsid w:val="000E425A"/>
    <w:rsid w:val="000E452C"/>
    <w:rsid w:val="000E51B8"/>
    <w:rsid w:val="000E57E2"/>
    <w:rsid w:val="000E5D03"/>
    <w:rsid w:val="000E612D"/>
    <w:rsid w:val="000E745A"/>
    <w:rsid w:val="000E75B1"/>
    <w:rsid w:val="000E7E9E"/>
    <w:rsid w:val="000F0044"/>
    <w:rsid w:val="000F2212"/>
    <w:rsid w:val="000F303D"/>
    <w:rsid w:val="000F5B42"/>
    <w:rsid w:val="000F5E57"/>
    <w:rsid w:val="000F68CA"/>
    <w:rsid w:val="000F703B"/>
    <w:rsid w:val="00102DFA"/>
    <w:rsid w:val="001034A2"/>
    <w:rsid w:val="0010352A"/>
    <w:rsid w:val="00103B52"/>
    <w:rsid w:val="00105246"/>
    <w:rsid w:val="00105713"/>
    <w:rsid w:val="0010628F"/>
    <w:rsid w:val="00106EF8"/>
    <w:rsid w:val="00110116"/>
    <w:rsid w:val="001101A2"/>
    <w:rsid w:val="0011041A"/>
    <w:rsid w:val="0011055F"/>
    <w:rsid w:val="0011120E"/>
    <w:rsid w:val="00111489"/>
    <w:rsid w:val="00111797"/>
    <w:rsid w:val="00111B19"/>
    <w:rsid w:val="00113DFE"/>
    <w:rsid w:val="00114A64"/>
    <w:rsid w:val="00115186"/>
    <w:rsid w:val="00116C1A"/>
    <w:rsid w:val="00120025"/>
    <w:rsid w:val="0012149D"/>
    <w:rsid w:val="0012229E"/>
    <w:rsid w:val="00123849"/>
    <w:rsid w:val="00125010"/>
    <w:rsid w:val="001252E8"/>
    <w:rsid w:val="00125B82"/>
    <w:rsid w:val="0012654D"/>
    <w:rsid w:val="00127A17"/>
    <w:rsid w:val="0013021D"/>
    <w:rsid w:val="001305E6"/>
    <w:rsid w:val="001313E3"/>
    <w:rsid w:val="00131E2A"/>
    <w:rsid w:val="00132583"/>
    <w:rsid w:val="0013551C"/>
    <w:rsid w:val="00136787"/>
    <w:rsid w:val="00136F3C"/>
    <w:rsid w:val="0013761A"/>
    <w:rsid w:val="00137C20"/>
    <w:rsid w:val="00137E6B"/>
    <w:rsid w:val="00141160"/>
    <w:rsid w:val="00141378"/>
    <w:rsid w:val="00141F5A"/>
    <w:rsid w:val="00142F09"/>
    <w:rsid w:val="00143668"/>
    <w:rsid w:val="00143E33"/>
    <w:rsid w:val="0014423A"/>
    <w:rsid w:val="0014499C"/>
    <w:rsid w:val="00144CC5"/>
    <w:rsid w:val="001471A7"/>
    <w:rsid w:val="001506F6"/>
    <w:rsid w:val="00150CD4"/>
    <w:rsid w:val="00150FA4"/>
    <w:rsid w:val="00152BF2"/>
    <w:rsid w:val="001535D2"/>
    <w:rsid w:val="00153C75"/>
    <w:rsid w:val="001542F8"/>
    <w:rsid w:val="001547D3"/>
    <w:rsid w:val="001559BD"/>
    <w:rsid w:val="00155B29"/>
    <w:rsid w:val="00156C3D"/>
    <w:rsid w:val="00157F79"/>
    <w:rsid w:val="001613E6"/>
    <w:rsid w:val="00162A59"/>
    <w:rsid w:val="001638D4"/>
    <w:rsid w:val="00163E84"/>
    <w:rsid w:val="00165008"/>
    <w:rsid w:val="001668AA"/>
    <w:rsid w:val="00166C9E"/>
    <w:rsid w:val="001675B1"/>
    <w:rsid w:val="0016789D"/>
    <w:rsid w:val="00167C87"/>
    <w:rsid w:val="00171B54"/>
    <w:rsid w:val="00171EA5"/>
    <w:rsid w:val="001721F4"/>
    <w:rsid w:val="00175127"/>
    <w:rsid w:val="001756A7"/>
    <w:rsid w:val="00177E7E"/>
    <w:rsid w:val="00181DB1"/>
    <w:rsid w:val="00183D38"/>
    <w:rsid w:val="00184B7E"/>
    <w:rsid w:val="00184BCA"/>
    <w:rsid w:val="0018501E"/>
    <w:rsid w:val="001864E9"/>
    <w:rsid w:val="0018668C"/>
    <w:rsid w:val="001876C5"/>
    <w:rsid w:val="00187D68"/>
    <w:rsid w:val="001906B5"/>
    <w:rsid w:val="00190C28"/>
    <w:rsid w:val="00192077"/>
    <w:rsid w:val="001927D4"/>
    <w:rsid w:val="00193433"/>
    <w:rsid w:val="00193DC0"/>
    <w:rsid w:val="00193F4B"/>
    <w:rsid w:val="00194163"/>
    <w:rsid w:val="00194FEB"/>
    <w:rsid w:val="00195E8A"/>
    <w:rsid w:val="00197038"/>
    <w:rsid w:val="001970A4"/>
    <w:rsid w:val="00197AD1"/>
    <w:rsid w:val="001A0009"/>
    <w:rsid w:val="001A239E"/>
    <w:rsid w:val="001A2815"/>
    <w:rsid w:val="001A3086"/>
    <w:rsid w:val="001A43E1"/>
    <w:rsid w:val="001A4A63"/>
    <w:rsid w:val="001A5F66"/>
    <w:rsid w:val="001A729A"/>
    <w:rsid w:val="001A735E"/>
    <w:rsid w:val="001A79CD"/>
    <w:rsid w:val="001B0020"/>
    <w:rsid w:val="001B1050"/>
    <w:rsid w:val="001B1980"/>
    <w:rsid w:val="001B31E1"/>
    <w:rsid w:val="001B35D1"/>
    <w:rsid w:val="001B3F87"/>
    <w:rsid w:val="001B4026"/>
    <w:rsid w:val="001B598C"/>
    <w:rsid w:val="001B6A6F"/>
    <w:rsid w:val="001B76A6"/>
    <w:rsid w:val="001C07F8"/>
    <w:rsid w:val="001C3155"/>
    <w:rsid w:val="001C6C08"/>
    <w:rsid w:val="001C6DCB"/>
    <w:rsid w:val="001C71B2"/>
    <w:rsid w:val="001C7CD7"/>
    <w:rsid w:val="001C7F64"/>
    <w:rsid w:val="001D0E56"/>
    <w:rsid w:val="001D2056"/>
    <w:rsid w:val="001D41B7"/>
    <w:rsid w:val="001D42D1"/>
    <w:rsid w:val="001D6079"/>
    <w:rsid w:val="001D64E5"/>
    <w:rsid w:val="001D6A99"/>
    <w:rsid w:val="001D6EB8"/>
    <w:rsid w:val="001D794C"/>
    <w:rsid w:val="001E05EC"/>
    <w:rsid w:val="001E1997"/>
    <w:rsid w:val="001E1E20"/>
    <w:rsid w:val="001E4809"/>
    <w:rsid w:val="001E4BCB"/>
    <w:rsid w:val="001E4F4F"/>
    <w:rsid w:val="001E57B1"/>
    <w:rsid w:val="001F006F"/>
    <w:rsid w:val="001F20B6"/>
    <w:rsid w:val="001F27F4"/>
    <w:rsid w:val="001F3341"/>
    <w:rsid w:val="001F3DC0"/>
    <w:rsid w:val="001F44C1"/>
    <w:rsid w:val="001F4C5A"/>
    <w:rsid w:val="001F5FB7"/>
    <w:rsid w:val="001F6772"/>
    <w:rsid w:val="001F7421"/>
    <w:rsid w:val="00200195"/>
    <w:rsid w:val="00200B5F"/>
    <w:rsid w:val="00201EEF"/>
    <w:rsid w:val="0020242D"/>
    <w:rsid w:val="00203625"/>
    <w:rsid w:val="00203849"/>
    <w:rsid w:val="00204654"/>
    <w:rsid w:val="002047C8"/>
    <w:rsid w:val="002052B3"/>
    <w:rsid w:val="002058F9"/>
    <w:rsid w:val="0020799A"/>
    <w:rsid w:val="00212103"/>
    <w:rsid w:val="002129C8"/>
    <w:rsid w:val="00212B1F"/>
    <w:rsid w:val="00213D7C"/>
    <w:rsid w:val="00213FF9"/>
    <w:rsid w:val="00214513"/>
    <w:rsid w:val="002155B7"/>
    <w:rsid w:val="0021766A"/>
    <w:rsid w:val="00220ADF"/>
    <w:rsid w:val="00221A13"/>
    <w:rsid w:val="002225D3"/>
    <w:rsid w:val="00222A35"/>
    <w:rsid w:val="00222DA7"/>
    <w:rsid w:val="0022301D"/>
    <w:rsid w:val="00224B2C"/>
    <w:rsid w:val="00227E55"/>
    <w:rsid w:val="002328B2"/>
    <w:rsid w:val="00232AA0"/>
    <w:rsid w:val="002330E1"/>
    <w:rsid w:val="00233515"/>
    <w:rsid w:val="00233993"/>
    <w:rsid w:val="00233A52"/>
    <w:rsid w:val="0023437F"/>
    <w:rsid w:val="00234A38"/>
    <w:rsid w:val="00234CDF"/>
    <w:rsid w:val="0023635F"/>
    <w:rsid w:val="002369CF"/>
    <w:rsid w:val="00236B91"/>
    <w:rsid w:val="00240617"/>
    <w:rsid w:val="002410B1"/>
    <w:rsid w:val="002424C0"/>
    <w:rsid w:val="00242715"/>
    <w:rsid w:val="0024275B"/>
    <w:rsid w:val="00242CAA"/>
    <w:rsid w:val="00244FA7"/>
    <w:rsid w:val="00245D74"/>
    <w:rsid w:val="00246A9A"/>
    <w:rsid w:val="00246DDF"/>
    <w:rsid w:val="002513ED"/>
    <w:rsid w:val="00251EC8"/>
    <w:rsid w:val="00255278"/>
    <w:rsid w:val="00255497"/>
    <w:rsid w:val="0025612F"/>
    <w:rsid w:val="0025711F"/>
    <w:rsid w:val="002573CC"/>
    <w:rsid w:val="00260FAA"/>
    <w:rsid w:val="0026108A"/>
    <w:rsid w:val="002622E6"/>
    <w:rsid w:val="00262338"/>
    <w:rsid w:val="00263938"/>
    <w:rsid w:val="002642C5"/>
    <w:rsid w:val="0026469E"/>
    <w:rsid w:val="002646D7"/>
    <w:rsid w:val="00266145"/>
    <w:rsid w:val="0026664C"/>
    <w:rsid w:val="0026713A"/>
    <w:rsid w:val="002671D7"/>
    <w:rsid w:val="0026723D"/>
    <w:rsid w:val="0027259C"/>
    <w:rsid w:val="00273543"/>
    <w:rsid w:val="0027397D"/>
    <w:rsid w:val="00274C82"/>
    <w:rsid w:val="0027654D"/>
    <w:rsid w:val="002810DF"/>
    <w:rsid w:val="002812AB"/>
    <w:rsid w:val="002816D8"/>
    <w:rsid w:val="00282409"/>
    <w:rsid w:val="00282A8C"/>
    <w:rsid w:val="00282C99"/>
    <w:rsid w:val="0028432C"/>
    <w:rsid w:val="00284511"/>
    <w:rsid w:val="002854EE"/>
    <w:rsid w:val="0028565C"/>
    <w:rsid w:val="00286B34"/>
    <w:rsid w:val="00290EB3"/>
    <w:rsid w:val="002921FD"/>
    <w:rsid w:val="00292846"/>
    <w:rsid w:val="00292A90"/>
    <w:rsid w:val="00293E88"/>
    <w:rsid w:val="00294556"/>
    <w:rsid w:val="00295890"/>
    <w:rsid w:val="00295E62"/>
    <w:rsid w:val="00296FC6"/>
    <w:rsid w:val="002A0711"/>
    <w:rsid w:val="002A156D"/>
    <w:rsid w:val="002A2E2A"/>
    <w:rsid w:val="002A2F08"/>
    <w:rsid w:val="002A30F6"/>
    <w:rsid w:val="002A31FF"/>
    <w:rsid w:val="002A346C"/>
    <w:rsid w:val="002A3641"/>
    <w:rsid w:val="002A36D2"/>
    <w:rsid w:val="002A39CF"/>
    <w:rsid w:val="002A495F"/>
    <w:rsid w:val="002A5073"/>
    <w:rsid w:val="002A68CF"/>
    <w:rsid w:val="002A6D81"/>
    <w:rsid w:val="002A706F"/>
    <w:rsid w:val="002A70EA"/>
    <w:rsid w:val="002A7363"/>
    <w:rsid w:val="002A7F43"/>
    <w:rsid w:val="002B1CBA"/>
    <w:rsid w:val="002B365E"/>
    <w:rsid w:val="002B4016"/>
    <w:rsid w:val="002B489A"/>
    <w:rsid w:val="002B522C"/>
    <w:rsid w:val="002B6341"/>
    <w:rsid w:val="002B67EE"/>
    <w:rsid w:val="002B6BC5"/>
    <w:rsid w:val="002B7E87"/>
    <w:rsid w:val="002C0526"/>
    <w:rsid w:val="002C2763"/>
    <w:rsid w:val="002C27A8"/>
    <w:rsid w:val="002C31C2"/>
    <w:rsid w:val="002C333E"/>
    <w:rsid w:val="002C36C8"/>
    <w:rsid w:val="002C3850"/>
    <w:rsid w:val="002C3A95"/>
    <w:rsid w:val="002C48BC"/>
    <w:rsid w:val="002C51A0"/>
    <w:rsid w:val="002C5308"/>
    <w:rsid w:val="002C5E2F"/>
    <w:rsid w:val="002D0584"/>
    <w:rsid w:val="002D1963"/>
    <w:rsid w:val="002D2E2A"/>
    <w:rsid w:val="002D470C"/>
    <w:rsid w:val="002D4972"/>
    <w:rsid w:val="002D513F"/>
    <w:rsid w:val="002D51BC"/>
    <w:rsid w:val="002D5295"/>
    <w:rsid w:val="002D52BF"/>
    <w:rsid w:val="002D6497"/>
    <w:rsid w:val="002D68FA"/>
    <w:rsid w:val="002D7054"/>
    <w:rsid w:val="002D7ECA"/>
    <w:rsid w:val="002E0141"/>
    <w:rsid w:val="002E0B5D"/>
    <w:rsid w:val="002E0FBD"/>
    <w:rsid w:val="002E142C"/>
    <w:rsid w:val="002E1495"/>
    <w:rsid w:val="002E2415"/>
    <w:rsid w:val="002E2900"/>
    <w:rsid w:val="002E29A8"/>
    <w:rsid w:val="002E3C0D"/>
    <w:rsid w:val="002E43EC"/>
    <w:rsid w:val="002E5B3C"/>
    <w:rsid w:val="002E5FA7"/>
    <w:rsid w:val="002E66C9"/>
    <w:rsid w:val="002E77E9"/>
    <w:rsid w:val="002E7A79"/>
    <w:rsid w:val="002F1A95"/>
    <w:rsid w:val="002F2C6E"/>
    <w:rsid w:val="002F3C88"/>
    <w:rsid w:val="002F3F1D"/>
    <w:rsid w:val="002F4067"/>
    <w:rsid w:val="002F48CC"/>
    <w:rsid w:val="002F5300"/>
    <w:rsid w:val="002F5E5D"/>
    <w:rsid w:val="002F6E3F"/>
    <w:rsid w:val="002F7339"/>
    <w:rsid w:val="002F7461"/>
    <w:rsid w:val="003004A9"/>
    <w:rsid w:val="003007CC"/>
    <w:rsid w:val="003018C8"/>
    <w:rsid w:val="00301976"/>
    <w:rsid w:val="00301A82"/>
    <w:rsid w:val="003025E2"/>
    <w:rsid w:val="003030E8"/>
    <w:rsid w:val="00303169"/>
    <w:rsid w:val="003043C0"/>
    <w:rsid w:val="00306D24"/>
    <w:rsid w:val="00307712"/>
    <w:rsid w:val="00312A01"/>
    <w:rsid w:val="003131D1"/>
    <w:rsid w:val="003132D2"/>
    <w:rsid w:val="00313913"/>
    <w:rsid w:val="0031404A"/>
    <w:rsid w:val="00314B7C"/>
    <w:rsid w:val="00314E49"/>
    <w:rsid w:val="00314EBE"/>
    <w:rsid w:val="00315445"/>
    <w:rsid w:val="00316089"/>
    <w:rsid w:val="00317183"/>
    <w:rsid w:val="00317F54"/>
    <w:rsid w:val="003208EF"/>
    <w:rsid w:val="00320976"/>
    <w:rsid w:val="00321FEE"/>
    <w:rsid w:val="00323DB3"/>
    <w:rsid w:val="00324846"/>
    <w:rsid w:val="00324ABD"/>
    <w:rsid w:val="00324D9B"/>
    <w:rsid w:val="00325B7A"/>
    <w:rsid w:val="003267E5"/>
    <w:rsid w:val="003272A6"/>
    <w:rsid w:val="003273CB"/>
    <w:rsid w:val="003311E9"/>
    <w:rsid w:val="0033125E"/>
    <w:rsid w:val="00331542"/>
    <w:rsid w:val="00331E0C"/>
    <w:rsid w:val="003323EB"/>
    <w:rsid w:val="00335D6C"/>
    <w:rsid w:val="00336AEB"/>
    <w:rsid w:val="00336F1D"/>
    <w:rsid w:val="0033704F"/>
    <w:rsid w:val="0033718C"/>
    <w:rsid w:val="00340CAB"/>
    <w:rsid w:val="00340E02"/>
    <w:rsid w:val="00341E9F"/>
    <w:rsid w:val="00342DAA"/>
    <w:rsid w:val="00342F1C"/>
    <w:rsid w:val="00343E6E"/>
    <w:rsid w:val="00344775"/>
    <w:rsid w:val="003450C8"/>
    <w:rsid w:val="00345A45"/>
    <w:rsid w:val="00345A68"/>
    <w:rsid w:val="00345BCA"/>
    <w:rsid w:val="003470E7"/>
    <w:rsid w:val="003479AB"/>
    <w:rsid w:val="00347A36"/>
    <w:rsid w:val="003503C7"/>
    <w:rsid w:val="003505C7"/>
    <w:rsid w:val="00350604"/>
    <w:rsid w:val="00351E5C"/>
    <w:rsid w:val="003523D8"/>
    <w:rsid w:val="003531CB"/>
    <w:rsid w:val="003539F9"/>
    <w:rsid w:val="0035580F"/>
    <w:rsid w:val="003561E3"/>
    <w:rsid w:val="00357CB4"/>
    <w:rsid w:val="003604EE"/>
    <w:rsid w:val="0036168C"/>
    <w:rsid w:val="003618FF"/>
    <w:rsid w:val="0036286B"/>
    <w:rsid w:val="00362A4C"/>
    <w:rsid w:val="00363371"/>
    <w:rsid w:val="00364989"/>
    <w:rsid w:val="003664C0"/>
    <w:rsid w:val="00367865"/>
    <w:rsid w:val="00367A1C"/>
    <w:rsid w:val="00370506"/>
    <w:rsid w:val="00371094"/>
    <w:rsid w:val="00373F97"/>
    <w:rsid w:val="00374122"/>
    <w:rsid w:val="003746AB"/>
    <w:rsid w:val="00375200"/>
    <w:rsid w:val="003761F2"/>
    <w:rsid w:val="00376A05"/>
    <w:rsid w:val="003774FE"/>
    <w:rsid w:val="003807BF"/>
    <w:rsid w:val="00380A1F"/>
    <w:rsid w:val="00381D69"/>
    <w:rsid w:val="00382114"/>
    <w:rsid w:val="00386803"/>
    <w:rsid w:val="00386C43"/>
    <w:rsid w:val="00390711"/>
    <w:rsid w:val="00390B2B"/>
    <w:rsid w:val="00390E30"/>
    <w:rsid w:val="0039176B"/>
    <w:rsid w:val="00391942"/>
    <w:rsid w:val="00391FC1"/>
    <w:rsid w:val="00393ABE"/>
    <w:rsid w:val="0039410A"/>
    <w:rsid w:val="0039411C"/>
    <w:rsid w:val="0039458D"/>
    <w:rsid w:val="00394D61"/>
    <w:rsid w:val="00397405"/>
    <w:rsid w:val="003A14CD"/>
    <w:rsid w:val="003A1B0A"/>
    <w:rsid w:val="003A1F5A"/>
    <w:rsid w:val="003A2ECE"/>
    <w:rsid w:val="003A37DA"/>
    <w:rsid w:val="003A4252"/>
    <w:rsid w:val="003A539A"/>
    <w:rsid w:val="003A56C7"/>
    <w:rsid w:val="003A599F"/>
    <w:rsid w:val="003A62A4"/>
    <w:rsid w:val="003A7D86"/>
    <w:rsid w:val="003B08AC"/>
    <w:rsid w:val="003B0AA1"/>
    <w:rsid w:val="003B243D"/>
    <w:rsid w:val="003B2548"/>
    <w:rsid w:val="003B2DBC"/>
    <w:rsid w:val="003B304F"/>
    <w:rsid w:val="003B4B56"/>
    <w:rsid w:val="003B5035"/>
    <w:rsid w:val="003B5D18"/>
    <w:rsid w:val="003B795D"/>
    <w:rsid w:val="003C123B"/>
    <w:rsid w:val="003C1D27"/>
    <w:rsid w:val="003C1E5D"/>
    <w:rsid w:val="003C26A6"/>
    <w:rsid w:val="003C330D"/>
    <w:rsid w:val="003C5C11"/>
    <w:rsid w:val="003C6A5A"/>
    <w:rsid w:val="003C6AAD"/>
    <w:rsid w:val="003C7485"/>
    <w:rsid w:val="003D0618"/>
    <w:rsid w:val="003D07C4"/>
    <w:rsid w:val="003D16C7"/>
    <w:rsid w:val="003D1D4D"/>
    <w:rsid w:val="003D221A"/>
    <w:rsid w:val="003D2623"/>
    <w:rsid w:val="003D37DD"/>
    <w:rsid w:val="003D47C6"/>
    <w:rsid w:val="003D784F"/>
    <w:rsid w:val="003D7E38"/>
    <w:rsid w:val="003D7EAC"/>
    <w:rsid w:val="003E0254"/>
    <w:rsid w:val="003E0A84"/>
    <w:rsid w:val="003E12C5"/>
    <w:rsid w:val="003E18D7"/>
    <w:rsid w:val="003E379A"/>
    <w:rsid w:val="003E4CEF"/>
    <w:rsid w:val="003E52B0"/>
    <w:rsid w:val="003E64DC"/>
    <w:rsid w:val="003E6E06"/>
    <w:rsid w:val="003E7A43"/>
    <w:rsid w:val="003F0A85"/>
    <w:rsid w:val="003F0B58"/>
    <w:rsid w:val="003F0D40"/>
    <w:rsid w:val="003F132C"/>
    <w:rsid w:val="003F2236"/>
    <w:rsid w:val="003F27B7"/>
    <w:rsid w:val="003F3F97"/>
    <w:rsid w:val="003F4051"/>
    <w:rsid w:val="003F5509"/>
    <w:rsid w:val="003F5812"/>
    <w:rsid w:val="003F6A67"/>
    <w:rsid w:val="00400547"/>
    <w:rsid w:val="00400E4A"/>
    <w:rsid w:val="00402E9A"/>
    <w:rsid w:val="004030D3"/>
    <w:rsid w:val="00403FA8"/>
    <w:rsid w:val="00404213"/>
    <w:rsid w:val="004048AC"/>
    <w:rsid w:val="00404B8E"/>
    <w:rsid w:val="00404E76"/>
    <w:rsid w:val="004068C2"/>
    <w:rsid w:val="00412327"/>
    <w:rsid w:val="00414123"/>
    <w:rsid w:val="00415C1B"/>
    <w:rsid w:val="00415E7F"/>
    <w:rsid w:val="00416375"/>
    <w:rsid w:val="0041708E"/>
    <w:rsid w:val="00420131"/>
    <w:rsid w:val="00420288"/>
    <w:rsid w:val="00421428"/>
    <w:rsid w:val="00421C78"/>
    <w:rsid w:val="004224CE"/>
    <w:rsid w:val="004254DB"/>
    <w:rsid w:val="00427EEA"/>
    <w:rsid w:val="00431836"/>
    <w:rsid w:val="00431F4D"/>
    <w:rsid w:val="0043278E"/>
    <w:rsid w:val="004327BF"/>
    <w:rsid w:val="004329CE"/>
    <w:rsid w:val="0043409C"/>
    <w:rsid w:val="00434C93"/>
    <w:rsid w:val="00435235"/>
    <w:rsid w:val="004360A7"/>
    <w:rsid w:val="004360AC"/>
    <w:rsid w:val="0043618F"/>
    <w:rsid w:val="00436B83"/>
    <w:rsid w:val="00441061"/>
    <w:rsid w:val="00443E41"/>
    <w:rsid w:val="00444949"/>
    <w:rsid w:val="00446BD1"/>
    <w:rsid w:val="00450C70"/>
    <w:rsid w:val="00453344"/>
    <w:rsid w:val="00454E76"/>
    <w:rsid w:val="00455320"/>
    <w:rsid w:val="00455574"/>
    <w:rsid w:val="004561D8"/>
    <w:rsid w:val="00456C5C"/>
    <w:rsid w:val="00457080"/>
    <w:rsid w:val="00460891"/>
    <w:rsid w:val="00460EBC"/>
    <w:rsid w:val="0046117D"/>
    <w:rsid w:val="004611F1"/>
    <w:rsid w:val="00462CF5"/>
    <w:rsid w:val="00462D52"/>
    <w:rsid w:val="00462DCA"/>
    <w:rsid w:val="00462F9D"/>
    <w:rsid w:val="00463B10"/>
    <w:rsid w:val="00464FB2"/>
    <w:rsid w:val="00465CF3"/>
    <w:rsid w:val="0046745E"/>
    <w:rsid w:val="00467E76"/>
    <w:rsid w:val="00470E01"/>
    <w:rsid w:val="00473222"/>
    <w:rsid w:val="004736BE"/>
    <w:rsid w:val="004741ED"/>
    <w:rsid w:val="004754DA"/>
    <w:rsid w:val="0047556D"/>
    <w:rsid w:val="00475789"/>
    <w:rsid w:val="00475A30"/>
    <w:rsid w:val="004760F6"/>
    <w:rsid w:val="00476170"/>
    <w:rsid w:val="004761BD"/>
    <w:rsid w:val="00477733"/>
    <w:rsid w:val="004820B0"/>
    <w:rsid w:val="00482E2F"/>
    <w:rsid w:val="004859B4"/>
    <w:rsid w:val="00485D29"/>
    <w:rsid w:val="00486ACD"/>
    <w:rsid w:val="0048727C"/>
    <w:rsid w:val="00490482"/>
    <w:rsid w:val="00492C65"/>
    <w:rsid w:val="0049403F"/>
    <w:rsid w:val="00494349"/>
    <w:rsid w:val="00494BF1"/>
    <w:rsid w:val="00497E0F"/>
    <w:rsid w:val="004A07BF"/>
    <w:rsid w:val="004A0F27"/>
    <w:rsid w:val="004A0F37"/>
    <w:rsid w:val="004A0F68"/>
    <w:rsid w:val="004A3608"/>
    <w:rsid w:val="004A4FBD"/>
    <w:rsid w:val="004A564B"/>
    <w:rsid w:val="004A6A3D"/>
    <w:rsid w:val="004A7810"/>
    <w:rsid w:val="004A7E93"/>
    <w:rsid w:val="004B06BE"/>
    <w:rsid w:val="004B3CFB"/>
    <w:rsid w:val="004B4699"/>
    <w:rsid w:val="004B5D6B"/>
    <w:rsid w:val="004B76F8"/>
    <w:rsid w:val="004B7950"/>
    <w:rsid w:val="004B7B6A"/>
    <w:rsid w:val="004C09C8"/>
    <w:rsid w:val="004C1BFB"/>
    <w:rsid w:val="004C1FA6"/>
    <w:rsid w:val="004C5CFD"/>
    <w:rsid w:val="004C717F"/>
    <w:rsid w:val="004D12C0"/>
    <w:rsid w:val="004D1C78"/>
    <w:rsid w:val="004D3713"/>
    <w:rsid w:val="004D4C83"/>
    <w:rsid w:val="004D5F0A"/>
    <w:rsid w:val="004D6B18"/>
    <w:rsid w:val="004D76AC"/>
    <w:rsid w:val="004D7E99"/>
    <w:rsid w:val="004E24D8"/>
    <w:rsid w:val="004E2BDB"/>
    <w:rsid w:val="004E3BB2"/>
    <w:rsid w:val="004F044C"/>
    <w:rsid w:val="004F1070"/>
    <w:rsid w:val="004F1988"/>
    <w:rsid w:val="004F2782"/>
    <w:rsid w:val="004F4B82"/>
    <w:rsid w:val="004F594F"/>
    <w:rsid w:val="004F681D"/>
    <w:rsid w:val="004F6990"/>
    <w:rsid w:val="004F714F"/>
    <w:rsid w:val="005005C1"/>
    <w:rsid w:val="0050170D"/>
    <w:rsid w:val="00501E43"/>
    <w:rsid w:val="00502857"/>
    <w:rsid w:val="005044A9"/>
    <w:rsid w:val="005045A0"/>
    <w:rsid w:val="00505994"/>
    <w:rsid w:val="00505FD4"/>
    <w:rsid w:val="00506E25"/>
    <w:rsid w:val="00507D96"/>
    <w:rsid w:val="00507DDD"/>
    <w:rsid w:val="0051039E"/>
    <w:rsid w:val="0051132C"/>
    <w:rsid w:val="00513483"/>
    <w:rsid w:val="00513557"/>
    <w:rsid w:val="00514337"/>
    <w:rsid w:val="00514552"/>
    <w:rsid w:val="00514A55"/>
    <w:rsid w:val="00514EF5"/>
    <w:rsid w:val="0051782D"/>
    <w:rsid w:val="00517C7E"/>
    <w:rsid w:val="00521CE0"/>
    <w:rsid w:val="0052242B"/>
    <w:rsid w:val="0052315E"/>
    <w:rsid w:val="0052416E"/>
    <w:rsid w:val="005241DA"/>
    <w:rsid w:val="0052463A"/>
    <w:rsid w:val="00524BF3"/>
    <w:rsid w:val="00526552"/>
    <w:rsid w:val="00526BDD"/>
    <w:rsid w:val="00530ED3"/>
    <w:rsid w:val="00532152"/>
    <w:rsid w:val="00532502"/>
    <w:rsid w:val="00533CCA"/>
    <w:rsid w:val="0053438E"/>
    <w:rsid w:val="00534BB9"/>
    <w:rsid w:val="005355EE"/>
    <w:rsid w:val="00535B16"/>
    <w:rsid w:val="005366D0"/>
    <w:rsid w:val="00537515"/>
    <w:rsid w:val="00537D83"/>
    <w:rsid w:val="00537E27"/>
    <w:rsid w:val="00540B4D"/>
    <w:rsid w:val="00540FFA"/>
    <w:rsid w:val="00541591"/>
    <w:rsid w:val="00541652"/>
    <w:rsid w:val="00542513"/>
    <w:rsid w:val="00542930"/>
    <w:rsid w:val="005435B3"/>
    <w:rsid w:val="0054403B"/>
    <w:rsid w:val="00544AE0"/>
    <w:rsid w:val="00544BD3"/>
    <w:rsid w:val="00544D23"/>
    <w:rsid w:val="00544DBB"/>
    <w:rsid w:val="005472AD"/>
    <w:rsid w:val="005472E9"/>
    <w:rsid w:val="00547F20"/>
    <w:rsid w:val="005500B2"/>
    <w:rsid w:val="00550849"/>
    <w:rsid w:val="005525A1"/>
    <w:rsid w:val="005533AA"/>
    <w:rsid w:val="005541E3"/>
    <w:rsid w:val="00554736"/>
    <w:rsid w:val="005548D9"/>
    <w:rsid w:val="00554BF3"/>
    <w:rsid w:val="0055586B"/>
    <w:rsid w:val="0055655F"/>
    <w:rsid w:val="0055657D"/>
    <w:rsid w:val="00560B47"/>
    <w:rsid w:val="00560D0D"/>
    <w:rsid w:val="00560E26"/>
    <w:rsid w:val="005632DE"/>
    <w:rsid w:val="00564952"/>
    <w:rsid w:val="005652D2"/>
    <w:rsid w:val="00565FB1"/>
    <w:rsid w:val="005662ED"/>
    <w:rsid w:val="005662FB"/>
    <w:rsid w:val="00566D5D"/>
    <w:rsid w:val="00567781"/>
    <w:rsid w:val="00567ECC"/>
    <w:rsid w:val="00567FF4"/>
    <w:rsid w:val="005713B1"/>
    <w:rsid w:val="005734FD"/>
    <w:rsid w:val="00574DF4"/>
    <w:rsid w:val="00575345"/>
    <w:rsid w:val="005759C5"/>
    <w:rsid w:val="00576355"/>
    <w:rsid w:val="00577707"/>
    <w:rsid w:val="005777DC"/>
    <w:rsid w:val="00580687"/>
    <w:rsid w:val="005828A6"/>
    <w:rsid w:val="00583090"/>
    <w:rsid w:val="00583492"/>
    <w:rsid w:val="005835F4"/>
    <w:rsid w:val="00583B06"/>
    <w:rsid w:val="00583EFE"/>
    <w:rsid w:val="005841A3"/>
    <w:rsid w:val="00584CBB"/>
    <w:rsid w:val="00587F28"/>
    <w:rsid w:val="00590EAE"/>
    <w:rsid w:val="0059112A"/>
    <w:rsid w:val="00591B1D"/>
    <w:rsid w:val="005929A9"/>
    <w:rsid w:val="00593216"/>
    <w:rsid w:val="005937BA"/>
    <w:rsid w:val="00593CB4"/>
    <w:rsid w:val="00594BC3"/>
    <w:rsid w:val="00596CA7"/>
    <w:rsid w:val="00596DC8"/>
    <w:rsid w:val="00596E16"/>
    <w:rsid w:val="00596FE9"/>
    <w:rsid w:val="005A16A3"/>
    <w:rsid w:val="005A253A"/>
    <w:rsid w:val="005A2F07"/>
    <w:rsid w:val="005A351B"/>
    <w:rsid w:val="005A352D"/>
    <w:rsid w:val="005A5859"/>
    <w:rsid w:val="005A59F7"/>
    <w:rsid w:val="005A6461"/>
    <w:rsid w:val="005B236D"/>
    <w:rsid w:val="005B4421"/>
    <w:rsid w:val="005B4A37"/>
    <w:rsid w:val="005B5EFC"/>
    <w:rsid w:val="005B7929"/>
    <w:rsid w:val="005B7DA6"/>
    <w:rsid w:val="005C0338"/>
    <w:rsid w:val="005C12B2"/>
    <w:rsid w:val="005C20D0"/>
    <w:rsid w:val="005C25D1"/>
    <w:rsid w:val="005C2B84"/>
    <w:rsid w:val="005C322F"/>
    <w:rsid w:val="005C3408"/>
    <w:rsid w:val="005C464B"/>
    <w:rsid w:val="005C4941"/>
    <w:rsid w:val="005C54A1"/>
    <w:rsid w:val="005C5C31"/>
    <w:rsid w:val="005C6446"/>
    <w:rsid w:val="005C74A0"/>
    <w:rsid w:val="005D0472"/>
    <w:rsid w:val="005D052C"/>
    <w:rsid w:val="005D0CE8"/>
    <w:rsid w:val="005D0E98"/>
    <w:rsid w:val="005D16FE"/>
    <w:rsid w:val="005D2EE1"/>
    <w:rsid w:val="005D4084"/>
    <w:rsid w:val="005D4777"/>
    <w:rsid w:val="005D48CF"/>
    <w:rsid w:val="005D4C2B"/>
    <w:rsid w:val="005D5B2A"/>
    <w:rsid w:val="005D5DF3"/>
    <w:rsid w:val="005E0A23"/>
    <w:rsid w:val="005E0DC7"/>
    <w:rsid w:val="005E2B5F"/>
    <w:rsid w:val="005E4A10"/>
    <w:rsid w:val="005E4D24"/>
    <w:rsid w:val="005E5818"/>
    <w:rsid w:val="005E7953"/>
    <w:rsid w:val="005E7E82"/>
    <w:rsid w:val="005F0E1C"/>
    <w:rsid w:val="005F50D7"/>
    <w:rsid w:val="005F6C28"/>
    <w:rsid w:val="005F7AB6"/>
    <w:rsid w:val="005F7E3C"/>
    <w:rsid w:val="00600FA8"/>
    <w:rsid w:val="006012EC"/>
    <w:rsid w:val="00602B40"/>
    <w:rsid w:val="00605013"/>
    <w:rsid w:val="006063DA"/>
    <w:rsid w:val="00606561"/>
    <w:rsid w:val="00606CE3"/>
    <w:rsid w:val="00607514"/>
    <w:rsid w:val="00610DF8"/>
    <w:rsid w:val="00610E49"/>
    <w:rsid w:val="006111F0"/>
    <w:rsid w:val="00611454"/>
    <w:rsid w:val="00611DD3"/>
    <w:rsid w:val="00611EF0"/>
    <w:rsid w:val="00611FD7"/>
    <w:rsid w:val="00612219"/>
    <w:rsid w:val="00612E04"/>
    <w:rsid w:val="00614DCC"/>
    <w:rsid w:val="00615CDB"/>
    <w:rsid w:val="0061683B"/>
    <w:rsid w:val="0061714D"/>
    <w:rsid w:val="006173A4"/>
    <w:rsid w:val="0061753B"/>
    <w:rsid w:val="00617558"/>
    <w:rsid w:val="006179B8"/>
    <w:rsid w:val="00617C44"/>
    <w:rsid w:val="006234A7"/>
    <w:rsid w:val="00623B0B"/>
    <w:rsid w:val="00623B76"/>
    <w:rsid w:val="00623C3D"/>
    <w:rsid w:val="00625917"/>
    <w:rsid w:val="00625A5D"/>
    <w:rsid w:val="0062789F"/>
    <w:rsid w:val="0063096E"/>
    <w:rsid w:val="006328DB"/>
    <w:rsid w:val="00632A57"/>
    <w:rsid w:val="00633349"/>
    <w:rsid w:val="00633470"/>
    <w:rsid w:val="0063360B"/>
    <w:rsid w:val="00633D61"/>
    <w:rsid w:val="0063402B"/>
    <w:rsid w:val="006347DF"/>
    <w:rsid w:val="00634DEC"/>
    <w:rsid w:val="00635CEE"/>
    <w:rsid w:val="00636570"/>
    <w:rsid w:val="00637901"/>
    <w:rsid w:val="00637E1B"/>
    <w:rsid w:val="006402DF"/>
    <w:rsid w:val="006406F1"/>
    <w:rsid w:val="00640CE2"/>
    <w:rsid w:val="0064164B"/>
    <w:rsid w:val="0064239C"/>
    <w:rsid w:val="00642F20"/>
    <w:rsid w:val="00643994"/>
    <w:rsid w:val="00644468"/>
    <w:rsid w:val="00644E02"/>
    <w:rsid w:val="00645F5E"/>
    <w:rsid w:val="00646386"/>
    <w:rsid w:val="0064742C"/>
    <w:rsid w:val="00647B1E"/>
    <w:rsid w:val="00647C55"/>
    <w:rsid w:val="0065008B"/>
    <w:rsid w:val="006513E1"/>
    <w:rsid w:val="00651427"/>
    <w:rsid w:val="00652A63"/>
    <w:rsid w:val="00653A3B"/>
    <w:rsid w:val="00653FD9"/>
    <w:rsid w:val="00655315"/>
    <w:rsid w:val="0065598A"/>
    <w:rsid w:val="00656108"/>
    <w:rsid w:val="0065626D"/>
    <w:rsid w:val="00656328"/>
    <w:rsid w:val="00656CA9"/>
    <w:rsid w:val="00660279"/>
    <w:rsid w:val="006608B1"/>
    <w:rsid w:val="006622B9"/>
    <w:rsid w:val="00663614"/>
    <w:rsid w:val="0066371E"/>
    <w:rsid w:val="00664CE7"/>
    <w:rsid w:val="00667322"/>
    <w:rsid w:val="00667358"/>
    <w:rsid w:val="00670B9C"/>
    <w:rsid w:val="006712A4"/>
    <w:rsid w:val="00671403"/>
    <w:rsid w:val="006723BF"/>
    <w:rsid w:val="006724AD"/>
    <w:rsid w:val="0067314A"/>
    <w:rsid w:val="00673166"/>
    <w:rsid w:val="00673D1E"/>
    <w:rsid w:val="0067529F"/>
    <w:rsid w:val="0067559C"/>
    <w:rsid w:val="00677A8F"/>
    <w:rsid w:val="00677F8A"/>
    <w:rsid w:val="006817A6"/>
    <w:rsid w:val="0068201A"/>
    <w:rsid w:val="006821E3"/>
    <w:rsid w:val="00682816"/>
    <w:rsid w:val="00682D31"/>
    <w:rsid w:val="00683AD6"/>
    <w:rsid w:val="006842AE"/>
    <w:rsid w:val="00684653"/>
    <w:rsid w:val="00684F67"/>
    <w:rsid w:val="006906EF"/>
    <w:rsid w:val="006907DD"/>
    <w:rsid w:val="0069097D"/>
    <w:rsid w:val="00693074"/>
    <w:rsid w:val="00693087"/>
    <w:rsid w:val="00694063"/>
    <w:rsid w:val="006A05FD"/>
    <w:rsid w:val="006A302B"/>
    <w:rsid w:val="006A375D"/>
    <w:rsid w:val="006A425D"/>
    <w:rsid w:val="006A48C4"/>
    <w:rsid w:val="006A5024"/>
    <w:rsid w:val="006A505E"/>
    <w:rsid w:val="006A5773"/>
    <w:rsid w:val="006A5804"/>
    <w:rsid w:val="006A58F0"/>
    <w:rsid w:val="006A752A"/>
    <w:rsid w:val="006B0372"/>
    <w:rsid w:val="006B0764"/>
    <w:rsid w:val="006B28B9"/>
    <w:rsid w:val="006B34DD"/>
    <w:rsid w:val="006B3582"/>
    <w:rsid w:val="006B360F"/>
    <w:rsid w:val="006B4467"/>
    <w:rsid w:val="006B611B"/>
    <w:rsid w:val="006B6C46"/>
    <w:rsid w:val="006B6E78"/>
    <w:rsid w:val="006B7670"/>
    <w:rsid w:val="006C0039"/>
    <w:rsid w:val="006C04D3"/>
    <w:rsid w:val="006C09A3"/>
    <w:rsid w:val="006C1645"/>
    <w:rsid w:val="006C1ACB"/>
    <w:rsid w:val="006C1ADE"/>
    <w:rsid w:val="006C2585"/>
    <w:rsid w:val="006C4008"/>
    <w:rsid w:val="006C46B7"/>
    <w:rsid w:val="006C5931"/>
    <w:rsid w:val="006C6D6F"/>
    <w:rsid w:val="006C73EF"/>
    <w:rsid w:val="006C7EB9"/>
    <w:rsid w:val="006C7ED9"/>
    <w:rsid w:val="006D0CE6"/>
    <w:rsid w:val="006D1723"/>
    <w:rsid w:val="006D1977"/>
    <w:rsid w:val="006D2266"/>
    <w:rsid w:val="006D29EE"/>
    <w:rsid w:val="006D3BE1"/>
    <w:rsid w:val="006D4FA3"/>
    <w:rsid w:val="006D57E1"/>
    <w:rsid w:val="006D5D3F"/>
    <w:rsid w:val="006D60ED"/>
    <w:rsid w:val="006E03F9"/>
    <w:rsid w:val="006E1166"/>
    <w:rsid w:val="006E13DA"/>
    <w:rsid w:val="006E3EF6"/>
    <w:rsid w:val="006E4508"/>
    <w:rsid w:val="006E596E"/>
    <w:rsid w:val="006E6B06"/>
    <w:rsid w:val="006F033F"/>
    <w:rsid w:val="006F09C9"/>
    <w:rsid w:val="006F0A3E"/>
    <w:rsid w:val="006F33B8"/>
    <w:rsid w:val="006F4C9C"/>
    <w:rsid w:val="006F54E0"/>
    <w:rsid w:val="006F640F"/>
    <w:rsid w:val="006F67A4"/>
    <w:rsid w:val="006F6848"/>
    <w:rsid w:val="006F762A"/>
    <w:rsid w:val="006F7C07"/>
    <w:rsid w:val="00701B6B"/>
    <w:rsid w:val="0070257C"/>
    <w:rsid w:val="0070384F"/>
    <w:rsid w:val="00703A9E"/>
    <w:rsid w:val="00703D6D"/>
    <w:rsid w:val="00704152"/>
    <w:rsid w:val="00704FB5"/>
    <w:rsid w:val="007053E2"/>
    <w:rsid w:val="00705BC3"/>
    <w:rsid w:val="0070670B"/>
    <w:rsid w:val="00706B71"/>
    <w:rsid w:val="00707B9D"/>
    <w:rsid w:val="00712ECF"/>
    <w:rsid w:val="007130AA"/>
    <w:rsid w:val="00713493"/>
    <w:rsid w:val="00713494"/>
    <w:rsid w:val="00714031"/>
    <w:rsid w:val="0071466E"/>
    <w:rsid w:val="00714A6C"/>
    <w:rsid w:val="00714CD3"/>
    <w:rsid w:val="00716EDC"/>
    <w:rsid w:val="007206A8"/>
    <w:rsid w:val="0072116D"/>
    <w:rsid w:val="007215F9"/>
    <w:rsid w:val="00721873"/>
    <w:rsid w:val="00723283"/>
    <w:rsid w:val="007236DD"/>
    <w:rsid w:val="00723F27"/>
    <w:rsid w:val="00724049"/>
    <w:rsid w:val="0072499A"/>
    <w:rsid w:val="00725B78"/>
    <w:rsid w:val="00726AB0"/>
    <w:rsid w:val="00726D8B"/>
    <w:rsid w:val="00727000"/>
    <w:rsid w:val="00727082"/>
    <w:rsid w:val="00727621"/>
    <w:rsid w:val="007312D8"/>
    <w:rsid w:val="007317F0"/>
    <w:rsid w:val="00731977"/>
    <w:rsid w:val="0073233C"/>
    <w:rsid w:val="00732488"/>
    <w:rsid w:val="00732D0C"/>
    <w:rsid w:val="00733EAD"/>
    <w:rsid w:val="0073463A"/>
    <w:rsid w:val="00734820"/>
    <w:rsid w:val="00734F54"/>
    <w:rsid w:val="007362C0"/>
    <w:rsid w:val="0073657B"/>
    <w:rsid w:val="0073761E"/>
    <w:rsid w:val="00737F3A"/>
    <w:rsid w:val="00740C49"/>
    <w:rsid w:val="00740F12"/>
    <w:rsid w:val="00742C9B"/>
    <w:rsid w:val="00743B20"/>
    <w:rsid w:val="00744110"/>
    <w:rsid w:val="007442F3"/>
    <w:rsid w:val="00744595"/>
    <w:rsid w:val="007477EE"/>
    <w:rsid w:val="00747A52"/>
    <w:rsid w:val="00747EC8"/>
    <w:rsid w:val="00747EDA"/>
    <w:rsid w:val="00751C12"/>
    <w:rsid w:val="00751E6F"/>
    <w:rsid w:val="007524C3"/>
    <w:rsid w:val="00752691"/>
    <w:rsid w:val="007528F2"/>
    <w:rsid w:val="00755E04"/>
    <w:rsid w:val="00756F56"/>
    <w:rsid w:val="00757C3A"/>
    <w:rsid w:val="007613E6"/>
    <w:rsid w:val="007616AD"/>
    <w:rsid w:val="0076182F"/>
    <w:rsid w:val="00762D9F"/>
    <w:rsid w:val="00763700"/>
    <w:rsid w:val="0076427C"/>
    <w:rsid w:val="00765217"/>
    <w:rsid w:val="007659AA"/>
    <w:rsid w:val="00765A38"/>
    <w:rsid w:val="00766CDC"/>
    <w:rsid w:val="0077266C"/>
    <w:rsid w:val="00772AB0"/>
    <w:rsid w:val="0077395A"/>
    <w:rsid w:val="00775066"/>
    <w:rsid w:val="007758DC"/>
    <w:rsid w:val="00776406"/>
    <w:rsid w:val="0078005A"/>
    <w:rsid w:val="00780E96"/>
    <w:rsid w:val="00781B49"/>
    <w:rsid w:val="00781B6F"/>
    <w:rsid w:val="00781F9C"/>
    <w:rsid w:val="00782370"/>
    <w:rsid w:val="00782DFD"/>
    <w:rsid w:val="00783089"/>
    <w:rsid w:val="00785474"/>
    <w:rsid w:val="007861AC"/>
    <w:rsid w:val="007877A7"/>
    <w:rsid w:val="00787B99"/>
    <w:rsid w:val="00790C17"/>
    <w:rsid w:val="0079421C"/>
    <w:rsid w:val="00794D6C"/>
    <w:rsid w:val="0079526D"/>
    <w:rsid w:val="00795A2C"/>
    <w:rsid w:val="00797390"/>
    <w:rsid w:val="007A05B6"/>
    <w:rsid w:val="007A0B67"/>
    <w:rsid w:val="007A1901"/>
    <w:rsid w:val="007A1C0A"/>
    <w:rsid w:val="007A1C59"/>
    <w:rsid w:val="007A2D99"/>
    <w:rsid w:val="007A3A86"/>
    <w:rsid w:val="007A5AD0"/>
    <w:rsid w:val="007A5B41"/>
    <w:rsid w:val="007A760B"/>
    <w:rsid w:val="007B0BE5"/>
    <w:rsid w:val="007B2694"/>
    <w:rsid w:val="007B3D71"/>
    <w:rsid w:val="007B42E4"/>
    <w:rsid w:val="007B4863"/>
    <w:rsid w:val="007B5814"/>
    <w:rsid w:val="007C0B66"/>
    <w:rsid w:val="007C19D9"/>
    <w:rsid w:val="007C29CA"/>
    <w:rsid w:val="007C29D6"/>
    <w:rsid w:val="007C2B14"/>
    <w:rsid w:val="007C31E2"/>
    <w:rsid w:val="007C3637"/>
    <w:rsid w:val="007C36DF"/>
    <w:rsid w:val="007C3D63"/>
    <w:rsid w:val="007C4A97"/>
    <w:rsid w:val="007C5CE1"/>
    <w:rsid w:val="007C5EA2"/>
    <w:rsid w:val="007C6D87"/>
    <w:rsid w:val="007C6F85"/>
    <w:rsid w:val="007D16B1"/>
    <w:rsid w:val="007D19E4"/>
    <w:rsid w:val="007D2D09"/>
    <w:rsid w:val="007D3166"/>
    <w:rsid w:val="007D32C9"/>
    <w:rsid w:val="007D5DA8"/>
    <w:rsid w:val="007D6FFA"/>
    <w:rsid w:val="007D7400"/>
    <w:rsid w:val="007D7761"/>
    <w:rsid w:val="007D79FF"/>
    <w:rsid w:val="007E02A7"/>
    <w:rsid w:val="007E0816"/>
    <w:rsid w:val="007E2286"/>
    <w:rsid w:val="007E283A"/>
    <w:rsid w:val="007E3D44"/>
    <w:rsid w:val="007E468A"/>
    <w:rsid w:val="007E6045"/>
    <w:rsid w:val="007E6708"/>
    <w:rsid w:val="007E7F4C"/>
    <w:rsid w:val="007F0B0A"/>
    <w:rsid w:val="007F2F7A"/>
    <w:rsid w:val="007F3018"/>
    <w:rsid w:val="007F6AEF"/>
    <w:rsid w:val="007F7106"/>
    <w:rsid w:val="0080080F"/>
    <w:rsid w:val="008018B7"/>
    <w:rsid w:val="008024C8"/>
    <w:rsid w:val="0080277A"/>
    <w:rsid w:val="0080487C"/>
    <w:rsid w:val="00805D8C"/>
    <w:rsid w:val="008060C3"/>
    <w:rsid w:val="008061F4"/>
    <w:rsid w:val="008063A1"/>
    <w:rsid w:val="008069C5"/>
    <w:rsid w:val="00807860"/>
    <w:rsid w:val="00807F00"/>
    <w:rsid w:val="008115B2"/>
    <w:rsid w:val="00812DCF"/>
    <w:rsid w:val="008134BD"/>
    <w:rsid w:val="008142FD"/>
    <w:rsid w:val="00814656"/>
    <w:rsid w:val="008169FD"/>
    <w:rsid w:val="008205F6"/>
    <w:rsid w:val="008206D0"/>
    <w:rsid w:val="008207B1"/>
    <w:rsid w:val="00820E45"/>
    <w:rsid w:val="00820FD4"/>
    <w:rsid w:val="00821E2C"/>
    <w:rsid w:val="00822835"/>
    <w:rsid w:val="00822C97"/>
    <w:rsid w:val="00824A49"/>
    <w:rsid w:val="00824B93"/>
    <w:rsid w:val="00826758"/>
    <w:rsid w:val="0083136C"/>
    <w:rsid w:val="00833F75"/>
    <w:rsid w:val="008353E0"/>
    <w:rsid w:val="00835526"/>
    <w:rsid w:val="0083615D"/>
    <w:rsid w:val="008364CA"/>
    <w:rsid w:val="008365F0"/>
    <w:rsid w:val="008373AC"/>
    <w:rsid w:val="00840D2E"/>
    <w:rsid w:val="0084124B"/>
    <w:rsid w:val="00841534"/>
    <w:rsid w:val="00842773"/>
    <w:rsid w:val="00843BBB"/>
    <w:rsid w:val="00843CAB"/>
    <w:rsid w:val="00844E5A"/>
    <w:rsid w:val="008462F1"/>
    <w:rsid w:val="00850FDE"/>
    <w:rsid w:val="00852876"/>
    <w:rsid w:val="00852FEC"/>
    <w:rsid w:val="00853479"/>
    <w:rsid w:val="00853521"/>
    <w:rsid w:val="008543F5"/>
    <w:rsid w:val="008548F3"/>
    <w:rsid w:val="0085595E"/>
    <w:rsid w:val="008572C4"/>
    <w:rsid w:val="0085733E"/>
    <w:rsid w:val="008604A8"/>
    <w:rsid w:val="008609FC"/>
    <w:rsid w:val="0086151C"/>
    <w:rsid w:val="00861ABB"/>
    <w:rsid w:val="00861AFA"/>
    <w:rsid w:val="00862314"/>
    <w:rsid w:val="00863C61"/>
    <w:rsid w:val="00865522"/>
    <w:rsid w:val="00865ADF"/>
    <w:rsid w:val="0086644C"/>
    <w:rsid w:val="008666B5"/>
    <w:rsid w:val="008666CD"/>
    <w:rsid w:val="008703B3"/>
    <w:rsid w:val="00871113"/>
    <w:rsid w:val="008721B3"/>
    <w:rsid w:val="0087264A"/>
    <w:rsid w:val="00876985"/>
    <w:rsid w:val="00876DE7"/>
    <w:rsid w:val="00876E57"/>
    <w:rsid w:val="00877097"/>
    <w:rsid w:val="00880FDD"/>
    <w:rsid w:val="00882E42"/>
    <w:rsid w:val="00883780"/>
    <w:rsid w:val="00883B99"/>
    <w:rsid w:val="00885066"/>
    <w:rsid w:val="0088507B"/>
    <w:rsid w:val="00885FA4"/>
    <w:rsid w:val="008863F7"/>
    <w:rsid w:val="0088665E"/>
    <w:rsid w:val="00887E8D"/>
    <w:rsid w:val="00891788"/>
    <w:rsid w:val="00891984"/>
    <w:rsid w:val="008923C8"/>
    <w:rsid w:val="00892B22"/>
    <w:rsid w:val="00892DF9"/>
    <w:rsid w:val="00893260"/>
    <w:rsid w:val="008932A8"/>
    <w:rsid w:val="00893F30"/>
    <w:rsid w:val="00893F53"/>
    <w:rsid w:val="008947C3"/>
    <w:rsid w:val="00894A9E"/>
    <w:rsid w:val="008950F6"/>
    <w:rsid w:val="00896815"/>
    <w:rsid w:val="0089714E"/>
    <w:rsid w:val="008A0744"/>
    <w:rsid w:val="008A0A6E"/>
    <w:rsid w:val="008A0D0F"/>
    <w:rsid w:val="008A2FB3"/>
    <w:rsid w:val="008A398B"/>
    <w:rsid w:val="008A5264"/>
    <w:rsid w:val="008A5601"/>
    <w:rsid w:val="008A59AD"/>
    <w:rsid w:val="008A7C8C"/>
    <w:rsid w:val="008B0EEB"/>
    <w:rsid w:val="008B2189"/>
    <w:rsid w:val="008B2EF9"/>
    <w:rsid w:val="008B2F2E"/>
    <w:rsid w:val="008B371E"/>
    <w:rsid w:val="008B4A3A"/>
    <w:rsid w:val="008B51FD"/>
    <w:rsid w:val="008B552E"/>
    <w:rsid w:val="008B5CF4"/>
    <w:rsid w:val="008B6B8E"/>
    <w:rsid w:val="008B7E71"/>
    <w:rsid w:val="008C138C"/>
    <w:rsid w:val="008C1939"/>
    <w:rsid w:val="008C1DAF"/>
    <w:rsid w:val="008C3396"/>
    <w:rsid w:val="008C491C"/>
    <w:rsid w:val="008C51DE"/>
    <w:rsid w:val="008C570B"/>
    <w:rsid w:val="008C5A94"/>
    <w:rsid w:val="008C621C"/>
    <w:rsid w:val="008C63E1"/>
    <w:rsid w:val="008C697C"/>
    <w:rsid w:val="008C75D2"/>
    <w:rsid w:val="008C75ED"/>
    <w:rsid w:val="008C7649"/>
    <w:rsid w:val="008D17E7"/>
    <w:rsid w:val="008D2DD2"/>
    <w:rsid w:val="008D4404"/>
    <w:rsid w:val="008D591B"/>
    <w:rsid w:val="008D5F2E"/>
    <w:rsid w:val="008D6363"/>
    <w:rsid w:val="008D638C"/>
    <w:rsid w:val="008D6C8D"/>
    <w:rsid w:val="008D6FD4"/>
    <w:rsid w:val="008E0991"/>
    <w:rsid w:val="008E1A65"/>
    <w:rsid w:val="008E338E"/>
    <w:rsid w:val="008E51F8"/>
    <w:rsid w:val="008E57FE"/>
    <w:rsid w:val="008E7A9D"/>
    <w:rsid w:val="008E7C07"/>
    <w:rsid w:val="008F0A5B"/>
    <w:rsid w:val="008F2665"/>
    <w:rsid w:val="008F3DCD"/>
    <w:rsid w:val="008F3E75"/>
    <w:rsid w:val="008F480D"/>
    <w:rsid w:val="008F6376"/>
    <w:rsid w:val="008F6382"/>
    <w:rsid w:val="008F6C9A"/>
    <w:rsid w:val="00901172"/>
    <w:rsid w:val="009019FB"/>
    <w:rsid w:val="00902DD4"/>
    <w:rsid w:val="009033D1"/>
    <w:rsid w:val="00905B05"/>
    <w:rsid w:val="009061B2"/>
    <w:rsid w:val="0090753C"/>
    <w:rsid w:val="00910364"/>
    <w:rsid w:val="009114BD"/>
    <w:rsid w:val="009114EB"/>
    <w:rsid w:val="0091183E"/>
    <w:rsid w:val="00911B66"/>
    <w:rsid w:val="009132EC"/>
    <w:rsid w:val="00915330"/>
    <w:rsid w:val="00916813"/>
    <w:rsid w:val="00916C53"/>
    <w:rsid w:val="00916E69"/>
    <w:rsid w:val="00917525"/>
    <w:rsid w:val="0091777D"/>
    <w:rsid w:val="00917EE7"/>
    <w:rsid w:val="0092057D"/>
    <w:rsid w:val="009216D7"/>
    <w:rsid w:val="009218DE"/>
    <w:rsid w:val="00922D00"/>
    <w:rsid w:val="009234F0"/>
    <w:rsid w:val="00925163"/>
    <w:rsid w:val="009266DA"/>
    <w:rsid w:val="00927CB2"/>
    <w:rsid w:val="00930DE8"/>
    <w:rsid w:val="009310B3"/>
    <w:rsid w:val="009318DD"/>
    <w:rsid w:val="00932162"/>
    <w:rsid w:val="0093279C"/>
    <w:rsid w:val="00932F52"/>
    <w:rsid w:val="00933034"/>
    <w:rsid w:val="009352B1"/>
    <w:rsid w:val="00935413"/>
    <w:rsid w:val="00935F5D"/>
    <w:rsid w:val="009368E0"/>
    <w:rsid w:val="009404FC"/>
    <w:rsid w:val="00941834"/>
    <w:rsid w:val="00941D63"/>
    <w:rsid w:val="0094260B"/>
    <w:rsid w:val="00942661"/>
    <w:rsid w:val="00943C7B"/>
    <w:rsid w:val="00944AAE"/>
    <w:rsid w:val="00945307"/>
    <w:rsid w:val="00945518"/>
    <w:rsid w:val="0094554B"/>
    <w:rsid w:val="0094558D"/>
    <w:rsid w:val="00946AFD"/>
    <w:rsid w:val="00946FCE"/>
    <w:rsid w:val="00947452"/>
    <w:rsid w:val="00947EA1"/>
    <w:rsid w:val="009514AC"/>
    <w:rsid w:val="009515BC"/>
    <w:rsid w:val="00953ED0"/>
    <w:rsid w:val="0095492E"/>
    <w:rsid w:val="0095498A"/>
    <w:rsid w:val="00954CF9"/>
    <w:rsid w:val="00954D93"/>
    <w:rsid w:val="00955546"/>
    <w:rsid w:val="00955F7D"/>
    <w:rsid w:val="00956F7F"/>
    <w:rsid w:val="00957ACF"/>
    <w:rsid w:val="00960F92"/>
    <w:rsid w:val="0096242F"/>
    <w:rsid w:val="00962FF5"/>
    <w:rsid w:val="00964312"/>
    <w:rsid w:val="00964A4E"/>
    <w:rsid w:val="009659EE"/>
    <w:rsid w:val="00965A83"/>
    <w:rsid w:val="00965B02"/>
    <w:rsid w:val="00965C07"/>
    <w:rsid w:val="00967957"/>
    <w:rsid w:val="00970B31"/>
    <w:rsid w:val="00970B47"/>
    <w:rsid w:val="0097108B"/>
    <w:rsid w:val="009713A0"/>
    <w:rsid w:val="00971847"/>
    <w:rsid w:val="00972964"/>
    <w:rsid w:val="00973140"/>
    <w:rsid w:val="00973EC8"/>
    <w:rsid w:val="00973EF7"/>
    <w:rsid w:val="00974034"/>
    <w:rsid w:val="00975DC8"/>
    <w:rsid w:val="009766CA"/>
    <w:rsid w:val="0097762F"/>
    <w:rsid w:val="009778EA"/>
    <w:rsid w:val="00977C1A"/>
    <w:rsid w:val="00980956"/>
    <w:rsid w:val="00981492"/>
    <w:rsid w:val="009816B8"/>
    <w:rsid w:val="0098184F"/>
    <w:rsid w:val="00982041"/>
    <w:rsid w:val="00982285"/>
    <w:rsid w:val="00982EE8"/>
    <w:rsid w:val="00983600"/>
    <w:rsid w:val="009849EA"/>
    <w:rsid w:val="0098766F"/>
    <w:rsid w:val="00991B35"/>
    <w:rsid w:val="0099339A"/>
    <w:rsid w:val="00993912"/>
    <w:rsid w:val="00994050"/>
    <w:rsid w:val="009940A7"/>
    <w:rsid w:val="009942BE"/>
    <w:rsid w:val="0099526D"/>
    <w:rsid w:val="00995691"/>
    <w:rsid w:val="009962CF"/>
    <w:rsid w:val="00996741"/>
    <w:rsid w:val="009A1C01"/>
    <w:rsid w:val="009A240B"/>
    <w:rsid w:val="009A262B"/>
    <w:rsid w:val="009A2886"/>
    <w:rsid w:val="009A3458"/>
    <w:rsid w:val="009A5233"/>
    <w:rsid w:val="009A595C"/>
    <w:rsid w:val="009A59D5"/>
    <w:rsid w:val="009A5DB1"/>
    <w:rsid w:val="009A6DFD"/>
    <w:rsid w:val="009A7C5A"/>
    <w:rsid w:val="009A7E51"/>
    <w:rsid w:val="009B1055"/>
    <w:rsid w:val="009B21B9"/>
    <w:rsid w:val="009B2464"/>
    <w:rsid w:val="009B4CD0"/>
    <w:rsid w:val="009B58EF"/>
    <w:rsid w:val="009B5B5B"/>
    <w:rsid w:val="009B670C"/>
    <w:rsid w:val="009B67AD"/>
    <w:rsid w:val="009B7683"/>
    <w:rsid w:val="009C0511"/>
    <w:rsid w:val="009C1548"/>
    <w:rsid w:val="009C21C6"/>
    <w:rsid w:val="009C21E3"/>
    <w:rsid w:val="009C2801"/>
    <w:rsid w:val="009C2A9B"/>
    <w:rsid w:val="009C313E"/>
    <w:rsid w:val="009C383B"/>
    <w:rsid w:val="009C3A80"/>
    <w:rsid w:val="009C3AA5"/>
    <w:rsid w:val="009C5238"/>
    <w:rsid w:val="009C5E10"/>
    <w:rsid w:val="009D0836"/>
    <w:rsid w:val="009D12B4"/>
    <w:rsid w:val="009D15B5"/>
    <w:rsid w:val="009D18DF"/>
    <w:rsid w:val="009D2135"/>
    <w:rsid w:val="009D2FA7"/>
    <w:rsid w:val="009D4CAE"/>
    <w:rsid w:val="009D55F9"/>
    <w:rsid w:val="009D5A11"/>
    <w:rsid w:val="009D73B7"/>
    <w:rsid w:val="009D7760"/>
    <w:rsid w:val="009D7B21"/>
    <w:rsid w:val="009E04AB"/>
    <w:rsid w:val="009E16E6"/>
    <w:rsid w:val="009E25E7"/>
    <w:rsid w:val="009E2953"/>
    <w:rsid w:val="009E30CE"/>
    <w:rsid w:val="009E3409"/>
    <w:rsid w:val="009E7338"/>
    <w:rsid w:val="009F04C3"/>
    <w:rsid w:val="009F0545"/>
    <w:rsid w:val="009F0760"/>
    <w:rsid w:val="009F12A8"/>
    <w:rsid w:val="009F1573"/>
    <w:rsid w:val="009F3743"/>
    <w:rsid w:val="009F50D0"/>
    <w:rsid w:val="009F6C61"/>
    <w:rsid w:val="009F79F2"/>
    <w:rsid w:val="00A00057"/>
    <w:rsid w:val="00A00485"/>
    <w:rsid w:val="00A01A5F"/>
    <w:rsid w:val="00A01E56"/>
    <w:rsid w:val="00A02703"/>
    <w:rsid w:val="00A02C96"/>
    <w:rsid w:val="00A02E65"/>
    <w:rsid w:val="00A0317B"/>
    <w:rsid w:val="00A0340A"/>
    <w:rsid w:val="00A0348A"/>
    <w:rsid w:val="00A03A23"/>
    <w:rsid w:val="00A03B54"/>
    <w:rsid w:val="00A04200"/>
    <w:rsid w:val="00A0440C"/>
    <w:rsid w:val="00A04C32"/>
    <w:rsid w:val="00A0585F"/>
    <w:rsid w:val="00A05939"/>
    <w:rsid w:val="00A062BD"/>
    <w:rsid w:val="00A0686B"/>
    <w:rsid w:val="00A0694A"/>
    <w:rsid w:val="00A076AD"/>
    <w:rsid w:val="00A07B8B"/>
    <w:rsid w:val="00A108DD"/>
    <w:rsid w:val="00A10A30"/>
    <w:rsid w:val="00A1137C"/>
    <w:rsid w:val="00A113D7"/>
    <w:rsid w:val="00A11F0F"/>
    <w:rsid w:val="00A12B94"/>
    <w:rsid w:val="00A12D64"/>
    <w:rsid w:val="00A12F67"/>
    <w:rsid w:val="00A13009"/>
    <w:rsid w:val="00A1365F"/>
    <w:rsid w:val="00A14C28"/>
    <w:rsid w:val="00A16126"/>
    <w:rsid w:val="00A16BF1"/>
    <w:rsid w:val="00A177C2"/>
    <w:rsid w:val="00A22225"/>
    <w:rsid w:val="00A22656"/>
    <w:rsid w:val="00A22E06"/>
    <w:rsid w:val="00A24133"/>
    <w:rsid w:val="00A24669"/>
    <w:rsid w:val="00A262BF"/>
    <w:rsid w:val="00A27809"/>
    <w:rsid w:val="00A27C7D"/>
    <w:rsid w:val="00A27CFD"/>
    <w:rsid w:val="00A308EE"/>
    <w:rsid w:val="00A317B0"/>
    <w:rsid w:val="00A32501"/>
    <w:rsid w:val="00A34591"/>
    <w:rsid w:val="00A34E44"/>
    <w:rsid w:val="00A3640F"/>
    <w:rsid w:val="00A36E22"/>
    <w:rsid w:val="00A40395"/>
    <w:rsid w:val="00A40A39"/>
    <w:rsid w:val="00A40CE2"/>
    <w:rsid w:val="00A41F13"/>
    <w:rsid w:val="00A426E3"/>
    <w:rsid w:val="00A47176"/>
    <w:rsid w:val="00A475C5"/>
    <w:rsid w:val="00A4768C"/>
    <w:rsid w:val="00A47B0C"/>
    <w:rsid w:val="00A50A68"/>
    <w:rsid w:val="00A50D3B"/>
    <w:rsid w:val="00A518AA"/>
    <w:rsid w:val="00A557CC"/>
    <w:rsid w:val="00A55E2B"/>
    <w:rsid w:val="00A55E67"/>
    <w:rsid w:val="00A56348"/>
    <w:rsid w:val="00A56576"/>
    <w:rsid w:val="00A566FD"/>
    <w:rsid w:val="00A5703F"/>
    <w:rsid w:val="00A57D39"/>
    <w:rsid w:val="00A60BF3"/>
    <w:rsid w:val="00A62374"/>
    <w:rsid w:val="00A63F83"/>
    <w:rsid w:val="00A64541"/>
    <w:rsid w:val="00A65316"/>
    <w:rsid w:val="00A66165"/>
    <w:rsid w:val="00A6680D"/>
    <w:rsid w:val="00A70243"/>
    <w:rsid w:val="00A70A23"/>
    <w:rsid w:val="00A70D4F"/>
    <w:rsid w:val="00A70F69"/>
    <w:rsid w:val="00A72611"/>
    <w:rsid w:val="00A739F0"/>
    <w:rsid w:val="00A73ABB"/>
    <w:rsid w:val="00A73C7B"/>
    <w:rsid w:val="00A75087"/>
    <w:rsid w:val="00A75FF2"/>
    <w:rsid w:val="00A76D2C"/>
    <w:rsid w:val="00A76E08"/>
    <w:rsid w:val="00A7717C"/>
    <w:rsid w:val="00A77746"/>
    <w:rsid w:val="00A806AA"/>
    <w:rsid w:val="00A812F1"/>
    <w:rsid w:val="00A8159C"/>
    <w:rsid w:val="00A83BF6"/>
    <w:rsid w:val="00A842A8"/>
    <w:rsid w:val="00A84AE3"/>
    <w:rsid w:val="00A85E79"/>
    <w:rsid w:val="00A86828"/>
    <w:rsid w:val="00A8764F"/>
    <w:rsid w:val="00A87F31"/>
    <w:rsid w:val="00A90550"/>
    <w:rsid w:val="00A90D27"/>
    <w:rsid w:val="00A9103B"/>
    <w:rsid w:val="00A91284"/>
    <w:rsid w:val="00A918A7"/>
    <w:rsid w:val="00A92871"/>
    <w:rsid w:val="00A92F9B"/>
    <w:rsid w:val="00A955EB"/>
    <w:rsid w:val="00A97E9E"/>
    <w:rsid w:val="00AA0317"/>
    <w:rsid w:val="00AA1F49"/>
    <w:rsid w:val="00AA399C"/>
    <w:rsid w:val="00AA3A2E"/>
    <w:rsid w:val="00AA4099"/>
    <w:rsid w:val="00AA4ADF"/>
    <w:rsid w:val="00AA4E69"/>
    <w:rsid w:val="00AA5B64"/>
    <w:rsid w:val="00AA6913"/>
    <w:rsid w:val="00AA6B2A"/>
    <w:rsid w:val="00AA7430"/>
    <w:rsid w:val="00AB2190"/>
    <w:rsid w:val="00AB21E7"/>
    <w:rsid w:val="00AB2C36"/>
    <w:rsid w:val="00AB2FEE"/>
    <w:rsid w:val="00AB39EB"/>
    <w:rsid w:val="00AB3F27"/>
    <w:rsid w:val="00AB3FD9"/>
    <w:rsid w:val="00AB3FEC"/>
    <w:rsid w:val="00AB44FB"/>
    <w:rsid w:val="00AB640B"/>
    <w:rsid w:val="00AB68D4"/>
    <w:rsid w:val="00AB6BB0"/>
    <w:rsid w:val="00AB6DC3"/>
    <w:rsid w:val="00AB7DE7"/>
    <w:rsid w:val="00AC0B84"/>
    <w:rsid w:val="00AC10DF"/>
    <w:rsid w:val="00AC1BE7"/>
    <w:rsid w:val="00AC22E1"/>
    <w:rsid w:val="00AC275F"/>
    <w:rsid w:val="00AC3BF9"/>
    <w:rsid w:val="00AC4C27"/>
    <w:rsid w:val="00AC50A4"/>
    <w:rsid w:val="00AC57E6"/>
    <w:rsid w:val="00AC5A95"/>
    <w:rsid w:val="00AC6074"/>
    <w:rsid w:val="00AC6471"/>
    <w:rsid w:val="00AC730D"/>
    <w:rsid w:val="00AC7DB0"/>
    <w:rsid w:val="00AC7FA8"/>
    <w:rsid w:val="00AD1022"/>
    <w:rsid w:val="00AD1751"/>
    <w:rsid w:val="00AD25B7"/>
    <w:rsid w:val="00AD2B6E"/>
    <w:rsid w:val="00AD2B84"/>
    <w:rsid w:val="00AD3443"/>
    <w:rsid w:val="00AD3E3F"/>
    <w:rsid w:val="00AD4762"/>
    <w:rsid w:val="00AD4B3C"/>
    <w:rsid w:val="00AD5C4A"/>
    <w:rsid w:val="00AD68A5"/>
    <w:rsid w:val="00AE10A7"/>
    <w:rsid w:val="00AE185D"/>
    <w:rsid w:val="00AE1BFE"/>
    <w:rsid w:val="00AE276F"/>
    <w:rsid w:val="00AE2A00"/>
    <w:rsid w:val="00AE2D30"/>
    <w:rsid w:val="00AE3842"/>
    <w:rsid w:val="00AE3D83"/>
    <w:rsid w:val="00AE485C"/>
    <w:rsid w:val="00AE59C0"/>
    <w:rsid w:val="00AE5E61"/>
    <w:rsid w:val="00AE61CA"/>
    <w:rsid w:val="00AE71CA"/>
    <w:rsid w:val="00AE77F3"/>
    <w:rsid w:val="00AE7B47"/>
    <w:rsid w:val="00AE7D4F"/>
    <w:rsid w:val="00AE7FE4"/>
    <w:rsid w:val="00AF041C"/>
    <w:rsid w:val="00AF1108"/>
    <w:rsid w:val="00AF17D3"/>
    <w:rsid w:val="00AF1D77"/>
    <w:rsid w:val="00AF38BA"/>
    <w:rsid w:val="00AF3F79"/>
    <w:rsid w:val="00AF4F67"/>
    <w:rsid w:val="00AF5811"/>
    <w:rsid w:val="00AF5A58"/>
    <w:rsid w:val="00AF5AB5"/>
    <w:rsid w:val="00AF6509"/>
    <w:rsid w:val="00AF6B21"/>
    <w:rsid w:val="00AF749F"/>
    <w:rsid w:val="00B0039D"/>
    <w:rsid w:val="00B00BBE"/>
    <w:rsid w:val="00B01189"/>
    <w:rsid w:val="00B02C6D"/>
    <w:rsid w:val="00B0456E"/>
    <w:rsid w:val="00B06A05"/>
    <w:rsid w:val="00B06BF6"/>
    <w:rsid w:val="00B06F7F"/>
    <w:rsid w:val="00B0780A"/>
    <w:rsid w:val="00B100F0"/>
    <w:rsid w:val="00B11F81"/>
    <w:rsid w:val="00B125CB"/>
    <w:rsid w:val="00B13894"/>
    <w:rsid w:val="00B1402E"/>
    <w:rsid w:val="00B149E9"/>
    <w:rsid w:val="00B14A4E"/>
    <w:rsid w:val="00B15CA1"/>
    <w:rsid w:val="00B1651F"/>
    <w:rsid w:val="00B16CCD"/>
    <w:rsid w:val="00B17DB4"/>
    <w:rsid w:val="00B20330"/>
    <w:rsid w:val="00B2080E"/>
    <w:rsid w:val="00B21B1E"/>
    <w:rsid w:val="00B21D50"/>
    <w:rsid w:val="00B228F7"/>
    <w:rsid w:val="00B22F9B"/>
    <w:rsid w:val="00B23032"/>
    <w:rsid w:val="00B23747"/>
    <w:rsid w:val="00B2387D"/>
    <w:rsid w:val="00B238AA"/>
    <w:rsid w:val="00B24090"/>
    <w:rsid w:val="00B257E3"/>
    <w:rsid w:val="00B260C7"/>
    <w:rsid w:val="00B27494"/>
    <w:rsid w:val="00B279B9"/>
    <w:rsid w:val="00B32019"/>
    <w:rsid w:val="00B33DAC"/>
    <w:rsid w:val="00B345BD"/>
    <w:rsid w:val="00B34A52"/>
    <w:rsid w:val="00B34F48"/>
    <w:rsid w:val="00B351DD"/>
    <w:rsid w:val="00B359C2"/>
    <w:rsid w:val="00B35AA3"/>
    <w:rsid w:val="00B35BE5"/>
    <w:rsid w:val="00B42239"/>
    <w:rsid w:val="00B51BA0"/>
    <w:rsid w:val="00B51F54"/>
    <w:rsid w:val="00B524BE"/>
    <w:rsid w:val="00B535BD"/>
    <w:rsid w:val="00B53701"/>
    <w:rsid w:val="00B56A26"/>
    <w:rsid w:val="00B57E81"/>
    <w:rsid w:val="00B6110A"/>
    <w:rsid w:val="00B6176A"/>
    <w:rsid w:val="00B61CA5"/>
    <w:rsid w:val="00B6301A"/>
    <w:rsid w:val="00B63BDB"/>
    <w:rsid w:val="00B64CAD"/>
    <w:rsid w:val="00B66751"/>
    <w:rsid w:val="00B675A6"/>
    <w:rsid w:val="00B67AA6"/>
    <w:rsid w:val="00B67CE6"/>
    <w:rsid w:val="00B7066C"/>
    <w:rsid w:val="00B717D8"/>
    <w:rsid w:val="00B72CC1"/>
    <w:rsid w:val="00B72DF3"/>
    <w:rsid w:val="00B73440"/>
    <w:rsid w:val="00B74146"/>
    <w:rsid w:val="00B74B70"/>
    <w:rsid w:val="00B76F6C"/>
    <w:rsid w:val="00B8080B"/>
    <w:rsid w:val="00B80EFA"/>
    <w:rsid w:val="00B811EF"/>
    <w:rsid w:val="00B814B0"/>
    <w:rsid w:val="00B8153C"/>
    <w:rsid w:val="00B817C6"/>
    <w:rsid w:val="00B84044"/>
    <w:rsid w:val="00B84D47"/>
    <w:rsid w:val="00B857D3"/>
    <w:rsid w:val="00B86EF1"/>
    <w:rsid w:val="00B877D8"/>
    <w:rsid w:val="00B90674"/>
    <w:rsid w:val="00B907CA"/>
    <w:rsid w:val="00B90970"/>
    <w:rsid w:val="00B9272A"/>
    <w:rsid w:val="00B94046"/>
    <w:rsid w:val="00B94323"/>
    <w:rsid w:val="00B94A19"/>
    <w:rsid w:val="00B94E34"/>
    <w:rsid w:val="00B961B7"/>
    <w:rsid w:val="00B963D4"/>
    <w:rsid w:val="00B9772B"/>
    <w:rsid w:val="00BA2DEF"/>
    <w:rsid w:val="00BA3805"/>
    <w:rsid w:val="00BA42FB"/>
    <w:rsid w:val="00BA494A"/>
    <w:rsid w:val="00BA498F"/>
    <w:rsid w:val="00BA4A60"/>
    <w:rsid w:val="00BA4BC3"/>
    <w:rsid w:val="00BA516F"/>
    <w:rsid w:val="00BA628C"/>
    <w:rsid w:val="00BA674D"/>
    <w:rsid w:val="00BA7059"/>
    <w:rsid w:val="00BA76B2"/>
    <w:rsid w:val="00BA7996"/>
    <w:rsid w:val="00BB0051"/>
    <w:rsid w:val="00BB02C6"/>
    <w:rsid w:val="00BB1082"/>
    <w:rsid w:val="00BB1AB9"/>
    <w:rsid w:val="00BB2127"/>
    <w:rsid w:val="00BB3805"/>
    <w:rsid w:val="00BB3C5E"/>
    <w:rsid w:val="00BB52A5"/>
    <w:rsid w:val="00BB667B"/>
    <w:rsid w:val="00BB6740"/>
    <w:rsid w:val="00BB7EA1"/>
    <w:rsid w:val="00BB7F81"/>
    <w:rsid w:val="00BC269B"/>
    <w:rsid w:val="00BC27D2"/>
    <w:rsid w:val="00BC3507"/>
    <w:rsid w:val="00BC41BC"/>
    <w:rsid w:val="00BC4FCD"/>
    <w:rsid w:val="00BC665E"/>
    <w:rsid w:val="00BD0B17"/>
    <w:rsid w:val="00BD145F"/>
    <w:rsid w:val="00BD2B15"/>
    <w:rsid w:val="00BD35E1"/>
    <w:rsid w:val="00BD54FC"/>
    <w:rsid w:val="00BD5A50"/>
    <w:rsid w:val="00BD63C3"/>
    <w:rsid w:val="00BD6F10"/>
    <w:rsid w:val="00BD76A4"/>
    <w:rsid w:val="00BE0664"/>
    <w:rsid w:val="00BE0FC2"/>
    <w:rsid w:val="00BE1601"/>
    <w:rsid w:val="00BE1C8A"/>
    <w:rsid w:val="00BE1F55"/>
    <w:rsid w:val="00BE2952"/>
    <w:rsid w:val="00BE3AC8"/>
    <w:rsid w:val="00BE4857"/>
    <w:rsid w:val="00BE4880"/>
    <w:rsid w:val="00BE5167"/>
    <w:rsid w:val="00BE5847"/>
    <w:rsid w:val="00BE5BE0"/>
    <w:rsid w:val="00BE7080"/>
    <w:rsid w:val="00BE70E8"/>
    <w:rsid w:val="00BF0E76"/>
    <w:rsid w:val="00BF14BA"/>
    <w:rsid w:val="00BF189D"/>
    <w:rsid w:val="00BF2B3E"/>
    <w:rsid w:val="00BF2DAF"/>
    <w:rsid w:val="00BF4E1B"/>
    <w:rsid w:val="00BF7613"/>
    <w:rsid w:val="00BF7CE2"/>
    <w:rsid w:val="00C03941"/>
    <w:rsid w:val="00C03FC4"/>
    <w:rsid w:val="00C0480F"/>
    <w:rsid w:val="00C04A05"/>
    <w:rsid w:val="00C051BF"/>
    <w:rsid w:val="00C0581B"/>
    <w:rsid w:val="00C06E7F"/>
    <w:rsid w:val="00C1043C"/>
    <w:rsid w:val="00C12A51"/>
    <w:rsid w:val="00C12C06"/>
    <w:rsid w:val="00C12C38"/>
    <w:rsid w:val="00C139AF"/>
    <w:rsid w:val="00C146DD"/>
    <w:rsid w:val="00C1513D"/>
    <w:rsid w:val="00C1591E"/>
    <w:rsid w:val="00C15EEC"/>
    <w:rsid w:val="00C20D36"/>
    <w:rsid w:val="00C21038"/>
    <w:rsid w:val="00C21D90"/>
    <w:rsid w:val="00C22804"/>
    <w:rsid w:val="00C229C2"/>
    <w:rsid w:val="00C2396B"/>
    <w:rsid w:val="00C2499C"/>
    <w:rsid w:val="00C24F29"/>
    <w:rsid w:val="00C268EC"/>
    <w:rsid w:val="00C27F86"/>
    <w:rsid w:val="00C30BA6"/>
    <w:rsid w:val="00C31467"/>
    <w:rsid w:val="00C31A3F"/>
    <w:rsid w:val="00C34CCB"/>
    <w:rsid w:val="00C35EBA"/>
    <w:rsid w:val="00C36696"/>
    <w:rsid w:val="00C36720"/>
    <w:rsid w:val="00C36FB0"/>
    <w:rsid w:val="00C37518"/>
    <w:rsid w:val="00C37780"/>
    <w:rsid w:val="00C37F00"/>
    <w:rsid w:val="00C402F0"/>
    <w:rsid w:val="00C40A93"/>
    <w:rsid w:val="00C40CB6"/>
    <w:rsid w:val="00C40D1E"/>
    <w:rsid w:val="00C424D9"/>
    <w:rsid w:val="00C42A3A"/>
    <w:rsid w:val="00C4413B"/>
    <w:rsid w:val="00C4517F"/>
    <w:rsid w:val="00C45232"/>
    <w:rsid w:val="00C46E94"/>
    <w:rsid w:val="00C47815"/>
    <w:rsid w:val="00C50A4D"/>
    <w:rsid w:val="00C5268D"/>
    <w:rsid w:val="00C52BA5"/>
    <w:rsid w:val="00C54D8C"/>
    <w:rsid w:val="00C5603A"/>
    <w:rsid w:val="00C565FE"/>
    <w:rsid w:val="00C5727E"/>
    <w:rsid w:val="00C60288"/>
    <w:rsid w:val="00C60983"/>
    <w:rsid w:val="00C657F3"/>
    <w:rsid w:val="00C6615C"/>
    <w:rsid w:val="00C6694D"/>
    <w:rsid w:val="00C66CEF"/>
    <w:rsid w:val="00C6700E"/>
    <w:rsid w:val="00C670FE"/>
    <w:rsid w:val="00C70580"/>
    <w:rsid w:val="00C71DB4"/>
    <w:rsid w:val="00C72A0E"/>
    <w:rsid w:val="00C72FD9"/>
    <w:rsid w:val="00C75492"/>
    <w:rsid w:val="00C7552C"/>
    <w:rsid w:val="00C75924"/>
    <w:rsid w:val="00C76D89"/>
    <w:rsid w:val="00C76E6F"/>
    <w:rsid w:val="00C76E9C"/>
    <w:rsid w:val="00C809EB"/>
    <w:rsid w:val="00C80EAC"/>
    <w:rsid w:val="00C8146C"/>
    <w:rsid w:val="00C81552"/>
    <w:rsid w:val="00C83D32"/>
    <w:rsid w:val="00C846DD"/>
    <w:rsid w:val="00C84B58"/>
    <w:rsid w:val="00C85CA6"/>
    <w:rsid w:val="00C868B5"/>
    <w:rsid w:val="00C877C1"/>
    <w:rsid w:val="00C877F9"/>
    <w:rsid w:val="00C90DB5"/>
    <w:rsid w:val="00C9147E"/>
    <w:rsid w:val="00C925ED"/>
    <w:rsid w:val="00C9339F"/>
    <w:rsid w:val="00C93D96"/>
    <w:rsid w:val="00C95AC0"/>
    <w:rsid w:val="00C96A10"/>
    <w:rsid w:val="00C97411"/>
    <w:rsid w:val="00C9753B"/>
    <w:rsid w:val="00C976A5"/>
    <w:rsid w:val="00CA0288"/>
    <w:rsid w:val="00CA19CD"/>
    <w:rsid w:val="00CA2644"/>
    <w:rsid w:val="00CA2F5E"/>
    <w:rsid w:val="00CA49E2"/>
    <w:rsid w:val="00CA4A62"/>
    <w:rsid w:val="00CA694E"/>
    <w:rsid w:val="00CA7AA4"/>
    <w:rsid w:val="00CA7E60"/>
    <w:rsid w:val="00CB0617"/>
    <w:rsid w:val="00CB1DA7"/>
    <w:rsid w:val="00CB2757"/>
    <w:rsid w:val="00CB2FE7"/>
    <w:rsid w:val="00CB3910"/>
    <w:rsid w:val="00CB3B57"/>
    <w:rsid w:val="00CB42AE"/>
    <w:rsid w:val="00CB4329"/>
    <w:rsid w:val="00CB4CE2"/>
    <w:rsid w:val="00CB57B6"/>
    <w:rsid w:val="00CB5984"/>
    <w:rsid w:val="00CB5CCE"/>
    <w:rsid w:val="00CB6768"/>
    <w:rsid w:val="00CC0784"/>
    <w:rsid w:val="00CC09C3"/>
    <w:rsid w:val="00CC13C4"/>
    <w:rsid w:val="00CC14CA"/>
    <w:rsid w:val="00CC17DB"/>
    <w:rsid w:val="00CC190B"/>
    <w:rsid w:val="00CC1932"/>
    <w:rsid w:val="00CC1EF0"/>
    <w:rsid w:val="00CC244A"/>
    <w:rsid w:val="00CC2ED2"/>
    <w:rsid w:val="00CC2F01"/>
    <w:rsid w:val="00CC3F59"/>
    <w:rsid w:val="00CC5CC6"/>
    <w:rsid w:val="00CC6134"/>
    <w:rsid w:val="00CC6453"/>
    <w:rsid w:val="00CD1AD1"/>
    <w:rsid w:val="00CD2D8A"/>
    <w:rsid w:val="00CD31EA"/>
    <w:rsid w:val="00CD35D3"/>
    <w:rsid w:val="00CD3A76"/>
    <w:rsid w:val="00CD3C65"/>
    <w:rsid w:val="00CD65BC"/>
    <w:rsid w:val="00CD692F"/>
    <w:rsid w:val="00CD7DC9"/>
    <w:rsid w:val="00CE0392"/>
    <w:rsid w:val="00CE5481"/>
    <w:rsid w:val="00CE5866"/>
    <w:rsid w:val="00CE5AED"/>
    <w:rsid w:val="00CE7048"/>
    <w:rsid w:val="00CE7890"/>
    <w:rsid w:val="00CE7A8B"/>
    <w:rsid w:val="00CF0045"/>
    <w:rsid w:val="00CF1892"/>
    <w:rsid w:val="00CF27E3"/>
    <w:rsid w:val="00CF5B53"/>
    <w:rsid w:val="00CF7194"/>
    <w:rsid w:val="00CF7C90"/>
    <w:rsid w:val="00CF7EA0"/>
    <w:rsid w:val="00D00600"/>
    <w:rsid w:val="00D00E6A"/>
    <w:rsid w:val="00D01602"/>
    <w:rsid w:val="00D01685"/>
    <w:rsid w:val="00D0329F"/>
    <w:rsid w:val="00D06299"/>
    <w:rsid w:val="00D1045D"/>
    <w:rsid w:val="00D120CD"/>
    <w:rsid w:val="00D133AA"/>
    <w:rsid w:val="00D13B0B"/>
    <w:rsid w:val="00D13CCF"/>
    <w:rsid w:val="00D13D0F"/>
    <w:rsid w:val="00D14CF7"/>
    <w:rsid w:val="00D14F00"/>
    <w:rsid w:val="00D15E67"/>
    <w:rsid w:val="00D163CC"/>
    <w:rsid w:val="00D16B3A"/>
    <w:rsid w:val="00D17847"/>
    <w:rsid w:val="00D20ABB"/>
    <w:rsid w:val="00D21971"/>
    <w:rsid w:val="00D22B63"/>
    <w:rsid w:val="00D24AEE"/>
    <w:rsid w:val="00D25710"/>
    <w:rsid w:val="00D272C8"/>
    <w:rsid w:val="00D2739A"/>
    <w:rsid w:val="00D27C02"/>
    <w:rsid w:val="00D3073E"/>
    <w:rsid w:val="00D31676"/>
    <w:rsid w:val="00D316C8"/>
    <w:rsid w:val="00D316ED"/>
    <w:rsid w:val="00D31B0C"/>
    <w:rsid w:val="00D337D5"/>
    <w:rsid w:val="00D34817"/>
    <w:rsid w:val="00D365BB"/>
    <w:rsid w:val="00D3795A"/>
    <w:rsid w:val="00D37AB5"/>
    <w:rsid w:val="00D40C74"/>
    <w:rsid w:val="00D40E06"/>
    <w:rsid w:val="00D41191"/>
    <w:rsid w:val="00D42F52"/>
    <w:rsid w:val="00D43282"/>
    <w:rsid w:val="00D43ADC"/>
    <w:rsid w:val="00D43EA4"/>
    <w:rsid w:val="00D44508"/>
    <w:rsid w:val="00D44BB1"/>
    <w:rsid w:val="00D46776"/>
    <w:rsid w:val="00D473B3"/>
    <w:rsid w:val="00D47810"/>
    <w:rsid w:val="00D5128E"/>
    <w:rsid w:val="00D52FD0"/>
    <w:rsid w:val="00D53660"/>
    <w:rsid w:val="00D54385"/>
    <w:rsid w:val="00D55018"/>
    <w:rsid w:val="00D55AB6"/>
    <w:rsid w:val="00D56921"/>
    <w:rsid w:val="00D56B38"/>
    <w:rsid w:val="00D57BB5"/>
    <w:rsid w:val="00D60DA7"/>
    <w:rsid w:val="00D61E2C"/>
    <w:rsid w:val="00D61F94"/>
    <w:rsid w:val="00D6259C"/>
    <w:rsid w:val="00D63B91"/>
    <w:rsid w:val="00D64A4A"/>
    <w:rsid w:val="00D666AC"/>
    <w:rsid w:val="00D6679C"/>
    <w:rsid w:val="00D728BD"/>
    <w:rsid w:val="00D73EE6"/>
    <w:rsid w:val="00D742D2"/>
    <w:rsid w:val="00D744DC"/>
    <w:rsid w:val="00D75CF7"/>
    <w:rsid w:val="00D776C3"/>
    <w:rsid w:val="00D80153"/>
    <w:rsid w:val="00D81AC7"/>
    <w:rsid w:val="00D8495C"/>
    <w:rsid w:val="00D84F39"/>
    <w:rsid w:val="00D864D9"/>
    <w:rsid w:val="00D86737"/>
    <w:rsid w:val="00D8677B"/>
    <w:rsid w:val="00D8696A"/>
    <w:rsid w:val="00D9153B"/>
    <w:rsid w:val="00D92AE1"/>
    <w:rsid w:val="00D93281"/>
    <w:rsid w:val="00D93EBA"/>
    <w:rsid w:val="00D95903"/>
    <w:rsid w:val="00D9591F"/>
    <w:rsid w:val="00D95D78"/>
    <w:rsid w:val="00D95E3D"/>
    <w:rsid w:val="00D963BB"/>
    <w:rsid w:val="00D96851"/>
    <w:rsid w:val="00D97C5B"/>
    <w:rsid w:val="00DA0810"/>
    <w:rsid w:val="00DA13A3"/>
    <w:rsid w:val="00DA22D3"/>
    <w:rsid w:val="00DA2409"/>
    <w:rsid w:val="00DA35D9"/>
    <w:rsid w:val="00DA3D96"/>
    <w:rsid w:val="00DA3E2B"/>
    <w:rsid w:val="00DA3FCE"/>
    <w:rsid w:val="00DB0A6B"/>
    <w:rsid w:val="00DB0F50"/>
    <w:rsid w:val="00DB25FC"/>
    <w:rsid w:val="00DB2BC9"/>
    <w:rsid w:val="00DB32D1"/>
    <w:rsid w:val="00DB4203"/>
    <w:rsid w:val="00DB4DCA"/>
    <w:rsid w:val="00DB7B0C"/>
    <w:rsid w:val="00DB7CA1"/>
    <w:rsid w:val="00DC20E3"/>
    <w:rsid w:val="00DC25DA"/>
    <w:rsid w:val="00DC3A8F"/>
    <w:rsid w:val="00DC4D12"/>
    <w:rsid w:val="00DC4F56"/>
    <w:rsid w:val="00DC5149"/>
    <w:rsid w:val="00DC53D2"/>
    <w:rsid w:val="00DC66F4"/>
    <w:rsid w:val="00DC7221"/>
    <w:rsid w:val="00DD0995"/>
    <w:rsid w:val="00DD24F9"/>
    <w:rsid w:val="00DD269A"/>
    <w:rsid w:val="00DD3C08"/>
    <w:rsid w:val="00DD40E4"/>
    <w:rsid w:val="00DD4554"/>
    <w:rsid w:val="00DD593E"/>
    <w:rsid w:val="00DD6621"/>
    <w:rsid w:val="00DD6F3D"/>
    <w:rsid w:val="00DE0476"/>
    <w:rsid w:val="00DE1237"/>
    <w:rsid w:val="00DE2AAC"/>
    <w:rsid w:val="00DE3EDC"/>
    <w:rsid w:val="00DE3F36"/>
    <w:rsid w:val="00DE48AF"/>
    <w:rsid w:val="00DE5C64"/>
    <w:rsid w:val="00DE7215"/>
    <w:rsid w:val="00DF07B9"/>
    <w:rsid w:val="00DF1125"/>
    <w:rsid w:val="00DF27AC"/>
    <w:rsid w:val="00DF399A"/>
    <w:rsid w:val="00DF3B82"/>
    <w:rsid w:val="00DF3BD5"/>
    <w:rsid w:val="00DF4452"/>
    <w:rsid w:val="00DF45B1"/>
    <w:rsid w:val="00DF4DCA"/>
    <w:rsid w:val="00DF6280"/>
    <w:rsid w:val="00DF7759"/>
    <w:rsid w:val="00DF7B14"/>
    <w:rsid w:val="00DF7C1A"/>
    <w:rsid w:val="00DF7FA3"/>
    <w:rsid w:val="00E00009"/>
    <w:rsid w:val="00E012DE"/>
    <w:rsid w:val="00E01EF4"/>
    <w:rsid w:val="00E026B8"/>
    <w:rsid w:val="00E02CF2"/>
    <w:rsid w:val="00E02E98"/>
    <w:rsid w:val="00E04947"/>
    <w:rsid w:val="00E04F9F"/>
    <w:rsid w:val="00E069F7"/>
    <w:rsid w:val="00E06C35"/>
    <w:rsid w:val="00E06E2A"/>
    <w:rsid w:val="00E0710D"/>
    <w:rsid w:val="00E07F71"/>
    <w:rsid w:val="00E11280"/>
    <w:rsid w:val="00E114D8"/>
    <w:rsid w:val="00E1347F"/>
    <w:rsid w:val="00E13A56"/>
    <w:rsid w:val="00E13CC1"/>
    <w:rsid w:val="00E149E7"/>
    <w:rsid w:val="00E1522D"/>
    <w:rsid w:val="00E15F3A"/>
    <w:rsid w:val="00E1621B"/>
    <w:rsid w:val="00E21114"/>
    <w:rsid w:val="00E22469"/>
    <w:rsid w:val="00E22B84"/>
    <w:rsid w:val="00E24AB1"/>
    <w:rsid w:val="00E24CEC"/>
    <w:rsid w:val="00E251E0"/>
    <w:rsid w:val="00E26045"/>
    <w:rsid w:val="00E26BDB"/>
    <w:rsid w:val="00E27304"/>
    <w:rsid w:val="00E27416"/>
    <w:rsid w:val="00E3254C"/>
    <w:rsid w:val="00E3286C"/>
    <w:rsid w:val="00E337F5"/>
    <w:rsid w:val="00E339E4"/>
    <w:rsid w:val="00E33A25"/>
    <w:rsid w:val="00E34191"/>
    <w:rsid w:val="00E34451"/>
    <w:rsid w:val="00E34EBC"/>
    <w:rsid w:val="00E37211"/>
    <w:rsid w:val="00E37848"/>
    <w:rsid w:val="00E378BC"/>
    <w:rsid w:val="00E378CA"/>
    <w:rsid w:val="00E4034D"/>
    <w:rsid w:val="00E404B3"/>
    <w:rsid w:val="00E41EE7"/>
    <w:rsid w:val="00E42084"/>
    <w:rsid w:val="00E42637"/>
    <w:rsid w:val="00E44588"/>
    <w:rsid w:val="00E4640B"/>
    <w:rsid w:val="00E46A5C"/>
    <w:rsid w:val="00E47B8B"/>
    <w:rsid w:val="00E47D6E"/>
    <w:rsid w:val="00E509D2"/>
    <w:rsid w:val="00E5135C"/>
    <w:rsid w:val="00E51724"/>
    <w:rsid w:val="00E5203C"/>
    <w:rsid w:val="00E5413E"/>
    <w:rsid w:val="00E541E8"/>
    <w:rsid w:val="00E559EA"/>
    <w:rsid w:val="00E56292"/>
    <w:rsid w:val="00E5696D"/>
    <w:rsid w:val="00E56E45"/>
    <w:rsid w:val="00E604BF"/>
    <w:rsid w:val="00E60F76"/>
    <w:rsid w:val="00E6161C"/>
    <w:rsid w:val="00E6187A"/>
    <w:rsid w:val="00E62DEC"/>
    <w:rsid w:val="00E63233"/>
    <w:rsid w:val="00E6336B"/>
    <w:rsid w:val="00E6337C"/>
    <w:rsid w:val="00E6395C"/>
    <w:rsid w:val="00E63EC1"/>
    <w:rsid w:val="00E65F8A"/>
    <w:rsid w:val="00E66C5A"/>
    <w:rsid w:val="00E67486"/>
    <w:rsid w:val="00E67E65"/>
    <w:rsid w:val="00E70374"/>
    <w:rsid w:val="00E7064F"/>
    <w:rsid w:val="00E722FC"/>
    <w:rsid w:val="00E727CE"/>
    <w:rsid w:val="00E72F43"/>
    <w:rsid w:val="00E73192"/>
    <w:rsid w:val="00E749E1"/>
    <w:rsid w:val="00E74EF8"/>
    <w:rsid w:val="00E75771"/>
    <w:rsid w:val="00E76507"/>
    <w:rsid w:val="00E76767"/>
    <w:rsid w:val="00E76961"/>
    <w:rsid w:val="00E8007A"/>
    <w:rsid w:val="00E80192"/>
    <w:rsid w:val="00E80578"/>
    <w:rsid w:val="00E80B43"/>
    <w:rsid w:val="00E82272"/>
    <w:rsid w:val="00E833CB"/>
    <w:rsid w:val="00E83995"/>
    <w:rsid w:val="00E83CBA"/>
    <w:rsid w:val="00E83D2E"/>
    <w:rsid w:val="00E83FB2"/>
    <w:rsid w:val="00E842AE"/>
    <w:rsid w:val="00E84A93"/>
    <w:rsid w:val="00E84BA8"/>
    <w:rsid w:val="00E859D5"/>
    <w:rsid w:val="00E8752D"/>
    <w:rsid w:val="00E87847"/>
    <w:rsid w:val="00E90615"/>
    <w:rsid w:val="00E90F6C"/>
    <w:rsid w:val="00E91963"/>
    <w:rsid w:val="00E91FE0"/>
    <w:rsid w:val="00E950E0"/>
    <w:rsid w:val="00E95AC2"/>
    <w:rsid w:val="00E964D1"/>
    <w:rsid w:val="00E97167"/>
    <w:rsid w:val="00EA007D"/>
    <w:rsid w:val="00EA00EF"/>
    <w:rsid w:val="00EA0169"/>
    <w:rsid w:val="00EA1A37"/>
    <w:rsid w:val="00EA1FAA"/>
    <w:rsid w:val="00EA30F5"/>
    <w:rsid w:val="00EA32EB"/>
    <w:rsid w:val="00EA3781"/>
    <w:rsid w:val="00EA42B4"/>
    <w:rsid w:val="00EA5023"/>
    <w:rsid w:val="00EA53ED"/>
    <w:rsid w:val="00EA7061"/>
    <w:rsid w:val="00EA746E"/>
    <w:rsid w:val="00EB13FE"/>
    <w:rsid w:val="00EB208C"/>
    <w:rsid w:val="00EB2184"/>
    <w:rsid w:val="00EB254B"/>
    <w:rsid w:val="00EB386E"/>
    <w:rsid w:val="00EB39F1"/>
    <w:rsid w:val="00EB479D"/>
    <w:rsid w:val="00EB5434"/>
    <w:rsid w:val="00EB5D6C"/>
    <w:rsid w:val="00EB6ACD"/>
    <w:rsid w:val="00EB76D6"/>
    <w:rsid w:val="00EC0178"/>
    <w:rsid w:val="00EC02E7"/>
    <w:rsid w:val="00EC049F"/>
    <w:rsid w:val="00EC121C"/>
    <w:rsid w:val="00EC24C2"/>
    <w:rsid w:val="00EC24F0"/>
    <w:rsid w:val="00EC54F8"/>
    <w:rsid w:val="00EC5F0E"/>
    <w:rsid w:val="00EC63CC"/>
    <w:rsid w:val="00EC7C6D"/>
    <w:rsid w:val="00ED024E"/>
    <w:rsid w:val="00ED18D1"/>
    <w:rsid w:val="00ED194C"/>
    <w:rsid w:val="00ED207C"/>
    <w:rsid w:val="00ED2C26"/>
    <w:rsid w:val="00ED3662"/>
    <w:rsid w:val="00ED5EC2"/>
    <w:rsid w:val="00ED664C"/>
    <w:rsid w:val="00ED7BDF"/>
    <w:rsid w:val="00EE0D75"/>
    <w:rsid w:val="00EE0DF2"/>
    <w:rsid w:val="00EE21DD"/>
    <w:rsid w:val="00EE36AA"/>
    <w:rsid w:val="00EE44AD"/>
    <w:rsid w:val="00EE56DF"/>
    <w:rsid w:val="00EE759D"/>
    <w:rsid w:val="00EF0495"/>
    <w:rsid w:val="00EF0C21"/>
    <w:rsid w:val="00EF1187"/>
    <w:rsid w:val="00EF1A24"/>
    <w:rsid w:val="00EF1BF1"/>
    <w:rsid w:val="00EF21A5"/>
    <w:rsid w:val="00EF2A09"/>
    <w:rsid w:val="00EF4AA4"/>
    <w:rsid w:val="00EF71E1"/>
    <w:rsid w:val="00EF783D"/>
    <w:rsid w:val="00EF791C"/>
    <w:rsid w:val="00F002AF"/>
    <w:rsid w:val="00F00DF5"/>
    <w:rsid w:val="00F0216A"/>
    <w:rsid w:val="00F022F4"/>
    <w:rsid w:val="00F0264E"/>
    <w:rsid w:val="00F04420"/>
    <w:rsid w:val="00F05A58"/>
    <w:rsid w:val="00F05EAF"/>
    <w:rsid w:val="00F06D7C"/>
    <w:rsid w:val="00F1049D"/>
    <w:rsid w:val="00F113EA"/>
    <w:rsid w:val="00F119F0"/>
    <w:rsid w:val="00F13D90"/>
    <w:rsid w:val="00F14077"/>
    <w:rsid w:val="00F147FD"/>
    <w:rsid w:val="00F14941"/>
    <w:rsid w:val="00F14992"/>
    <w:rsid w:val="00F15FC1"/>
    <w:rsid w:val="00F16BB0"/>
    <w:rsid w:val="00F17762"/>
    <w:rsid w:val="00F17F54"/>
    <w:rsid w:val="00F22027"/>
    <w:rsid w:val="00F23C5A"/>
    <w:rsid w:val="00F23E91"/>
    <w:rsid w:val="00F2628D"/>
    <w:rsid w:val="00F277D4"/>
    <w:rsid w:val="00F27D3D"/>
    <w:rsid w:val="00F27FE1"/>
    <w:rsid w:val="00F300A1"/>
    <w:rsid w:val="00F31104"/>
    <w:rsid w:val="00F31464"/>
    <w:rsid w:val="00F31F37"/>
    <w:rsid w:val="00F33BDA"/>
    <w:rsid w:val="00F33CF8"/>
    <w:rsid w:val="00F34E93"/>
    <w:rsid w:val="00F35E8A"/>
    <w:rsid w:val="00F35FCA"/>
    <w:rsid w:val="00F3652F"/>
    <w:rsid w:val="00F36583"/>
    <w:rsid w:val="00F37562"/>
    <w:rsid w:val="00F405E4"/>
    <w:rsid w:val="00F42854"/>
    <w:rsid w:val="00F43CE9"/>
    <w:rsid w:val="00F4474B"/>
    <w:rsid w:val="00F502FD"/>
    <w:rsid w:val="00F507CA"/>
    <w:rsid w:val="00F50BDF"/>
    <w:rsid w:val="00F513E5"/>
    <w:rsid w:val="00F51BB8"/>
    <w:rsid w:val="00F5219B"/>
    <w:rsid w:val="00F53138"/>
    <w:rsid w:val="00F534C0"/>
    <w:rsid w:val="00F53AC3"/>
    <w:rsid w:val="00F5523B"/>
    <w:rsid w:val="00F56997"/>
    <w:rsid w:val="00F60FA5"/>
    <w:rsid w:val="00F623B6"/>
    <w:rsid w:val="00F6280F"/>
    <w:rsid w:val="00F62819"/>
    <w:rsid w:val="00F631C7"/>
    <w:rsid w:val="00F6394B"/>
    <w:rsid w:val="00F6651A"/>
    <w:rsid w:val="00F708D9"/>
    <w:rsid w:val="00F71CEC"/>
    <w:rsid w:val="00F720FB"/>
    <w:rsid w:val="00F73277"/>
    <w:rsid w:val="00F74DA4"/>
    <w:rsid w:val="00F76027"/>
    <w:rsid w:val="00F76B67"/>
    <w:rsid w:val="00F779CD"/>
    <w:rsid w:val="00F80602"/>
    <w:rsid w:val="00F80D3B"/>
    <w:rsid w:val="00F81376"/>
    <w:rsid w:val="00F824B1"/>
    <w:rsid w:val="00F82BA6"/>
    <w:rsid w:val="00F84C20"/>
    <w:rsid w:val="00F8510B"/>
    <w:rsid w:val="00F85F6A"/>
    <w:rsid w:val="00F866C5"/>
    <w:rsid w:val="00F87A1B"/>
    <w:rsid w:val="00F918CE"/>
    <w:rsid w:val="00F92112"/>
    <w:rsid w:val="00F9230A"/>
    <w:rsid w:val="00F92366"/>
    <w:rsid w:val="00F92753"/>
    <w:rsid w:val="00F93DE4"/>
    <w:rsid w:val="00F9598E"/>
    <w:rsid w:val="00F96B32"/>
    <w:rsid w:val="00F97056"/>
    <w:rsid w:val="00F9735A"/>
    <w:rsid w:val="00FA0E13"/>
    <w:rsid w:val="00FA126D"/>
    <w:rsid w:val="00FA42F4"/>
    <w:rsid w:val="00FA4E06"/>
    <w:rsid w:val="00FA75EA"/>
    <w:rsid w:val="00FB00AD"/>
    <w:rsid w:val="00FB03D0"/>
    <w:rsid w:val="00FB0730"/>
    <w:rsid w:val="00FB0BBE"/>
    <w:rsid w:val="00FB0BC1"/>
    <w:rsid w:val="00FB14A0"/>
    <w:rsid w:val="00FB3CF8"/>
    <w:rsid w:val="00FB4E4A"/>
    <w:rsid w:val="00FB7F35"/>
    <w:rsid w:val="00FC11D6"/>
    <w:rsid w:val="00FC1D0C"/>
    <w:rsid w:val="00FC245B"/>
    <w:rsid w:val="00FC48DD"/>
    <w:rsid w:val="00FC4B90"/>
    <w:rsid w:val="00FC5644"/>
    <w:rsid w:val="00FC569E"/>
    <w:rsid w:val="00FC67E5"/>
    <w:rsid w:val="00FC6BFF"/>
    <w:rsid w:val="00FC765A"/>
    <w:rsid w:val="00FC7856"/>
    <w:rsid w:val="00FD03FC"/>
    <w:rsid w:val="00FD04EB"/>
    <w:rsid w:val="00FD0780"/>
    <w:rsid w:val="00FD078F"/>
    <w:rsid w:val="00FD131D"/>
    <w:rsid w:val="00FD30FD"/>
    <w:rsid w:val="00FD5177"/>
    <w:rsid w:val="00FD543A"/>
    <w:rsid w:val="00FD616E"/>
    <w:rsid w:val="00FE01C1"/>
    <w:rsid w:val="00FE0341"/>
    <w:rsid w:val="00FE35E1"/>
    <w:rsid w:val="00FE42C6"/>
    <w:rsid w:val="00FE51C9"/>
    <w:rsid w:val="00FE5B36"/>
    <w:rsid w:val="00FE63D9"/>
    <w:rsid w:val="00FE6B3A"/>
    <w:rsid w:val="00FE6D86"/>
    <w:rsid w:val="00FE70C1"/>
    <w:rsid w:val="00FE72E4"/>
    <w:rsid w:val="00FE7C40"/>
    <w:rsid w:val="00FF0DA7"/>
    <w:rsid w:val="00FF28D2"/>
    <w:rsid w:val="00FF3276"/>
    <w:rsid w:val="00FF3861"/>
    <w:rsid w:val="00FF4803"/>
    <w:rsid w:val="00FF4FF2"/>
    <w:rsid w:val="00FF5B26"/>
    <w:rsid w:val="00FF5D01"/>
    <w:rsid w:val="00FF616B"/>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D0379"/>
  <w15:docId w15:val="{3AC8666A-E47D-4162-90F6-F5F14C0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GB"/>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42D1"/>
    <w:rPr>
      <w:rFonts w:ascii="Courier" w:hAnsi="Courier" w:cs="Times New Roman"/>
      <w:b/>
      <w:spacing w:val="-3"/>
      <w:sz w:val="28"/>
    </w:rPr>
  </w:style>
  <w:style w:type="character" w:customStyle="1" w:styleId="Heading2Char">
    <w:name w:val="Heading 2 Char"/>
    <w:link w:val="Heading2"/>
    <w:semiHidden/>
    <w:locked/>
    <w:rsid w:val="00DA3E2B"/>
    <w:rPr>
      <w:rFonts w:ascii="Cambria" w:hAnsi="Cambria" w:cs="Times New Roman"/>
      <w:b/>
      <w:bCs/>
      <w:i/>
      <w:iCs/>
      <w:sz w:val="28"/>
      <w:szCs w:val="28"/>
    </w:rPr>
  </w:style>
  <w:style w:type="character" w:customStyle="1" w:styleId="Heading4Char">
    <w:name w:val="Heading 4 Char"/>
    <w:link w:val="Heading4"/>
    <w:semiHidden/>
    <w:locked/>
    <w:rsid w:val="00DA3E2B"/>
    <w:rPr>
      <w:rFonts w:ascii="Calibri" w:hAnsi="Calibri" w:cs="Times New Roman"/>
      <w:b/>
      <w:bCs/>
      <w:sz w:val="28"/>
      <w:szCs w:val="28"/>
    </w:rPr>
  </w:style>
  <w:style w:type="paragraph" w:styleId="Header">
    <w:name w:val="header"/>
    <w:basedOn w:val="Normal"/>
    <w:link w:val="HeaderChar"/>
    <w:rsid w:val="00D9153B"/>
    <w:pPr>
      <w:widowControl w:val="0"/>
      <w:tabs>
        <w:tab w:val="center" w:pos="4320"/>
        <w:tab w:val="right" w:pos="8640"/>
      </w:tabs>
    </w:pPr>
    <w:rPr>
      <w:rFonts w:ascii="Courier" w:hAnsi="Courier"/>
      <w:sz w:val="22"/>
    </w:rPr>
  </w:style>
  <w:style w:type="character" w:customStyle="1" w:styleId="HeaderChar">
    <w:name w:val="Header Char"/>
    <w:link w:val="Header"/>
    <w:locked/>
    <w:rsid w:val="00852876"/>
    <w:rPr>
      <w:rFonts w:ascii="Courier" w:hAnsi="Courier" w:cs="Times New Roman"/>
      <w:sz w:val="22"/>
    </w:rPr>
  </w:style>
  <w:style w:type="paragraph" w:styleId="FootnoteText">
    <w:name w:val="footnote text"/>
    <w:basedOn w:val="Normal"/>
    <w:link w:val="FootnoteTextChar"/>
    <w:uiPriority w:val="99"/>
    <w:qFormat/>
    <w:rsid w:val="00D9153B"/>
    <w:pPr>
      <w:widowControl w:val="0"/>
    </w:pPr>
    <w:rPr>
      <w:rFonts w:ascii="Courier" w:hAnsi="Courier"/>
    </w:rPr>
  </w:style>
  <w:style w:type="character" w:customStyle="1" w:styleId="FootnoteTextChar">
    <w:name w:val="Footnote Text Char"/>
    <w:link w:val="FootnoteText"/>
    <w:uiPriority w:val="99"/>
    <w:locked/>
    <w:rsid w:val="00D6679C"/>
    <w:rPr>
      <w:rFonts w:ascii="Courier" w:hAnsi="Courier" w:cs="Times New Roman"/>
      <w:lang w:val="en-US" w:eastAsia="en-US"/>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customStyle="1" w:styleId="SubtitleChar">
    <w:name w:val="Subtitle Char"/>
    <w:link w:val="Subtitle"/>
    <w:locked/>
    <w:rsid w:val="00D6679C"/>
    <w:rPr>
      <w:rFonts w:ascii="Arial" w:hAnsi="Arial" w:cs="Arial"/>
      <w:sz w:val="24"/>
      <w:szCs w:val="24"/>
      <w:lang w:val="en-US" w:eastAsia="en-US"/>
    </w:rPr>
  </w:style>
  <w:style w:type="character" w:styleId="FootnoteReference">
    <w:name w:val="footnote reference"/>
    <w:aliases w:val="16 Point,Superscript 6 Point,Superscript 6 Point + 11 pt,ftref,BVI fnr,BVI fnr Car Car,BVI fnr Car,BVI fnr Car Car Car Car,Footnote text"/>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character" w:customStyle="1" w:styleId="FooterChar">
    <w:name w:val="Footer Char"/>
    <w:link w:val="Footer"/>
    <w:uiPriority w:val="99"/>
    <w:locked/>
    <w:rsid w:val="005841A3"/>
    <w:rPr>
      <w:rFonts w:cs="Times New Roman"/>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link w:val="BalloonTextChar"/>
    <w:semiHidden/>
    <w:rsid w:val="005D4084"/>
    <w:rPr>
      <w:rFonts w:ascii="Tahoma" w:hAnsi="Tahoma" w:cs="Tahoma"/>
      <w:sz w:val="16"/>
      <w:szCs w:val="16"/>
    </w:rPr>
  </w:style>
  <w:style w:type="character" w:customStyle="1" w:styleId="BalloonTextChar">
    <w:name w:val="Balloon Text Char"/>
    <w:link w:val="BalloonText"/>
    <w:semiHidden/>
    <w:locked/>
    <w:rsid w:val="00DA3E2B"/>
    <w:rPr>
      <w:rFonts w:cs="Times New Roman"/>
      <w:sz w:val="2"/>
    </w:rPr>
  </w:style>
  <w:style w:type="character" w:styleId="Hyperlink">
    <w:name w:val="Hyperlink"/>
    <w:rsid w:val="0079421C"/>
    <w:rPr>
      <w:rFonts w:cs="Times New Roman"/>
      <w:color w:val="336699"/>
      <w:u w:val="none"/>
      <w:effect w:val="none"/>
    </w:rPr>
  </w:style>
  <w:style w:type="paragraph" w:customStyle="1" w:styleId="ColorfulList-Accent11">
    <w:name w:val="Colorful List - Accent 11"/>
    <w:basedOn w:val="Normal"/>
    <w:link w:val="ColorfulList-Accent1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imes New Roman"/>
      <w:sz w:val="16"/>
    </w:rPr>
  </w:style>
  <w:style w:type="character" w:styleId="CommentReference">
    <w:name w:val="annotation reference"/>
    <w:semiHidden/>
    <w:rsid w:val="00400E4A"/>
    <w:rPr>
      <w:rFonts w:cs="Times New Roman"/>
      <w:sz w:val="6"/>
    </w:rPr>
  </w:style>
  <w:style w:type="paragraph" w:styleId="CommentText">
    <w:name w:val="annotation text"/>
    <w:basedOn w:val="Normal"/>
    <w:link w:val="CommentTextChar"/>
    <w:rsid w:val="008543F5"/>
  </w:style>
  <w:style w:type="character" w:customStyle="1" w:styleId="CommentTextChar">
    <w:name w:val="Comment Text Char"/>
    <w:link w:val="CommentText"/>
    <w:locked/>
    <w:rsid w:val="008543F5"/>
    <w:rPr>
      <w:rFonts w:cs="Times New Roman"/>
    </w:rPr>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locked/>
    <w:rsid w:val="008543F5"/>
    <w:rPr>
      <w:rFonts w:cs="Times New Roman"/>
      <w:b/>
    </w:rPr>
  </w:style>
  <w:style w:type="character" w:styleId="PageNumber">
    <w:name w:val="page number"/>
    <w:semiHidden/>
    <w:rsid w:val="00D6679C"/>
    <w:rPr>
      <w:rFonts w:cs="Times New Roman"/>
    </w:rPr>
  </w:style>
  <w:style w:type="paragraph" w:styleId="BodyText">
    <w:name w:val="Body Text"/>
    <w:basedOn w:val="Normal"/>
    <w:link w:val="BodyTextChar"/>
    <w:semiHidden/>
    <w:rsid w:val="00D6679C"/>
    <w:rPr>
      <w:b/>
      <w:bCs/>
      <w:sz w:val="24"/>
    </w:rPr>
  </w:style>
  <w:style w:type="character" w:customStyle="1" w:styleId="BodyTextChar">
    <w:name w:val="Body Text Char"/>
    <w:link w:val="BodyText"/>
    <w:semiHidden/>
    <w:locked/>
    <w:rsid w:val="00D6679C"/>
    <w:rPr>
      <w:rFonts w:cs="Times New Roman"/>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link w:val="BodyText2"/>
    <w:semiHidden/>
    <w:locked/>
    <w:rsid w:val="00D6679C"/>
    <w:rPr>
      <w:rFonts w:cs="Times New Roman"/>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locked/>
    <w:rsid w:val="00D6679C"/>
    <w:rPr>
      <w:rFonts w:cs="Times New Roman"/>
      <w:sz w:val="24"/>
      <w:lang w:val="en-US" w:eastAsia="en-US"/>
    </w:rPr>
  </w:style>
  <w:style w:type="paragraph" w:styleId="NormalWeb">
    <w:name w:val="Normal (Web)"/>
    <w:basedOn w:val="Normal"/>
    <w:locked/>
    <w:rsid w:val="00663614"/>
    <w:pPr>
      <w:spacing w:before="100" w:beforeAutospacing="1" w:after="100" w:afterAutospacing="1" w:line="252" w:lineRule="auto"/>
    </w:pPr>
    <w:rPr>
      <w:rFonts w:ascii="Cambria" w:hAnsi="Cambria"/>
      <w:sz w:val="22"/>
      <w:szCs w:val="22"/>
    </w:rPr>
  </w:style>
  <w:style w:type="table" w:styleId="TableGrid">
    <w:name w:val="Table Grid"/>
    <w:basedOn w:val="TableNormal"/>
    <w:locked/>
    <w:rsid w:val="002A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440"/>
    <w:pPr>
      <w:autoSpaceDE w:val="0"/>
      <w:autoSpaceDN w:val="0"/>
      <w:adjustRightInd w:val="0"/>
    </w:pPr>
    <w:rPr>
      <w:rFonts w:ascii="Calibri" w:eastAsia="Calibri" w:hAnsi="Calibri" w:cs="Calibri"/>
      <w:color w:val="000000"/>
      <w:sz w:val="24"/>
      <w:szCs w:val="24"/>
      <w:lang w:val="en-GB"/>
    </w:rPr>
  </w:style>
  <w:style w:type="character" w:customStyle="1" w:styleId="ColorfulList-Accent1Char">
    <w:name w:val="Colorful List - Accent 1 Char"/>
    <w:link w:val="ColorfulList-Accent11"/>
    <w:uiPriority w:val="34"/>
    <w:locked/>
    <w:rsid w:val="00B73440"/>
    <w:rPr>
      <w:lang w:val="en-GB"/>
    </w:rPr>
  </w:style>
  <w:style w:type="paragraph" w:styleId="ListParagraph">
    <w:name w:val="List Paragraph"/>
    <w:basedOn w:val="Normal"/>
    <w:uiPriority w:val="34"/>
    <w:qFormat/>
    <w:rsid w:val="003E4CEF"/>
    <w:pPr>
      <w:ind w:left="720"/>
    </w:pPr>
  </w:style>
  <w:style w:type="character" w:customStyle="1" w:styleId="apple-converted-space">
    <w:name w:val="apple-converted-space"/>
    <w:rsid w:val="00E60F76"/>
  </w:style>
  <w:style w:type="paragraph" w:styleId="Revision">
    <w:name w:val="Revision"/>
    <w:hidden/>
    <w:uiPriority w:val="99"/>
    <w:semiHidden/>
    <w:rsid w:val="007C2B14"/>
    <w:rPr>
      <w:lang w:val="en-GB"/>
    </w:rPr>
  </w:style>
  <w:style w:type="paragraph" w:styleId="EndnoteText">
    <w:name w:val="endnote text"/>
    <w:basedOn w:val="Normal"/>
    <w:link w:val="EndnoteTextChar"/>
    <w:locked/>
    <w:rsid w:val="00664CE7"/>
  </w:style>
  <w:style w:type="character" w:customStyle="1" w:styleId="EndnoteTextChar">
    <w:name w:val="Endnote Text Char"/>
    <w:link w:val="EndnoteText"/>
    <w:rsid w:val="00664CE7"/>
    <w:rPr>
      <w:lang w:val="en-GB"/>
    </w:rPr>
  </w:style>
  <w:style w:type="character" w:styleId="EndnoteReference">
    <w:name w:val="endnote reference"/>
    <w:locked/>
    <w:rsid w:val="00664CE7"/>
    <w:rPr>
      <w:vertAlign w:val="superscript"/>
    </w:rPr>
  </w:style>
  <w:style w:type="character" w:customStyle="1" w:styleId="st">
    <w:name w:val="st"/>
    <w:rsid w:val="00842773"/>
  </w:style>
  <w:style w:type="character" w:styleId="Emphasis">
    <w:name w:val="Emphasis"/>
    <w:uiPriority w:val="20"/>
    <w:qFormat/>
    <w:locked/>
    <w:rsid w:val="00842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75007838">
      <w:bodyDiv w:val="1"/>
      <w:marLeft w:val="0"/>
      <w:marRight w:val="0"/>
      <w:marTop w:val="0"/>
      <w:marBottom w:val="0"/>
      <w:divBdr>
        <w:top w:val="none" w:sz="0" w:space="0" w:color="auto"/>
        <w:left w:val="none" w:sz="0" w:space="0" w:color="auto"/>
        <w:bottom w:val="none" w:sz="0" w:space="0" w:color="auto"/>
        <w:right w:val="none" w:sz="0" w:space="0" w:color="auto"/>
      </w:divBdr>
    </w:div>
    <w:div w:id="427383704">
      <w:bodyDiv w:val="1"/>
      <w:marLeft w:val="0"/>
      <w:marRight w:val="0"/>
      <w:marTop w:val="0"/>
      <w:marBottom w:val="0"/>
      <w:divBdr>
        <w:top w:val="none" w:sz="0" w:space="0" w:color="auto"/>
        <w:left w:val="none" w:sz="0" w:space="0" w:color="auto"/>
        <w:bottom w:val="none" w:sz="0" w:space="0" w:color="auto"/>
        <w:right w:val="none" w:sz="0" w:space="0" w:color="auto"/>
      </w:divBdr>
    </w:div>
    <w:div w:id="1195652304">
      <w:bodyDiv w:val="1"/>
      <w:marLeft w:val="0"/>
      <w:marRight w:val="0"/>
      <w:marTop w:val="0"/>
      <w:marBottom w:val="0"/>
      <w:divBdr>
        <w:top w:val="none" w:sz="0" w:space="0" w:color="auto"/>
        <w:left w:val="none" w:sz="0" w:space="0" w:color="auto"/>
        <w:bottom w:val="none" w:sz="0" w:space="0" w:color="auto"/>
        <w:right w:val="none" w:sz="0" w:space="0" w:color="auto"/>
      </w:divBdr>
    </w:div>
    <w:div w:id="1778256841">
      <w:bodyDiv w:val="1"/>
      <w:marLeft w:val="0"/>
      <w:marRight w:val="0"/>
      <w:marTop w:val="0"/>
      <w:marBottom w:val="0"/>
      <w:divBdr>
        <w:top w:val="none" w:sz="0" w:space="0" w:color="auto"/>
        <w:left w:val="none" w:sz="0" w:space="0" w:color="auto"/>
        <w:bottom w:val="none" w:sz="0" w:space="0" w:color="auto"/>
        <w:right w:val="none" w:sz="0" w:space="0" w:color="auto"/>
      </w:divBdr>
      <w:divsChild>
        <w:div w:id="207219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E057-B04A-4560-8926-F4EB3C8E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6207</Words>
  <Characters>35383</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CPD Template and Guidelines</vt:lpstr>
    </vt:vector>
  </TitlesOfParts>
  <Company>Microsoft</Company>
  <LinksUpToDate>false</LinksUpToDate>
  <CharactersWithSpaces>41507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Template and Guidelines</dc:title>
  <dc:creator>John Magoha</dc:creator>
  <cp:lastModifiedBy>Svetlana Iazykova</cp:lastModifiedBy>
  <cp:revision>2</cp:revision>
  <cp:lastPrinted>2015-05-12T22:05:00Z</cp:lastPrinted>
  <dcterms:created xsi:type="dcterms:W3CDTF">2015-06-06T20:16:00Z</dcterms:created>
  <dcterms:modified xsi:type="dcterms:W3CDTF">2015-06-06T20:16:00Z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0x01010023A92725C93E4830A7421C44D384B7FC00BD97CC66ED1E4874969EA33DC750A7FC00F7E71CE5BB0ED84BA56A1889B2A9309E</vt:lpwstr>
  </property>
  <property fmtid="{D5CDD505-2E9C-101B-9397-08002B2CF9AE}" pid="3" name="_dlc_DocId">
    <vt:lpwstr>UNDPGBL-229-309</vt:lpwstr>
  </property>
  <property fmtid="{D5CDD505-2E9C-101B-9397-08002B2CF9AE}" pid="4" name="_dlc_DocIdUrl">
    <vt:lpwstr>https://intranet.undp.org/global/documents/_layouts/DocIdRedir.aspx?ID=UNDPGBL-229-309, UNDPGBL-229-309</vt:lpwstr>
  </property>
  <property fmtid="{D5CDD505-2E9C-101B-9397-08002B2CF9AE}" pid="5" name="_dlc_DocIdItemGuid">
    <vt:lpwstr>fc5ca1a4-9658-47f0-943c-b25e216ec1c8</vt:lpwstr>
  </property>
  <property fmtid="{D5CDD505-2E9C-101B-9397-08002B2CF9AE}" pid="6" name="UNDPPOPPKeywords">
    <vt:lpwstr>8;#Country Programme Document|191375a8-63fb-40e7-8027-9bd27b0a793a</vt:lpwstr>
  </property>
  <property fmtid="{D5CDD505-2E9C-101B-9397-08002B2CF9AE}" pid="7" name="UNDPPOPPFunctionalArea">
    <vt:lpwstr>Programme and Project</vt:lpwstr>
  </property>
  <property fmtid="{D5CDD505-2E9C-101B-9397-08002B2CF9AE}" pid="8" name="UNDPResponsibleUnit">
    <vt:lpwstr>Operations Support Group (OSG)</vt:lpwstr>
  </property>
  <property fmtid="{D5CDD505-2E9C-101B-9397-08002B2CF9AE}" pid="9" name="UNDPPOPPProcess">
    <vt:lpwstr>Programme Management</vt:lpwstr>
  </property>
  <property fmtid="{D5CDD505-2E9C-101B-9397-08002B2CF9AE}" pid="10" name="UNDPActualReviewDate">
    <vt:lpwstr/>
  </property>
  <property fmtid="{D5CDD505-2E9C-101B-9397-08002B2CF9AE}" pid="11" name="POPP Subprocess Multiple0">
    <vt:lpwstr>;#Programme Strategic Planning;#</vt:lpwstr>
  </property>
  <property fmtid="{D5CDD505-2E9C-101B-9397-08002B2CF9AE}" pid="12" name="UNDPEffectiveDate">
    <vt:lpwstr>2013-12-03T07:00:00Z</vt:lpwstr>
  </property>
  <property fmtid="{D5CDD505-2E9C-101B-9397-08002B2CF9AE}" pid="13" name="UNDPCreator">
    <vt:lpwstr>266;#UNDPHQ\judith.puyat-magnaye</vt:lpwstr>
  </property>
  <property fmtid="{D5CDD505-2E9C-101B-9397-08002B2CF9AE}" pid="14" name="UNDPSummary">
    <vt:lpwstr>The revised CPD Template for the development of new CPDs to be submitted to the EB from June 2014. </vt:lpwstr>
  </property>
  <property fmtid="{D5CDD505-2E9C-101B-9397-08002B2CF9AE}" pid="15" name="UNDPApplicability">
    <vt:lpwstr>All programmes and projects</vt:lpwstr>
  </property>
  <property fmtid="{D5CDD505-2E9C-101B-9397-08002B2CF9AE}" pid="16" name="UNDPPOPPKeywordsTaxHTField0">
    <vt:lpwstr>Country Programme Document191375a8-63fb-40e7-8027-9bd27b0a793a</vt:lpwstr>
  </property>
  <property fmtid="{D5CDD505-2E9C-101B-9397-08002B2CF9AE}" pid="17" name="UNDPPublishedDate">
    <vt:lpwstr>2013-12-03T07:00:00Z</vt:lpwstr>
  </property>
  <property fmtid="{D5CDD505-2E9C-101B-9397-08002B2CF9AE}" pid="18" name="UNDPIssuanceDate">
    <vt:lpwstr>2013-12-03T07:00:00Z</vt:lpwstr>
  </property>
  <property fmtid="{D5CDD505-2E9C-101B-9397-08002B2CF9AE}" pid="19" name="UNDPPlannedReviewDate">
    <vt:lpwstr>2014-12-03T07:00:00Z</vt:lpwstr>
  </property>
  <property fmtid="{D5CDD505-2E9C-101B-9397-08002B2CF9AE}" pid="20" name="TaxCatchAll">
    <vt:lpwstr>8;#</vt:lpwstr>
  </property>
  <property fmtid="{D5CDD505-2E9C-101B-9397-08002B2CF9AE}" pid="21" name="Focalpoint">
    <vt:lpwstr>15911;#UNDPHQ\jessica.murray</vt:lpwstr>
  </property>
</Properties>
</file>