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A1" w:rsidRPr="00541456" w:rsidRDefault="00630232" w:rsidP="00957BA1">
      <w:pPr>
        <w:pStyle w:val="Heading3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41456">
        <w:rPr>
          <w:rFonts w:asciiTheme="minorHAnsi" w:hAnsiTheme="minorHAnsi"/>
          <w:sz w:val="22"/>
          <w:szCs w:val="22"/>
        </w:rPr>
        <w:t>Country:</w:t>
      </w:r>
      <w:r w:rsidRPr="00541456">
        <w:rPr>
          <w:rFonts w:asciiTheme="minorHAnsi" w:hAnsiTheme="minorHAnsi"/>
          <w:sz w:val="22"/>
          <w:szCs w:val="22"/>
        </w:rPr>
        <w:tab/>
      </w:r>
      <w:r w:rsidRPr="00541456">
        <w:rPr>
          <w:rFonts w:asciiTheme="minorHAnsi" w:hAnsiTheme="minorHAnsi"/>
          <w:sz w:val="22"/>
          <w:szCs w:val="22"/>
        </w:rPr>
        <w:tab/>
      </w:r>
      <w:r w:rsidRPr="00541456">
        <w:rPr>
          <w:rFonts w:asciiTheme="minorHAnsi" w:hAnsiTheme="minorHAnsi"/>
          <w:sz w:val="22"/>
          <w:szCs w:val="22"/>
        </w:rPr>
        <w:tab/>
      </w:r>
      <w:r w:rsidR="00AB593A" w:rsidRPr="00541456">
        <w:rPr>
          <w:rFonts w:asciiTheme="minorHAnsi" w:hAnsiTheme="minorHAnsi"/>
          <w:b/>
          <w:sz w:val="22"/>
          <w:szCs w:val="22"/>
        </w:rPr>
        <w:t>Argentina</w:t>
      </w:r>
    </w:p>
    <w:p w:rsidR="00957BA1" w:rsidRPr="00541456" w:rsidRDefault="00957BA1" w:rsidP="00957BA1">
      <w:pPr>
        <w:pStyle w:val="Heading3"/>
        <w:rPr>
          <w:rFonts w:asciiTheme="minorHAnsi" w:hAnsiTheme="minorHAnsi"/>
          <w:sz w:val="22"/>
          <w:szCs w:val="22"/>
        </w:rPr>
      </w:pPr>
    </w:p>
    <w:p w:rsidR="00957BA1" w:rsidRPr="00541456" w:rsidRDefault="00957BA1" w:rsidP="009E43E5">
      <w:pPr>
        <w:pStyle w:val="Heading3"/>
        <w:rPr>
          <w:rFonts w:asciiTheme="minorHAnsi" w:hAnsiTheme="minorHAnsi"/>
          <w:b/>
          <w:bCs w:val="0"/>
          <w:sz w:val="22"/>
          <w:szCs w:val="22"/>
        </w:rPr>
      </w:pPr>
      <w:r w:rsidRPr="00541456">
        <w:rPr>
          <w:rFonts w:asciiTheme="minorHAnsi" w:hAnsiTheme="minorHAnsi"/>
          <w:b/>
          <w:bCs w:val="0"/>
          <w:sz w:val="22"/>
          <w:szCs w:val="22"/>
        </w:rPr>
        <w:t>COUNTRY PROGRAMME PERFORMANCE SUMMARY</w:t>
      </w:r>
    </w:p>
    <w:p w:rsidR="00957BA1" w:rsidRPr="00541456" w:rsidRDefault="00957BA1" w:rsidP="00957BA1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957BA1" w:rsidRPr="003B5C2A" w:rsidRDefault="00630232" w:rsidP="00957BA1">
      <w:pPr>
        <w:pStyle w:val="Heading3"/>
        <w:jc w:val="left"/>
        <w:rPr>
          <w:rFonts w:asciiTheme="minorHAnsi" w:hAnsiTheme="minorHAnsi"/>
          <w:b/>
          <w:sz w:val="22"/>
          <w:szCs w:val="22"/>
          <w:lang w:val="es-AR"/>
        </w:rPr>
      </w:pPr>
      <w:r w:rsidRPr="003B5C2A">
        <w:rPr>
          <w:rFonts w:asciiTheme="minorHAnsi" w:hAnsiTheme="minorHAnsi"/>
          <w:sz w:val="22"/>
          <w:szCs w:val="22"/>
          <w:lang w:val="es-AR"/>
        </w:rPr>
        <w:t xml:space="preserve">Reporting period: </w:t>
      </w:r>
      <w:r w:rsidRPr="003B5C2A">
        <w:rPr>
          <w:rFonts w:asciiTheme="minorHAnsi" w:hAnsiTheme="minorHAnsi"/>
          <w:sz w:val="22"/>
          <w:szCs w:val="22"/>
          <w:lang w:val="es-AR"/>
        </w:rPr>
        <w:tab/>
      </w:r>
      <w:r w:rsidRPr="003B5C2A">
        <w:rPr>
          <w:rFonts w:asciiTheme="minorHAnsi" w:hAnsiTheme="minorHAnsi"/>
          <w:b/>
          <w:sz w:val="22"/>
          <w:szCs w:val="22"/>
          <w:lang w:val="es-AR"/>
        </w:rPr>
        <w:t>2010-</w:t>
      </w:r>
      <w:r w:rsidR="00B45788" w:rsidRPr="003B5C2A">
        <w:rPr>
          <w:rFonts w:asciiTheme="minorHAnsi" w:hAnsiTheme="minorHAnsi"/>
          <w:b/>
          <w:sz w:val="22"/>
          <w:szCs w:val="22"/>
          <w:lang w:val="es-AR"/>
        </w:rPr>
        <w:t>20</w:t>
      </w:r>
      <w:r w:rsidRPr="003B5C2A">
        <w:rPr>
          <w:rFonts w:asciiTheme="minorHAnsi" w:hAnsiTheme="minorHAnsi"/>
          <w:b/>
          <w:sz w:val="22"/>
          <w:szCs w:val="22"/>
          <w:lang w:val="es-AR"/>
        </w:rPr>
        <w:t>15</w:t>
      </w:r>
      <w:r w:rsidR="00FF7842">
        <w:rPr>
          <w:rStyle w:val="FootnoteReference"/>
          <w:rFonts w:asciiTheme="minorHAnsi" w:hAnsiTheme="minorHAnsi"/>
          <w:b/>
          <w:sz w:val="22"/>
          <w:szCs w:val="22"/>
        </w:rPr>
        <w:footnoteReference w:id="1"/>
      </w:r>
    </w:p>
    <w:p w:rsidR="00957BA1" w:rsidRPr="003B5C2A" w:rsidRDefault="00957BA1" w:rsidP="00957BA1">
      <w:pPr>
        <w:pStyle w:val="Heading3"/>
        <w:rPr>
          <w:rFonts w:asciiTheme="minorHAnsi" w:hAnsiTheme="minorHAnsi"/>
          <w:sz w:val="22"/>
          <w:szCs w:val="22"/>
          <w:lang w:val="es-AR"/>
        </w:rPr>
      </w:pPr>
    </w:p>
    <w:p w:rsidR="00957BA1" w:rsidRPr="003B5C2A" w:rsidRDefault="00957BA1" w:rsidP="00FF7842">
      <w:pPr>
        <w:rPr>
          <w:rFonts w:asciiTheme="minorHAnsi" w:hAnsiTheme="minorHAnsi"/>
          <w:sz w:val="22"/>
          <w:szCs w:val="22"/>
          <w:lang w:val="es-AR"/>
        </w:rPr>
      </w:pPr>
    </w:p>
    <w:p w:rsidR="00957BA1" w:rsidRPr="00B16A0D" w:rsidRDefault="00957BA1" w:rsidP="00FF7842">
      <w:pPr>
        <w:pStyle w:val="Heading3"/>
        <w:jc w:val="left"/>
        <w:rPr>
          <w:rFonts w:asciiTheme="minorHAnsi" w:hAnsiTheme="minorHAnsi"/>
          <w:b/>
          <w:bCs w:val="0"/>
          <w:sz w:val="22"/>
          <w:szCs w:val="22"/>
          <w:lang w:val="es-AR"/>
        </w:rPr>
      </w:pPr>
      <w:r w:rsidRPr="00B16A0D">
        <w:rPr>
          <w:rFonts w:asciiTheme="minorHAnsi" w:hAnsiTheme="minorHAnsi"/>
          <w:b/>
          <w:bCs w:val="0"/>
          <w:sz w:val="22"/>
          <w:szCs w:val="22"/>
          <w:lang w:val="es-AR"/>
        </w:rPr>
        <w:t>I.  EXECUTIVE SUMMARY</w:t>
      </w:r>
    </w:p>
    <w:p w:rsidR="00957BA1" w:rsidRPr="00B16A0D" w:rsidRDefault="00957BA1" w:rsidP="00FF7842">
      <w:pPr>
        <w:pStyle w:val="BodyText2"/>
        <w:rPr>
          <w:rFonts w:asciiTheme="minorHAnsi" w:hAnsiTheme="minorHAnsi"/>
          <w:color w:val="000000"/>
          <w:sz w:val="22"/>
          <w:szCs w:val="22"/>
          <w:lang w:val="es-AR"/>
        </w:rPr>
      </w:pPr>
    </w:p>
    <w:p w:rsidR="000B1D58" w:rsidRPr="00FF7842" w:rsidRDefault="000B1D58" w:rsidP="00FF7842">
      <w:pPr>
        <w:jc w:val="both"/>
        <w:rPr>
          <w:rFonts w:asciiTheme="minorHAnsi" w:hAnsiTheme="minorHAnsi" w:cs="Tahoma"/>
          <w:sz w:val="22"/>
          <w:szCs w:val="22"/>
          <w:lang w:val="es-AR"/>
        </w:rPr>
      </w:pPr>
      <w:r w:rsidRPr="00FF7842">
        <w:rPr>
          <w:rFonts w:asciiTheme="minorHAnsi" w:hAnsiTheme="minorHAnsi" w:cs="Tahoma"/>
          <w:sz w:val="22"/>
          <w:szCs w:val="22"/>
          <w:lang w:val="es-AR"/>
        </w:rPr>
        <w:t xml:space="preserve">El </w:t>
      </w:r>
      <w:r w:rsidR="00FF7842">
        <w:rPr>
          <w:rFonts w:asciiTheme="minorHAnsi" w:hAnsiTheme="minorHAnsi" w:cs="Tahoma"/>
          <w:sz w:val="22"/>
          <w:szCs w:val="22"/>
          <w:lang w:val="es-AR"/>
        </w:rPr>
        <w:t xml:space="preserve">Programa </w:t>
      </w:r>
      <w:r w:rsidR="006465EE">
        <w:rPr>
          <w:rFonts w:asciiTheme="minorHAnsi" w:hAnsiTheme="minorHAnsi" w:cs="Tahoma"/>
          <w:sz w:val="22"/>
          <w:szCs w:val="22"/>
          <w:lang w:val="es-AR"/>
        </w:rPr>
        <w:t xml:space="preserve">de </w:t>
      </w:r>
      <w:r w:rsidR="00FF7842">
        <w:rPr>
          <w:rFonts w:asciiTheme="minorHAnsi" w:hAnsiTheme="minorHAnsi" w:cs="Tahoma"/>
          <w:sz w:val="22"/>
          <w:szCs w:val="22"/>
          <w:lang w:val="es-AR"/>
        </w:rPr>
        <w:t>País 2010-</w:t>
      </w:r>
      <w:r w:rsidR="00B45788">
        <w:rPr>
          <w:rFonts w:asciiTheme="minorHAnsi" w:hAnsiTheme="minorHAnsi" w:cs="Tahoma"/>
          <w:sz w:val="22"/>
          <w:szCs w:val="22"/>
          <w:lang w:val="es-AR"/>
        </w:rPr>
        <w:t>1</w:t>
      </w:r>
      <w:r w:rsidR="000870EF">
        <w:rPr>
          <w:rFonts w:asciiTheme="minorHAnsi" w:hAnsiTheme="minorHAnsi" w:cs="Tahoma"/>
          <w:sz w:val="22"/>
          <w:szCs w:val="22"/>
          <w:lang w:val="es-AR"/>
        </w:rPr>
        <w:t xml:space="preserve">5 </w:t>
      </w:r>
      <w:r w:rsidR="006465EE">
        <w:rPr>
          <w:rFonts w:asciiTheme="minorHAnsi" w:hAnsiTheme="minorHAnsi" w:cs="Tahoma"/>
          <w:sz w:val="22"/>
          <w:szCs w:val="22"/>
          <w:lang w:val="es-AR"/>
        </w:rPr>
        <w:t xml:space="preserve">se planteó </w:t>
      </w:r>
      <w:r w:rsidR="000870EF">
        <w:rPr>
          <w:rFonts w:asciiTheme="minorHAnsi" w:hAnsiTheme="minorHAnsi" w:cs="Tahoma"/>
          <w:sz w:val="22"/>
          <w:szCs w:val="22"/>
          <w:lang w:val="es-AR"/>
        </w:rPr>
        <w:t xml:space="preserve">resultados </w:t>
      </w:r>
      <w:r w:rsidRPr="00FF7842">
        <w:rPr>
          <w:rFonts w:asciiTheme="minorHAnsi" w:hAnsiTheme="minorHAnsi" w:cs="Tahoma"/>
          <w:sz w:val="22"/>
          <w:szCs w:val="22"/>
          <w:lang w:val="es-AR"/>
        </w:rPr>
        <w:t>en tres áreas programáticas (Gobernabilidad Democrática, Desarrollo Inclusivo y Ambiente y Desarrollo Sostenible) y en tres áreas transversales (Equidad de Género, Pacto Global, Cooperación Sur-Sur)</w:t>
      </w:r>
      <w:r w:rsidR="006465EE">
        <w:rPr>
          <w:rFonts w:asciiTheme="minorHAnsi" w:hAnsiTheme="minorHAnsi" w:cs="Tahoma"/>
          <w:sz w:val="22"/>
          <w:szCs w:val="22"/>
          <w:lang w:val="es-AR"/>
        </w:rPr>
        <w:t xml:space="preserve">, </w:t>
      </w:r>
      <w:r w:rsidRPr="00FF7842">
        <w:rPr>
          <w:rFonts w:asciiTheme="minorHAnsi" w:hAnsiTheme="minorHAnsi" w:cs="Tahoma"/>
          <w:sz w:val="22"/>
          <w:szCs w:val="22"/>
          <w:lang w:val="es-AR"/>
        </w:rPr>
        <w:t>en un marco de orientación estratégica</w:t>
      </w:r>
      <w:r w:rsidR="003B5C2A">
        <w:rPr>
          <w:rFonts w:asciiTheme="minorHAnsi" w:hAnsiTheme="minorHAnsi" w:cs="Tahoma"/>
          <w:sz w:val="22"/>
          <w:szCs w:val="22"/>
          <w:lang w:val="es-AR"/>
        </w:rPr>
        <w:t xml:space="preserve"> que se inspira en el paradigma</w:t>
      </w:r>
      <w:r w:rsidRPr="00FF7842">
        <w:rPr>
          <w:rFonts w:asciiTheme="minorHAnsi" w:hAnsiTheme="minorHAnsi" w:cs="Tahoma"/>
          <w:sz w:val="22"/>
          <w:szCs w:val="22"/>
          <w:lang w:val="es-AR"/>
        </w:rPr>
        <w:t xml:space="preserve"> de Desarrollo Humano.</w:t>
      </w:r>
    </w:p>
    <w:p w:rsidR="000B1D58" w:rsidRDefault="000B1D58" w:rsidP="00FF7842">
      <w:pPr>
        <w:widowControl/>
        <w:rPr>
          <w:rFonts w:asciiTheme="minorHAnsi" w:hAnsiTheme="minorHAnsi" w:cs="Calibri"/>
          <w:color w:val="000000"/>
          <w:sz w:val="22"/>
          <w:szCs w:val="22"/>
          <w:lang w:val="es-AR"/>
        </w:rPr>
      </w:pPr>
    </w:p>
    <w:p w:rsidR="00414B10" w:rsidRDefault="006465EE" w:rsidP="006465EE">
      <w:pPr>
        <w:widowControl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 w:cs="Calibri"/>
          <w:color w:val="000000"/>
          <w:sz w:val="22"/>
          <w:szCs w:val="22"/>
          <w:lang w:val="es-AR"/>
        </w:rPr>
        <w:t>Durante e</w:t>
      </w:r>
      <w:r w:rsidR="000B1D58" w:rsidRPr="00FF7842">
        <w:rPr>
          <w:rFonts w:asciiTheme="minorHAnsi" w:hAnsiTheme="minorHAnsi"/>
          <w:sz w:val="22"/>
          <w:szCs w:val="22"/>
          <w:lang w:val="es-AR"/>
        </w:rPr>
        <w:t>l período 2010-15</w:t>
      </w:r>
      <w:r w:rsidR="00414B10">
        <w:rPr>
          <w:rFonts w:asciiTheme="minorHAnsi" w:hAnsiTheme="minorHAnsi"/>
          <w:sz w:val="22"/>
          <w:szCs w:val="22"/>
          <w:lang w:val="es-AR"/>
        </w:rPr>
        <w:t>,</w:t>
      </w:r>
      <w:r w:rsidR="000B1D58" w:rsidRPr="00FF7842">
        <w:rPr>
          <w:rFonts w:asciiTheme="minorHAnsi" w:hAnsiTheme="minorHAnsi"/>
          <w:sz w:val="22"/>
          <w:szCs w:val="22"/>
          <w:lang w:val="es-AR"/>
        </w:rPr>
        <w:t xml:space="preserve"> </w:t>
      </w:r>
      <w:r>
        <w:rPr>
          <w:rFonts w:asciiTheme="minorHAnsi" w:hAnsiTheme="minorHAnsi"/>
          <w:sz w:val="22"/>
          <w:szCs w:val="22"/>
          <w:lang w:val="es-AR"/>
        </w:rPr>
        <w:t xml:space="preserve">el PNUD contribuyó </w:t>
      </w:r>
      <w:r w:rsidR="000B1D58" w:rsidRPr="00FF7842">
        <w:rPr>
          <w:rFonts w:asciiTheme="minorHAnsi" w:hAnsiTheme="minorHAnsi"/>
          <w:sz w:val="22"/>
          <w:szCs w:val="22"/>
          <w:lang w:val="es-AR"/>
        </w:rPr>
        <w:t>al diseño e implementación de las principales políticas públicas del país orientadas a garantizar acceso a servicios sociales y esquemas de protección social junto con iniciativas de crecimiento inclusivo, preservación del</w:t>
      </w:r>
      <w:r w:rsidR="00B16A0D">
        <w:rPr>
          <w:rFonts w:asciiTheme="minorHAnsi" w:hAnsiTheme="minorHAnsi"/>
          <w:sz w:val="22"/>
          <w:szCs w:val="22"/>
          <w:lang w:val="es-AR"/>
        </w:rPr>
        <w:t xml:space="preserve"> medio</w:t>
      </w:r>
      <w:r w:rsidR="000B1D58" w:rsidRPr="00FF7842">
        <w:rPr>
          <w:rFonts w:asciiTheme="minorHAnsi" w:hAnsiTheme="minorHAnsi"/>
          <w:sz w:val="22"/>
          <w:szCs w:val="22"/>
          <w:lang w:val="es-AR"/>
        </w:rPr>
        <w:t xml:space="preserve"> ambiente y fortalecimiento de la institucionalidad del sector público. </w:t>
      </w:r>
    </w:p>
    <w:p w:rsidR="00414B10" w:rsidRDefault="00414B10" w:rsidP="006465EE">
      <w:pPr>
        <w:widowControl/>
        <w:jc w:val="both"/>
        <w:rPr>
          <w:rFonts w:asciiTheme="minorHAnsi" w:hAnsiTheme="minorHAnsi"/>
          <w:sz w:val="22"/>
          <w:szCs w:val="22"/>
          <w:lang w:val="es-AR"/>
        </w:rPr>
      </w:pPr>
    </w:p>
    <w:p w:rsidR="000B1D58" w:rsidRPr="00FF7842" w:rsidRDefault="000B1D58" w:rsidP="006465EE">
      <w:pPr>
        <w:widowControl/>
        <w:jc w:val="both"/>
        <w:rPr>
          <w:rFonts w:asciiTheme="minorHAnsi" w:hAnsiTheme="minorHAnsi"/>
          <w:sz w:val="22"/>
          <w:szCs w:val="22"/>
          <w:lang w:val="es-AR"/>
        </w:rPr>
      </w:pPr>
      <w:r w:rsidRPr="00FF7842">
        <w:rPr>
          <w:rFonts w:asciiTheme="minorHAnsi" w:hAnsiTheme="minorHAnsi"/>
          <w:sz w:val="22"/>
          <w:szCs w:val="22"/>
          <w:lang w:val="es-AR"/>
        </w:rPr>
        <w:t xml:space="preserve">Se destacan como resultados: la prestación de servicios alimentarios de calidad con un abordaje multidimensional que complementa servicios vinculados a niñez, adolescencia </w:t>
      </w:r>
      <w:r w:rsidR="00B50FDA">
        <w:rPr>
          <w:rFonts w:asciiTheme="minorHAnsi" w:hAnsiTheme="minorHAnsi"/>
          <w:sz w:val="22"/>
          <w:szCs w:val="22"/>
          <w:lang w:val="es-AR"/>
        </w:rPr>
        <w:t>y promoción de la</w:t>
      </w:r>
      <w:r w:rsidRPr="00FF7842">
        <w:rPr>
          <w:rFonts w:asciiTheme="minorHAnsi" w:hAnsiTheme="minorHAnsi"/>
          <w:sz w:val="22"/>
          <w:szCs w:val="22"/>
          <w:lang w:val="es-AR"/>
        </w:rPr>
        <w:t xml:space="preserve"> igualdad de género, con una cobertura total de 203.560 personas por año en todo el país (Ministerio de Desarrollo Social); la implementación de políticas activas de empleo que intermedi</w:t>
      </w:r>
      <w:r w:rsidR="00C844A6">
        <w:rPr>
          <w:rFonts w:asciiTheme="minorHAnsi" w:hAnsiTheme="minorHAnsi"/>
          <w:sz w:val="22"/>
          <w:szCs w:val="22"/>
          <w:lang w:val="es-AR"/>
        </w:rPr>
        <w:t>a</w:t>
      </w:r>
      <w:r w:rsidRPr="00FF7842">
        <w:rPr>
          <w:rFonts w:asciiTheme="minorHAnsi" w:hAnsiTheme="minorHAnsi"/>
          <w:sz w:val="22"/>
          <w:szCs w:val="22"/>
          <w:lang w:val="es-AR"/>
        </w:rPr>
        <w:t>n entre oferta y demanda de trabajo alcanzando una cobertura del 75% de la población desempleada (Ministerio de Trabajo</w:t>
      </w:r>
      <w:r w:rsidR="008F3B77">
        <w:rPr>
          <w:rFonts w:asciiTheme="minorHAnsi" w:hAnsiTheme="minorHAnsi"/>
          <w:sz w:val="22"/>
          <w:szCs w:val="22"/>
          <w:lang w:val="es-AR"/>
        </w:rPr>
        <w:t>, Empleo y Seguridad Social</w:t>
      </w:r>
      <w:r w:rsidRPr="00FF7842">
        <w:rPr>
          <w:rFonts w:asciiTheme="minorHAnsi" w:hAnsiTheme="minorHAnsi"/>
          <w:sz w:val="22"/>
          <w:szCs w:val="22"/>
          <w:lang w:val="es-AR"/>
        </w:rPr>
        <w:t>); la ampliación de la cobertura de seguros de salud hasta alcanzar la totalidad de la población (M</w:t>
      </w:r>
      <w:r w:rsidR="008F3B77">
        <w:rPr>
          <w:rFonts w:asciiTheme="minorHAnsi" w:hAnsiTheme="minorHAnsi"/>
          <w:sz w:val="22"/>
          <w:szCs w:val="22"/>
          <w:lang w:val="es-AR"/>
        </w:rPr>
        <w:t xml:space="preserve">inisterio de </w:t>
      </w:r>
      <w:r w:rsidRPr="00FF7842">
        <w:rPr>
          <w:rFonts w:asciiTheme="minorHAnsi" w:hAnsiTheme="minorHAnsi"/>
          <w:sz w:val="22"/>
          <w:szCs w:val="22"/>
          <w:lang w:val="es-AR"/>
        </w:rPr>
        <w:t>S</w:t>
      </w:r>
      <w:r w:rsidR="008F3B77">
        <w:rPr>
          <w:rFonts w:asciiTheme="minorHAnsi" w:hAnsiTheme="minorHAnsi"/>
          <w:sz w:val="22"/>
          <w:szCs w:val="22"/>
          <w:lang w:val="es-AR"/>
        </w:rPr>
        <w:t>alud</w:t>
      </w:r>
      <w:r w:rsidRPr="00FF7842">
        <w:rPr>
          <w:rFonts w:asciiTheme="minorHAnsi" w:hAnsiTheme="minorHAnsi"/>
          <w:sz w:val="22"/>
          <w:szCs w:val="22"/>
          <w:lang w:val="es-AR"/>
        </w:rPr>
        <w:t>); la implementación de iniciativas que promovieron el acceso a justicia de sectores en situación de vulnerabilidad y la utilización de métodos de mediación pre-judicial (Ministerio de Justicia</w:t>
      </w:r>
      <w:r w:rsidR="008F3B77">
        <w:rPr>
          <w:rFonts w:asciiTheme="minorHAnsi" w:hAnsiTheme="minorHAnsi"/>
          <w:sz w:val="22"/>
          <w:szCs w:val="22"/>
          <w:lang w:val="es-AR"/>
        </w:rPr>
        <w:t xml:space="preserve"> y Derechos Humanos</w:t>
      </w:r>
      <w:r w:rsidRPr="00FF7842">
        <w:rPr>
          <w:rFonts w:asciiTheme="minorHAnsi" w:hAnsiTheme="minorHAnsi"/>
          <w:sz w:val="22"/>
          <w:szCs w:val="22"/>
          <w:lang w:val="es-AR"/>
        </w:rPr>
        <w:t xml:space="preserve">); la implementación de la ley de protección integral frente a la violencia contra las mujeres, en el 70% de las provincias del país (Consejo Nacional de las Mujeres); la elaboración de la primera estrategia nacional de cambio climático mediante la conformación de una plataforma interministerial, y la implementación de una ley de protección de bosques nativos, con incidencia en el 18% del territorio argentino (Secretaría de Ambiente y Desarrollo Sustentable). </w:t>
      </w:r>
    </w:p>
    <w:p w:rsidR="000B1D58" w:rsidRPr="00FF7842" w:rsidRDefault="000B1D58" w:rsidP="00FF7842">
      <w:pPr>
        <w:pStyle w:val="ListParagraph"/>
        <w:ind w:left="1800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957BA1" w:rsidRPr="00414B10" w:rsidRDefault="00957BA1" w:rsidP="00FF7842">
      <w:pPr>
        <w:pStyle w:val="BodyText2"/>
        <w:jc w:val="center"/>
        <w:rPr>
          <w:rFonts w:asciiTheme="minorHAnsi" w:hAnsiTheme="minorHAnsi"/>
          <w:b/>
          <w:sz w:val="22"/>
          <w:szCs w:val="22"/>
          <w:lang w:val="es-AR"/>
        </w:rPr>
      </w:pPr>
    </w:p>
    <w:p w:rsidR="00957BA1" w:rsidRPr="00414B10" w:rsidRDefault="00957BA1" w:rsidP="00FF7842">
      <w:pPr>
        <w:pStyle w:val="BodyText2"/>
        <w:jc w:val="center"/>
        <w:rPr>
          <w:rFonts w:asciiTheme="minorHAnsi" w:hAnsiTheme="minorHAnsi"/>
          <w:b/>
          <w:sz w:val="22"/>
          <w:szCs w:val="22"/>
          <w:lang w:val="es-AR"/>
        </w:rPr>
      </w:pPr>
    </w:p>
    <w:p w:rsidR="00957BA1" w:rsidRPr="00414B10" w:rsidRDefault="00957BA1" w:rsidP="00FF7842">
      <w:pPr>
        <w:pStyle w:val="BodyText2"/>
        <w:jc w:val="center"/>
        <w:rPr>
          <w:rFonts w:asciiTheme="minorHAnsi" w:hAnsiTheme="minorHAnsi"/>
          <w:b/>
          <w:sz w:val="22"/>
          <w:szCs w:val="22"/>
          <w:lang w:val="es-AR"/>
        </w:rPr>
      </w:pPr>
    </w:p>
    <w:p w:rsidR="00957BA1" w:rsidRPr="00414B10" w:rsidRDefault="00957BA1" w:rsidP="00FF7842">
      <w:pPr>
        <w:pStyle w:val="BodyText2"/>
        <w:jc w:val="center"/>
        <w:rPr>
          <w:rFonts w:asciiTheme="minorHAnsi" w:hAnsiTheme="minorHAnsi"/>
          <w:b/>
          <w:sz w:val="22"/>
          <w:szCs w:val="22"/>
          <w:lang w:val="es-AR"/>
        </w:rPr>
      </w:pPr>
    </w:p>
    <w:p w:rsidR="00957BA1" w:rsidRPr="00414B10" w:rsidRDefault="00957BA1" w:rsidP="00FF7842">
      <w:pPr>
        <w:pStyle w:val="BodyText2"/>
        <w:jc w:val="center"/>
        <w:rPr>
          <w:rFonts w:asciiTheme="minorHAnsi" w:hAnsiTheme="minorHAnsi"/>
          <w:b/>
          <w:sz w:val="22"/>
          <w:szCs w:val="22"/>
          <w:lang w:val="es-AR"/>
        </w:rPr>
        <w:sectPr w:rsidR="00957BA1" w:rsidRPr="00414B10">
          <w:footerReference w:type="default" r:id="rId8"/>
          <w:endnotePr>
            <w:numFmt w:val="decimal"/>
          </w:endnotePr>
          <w:pgSz w:w="11907" w:h="16840" w:code="9"/>
          <w:pgMar w:top="1440" w:right="1440" w:bottom="1440" w:left="1440" w:header="720" w:footer="720" w:gutter="0"/>
          <w:cols w:space="720"/>
        </w:sectPr>
      </w:pPr>
    </w:p>
    <w:p w:rsidR="00957BA1" w:rsidRPr="00541456" w:rsidRDefault="00541456" w:rsidP="00957BA1">
      <w:pPr>
        <w:pStyle w:val="Heading3"/>
        <w:jc w:val="left"/>
        <w:rPr>
          <w:rFonts w:asciiTheme="minorHAnsi" w:hAnsiTheme="minorHAnsi"/>
          <w:b/>
          <w:bCs w:val="0"/>
          <w:sz w:val="22"/>
          <w:szCs w:val="22"/>
        </w:rPr>
      </w:pPr>
      <w:r w:rsidRPr="00541456">
        <w:rPr>
          <w:rFonts w:asciiTheme="minorHAnsi" w:hAnsiTheme="minorHAnsi"/>
          <w:b/>
          <w:bCs w:val="0"/>
          <w:sz w:val="22"/>
          <w:szCs w:val="22"/>
        </w:rPr>
        <w:lastRenderedPageBreak/>
        <w:t>II: COUNTRY PROGRAMME PERFORMANCE SUMMARY</w:t>
      </w:r>
      <w:r w:rsidR="007D4039">
        <w:rPr>
          <w:rFonts w:asciiTheme="minorHAnsi" w:hAnsiTheme="minorHAnsi"/>
          <w:b/>
          <w:bCs w:val="0"/>
          <w:sz w:val="22"/>
          <w:szCs w:val="22"/>
        </w:rPr>
        <w:t xml:space="preserve">                                                                                         </w:t>
      </w:r>
    </w:p>
    <w:p w:rsidR="00957BA1" w:rsidRPr="005C43BF" w:rsidRDefault="00957BA1" w:rsidP="007D4039">
      <w:pPr>
        <w:pStyle w:val="BodyText2"/>
        <w:ind w:right="-215"/>
        <w:jc w:val="center"/>
        <w:rPr>
          <w:rFonts w:asciiTheme="minorHAnsi" w:hAnsiTheme="minorHAnsi"/>
          <w:b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4111"/>
        <w:gridCol w:w="920"/>
        <w:gridCol w:w="2057"/>
      </w:tblGrid>
      <w:tr w:rsidR="00957BA1" w:rsidRPr="00806D80" w:rsidTr="00265522">
        <w:trPr>
          <w:trHeight w:val="324"/>
        </w:trPr>
        <w:tc>
          <w:tcPr>
            <w:tcW w:w="5387" w:type="dxa"/>
            <w:tcBorders>
              <w:right w:val="nil"/>
            </w:tcBorders>
            <w:shd w:val="clear" w:color="auto" w:fill="FFC000"/>
            <w:vAlign w:val="center"/>
          </w:tcPr>
          <w:p w:rsidR="00957BA1" w:rsidRPr="00806D80" w:rsidRDefault="00957BA1" w:rsidP="007D4039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  <w:r w:rsidRPr="00806D80">
              <w:rPr>
                <w:rFonts w:asciiTheme="minorHAnsi" w:hAnsiTheme="minorHAnsi"/>
                <w:b/>
                <w:sz w:val="22"/>
                <w:szCs w:val="22"/>
              </w:rPr>
              <w:t>Country information</w:t>
            </w:r>
          </w:p>
        </w:tc>
        <w:tc>
          <w:tcPr>
            <w:tcW w:w="8647" w:type="dxa"/>
            <w:gridSpan w:val="4"/>
            <w:tcBorders>
              <w:left w:val="nil"/>
            </w:tcBorders>
            <w:shd w:val="clear" w:color="auto" w:fill="FFC000"/>
            <w:vAlign w:val="center"/>
          </w:tcPr>
          <w:p w:rsidR="00957BA1" w:rsidRPr="00806D80" w:rsidRDefault="00957BA1" w:rsidP="007D4039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7BA1" w:rsidRPr="00806D80" w:rsidTr="00265522">
        <w:trPr>
          <w:trHeight w:val="413"/>
        </w:trPr>
        <w:tc>
          <w:tcPr>
            <w:tcW w:w="14034" w:type="dxa"/>
            <w:gridSpan w:val="5"/>
            <w:shd w:val="clear" w:color="auto" w:fill="F2F2F2" w:themeFill="background1" w:themeFillShade="F2"/>
            <w:vAlign w:val="center"/>
          </w:tcPr>
          <w:p w:rsidR="00957BA1" w:rsidRPr="00806D80" w:rsidRDefault="00957BA1" w:rsidP="004624D8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  <w:r w:rsidRPr="00806D80">
              <w:rPr>
                <w:rFonts w:asciiTheme="minorHAnsi" w:hAnsiTheme="minorHAnsi"/>
                <w:b/>
                <w:sz w:val="22"/>
                <w:szCs w:val="22"/>
              </w:rPr>
              <w:t xml:space="preserve">Country name: </w:t>
            </w:r>
            <w:r w:rsidR="009E43E5" w:rsidRPr="00806D80">
              <w:rPr>
                <w:rFonts w:asciiTheme="minorHAnsi" w:hAnsiTheme="minorHAnsi"/>
                <w:sz w:val="22"/>
                <w:szCs w:val="22"/>
              </w:rPr>
              <w:t>Argentina</w:t>
            </w:r>
          </w:p>
        </w:tc>
      </w:tr>
      <w:tr w:rsidR="00957BA1" w:rsidRPr="00806D80" w:rsidTr="00265522">
        <w:trPr>
          <w:trHeight w:val="434"/>
        </w:trPr>
        <w:tc>
          <w:tcPr>
            <w:tcW w:w="14034" w:type="dxa"/>
            <w:gridSpan w:val="5"/>
            <w:shd w:val="clear" w:color="auto" w:fill="F2F2F2" w:themeFill="background1" w:themeFillShade="F2"/>
            <w:vAlign w:val="center"/>
          </w:tcPr>
          <w:p w:rsidR="00957BA1" w:rsidRPr="00806D80" w:rsidRDefault="00957BA1" w:rsidP="004624D8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  <w:r w:rsidRPr="00806D80">
              <w:rPr>
                <w:rFonts w:asciiTheme="minorHAnsi" w:hAnsiTheme="minorHAnsi"/>
                <w:b/>
                <w:sz w:val="22"/>
                <w:szCs w:val="22"/>
              </w:rPr>
              <w:t xml:space="preserve">Current country programme period: </w:t>
            </w:r>
            <w:r w:rsidRPr="00806D80">
              <w:rPr>
                <w:rFonts w:asciiTheme="minorHAnsi" w:hAnsiTheme="minorHAnsi"/>
                <w:sz w:val="22"/>
                <w:szCs w:val="22"/>
              </w:rPr>
              <w:t>2010 -2015</w:t>
            </w:r>
            <w:r w:rsidR="00A879E1" w:rsidRPr="00806D80">
              <w:rPr>
                <w:rStyle w:val="FootnoteReferenc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</w:tr>
      <w:tr w:rsidR="00957BA1" w:rsidRPr="00811EE3" w:rsidTr="00265522">
        <w:trPr>
          <w:trHeight w:val="477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957BA1" w:rsidRPr="00811EE3" w:rsidRDefault="00957BA1" w:rsidP="00980D8C">
            <w:pPr>
              <w:pStyle w:val="BodyText2"/>
              <w:jc w:val="center"/>
              <w:rPr>
                <w:rFonts w:asciiTheme="minorHAnsi" w:hAnsiTheme="minorHAnsi"/>
                <w:b/>
              </w:rPr>
            </w:pPr>
            <w:r w:rsidRPr="00811EE3">
              <w:rPr>
                <w:rFonts w:asciiTheme="minorHAnsi" w:hAnsiTheme="minorHAnsi"/>
                <w:b/>
              </w:rPr>
              <w:t>Outcomes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57BA1" w:rsidRPr="00811EE3" w:rsidRDefault="00957BA1" w:rsidP="00980D8C">
            <w:pPr>
              <w:pStyle w:val="BodyText2"/>
              <w:jc w:val="center"/>
              <w:rPr>
                <w:rFonts w:asciiTheme="minorHAnsi" w:hAnsiTheme="minorHAnsi"/>
                <w:b/>
              </w:rPr>
            </w:pPr>
            <w:r w:rsidRPr="00811EE3">
              <w:rPr>
                <w:rFonts w:asciiTheme="minorHAnsi" w:hAnsiTheme="minorHAnsi"/>
                <w:b/>
              </w:rPr>
              <w:t>Total Expenditure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7BA1" w:rsidRPr="00811EE3" w:rsidRDefault="00957BA1" w:rsidP="00980D8C">
            <w:pPr>
              <w:pStyle w:val="BodyText2"/>
              <w:jc w:val="center"/>
              <w:rPr>
                <w:rFonts w:asciiTheme="minorHAnsi" w:hAnsiTheme="minorHAnsi"/>
                <w:b/>
              </w:rPr>
            </w:pPr>
            <w:r w:rsidRPr="00811EE3">
              <w:rPr>
                <w:rFonts w:asciiTheme="minorHAnsi" w:hAnsiTheme="minorHAnsi"/>
                <w:b/>
              </w:rPr>
              <w:t>Key Indicators of outcome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957BA1" w:rsidRPr="00811EE3" w:rsidRDefault="00957BA1" w:rsidP="00980D8C">
            <w:pPr>
              <w:pStyle w:val="BodyText2"/>
              <w:jc w:val="center"/>
              <w:rPr>
                <w:rFonts w:asciiTheme="minorHAnsi" w:hAnsiTheme="minorHAnsi"/>
                <w:b/>
              </w:rPr>
            </w:pPr>
            <w:r w:rsidRPr="00811EE3">
              <w:rPr>
                <w:rFonts w:asciiTheme="minorHAnsi" w:hAnsiTheme="minorHAnsi"/>
                <w:b/>
              </w:rPr>
              <w:t>Progress made against key indicators</w:t>
            </w:r>
          </w:p>
        </w:tc>
      </w:tr>
      <w:tr w:rsidR="00957BA1" w:rsidRPr="003B5C2A" w:rsidTr="00265522">
        <w:tc>
          <w:tcPr>
            <w:tcW w:w="538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1F7C4A" w:rsidRPr="00A879E1" w:rsidRDefault="00957BA1" w:rsidP="00CF0C4B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</w:pPr>
            <w:r w:rsidRPr="00A879E1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t>OUTCOME 1</w:t>
            </w:r>
          </w:p>
          <w:p w:rsidR="00957BA1" w:rsidRPr="00811EE3" w:rsidRDefault="001F7C4A" w:rsidP="00CF0C4B">
            <w:pPr>
              <w:pStyle w:val="BodyText2"/>
              <w:jc w:val="both"/>
              <w:rPr>
                <w:rFonts w:asciiTheme="minorHAnsi" w:hAnsiTheme="minorHAnsi"/>
                <w:b/>
                <w:lang w:val="es-AR"/>
              </w:rPr>
            </w:pPr>
            <w:r w:rsidRPr="00980D8C">
              <w:rPr>
                <w:rFonts w:asciiTheme="minorHAnsi" w:hAnsiTheme="minorHAnsi"/>
                <w:lang w:val="es-AR"/>
              </w:rPr>
              <w:t xml:space="preserve">Iniciativas productivas fortalecidos para incrementar las oportunidades de empleo y acrecentar el ingreso mejorando la equidad, la competitividad y la sostenibilidad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879E1" w:rsidRPr="004624D8" w:rsidRDefault="00DE11BA" w:rsidP="004267A9">
            <w:pPr>
              <w:pStyle w:val="BodyText2"/>
              <w:jc w:val="right"/>
              <w:rPr>
                <w:rFonts w:ascii="Calibri" w:hAnsi="Calibri"/>
                <w:color w:val="000000"/>
              </w:rPr>
            </w:pPr>
            <w:r w:rsidRPr="004624D8">
              <w:rPr>
                <w:rFonts w:asciiTheme="minorHAnsi" w:hAnsiTheme="minorHAnsi"/>
              </w:rPr>
              <w:t>$</w:t>
            </w:r>
            <w:r w:rsidR="007D4039" w:rsidRPr="004624D8">
              <w:rPr>
                <w:rFonts w:asciiTheme="minorHAnsi" w:hAnsiTheme="minorHAnsi"/>
              </w:rPr>
              <w:t xml:space="preserve"> </w:t>
            </w:r>
            <w:r w:rsidR="00A879E1" w:rsidRPr="004624D8">
              <w:rPr>
                <w:rFonts w:ascii="Calibri" w:hAnsi="Calibri"/>
                <w:color w:val="000000"/>
              </w:rPr>
              <w:t xml:space="preserve">76,506,054 </w:t>
            </w:r>
          </w:p>
          <w:p w:rsidR="00957BA1" w:rsidRPr="00811EE3" w:rsidRDefault="00957BA1" w:rsidP="00CF0C4B">
            <w:pPr>
              <w:pStyle w:val="BodyText2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957BA1" w:rsidRPr="00811EE3" w:rsidRDefault="00811EE3" w:rsidP="00CF0C4B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i/>
                <w:sz w:val="20"/>
                <w:szCs w:val="20"/>
                <w:lang w:val="es-AR"/>
              </w:rPr>
            </w:pPr>
            <w:r w:rsidRPr="00811EE3">
              <w:rPr>
                <w:rFonts w:asciiTheme="minorHAnsi" w:hAnsiTheme="minorHAnsi"/>
                <w:sz w:val="20"/>
                <w:szCs w:val="20"/>
                <w:lang w:val="es-AR"/>
              </w:rPr>
              <w:t>P</w:t>
            </w:r>
            <w:r w:rsidR="00C063C8" w:rsidRPr="00811EE3">
              <w:rPr>
                <w:rFonts w:asciiTheme="minorHAnsi" w:hAnsiTheme="minorHAnsi"/>
                <w:sz w:val="20"/>
                <w:szCs w:val="20"/>
                <w:lang w:val="es-AR"/>
              </w:rPr>
              <w:t>orcentaje de iniciativas apoyadas con valoración positiva sobre su sostenibilidad económica y ambiental y su contribución a la generación de empleo de calidad e ingresos para los sectores de menores recursos</w:t>
            </w:r>
            <w:r w:rsidR="008633A2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  <w:r w:rsidR="00C063C8" w:rsidRPr="00811EE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BA1" w:rsidRPr="00811EE3" w:rsidRDefault="00760F31" w:rsidP="00CF0C4B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 xml:space="preserve">Sin </w:t>
            </w:r>
            <w:r w:rsidRPr="00760F31">
              <w:rPr>
                <w:rFonts w:asciiTheme="minorHAnsi" w:hAnsiTheme="minorHAnsi"/>
                <w:sz w:val="20"/>
                <w:szCs w:val="20"/>
                <w:lang w:val="es-AR"/>
              </w:rPr>
              <w:t>información</w:t>
            </w:r>
            <w:r>
              <w:rPr>
                <w:rFonts w:asciiTheme="minorHAnsi" w:hAnsiTheme="minorHAnsi"/>
                <w:sz w:val="20"/>
                <w:lang w:val="es-AR"/>
              </w:rPr>
              <w:t xml:space="preserve"> disponible (el estudio no se realizó)</w:t>
            </w:r>
          </w:p>
        </w:tc>
      </w:tr>
      <w:tr w:rsidR="00957BA1" w:rsidRPr="003B5C2A" w:rsidTr="00265522">
        <w:tc>
          <w:tcPr>
            <w:tcW w:w="14034" w:type="dxa"/>
            <w:gridSpan w:val="5"/>
          </w:tcPr>
          <w:p w:rsidR="004624D8" w:rsidRDefault="004624D8" w:rsidP="00980D8C">
            <w:pPr>
              <w:pStyle w:val="BodyText2"/>
              <w:rPr>
                <w:rFonts w:asciiTheme="minorHAnsi" w:hAnsiTheme="minorHAnsi"/>
                <w:b/>
                <w:lang w:val="es-AR"/>
              </w:rPr>
            </w:pPr>
          </w:p>
          <w:p w:rsidR="001F7C4A" w:rsidRPr="008633A2" w:rsidRDefault="001F7C4A" w:rsidP="00980D8C">
            <w:pPr>
              <w:pStyle w:val="BodyText2"/>
              <w:rPr>
                <w:rFonts w:asciiTheme="minorHAnsi" w:hAnsiTheme="minorHAnsi"/>
                <w:b/>
                <w:lang w:val="es-AR"/>
              </w:rPr>
            </w:pPr>
            <w:r w:rsidRPr="008633A2">
              <w:rPr>
                <w:rFonts w:asciiTheme="minorHAnsi" w:hAnsiTheme="minorHAnsi"/>
                <w:b/>
                <w:lang w:val="es-AR"/>
              </w:rPr>
              <w:t>UNDP Contribution:</w:t>
            </w:r>
          </w:p>
          <w:p w:rsidR="001F7C4A" w:rsidRPr="008633A2" w:rsidRDefault="001F7C4A" w:rsidP="00980D8C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</w:p>
          <w:p w:rsidR="001F7C4A" w:rsidRPr="008633A2" w:rsidRDefault="001F7C4A" w:rsidP="00980D8C">
            <w:pPr>
              <w:pStyle w:val="BodyText2"/>
              <w:rPr>
                <w:rFonts w:asciiTheme="minorHAnsi" w:hAnsiTheme="minorHAnsi"/>
                <w:lang w:val="es-AR"/>
              </w:rPr>
            </w:pPr>
            <w:r w:rsidRPr="008633A2">
              <w:rPr>
                <w:rFonts w:asciiTheme="minorHAnsi" w:hAnsiTheme="minorHAnsi"/>
                <w:u w:val="single"/>
                <w:lang w:val="es-AR"/>
              </w:rPr>
              <w:t>CP Outputs</w:t>
            </w:r>
            <w:r w:rsidRPr="008633A2">
              <w:rPr>
                <w:rFonts w:asciiTheme="minorHAnsi" w:hAnsiTheme="minorHAnsi"/>
                <w:lang w:val="es-AR"/>
              </w:rPr>
              <w:t xml:space="preserve">: </w:t>
            </w:r>
          </w:p>
          <w:p w:rsidR="00C063C8" w:rsidRPr="008633A2" w:rsidRDefault="00C063C8" w:rsidP="00980D8C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15763C" w:rsidRDefault="00C063C8" w:rsidP="00F809C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11EE3">
              <w:rPr>
                <w:rFonts w:asciiTheme="minorHAnsi" w:hAnsiTheme="minorHAnsi"/>
                <w:sz w:val="20"/>
                <w:szCs w:val="20"/>
                <w:lang w:val="es-AR"/>
              </w:rPr>
              <w:t>1. Planes y programas de asistencia a iniciativas productivas para su integración competitiva en mercados internos y externos, elaborados y puestos</w:t>
            </w:r>
            <w:r w:rsidR="00811EE3" w:rsidRPr="00811EE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Pr="00811EE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en práctica. </w:t>
            </w:r>
          </w:p>
          <w:p w:rsidR="0015763C" w:rsidRDefault="00C063C8" w:rsidP="00F809C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11EE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2. Estrategias de planificación local y regional aplicadas para reducir disparidades espaciales del ingreso, mediante un desarrollo productivo. </w:t>
            </w:r>
          </w:p>
          <w:p w:rsidR="0015763C" w:rsidRDefault="00C063C8" w:rsidP="00F809C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11EE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3. Programa en curso de apoyo a empresas autogestionadas para preservar el empleo y su sostenibilidad competitiva. </w:t>
            </w:r>
          </w:p>
          <w:p w:rsidR="00C063C8" w:rsidRPr="00811EE3" w:rsidRDefault="00C063C8" w:rsidP="00F809C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11EE3">
              <w:rPr>
                <w:rFonts w:asciiTheme="minorHAnsi" w:hAnsiTheme="minorHAnsi"/>
                <w:sz w:val="20"/>
                <w:szCs w:val="20"/>
                <w:lang w:val="es-AR"/>
              </w:rPr>
              <w:t>4. Instituciones fortalecidas</w:t>
            </w:r>
            <w:r w:rsidR="00811EE3" w:rsidRPr="00811EE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Pr="00811EE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y estrategias formuladas a nivel provincial y nacional para promover una producción no contaminante y un uso racional de la energía. </w:t>
            </w:r>
          </w:p>
          <w:p w:rsidR="00C063C8" w:rsidRPr="00811EE3" w:rsidRDefault="00C063C8" w:rsidP="00980D8C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1F7C4A" w:rsidRPr="00CA6233" w:rsidRDefault="001F7C4A" w:rsidP="00980D8C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  <w:r w:rsidRPr="00CA6233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CA6233" w:rsidRDefault="00CA6233" w:rsidP="00CA6233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lang w:val="es-AR"/>
              </w:rPr>
            </w:pPr>
          </w:p>
          <w:p w:rsidR="00DB6130" w:rsidRDefault="00CA6233" w:rsidP="00F809C5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CA6233">
              <w:rPr>
                <w:rFonts w:asciiTheme="minorHAnsi" w:hAnsiTheme="minorHAnsi"/>
                <w:sz w:val="20"/>
                <w:lang w:val="es-AR"/>
              </w:rPr>
              <w:t xml:space="preserve">El PNUD contribuyó al desarrollo de instrumentos que fomentaron el desarrollo productivo a través de la mejora de la competitividad doméstica e internacional y la innovación. </w:t>
            </w:r>
            <w:r w:rsidR="006E7151">
              <w:rPr>
                <w:rFonts w:asciiTheme="minorHAnsi" w:hAnsiTheme="minorHAnsi"/>
                <w:sz w:val="20"/>
                <w:lang w:val="es-AR"/>
              </w:rPr>
              <w:t>C</w:t>
            </w:r>
            <w:r w:rsidRPr="00CA6233">
              <w:rPr>
                <w:rFonts w:asciiTheme="minorHAnsi" w:hAnsiTheme="minorHAnsi"/>
                <w:sz w:val="20"/>
                <w:lang w:val="es-AR"/>
              </w:rPr>
              <w:t>omo incentivos se emplean las asistencias técnica y financiera y aportes no reembolsables, son beneficiaros formales los emprendimientos de menor magnitud relativa (MiPyMEs) por concentrar la mayor parte de la fuerza de trabajo tendiendo hacia una mayor equidad y una mejora en la distribución del ingreso.</w:t>
            </w:r>
          </w:p>
          <w:p w:rsidR="00C21678" w:rsidRDefault="00C21678" w:rsidP="00CA6233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lang w:val="es-AR"/>
              </w:rPr>
            </w:pPr>
          </w:p>
          <w:p w:rsidR="00CA6233" w:rsidRPr="00CA6233" w:rsidRDefault="00DB6130" w:rsidP="00CA6233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>Como logros se destacan:</w:t>
            </w:r>
          </w:p>
          <w:p w:rsidR="00CA6233" w:rsidRPr="00C21678" w:rsidRDefault="00CA6233" w:rsidP="00BF24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C21678">
              <w:rPr>
                <w:rFonts w:asciiTheme="minorHAnsi" w:hAnsiTheme="minorHAnsi"/>
                <w:sz w:val="20"/>
                <w:lang w:val="es-AR"/>
              </w:rPr>
              <w:t>Conformación de grupos asociativos orientados a promover la asociatividad entre unidades productivas del mismo sector o cadenas de valor que funcionan de forma integrada y articulada en un determinado territorio para la conformación de clusters: grupos asociativos asistidos y proyectos de inversión asociativos</w:t>
            </w:r>
            <w:r w:rsidR="005A48BD" w:rsidRPr="00C21678">
              <w:rPr>
                <w:rFonts w:asciiTheme="minorHAnsi" w:hAnsiTheme="minorHAnsi"/>
                <w:sz w:val="20"/>
                <w:lang w:val="es-AR"/>
              </w:rPr>
              <w:t xml:space="preserve">, </w:t>
            </w:r>
            <w:r w:rsidRPr="00C21678">
              <w:rPr>
                <w:rFonts w:asciiTheme="minorHAnsi" w:hAnsiTheme="minorHAnsi"/>
                <w:sz w:val="20"/>
                <w:lang w:val="es-AR"/>
              </w:rPr>
              <w:t>créditos para financiar planes de negocios y aportes no reembolsables a MIPyMES (planes de mejora de la competitividad).</w:t>
            </w:r>
          </w:p>
          <w:p w:rsidR="00CA6233" w:rsidRPr="00C21678" w:rsidRDefault="00CA6233" w:rsidP="00BF24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C21678">
              <w:rPr>
                <w:rFonts w:asciiTheme="minorHAnsi" w:hAnsiTheme="minorHAnsi"/>
                <w:sz w:val="20"/>
                <w:lang w:val="es-AR"/>
              </w:rPr>
              <w:lastRenderedPageBreak/>
              <w:t xml:space="preserve">Implementación de </w:t>
            </w:r>
            <w:r w:rsidR="005A48BD" w:rsidRPr="00C21678">
              <w:rPr>
                <w:rFonts w:asciiTheme="minorHAnsi" w:hAnsiTheme="minorHAnsi"/>
                <w:sz w:val="20"/>
                <w:lang w:val="es-AR"/>
              </w:rPr>
              <w:t xml:space="preserve">un </w:t>
            </w:r>
            <w:r w:rsidRPr="00C21678">
              <w:rPr>
                <w:rFonts w:asciiTheme="minorHAnsi" w:hAnsiTheme="minorHAnsi"/>
                <w:sz w:val="20"/>
                <w:lang w:val="es-AR"/>
              </w:rPr>
              <w:t>programa de innovación productiva en MiPyMEs.</w:t>
            </w:r>
          </w:p>
          <w:p w:rsidR="00C21678" w:rsidRPr="00C21678" w:rsidRDefault="00CA6233" w:rsidP="00BF24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C21678">
              <w:rPr>
                <w:rFonts w:asciiTheme="minorHAnsi" w:hAnsiTheme="minorHAnsi"/>
                <w:sz w:val="20"/>
                <w:lang w:val="es-AR"/>
              </w:rPr>
              <w:t>Creación y puesta en marcha de Centros de Servicios Industriales y Laboratorios de Investigación en</w:t>
            </w:r>
            <w:r w:rsidR="005A48BD" w:rsidRPr="00C21678">
              <w:rPr>
                <w:rFonts w:asciiTheme="minorHAnsi" w:hAnsiTheme="minorHAnsi"/>
                <w:sz w:val="20"/>
                <w:lang w:val="es-AR"/>
              </w:rPr>
              <w:t xml:space="preserve"> </w:t>
            </w:r>
            <w:r w:rsidRPr="00C21678">
              <w:rPr>
                <w:rFonts w:asciiTheme="minorHAnsi" w:hAnsiTheme="minorHAnsi"/>
                <w:sz w:val="20"/>
                <w:lang w:val="es-AR"/>
              </w:rPr>
              <w:t xml:space="preserve">aglomerados industriales locales conformadas por pequeños y medianos productores. </w:t>
            </w:r>
          </w:p>
          <w:p w:rsidR="00C21678" w:rsidRPr="00C21678" w:rsidRDefault="00CA6233" w:rsidP="00BF24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C21678">
              <w:rPr>
                <w:rFonts w:asciiTheme="minorHAnsi" w:hAnsiTheme="minorHAnsi"/>
                <w:sz w:val="20"/>
                <w:lang w:val="es-AR"/>
              </w:rPr>
              <w:t>Incorporación de técnicas productivas ambiental y socialmente sustentables e iniciativas que promueven la organización cooperativa como modo de producción.</w:t>
            </w:r>
          </w:p>
          <w:p w:rsidR="001F7C4A" w:rsidRDefault="00C21678" w:rsidP="00BF24E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C21678">
              <w:rPr>
                <w:rFonts w:asciiTheme="minorHAnsi" w:hAnsiTheme="minorHAnsi"/>
                <w:sz w:val="20"/>
                <w:lang w:val="es-AR"/>
              </w:rPr>
              <w:t>R</w:t>
            </w:r>
            <w:r w:rsidR="00CA6233" w:rsidRPr="00C21678">
              <w:rPr>
                <w:rFonts w:asciiTheme="minorHAnsi" w:hAnsiTheme="minorHAnsi"/>
                <w:sz w:val="20"/>
                <w:lang w:val="es-AR"/>
              </w:rPr>
              <w:t xml:space="preserve">ealización de acciones concretas de remediación en el sector extractivos que redundarán en una disminución del impacto ambiental con externalidades positivas para las poblaciones locales afectadas. </w:t>
            </w:r>
          </w:p>
          <w:p w:rsidR="00BF24E1" w:rsidRPr="00455E16" w:rsidRDefault="00455E16" w:rsidP="00455E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 xml:space="preserve">Equipamiento de </w:t>
            </w:r>
            <w:r w:rsidR="00BF24E1" w:rsidRPr="00455E16">
              <w:rPr>
                <w:rFonts w:asciiTheme="minorHAnsi" w:hAnsiTheme="minorHAnsi"/>
                <w:sz w:val="20"/>
                <w:lang w:val="es-AR"/>
              </w:rPr>
              <w:t xml:space="preserve">centros informáticos administrados por organizaciones de la sociedad civil, </w:t>
            </w:r>
            <w:r>
              <w:rPr>
                <w:rFonts w:asciiTheme="minorHAnsi" w:hAnsiTheme="minorHAnsi"/>
                <w:sz w:val="20"/>
                <w:lang w:val="es-AR"/>
              </w:rPr>
              <w:t>o</w:t>
            </w:r>
            <w:r w:rsidR="00BF24E1" w:rsidRPr="00455E16">
              <w:rPr>
                <w:rFonts w:asciiTheme="minorHAnsi" w:hAnsiTheme="minorHAnsi"/>
                <w:sz w:val="20"/>
                <w:lang w:val="es-AR"/>
              </w:rPr>
              <w:t>rientados al acceso a las tecnologías de la información de pequeños emprendedores de localidades pequeñas del interior de país.</w:t>
            </w:r>
          </w:p>
          <w:p w:rsidR="00BF24E1" w:rsidRPr="00455E16" w:rsidRDefault="00BF24E1" w:rsidP="00455E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455E16">
              <w:rPr>
                <w:rFonts w:asciiTheme="minorHAnsi" w:hAnsiTheme="minorHAnsi"/>
                <w:sz w:val="20"/>
                <w:lang w:val="es-AR"/>
              </w:rPr>
              <w:t>Desarrollo de una metodología para la implementación de proyectos de microemprendimientos a nivel local, a través de un proyecto de microcrédito en las Provincias del Norte Argentino, focalizado en mujeres microempresarias.</w:t>
            </w:r>
          </w:p>
          <w:p w:rsidR="00C21678" w:rsidRPr="00C21678" w:rsidRDefault="00C21678" w:rsidP="00455E1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0"/>
                <w:lang w:val="es-AR"/>
              </w:rPr>
            </w:pPr>
          </w:p>
        </w:tc>
      </w:tr>
      <w:tr w:rsidR="00622CF3" w:rsidRPr="003B5C2A" w:rsidTr="00265522">
        <w:tc>
          <w:tcPr>
            <w:tcW w:w="538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622CF3" w:rsidRPr="00A879E1" w:rsidRDefault="00622CF3" w:rsidP="003D6A75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</w:pPr>
            <w:r w:rsidRPr="00A879E1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lastRenderedPageBreak/>
              <w:t xml:space="preserve">OUTCOME </w:t>
            </w:r>
            <w:r w:rsidR="00980D8C" w:rsidRPr="00A879E1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t>2</w:t>
            </w:r>
          </w:p>
          <w:p w:rsidR="00980D8C" w:rsidRPr="00980D8C" w:rsidRDefault="00980D8C" w:rsidP="003D6A75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980D8C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s-AR"/>
              </w:rPr>
              <w:t>Políticas y estrategias diseñadas y aplicadas para ordenamiento y conservación de tierras, bosques, recursos hídricos y diversidad biológica.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22CF3" w:rsidRPr="00980D8C" w:rsidRDefault="008402FC" w:rsidP="004267A9">
            <w:pPr>
              <w:widowControl/>
              <w:jc w:val="right"/>
              <w:rPr>
                <w:rFonts w:asciiTheme="minorHAnsi" w:hAnsiTheme="minorHAnsi"/>
                <w:lang w:val="es-AR"/>
              </w:rPr>
            </w:pPr>
            <w:r w:rsidRPr="007578A1">
              <w:rPr>
                <w:rFonts w:ascii="Calibri" w:hAnsi="Calibri"/>
                <w:color w:val="000000"/>
                <w:sz w:val="20"/>
              </w:rPr>
              <w:t>$ 20,601,390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622CF3" w:rsidRPr="00980D8C" w:rsidRDefault="008633A2" w:rsidP="003D6A75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Cantidad de provincias con gran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cobertura forestal que aplican normativas territoriales para la conservación de los recursos naturales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2CF3" w:rsidRPr="00522305" w:rsidRDefault="00CD7609" w:rsidP="003D6A75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>21</w:t>
            </w:r>
            <w:r w:rsidR="00010B7D">
              <w:rPr>
                <w:rFonts w:asciiTheme="minorHAnsi" w:hAnsiTheme="minorHAnsi"/>
                <w:sz w:val="20"/>
                <w:lang w:val="es-AR"/>
              </w:rPr>
              <w:t xml:space="preserve"> </w:t>
            </w:r>
            <w:r w:rsidR="00010B7D" w:rsidRPr="00CD7609">
              <w:rPr>
                <w:rFonts w:asciiTheme="minorHAnsi" w:hAnsiTheme="minorHAnsi"/>
                <w:sz w:val="20"/>
                <w:szCs w:val="20"/>
                <w:lang w:val="es-AR"/>
              </w:rPr>
              <w:t>provincias</w:t>
            </w:r>
            <w:r w:rsidR="00010B7D">
              <w:rPr>
                <w:rFonts w:asciiTheme="minorHAnsi" w:hAnsiTheme="minorHAnsi"/>
                <w:sz w:val="20"/>
                <w:lang w:val="es-AR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s-AR"/>
              </w:rPr>
              <w:t>aprobaron</w:t>
            </w:r>
            <w:r w:rsidR="00010B7D">
              <w:rPr>
                <w:rFonts w:asciiTheme="minorHAnsi" w:hAnsiTheme="minorHAnsi"/>
                <w:sz w:val="20"/>
                <w:lang w:val="es-AR"/>
              </w:rPr>
              <w:t xml:space="preserve"> leyes de ordenamiento territorial </w:t>
            </w:r>
            <w:r>
              <w:rPr>
                <w:rFonts w:asciiTheme="minorHAnsi" w:hAnsiTheme="minorHAnsi"/>
                <w:sz w:val="20"/>
                <w:lang w:val="es-AR"/>
              </w:rPr>
              <w:t>(2014)</w:t>
            </w:r>
          </w:p>
        </w:tc>
      </w:tr>
      <w:tr w:rsidR="00622CF3" w:rsidRPr="003B5C2A" w:rsidTr="00265522">
        <w:tc>
          <w:tcPr>
            <w:tcW w:w="14034" w:type="dxa"/>
            <w:gridSpan w:val="5"/>
          </w:tcPr>
          <w:p w:rsidR="008633A2" w:rsidRPr="008633A2" w:rsidRDefault="008633A2" w:rsidP="003D6A75">
            <w:pPr>
              <w:pStyle w:val="BodyText2"/>
              <w:jc w:val="both"/>
              <w:rPr>
                <w:rFonts w:asciiTheme="minorHAnsi" w:hAnsiTheme="minorHAnsi"/>
                <w:b/>
                <w:lang w:val="es-AR"/>
              </w:rPr>
            </w:pPr>
            <w:r w:rsidRPr="008633A2">
              <w:rPr>
                <w:rFonts w:asciiTheme="minorHAnsi" w:hAnsiTheme="minorHAnsi"/>
                <w:b/>
                <w:lang w:val="es-AR"/>
              </w:rPr>
              <w:t>UNDP Contribution:</w:t>
            </w:r>
          </w:p>
          <w:p w:rsidR="008633A2" w:rsidRPr="008633A2" w:rsidRDefault="008633A2" w:rsidP="003D6A75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</w:p>
          <w:p w:rsidR="008633A2" w:rsidRPr="008633A2" w:rsidRDefault="008633A2" w:rsidP="003D6A75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  <w:r w:rsidRPr="008633A2">
              <w:rPr>
                <w:rFonts w:asciiTheme="minorHAnsi" w:hAnsiTheme="minorHAnsi"/>
                <w:u w:val="single"/>
                <w:lang w:val="es-AR"/>
              </w:rPr>
              <w:t>CP Outputs</w:t>
            </w:r>
            <w:r w:rsidRPr="008633A2">
              <w:rPr>
                <w:rFonts w:asciiTheme="minorHAnsi" w:hAnsiTheme="minorHAnsi"/>
                <w:lang w:val="es-AR"/>
              </w:rPr>
              <w:t xml:space="preserve">: </w:t>
            </w:r>
          </w:p>
          <w:p w:rsidR="00760F31" w:rsidRDefault="00760F31" w:rsidP="003D6A7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:rsidR="008633A2" w:rsidRDefault="0015763C" w:rsidP="003D6A7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1. Normativas de ordenamiento territorial ambiental a nivel nacional, provincial y municipal formuladas y en ejecución. </w:t>
            </w:r>
          </w:p>
          <w:p w:rsidR="0015763C" w:rsidRPr="008633A2" w:rsidRDefault="0015763C" w:rsidP="003D6A75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2. Nuevos instrumentos económicos y financieros con participación ciudadana, y enfoque de género, puestos en marcha, especialmente en comunidades locales para promover la conservación de la base de recursos naturales. </w:t>
            </w:r>
          </w:p>
          <w:p w:rsidR="00622CF3" w:rsidRDefault="00622CF3" w:rsidP="003D6A75">
            <w:pPr>
              <w:jc w:val="both"/>
              <w:rPr>
                <w:rFonts w:asciiTheme="minorHAnsi" w:hAnsiTheme="minorHAnsi" w:cs="Helvetica"/>
                <w:sz w:val="20"/>
                <w:lang w:val="es-AR"/>
              </w:rPr>
            </w:pPr>
          </w:p>
          <w:p w:rsidR="00760F31" w:rsidRPr="00B16A0D" w:rsidRDefault="00760F31" w:rsidP="003D6A75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  <w:r w:rsidRPr="00B16A0D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F245D5" w:rsidRPr="00B16A0D" w:rsidRDefault="00F245D5" w:rsidP="003D6A75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</w:p>
          <w:p w:rsidR="003D6A75" w:rsidRDefault="00793B18" w:rsidP="00EE44C0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Se</w:t>
            </w:r>
            <w:r w:rsidRPr="00B97C15">
              <w:rPr>
                <w:rFonts w:asciiTheme="minorHAnsi" w:hAnsiTheme="minorHAnsi"/>
                <w:lang w:val="es-AR"/>
              </w:rPr>
              <w:t xml:space="preserve"> contribuyó al diseño e implementación de políticas que permitieron la conservación de recursos naturales</w:t>
            </w:r>
            <w:r>
              <w:rPr>
                <w:rFonts w:asciiTheme="minorHAnsi" w:hAnsiTheme="minorHAnsi"/>
                <w:lang w:val="es-AR"/>
              </w:rPr>
              <w:t xml:space="preserve">. </w:t>
            </w:r>
            <w:r w:rsidR="00EE44C0" w:rsidRPr="00EE44C0">
              <w:rPr>
                <w:rFonts w:asciiTheme="minorHAnsi" w:hAnsiTheme="minorHAnsi"/>
                <w:lang w:val="es-AR"/>
              </w:rPr>
              <w:t>El PNUD es considerado un socio estratégico en procesos como la Estrategia Nacional de Biodiversidad o la preparación de la Estrategia REDD</w:t>
            </w:r>
            <w:r w:rsidR="00EE44C0">
              <w:rPr>
                <w:rFonts w:asciiTheme="minorHAnsi" w:hAnsiTheme="minorHAnsi"/>
                <w:lang w:val="es-AR"/>
              </w:rPr>
              <w:t xml:space="preserve"> y</w:t>
            </w:r>
            <w:r w:rsidR="00EE44C0" w:rsidRPr="00EE44C0">
              <w:rPr>
                <w:rFonts w:asciiTheme="minorHAnsi" w:hAnsiTheme="minorHAnsi"/>
                <w:lang w:val="es-AR"/>
              </w:rPr>
              <w:t xml:space="preserve"> actúa como una de las agencias de implementación del Fondo para el Medio Ambiente Mundial (GEF) en el país y se ha consolidado como la agencia de mayor ejecución, tanto en recursos financieros como en cantidad de proyectos. </w:t>
            </w:r>
            <w:r w:rsidR="00EE44C0">
              <w:rPr>
                <w:rFonts w:asciiTheme="minorHAnsi" w:hAnsiTheme="minorHAnsi"/>
                <w:lang w:val="es-AR"/>
              </w:rPr>
              <w:t xml:space="preserve">Asimismo, se han creado </w:t>
            </w:r>
            <w:r w:rsidR="00EE44C0" w:rsidRPr="00EE44C0">
              <w:rPr>
                <w:rFonts w:asciiTheme="minorHAnsi" w:hAnsiTheme="minorHAnsi"/>
                <w:lang w:val="es-AR"/>
              </w:rPr>
              <w:t xml:space="preserve">espacios institucionales para la discusión de problemas comunes interprovinciales y nacionales. </w:t>
            </w:r>
          </w:p>
          <w:p w:rsidR="00793B18" w:rsidRDefault="00793B18" w:rsidP="00B97C15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</w:p>
          <w:p w:rsidR="004750A8" w:rsidRDefault="00793B18" w:rsidP="00793B18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 xml:space="preserve">Como logros se destacan: </w:t>
            </w:r>
            <w:r w:rsidR="00B97C15" w:rsidRPr="00B97C15">
              <w:rPr>
                <w:rFonts w:asciiTheme="minorHAnsi" w:hAnsiTheme="minorHAnsi"/>
                <w:lang w:val="es-AR"/>
              </w:rPr>
              <w:t xml:space="preserve"> </w:t>
            </w:r>
          </w:p>
          <w:p w:rsidR="004750A8" w:rsidRPr="004750A8" w:rsidRDefault="004750A8" w:rsidP="00B334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750A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Se implementaron nuevas leyes de ordenamiento territorial provincial con un enfoque en desarrollo de comunidades locales, en el marco de la Ley 26.331 Protección Ambiental de Bosques Nativos.  </w:t>
            </w:r>
          </w:p>
          <w:p w:rsidR="004750A8" w:rsidRDefault="00B97C15" w:rsidP="00B334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B97C15">
              <w:rPr>
                <w:rFonts w:asciiTheme="minorHAnsi" w:hAnsiTheme="minorHAnsi"/>
                <w:sz w:val="20"/>
                <w:lang w:val="es-AR"/>
              </w:rPr>
              <w:t>Se consolidó la institucionalización de la Comisión Nacional Asesora para la Conservación y Utilización Sostenible de la Diversidad Biológica como órgano de asesoría permanente que permite la participación de los actores involucrados directa o indirectamente con la conservación, uso y/o acceso a</w:t>
            </w:r>
            <w:r w:rsidR="004750A8">
              <w:rPr>
                <w:rFonts w:asciiTheme="minorHAnsi" w:hAnsiTheme="minorHAnsi"/>
                <w:sz w:val="20"/>
                <w:lang w:val="es-AR"/>
              </w:rPr>
              <w:t xml:space="preserve"> la biodiversidad.</w:t>
            </w:r>
          </w:p>
          <w:p w:rsidR="00B97C15" w:rsidRPr="00B97C15" w:rsidRDefault="00B97C15" w:rsidP="00B334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B97C15">
              <w:rPr>
                <w:rFonts w:asciiTheme="minorHAnsi" w:hAnsiTheme="minorHAnsi"/>
                <w:sz w:val="20"/>
                <w:lang w:val="es-AR"/>
              </w:rPr>
              <w:t>Se actualizó la Estrategia Nacional de Biodiversidad y su Plan de Acción, cumpliendo con los compromisos internacionales.</w:t>
            </w:r>
          </w:p>
          <w:p w:rsidR="00B97C15" w:rsidRPr="00B97C15" w:rsidRDefault="00B97C15" w:rsidP="00B334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B97C15">
              <w:rPr>
                <w:rFonts w:asciiTheme="minorHAnsi" w:hAnsiTheme="minorHAnsi"/>
                <w:sz w:val="20"/>
                <w:lang w:val="es-AR"/>
              </w:rPr>
              <w:lastRenderedPageBreak/>
              <w:t xml:space="preserve">Se implementaron medidas específicas de acceso y participación de los beneficios derivados de los recursos genéticos. </w:t>
            </w:r>
          </w:p>
          <w:p w:rsidR="00B97C15" w:rsidRPr="00B97C15" w:rsidRDefault="00B97C15" w:rsidP="00B334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B97C15">
              <w:rPr>
                <w:rFonts w:asciiTheme="minorHAnsi" w:hAnsiTheme="minorHAnsi"/>
                <w:sz w:val="20"/>
                <w:lang w:val="es-AR"/>
              </w:rPr>
              <w:t xml:space="preserve">Se concretó el establecimiento del Observatorio Nacional de Biodiversidad. </w:t>
            </w:r>
          </w:p>
          <w:p w:rsidR="00B97C15" w:rsidRPr="00B33498" w:rsidRDefault="00B97C15" w:rsidP="00B334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0"/>
                <w:lang w:val="es-AR"/>
              </w:rPr>
            </w:pPr>
            <w:r w:rsidRPr="00B97C15">
              <w:rPr>
                <w:rFonts w:asciiTheme="minorHAnsi" w:hAnsiTheme="minorHAnsi"/>
                <w:sz w:val="20"/>
                <w:lang w:val="es-AR"/>
              </w:rPr>
              <w:t xml:space="preserve">Se </w:t>
            </w:r>
            <w:r w:rsidRPr="00B33498">
              <w:rPr>
                <w:rFonts w:asciiTheme="minorHAnsi" w:hAnsiTheme="minorHAnsi" w:cs="Helvetica"/>
                <w:sz w:val="20"/>
                <w:lang w:val="es-AR"/>
              </w:rPr>
              <w:t xml:space="preserve">implementó el Plan Regional de Manejo de Pesquerías y el Sistema de Información Pesquera y se aprobó el Manual Operativo de Control y Fiscalización de actividades pesqueras. </w:t>
            </w:r>
          </w:p>
          <w:p w:rsidR="00DB35D8" w:rsidRDefault="00B97C15" w:rsidP="00D73B6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0"/>
                <w:lang w:val="es-AR"/>
              </w:rPr>
            </w:pPr>
            <w:r w:rsidRPr="00DB35D8">
              <w:rPr>
                <w:rFonts w:asciiTheme="minorHAnsi" w:hAnsiTheme="minorHAnsi" w:cs="Helvetica"/>
                <w:sz w:val="20"/>
                <w:lang w:val="es-AR"/>
              </w:rPr>
              <w:t xml:space="preserve">Se diseñó y aprobó, con el liderazgo del PNUD, el Programa ONU-REDD. </w:t>
            </w:r>
          </w:p>
          <w:p w:rsidR="00B33498" w:rsidRPr="00DB35D8" w:rsidRDefault="00B33498" w:rsidP="00D73B6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0"/>
                <w:lang w:val="es-AR"/>
              </w:rPr>
            </w:pPr>
            <w:r w:rsidRPr="00DB35D8">
              <w:rPr>
                <w:rFonts w:asciiTheme="minorHAnsi" w:hAnsiTheme="minorHAnsi" w:cs="Helvetica"/>
                <w:sz w:val="20"/>
                <w:lang w:val="es-AR"/>
              </w:rPr>
              <w:t>Se aplicaron técnicas de manejo sostenible de tierras en más de 7 millones de hectáreas en la región patagónica.</w:t>
            </w:r>
          </w:p>
          <w:p w:rsidR="00B33498" w:rsidRPr="00B33498" w:rsidRDefault="00B33498" w:rsidP="00B3349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0"/>
                <w:lang w:val="es-AR"/>
              </w:rPr>
            </w:pPr>
            <w:r>
              <w:rPr>
                <w:rFonts w:asciiTheme="minorHAnsi" w:hAnsiTheme="minorHAnsi" w:cs="Helvetica"/>
                <w:sz w:val="20"/>
                <w:lang w:val="es-AR"/>
              </w:rPr>
              <w:t>Se implementaron p</w:t>
            </w:r>
            <w:r w:rsidRPr="00B33498">
              <w:rPr>
                <w:rFonts w:asciiTheme="minorHAnsi" w:hAnsiTheme="minorHAnsi" w:cs="Helvetica"/>
                <w:sz w:val="20"/>
                <w:lang w:val="es-AR"/>
              </w:rPr>
              <w:t>lanes de manejo y estrategias de sostenibilidad financiera en 40 áreas protegidas.</w:t>
            </w:r>
          </w:p>
          <w:p w:rsidR="006D1995" w:rsidRPr="0015763C" w:rsidRDefault="006D1995" w:rsidP="006D1995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Helvetica"/>
                <w:sz w:val="20"/>
                <w:lang w:val="es-AR"/>
              </w:rPr>
            </w:pPr>
          </w:p>
        </w:tc>
      </w:tr>
      <w:tr w:rsidR="00957BA1" w:rsidRPr="00980D8C" w:rsidTr="00265522">
        <w:tc>
          <w:tcPr>
            <w:tcW w:w="538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980D8C" w:rsidRPr="00980D8C" w:rsidRDefault="00957BA1" w:rsidP="004267A9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</w:pPr>
            <w:r w:rsidRPr="00980D8C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lastRenderedPageBreak/>
              <w:t xml:space="preserve">OUTCOME </w:t>
            </w:r>
            <w:r w:rsidR="00980D8C" w:rsidRPr="00980D8C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t>3</w:t>
            </w:r>
          </w:p>
          <w:p w:rsidR="00957BA1" w:rsidRPr="00980D8C" w:rsidRDefault="00980D8C" w:rsidP="004267A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/>
                <w:sz w:val="20"/>
                <w:szCs w:val="20"/>
                <w:lang w:val="es-AR"/>
              </w:rPr>
              <w:t>Medidas puestas en práctica para dar respuesta a desafíos ambientales críticos, como impacto del cambio climático y prevención, respuesta y recuperación ante riesgos de desastres.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02FC" w:rsidRPr="007578A1" w:rsidRDefault="008402FC" w:rsidP="004267A9">
            <w:pPr>
              <w:widowControl/>
              <w:jc w:val="right"/>
              <w:rPr>
                <w:rFonts w:ascii="Calibri" w:hAnsi="Calibri"/>
                <w:color w:val="000000"/>
                <w:sz w:val="20"/>
              </w:rPr>
            </w:pPr>
            <w:r w:rsidRPr="00B16A0D">
              <w:rPr>
                <w:rFonts w:ascii="Calibri" w:hAnsi="Calibri"/>
                <w:color w:val="000000"/>
                <w:sz w:val="20"/>
                <w:lang w:val="es-AR"/>
              </w:rPr>
              <w:t xml:space="preserve">      </w:t>
            </w:r>
            <w:r w:rsidR="00A54FEC" w:rsidRPr="007578A1">
              <w:rPr>
                <w:rFonts w:ascii="Calibri" w:hAnsi="Calibri"/>
                <w:color w:val="000000"/>
                <w:sz w:val="20"/>
              </w:rPr>
              <w:t>$</w:t>
            </w:r>
            <w:r w:rsidRPr="007578A1">
              <w:rPr>
                <w:rFonts w:ascii="Calibri" w:hAnsi="Calibri"/>
                <w:color w:val="000000"/>
                <w:sz w:val="20"/>
              </w:rPr>
              <w:t xml:space="preserve"> 9,376,430 </w:t>
            </w:r>
          </w:p>
          <w:p w:rsidR="00957BA1" w:rsidRPr="00980D8C" w:rsidRDefault="00957BA1" w:rsidP="004267A9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8633A2" w:rsidRPr="008633A2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Provincias con iniciativas para mitigación y adaptación al cambio climático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en sectores prioritarios. </w:t>
            </w:r>
          </w:p>
          <w:p w:rsidR="00957BA1" w:rsidRPr="00980D8C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i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Cantidad de provincias que incorporan planes de gestión de riesgos de desastre.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7BA1" w:rsidRDefault="00CD7609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 xml:space="preserve">9 </w:t>
            </w:r>
            <w:r w:rsidRPr="00CD7609">
              <w:rPr>
                <w:rFonts w:asciiTheme="minorHAnsi" w:hAnsiTheme="minorHAnsi"/>
                <w:sz w:val="20"/>
                <w:szCs w:val="20"/>
                <w:lang w:val="es-AR"/>
              </w:rPr>
              <w:t>provincias</w:t>
            </w:r>
            <w:r>
              <w:rPr>
                <w:rFonts w:asciiTheme="minorHAnsi" w:hAnsiTheme="minorHAnsi"/>
                <w:sz w:val="20"/>
                <w:lang w:val="es-AR"/>
              </w:rPr>
              <w:t xml:space="preserve"> (2014)</w:t>
            </w:r>
          </w:p>
          <w:p w:rsidR="00CD7609" w:rsidRDefault="00CD7609" w:rsidP="004267A9">
            <w:pPr>
              <w:autoSpaceDE w:val="0"/>
              <w:autoSpaceDN w:val="0"/>
              <w:jc w:val="both"/>
              <w:rPr>
                <w:rFonts w:asciiTheme="minorHAnsi" w:hAnsiTheme="minorHAnsi"/>
                <w:sz w:val="20"/>
                <w:lang w:val="es-AR"/>
              </w:rPr>
            </w:pPr>
          </w:p>
          <w:p w:rsidR="00CD7609" w:rsidRPr="00522305" w:rsidRDefault="00CD7609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 xml:space="preserve">5 </w:t>
            </w:r>
            <w:r w:rsidRPr="00CD7609">
              <w:rPr>
                <w:rFonts w:asciiTheme="minorHAnsi" w:hAnsiTheme="minorHAnsi"/>
                <w:sz w:val="20"/>
                <w:szCs w:val="20"/>
                <w:lang w:val="es-AR"/>
              </w:rPr>
              <w:t>provincias</w:t>
            </w:r>
            <w:r>
              <w:rPr>
                <w:rFonts w:asciiTheme="minorHAnsi" w:hAnsiTheme="minorHAnsi"/>
                <w:sz w:val="20"/>
                <w:lang w:val="es-AR"/>
              </w:rPr>
              <w:t xml:space="preserve">  (2014)</w:t>
            </w:r>
          </w:p>
        </w:tc>
      </w:tr>
      <w:tr w:rsidR="00957BA1" w:rsidRPr="003B5C2A" w:rsidTr="00265522">
        <w:tc>
          <w:tcPr>
            <w:tcW w:w="14034" w:type="dxa"/>
            <w:gridSpan w:val="5"/>
          </w:tcPr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b/>
                <w:lang w:val="es-AR"/>
              </w:rPr>
            </w:pPr>
            <w:r w:rsidRPr="008633A2">
              <w:rPr>
                <w:rFonts w:asciiTheme="minorHAnsi" w:hAnsiTheme="minorHAnsi"/>
                <w:b/>
                <w:lang w:val="es-AR"/>
              </w:rPr>
              <w:t>UNDP Contribution: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  <w:r w:rsidRPr="008633A2">
              <w:rPr>
                <w:rFonts w:asciiTheme="minorHAnsi" w:hAnsiTheme="minorHAnsi"/>
                <w:u w:val="single"/>
                <w:lang w:val="es-AR"/>
              </w:rPr>
              <w:t>CP Outputs</w:t>
            </w:r>
            <w:r w:rsidRPr="008633A2">
              <w:rPr>
                <w:rFonts w:asciiTheme="minorHAnsi" w:hAnsiTheme="minorHAnsi"/>
                <w:lang w:val="es-AR"/>
              </w:rPr>
              <w:t xml:space="preserve">: 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8633A2" w:rsidRDefault="0015763C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1. Estrategias participativas de mitigación del cambio climático y adaptación formuladas y en ejecución a nivel nacional, provincial y local. </w:t>
            </w:r>
          </w:p>
          <w:p w:rsidR="0015763C" w:rsidRPr="008633A2" w:rsidRDefault="0015763C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2. Planes y estrategias territoriales de prevención y respuesta temprana ante riesgos de desastres naturales o antropógenos aplicados con participación comunitaria y enfoque de </w:t>
            </w:r>
            <w:r w:rsidR="008633A2" w:rsidRPr="008633A2">
              <w:rPr>
                <w:rFonts w:asciiTheme="minorHAnsi" w:hAnsiTheme="minorHAnsi"/>
                <w:sz w:val="20"/>
                <w:szCs w:val="20"/>
                <w:lang w:val="es-AR"/>
              </w:rPr>
              <w:t>género</w:t>
            </w: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</w:p>
          <w:p w:rsidR="0015763C" w:rsidRPr="0015763C" w:rsidRDefault="0015763C" w:rsidP="009C1969">
            <w:pPr>
              <w:pStyle w:val="BodyText2"/>
              <w:jc w:val="both"/>
              <w:rPr>
                <w:rFonts w:asciiTheme="minorHAnsi" w:hAnsiTheme="minorHAnsi"/>
                <w:b/>
                <w:lang w:val="es-AR"/>
              </w:rPr>
            </w:pPr>
          </w:p>
          <w:p w:rsidR="00760F31" w:rsidRPr="00B16A0D" w:rsidRDefault="00760F31" w:rsidP="009C1969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  <w:r w:rsidRPr="00B16A0D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EE44C0" w:rsidRPr="00B16A0D" w:rsidRDefault="00EE44C0" w:rsidP="009C1969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</w:p>
          <w:p w:rsidR="00F731CC" w:rsidRPr="00F731CC" w:rsidRDefault="00F731CC" w:rsidP="009C1969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  <w:r w:rsidRPr="00F731CC">
              <w:rPr>
                <w:rFonts w:asciiTheme="minorHAnsi" w:hAnsiTheme="minorHAnsi"/>
                <w:lang w:val="es-AR"/>
              </w:rPr>
              <w:t xml:space="preserve">El PNUD es reconocido globalmente como un actor relevante en el proceso de negociación de cambio climático. Esta situación se replica a nivel nacional a través de distintas iniciativas de carácter técnico y de facilitación de espacios de diálogo intersectoriales. Las acciones toman en consideración la relevancia de </w:t>
            </w:r>
            <w:r w:rsidR="00146A9E">
              <w:rPr>
                <w:rFonts w:asciiTheme="minorHAnsi" w:hAnsiTheme="minorHAnsi"/>
                <w:lang w:val="es-AR"/>
              </w:rPr>
              <w:t xml:space="preserve">esta temática en el marco de </w:t>
            </w:r>
            <w:r w:rsidRPr="00F731CC">
              <w:rPr>
                <w:rFonts w:asciiTheme="minorHAnsi" w:hAnsiTheme="minorHAnsi"/>
                <w:lang w:val="es-AR"/>
              </w:rPr>
              <w:t>los Objetivos de Desarrollo Sostenible y de la convergencia de ambas agendas globales.</w:t>
            </w:r>
          </w:p>
          <w:p w:rsidR="009F5FC0" w:rsidRDefault="009F5FC0" w:rsidP="009C1969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</w:p>
          <w:p w:rsidR="009F5FC0" w:rsidRPr="00DF41F9" w:rsidRDefault="00EE44C0" w:rsidP="009C1969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  <w:r w:rsidRPr="00DF41F9">
              <w:rPr>
                <w:rFonts w:asciiTheme="minorHAnsi" w:hAnsiTheme="minorHAnsi"/>
                <w:lang w:val="es-AR"/>
              </w:rPr>
              <w:t>El PNUD contribuyó a</w:t>
            </w:r>
            <w:r w:rsidR="009F5FC0" w:rsidRPr="00DF41F9">
              <w:rPr>
                <w:rFonts w:asciiTheme="minorHAnsi" w:hAnsiTheme="minorHAnsi"/>
                <w:lang w:val="es-AR"/>
              </w:rPr>
              <w:t>:</w:t>
            </w:r>
          </w:p>
          <w:p w:rsidR="00EE44C0" w:rsidRPr="00DF41F9" w:rsidRDefault="009F5FC0" w:rsidP="00DB35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F41F9">
              <w:rPr>
                <w:rFonts w:asciiTheme="minorHAnsi" w:hAnsiTheme="minorHAnsi"/>
                <w:sz w:val="20"/>
                <w:szCs w:val="20"/>
                <w:lang w:val="es-AR"/>
              </w:rPr>
              <w:t>I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>mplementación de medidas para dar respuesta a desafíos ambientales críticos y prevención, respuesta y recuperación ante riesgos de desastres. Se alcanzó en el período 2010-14 un total de 9 provincias que implementan iniciativas de mitigación y adaptación al cambio climático en sectores prioritarios y 5 provincias que incorporaron planes de gestión de riesgos de desastre.</w:t>
            </w:r>
          </w:p>
          <w:p w:rsidR="00EE44C0" w:rsidRDefault="00096B5B" w:rsidP="00DB35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Creación y puesta en marcha de una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Plataforma Interministerial en Cambio Climático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, 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con la participación de funcionarios de alto nivel </w:t>
            </w:r>
            <w:r w:rsidR="00D276B8">
              <w:rPr>
                <w:rFonts w:asciiTheme="minorHAnsi" w:hAnsiTheme="minorHAnsi"/>
                <w:sz w:val="20"/>
                <w:szCs w:val="20"/>
                <w:lang w:val="es-AR"/>
              </w:rPr>
              <w:t>(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representantes de 20 organismos nacionales, del Consejo Federal del Ambiente y </w:t>
            </w:r>
            <w:r w:rsidR="00D276B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del 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>PNUD</w:t>
            </w:r>
            <w:r w:rsidR="00D276B8">
              <w:rPr>
                <w:rFonts w:asciiTheme="minorHAnsi" w:hAnsiTheme="minorHAnsi"/>
                <w:sz w:val="20"/>
                <w:szCs w:val="20"/>
                <w:lang w:val="es-AR"/>
              </w:rPr>
              <w:t>)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</w:p>
          <w:p w:rsidR="00F14D80" w:rsidRPr="00F14D80" w:rsidRDefault="00F14D80" w:rsidP="00DB35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F14D80">
              <w:rPr>
                <w:rFonts w:asciiTheme="minorHAnsi" w:hAnsiTheme="minorHAnsi"/>
                <w:sz w:val="20"/>
                <w:szCs w:val="20"/>
                <w:lang w:val="es-AR"/>
              </w:rPr>
              <w:t>Desarrollo de modelo de medidas nacionales de mitigación, instrumentos para la medición de emisiones en el sector público, y huella de carbono en empresas.</w:t>
            </w:r>
          </w:p>
          <w:p w:rsidR="00EE44C0" w:rsidRPr="00DF41F9" w:rsidRDefault="00E53DF6" w:rsidP="00DB35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Implementación 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>del Programa Global de Fortalecimiento de Capacidades en Bajas Emisiones (LECB), con el involucramiento de los sectores claves a nivel nacional (industria, ciencia y técnica, agricultura, energía y ambiente)</w:t>
            </w:r>
            <w:r w:rsidR="00D276B8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Esta iniciativa permite integrar al país en una dinámica de desarrollo de capacidades en bajas emisiones </w:t>
            </w:r>
            <w:r w:rsidR="00EE44C0" w:rsidRPr="00DF41F9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>en sectores productivos clave como el de petroquímica y fertilizantes.</w:t>
            </w:r>
          </w:p>
          <w:p w:rsidR="00DB35D8" w:rsidRPr="00DB35D8" w:rsidRDefault="00DB35D8" w:rsidP="00DB35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B35D8">
              <w:rPr>
                <w:rFonts w:asciiTheme="minorHAnsi" w:hAnsiTheme="minorHAnsi"/>
                <w:sz w:val="20"/>
                <w:szCs w:val="20"/>
                <w:lang w:val="es-AR"/>
              </w:rPr>
              <w:t>Instrumentos estratégicos para la gestión integral de riesgos de desastre en el nivel nacional desarrollados.</w:t>
            </w:r>
          </w:p>
          <w:p w:rsidR="00DB35D8" w:rsidRPr="00DB35D8" w:rsidRDefault="00DB35D8" w:rsidP="00DB35D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B35D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Planes de resiliencia creados para 23 jurisdicciones provinciales vulnerables ante riesgos de desastres naturales. </w:t>
            </w:r>
          </w:p>
          <w:p w:rsidR="00832FE4" w:rsidRPr="0015763C" w:rsidRDefault="00832FE4" w:rsidP="00980D8C">
            <w:pPr>
              <w:pStyle w:val="ListParagraph"/>
              <w:ind w:left="0"/>
              <w:contextualSpacing w:val="0"/>
              <w:jc w:val="both"/>
              <w:rPr>
                <w:rFonts w:asciiTheme="minorHAnsi" w:hAnsiTheme="minorHAnsi" w:cs="Helvetica"/>
                <w:sz w:val="20"/>
                <w:szCs w:val="20"/>
                <w:lang w:val="es-AR"/>
              </w:rPr>
            </w:pPr>
          </w:p>
        </w:tc>
      </w:tr>
      <w:tr w:rsidR="00957BA1" w:rsidRPr="00522305" w:rsidTr="00265522">
        <w:tc>
          <w:tcPr>
            <w:tcW w:w="5387" w:type="dxa"/>
            <w:shd w:val="clear" w:color="auto" w:fill="8EAADB" w:themeFill="accent5" w:themeFillTint="99"/>
          </w:tcPr>
          <w:p w:rsidR="00957BA1" w:rsidRPr="00522305" w:rsidRDefault="00957BA1" w:rsidP="004267A9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</w:pPr>
            <w:r w:rsidRPr="00522305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lastRenderedPageBreak/>
              <w:t>OUTCOME</w:t>
            </w:r>
            <w:r w:rsidR="00980D8C" w:rsidRPr="00522305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t xml:space="preserve"> 4</w:t>
            </w:r>
          </w:p>
          <w:p w:rsidR="00980D8C" w:rsidRPr="00980D8C" w:rsidRDefault="00980D8C" w:rsidP="004267A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/>
                <w:sz w:val="20"/>
                <w:szCs w:val="20"/>
                <w:lang w:val="es-AR"/>
              </w:rPr>
              <w:t>Mecanismos de protección social y promoción del trabajo digno establecidos.</w:t>
            </w:r>
          </w:p>
        </w:tc>
        <w:tc>
          <w:tcPr>
            <w:tcW w:w="1559" w:type="dxa"/>
            <w:shd w:val="clear" w:color="auto" w:fill="auto"/>
          </w:tcPr>
          <w:p w:rsidR="00A54FEC" w:rsidRPr="007578A1" w:rsidRDefault="00A54FEC" w:rsidP="004267A9">
            <w:pPr>
              <w:widowControl/>
              <w:jc w:val="right"/>
              <w:rPr>
                <w:rFonts w:ascii="Calibri" w:hAnsi="Calibri"/>
                <w:color w:val="000000"/>
                <w:sz w:val="20"/>
              </w:rPr>
            </w:pPr>
            <w:r w:rsidRPr="007578A1">
              <w:rPr>
                <w:rFonts w:ascii="Calibri" w:hAnsi="Calibri"/>
                <w:color w:val="000000"/>
                <w:sz w:val="20"/>
              </w:rPr>
              <w:t xml:space="preserve">$ 56,373,416 </w:t>
            </w:r>
          </w:p>
          <w:p w:rsidR="00957BA1" w:rsidRPr="00980D8C" w:rsidRDefault="00957BA1" w:rsidP="004267A9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633A2" w:rsidRPr="008633A2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Porcentaje de población desempleada durante más de 1 año cubierta por políticas activas de empleo y protección social. </w:t>
            </w:r>
          </w:p>
          <w:p w:rsidR="008633A2" w:rsidRPr="008633A2" w:rsidRDefault="00D67DD7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Número de Oficinas de Empleo fortalecidas a través de la incorporación de un área de atención de jóvenes</w:t>
            </w:r>
            <w:r w:rsidR="008633A2"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. </w:t>
            </w:r>
          </w:p>
          <w:p w:rsidR="00957BA1" w:rsidRPr="001154CF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Índice de brecha de género en mercado de trabajo.</w:t>
            </w:r>
            <w:r w:rsidRPr="001154CF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D67DD7" w:rsidRDefault="001154CF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1154CF">
              <w:rPr>
                <w:rFonts w:asciiTheme="minorHAnsi" w:hAnsiTheme="minorHAnsi"/>
                <w:sz w:val="20"/>
                <w:szCs w:val="20"/>
                <w:lang w:val="es-AR"/>
              </w:rPr>
              <w:t>75%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(2014</w:t>
            </w:r>
            <w:r w:rsidR="00D67DD7">
              <w:rPr>
                <w:rFonts w:asciiTheme="minorHAnsi" w:hAnsiTheme="minorHAnsi"/>
                <w:sz w:val="20"/>
                <w:szCs w:val="20"/>
                <w:lang w:val="es-AR"/>
              </w:rPr>
              <w:t>)</w:t>
            </w:r>
          </w:p>
          <w:p w:rsidR="00D67DD7" w:rsidRDefault="00D67DD7" w:rsidP="004267A9">
            <w:pPr>
              <w:pStyle w:val="Default"/>
              <w:tabs>
                <w:tab w:val="left" w:pos="175"/>
              </w:tabs>
              <w:ind w:left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:rsidR="006E7151" w:rsidRDefault="006E7151" w:rsidP="004267A9">
            <w:pPr>
              <w:pStyle w:val="ListParagraph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:rsidR="00D67DD7" w:rsidRDefault="00D67DD7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67DD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365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(2014)</w:t>
            </w:r>
          </w:p>
          <w:p w:rsidR="001154CF" w:rsidRDefault="001154CF" w:rsidP="004267A9">
            <w:pPr>
              <w:pStyle w:val="BodyText2"/>
              <w:jc w:val="both"/>
              <w:rPr>
                <w:rFonts w:asciiTheme="minorHAnsi" w:eastAsiaTheme="minorHAnsi" w:hAnsiTheme="minorHAnsi" w:cs="Arial"/>
                <w:color w:val="000000"/>
                <w:lang w:val="es-AR"/>
              </w:rPr>
            </w:pPr>
          </w:p>
          <w:p w:rsidR="00D67DD7" w:rsidRDefault="00D67DD7" w:rsidP="004267A9">
            <w:pPr>
              <w:pStyle w:val="BodyText2"/>
              <w:jc w:val="both"/>
              <w:rPr>
                <w:rFonts w:asciiTheme="minorHAnsi" w:eastAsiaTheme="minorHAnsi" w:hAnsiTheme="minorHAnsi" w:cs="Arial"/>
                <w:color w:val="000000"/>
                <w:lang w:val="es-AR"/>
              </w:rPr>
            </w:pPr>
          </w:p>
          <w:p w:rsidR="00D67DD7" w:rsidRDefault="00D67DD7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67DD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30%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(2014)</w:t>
            </w:r>
          </w:p>
          <w:p w:rsidR="001154CF" w:rsidRPr="001154CF" w:rsidRDefault="001154CF" w:rsidP="004267A9">
            <w:pPr>
              <w:pStyle w:val="BodyText2"/>
              <w:jc w:val="both"/>
              <w:rPr>
                <w:rFonts w:asciiTheme="minorHAnsi" w:eastAsiaTheme="minorHAnsi" w:hAnsiTheme="minorHAnsi" w:cs="Arial"/>
                <w:color w:val="000000"/>
                <w:lang w:val="es-AR"/>
              </w:rPr>
            </w:pPr>
          </w:p>
        </w:tc>
      </w:tr>
      <w:tr w:rsidR="00957BA1" w:rsidRPr="003B5C2A" w:rsidTr="00265522">
        <w:tc>
          <w:tcPr>
            <w:tcW w:w="14034" w:type="dxa"/>
            <w:gridSpan w:val="5"/>
          </w:tcPr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b/>
                <w:lang w:val="es-AR"/>
              </w:rPr>
            </w:pPr>
            <w:r w:rsidRPr="008633A2">
              <w:rPr>
                <w:rFonts w:asciiTheme="minorHAnsi" w:hAnsiTheme="minorHAnsi"/>
                <w:b/>
                <w:lang w:val="es-AR"/>
              </w:rPr>
              <w:t>UNDP Contribution: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  <w:r w:rsidRPr="008633A2">
              <w:rPr>
                <w:rFonts w:asciiTheme="minorHAnsi" w:hAnsiTheme="minorHAnsi"/>
                <w:u w:val="single"/>
                <w:lang w:val="es-AR"/>
              </w:rPr>
              <w:t>CP Outputs</w:t>
            </w:r>
            <w:r w:rsidRPr="008633A2">
              <w:rPr>
                <w:rFonts w:asciiTheme="minorHAnsi" w:hAnsiTheme="minorHAnsi"/>
                <w:lang w:val="es-AR"/>
              </w:rPr>
              <w:t xml:space="preserve">: 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8633A2" w:rsidRDefault="0015763C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1. Políticas activas de promoción de empleo de calidad a nivel territorial y mecanismos de protección de la población desempleada con cobertura nacional y enfoque de género, instrumentados. </w:t>
            </w:r>
          </w:p>
          <w:p w:rsidR="008633A2" w:rsidRDefault="0015763C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2. Políticas orientadas a mejorar la distribución del ingreso en los</w:t>
            </w:r>
            <w:r w:rsidR="004E26B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niveles personal, funcional y territorial formuladas. </w:t>
            </w:r>
          </w:p>
          <w:p w:rsidR="008633A2" w:rsidRDefault="0015763C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3. Mecanismos institucionales para la erradicación del trabajo infantil fortalecidos.</w:t>
            </w:r>
          </w:p>
          <w:p w:rsidR="0015763C" w:rsidRPr="008633A2" w:rsidRDefault="0015763C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4. Programas y mecanismos institucionales de microcrédito como instrumentos para generar empleo digno y sustentable, y promover el empoderamiento de la mujer, consolidados. </w:t>
            </w:r>
          </w:p>
          <w:p w:rsidR="00760F31" w:rsidRPr="00A879E1" w:rsidRDefault="00760F31" w:rsidP="009C1969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</w:p>
          <w:p w:rsidR="00760F31" w:rsidRPr="002916C0" w:rsidRDefault="00760F31" w:rsidP="009C1969">
            <w:pPr>
              <w:pStyle w:val="BodyText2"/>
              <w:jc w:val="both"/>
              <w:rPr>
                <w:rFonts w:asciiTheme="minorHAnsi" w:hAnsiTheme="minorHAnsi"/>
                <w:u w:val="single"/>
                <w:lang w:val="es-AR"/>
              </w:rPr>
            </w:pPr>
            <w:r w:rsidRPr="002916C0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2916C0" w:rsidRPr="002916C0" w:rsidRDefault="002916C0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:rsidR="002916C0" w:rsidRPr="002916C0" w:rsidRDefault="002916C0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2916C0">
              <w:rPr>
                <w:rFonts w:asciiTheme="minorHAnsi" w:hAnsiTheme="minorHAnsi"/>
                <w:sz w:val="20"/>
                <w:szCs w:val="20"/>
                <w:lang w:val="es-AR"/>
              </w:rPr>
              <w:t>El PNUD contribuyó al desarrollo de mecanismos de protección social y promoción del trabajo digno</w:t>
            </w:r>
            <w:r w:rsidR="005F762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: el </w:t>
            </w:r>
            <w:r w:rsidRPr="002916C0">
              <w:rPr>
                <w:rFonts w:asciiTheme="minorHAnsi" w:hAnsiTheme="minorHAnsi"/>
                <w:sz w:val="20"/>
                <w:szCs w:val="20"/>
                <w:lang w:val="es-AR"/>
              </w:rPr>
              <w:t>75% de la población (806.566 personas) desempleada está cubierta por políticas activas de empleo y protección social</w:t>
            </w:r>
            <w:r w:rsidR="005F762B">
              <w:rPr>
                <w:rFonts w:asciiTheme="minorHAnsi" w:hAnsiTheme="minorHAnsi"/>
                <w:sz w:val="20"/>
                <w:szCs w:val="20"/>
                <w:lang w:val="es-AR"/>
              </w:rPr>
              <w:t>; e</w:t>
            </w:r>
            <w:r w:rsidRPr="002916C0">
              <w:rPr>
                <w:rFonts w:asciiTheme="minorHAnsi" w:hAnsiTheme="minorHAnsi"/>
                <w:sz w:val="20"/>
                <w:szCs w:val="20"/>
                <w:lang w:val="es-AR"/>
              </w:rPr>
              <w:t>xisten 365 Oficinas de Empleo que cuentan con un área destinada</w:t>
            </w:r>
            <w:r w:rsidR="005F762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a la atención de jóvenes</w:t>
            </w:r>
            <w:r w:rsidRPr="002916C0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</w:p>
          <w:p w:rsidR="002916C0" w:rsidRDefault="002916C0" w:rsidP="009C19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:rsidR="002916C0" w:rsidRDefault="002916C0" w:rsidP="002916C0">
            <w:pPr>
              <w:pStyle w:val="Default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2916C0">
              <w:rPr>
                <w:rFonts w:asciiTheme="minorHAnsi" w:hAnsiTheme="minorHAnsi"/>
                <w:sz w:val="20"/>
                <w:szCs w:val="20"/>
                <w:lang w:val="es-AR"/>
              </w:rPr>
              <w:t>En el marco de la implementación de una estrategia de políticas activas de empleo,</w:t>
            </w:r>
            <w:r w:rsidR="005F762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cabe destacar</w:t>
            </w:r>
            <w:r w:rsidRPr="002916C0">
              <w:rPr>
                <w:rFonts w:asciiTheme="minorHAnsi" w:hAnsiTheme="minorHAnsi"/>
                <w:sz w:val="20"/>
                <w:szCs w:val="20"/>
                <w:lang w:val="es-AR"/>
              </w:rPr>
              <w:t>:</w:t>
            </w:r>
          </w:p>
          <w:p w:rsidR="002916C0" w:rsidRDefault="005F762B" w:rsidP="00ED5A8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Fortalecimiento de</w:t>
            </w:r>
            <w:r w:rsidR="002916C0" w:rsidRPr="002916C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las capacidades de los agentes de empleo a nivel territorial</w:t>
            </w:r>
            <w:r w:rsidR="00D85884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(Oficinas de Empleo)</w:t>
            </w:r>
            <w:r w:rsidR="002916C0" w:rsidRPr="002916C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, que intermedian entre oferta y demanda de trabajo, brindando información, orientación y derivación a prestaciones de capacitación y empleo </w:t>
            </w:r>
            <w:r w:rsidR="00D85884">
              <w:rPr>
                <w:rFonts w:asciiTheme="minorHAnsi" w:hAnsiTheme="minorHAnsi"/>
                <w:sz w:val="20"/>
                <w:szCs w:val="20"/>
                <w:lang w:val="es-AR"/>
              </w:rPr>
              <w:t>a</w:t>
            </w:r>
            <w:r w:rsidR="002916C0" w:rsidRPr="002916C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personas desocupadas.</w:t>
            </w:r>
          </w:p>
          <w:p w:rsidR="002916C0" w:rsidRDefault="005F762B" w:rsidP="00ED5A8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Fortalecimiento de</w:t>
            </w:r>
            <w:r w:rsidR="002916C0" w:rsidRPr="002916C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instituciones de formación profesional para la capacitación laboral y certificación de competencias laborales de trabajadores/as y desocupados/as. </w:t>
            </w:r>
          </w:p>
          <w:p w:rsidR="00BF24E1" w:rsidRPr="00D26898" w:rsidRDefault="00D26898" w:rsidP="00ED5A8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2689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Asistencia a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e</w:t>
            </w:r>
            <w:r w:rsidR="00BF24E1" w:rsidRPr="00D26898">
              <w:rPr>
                <w:rFonts w:asciiTheme="minorHAnsi" w:hAnsiTheme="minorHAnsi"/>
                <w:sz w:val="20"/>
                <w:szCs w:val="20"/>
                <w:lang w:val="es-AR"/>
              </w:rPr>
              <w:t>mpresas recuperadas para conservar las fuentes de trabajo y retornar al mercado en forma competitiva.</w:t>
            </w:r>
          </w:p>
          <w:p w:rsidR="00BF24E1" w:rsidRPr="00D26898" w:rsidRDefault="00D26898" w:rsidP="00ED5A8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Consolidación de un</w:t>
            </w:r>
            <w:r w:rsidR="00BF24E1" w:rsidRPr="00D2689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Observatorio del mercado de trabajo y la distribución del ingreso.</w:t>
            </w:r>
          </w:p>
          <w:p w:rsidR="00BF24E1" w:rsidRPr="0015763C" w:rsidRDefault="00BF24E1" w:rsidP="00BF24E1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  <w:tr w:rsidR="005C43BF" w:rsidRPr="00980D8C" w:rsidTr="00265522">
        <w:tc>
          <w:tcPr>
            <w:tcW w:w="538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980D8C" w:rsidRPr="00980D8C" w:rsidRDefault="00980D8C" w:rsidP="004267A9">
            <w:pPr>
              <w:pStyle w:val="Default"/>
              <w:jc w:val="both"/>
              <w:rPr>
                <w:rFonts w:asciiTheme="minorHAnsi" w:hAnsiTheme="minorHAnsi" w:cs="Helvetica-Bold"/>
                <w:b/>
                <w:bCs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 w:cs="Helvetica-Bold"/>
                <w:b/>
                <w:bCs/>
                <w:sz w:val="20"/>
                <w:szCs w:val="20"/>
                <w:lang w:val="es-AR"/>
              </w:rPr>
              <w:lastRenderedPageBreak/>
              <w:t xml:space="preserve">OUTCOME </w:t>
            </w:r>
            <w:r>
              <w:rPr>
                <w:rFonts w:asciiTheme="minorHAnsi" w:hAnsiTheme="minorHAnsi" w:cs="Helvetica-Bold"/>
                <w:b/>
                <w:bCs/>
                <w:sz w:val="20"/>
                <w:szCs w:val="20"/>
                <w:lang w:val="es-AR"/>
              </w:rPr>
              <w:t>5</w:t>
            </w:r>
          </w:p>
          <w:p w:rsidR="00980D8C" w:rsidRPr="00980D8C" w:rsidRDefault="00980D8C" w:rsidP="004267A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/>
                <w:sz w:val="20"/>
                <w:szCs w:val="20"/>
                <w:lang w:val="es-AR"/>
              </w:rPr>
              <w:t>Acceso a servicios sociales básicos ampliado, para reducir disparidades entre grupos vulnerables y territorios.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43BF" w:rsidRPr="00980D8C" w:rsidRDefault="00A54FEC" w:rsidP="004267A9">
            <w:pPr>
              <w:widowControl/>
              <w:jc w:val="right"/>
              <w:rPr>
                <w:rFonts w:asciiTheme="minorHAnsi" w:hAnsiTheme="minorHAnsi"/>
                <w:color w:val="000000"/>
                <w:sz w:val="20"/>
                <w:lang w:val="es-AR"/>
              </w:rPr>
            </w:pPr>
            <w:r w:rsidRPr="00B16A0D">
              <w:rPr>
                <w:rFonts w:ascii="Calibri" w:hAnsi="Calibri"/>
                <w:color w:val="000000"/>
                <w:sz w:val="20"/>
                <w:lang w:val="es-AR"/>
              </w:rPr>
              <w:t xml:space="preserve">    </w:t>
            </w:r>
            <w:r w:rsidRPr="007578A1">
              <w:rPr>
                <w:rFonts w:ascii="Calibri" w:hAnsi="Calibri"/>
                <w:color w:val="000000"/>
                <w:sz w:val="20"/>
              </w:rPr>
              <w:t>$ 706,530,721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8633A2" w:rsidRPr="004E26BB" w:rsidRDefault="00D67DD7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Porcentaje de población cobertura de salud</w:t>
            </w:r>
            <w:r w:rsidR="008633A2" w:rsidRPr="004E26B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. </w:t>
            </w:r>
          </w:p>
          <w:p w:rsidR="005C43BF" w:rsidRPr="00D67DD7" w:rsidRDefault="00D67DD7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Número de personas con acceso a servicios alimentarios</w:t>
            </w:r>
            <w:r w:rsidR="008633A2" w:rsidRPr="004E26BB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7DD7" w:rsidRDefault="00D67DD7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67DD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66.5%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(2014)</w:t>
            </w:r>
          </w:p>
          <w:p w:rsidR="00D67DD7" w:rsidRPr="00D67DD7" w:rsidRDefault="00D67DD7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67DD7">
              <w:rPr>
                <w:rFonts w:asciiTheme="minorHAnsi" w:hAnsiTheme="minorHAnsi"/>
                <w:sz w:val="20"/>
                <w:szCs w:val="20"/>
                <w:lang w:val="es-AR"/>
              </w:rPr>
              <w:t>203.560 (2014)</w:t>
            </w:r>
          </w:p>
        </w:tc>
      </w:tr>
      <w:tr w:rsidR="005C43BF" w:rsidRPr="003B5C2A" w:rsidTr="00265522">
        <w:tc>
          <w:tcPr>
            <w:tcW w:w="14034" w:type="dxa"/>
            <w:gridSpan w:val="5"/>
          </w:tcPr>
          <w:p w:rsidR="008633A2" w:rsidRPr="00C91118" w:rsidRDefault="008633A2" w:rsidP="008633A2">
            <w:pPr>
              <w:pStyle w:val="BodyText2"/>
              <w:rPr>
                <w:rFonts w:asciiTheme="minorHAnsi" w:hAnsiTheme="minorHAnsi"/>
                <w:b/>
              </w:rPr>
            </w:pPr>
            <w:r w:rsidRPr="00C91118">
              <w:rPr>
                <w:rFonts w:asciiTheme="minorHAnsi" w:hAnsiTheme="minorHAnsi"/>
                <w:b/>
              </w:rPr>
              <w:t>UNDP Contribution:</w:t>
            </w:r>
          </w:p>
          <w:p w:rsidR="008633A2" w:rsidRPr="00C91118" w:rsidRDefault="008633A2" w:rsidP="008633A2">
            <w:pPr>
              <w:pStyle w:val="BodyText2"/>
              <w:rPr>
                <w:rFonts w:asciiTheme="minorHAnsi" w:hAnsiTheme="minorHAnsi"/>
                <w:u w:val="single"/>
              </w:rPr>
            </w:pPr>
          </w:p>
          <w:p w:rsidR="008633A2" w:rsidRPr="00C91118" w:rsidRDefault="008633A2" w:rsidP="008633A2">
            <w:pPr>
              <w:pStyle w:val="BodyText2"/>
              <w:rPr>
                <w:rFonts w:asciiTheme="minorHAnsi" w:hAnsiTheme="minorHAnsi"/>
              </w:rPr>
            </w:pPr>
            <w:r w:rsidRPr="00C91118">
              <w:rPr>
                <w:rFonts w:asciiTheme="minorHAnsi" w:hAnsiTheme="minorHAnsi"/>
                <w:u w:val="single"/>
              </w:rPr>
              <w:t>CP Outputs</w:t>
            </w:r>
            <w:r w:rsidRPr="00C91118">
              <w:rPr>
                <w:rFonts w:asciiTheme="minorHAnsi" w:hAnsiTheme="minorHAnsi"/>
              </w:rPr>
              <w:t xml:space="preserve">: </w:t>
            </w:r>
          </w:p>
          <w:p w:rsidR="008633A2" w:rsidRPr="00C91118" w:rsidRDefault="008633A2" w:rsidP="008633A2">
            <w:pPr>
              <w:pStyle w:val="BodyText2"/>
              <w:rPr>
                <w:rFonts w:asciiTheme="minorHAnsi" w:hAnsiTheme="minorHAnsi"/>
              </w:rPr>
            </w:pPr>
          </w:p>
          <w:p w:rsidR="001025A2" w:rsidRPr="00C91118" w:rsidRDefault="001025A2" w:rsidP="00980D8C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8633A2" w:rsidRPr="00C91118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1. Modelos de gestión integral para organizaciones y redes de servicios sociales, mejorados en las distintas jurisdicciones. </w:t>
            </w:r>
          </w:p>
          <w:p w:rsidR="0015763C" w:rsidRPr="00C91118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91118">
              <w:rPr>
                <w:rFonts w:asciiTheme="minorHAnsi" w:hAnsiTheme="minorHAnsi"/>
                <w:sz w:val="20"/>
                <w:szCs w:val="20"/>
                <w:lang w:val="es-AR"/>
              </w:rPr>
              <w:t>2. Planes y programas que</w:t>
            </w:r>
            <w:r w:rsidR="00806D8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garanticen el acceso a servicios sociales básicos para reducir las inequidades entre personas y regiones, puestos en marcha. </w:t>
            </w:r>
          </w:p>
          <w:p w:rsidR="0015763C" w:rsidRPr="00C91118" w:rsidRDefault="0015763C" w:rsidP="00980D8C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760F31" w:rsidRPr="00C91118" w:rsidRDefault="00760F31" w:rsidP="00760F31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  <w:r w:rsidRPr="00C91118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4864BE" w:rsidRDefault="004864BE" w:rsidP="007F614B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</w:p>
          <w:p w:rsidR="00C91118" w:rsidRDefault="00C91118" w:rsidP="007F614B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  <w:r w:rsidRPr="00C91118">
              <w:rPr>
                <w:rFonts w:asciiTheme="minorHAnsi" w:hAnsiTheme="minorHAnsi"/>
                <w:lang w:val="es-AR"/>
              </w:rPr>
              <w:t>El PNUD contribuyó a ampliar el acceso a servicios sociales básicos</w:t>
            </w:r>
            <w:r w:rsidR="004864BE">
              <w:rPr>
                <w:rFonts w:asciiTheme="minorHAnsi" w:hAnsiTheme="minorHAnsi"/>
                <w:lang w:val="es-AR"/>
              </w:rPr>
              <w:t>: e</w:t>
            </w:r>
            <w:r w:rsidRPr="00C91118">
              <w:rPr>
                <w:rFonts w:asciiTheme="minorHAnsi" w:hAnsiTheme="minorHAnsi"/>
                <w:lang w:val="es-AR"/>
              </w:rPr>
              <w:t>l 66.5% de la población cuenta con cobertura de salud</w:t>
            </w:r>
            <w:r w:rsidR="004864BE">
              <w:rPr>
                <w:rFonts w:asciiTheme="minorHAnsi" w:hAnsiTheme="minorHAnsi"/>
                <w:lang w:val="es-AR"/>
              </w:rPr>
              <w:t xml:space="preserve">; </w:t>
            </w:r>
            <w:r w:rsidRPr="00C91118">
              <w:rPr>
                <w:rFonts w:asciiTheme="minorHAnsi" w:hAnsiTheme="minorHAnsi"/>
                <w:lang w:val="es-AR"/>
              </w:rPr>
              <w:t>203.560 personas con acceso a servicios alimentarios.</w:t>
            </w:r>
          </w:p>
          <w:p w:rsidR="004864BE" w:rsidRDefault="004864BE" w:rsidP="007F614B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</w:p>
          <w:p w:rsidR="004864BE" w:rsidRPr="00C91118" w:rsidRDefault="004864BE" w:rsidP="007F614B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En las resultados alcanzados cabe destacar:</w:t>
            </w:r>
          </w:p>
          <w:p w:rsidR="00C91118" w:rsidRPr="00613E16" w:rsidRDefault="00613E16" w:rsidP="00F97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Fortalecimiento de las capacidades de las organizaciones de la sociedad civil en zonas de alta vulnerabilidad para ampliar las prestaciones que brindan a la población en situación de pobreza: 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775 organizaciones de la sociedad civil que prestan servicios alimentarios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Se </w:t>
            </w:r>
            <w:r w:rsidR="00AE7375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profundiz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ó</w:t>
            </w:r>
            <w:r w:rsidR="00AE7375"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el enfoque de derechos en los ejes </w:t>
            </w:r>
            <w:r w:rsidR="00AE7375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n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iñez, </w:t>
            </w:r>
            <w:r w:rsidR="00AE7375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a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dolescencia y </w:t>
            </w:r>
            <w:r w:rsidR="00AE7375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g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énero y</w:t>
            </w:r>
            <w:r w:rsidR="00AE7375"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se 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foment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aron 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actividades de formación que promuev</w:t>
            </w:r>
            <w:r w:rsidR="00AE7375" w:rsidRPr="00613E16">
              <w:rPr>
                <w:rFonts w:asciiTheme="minorHAnsi" w:hAnsiTheme="minorHAnsi"/>
                <w:sz w:val="20"/>
                <w:szCs w:val="20"/>
                <w:lang w:val="es-AR"/>
              </w:rPr>
              <w:t>e</w:t>
            </w:r>
            <w:r w:rsidR="00C91118" w:rsidRPr="00613E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n una mayor empleabilidad de las mujeres de las organizaciones. </w:t>
            </w:r>
          </w:p>
          <w:p w:rsidR="003D506C" w:rsidRPr="00613E16" w:rsidRDefault="003D506C" w:rsidP="00F97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Fortalecimiento de la capacidad del estado nacional y de las provincias para brindar atención primaria de la salud, prevenir las enfermedades crónicas no transmisibles y atender la problemática del VIH-SIDA y otras enfermedades de transmisión sexual. </w:t>
            </w:r>
            <w:r w:rsidR="00AE7375" w:rsidRPr="003D506C">
              <w:rPr>
                <w:rFonts w:asciiTheme="minorHAnsi" w:hAnsiTheme="minorHAnsi"/>
                <w:sz w:val="20"/>
                <w:szCs w:val="20"/>
                <w:lang w:val="es-AR"/>
              </w:rPr>
              <w:t>Entrega de</w:t>
            </w:r>
            <w:r w:rsidR="00C91118"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botiquines de medicamentos, </w:t>
            </w:r>
            <w:r w:rsidR="00AE7375" w:rsidRPr="003D506C">
              <w:rPr>
                <w:rFonts w:asciiTheme="minorHAnsi" w:hAnsiTheme="minorHAnsi"/>
                <w:sz w:val="20"/>
                <w:szCs w:val="20"/>
                <w:lang w:val="es-AR"/>
              </w:rPr>
              <w:t>realización de</w:t>
            </w:r>
            <w:r w:rsidR="00C91118"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="00AE7375" w:rsidRPr="003D506C">
              <w:rPr>
                <w:rFonts w:asciiTheme="minorHAnsi" w:hAnsiTheme="minorHAnsi"/>
                <w:sz w:val="20"/>
                <w:szCs w:val="20"/>
                <w:lang w:val="es-AR"/>
              </w:rPr>
              <w:t>t</w:t>
            </w:r>
            <w:r w:rsidR="00C91118"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ratamientos a personas sin cobertura, abastecimiento </w:t>
            </w:r>
            <w:r w:rsidR="00AE7375"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 </w:t>
            </w:r>
            <w:r w:rsidR="00C91118"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Centros de Atención Primaria de la Salud, ejecución de </w:t>
            </w:r>
            <w:r w:rsidR="00AE7375" w:rsidRPr="003D506C">
              <w:rPr>
                <w:rFonts w:asciiTheme="minorHAnsi" w:hAnsiTheme="minorHAnsi"/>
                <w:sz w:val="20"/>
                <w:szCs w:val="20"/>
                <w:lang w:val="es-AR"/>
              </w:rPr>
              <w:t>p</w:t>
            </w:r>
            <w:r w:rsidR="00C91118"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royectos provinciales de fortalecimiento de redes de salud y capacitación de </w:t>
            </w:r>
            <w:r w:rsidR="00AE7375" w:rsidRPr="003D506C">
              <w:rPr>
                <w:rFonts w:asciiTheme="minorHAnsi" w:hAnsiTheme="minorHAnsi"/>
                <w:sz w:val="20"/>
                <w:szCs w:val="20"/>
                <w:lang w:val="es-AR"/>
              </w:rPr>
              <w:t>e</w:t>
            </w:r>
            <w:r w:rsidR="00C91118" w:rsidRPr="003D506C">
              <w:rPr>
                <w:rFonts w:asciiTheme="minorHAnsi" w:hAnsiTheme="minorHAnsi"/>
                <w:sz w:val="20"/>
                <w:szCs w:val="20"/>
                <w:lang w:val="es-AR"/>
              </w:rPr>
              <w:t>quipos sanitarios</w:t>
            </w:r>
            <w:r w:rsidR="00AE7375" w:rsidRPr="003D506C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  <w:r w:rsidR="00C91118" w:rsidRPr="003D506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 </w:t>
            </w:r>
          </w:p>
          <w:p w:rsidR="00F9738E" w:rsidRPr="00F9738E" w:rsidRDefault="00F9738E" w:rsidP="00F97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F9738E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Acceso a servicios de salud ampliado a través del fortalecimiento de los programas de atención primaria por la provisión de tratamientos. Red de Hospitales Públicos abastecidos </w:t>
            </w:r>
            <w:r w:rsidR="002C24F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en </w:t>
            </w:r>
            <w:r w:rsidRPr="00F9738E">
              <w:rPr>
                <w:rFonts w:asciiTheme="minorHAnsi" w:hAnsiTheme="minorHAnsi"/>
                <w:sz w:val="20"/>
                <w:szCs w:val="20"/>
                <w:lang w:val="es-AR"/>
              </w:rPr>
              <w:t>3 provincias (Santa Fe, Neuquén y Santiago del Estero).</w:t>
            </w:r>
          </w:p>
          <w:p w:rsidR="00F9738E" w:rsidRPr="00C91118" w:rsidRDefault="00F9738E" w:rsidP="00F97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Mejora de</w:t>
            </w:r>
            <w:r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la eficiencia en los procesos de adquisición y distribución de insumos médicos a nivel nacional y en provincias del país y se fortalecieron las redes de coordinación entre niveles de atención de la salud.  </w:t>
            </w:r>
          </w:p>
          <w:p w:rsidR="00F9738E" w:rsidRDefault="00F9738E" w:rsidP="00F97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Implementación de </w:t>
            </w:r>
            <w:r w:rsidRPr="00C91118">
              <w:rPr>
                <w:rFonts w:asciiTheme="minorHAnsi" w:hAnsiTheme="minorHAnsi"/>
                <w:sz w:val="20"/>
                <w:szCs w:val="20"/>
                <w:lang w:val="es-AR"/>
              </w:rPr>
              <w:t>acciones para reducir las barreras culturales al acceso a los servicios de salud de las minorías sexuales.</w:t>
            </w:r>
          </w:p>
          <w:p w:rsidR="00C91118" w:rsidRPr="00C91118" w:rsidRDefault="00AE7375" w:rsidP="00F97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Fortalecimiento de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capacidades del Instituto Nacional del Cáncer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: 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realización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de ca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>pacitaciones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, entrega de b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ecas y/o subsidios y dotación a efectores de salud con sistemas informáticos de registro oncológico.  </w:t>
            </w:r>
          </w:p>
          <w:p w:rsidR="00C91118" w:rsidRPr="00C91118" w:rsidRDefault="00AE7375" w:rsidP="00F97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C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onexión a gas natural a hogares de poblaciones de bajos recursos económicos ubicadas en zonas urbano-marginales del partido de Moreno, </w:t>
            </w:r>
            <w:r w:rsidR="00B50F51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provincia de 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>B</w:t>
            </w:r>
            <w:r w:rsidR="00B50F51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uenos 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>A</w:t>
            </w:r>
            <w:r w:rsidR="00B50F51">
              <w:rPr>
                <w:rFonts w:asciiTheme="minorHAnsi" w:hAnsiTheme="minorHAnsi"/>
                <w:sz w:val="20"/>
                <w:szCs w:val="20"/>
                <w:lang w:val="es-AR"/>
              </w:rPr>
              <w:t>ires</w:t>
            </w:r>
            <w:r w:rsidR="00C91118" w:rsidRPr="00C9111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(50% de las familias: 1.579 viviendas). Se promovió el empoderamiento legal y mecanismos de participación ciudadana en torno al objetivo de consolidar los procesos de gasificación integral de viviendas.</w:t>
            </w:r>
          </w:p>
          <w:p w:rsidR="00C91118" w:rsidRPr="00C91118" w:rsidRDefault="00C91118" w:rsidP="00F9738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</w:tc>
      </w:tr>
      <w:tr w:rsidR="005C43BF" w:rsidRPr="00980D8C" w:rsidTr="00265522">
        <w:tc>
          <w:tcPr>
            <w:tcW w:w="5387" w:type="dxa"/>
            <w:shd w:val="clear" w:color="auto" w:fill="8EAADB" w:themeFill="accent5" w:themeFillTint="99"/>
          </w:tcPr>
          <w:p w:rsidR="00980D8C" w:rsidRPr="00980D8C" w:rsidRDefault="00980D8C" w:rsidP="004267A9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</w:pPr>
            <w:r w:rsidRPr="00980D8C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t xml:space="preserve">OUTCOME </w:t>
            </w:r>
            <w:r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t>6</w:t>
            </w:r>
          </w:p>
          <w:p w:rsidR="00980D8C" w:rsidRPr="00980D8C" w:rsidRDefault="00980D8C" w:rsidP="004267A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>Políticas y mecanismos institucionales de protección y promoción de los derechos humanos y la igualdad de género, formulados y en operación.</w:t>
            </w:r>
          </w:p>
        </w:tc>
        <w:tc>
          <w:tcPr>
            <w:tcW w:w="1559" w:type="dxa"/>
            <w:shd w:val="clear" w:color="auto" w:fill="auto"/>
          </w:tcPr>
          <w:p w:rsidR="00A54FEC" w:rsidRPr="007578A1" w:rsidRDefault="00A54FEC" w:rsidP="004267A9">
            <w:pPr>
              <w:widowControl/>
              <w:jc w:val="right"/>
              <w:rPr>
                <w:rFonts w:ascii="Calibri" w:hAnsi="Calibri"/>
                <w:color w:val="000000"/>
                <w:sz w:val="20"/>
              </w:rPr>
            </w:pPr>
            <w:r w:rsidRPr="00B16A0D">
              <w:rPr>
                <w:rFonts w:ascii="Calibri" w:hAnsi="Calibri"/>
                <w:color w:val="000000"/>
                <w:sz w:val="20"/>
                <w:lang w:val="es-AR"/>
              </w:rPr>
              <w:lastRenderedPageBreak/>
              <w:t xml:space="preserve">       </w:t>
            </w:r>
            <w:r w:rsidRPr="007578A1">
              <w:rPr>
                <w:rFonts w:ascii="Calibri" w:hAnsi="Calibri"/>
                <w:color w:val="000000"/>
                <w:sz w:val="20"/>
              </w:rPr>
              <w:t xml:space="preserve">$ 8,404,212 </w:t>
            </w:r>
          </w:p>
          <w:p w:rsidR="005C43BF" w:rsidRPr="00980D8C" w:rsidRDefault="005C43BF" w:rsidP="004267A9">
            <w:pPr>
              <w:pStyle w:val="BodyText2"/>
              <w:jc w:val="both"/>
              <w:rPr>
                <w:rFonts w:asciiTheme="minorHAnsi" w:hAnsiTheme="minorHAnsi"/>
                <w:b/>
                <w:lang w:val="es-AR"/>
              </w:rPr>
            </w:pP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</w:tcPr>
          <w:p w:rsidR="008633A2" w:rsidRPr="00F52E90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F52E90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 xml:space="preserve">Cantidad de iniciativas protectoras y promotoras de </w:t>
            </w:r>
            <w:r w:rsidRPr="00F52E90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>derechos previstas en tratados internacionales de derechos humanos</w:t>
            </w:r>
            <w:r w:rsidR="00F52E90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  <w:r w:rsidRPr="00F52E9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</w:p>
          <w:p w:rsidR="005C43BF" w:rsidRPr="00980D8C" w:rsidRDefault="00F52E90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% de provincias con mecanismos institucionales y recursos para la defensa de los derechos de la mujer. </w:t>
            </w:r>
          </w:p>
        </w:tc>
        <w:tc>
          <w:tcPr>
            <w:tcW w:w="2057" w:type="dxa"/>
          </w:tcPr>
          <w:p w:rsidR="005C43BF" w:rsidRPr="00F52E90" w:rsidRDefault="00F52E90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F52E90"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>6 (2014)</w:t>
            </w:r>
          </w:p>
          <w:p w:rsidR="00F52E90" w:rsidRPr="00F52E90" w:rsidRDefault="00F52E90" w:rsidP="004267A9">
            <w:pPr>
              <w:pStyle w:val="Default"/>
              <w:tabs>
                <w:tab w:val="left" w:pos="175"/>
              </w:tabs>
              <w:ind w:left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:rsidR="00F52E90" w:rsidRDefault="00F52E90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F52E9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95%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(2014)</w:t>
            </w:r>
          </w:p>
          <w:p w:rsidR="00F52E90" w:rsidRPr="00F52E90" w:rsidRDefault="00F52E90" w:rsidP="004267A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0"/>
                <w:lang w:val="es-AR"/>
              </w:rPr>
            </w:pPr>
          </w:p>
        </w:tc>
      </w:tr>
      <w:tr w:rsidR="005C43BF" w:rsidRPr="003B5C2A" w:rsidTr="00265522">
        <w:tc>
          <w:tcPr>
            <w:tcW w:w="14034" w:type="dxa"/>
            <w:gridSpan w:val="5"/>
          </w:tcPr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b/>
                <w:lang w:val="es-AR"/>
              </w:rPr>
            </w:pPr>
            <w:r w:rsidRPr="008633A2">
              <w:rPr>
                <w:rFonts w:asciiTheme="minorHAnsi" w:hAnsiTheme="minorHAnsi"/>
                <w:b/>
                <w:lang w:val="es-AR"/>
              </w:rPr>
              <w:lastRenderedPageBreak/>
              <w:t>UNDP Contribution: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  <w:r w:rsidRPr="008633A2">
              <w:rPr>
                <w:rFonts w:asciiTheme="minorHAnsi" w:hAnsiTheme="minorHAnsi"/>
                <w:u w:val="single"/>
                <w:lang w:val="es-AR"/>
              </w:rPr>
              <w:t>CP Outputs</w:t>
            </w:r>
            <w:r w:rsidRPr="008633A2">
              <w:rPr>
                <w:rFonts w:asciiTheme="minorHAnsi" w:hAnsiTheme="minorHAnsi"/>
                <w:lang w:val="es-AR"/>
              </w:rPr>
              <w:t xml:space="preserve">: 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15763C" w:rsidRP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1. Iniciativas nacionales y provinciales de protección y promoción de los derechos humanos y empoderamiento de la mujer, formuladas y en marcha. </w:t>
            </w:r>
          </w:p>
          <w:p w:rsidR="0015763C" w:rsidRP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2. Plan Nacional de Derechos Humanos y otras iniciativas contra la discriminación, fortalecidos. </w:t>
            </w:r>
          </w:p>
          <w:p w:rsidR="00760F31" w:rsidRPr="00A879E1" w:rsidRDefault="00760F31" w:rsidP="00760F31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</w:p>
          <w:p w:rsidR="00760F31" w:rsidRPr="00B16A0D" w:rsidRDefault="00760F31" w:rsidP="00760F31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  <w:r w:rsidRPr="00B16A0D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15763C" w:rsidRDefault="0015763C" w:rsidP="00980D8C">
            <w:pPr>
              <w:rPr>
                <w:rFonts w:asciiTheme="minorHAnsi" w:hAnsiTheme="minorHAnsi"/>
                <w:sz w:val="20"/>
                <w:lang w:val="es-AR"/>
              </w:rPr>
            </w:pPr>
          </w:p>
          <w:p w:rsidR="00540970" w:rsidRDefault="004A1A05" w:rsidP="005409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4A1A05">
              <w:rPr>
                <w:rFonts w:asciiTheme="minorHAnsi" w:hAnsiTheme="minorHAnsi"/>
                <w:sz w:val="20"/>
                <w:lang w:val="es-AR"/>
              </w:rPr>
              <w:t>En relación a las políticas y mecanismos institucionales de promoción de los derechos humanos,</w:t>
            </w:r>
            <w:r w:rsidR="00540970">
              <w:rPr>
                <w:rFonts w:asciiTheme="minorHAnsi" w:hAnsiTheme="minorHAnsi"/>
                <w:sz w:val="20"/>
                <w:lang w:val="es-AR"/>
              </w:rPr>
              <w:t xml:space="preserve"> se contribuyó a</w:t>
            </w:r>
            <w:r w:rsidRPr="004A1A05">
              <w:rPr>
                <w:rFonts w:asciiTheme="minorHAnsi" w:hAnsiTheme="minorHAnsi"/>
                <w:sz w:val="20"/>
                <w:lang w:val="es-AR"/>
              </w:rPr>
              <w:t>l involucramiento de jurisdicciones locales en la implementación de políticas activas de promoción y defensa de derechos.</w:t>
            </w:r>
            <w:r w:rsidR="00540970">
              <w:rPr>
                <w:rFonts w:asciiTheme="minorHAnsi" w:hAnsiTheme="minorHAnsi"/>
                <w:sz w:val="20"/>
                <w:lang w:val="es-AR"/>
              </w:rPr>
              <w:t xml:space="preserve"> </w:t>
            </w:r>
            <w:r w:rsidR="00A66F25">
              <w:rPr>
                <w:rFonts w:asciiTheme="minorHAnsi" w:hAnsiTheme="minorHAnsi"/>
                <w:sz w:val="20"/>
                <w:lang w:val="es-AR"/>
              </w:rPr>
              <w:t>E</w:t>
            </w:r>
            <w:r w:rsidR="00A66F25" w:rsidRPr="000478B1">
              <w:rPr>
                <w:rFonts w:asciiTheme="minorHAnsi" w:hAnsiTheme="minorHAnsi"/>
                <w:sz w:val="20"/>
                <w:lang w:val="es-AR"/>
              </w:rPr>
              <w:t>l PNUD contribuyó a promocionar el acceso y ejercicio de los DESC a través de actividades culturales, con énfasis en poblaciones en situación de vulnerabilidad (pobres, mujeres, jóvenes y pueblos originarios)</w:t>
            </w:r>
            <w:r w:rsidR="00A66F25">
              <w:rPr>
                <w:rFonts w:asciiTheme="minorHAnsi" w:hAnsiTheme="minorHAnsi"/>
                <w:sz w:val="20"/>
                <w:lang w:val="es-AR"/>
              </w:rPr>
              <w:t>.</w:t>
            </w:r>
          </w:p>
          <w:p w:rsidR="00540970" w:rsidRDefault="00540970" w:rsidP="005409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</w:p>
          <w:p w:rsidR="004A1A05" w:rsidRDefault="00A66F25" w:rsidP="005409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>Asimismo, e</w:t>
            </w:r>
            <w:r w:rsidR="00704021" w:rsidRPr="004A1A05">
              <w:rPr>
                <w:rFonts w:asciiTheme="minorHAnsi" w:hAnsiTheme="minorHAnsi"/>
                <w:sz w:val="20"/>
                <w:lang w:val="es-AR"/>
              </w:rPr>
              <w:t>l PNUD contribuyó a la implementación de políticas para la protección y promoción de los derechos humanos de las mujeres y la promoción de la igualdad de género en todo el país, logrando que un 95% de las provincias apliquen mecanismos institucionales para la defensa de los derechos de la</w:t>
            </w:r>
            <w:r w:rsidR="00704021">
              <w:rPr>
                <w:rFonts w:asciiTheme="minorHAnsi" w:hAnsiTheme="minorHAnsi"/>
                <w:sz w:val="20"/>
                <w:lang w:val="es-AR"/>
              </w:rPr>
              <w:t>s</w:t>
            </w:r>
            <w:r w:rsidR="00704021" w:rsidRPr="004A1A05">
              <w:rPr>
                <w:rFonts w:asciiTheme="minorHAnsi" w:hAnsiTheme="minorHAnsi"/>
                <w:sz w:val="20"/>
                <w:lang w:val="es-AR"/>
              </w:rPr>
              <w:t xml:space="preserve"> muje</w:t>
            </w:r>
            <w:r w:rsidR="00704021">
              <w:rPr>
                <w:rFonts w:asciiTheme="minorHAnsi" w:hAnsiTheme="minorHAnsi"/>
                <w:sz w:val="20"/>
                <w:lang w:val="es-AR"/>
              </w:rPr>
              <w:t xml:space="preserve">res. Se destaca:  </w:t>
            </w:r>
            <w:r w:rsidR="004A1A05">
              <w:rPr>
                <w:rFonts w:asciiTheme="minorHAnsi" w:hAnsiTheme="minorHAnsi"/>
                <w:sz w:val="20"/>
                <w:lang w:val="es-AR"/>
              </w:rPr>
              <w:t xml:space="preserve"> </w:t>
            </w:r>
          </w:p>
          <w:p w:rsidR="004A1A05" w:rsidRDefault="004A1A05" w:rsidP="0054097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540970">
              <w:rPr>
                <w:rFonts w:asciiTheme="minorHAnsi" w:hAnsiTheme="minorHAnsi"/>
                <w:sz w:val="20"/>
                <w:szCs w:val="20"/>
                <w:lang w:val="es-AR"/>
              </w:rPr>
              <w:t>Fortalecimiento</w:t>
            </w:r>
            <w:r>
              <w:rPr>
                <w:rFonts w:asciiTheme="minorHAnsi" w:hAnsiTheme="minorHAnsi"/>
                <w:sz w:val="20"/>
                <w:lang w:val="es-AR"/>
              </w:rPr>
              <w:t xml:space="preserve"> de </w:t>
            </w:r>
            <w:r w:rsidR="00F64F28" w:rsidRPr="000478B1">
              <w:rPr>
                <w:rFonts w:asciiTheme="minorHAnsi" w:hAnsiTheme="minorHAnsi"/>
                <w:sz w:val="20"/>
                <w:lang w:val="es-AR"/>
              </w:rPr>
              <w:t xml:space="preserve">una institucionalidad que promoviera la igualdad de género y estableciera medidas para erradicar la violencia de género. </w:t>
            </w:r>
          </w:p>
          <w:p w:rsidR="004A1A05" w:rsidRPr="004A1A05" w:rsidRDefault="004A1A05" w:rsidP="004A1A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A1A0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Contribución </w:t>
            </w:r>
            <w:r w:rsidR="00F64F28" w:rsidRPr="004A1A05">
              <w:rPr>
                <w:rFonts w:asciiTheme="minorHAnsi" w:hAnsiTheme="minorHAnsi"/>
                <w:sz w:val="20"/>
                <w:szCs w:val="20"/>
                <w:lang w:val="es-AR"/>
              </w:rPr>
              <w:t>a los procesos de sensibilizac</w:t>
            </w:r>
            <w:r w:rsidR="00E662CF" w:rsidRPr="004A1A05">
              <w:rPr>
                <w:rFonts w:asciiTheme="minorHAnsi" w:hAnsiTheme="minorHAnsi"/>
                <w:sz w:val="20"/>
                <w:szCs w:val="20"/>
                <w:lang w:val="es-AR"/>
              </w:rPr>
              <w:t>ión y capacitación para que la Ley N</w:t>
            </w:r>
            <w:r w:rsidR="00F64F28" w:rsidRPr="004A1A0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acional contra la violencia de género fuera adoptada a nivel nacional y que se contara con espacios institucionales y recursos destinados a su implementación. </w:t>
            </w:r>
          </w:p>
          <w:p w:rsidR="004A1A05" w:rsidRPr="004A1A05" w:rsidRDefault="004A1A05" w:rsidP="004A1A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A1A05">
              <w:rPr>
                <w:rFonts w:asciiTheme="minorHAnsi" w:hAnsiTheme="minorHAnsi"/>
                <w:sz w:val="20"/>
                <w:szCs w:val="20"/>
                <w:lang w:val="es-AR"/>
              </w:rPr>
              <w:t>D</w:t>
            </w:r>
            <w:r w:rsidR="00F64F28" w:rsidRPr="004A1A05">
              <w:rPr>
                <w:rFonts w:asciiTheme="minorHAnsi" w:hAnsiTheme="minorHAnsi"/>
                <w:sz w:val="20"/>
                <w:szCs w:val="20"/>
                <w:lang w:val="es-AR"/>
              </w:rPr>
              <w:t>esarroll</w:t>
            </w:r>
            <w:r w:rsidRPr="004A1A0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o de </w:t>
            </w:r>
            <w:r w:rsidR="00F64F28" w:rsidRPr="004A1A0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un Plan estratégico nacional validado por los actores relevantes de la temática y </w:t>
            </w:r>
            <w:r w:rsidR="00704021">
              <w:rPr>
                <w:rFonts w:asciiTheme="minorHAnsi" w:hAnsiTheme="minorHAnsi"/>
                <w:sz w:val="20"/>
                <w:szCs w:val="20"/>
                <w:lang w:val="es-AR"/>
              </w:rPr>
              <w:t>establecimiento de</w:t>
            </w:r>
            <w:r w:rsidR="00F64F28" w:rsidRPr="004A1A0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líneas estratégicas y metas específicas a nivel nacional y provincial para avanzar en la reducción de la violencia de género y en la promoción de la igualdad de género. </w:t>
            </w:r>
          </w:p>
          <w:p w:rsidR="004A1A05" w:rsidRDefault="004A1A05" w:rsidP="004A1A0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A1A05">
              <w:rPr>
                <w:rFonts w:asciiTheme="minorHAnsi" w:hAnsiTheme="minorHAnsi"/>
                <w:sz w:val="20"/>
                <w:szCs w:val="20"/>
                <w:lang w:val="es-AR"/>
              </w:rPr>
              <w:t>Promoción de</w:t>
            </w:r>
            <w:r w:rsidR="00F64F28" w:rsidRPr="004A1A0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una visión compartida sobre igualdad de género y violencia de género, y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de</w:t>
            </w:r>
            <w:r w:rsidR="00F64F28" w:rsidRPr="004A1A0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la generación de estadísticas unificadas para dar cuenta de la magnitud de la violencia de género y de los avances realizados para su erradicación. </w:t>
            </w:r>
          </w:p>
          <w:p w:rsidR="00540970" w:rsidRDefault="004A1A05" w:rsidP="00463B7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540970">
              <w:rPr>
                <w:rFonts w:asciiTheme="minorHAnsi" w:hAnsiTheme="minorHAnsi"/>
                <w:sz w:val="20"/>
                <w:szCs w:val="20"/>
                <w:lang w:val="es-AR"/>
              </w:rPr>
              <w:t>A</w:t>
            </w:r>
            <w:r w:rsidR="00F64F28" w:rsidRPr="0054097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sistencia para la atención y protección de las víctimas de violencia de género, lo que implicó la construcción de refugios, la mejora de aquellos que existían y el desarrollo de un protocolo unificado para la atención que fue validado con los actores relevantes para la temática. </w:t>
            </w:r>
            <w:r w:rsidR="00540970">
              <w:rPr>
                <w:rFonts w:asciiTheme="minorHAnsi" w:hAnsiTheme="minorHAnsi"/>
                <w:sz w:val="20"/>
                <w:szCs w:val="20"/>
                <w:lang w:val="es-AR"/>
              </w:rPr>
              <w:t>Se realizó un r</w:t>
            </w:r>
            <w:r w:rsidR="00F64F28" w:rsidRPr="00540970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elevamiento nacional sobre la oferta de espacios de protección a las víctimas que permitió establecer las necesidades existentes. </w:t>
            </w:r>
          </w:p>
          <w:p w:rsidR="00540970" w:rsidRPr="00540970" w:rsidRDefault="00540970" w:rsidP="00463B7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E</w:t>
            </w:r>
            <w:r w:rsidR="00F64F28" w:rsidRPr="00540970">
              <w:rPr>
                <w:rFonts w:asciiTheme="minorHAnsi" w:hAnsiTheme="minorHAnsi"/>
                <w:sz w:val="20"/>
                <w:szCs w:val="20"/>
                <w:lang w:val="es-AR"/>
              </w:rPr>
              <w:t>stableci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miento de </w:t>
            </w:r>
            <w:r w:rsidR="00F64F28" w:rsidRPr="00540970">
              <w:rPr>
                <w:rFonts w:asciiTheme="minorHAnsi" w:hAnsiTheme="minorHAnsi"/>
                <w:sz w:val="20"/>
                <w:szCs w:val="20"/>
                <w:lang w:val="es-AR"/>
              </w:rPr>
              <w:t>una línea telefónica de atención para las víctimas de violencia a nivel nacional que brinda orientación y lleva un registro de las consultas.</w:t>
            </w:r>
          </w:p>
          <w:p w:rsidR="0015763C" w:rsidRPr="007A24FC" w:rsidRDefault="00540970" w:rsidP="0029495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7A24FC">
              <w:rPr>
                <w:rFonts w:asciiTheme="minorHAnsi" w:hAnsiTheme="minorHAnsi"/>
                <w:sz w:val="20"/>
                <w:szCs w:val="20"/>
                <w:lang w:val="es-AR"/>
              </w:rPr>
              <w:t>Ca</w:t>
            </w:r>
            <w:r w:rsidR="00F64F28" w:rsidRP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mpañas de sensibilización dirigidas a la ciudadanía contra la violencia y promoviendo la igualdad de género que contribuyeron a desnaturalizar la temática y a promover la denuncia y tratamiento. </w:t>
            </w:r>
          </w:p>
          <w:p w:rsidR="007A24FC" w:rsidRPr="007A24FC" w:rsidRDefault="007A24FC" w:rsidP="007A24F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E</w:t>
            </w:r>
            <w:r w:rsidRPr="007A24FC">
              <w:rPr>
                <w:rFonts w:asciiTheme="minorHAnsi" w:hAnsiTheme="minorHAnsi"/>
                <w:sz w:val="20"/>
                <w:szCs w:val="20"/>
                <w:lang w:val="es-AR"/>
              </w:rPr>
              <w:t>laboración de una Guía que facilita la incorporación del enfoque de derechos en las políticas públicas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y participación </w:t>
            </w:r>
            <w:r w:rsidRPr="007A24FC">
              <w:rPr>
                <w:rFonts w:asciiTheme="minorHAnsi" w:hAnsiTheme="minorHAnsi"/>
                <w:sz w:val="20"/>
                <w:szCs w:val="20"/>
                <w:lang w:val="es-AR"/>
              </w:rPr>
              <w:t>en la elaboración de un Documento Conceptual sobre el enfoque de derechos en las políticas públicas.</w:t>
            </w:r>
          </w:p>
          <w:p w:rsidR="007A24FC" w:rsidRPr="007A24FC" w:rsidRDefault="00637D93" w:rsidP="007A24F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I</w:t>
            </w:r>
            <w:r w:rsidR="007A24FC" w:rsidRP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ncorporación </w:t>
            </w:r>
            <w:r w:rsidR="007A24FC">
              <w:rPr>
                <w:rFonts w:asciiTheme="minorHAnsi" w:hAnsiTheme="minorHAnsi"/>
                <w:sz w:val="20"/>
                <w:szCs w:val="20"/>
                <w:lang w:val="es-AR"/>
              </w:rPr>
              <w:t>de</w:t>
            </w:r>
            <w:r w:rsidR="007A24FC" w:rsidRP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tecnología</w:t>
            </w:r>
            <w:r w:rsid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para </w:t>
            </w:r>
            <w:r w:rsidR="007A24FC" w:rsidRP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la producción estatal </w:t>
            </w:r>
            <w:r w:rsidR="007A24FC">
              <w:rPr>
                <w:rFonts w:asciiTheme="minorHAnsi" w:hAnsiTheme="minorHAnsi"/>
                <w:sz w:val="20"/>
                <w:szCs w:val="20"/>
                <w:lang w:val="es-AR"/>
              </w:rPr>
              <w:t>de Documentos Nacionales de Identidad</w:t>
            </w:r>
            <w:r w:rsidR="007A24FC" w:rsidRPr="007A24FC">
              <w:rPr>
                <w:rFonts w:asciiTheme="minorHAnsi" w:hAnsiTheme="minorHAnsi"/>
                <w:sz w:val="20"/>
                <w:szCs w:val="20"/>
                <w:lang w:val="es-AR"/>
              </w:rPr>
              <w:t>. Al finalizar el apoyo casi el 90% de la población contaba con el nuevo DNI</w:t>
            </w:r>
            <w:r w:rsid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y t</w:t>
            </w:r>
            <w:r w:rsidR="007A24FC" w:rsidRP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odos los Registros Civiles digitalizados con más de 2.000 bocas de tomas de trámites. </w:t>
            </w:r>
          </w:p>
          <w:p w:rsidR="007A24FC" w:rsidRPr="007A24FC" w:rsidRDefault="00637D93" w:rsidP="00E5355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lastRenderedPageBreak/>
              <w:t>I</w:t>
            </w:r>
            <w:r w:rsidR="007A24FC" w:rsidRP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ncorporación de tecnología en la Dirección Nacional Electoral para la actualización del registro de electores y capacitación </w:t>
            </w:r>
            <w:r w:rsidR="007A24F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 </w:t>
            </w:r>
            <w:r w:rsidR="007A24FC" w:rsidRPr="007A24FC">
              <w:rPr>
                <w:rFonts w:asciiTheme="minorHAnsi" w:hAnsiTheme="minorHAnsi"/>
                <w:sz w:val="20"/>
                <w:szCs w:val="20"/>
                <w:lang w:val="es-AR"/>
              </w:rPr>
              <w:t>las autoridades de mesa y nuevos electores de acuerdo con las últimas reformas legislativas en materia electoral (incluida la ampliación de electores por incorporación de jóvenes de 16 años).</w:t>
            </w:r>
          </w:p>
          <w:p w:rsidR="007A24FC" w:rsidRPr="00980D8C" w:rsidRDefault="007A24FC" w:rsidP="00F64F28">
            <w:pPr>
              <w:rPr>
                <w:rFonts w:asciiTheme="minorHAnsi" w:hAnsiTheme="minorHAnsi"/>
                <w:sz w:val="20"/>
                <w:lang w:val="es-AR"/>
              </w:rPr>
            </w:pPr>
          </w:p>
        </w:tc>
      </w:tr>
      <w:tr w:rsidR="00980D8C" w:rsidRPr="00980D8C" w:rsidTr="00265522">
        <w:tc>
          <w:tcPr>
            <w:tcW w:w="5387" w:type="dxa"/>
            <w:shd w:val="clear" w:color="auto" w:fill="8EAADB" w:themeFill="accent5" w:themeFillTint="99"/>
          </w:tcPr>
          <w:p w:rsidR="00980D8C" w:rsidRPr="00980D8C" w:rsidRDefault="00980D8C" w:rsidP="004267A9">
            <w:pPr>
              <w:pStyle w:val="Default"/>
              <w:jc w:val="both"/>
              <w:rPr>
                <w:rFonts w:asciiTheme="minorHAnsi" w:hAnsiTheme="minorHAnsi" w:cs="Helvetica-Bold"/>
                <w:b/>
                <w:bCs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 w:cs="Helvetica-Bold"/>
                <w:b/>
                <w:bCs/>
                <w:sz w:val="20"/>
                <w:szCs w:val="20"/>
                <w:lang w:val="es-AR"/>
              </w:rPr>
              <w:lastRenderedPageBreak/>
              <w:t xml:space="preserve">OUTCOME </w:t>
            </w:r>
            <w:r>
              <w:rPr>
                <w:rFonts w:asciiTheme="minorHAnsi" w:hAnsiTheme="minorHAnsi" w:cs="Helvetica-Bold"/>
                <w:b/>
                <w:bCs/>
                <w:sz w:val="20"/>
                <w:szCs w:val="20"/>
                <w:lang w:val="es-AR"/>
              </w:rPr>
              <w:t>7</w:t>
            </w:r>
          </w:p>
          <w:p w:rsidR="00980D8C" w:rsidRPr="00980D8C" w:rsidRDefault="00980D8C" w:rsidP="004267A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Institucionalidad democrática, y mecanismos de participación ciudadana y diálogo fortalecidos. </w:t>
            </w:r>
          </w:p>
        </w:tc>
        <w:tc>
          <w:tcPr>
            <w:tcW w:w="1559" w:type="dxa"/>
            <w:shd w:val="clear" w:color="auto" w:fill="auto"/>
          </w:tcPr>
          <w:p w:rsidR="00A54FEC" w:rsidRPr="007578A1" w:rsidRDefault="00A54FEC" w:rsidP="004267A9">
            <w:pPr>
              <w:widowControl/>
              <w:jc w:val="right"/>
              <w:rPr>
                <w:rFonts w:ascii="Calibri" w:hAnsi="Calibri"/>
                <w:color w:val="000000"/>
                <w:sz w:val="20"/>
              </w:rPr>
            </w:pPr>
            <w:r w:rsidRPr="00B16A0D">
              <w:rPr>
                <w:rFonts w:ascii="Calibri" w:hAnsi="Calibri"/>
                <w:color w:val="000000"/>
                <w:sz w:val="20"/>
                <w:lang w:val="es-AR"/>
              </w:rPr>
              <w:t xml:space="preserve"> </w:t>
            </w:r>
            <w:r w:rsidRPr="007578A1">
              <w:rPr>
                <w:rFonts w:ascii="Calibri" w:hAnsi="Calibri"/>
                <w:color w:val="000000"/>
                <w:sz w:val="20"/>
              </w:rPr>
              <w:t xml:space="preserve">$ 271,027,995 </w:t>
            </w:r>
          </w:p>
          <w:p w:rsidR="00980D8C" w:rsidRPr="00980D8C" w:rsidRDefault="00980D8C" w:rsidP="004267A9">
            <w:pPr>
              <w:pStyle w:val="BodyText2"/>
              <w:jc w:val="both"/>
              <w:rPr>
                <w:rFonts w:asciiTheme="minorHAnsi" w:hAnsiTheme="minorHAnsi"/>
                <w:b/>
                <w:lang w:val="es-AR"/>
              </w:rPr>
            </w:pP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</w:tcPr>
          <w:p w:rsidR="00980D8C" w:rsidRPr="00450906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E26B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Cantidad de iniciativas que promueven el acceso a la justicia, y a métodos alternativos de solución de conflictos y participación ciudadana. </w:t>
            </w:r>
          </w:p>
        </w:tc>
        <w:tc>
          <w:tcPr>
            <w:tcW w:w="2057" w:type="dxa"/>
          </w:tcPr>
          <w:p w:rsidR="00980D8C" w:rsidRPr="00450906" w:rsidRDefault="00C95E7B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10</w:t>
            </w:r>
            <w:r w:rsidR="00450906" w:rsidRPr="0045090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iniciativas (2014)</w:t>
            </w:r>
          </w:p>
        </w:tc>
      </w:tr>
      <w:tr w:rsidR="00980D8C" w:rsidRPr="003B5C2A" w:rsidTr="00265522">
        <w:tc>
          <w:tcPr>
            <w:tcW w:w="14034" w:type="dxa"/>
            <w:gridSpan w:val="5"/>
          </w:tcPr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b/>
                <w:lang w:val="es-AR"/>
              </w:rPr>
            </w:pPr>
            <w:r w:rsidRPr="008633A2">
              <w:rPr>
                <w:rFonts w:asciiTheme="minorHAnsi" w:hAnsiTheme="minorHAnsi"/>
                <w:b/>
                <w:lang w:val="es-AR"/>
              </w:rPr>
              <w:t>UNDP Contribution: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  <w:r w:rsidRPr="008633A2">
              <w:rPr>
                <w:rFonts w:asciiTheme="minorHAnsi" w:hAnsiTheme="minorHAnsi"/>
                <w:u w:val="single"/>
                <w:lang w:val="es-AR"/>
              </w:rPr>
              <w:t>CP Outputs</w:t>
            </w:r>
            <w:r w:rsidRPr="008633A2">
              <w:rPr>
                <w:rFonts w:asciiTheme="minorHAnsi" w:hAnsiTheme="minorHAnsi"/>
                <w:lang w:val="es-AR"/>
              </w:rPr>
              <w:t xml:space="preserve">: 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1. Políticas de acceso a la justicia, fortalecidas y ampliadas, prestando especial atención a las mujeres y los sectores vulnerables de la población. </w:t>
            </w:r>
          </w:p>
          <w:p w:rsid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2. Instancias de diálogo ciudadano y promoción de la cultura cívica desarrolladas. </w:t>
            </w:r>
          </w:p>
          <w:p w:rsid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3. Fortalecimiento de las capacidades nacionales, incluida la sociedad civil, para promover la gobernabilidad democrática. </w:t>
            </w:r>
          </w:p>
          <w:p w:rsidR="0015763C" w:rsidRP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4. Intervenciones que promuevan transparencia y acceso a información pública formuladas. </w:t>
            </w:r>
          </w:p>
          <w:p w:rsidR="00980D8C" w:rsidRDefault="00980D8C" w:rsidP="00980D8C">
            <w:pPr>
              <w:rPr>
                <w:rFonts w:asciiTheme="minorHAnsi" w:hAnsiTheme="minorHAnsi"/>
                <w:sz w:val="20"/>
                <w:lang w:val="es-AR"/>
              </w:rPr>
            </w:pPr>
          </w:p>
          <w:p w:rsidR="00760F31" w:rsidRPr="00B16A0D" w:rsidRDefault="00760F31" w:rsidP="00760F31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  <w:r w:rsidRPr="00B16A0D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4279E3" w:rsidRPr="00B16A0D" w:rsidRDefault="004279E3" w:rsidP="00760F31">
            <w:pPr>
              <w:pStyle w:val="BodyText2"/>
              <w:rPr>
                <w:rFonts w:asciiTheme="minorHAnsi" w:hAnsiTheme="minorHAnsi"/>
                <w:lang w:val="es-AR"/>
              </w:rPr>
            </w:pPr>
          </w:p>
          <w:p w:rsidR="004279E3" w:rsidRPr="004279E3" w:rsidRDefault="004279E3" w:rsidP="004279E3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  <w:r w:rsidRPr="004279E3">
              <w:rPr>
                <w:rFonts w:asciiTheme="minorHAnsi" w:hAnsiTheme="minorHAnsi"/>
                <w:lang w:val="es-AR"/>
              </w:rPr>
              <w:t xml:space="preserve">El PNUD contribuyó a la promoción del acceso a la justicia, la participación ciudadana y el diálogo constructivo e inclusivo. Se desarrollaron mecanismos e iniciativas para la promoción del diálogo, participación ciudadana y acceso a la información, </w:t>
            </w:r>
            <w:r w:rsidR="004E4C68">
              <w:rPr>
                <w:rFonts w:asciiTheme="minorHAnsi" w:hAnsiTheme="minorHAnsi"/>
                <w:lang w:val="es-AR"/>
              </w:rPr>
              <w:t>entre las que se destacan</w:t>
            </w:r>
            <w:r w:rsidRPr="004279E3">
              <w:rPr>
                <w:rFonts w:asciiTheme="minorHAnsi" w:hAnsiTheme="minorHAnsi"/>
                <w:lang w:val="es-AR"/>
              </w:rPr>
              <w:t xml:space="preserve">: </w:t>
            </w:r>
          </w:p>
          <w:p w:rsidR="004279E3" w:rsidRPr="004E4C68" w:rsidRDefault="004279E3" w:rsidP="006029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Plataforma para redes sociales en la que los ciudadanos comparten las experiencias relativas a la realización de trámites</w:t>
            </w:r>
            <w:r w:rsidR="004E4C68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y v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ideos tutoriales que facilitan el acceso a la información de los trámites. </w:t>
            </w:r>
          </w:p>
          <w:p w:rsidR="004279E3" w:rsidRPr="00973816" w:rsidRDefault="004279E3" w:rsidP="009738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9738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Ventanilla única y el Espacio Argentina Comparte que incorpora sitios de interacción con el entorno social sobre infancia, medios públicos, vacunas, inclusión digital y contenidos musicales. </w:t>
            </w:r>
          </w:p>
          <w:p w:rsidR="004279E3" w:rsidRPr="00973816" w:rsidRDefault="004279E3" w:rsidP="009738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973816">
              <w:rPr>
                <w:rFonts w:asciiTheme="minorHAnsi" w:hAnsiTheme="minorHAnsi"/>
                <w:sz w:val="20"/>
                <w:szCs w:val="20"/>
                <w:lang w:val="es-AR"/>
              </w:rPr>
              <w:t>Publicación dirigida a facilitar la comunicación a la población de los contenidos del proyecto de presupuesto de la Administración Pública Nacional para el año 2015 incluyendo un análisis transversal del presupuesto con la descripción de políticas públicas específicas y los criterios utilizados para su elección</w:t>
            </w:r>
            <w:r w:rsidR="00973816">
              <w:rPr>
                <w:rFonts w:asciiTheme="minorHAnsi" w:hAnsiTheme="minorHAnsi"/>
                <w:sz w:val="20"/>
                <w:szCs w:val="20"/>
                <w:lang w:val="es-AR"/>
              </w:rPr>
              <w:t>.</w:t>
            </w:r>
            <w:r w:rsidRPr="009738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</w:p>
          <w:p w:rsidR="004279E3" w:rsidRPr="00973816" w:rsidRDefault="004279E3" w:rsidP="009738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97381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Instrumentos de calidad en la gestión en la Oficina Nacional de Innovación de la Gestión. </w:t>
            </w:r>
          </w:p>
          <w:p w:rsidR="004279E3" w:rsidRPr="00973816" w:rsidRDefault="004279E3" w:rsidP="0097381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973816">
              <w:rPr>
                <w:rFonts w:asciiTheme="minorHAnsi" w:hAnsiTheme="minorHAnsi"/>
                <w:sz w:val="20"/>
                <w:szCs w:val="20"/>
                <w:lang w:val="es-AR"/>
              </w:rPr>
              <w:t>Campañas audiovisuales sobre acceso a la información con perspectiva de género.</w:t>
            </w:r>
          </w:p>
          <w:p w:rsidR="004E4C68" w:rsidRPr="004E4C68" w:rsidRDefault="004E4C68" w:rsidP="004E4C6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I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mplementación de 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una 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campaña de promoción del 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d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esarme 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v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oluntario y 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r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esolución 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p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acífica de 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c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>onflictos en municipios del conurbano bonaerense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(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>experiencia piloto dirigida a poblaciones de jóvenes y mujeres en situación de vulnerabilidad social a nivel local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)</w:t>
            </w:r>
            <w:r w:rsidR="004279E3"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. </w:t>
            </w:r>
          </w:p>
          <w:p w:rsidR="004E4C68" w:rsidRPr="004E4C68" w:rsidRDefault="004E4C68" w:rsidP="004E4C6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Asistencia técnica a la Defensoría de Casación de la Provincia de Buenos Aires, en el marco del Programa de Casas de Justicia, las cuales proveen asesoramiento y atención a poblaciones en situación de vulnerabilidad social y económica, mediante la descentralización del Sistema de la Defensa Pública en el territorio provincial. Entre los resultados más destacables se encuentra la elaboración de un Diagn</w:t>
            </w:r>
            <w:r w:rsidR="00724710">
              <w:rPr>
                <w:rFonts w:asciiTheme="minorHAnsi" w:hAnsiTheme="minorHAnsi"/>
                <w:sz w:val="20"/>
                <w:szCs w:val="20"/>
                <w:lang w:val="es-AR"/>
              </w:rPr>
              <w:t>ó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stico de necesidades legales insatisfechas con recomendaciones para la mejora de la prestación de servicios (Casa de Justicia de Florencio Varela). </w:t>
            </w:r>
          </w:p>
          <w:p w:rsidR="004E4C68" w:rsidRPr="004E4C68" w:rsidRDefault="004E4C68" w:rsidP="004E4C6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Elaboració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n y difusión del estudio “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Mediación pre-judicial obligatoria; un aporte para el debate y la efectividad de los MASC en Argentina”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, que c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>ontiene base empírica y compara dos sistemas de mediación pre-judicial vigentes: el de la Justicia Nacional y Federal y el de la Provincia de Rio Negro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; </w:t>
            </w:r>
            <w:r w:rsidRPr="004E4C6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fue declarado de interés de la Corte Suprema de Justicia de la Nación.  </w:t>
            </w:r>
          </w:p>
          <w:p w:rsidR="004E4C68" w:rsidRPr="00980D8C" w:rsidRDefault="004E4C68" w:rsidP="00973816">
            <w:pPr>
              <w:pStyle w:val="BodyText2"/>
              <w:jc w:val="both"/>
              <w:rPr>
                <w:rFonts w:asciiTheme="minorHAnsi" w:hAnsiTheme="minorHAnsi"/>
                <w:lang w:val="es-AR"/>
              </w:rPr>
            </w:pPr>
          </w:p>
        </w:tc>
      </w:tr>
      <w:tr w:rsidR="00980D8C" w:rsidRPr="00980D8C" w:rsidTr="00265522">
        <w:tc>
          <w:tcPr>
            <w:tcW w:w="5387" w:type="dxa"/>
            <w:shd w:val="clear" w:color="auto" w:fill="8EAADB" w:themeFill="accent5" w:themeFillTint="99"/>
          </w:tcPr>
          <w:p w:rsidR="00980D8C" w:rsidRPr="00980D8C" w:rsidRDefault="00980D8C" w:rsidP="004267A9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</w:pPr>
            <w:r w:rsidRPr="00980D8C">
              <w:rPr>
                <w:rFonts w:asciiTheme="minorHAnsi" w:hAnsiTheme="minorHAnsi" w:cs="Helvetica-Bold"/>
                <w:b/>
                <w:bCs/>
                <w:sz w:val="20"/>
                <w:lang w:val="es-AR"/>
              </w:rPr>
              <w:lastRenderedPageBreak/>
              <w:t>OUTCOME 8</w:t>
            </w:r>
          </w:p>
          <w:p w:rsidR="00980D8C" w:rsidRPr="00980D8C" w:rsidRDefault="00980D8C" w:rsidP="004267A9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980D8C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Capacidades institucionales fortalecidas a fin de posibilitar mayor eficiencia, eficacia y transparencia en la prestación de servicios y el acceso a éstos, para el logro de los ODM. </w:t>
            </w:r>
          </w:p>
        </w:tc>
        <w:tc>
          <w:tcPr>
            <w:tcW w:w="1559" w:type="dxa"/>
            <w:shd w:val="clear" w:color="auto" w:fill="auto"/>
          </w:tcPr>
          <w:p w:rsidR="00A54FEC" w:rsidRPr="007578A1" w:rsidRDefault="00A54FEC" w:rsidP="004267A9">
            <w:pPr>
              <w:widowControl/>
              <w:jc w:val="right"/>
              <w:rPr>
                <w:rFonts w:ascii="Calibri" w:hAnsi="Calibri"/>
                <w:color w:val="000000"/>
                <w:sz w:val="20"/>
              </w:rPr>
            </w:pPr>
            <w:r w:rsidRPr="007578A1">
              <w:rPr>
                <w:rFonts w:ascii="Calibri" w:hAnsi="Calibri"/>
                <w:color w:val="000000"/>
                <w:sz w:val="20"/>
              </w:rPr>
              <w:t xml:space="preserve">$ 267,174,011 </w:t>
            </w:r>
          </w:p>
          <w:p w:rsidR="00980D8C" w:rsidRPr="00980D8C" w:rsidRDefault="00980D8C" w:rsidP="004267A9">
            <w:pPr>
              <w:pStyle w:val="BodyText2"/>
              <w:jc w:val="both"/>
              <w:rPr>
                <w:rFonts w:asciiTheme="minorHAnsi" w:hAnsiTheme="minorHAnsi"/>
                <w:b/>
                <w:lang w:val="es-AR"/>
              </w:rPr>
            </w:pP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</w:tcPr>
          <w:p w:rsidR="00960C3E" w:rsidRPr="00960C3E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4E26BB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Sistemas de gestión pública a nivel nacional y subnacional optimizados. </w:t>
            </w:r>
          </w:p>
          <w:p w:rsidR="00980D8C" w:rsidRPr="00980D8C" w:rsidRDefault="008633A2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4E26BB">
              <w:rPr>
                <w:rFonts w:asciiTheme="minorHAnsi" w:hAnsiTheme="minorHAnsi"/>
                <w:sz w:val="20"/>
                <w:szCs w:val="20"/>
                <w:lang w:val="es-AR"/>
              </w:rPr>
              <w:t>Cantidad de jurisdicciones subnacionales que adaptan y/o adoptan los ODM como instrumento de planificación.</w:t>
            </w:r>
            <w:r w:rsidRPr="008633A2">
              <w:rPr>
                <w:sz w:val="16"/>
                <w:szCs w:val="16"/>
                <w:lang w:val="es-AR"/>
              </w:rPr>
              <w:t xml:space="preserve">  </w:t>
            </w:r>
          </w:p>
        </w:tc>
        <w:tc>
          <w:tcPr>
            <w:tcW w:w="2057" w:type="dxa"/>
          </w:tcPr>
          <w:p w:rsidR="00980D8C" w:rsidRPr="00960C3E" w:rsidRDefault="0044130F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jc w:val="both"/>
              <w:rPr>
                <w:rFonts w:asciiTheme="minorHAnsi" w:hAnsiTheme="minorHAnsi"/>
                <w:b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>30</w:t>
            </w:r>
            <w:r w:rsidR="00563B94" w:rsidRPr="00450906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iniciativas (2014)</w:t>
            </w:r>
          </w:p>
          <w:p w:rsidR="00960C3E" w:rsidRDefault="00960C3E" w:rsidP="004267A9">
            <w:pPr>
              <w:pStyle w:val="Default"/>
              <w:tabs>
                <w:tab w:val="left" w:pos="175"/>
              </w:tabs>
              <w:ind w:left="176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</w:p>
          <w:p w:rsidR="00563B94" w:rsidRPr="00980D8C" w:rsidRDefault="00563B94" w:rsidP="004267A9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ind w:left="176" w:hanging="176"/>
              <w:rPr>
                <w:rFonts w:asciiTheme="minorHAnsi" w:hAnsiTheme="minorHAnsi"/>
                <w:b/>
                <w:sz w:val="20"/>
                <w:szCs w:val="20"/>
                <w:lang w:val="es-AR"/>
              </w:rPr>
            </w:pPr>
            <w:r w:rsidRPr="00563B94">
              <w:rPr>
                <w:rFonts w:asciiTheme="minorHAnsi" w:hAnsiTheme="minorHAnsi"/>
                <w:sz w:val="20"/>
                <w:szCs w:val="20"/>
                <w:lang w:val="es-AR"/>
              </w:rPr>
              <w:t>16 juris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di</w:t>
            </w:r>
            <w:r w:rsidRPr="00563B94">
              <w:rPr>
                <w:rFonts w:asciiTheme="minorHAnsi" w:hAnsiTheme="minorHAnsi"/>
                <w:sz w:val="20"/>
                <w:szCs w:val="20"/>
                <w:lang w:val="es-AR"/>
              </w:rPr>
              <w:t>cciones (2013)</w:t>
            </w:r>
          </w:p>
        </w:tc>
      </w:tr>
      <w:tr w:rsidR="00980D8C" w:rsidRPr="003B5C2A" w:rsidTr="00265522">
        <w:tc>
          <w:tcPr>
            <w:tcW w:w="14034" w:type="dxa"/>
            <w:gridSpan w:val="5"/>
          </w:tcPr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b/>
                <w:lang w:val="es-AR"/>
              </w:rPr>
            </w:pPr>
            <w:r w:rsidRPr="008633A2">
              <w:rPr>
                <w:rFonts w:asciiTheme="minorHAnsi" w:hAnsiTheme="minorHAnsi"/>
                <w:b/>
                <w:lang w:val="es-AR"/>
              </w:rPr>
              <w:t>UNDP Contribution:</w:t>
            </w: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</w:p>
          <w:p w:rsidR="008633A2" w:rsidRPr="008633A2" w:rsidRDefault="008633A2" w:rsidP="008633A2">
            <w:pPr>
              <w:pStyle w:val="BodyText2"/>
              <w:rPr>
                <w:rFonts w:asciiTheme="minorHAnsi" w:hAnsiTheme="minorHAnsi"/>
                <w:lang w:val="es-AR"/>
              </w:rPr>
            </w:pPr>
            <w:r w:rsidRPr="008633A2">
              <w:rPr>
                <w:rFonts w:asciiTheme="minorHAnsi" w:hAnsiTheme="minorHAnsi"/>
                <w:u w:val="single"/>
                <w:lang w:val="es-AR"/>
              </w:rPr>
              <w:t>CP Outputs</w:t>
            </w:r>
            <w:r w:rsidRPr="008633A2">
              <w:rPr>
                <w:rFonts w:asciiTheme="minorHAnsi" w:hAnsiTheme="minorHAnsi"/>
                <w:lang w:val="es-AR"/>
              </w:rPr>
              <w:t xml:space="preserve">: </w:t>
            </w:r>
          </w:p>
          <w:p w:rsid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1. Instituciones, normas, modelos de gestión y recursos humanos fortalecidos, prestando especial atención a la incorporación de las TIC. </w:t>
            </w:r>
          </w:p>
          <w:p w:rsid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>2. Estrategias de localización de los ODM con enfoque de derechos humanos incorporadas en los</w:t>
            </w:r>
            <w:r w:rsid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procesos de planificación regional y local. </w:t>
            </w:r>
          </w:p>
          <w:p w:rsidR="0015763C" w:rsidRPr="008633A2" w:rsidRDefault="0015763C" w:rsidP="007F614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8633A2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3 capacidades institucionales para la innovación y la reducción de la inequidad fortalecidas. </w:t>
            </w:r>
          </w:p>
          <w:p w:rsidR="0015763C" w:rsidRDefault="0015763C" w:rsidP="00980D8C">
            <w:pPr>
              <w:rPr>
                <w:rFonts w:asciiTheme="minorHAnsi" w:hAnsiTheme="minorHAnsi"/>
                <w:sz w:val="20"/>
                <w:lang w:val="es-AR"/>
              </w:rPr>
            </w:pPr>
          </w:p>
          <w:p w:rsidR="00760F31" w:rsidRPr="0078213F" w:rsidRDefault="00760F31" w:rsidP="00760F31">
            <w:pPr>
              <w:pStyle w:val="BodyText2"/>
              <w:rPr>
                <w:rFonts w:asciiTheme="minorHAnsi" w:hAnsiTheme="minorHAnsi"/>
                <w:u w:val="single"/>
                <w:lang w:val="es-AR"/>
              </w:rPr>
            </w:pPr>
            <w:r w:rsidRPr="0078213F">
              <w:rPr>
                <w:rFonts w:asciiTheme="minorHAnsi" w:hAnsiTheme="minorHAnsi"/>
                <w:u w:val="single"/>
                <w:lang w:val="es-AR"/>
              </w:rPr>
              <w:t>Progress and Achievements</w:t>
            </w:r>
          </w:p>
          <w:p w:rsidR="00760F31" w:rsidRDefault="00760F31" w:rsidP="00980D8C">
            <w:pPr>
              <w:rPr>
                <w:rFonts w:asciiTheme="minorHAnsi" w:hAnsiTheme="minorHAnsi"/>
                <w:sz w:val="20"/>
                <w:lang w:val="es-AR"/>
              </w:rPr>
            </w:pPr>
          </w:p>
          <w:p w:rsidR="0026472F" w:rsidRDefault="00F96D80" w:rsidP="00F96D80">
            <w:pPr>
              <w:jc w:val="both"/>
              <w:rPr>
                <w:rFonts w:asciiTheme="minorHAnsi" w:hAnsiTheme="minorHAnsi"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>L</w:t>
            </w:r>
            <w:r w:rsidR="00973816" w:rsidRPr="00973816">
              <w:rPr>
                <w:rFonts w:asciiTheme="minorHAnsi" w:hAnsiTheme="minorHAnsi"/>
                <w:sz w:val="20"/>
                <w:lang w:val="es-AR"/>
              </w:rPr>
              <w:t>a inclusión de las TICs a la gestión de gobierno ha implicado un avance hacia la gestión de calidad en la administración pública, abonando positivamente a los principios de transparencia y rendición de cuentas al ciudadano en el marco de la gobernabilidad democrática.</w:t>
            </w:r>
            <w:r w:rsidR="0026472F">
              <w:rPr>
                <w:rFonts w:asciiTheme="minorHAnsi" w:hAnsiTheme="minorHAnsi"/>
                <w:sz w:val="20"/>
                <w:lang w:val="es-AR"/>
              </w:rPr>
              <w:t xml:space="preserve"> </w:t>
            </w:r>
          </w:p>
          <w:p w:rsidR="00973816" w:rsidRPr="00973816" w:rsidRDefault="00973816" w:rsidP="00F96D80">
            <w:pPr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973816">
              <w:rPr>
                <w:rFonts w:asciiTheme="minorHAnsi" w:hAnsiTheme="minorHAnsi"/>
                <w:sz w:val="20"/>
                <w:lang w:val="es-AR"/>
              </w:rPr>
              <w:t>El PNUD contribuyó al fortalecimiento de las capacidades institucionales nacionales mediante la optimización de sistemas de gestión pública a nivel nacional y subnacional incluyendo la incorporación de TIC y sistemas de información, para una mejor prestación de servicios al ciudadano. Se implementaron iniciativas vinculadas a:</w:t>
            </w:r>
          </w:p>
          <w:p w:rsidR="00973816" w:rsidRDefault="00973816" w:rsidP="00320C0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>Redefinición de procesos administrativos y certificación de calidad de normas ISO 9001:2008 de procesos en el ámbito del Ministerio de Trabajo.</w:t>
            </w:r>
          </w:p>
          <w:p w:rsidR="00973816" w:rsidRPr="00320C09" w:rsidRDefault="00F96D80" w:rsidP="00320C0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>R</w:t>
            </w:r>
            <w:r w:rsidR="00973816" w:rsidRPr="00320C0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ediseño del Tablero de Comando y del Sistema de Información Integrado del Ministerio de Defensa y de los sistemas de información del Ministerio de Relaciones Exteriores para facilitar la realización de trámites en el exterior. </w:t>
            </w:r>
          </w:p>
          <w:p w:rsidR="00973816" w:rsidRPr="00320C09" w:rsidRDefault="00973816" w:rsidP="00320C0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>Preservación y conservación del acervo documental de las Fuerzas Armadas y Ministerio de Defensa según estándares internacionales.</w:t>
            </w:r>
          </w:p>
          <w:p w:rsidR="00DB51F1" w:rsidRDefault="00DB51F1" w:rsidP="00320C0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DB51F1">
              <w:rPr>
                <w:rFonts w:asciiTheme="minorHAnsi" w:hAnsiTheme="minorHAnsi"/>
                <w:sz w:val="20"/>
                <w:szCs w:val="20"/>
                <w:lang w:val="es-AR"/>
              </w:rPr>
              <w:t>Preservación y acceso al patrimonio histórico y cultural del Archivo General de la Nación.</w:t>
            </w:r>
          </w:p>
          <w:p w:rsidR="00973816" w:rsidRPr="00320C09" w:rsidRDefault="00973816" w:rsidP="00320C0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>Certificación de normas ISO 9001</w:t>
            </w:r>
            <w:r w:rsidR="00840CFC">
              <w:rPr>
                <w:rFonts w:asciiTheme="minorHAnsi" w:hAnsiTheme="minorHAnsi"/>
                <w:sz w:val="20"/>
                <w:szCs w:val="20"/>
                <w:lang w:val="es-AR"/>
              </w:rPr>
              <w:t>:</w:t>
            </w: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2008 en la Agencia de Recaudación</w:t>
            </w:r>
            <w:r w:rsidR="00320C0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de la provincia de</w:t>
            </w: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B</w:t>
            </w:r>
            <w:r w:rsidR="00320C09">
              <w:rPr>
                <w:rFonts w:asciiTheme="minorHAnsi" w:hAnsiTheme="minorHAnsi"/>
                <w:sz w:val="20"/>
                <w:szCs w:val="20"/>
                <w:lang w:val="es-AR"/>
              </w:rPr>
              <w:t>uenos Aires.</w:t>
            </w: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</w:p>
          <w:p w:rsidR="00973816" w:rsidRPr="00320C09" w:rsidRDefault="00973816" w:rsidP="00320C0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Desarrollo de aplicaciones para el ciudadano y mejora en el acceso a internet en espacios </w:t>
            </w:r>
            <w:r w:rsidR="00320C09">
              <w:rPr>
                <w:rFonts w:asciiTheme="minorHAnsi" w:hAnsiTheme="minorHAnsi"/>
                <w:sz w:val="20"/>
                <w:szCs w:val="20"/>
                <w:lang w:val="es-AR"/>
              </w:rPr>
              <w:t>públicos en la Ciudad de Buenos Aires.</w:t>
            </w:r>
          </w:p>
          <w:p w:rsidR="00973816" w:rsidRPr="00320C09" w:rsidRDefault="00973816" w:rsidP="00320C0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320C09">
              <w:rPr>
                <w:rFonts w:asciiTheme="minorHAnsi" w:hAnsiTheme="minorHAnsi"/>
                <w:sz w:val="20"/>
                <w:szCs w:val="20"/>
                <w:lang w:val="es-AR"/>
              </w:rPr>
              <w:t>Modernización del sistema de administración financiera de Córdoba según estándares internacionales empleados por el sector privado.</w:t>
            </w:r>
          </w:p>
          <w:p w:rsidR="00011F88" w:rsidRPr="00011F88" w:rsidRDefault="00011F88" w:rsidP="0076387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011F88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Implementación de metodologías de planificación estratégica para optimizar el diseño, ejecución, seguimiento y evaluación de las políticas públicas en el Ministerio de Justicia y Derechos Humanos de la Nación y </w:t>
            </w:r>
            <w:r w:rsidR="00513F6F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en </w:t>
            </w:r>
            <w:r w:rsidRPr="00011F88">
              <w:rPr>
                <w:rFonts w:asciiTheme="minorHAnsi" w:hAnsiTheme="minorHAnsi"/>
                <w:sz w:val="20"/>
                <w:szCs w:val="20"/>
                <w:lang w:val="es-AR"/>
              </w:rPr>
              <w:t>las provincias de Corrientes, Chaco y Chubut.</w:t>
            </w:r>
          </w:p>
          <w:p w:rsidR="00320C09" w:rsidRPr="00011F88" w:rsidRDefault="00320C09" w:rsidP="0076387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011F88">
              <w:rPr>
                <w:rFonts w:asciiTheme="minorHAnsi" w:hAnsiTheme="minorHAnsi"/>
                <w:sz w:val="20"/>
                <w:szCs w:val="20"/>
                <w:lang w:val="es-AR"/>
              </w:rPr>
              <w:t>Implementación de p</w:t>
            </w:r>
            <w:r w:rsidR="00973816" w:rsidRPr="00011F88">
              <w:rPr>
                <w:rFonts w:asciiTheme="minorHAnsi" w:hAnsiTheme="minorHAnsi"/>
                <w:sz w:val="20"/>
                <w:lang w:val="es-AR"/>
              </w:rPr>
              <w:t>rogramas de disminución del desempleo juvenil y transición de jóvenes del ciclo medio al mundo laboral en Córdoba</w:t>
            </w:r>
            <w:r w:rsidRPr="00011F88">
              <w:rPr>
                <w:rFonts w:asciiTheme="minorHAnsi" w:hAnsiTheme="minorHAnsi"/>
                <w:sz w:val="20"/>
                <w:lang w:val="es-AR"/>
              </w:rPr>
              <w:t>.</w:t>
            </w:r>
          </w:p>
          <w:p w:rsidR="00973816" w:rsidRDefault="00320C09" w:rsidP="00755B7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 w:rsidRPr="00320C09">
              <w:rPr>
                <w:rFonts w:asciiTheme="minorHAnsi" w:hAnsiTheme="minorHAnsi"/>
                <w:sz w:val="20"/>
                <w:lang w:val="es-AR"/>
              </w:rPr>
              <w:t>C</w:t>
            </w:r>
            <w:r w:rsidR="00973816" w:rsidRPr="00320C09">
              <w:rPr>
                <w:rFonts w:asciiTheme="minorHAnsi" w:hAnsiTheme="minorHAnsi"/>
                <w:sz w:val="20"/>
                <w:lang w:val="es-AR"/>
              </w:rPr>
              <w:t>onsolidación del límite exterior de la plataforma continental argentina mediante la obtención y difusión de información estratégica tanto en el país como en el exterior</w:t>
            </w:r>
            <w:r w:rsidRPr="00320C09">
              <w:rPr>
                <w:rFonts w:asciiTheme="minorHAnsi" w:hAnsiTheme="minorHAnsi"/>
                <w:sz w:val="20"/>
                <w:lang w:val="es-AR"/>
              </w:rPr>
              <w:t>.</w:t>
            </w:r>
          </w:p>
          <w:p w:rsidR="00840CFC" w:rsidRPr="00840CFC" w:rsidRDefault="00840CFC" w:rsidP="00840CF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lang w:val="es-AR"/>
              </w:rPr>
            </w:pPr>
            <w:r>
              <w:rPr>
                <w:rFonts w:asciiTheme="minorHAnsi" w:hAnsiTheme="minorHAnsi"/>
                <w:sz w:val="20"/>
                <w:lang w:val="es-AR"/>
              </w:rPr>
              <w:t>I</w:t>
            </w:r>
            <w:r w:rsidRPr="00840CFC">
              <w:rPr>
                <w:rFonts w:asciiTheme="minorHAnsi" w:hAnsiTheme="minorHAnsi"/>
                <w:sz w:val="20"/>
                <w:lang w:val="es-AR"/>
              </w:rPr>
              <w:t>mplementación y seguimiento de declaraciones juradas patrimoniales de funcionarios de</w:t>
            </w:r>
            <w:r>
              <w:rPr>
                <w:rFonts w:asciiTheme="minorHAnsi" w:hAnsiTheme="minorHAnsi"/>
                <w:sz w:val="20"/>
                <w:lang w:val="es-AR"/>
              </w:rPr>
              <w:t>l</w:t>
            </w:r>
            <w:r w:rsidRPr="00840CFC">
              <w:rPr>
                <w:rFonts w:asciiTheme="minorHAnsi" w:hAnsiTheme="minorHAnsi"/>
                <w:sz w:val="20"/>
                <w:lang w:val="es-AR"/>
              </w:rPr>
              <w:t xml:space="preserve"> gobierno</w:t>
            </w:r>
            <w:r>
              <w:rPr>
                <w:rFonts w:asciiTheme="minorHAnsi" w:hAnsiTheme="minorHAnsi"/>
                <w:sz w:val="20"/>
                <w:lang w:val="es-AR"/>
              </w:rPr>
              <w:t xml:space="preserve"> de la provincia de La Pampa.</w:t>
            </w:r>
            <w:r w:rsidRPr="00840CFC">
              <w:rPr>
                <w:rFonts w:asciiTheme="minorHAnsi" w:hAnsiTheme="minorHAnsi"/>
                <w:sz w:val="20"/>
                <w:lang w:val="es-AR"/>
              </w:rPr>
              <w:t xml:space="preserve"> </w:t>
            </w:r>
          </w:p>
          <w:p w:rsidR="00973816" w:rsidRPr="00980D8C" w:rsidRDefault="00973816" w:rsidP="00973816">
            <w:pPr>
              <w:rPr>
                <w:rFonts w:asciiTheme="minorHAnsi" w:hAnsiTheme="minorHAnsi"/>
                <w:sz w:val="20"/>
                <w:lang w:val="es-AR"/>
              </w:rPr>
            </w:pPr>
          </w:p>
        </w:tc>
      </w:tr>
    </w:tbl>
    <w:p w:rsidR="00957BA1" w:rsidRPr="00541456" w:rsidRDefault="00957BA1" w:rsidP="00AA365C">
      <w:pPr>
        <w:pStyle w:val="Heading3"/>
        <w:jc w:val="left"/>
        <w:rPr>
          <w:rFonts w:asciiTheme="minorHAnsi" w:hAnsiTheme="minorHAnsi"/>
          <w:b/>
          <w:bCs w:val="0"/>
          <w:sz w:val="22"/>
          <w:szCs w:val="22"/>
        </w:rPr>
      </w:pPr>
      <w:r w:rsidRPr="00541456">
        <w:rPr>
          <w:rFonts w:asciiTheme="minorHAnsi" w:hAnsiTheme="minorHAnsi"/>
          <w:b/>
          <w:bCs w:val="0"/>
          <w:sz w:val="22"/>
          <w:szCs w:val="22"/>
        </w:rPr>
        <w:lastRenderedPageBreak/>
        <w:t xml:space="preserve">III. </w:t>
      </w:r>
      <w:r w:rsidR="00490A8A" w:rsidRPr="00541456">
        <w:rPr>
          <w:rFonts w:asciiTheme="minorHAnsi" w:hAnsiTheme="minorHAnsi"/>
          <w:b/>
          <w:bCs w:val="0"/>
          <w:sz w:val="22"/>
          <w:szCs w:val="22"/>
        </w:rPr>
        <w:t>COUNTRY PROGRAMME RESOURCES</w:t>
      </w:r>
      <w:r w:rsidR="00AA365C">
        <w:rPr>
          <w:rStyle w:val="FootnoteReference"/>
          <w:rFonts w:asciiTheme="minorHAnsi" w:hAnsiTheme="minorHAnsi"/>
          <w:b/>
          <w:bCs w:val="0"/>
          <w:sz w:val="22"/>
          <w:szCs w:val="22"/>
        </w:rPr>
        <w:footnoteReference w:id="3"/>
      </w:r>
    </w:p>
    <w:p w:rsidR="00811EE3" w:rsidRPr="00811EE3" w:rsidRDefault="00811EE3" w:rsidP="00815F58">
      <w:pPr>
        <w:rPr>
          <w:rFonts w:asciiTheme="minorHAnsi" w:hAnsiTheme="minorHAnsi"/>
          <w:b/>
        </w:rPr>
      </w:pPr>
    </w:p>
    <w:tbl>
      <w:tblPr>
        <w:tblW w:w="1420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551"/>
        <w:gridCol w:w="2410"/>
        <w:gridCol w:w="2126"/>
        <w:gridCol w:w="1984"/>
        <w:gridCol w:w="1134"/>
      </w:tblGrid>
      <w:tr w:rsidR="0063424C" w:rsidTr="00490A8A">
        <w:trPr>
          <w:trHeight w:val="38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63424C" w:rsidRDefault="0063424C" w:rsidP="00811EE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Focus area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63424C" w:rsidRDefault="0063424C" w:rsidP="00811EE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Regular (TRAC)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63424C" w:rsidRDefault="0063424C" w:rsidP="00811EE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63424C" w:rsidRDefault="0063424C" w:rsidP="00811EE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63424C" w:rsidRDefault="0063424C" w:rsidP="00811EE3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% of Total</w:t>
            </w:r>
          </w:p>
        </w:tc>
      </w:tr>
      <w:tr w:rsidR="00490A8A" w:rsidTr="00223EE3">
        <w:trPr>
          <w:trHeight w:val="581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8A" w:rsidRPr="0063424C" w:rsidRDefault="00490A8A" w:rsidP="00490A8A">
            <w:pPr>
              <w:pStyle w:val="BodyText2"/>
              <w:rPr>
                <w:rFonts w:ascii="Calibri" w:hAnsi="Calibri"/>
                <w:sz w:val="22"/>
                <w:szCs w:val="22"/>
                <w:lang w:val="es-GT"/>
              </w:rPr>
            </w:pPr>
            <w:r w:rsidRPr="0063424C">
              <w:rPr>
                <w:rFonts w:ascii="Calibri" w:hAnsi="Calibri"/>
                <w:sz w:val="22"/>
                <w:szCs w:val="22"/>
                <w:lang w:val="es-GT"/>
              </w:rPr>
              <w:t xml:space="preserve">Alcanzar los ODM y reducir la pobreza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742,965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838,667,226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839,410,191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59%</w:t>
            </w:r>
          </w:p>
        </w:tc>
      </w:tr>
      <w:tr w:rsidR="00490A8A" w:rsidTr="00A6694E">
        <w:trPr>
          <w:trHeight w:val="54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8A" w:rsidRPr="0063424C" w:rsidRDefault="00490A8A" w:rsidP="00490A8A">
            <w:pPr>
              <w:pStyle w:val="BodyText2"/>
              <w:rPr>
                <w:rFonts w:ascii="Calibri" w:hAnsi="Calibri"/>
                <w:sz w:val="22"/>
                <w:szCs w:val="22"/>
                <w:lang w:val="es-GT"/>
              </w:rPr>
            </w:pPr>
            <w:r w:rsidRPr="0063424C">
              <w:rPr>
                <w:rFonts w:ascii="Calibri" w:hAnsi="Calibri"/>
                <w:sz w:val="22"/>
                <w:szCs w:val="22"/>
                <w:lang w:val="es-GT"/>
              </w:rPr>
              <w:t xml:space="preserve">Promover la gobernabilidad democrática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1,188,096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545,418,121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546,606,218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39%</w:t>
            </w:r>
          </w:p>
        </w:tc>
      </w:tr>
      <w:tr w:rsidR="00490A8A" w:rsidTr="00A6694E">
        <w:trPr>
          <w:trHeight w:val="385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A8A" w:rsidRPr="0063424C" w:rsidRDefault="00490A8A" w:rsidP="00490A8A">
            <w:pPr>
              <w:pStyle w:val="BodyText2"/>
              <w:rPr>
                <w:rFonts w:ascii="Calibri" w:hAnsi="Calibri"/>
                <w:sz w:val="22"/>
                <w:szCs w:val="22"/>
                <w:lang w:val="es-GT"/>
              </w:rPr>
            </w:pPr>
            <w:r w:rsidRPr="0063424C">
              <w:rPr>
                <w:rFonts w:ascii="Calibri" w:hAnsi="Calibri"/>
                <w:sz w:val="22"/>
                <w:szCs w:val="22"/>
                <w:lang w:val="es-GT"/>
              </w:rPr>
              <w:t xml:space="preserve">Establecer el ordenamiento de la energía y del medio ambiente para el desarrollo sostenible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176,646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29,801,175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29,977,821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2%</w:t>
            </w:r>
          </w:p>
        </w:tc>
      </w:tr>
      <w:tr w:rsidR="00490A8A" w:rsidTr="00490A8A">
        <w:trPr>
          <w:trHeight w:val="576"/>
        </w:trPr>
        <w:tc>
          <w:tcPr>
            <w:tcW w:w="6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90A8A" w:rsidRDefault="00490A8A" w:rsidP="00490A8A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b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 xml:space="preserve">2,107,707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b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 xml:space="preserve">1,413,886,522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b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 xml:space="preserve">1,415,994,230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490A8A" w:rsidRPr="00490A8A" w:rsidRDefault="00490A8A" w:rsidP="00490A8A">
            <w:pPr>
              <w:widowControl/>
              <w:jc w:val="right"/>
              <w:rPr>
                <w:rFonts w:ascii="Calibri" w:hAnsi="Calibri"/>
                <w:b/>
                <w:color w:val="000000"/>
                <w:szCs w:val="22"/>
                <w:lang w:val="es-AR" w:eastAsia="es-AR"/>
              </w:rPr>
            </w:pPr>
            <w:r w:rsidRPr="00490A8A">
              <w:rPr>
                <w:rFonts w:ascii="Calibri" w:hAnsi="Calibri"/>
                <w:b/>
                <w:color w:val="000000"/>
                <w:sz w:val="22"/>
                <w:szCs w:val="22"/>
                <w:lang w:val="es-AR" w:eastAsia="es-AR"/>
              </w:rPr>
              <w:t>100%</w:t>
            </w:r>
          </w:p>
        </w:tc>
      </w:tr>
    </w:tbl>
    <w:p w:rsidR="00957BA1" w:rsidRDefault="00957BA1" w:rsidP="00957BA1">
      <w:pPr>
        <w:pStyle w:val="BodyText2"/>
        <w:rPr>
          <w:rFonts w:asciiTheme="minorHAnsi" w:hAnsiTheme="minorHAnsi"/>
        </w:rPr>
      </w:pPr>
    </w:p>
    <w:p w:rsidR="004A2D20" w:rsidRDefault="004A2D20" w:rsidP="00957BA1">
      <w:pPr>
        <w:pStyle w:val="BodyText2"/>
        <w:rPr>
          <w:rFonts w:asciiTheme="minorHAnsi" w:hAnsiTheme="minorHAnsi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811EE3" w:rsidRPr="00810A9E" w:rsidTr="00541456">
        <w:tc>
          <w:tcPr>
            <w:tcW w:w="14170" w:type="dxa"/>
            <w:shd w:val="clear" w:color="auto" w:fill="auto"/>
          </w:tcPr>
          <w:p w:rsidR="00811EE3" w:rsidRPr="0050513F" w:rsidRDefault="00811EE3" w:rsidP="00541456">
            <w:pPr>
              <w:pStyle w:val="BodyText2"/>
              <w:rPr>
                <w:rFonts w:ascii="Calibri" w:hAnsi="Calibri"/>
                <w:b/>
                <w:sz w:val="22"/>
                <w:szCs w:val="22"/>
              </w:rPr>
            </w:pPr>
            <w:r w:rsidRPr="0050513F">
              <w:rPr>
                <w:rFonts w:ascii="Calibri" w:hAnsi="Calibri"/>
                <w:b/>
                <w:sz w:val="22"/>
                <w:szCs w:val="22"/>
              </w:rPr>
              <w:t>Data sources</w:t>
            </w:r>
          </w:p>
        </w:tc>
      </w:tr>
      <w:tr w:rsidR="00811EE3" w:rsidRPr="002B797E" w:rsidTr="00541456">
        <w:tc>
          <w:tcPr>
            <w:tcW w:w="14170" w:type="dxa"/>
            <w:shd w:val="clear" w:color="auto" w:fill="auto"/>
          </w:tcPr>
          <w:p w:rsidR="00811EE3" w:rsidRDefault="0002511A" w:rsidP="00811EE3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s-GT"/>
              </w:rPr>
            </w:pPr>
            <w:r>
              <w:rPr>
                <w:rFonts w:ascii="Calibri" w:hAnsi="Calibri"/>
                <w:sz w:val="22"/>
                <w:szCs w:val="22"/>
                <w:lang w:val="es-GT"/>
              </w:rPr>
              <w:t xml:space="preserve">Informes Anuales de Progreso de los Proyectos </w:t>
            </w:r>
          </w:p>
          <w:p w:rsidR="0002511A" w:rsidRDefault="0002511A" w:rsidP="00811EE3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s-GT"/>
              </w:rPr>
            </w:pPr>
            <w:r>
              <w:rPr>
                <w:rFonts w:ascii="Calibri" w:hAnsi="Calibri"/>
                <w:sz w:val="22"/>
                <w:szCs w:val="22"/>
                <w:lang w:val="es-GT"/>
              </w:rPr>
              <w:t>Informes Anuales de Resultados –ROAR-</w:t>
            </w:r>
          </w:p>
          <w:p w:rsidR="0002511A" w:rsidRDefault="0002511A" w:rsidP="00811EE3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s-GT"/>
              </w:rPr>
            </w:pPr>
            <w:r>
              <w:rPr>
                <w:rFonts w:ascii="Calibri" w:hAnsi="Calibri"/>
                <w:sz w:val="22"/>
                <w:szCs w:val="22"/>
                <w:lang w:val="es-GT"/>
              </w:rPr>
              <w:t>Planes Integrados Anuales –IWP-</w:t>
            </w:r>
          </w:p>
          <w:p w:rsidR="0063424C" w:rsidRPr="002B797E" w:rsidRDefault="0063424C" w:rsidP="002B797E">
            <w:pPr>
              <w:pStyle w:val="BodyText2"/>
              <w:numPr>
                <w:ilvl w:val="0"/>
                <w:numId w:val="2"/>
              </w:numPr>
              <w:rPr>
                <w:rFonts w:ascii="Calibri" w:hAnsi="Calibri"/>
                <w:b/>
                <w:sz w:val="22"/>
                <w:szCs w:val="22"/>
                <w:lang w:val="es-AR"/>
              </w:rPr>
            </w:pPr>
            <w:r>
              <w:rPr>
                <w:rFonts w:ascii="Calibri" w:hAnsi="Calibri"/>
                <w:sz w:val="22"/>
                <w:szCs w:val="22"/>
                <w:lang w:val="es-GT"/>
              </w:rPr>
              <w:t>ATLAS</w:t>
            </w:r>
          </w:p>
        </w:tc>
      </w:tr>
    </w:tbl>
    <w:p w:rsidR="004A2D20" w:rsidRPr="002B797E" w:rsidRDefault="004A2D20" w:rsidP="00957BA1">
      <w:pPr>
        <w:pStyle w:val="BodyText2"/>
        <w:rPr>
          <w:rFonts w:asciiTheme="minorHAnsi" w:hAnsiTheme="minorHAnsi"/>
          <w:lang w:val="es-AR"/>
        </w:rPr>
      </w:pPr>
    </w:p>
    <w:p w:rsidR="00EA1108" w:rsidRPr="002B797E" w:rsidRDefault="00EA1108">
      <w:pPr>
        <w:rPr>
          <w:rFonts w:asciiTheme="minorHAnsi" w:hAnsiTheme="minorHAnsi"/>
          <w:sz w:val="20"/>
          <w:lang w:val="es-AR"/>
        </w:rPr>
      </w:pPr>
    </w:p>
    <w:p w:rsidR="00811EE3" w:rsidRDefault="00811EE3">
      <w:pPr>
        <w:rPr>
          <w:rFonts w:asciiTheme="minorHAnsi" w:hAnsiTheme="minorHAnsi"/>
          <w:sz w:val="20"/>
        </w:rPr>
      </w:pPr>
    </w:p>
    <w:p w:rsidR="00811EE3" w:rsidRDefault="00811EE3">
      <w:pPr>
        <w:rPr>
          <w:rFonts w:asciiTheme="minorHAnsi" w:hAnsiTheme="minorHAnsi"/>
          <w:sz w:val="20"/>
        </w:rPr>
      </w:pPr>
    </w:p>
    <w:p w:rsidR="00811EE3" w:rsidRDefault="00811EE3">
      <w:pPr>
        <w:rPr>
          <w:rFonts w:asciiTheme="minorHAnsi" w:hAnsiTheme="minorHAnsi"/>
          <w:sz w:val="20"/>
        </w:rPr>
      </w:pPr>
    </w:p>
    <w:p w:rsidR="00811EE3" w:rsidRPr="005C43BF" w:rsidRDefault="00811EE3">
      <w:pPr>
        <w:rPr>
          <w:rFonts w:asciiTheme="minorHAnsi" w:hAnsiTheme="minorHAnsi"/>
          <w:sz w:val="20"/>
        </w:rPr>
      </w:pPr>
    </w:p>
    <w:sectPr w:rsidR="00811EE3" w:rsidRPr="005C43BF" w:rsidSect="007D4039">
      <w:endnotePr>
        <w:numFmt w:val="decimal"/>
      </w:endnotePr>
      <w:pgSz w:w="16840" w:h="11907" w:orient="landscape" w:code="9"/>
      <w:pgMar w:top="1440" w:right="138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F2" w:rsidRDefault="00032DF2" w:rsidP="00957BA1">
      <w:r>
        <w:separator/>
      </w:r>
    </w:p>
  </w:endnote>
  <w:endnote w:type="continuationSeparator" w:id="0">
    <w:p w:rsidR="00032DF2" w:rsidRDefault="00032DF2" w:rsidP="0095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A1" w:rsidRPr="00980D8C" w:rsidRDefault="005A63C0">
    <w:pPr>
      <w:pStyle w:val="Footer"/>
      <w:jc w:val="center"/>
      <w:rPr>
        <w:rFonts w:asciiTheme="minorHAnsi" w:hAnsiTheme="minorHAnsi"/>
        <w:sz w:val="20"/>
      </w:rPr>
    </w:pPr>
    <w:r w:rsidRPr="00980D8C">
      <w:rPr>
        <w:rFonts w:asciiTheme="minorHAnsi" w:hAnsiTheme="minorHAnsi"/>
        <w:sz w:val="20"/>
      </w:rPr>
      <w:fldChar w:fldCharType="begin"/>
    </w:r>
    <w:r w:rsidR="00957BA1" w:rsidRPr="00980D8C">
      <w:rPr>
        <w:rFonts w:asciiTheme="minorHAnsi" w:hAnsiTheme="minorHAnsi"/>
        <w:sz w:val="20"/>
      </w:rPr>
      <w:instrText xml:space="preserve"> PAGE   \* MERGEFORMAT </w:instrText>
    </w:r>
    <w:r w:rsidRPr="00980D8C">
      <w:rPr>
        <w:rFonts w:asciiTheme="minorHAnsi" w:hAnsiTheme="minorHAnsi"/>
        <w:sz w:val="20"/>
      </w:rPr>
      <w:fldChar w:fldCharType="separate"/>
    </w:r>
    <w:r w:rsidR="009361BD">
      <w:rPr>
        <w:rFonts w:asciiTheme="minorHAnsi" w:hAnsiTheme="minorHAnsi"/>
        <w:noProof/>
        <w:sz w:val="20"/>
      </w:rPr>
      <w:t>5</w:t>
    </w:r>
    <w:r w:rsidRPr="00980D8C">
      <w:rPr>
        <w:rFonts w:asciiTheme="minorHAnsi" w:hAnsiTheme="minorHAnsi"/>
        <w:sz w:val="20"/>
      </w:rPr>
      <w:fldChar w:fldCharType="end"/>
    </w:r>
  </w:p>
  <w:p w:rsidR="00957BA1" w:rsidRDefault="00957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F2" w:rsidRDefault="00032DF2" w:rsidP="00957BA1">
      <w:r>
        <w:separator/>
      </w:r>
    </w:p>
  </w:footnote>
  <w:footnote w:type="continuationSeparator" w:id="0">
    <w:p w:rsidR="00032DF2" w:rsidRDefault="00032DF2" w:rsidP="00957BA1">
      <w:r>
        <w:continuationSeparator/>
      </w:r>
    </w:p>
  </w:footnote>
  <w:footnote w:id="1">
    <w:p w:rsidR="00FF7842" w:rsidRPr="00FF7842" w:rsidRDefault="00FF7842">
      <w:pPr>
        <w:pStyle w:val="FootnoteText"/>
        <w:rPr>
          <w:rFonts w:asciiTheme="minorHAnsi" w:hAnsiTheme="minorHAnsi"/>
          <w:lang w:val="es-AR"/>
        </w:rPr>
      </w:pPr>
      <w:r w:rsidRPr="00FF7842">
        <w:rPr>
          <w:rStyle w:val="FootnoteReference"/>
          <w:rFonts w:asciiTheme="minorHAnsi" w:hAnsiTheme="minorHAnsi"/>
        </w:rPr>
        <w:footnoteRef/>
      </w:r>
      <w:r w:rsidRPr="00FF7842">
        <w:rPr>
          <w:rFonts w:asciiTheme="minorHAnsi" w:hAnsiTheme="minorHAnsi"/>
          <w:lang w:val="es-AR"/>
        </w:rPr>
        <w:t xml:space="preserve"> </w:t>
      </w:r>
      <w:r w:rsidR="006465EE">
        <w:rPr>
          <w:rFonts w:asciiTheme="minorHAnsi" w:hAnsiTheme="minorHAnsi"/>
          <w:lang w:val="es-AR"/>
        </w:rPr>
        <w:t>El Programa de País 2010-14 fue e</w:t>
      </w:r>
      <w:r w:rsidRPr="00FF7842">
        <w:rPr>
          <w:rFonts w:asciiTheme="minorHAnsi" w:hAnsiTheme="minorHAnsi"/>
          <w:lang w:val="es-AR"/>
        </w:rPr>
        <w:t>xtendido 1 año.</w:t>
      </w:r>
    </w:p>
  </w:footnote>
  <w:footnote w:id="2">
    <w:p w:rsidR="00A879E1" w:rsidRPr="00A879E1" w:rsidRDefault="00A879E1">
      <w:pPr>
        <w:pStyle w:val="FootnoteText"/>
        <w:rPr>
          <w:rFonts w:asciiTheme="minorHAnsi" w:hAnsiTheme="minorHAnsi"/>
          <w:lang w:val="es-AR"/>
        </w:rPr>
      </w:pPr>
      <w:r w:rsidRPr="00A879E1">
        <w:rPr>
          <w:rStyle w:val="FootnoteReference"/>
          <w:rFonts w:asciiTheme="minorHAnsi" w:hAnsiTheme="minorHAnsi"/>
        </w:rPr>
        <w:footnoteRef/>
      </w:r>
      <w:r w:rsidRPr="00A879E1">
        <w:rPr>
          <w:rFonts w:asciiTheme="minorHAnsi" w:hAnsiTheme="minorHAnsi"/>
          <w:lang w:val="es-AR"/>
        </w:rPr>
        <w:t xml:space="preserve"> Los gastos del</w:t>
      </w:r>
      <w:r w:rsidR="002B797E">
        <w:rPr>
          <w:rFonts w:asciiTheme="minorHAnsi" w:hAnsiTheme="minorHAnsi"/>
          <w:lang w:val="es-AR"/>
        </w:rPr>
        <w:t xml:space="preserve"> año</w:t>
      </w:r>
      <w:r w:rsidRPr="00A879E1">
        <w:rPr>
          <w:rFonts w:asciiTheme="minorHAnsi" w:hAnsiTheme="minorHAnsi"/>
          <w:lang w:val="es-AR"/>
        </w:rPr>
        <w:t xml:space="preserve"> 2015 son al 30/09.</w:t>
      </w:r>
    </w:p>
  </w:footnote>
  <w:footnote w:id="3">
    <w:p w:rsidR="00AA365C" w:rsidRPr="00AA365C" w:rsidRDefault="00AA365C">
      <w:pPr>
        <w:pStyle w:val="FootnoteText"/>
        <w:rPr>
          <w:rFonts w:asciiTheme="minorHAnsi" w:hAnsiTheme="minorHAnsi"/>
          <w:lang w:val="es-AR"/>
        </w:rPr>
      </w:pPr>
      <w:r w:rsidRPr="00AA365C">
        <w:rPr>
          <w:rStyle w:val="FootnoteReference"/>
          <w:rFonts w:asciiTheme="minorHAnsi" w:hAnsiTheme="minorHAnsi"/>
        </w:rPr>
        <w:footnoteRef/>
      </w:r>
      <w:r w:rsidRPr="00AA365C">
        <w:rPr>
          <w:rFonts w:asciiTheme="minorHAnsi" w:hAnsiTheme="minorHAnsi"/>
          <w:lang w:val="es-AR"/>
        </w:rPr>
        <w:t xml:space="preserve"> Los gastos del año 2015 son al 30/09.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9EF"/>
    <w:multiLevelType w:val="hybridMultilevel"/>
    <w:tmpl w:val="2E34CBA8"/>
    <w:lvl w:ilvl="0" w:tplc="89B6A30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85131"/>
    <w:multiLevelType w:val="hybridMultilevel"/>
    <w:tmpl w:val="30F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B56"/>
    <w:multiLevelType w:val="hybridMultilevel"/>
    <w:tmpl w:val="EFFAEEF6"/>
    <w:lvl w:ilvl="0" w:tplc="5BCE69C8">
      <w:start w:val="1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5F65"/>
    <w:multiLevelType w:val="hybridMultilevel"/>
    <w:tmpl w:val="BC76A71E"/>
    <w:lvl w:ilvl="0" w:tplc="DA08FB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83AD7"/>
    <w:multiLevelType w:val="hybridMultilevel"/>
    <w:tmpl w:val="F14CB60E"/>
    <w:lvl w:ilvl="0" w:tplc="9F32D0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720"/>
    <w:multiLevelType w:val="hybridMultilevel"/>
    <w:tmpl w:val="41D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3466"/>
    <w:multiLevelType w:val="hybridMultilevel"/>
    <w:tmpl w:val="B7B419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9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284809"/>
    <w:multiLevelType w:val="hybridMultilevel"/>
    <w:tmpl w:val="5BCC15D6"/>
    <w:lvl w:ilvl="0" w:tplc="08260F9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63062"/>
    <w:multiLevelType w:val="hybridMultilevel"/>
    <w:tmpl w:val="D63654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85F5D"/>
    <w:multiLevelType w:val="hybridMultilevel"/>
    <w:tmpl w:val="7ECCC6BC"/>
    <w:lvl w:ilvl="0" w:tplc="DA08FB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A795E"/>
    <w:multiLevelType w:val="hybridMultilevel"/>
    <w:tmpl w:val="1D4A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819"/>
    <w:multiLevelType w:val="hybridMultilevel"/>
    <w:tmpl w:val="41B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F72FB"/>
    <w:multiLevelType w:val="hybridMultilevel"/>
    <w:tmpl w:val="90520C74"/>
    <w:lvl w:ilvl="0" w:tplc="DA08FB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70813"/>
    <w:multiLevelType w:val="hybridMultilevel"/>
    <w:tmpl w:val="C27E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A3B35"/>
    <w:multiLevelType w:val="hybridMultilevel"/>
    <w:tmpl w:val="2116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B4024"/>
    <w:multiLevelType w:val="hybridMultilevel"/>
    <w:tmpl w:val="DD5A3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14C88"/>
    <w:multiLevelType w:val="hybridMultilevel"/>
    <w:tmpl w:val="7F845C7C"/>
    <w:lvl w:ilvl="0" w:tplc="DA08FB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580EEB"/>
    <w:multiLevelType w:val="hybridMultilevel"/>
    <w:tmpl w:val="240EB3B8"/>
    <w:lvl w:ilvl="0" w:tplc="DA08FB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57F3D"/>
    <w:multiLevelType w:val="hybridMultilevel"/>
    <w:tmpl w:val="AB926C66"/>
    <w:lvl w:ilvl="0" w:tplc="1924D38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56EB6"/>
    <w:multiLevelType w:val="hybridMultilevel"/>
    <w:tmpl w:val="54D4D3A6"/>
    <w:lvl w:ilvl="0" w:tplc="8E389DF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7FF6"/>
    <w:multiLevelType w:val="hybridMultilevel"/>
    <w:tmpl w:val="BB401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FA7CC0"/>
    <w:multiLevelType w:val="hybridMultilevel"/>
    <w:tmpl w:val="4E34A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708F8"/>
    <w:multiLevelType w:val="hybridMultilevel"/>
    <w:tmpl w:val="3CA02C6C"/>
    <w:lvl w:ilvl="0" w:tplc="B7AEFE40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B011A5"/>
    <w:multiLevelType w:val="hybridMultilevel"/>
    <w:tmpl w:val="297A7456"/>
    <w:lvl w:ilvl="0" w:tplc="2C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C319ED"/>
    <w:multiLevelType w:val="hybridMultilevel"/>
    <w:tmpl w:val="568471F4"/>
    <w:lvl w:ilvl="0" w:tplc="5BCE69C8">
      <w:start w:val="1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6D6"/>
    <w:multiLevelType w:val="hybridMultilevel"/>
    <w:tmpl w:val="DCCC23FA"/>
    <w:lvl w:ilvl="0" w:tplc="5BCE69C8">
      <w:start w:val="11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345EC"/>
    <w:multiLevelType w:val="hybridMultilevel"/>
    <w:tmpl w:val="456C93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54DA5"/>
    <w:multiLevelType w:val="hybridMultilevel"/>
    <w:tmpl w:val="14D6AB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341F"/>
    <w:multiLevelType w:val="hybridMultilevel"/>
    <w:tmpl w:val="91389B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5"/>
  </w:num>
  <w:num w:numId="5">
    <w:abstractNumId w:val="16"/>
  </w:num>
  <w:num w:numId="6">
    <w:abstractNumId w:val="15"/>
  </w:num>
  <w:num w:numId="7">
    <w:abstractNumId w:val="22"/>
  </w:num>
  <w:num w:numId="8">
    <w:abstractNumId w:val="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19"/>
  </w:num>
  <w:num w:numId="19">
    <w:abstractNumId w:val="8"/>
  </w:num>
  <w:num w:numId="20">
    <w:abstractNumId w:val="0"/>
  </w:num>
  <w:num w:numId="21">
    <w:abstractNumId w:val="23"/>
  </w:num>
  <w:num w:numId="22">
    <w:abstractNumId w:val="4"/>
  </w:num>
  <w:num w:numId="23">
    <w:abstractNumId w:val="11"/>
  </w:num>
  <w:num w:numId="24">
    <w:abstractNumId w:val="24"/>
  </w:num>
  <w:num w:numId="25">
    <w:abstractNumId w:val="27"/>
  </w:num>
  <w:num w:numId="26">
    <w:abstractNumId w:val="9"/>
  </w:num>
  <w:num w:numId="27">
    <w:abstractNumId w:val="28"/>
  </w:num>
  <w:num w:numId="28">
    <w:abstractNumId w:val="20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A1"/>
    <w:rsid w:val="00000F3E"/>
    <w:rsid w:val="00003A1B"/>
    <w:rsid w:val="00007E3C"/>
    <w:rsid w:val="00010B7D"/>
    <w:rsid w:val="00010F25"/>
    <w:rsid w:val="00011F88"/>
    <w:rsid w:val="00016777"/>
    <w:rsid w:val="00021E91"/>
    <w:rsid w:val="00021EF4"/>
    <w:rsid w:val="0002511A"/>
    <w:rsid w:val="00032DF2"/>
    <w:rsid w:val="00044B11"/>
    <w:rsid w:val="000478B1"/>
    <w:rsid w:val="00051F61"/>
    <w:rsid w:val="000527CD"/>
    <w:rsid w:val="000818DB"/>
    <w:rsid w:val="000870EF"/>
    <w:rsid w:val="00096B5B"/>
    <w:rsid w:val="000A64B4"/>
    <w:rsid w:val="000B1D58"/>
    <w:rsid w:val="000B2CFE"/>
    <w:rsid w:val="000D3AA8"/>
    <w:rsid w:val="000D4C84"/>
    <w:rsid w:val="000F77F0"/>
    <w:rsid w:val="00101ACB"/>
    <w:rsid w:val="001025A2"/>
    <w:rsid w:val="0011307B"/>
    <w:rsid w:val="001154CF"/>
    <w:rsid w:val="00123D4A"/>
    <w:rsid w:val="0012656B"/>
    <w:rsid w:val="00143B65"/>
    <w:rsid w:val="00146A9E"/>
    <w:rsid w:val="0015763C"/>
    <w:rsid w:val="00165C91"/>
    <w:rsid w:val="001722C6"/>
    <w:rsid w:val="00172AFD"/>
    <w:rsid w:val="00177145"/>
    <w:rsid w:val="0019179F"/>
    <w:rsid w:val="001A7D6E"/>
    <w:rsid w:val="001E235E"/>
    <w:rsid w:val="001F57F4"/>
    <w:rsid w:val="001F6EA5"/>
    <w:rsid w:val="001F7C4A"/>
    <w:rsid w:val="00223CE2"/>
    <w:rsid w:val="00227ED1"/>
    <w:rsid w:val="00245A6A"/>
    <w:rsid w:val="0025633F"/>
    <w:rsid w:val="0026472F"/>
    <w:rsid w:val="00265522"/>
    <w:rsid w:val="00270738"/>
    <w:rsid w:val="002763BC"/>
    <w:rsid w:val="00281645"/>
    <w:rsid w:val="00284B35"/>
    <w:rsid w:val="002916C0"/>
    <w:rsid w:val="002A3EEC"/>
    <w:rsid w:val="002A5A96"/>
    <w:rsid w:val="002A6746"/>
    <w:rsid w:val="002B797E"/>
    <w:rsid w:val="002C084C"/>
    <w:rsid w:val="002C24F8"/>
    <w:rsid w:val="002E346A"/>
    <w:rsid w:val="002F63DF"/>
    <w:rsid w:val="0030339F"/>
    <w:rsid w:val="0030717C"/>
    <w:rsid w:val="00320C09"/>
    <w:rsid w:val="00326368"/>
    <w:rsid w:val="0033561D"/>
    <w:rsid w:val="003506E9"/>
    <w:rsid w:val="003528E7"/>
    <w:rsid w:val="00370148"/>
    <w:rsid w:val="003711A1"/>
    <w:rsid w:val="00380285"/>
    <w:rsid w:val="0039058B"/>
    <w:rsid w:val="00391A8C"/>
    <w:rsid w:val="003A75EC"/>
    <w:rsid w:val="003B5C2A"/>
    <w:rsid w:val="003C17B8"/>
    <w:rsid w:val="003C6489"/>
    <w:rsid w:val="003D295A"/>
    <w:rsid w:val="003D3AF9"/>
    <w:rsid w:val="003D4051"/>
    <w:rsid w:val="003D47FD"/>
    <w:rsid w:val="003D506C"/>
    <w:rsid w:val="003D6A75"/>
    <w:rsid w:val="003E13D7"/>
    <w:rsid w:val="003F6013"/>
    <w:rsid w:val="0040448A"/>
    <w:rsid w:val="00412C22"/>
    <w:rsid w:val="00414B10"/>
    <w:rsid w:val="004255C9"/>
    <w:rsid w:val="004263EF"/>
    <w:rsid w:val="004267A9"/>
    <w:rsid w:val="004279E3"/>
    <w:rsid w:val="0044130F"/>
    <w:rsid w:val="00450906"/>
    <w:rsid w:val="004511D2"/>
    <w:rsid w:val="00452FFB"/>
    <w:rsid w:val="00455E16"/>
    <w:rsid w:val="004624D8"/>
    <w:rsid w:val="00470664"/>
    <w:rsid w:val="00470F4D"/>
    <w:rsid w:val="00472AA5"/>
    <w:rsid w:val="004750A8"/>
    <w:rsid w:val="00481340"/>
    <w:rsid w:val="00485D98"/>
    <w:rsid w:val="004864BE"/>
    <w:rsid w:val="00490A8A"/>
    <w:rsid w:val="004A1A05"/>
    <w:rsid w:val="004A2D20"/>
    <w:rsid w:val="004C7E41"/>
    <w:rsid w:val="004D560E"/>
    <w:rsid w:val="004D6F91"/>
    <w:rsid w:val="004E26BB"/>
    <w:rsid w:val="004E4107"/>
    <w:rsid w:val="004E4C68"/>
    <w:rsid w:val="004E50A4"/>
    <w:rsid w:val="004E7600"/>
    <w:rsid w:val="005007CD"/>
    <w:rsid w:val="00510539"/>
    <w:rsid w:val="00513F6F"/>
    <w:rsid w:val="00522305"/>
    <w:rsid w:val="00540970"/>
    <w:rsid w:val="00541456"/>
    <w:rsid w:val="0055477C"/>
    <w:rsid w:val="00557CA8"/>
    <w:rsid w:val="00563B94"/>
    <w:rsid w:val="005A0BAA"/>
    <w:rsid w:val="005A48BD"/>
    <w:rsid w:val="005A63C0"/>
    <w:rsid w:val="005A7109"/>
    <w:rsid w:val="005C39B8"/>
    <w:rsid w:val="005C43BF"/>
    <w:rsid w:val="005F762B"/>
    <w:rsid w:val="006053CF"/>
    <w:rsid w:val="00613E16"/>
    <w:rsid w:val="006150A9"/>
    <w:rsid w:val="00622CF3"/>
    <w:rsid w:val="00630232"/>
    <w:rsid w:val="0063424C"/>
    <w:rsid w:val="00637D93"/>
    <w:rsid w:val="00642B1C"/>
    <w:rsid w:val="00645163"/>
    <w:rsid w:val="006465EE"/>
    <w:rsid w:val="00654654"/>
    <w:rsid w:val="00665446"/>
    <w:rsid w:val="00672E3A"/>
    <w:rsid w:val="0068140F"/>
    <w:rsid w:val="00682D19"/>
    <w:rsid w:val="00693DBA"/>
    <w:rsid w:val="006A2055"/>
    <w:rsid w:val="006A56F3"/>
    <w:rsid w:val="006A7D3D"/>
    <w:rsid w:val="006B5DAE"/>
    <w:rsid w:val="006C0D6E"/>
    <w:rsid w:val="006C0E79"/>
    <w:rsid w:val="006C2A03"/>
    <w:rsid w:val="006D1995"/>
    <w:rsid w:val="006D53E0"/>
    <w:rsid w:val="006E284C"/>
    <w:rsid w:val="006E7151"/>
    <w:rsid w:val="006F05F7"/>
    <w:rsid w:val="006F63EA"/>
    <w:rsid w:val="006F7821"/>
    <w:rsid w:val="00702756"/>
    <w:rsid w:val="0070347F"/>
    <w:rsid w:val="00704021"/>
    <w:rsid w:val="00714F73"/>
    <w:rsid w:val="00716FB1"/>
    <w:rsid w:val="00724710"/>
    <w:rsid w:val="00733AC1"/>
    <w:rsid w:val="00742B95"/>
    <w:rsid w:val="007578A1"/>
    <w:rsid w:val="00760F31"/>
    <w:rsid w:val="00774D0F"/>
    <w:rsid w:val="00781804"/>
    <w:rsid w:val="0078213F"/>
    <w:rsid w:val="00793B18"/>
    <w:rsid w:val="007973BD"/>
    <w:rsid w:val="00797A8B"/>
    <w:rsid w:val="007A11D7"/>
    <w:rsid w:val="007A24FC"/>
    <w:rsid w:val="007A483B"/>
    <w:rsid w:val="007A6A8F"/>
    <w:rsid w:val="007B31AD"/>
    <w:rsid w:val="007B4E5A"/>
    <w:rsid w:val="007C1B4B"/>
    <w:rsid w:val="007D21E7"/>
    <w:rsid w:val="007D4039"/>
    <w:rsid w:val="007D6C5E"/>
    <w:rsid w:val="007F3543"/>
    <w:rsid w:val="007F56B6"/>
    <w:rsid w:val="007F614B"/>
    <w:rsid w:val="008012ED"/>
    <w:rsid w:val="00801B99"/>
    <w:rsid w:val="00806D80"/>
    <w:rsid w:val="00811EE3"/>
    <w:rsid w:val="00815F58"/>
    <w:rsid w:val="00823F99"/>
    <w:rsid w:val="00824CE9"/>
    <w:rsid w:val="00832FE4"/>
    <w:rsid w:val="00836654"/>
    <w:rsid w:val="0084002D"/>
    <w:rsid w:val="008402FC"/>
    <w:rsid w:val="00840CFC"/>
    <w:rsid w:val="00841465"/>
    <w:rsid w:val="00841643"/>
    <w:rsid w:val="00844152"/>
    <w:rsid w:val="008633A2"/>
    <w:rsid w:val="0089168E"/>
    <w:rsid w:val="00894CC2"/>
    <w:rsid w:val="008B6719"/>
    <w:rsid w:val="008D3070"/>
    <w:rsid w:val="008E5B5B"/>
    <w:rsid w:val="008F3B77"/>
    <w:rsid w:val="0093063F"/>
    <w:rsid w:val="00933BEA"/>
    <w:rsid w:val="009361BD"/>
    <w:rsid w:val="0094585D"/>
    <w:rsid w:val="00954170"/>
    <w:rsid w:val="00957BA1"/>
    <w:rsid w:val="00960C3E"/>
    <w:rsid w:val="00964321"/>
    <w:rsid w:val="0097048F"/>
    <w:rsid w:val="00973816"/>
    <w:rsid w:val="00980D8C"/>
    <w:rsid w:val="0099542F"/>
    <w:rsid w:val="009C1969"/>
    <w:rsid w:val="009E43E5"/>
    <w:rsid w:val="009F3644"/>
    <w:rsid w:val="009F5FC0"/>
    <w:rsid w:val="00A01C62"/>
    <w:rsid w:val="00A070D3"/>
    <w:rsid w:val="00A25347"/>
    <w:rsid w:val="00A265E4"/>
    <w:rsid w:val="00A54FEC"/>
    <w:rsid w:val="00A57F01"/>
    <w:rsid w:val="00A64075"/>
    <w:rsid w:val="00A65A99"/>
    <w:rsid w:val="00A65C0E"/>
    <w:rsid w:val="00A66F25"/>
    <w:rsid w:val="00A80B73"/>
    <w:rsid w:val="00A879E1"/>
    <w:rsid w:val="00A95E63"/>
    <w:rsid w:val="00AA365C"/>
    <w:rsid w:val="00AB593A"/>
    <w:rsid w:val="00AC30D5"/>
    <w:rsid w:val="00AC3546"/>
    <w:rsid w:val="00AE6769"/>
    <w:rsid w:val="00AE7375"/>
    <w:rsid w:val="00B12C80"/>
    <w:rsid w:val="00B14FAF"/>
    <w:rsid w:val="00B16A0D"/>
    <w:rsid w:val="00B26F8F"/>
    <w:rsid w:val="00B31DFC"/>
    <w:rsid w:val="00B33498"/>
    <w:rsid w:val="00B34B15"/>
    <w:rsid w:val="00B40D99"/>
    <w:rsid w:val="00B45788"/>
    <w:rsid w:val="00B47503"/>
    <w:rsid w:val="00B508F3"/>
    <w:rsid w:val="00B50F51"/>
    <w:rsid w:val="00B50FDA"/>
    <w:rsid w:val="00B61606"/>
    <w:rsid w:val="00B6274F"/>
    <w:rsid w:val="00B63D11"/>
    <w:rsid w:val="00B67CE4"/>
    <w:rsid w:val="00B82155"/>
    <w:rsid w:val="00B82406"/>
    <w:rsid w:val="00B8508C"/>
    <w:rsid w:val="00B97C15"/>
    <w:rsid w:val="00B97E40"/>
    <w:rsid w:val="00BB0D2E"/>
    <w:rsid w:val="00BC7855"/>
    <w:rsid w:val="00BE14C8"/>
    <w:rsid w:val="00BF24E1"/>
    <w:rsid w:val="00C063C8"/>
    <w:rsid w:val="00C16A63"/>
    <w:rsid w:val="00C21678"/>
    <w:rsid w:val="00C21DC3"/>
    <w:rsid w:val="00C27CBF"/>
    <w:rsid w:val="00C53740"/>
    <w:rsid w:val="00C5600D"/>
    <w:rsid w:val="00C65935"/>
    <w:rsid w:val="00C66580"/>
    <w:rsid w:val="00C76DCF"/>
    <w:rsid w:val="00C844A6"/>
    <w:rsid w:val="00C91118"/>
    <w:rsid w:val="00C95E7B"/>
    <w:rsid w:val="00CA0C14"/>
    <w:rsid w:val="00CA6233"/>
    <w:rsid w:val="00CD7609"/>
    <w:rsid w:val="00CD7971"/>
    <w:rsid w:val="00CF0C4B"/>
    <w:rsid w:val="00CF2BAB"/>
    <w:rsid w:val="00D00BCD"/>
    <w:rsid w:val="00D02947"/>
    <w:rsid w:val="00D06FEA"/>
    <w:rsid w:val="00D2661F"/>
    <w:rsid w:val="00D26898"/>
    <w:rsid w:val="00D276B8"/>
    <w:rsid w:val="00D33434"/>
    <w:rsid w:val="00D63E71"/>
    <w:rsid w:val="00D67DD7"/>
    <w:rsid w:val="00D80F56"/>
    <w:rsid w:val="00D83F9D"/>
    <w:rsid w:val="00D84F22"/>
    <w:rsid w:val="00D85884"/>
    <w:rsid w:val="00D92397"/>
    <w:rsid w:val="00DA3787"/>
    <w:rsid w:val="00DA6B05"/>
    <w:rsid w:val="00DA7442"/>
    <w:rsid w:val="00DB1E79"/>
    <w:rsid w:val="00DB35D8"/>
    <w:rsid w:val="00DB51F1"/>
    <w:rsid w:val="00DB6130"/>
    <w:rsid w:val="00DC2D65"/>
    <w:rsid w:val="00DE11BA"/>
    <w:rsid w:val="00DF2951"/>
    <w:rsid w:val="00DF41F9"/>
    <w:rsid w:val="00E147C9"/>
    <w:rsid w:val="00E23C98"/>
    <w:rsid w:val="00E25D50"/>
    <w:rsid w:val="00E31E49"/>
    <w:rsid w:val="00E33C4F"/>
    <w:rsid w:val="00E34033"/>
    <w:rsid w:val="00E35784"/>
    <w:rsid w:val="00E43D5F"/>
    <w:rsid w:val="00E5036B"/>
    <w:rsid w:val="00E53DF6"/>
    <w:rsid w:val="00E662CF"/>
    <w:rsid w:val="00E66828"/>
    <w:rsid w:val="00E76B39"/>
    <w:rsid w:val="00E83DC5"/>
    <w:rsid w:val="00E94E25"/>
    <w:rsid w:val="00EA1108"/>
    <w:rsid w:val="00EB0A65"/>
    <w:rsid w:val="00EB44D0"/>
    <w:rsid w:val="00EB61BA"/>
    <w:rsid w:val="00ED5A8C"/>
    <w:rsid w:val="00EE44C0"/>
    <w:rsid w:val="00EE59D1"/>
    <w:rsid w:val="00EF526E"/>
    <w:rsid w:val="00F02004"/>
    <w:rsid w:val="00F05B2C"/>
    <w:rsid w:val="00F14D80"/>
    <w:rsid w:val="00F215C7"/>
    <w:rsid w:val="00F21A33"/>
    <w:rsid w:val="00F245D5"/>
    <w:rsid w:val="00F46D2B"/>
    <w:rsid w:val="00F52E90"/>
    <w:rsid w:val="00F61931"/>
    <w:rsid w:val="00F64F28"/>
    <w:rsid w:val="00F65C84"/>
    <w:rsid w:val="00F731CC"/>
    <w:rsid w:val="00F809C5"/>
    <w:rsid w:val="00F8346C"/>
    <w:rsid w:val="00F95E08"/>
    <w:rsid w:val="00F96D80"/>
    <w:rsid w:val="00F9738E"/>
    <w:rsid w:val="00FB230E"/>
    <w:rsid w:val="00FB2D94"/>
    <w:rsid w:val="00FB6759"/>
    <w:rsid w:val="00FD5E4D"/>
    <w:rsid w:val="00FE3127"/>
    <w:rsid w:val="00FF5B9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ED4A4-908D-4F49-A5F0-ACBB6FA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57BA1"/>
    <w:pPr>
      <w:keepNext/>
      <w:shd w:val="pct15" w:color="auto" w:fill="FFFFFF"/>
      <w:jc w:val="center"/>
      <w:outlineLvl w:val="2"/>
    </w:pPr>
    <w:rPr>
      <w:rFonts w:ascii="Arial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7BA1"/>
    <w:rPr>
      <w:rFonts w:ascii="Arial" w:eastAsia="Times New Roman" w:hAnsi="Arial" w:cs="Times New Roman"/>
      <w:bCs/>
      <w:sz w:val="24"/>
      <w:szCs w:val="20"/>
      <w:shd w:val="pct15" w:color="auto" w:fill="FFFFFF"/>
    </w:rPr>
  </w:style>
  <w:style w:type="paragraph" w:styleId="BodyText">
    <w:name w:val="Body Text"/>
    <w:basedOn w:val="Normal"/>
    <w:link w:val="BodyTextChar"/>
    <w:rsid w:val="00957BA1"/>
    <w:pPr>
      <w:widowControl/>
    </w:pPr>
    <w:rPr>
      <w:rFonts w:ascii="Univers" w:hAnsi="Univers"/>
      <w:sz w:val="22"/>
    </w:rPr>
  </w:style>
  <w:style w:type="character" w:customStyle="1" w:styleId="BodyTextChar">
    <w:name w:val="Body Text Char"/>
    <w:basedOn w:val="DefaultParagraphFont"/>
    <w:link w:val="BodyText"/>
    <w:rsid w:val="00957BA1"/>
    <w:rPr>
      <w:rFonts w:ascii="Univers" w:eastAsia="Times New Roman" w:hAnsi="Univers" w:cs="Times New Roman"/>
      <w:szCs w:val="20"/>
    </w:rPr>
  </w:style>
  <w:style w:type="paragraph" w:styleId="BodyText2">
    <w:name w:val="Body Text 2"/>
    <w:basedOn w:val="Normal"/>
    <w:link w:val="BodyText2Char"/>
    <w:rsid w:val="00957BA1"/>
    <w:pPr>
      <w:widowControl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957BA1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57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B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57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A1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ußnote,Footnote Text_1,Текст сноски Знак1,Текст сноски Знак2 Знак,Текст сноски Знак1 Знак Знак,Fußnote Знак Знак Знак,Footnote Text_1 Знак Знак Знак,Текст сноски-FN Знак Знак Знак,Footnote Text Char Знак Знак Знак Знак Знак,Fußnote Знак"/>
    <w:basedOn w:val="Normal"/>
    <w:link w:val="FootnoteTextChar"/>
    <w:uiPriority w:val="99"/>
    <w:rsid w:val="00957BA1"/>
    <w:rPr>
      <w:sz w:val="20"/>
    </w:rPr>
  </w:style>
  <w:style w:type="character" w:customStyle="1" w:styleId="FootnoteTextChar">
    <w:name w:val="Footnote Text Char"/>
    <w:aliases w:val="Fußnote Char,Footnote Text_1 Char,Текст сноски Знак1 Char,Текст сноски Знак2 Знак Char,Текст сноски Знак1 Знак Знак Char,Fußnote Знак Знак Знак Char,Footnote Text_1 Знак Знак Знак Char,Текст сноски-FN Знак Знак Знак Char"/>
    <w:basedOn w:val="DefaultParagraphFont"/>
    <w:link w:val="FootnoteText"/>
    <w:uiPriority w:val="99"/>
    <w:rsid w:val="00957B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сноска,Знак сноски-FN,Footnote Reference Number,Знак сноски 1,ftref,Ref,de nota al pie,Footnotes refss,Footnote Reference1,16 Point,Superscript 6 Point,Times 10 Point,Exposant 3 Point,Footnote symbol,Footnote reference number,note TE"/>
    <w:link w:val="Char2"/>
    <w:uiPriority w:val="99"/>
    <w:qFormat/>
    <w:rsid w:val="00957BA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7BA1"/>
    <w:pPr>
      <w:widowControl/>
      <w:ind w:left="720"/>
      <w:contextualSpacing/>
    </w:pPr>
    <w:rPr>
      <w:szCs w:val="24"/>
    </w:rPr>
  </w:style>
  <w:style w:type="paragraph" w:customStyle="1" w:styleId="Liststycke">
    <w:name w:val="Liststycke"/>
    <w:basedOn w:val="Normal"/>
    <w:qFormat/>
    <w:rsid w:val="00957BA1"/>
    <w:pPr>
      <w:widowControl/>
      <w:spacing w:line="276" w:lineRule="auto"/>
      <w:ind w:left="720"/>
      <w:contextualSpacing/>
    </w:pPr>
    <w:rPr>
      <w:rFonts w:ascii="Calibri" w:eastAsia="SimSun" w:hAnsi="Calibri"/>
      <w:sz w:val="22"/>
      <w:szCs w:val="22"/>
      <w:lang w:val="sv-SE" w:eastAsia="zh-CN"/>
    </w:rPr>
  </w:style>
  <w:style w:type="character" w:styleId="Hyperlink">
    <w:name w:val="Hyperlink"/>
    <w:rsid w:val="00957BA1"/>
    <w:rPr>
      <w:color w:val="0563C1"/>
      <w:u w:val="single"/>
    </w:rPr>
  </w:style>
  <w:style w:type="character" w:styleId="CommentReference">
    <w:name w:val="annotation reference"/>
    <w:basedOn w:val="DefaultParagraphFont"/>
    <w:unhideWhenUsed/>
    <w:rsid w:val="00CD79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79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79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9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71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528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63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har2">
    <w:name w:val="Char2"/>
    <w:basedOn w:val="Normal"/>
    <w:link w:val="FootnoteReference"/>
    <w:uiPriority w:val="99"/>
    <w:rsid w:val="00BC7855"/>
    <w:pPr>
      <w:widowControl/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6BB2-800C-41BA-82D8-7B746557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4001</Words>
  <Characters>22807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 Vremis</dc:creator>
  <cp:lastModifiedBy>Svetlana Iazykova</cp:lastModifiedBy>
  <cp:revision>2</cp:revision>
  <cp:lastPrinted>2015-02-20T20:18:00Z</cp:lastPrinted>
  <dcterms:created xsi:type="dcterms:W3CDTF">2015-10-22T18:56:00Z</dcterms:created>
  <dcterms:modified xsi:type="dcterms:W3CDTF">2015-10-22T18:56:00Z</dcterms:modified>
</cp:coreProperties>
</file>